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D43A2" w14:textId="0644A114" w:rsidR="00CE09F3" w:rsidRPr="00F24057" w:rsidRDefault="00CE09F3" w:rsidP="00D70B34">
      <w:pPr>
        <w:jc w:val="center"/>
        <w:rPr>
          <w:b/>
          <w:bCs/>
          <w:iCs/>
          <w:szCs w:val="22"/>
          <w:u w:val="single"/>
          <w:lang w:val="sr-Latn-ME"/>
        </w:rPr>
      </w:pPr>
      <w:r w:rsidRPr="00F24057">
        <w:rPr>
          <w:b/>
          <w:bCs/>
          <w:iCs/>
          <w:szCs w:val="22"/>
          <w:u w:val="single"/>
          <w:lang w:val="sr-Latn-ME"/>
        </w:rPr>
        <w:t>SAŽETAK KARAKTERISTIKA L</w:t>
      </w:r>
      <w:r w:rsidR="001663F5" w:rsidRPr="00F24057">
        <w:rPr>
          <w:b/>
          <w:bCs/>
          <w:iCs/>
          <w:szCs w:val="22"/>
          <w:u w:val="single"/>
          <w:lang w:val="sr-Latn-ME"/>
        </w:rPr>
        <w:t>IJ</w:t>
      </w:r>
      <w:r w:rsidRPr="00F24057">
        <w:rPr>
          <w:b/>
          <w:bCs/>
          <w:iCs/>
          <w:szCs w:val="22"/>
          <w:u w:val="single"/>
          <w:lang w:val="sr-Latn-ME"/>
        </w:rPr>
        <w:t>EKA</w:t>
      </w:r>
    </w:p>
    <w:p w14:paraId="072D43A4" w14:textId="3D1CAADF" w:rsidR="00383195" w:rsidRPr="00F24057" w:rsidRDefault="00383195" w:rsidP="00D70B34">
      <w:pPr>
        <w:rPr>
          <w:szCs w:val="22"/>
          <w:lang w:val="sr-Latn-ME"/>
        </w:rPr>
      </w:pPr>
    </w:p>
    <w:p w14:paraId="072D43A6" w14:textId="77777777" w:rsidR="00923865" w:rsidRPr="00F24057" w:rsidRDefault="00923865" w:rsidP="00D70B34">
      <w:pPr>
        <w:rPr>
          <w:szCs w:val="22"/>
          <w:lang w:val="sr-Latn-ME"/>
        </w:rPr>
      </w:pPr>
    </w:p>
    <w:p w14:paraId="072D43A7" w14:textId="61080933" w:rsidR="00F5775F" w:rsidRPr="00F24057" w:rsidRDefault="009946F8" w:rsidP="00D70B34">
      <w:pPr>
        <w:rPr>
          <w:bCs/>
          <w:szCs w:val="22"/>
          <w:lang w:val="sr-Latn-ME"/>
        </w:rPr>
      </w:pPr>
      <w:r w:rsidRPr="00F24057">
        <w:rPr>
          <w:bCs/>
          <w:noProof/>
          <w:szCs w:val="22"/>
        </w:rPr>
        <w:drawing>
          <wp:inline distT="0" distB="0" distL="0" distR="0" wp14:anchorId="072D4415" wp14:editId="072D4416">
            <wp:extent cx="200025" cy="171450"/>
            <wp:effectExtent l="19050" t="0" r="9525"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11"/>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00E50CD3" w:rsidRPr="00F24057">
        <w:rPr>
          <w:bCs/>
          <w:szCs w:val="22"/>
          <w:lang w:val="sr-Latn-ME"/>
        </w:rPr>
        <w:t xml:space="preserve"> </w:t>
      </w:r>
      <w:r w:rsidR="00016975" w:rsidRPr="00F24057">
        <w:rPr>
          <w:bCs/>
          <w:szCs w:val="22"/>
          <w:lang w:val="sr-Latn-ME"/>
        </w:rPr>
        <w:t xml:space="preserve">Ovaj lijek je pod dodatnim praćenjem. Time se omogućava brzo otkrivanje novih bezbjednosnih informacija. Zdravstveni radnici treba da prijave svaku sumnju na neželjeno dejstvo ovog lijeka. Za način prijavljivanja neželjenih dejstava </w:t>
      </w:r>
      <w:r w:rsidR="007B39D0" w:rsidRPr="00F24057">
        <w:rPr>
          <w:bCs/>
          <w:szCs w:val="22"/>
          <w:lang w:val="sr-Latn-ME"/>
        </w:rPr>
        <w:t xml:space="preserve">pogledati dio </w:t>
      </w:r>
      <w:r w:rsidR="00016975" w:rsidRPr="00F24057">
        <w:rPr>
          <w:bCs/>
          <w:szCs w:val="22"/>
          <w:lang w:val="sr-Latn-ME"/>
        </w:rPr>
        <w:t>4.8.</w:t>
      </w:r>
    </w:p>
    <w:p w14:paraId="072D43A8" w14:textId="77777777" w:rsidR="00E50CD3" w:rsidRPr="00F24057" w:rsidRDefault="00E50CD3" w:rsidP="00D70B34">
      <w:pPr>
        <w:rPr>
          <w:b/>
          <w:bCs/>
          <w:szCs w:val="22"/>
          <w:lang w:val="sr-Latn-ME"/>
        </w:rPr>
      </w:pPr>
    </w:p>
    <w:p w14:paraId="072D43A9" w14:textId="77777777" w:rsidR="00CE09F3" w:rsidRPr="00F24057" w:rsidRDefault="00CE09F3" w:rsidP="00D70B34">
      <w:pPr>
        <w:rPr>
          <w:b/>
          <w:bCs/>
          <w:szCs w:val="22"/>
          <w:lang w:val="sr-Latn-ME"/>
        </w:rPr>
      </w:pPr>
    </w:p>
    <w:p w14:paraId="072D43AC" w14:textId="0E05786D" w:rsidR="00CE09F3" w:rsidRPr="00F24057" w:rsidRDefault="00CE09F3" w:rsidP="00D70B34">
      <w:pPr>
        <w:pStyle w:val="NASLOV123"/>
        <w:spacing w:before="0" w:after="0"/>
        <w:rPr>
          <w:lang w:val="sr-Latn-ME"/>
        </w:rPr>
      </w:pPr>
      <w:r w:rsidRPr="00F24057">
        <w:rPr>
          <w:lang w:val="sr-Latn-ME"/>
        </w:rPr>
        <w:t>1</w:t>
      </w:r>
      <w:r w:rsidR="005456BC" w:rsidRPr="00F24057">
        <w:rPr>
          <w:lang w:val="sr-Latn-ME"/>
        </w:rPr>
        <w:t xml:space="preserve">. </w:t>
      </w:r>
      <w:r w:rsidR="00313CAB" w:rsidRPr="00F24057">
        <w:rPr>
          <w:lang w:val="sr-Latn-ME"/>
        </w:rPr>
        <w:t>NAZIV</w:t>
      </w:r>
      <w:r w:rsidR="005456BC" w:rsidRPr="00F24057">
        <w:rPr>
          <w:lang w:val="sr-Latn-ME"/>
        </w:rPr>
        <w:t xml:space="preserve"> L</w:t>
      </w:r>
      <w:r w:rsidR="00313CAB" w:rsidRPr="00F24057">
        <w:rPr>
          <w:lang w:val="sr-Latn-ME"/>
        </w:rPr>
        <w:t>IJ</w:t>
      </w:r>
      <w:r w:rsidR="005456BC" w:rsidRPr="00F24057">
        <w:rPr>
          <w:lang w:val="sr-Latn-ME"/>
        </w:rPr>
        <w:t>EKA</w:t>
      </w:r>
    </w:p>
    <w:p w14:paraId="0A07BA62" w14:textId="2F8B8C2A" w:rsidR="001B4E8E" w:rsidRPr="00F24057" w:rsidRDefault="00CA5044" w:rsidP="001D677F">
      <w:pPr>
        <w:tabs>
          <w:tab w:val="clear" w:pos="284"/>
          <w:tab w:val="left" w:pos="5096"/>
        </w:tabs>
        <w:rPr>
          <w:szCs w:val="22"/>
          <w:lang w:val="sr-Latn-ME"/>
        </w:rPr>
      </w:pPr>
      <w:r w:rsidRPr="00F24057">
        <w:rPr>
          <w:szCs w:val="22"/>
          <w:lang w:val="sr-Latn-ME"/>
        </w:rPr>
        <w:tab/>
      </w:r>
    </w:p>
    <w:p w14:paraId="736A7A65" w14:textId="6544B736" w:rsidR="00C358AF" w:rsidRPr="00F24057" w:rsidRDefault="00C358AF" w:rsidP="00D70B34">
      <w:pPr>
        <w:rPr>
          <w:iCs/>
          <w:szCs w:val="22"/>
          <w:lang w:val="sr-Latn-ME"/>
        </w:rPr>
      </w:pPr>
      <w:r w:rsidRPr="00F24057">
        <w:rPr>
          <w:szCs w:val="22"/>
          <w:lang w:val="sr-Latn-ME"/>
        </w:rPr>
        <w:t xml:space="preserve">Hukyndra, 40 mg, </w:t>
      </w:r>
      <w:bookmarkStart w:id="0" w:name="_Hlk112153866"/>
      <w:r w:rsidRPr="00F24057">
        <w:rPr>
          <w:szCs w:val="22"/>
          <w:lang w:val="sr-Latn-ME"/>
        </w:rPr>
        <w:t>rastvor za injekciju u napunjenom injekcionom penu</w:t>
      </w:r>
      <w:bookmarkEnd w:id="0"/>
    </w:p>
    <w:p w14:paraId="072D43AF" w14:textId="77777777" w:rsidR="00CE09F3" w:rsidRPr="00F24057" w:rsidRDefault="00CE09F3" w:rsidP="00D70B34">
      <w:pPr>
        <w:rPr>
          <w:bCs/>
          <w:szCs w:val="22"/>
          <w:lang w:val="sr-Latn-ME"/>
        </w:rPr>
      </w:pPr>
    </w:p>
    <w:p w14:paraId="6FCC24C0" w14:textId="39CA433F" w:rsidR="00910194" w:rsidRPr="00F24057" w:rsidRDefault="00CE09F3" w:rsidP="00D70B34">
      <w:pPr>
        <w:rPr>
          <w:szCs w:val="22"/>
          <w:lang w:val="sr-Latn-ME"/>
        </w:rPr>
      </w:pPr>
      <w:r w:rsidRPr="00F24057">
        <w:rPr>
          <w:szCs w:val="22"/>
          <w:lang w:val="sr-Latn-ME"/>
        </w:rPr>
        <w:t>INN:</w:t>
      </w:r>
      <w:r w:rsidR="00BA26A2" w:rsidRPr="00F24057">
        <w:rPr>
          <w:szCs w:val="22"/>
          <w:lang w:val="sr-Latn-ME"/>
        </w:rPr>
        <w:t xml:space="preserve"> adalimumab</w:t>
      </w:r>
    </w:p>
    <w:p w14:paraId="5F0C5274" w14:textId="77777777" w:rsidR="001B4E8E" w:rsidRPr="00F24057" w:rsidRDefault="001B4E8E" w:rsidP="00D70B34">
      <w:pPr>
        <w:pStyle w:val="NASLOV123"/>
        <w:spacing w:before="0" w:after="0"/>
        <w:rPr>
          <w:lang w:val="sr-Latn-ME"/>
        </w:rPr>
      </w:pPr>
    </w:p>
    <w:p w14:paraId="5B8D642E" w14:textId="77777777" w:rsidR="001B4E8E" w:rsidRPr="00F24057" w:rsidRDefault="001B4E8E" w:rsidP="00D70B34">
      <w:pPr>
        <w:pStyle w:val="NASLOV123"/>
        <w:spacing w:before="0" w:after="0"/>
        <w:rPr>
          <w:lang w:val="sr-Latn-ME"/>
        </w:rPr>
      </w:pPr>
    </w:p>
    <w:p w14:paraId="06E5727A" w14:textId="76C41603" w:rsidR="00910194" w:rsidRPr="00F24057" w:rsidRDefault="00CE09F3" w:rsidP="00D70B34">
      <w:pPr>
        <w:pStyle w:val="NASLOV123"/>
        <w:spacing w:before="0" w:after="0"/>
        <w:rPr>
          <w:lang w:val="sr-Latn-ME"/>
        </w:rPr>
      </w:pPr>
      <w:r w:rsidRPr="00F24057">
        <w:rPr>
          <w:lang w:val="sr-Latn-ME"/>
        </w:rPr>
        <w:t>2. KVALITATIVNI I KVANTITATIVNI SASTAV</w:t>
      </w:r>
    </w:p>
    <w:p w14:paraId="40597CE5" w14:textId="77777777" w:rsidR="001B4E8E" w:rsidRPr="00F24057" w:rsidRDefault="001B4E8E" w:rsidP="00D70B34">
      <w:pPr>
        <w:rPr>
          <w:szCs w:val="22"/>
          <w:u w:val="single"/>
          <w:lang w:val="sr-Latn-ME"/>
        </w:rPr>
      </w:pPr>
    </w:p>
    <w:p w14:paraId="45EFAA73" w14:textId="183571EE" w:rsidR="00240A4D" w:rsidRPr="00F24057" w:rsidRDefault="00240A4D" w:rsidP="00D70B34">
      <w:pPr>
        <w:rPr>
          <w:szCs w:val="22"/>
          <w:lang w:val="sr-Latn-ME"/>
        </w:rPr>
      </w:pPr>
      <w:r w:rsidRPr="00F24057">
        <w:rPr>
          <w:szCs w:val="22"/>
          <w:lang w:val="sr-Latn-ME"/>
        </w:rPr>
        <w:t>Jedan napunjen</w:t>
      </w:r>
      <w:r w:rsidR="00867870" w:rsidRPr="00F24057">
        <w:rPr>
          <w:szCs w:val="22"/>
          <w:lang w:val="sr-Latn-ME"/>
        </w:rPr>
        <w:t>i</w:t>
      </w:r>
      <w:r w:rsidRPr="00F24057">
        <w:rPr>
          <w:szCs w:val="22"/>
          <w:lang w:val="sr-Latn-ME"/>
        </w:rPr>
        <w:t xml:space="preserve"> injekcioni </w:t>
      </w:r>
      <w:r w:rsidR="00BF0651" w:rsidRPr="00F24057">
        <w:rPr>
          <w:szCs w:val="22"/>
          <w:lang w:val="sr-Latn-ME"/>
        </w:rPr>
        <w:t>pen</w:t>
      </w:r>
      <w:r w:rsidRPr="00F24057">
        <w:rPr>
          <w:szCs w:val="22"/>
          <w:lang w:val="sr-Latn-ME"/>
        </w:rPr>
        <w:t xml:space="preserve"> od </w:t>
      </w:r>
      <w:r w:rsidR="00DF1A61" w:rsidRPr="00F24057">
        <w:rPr>
          <w:szCs w:val="22"/>
          <w:lang w:val="sr-Latn-ME"/>
        </w:rPr>
        <w:t>0,4</w:t>
      </w:r>
      <w:r w:rsidRPr="00F24057">
        <w:rPr>
          <w:szCs w:val="22"/>
          <w:lang w:val="sr-Latn-ME"/>
        </w:rPr>
        <w:t xml:space="preserve"> </w:t>
      </w:r>
      <w:r w:rsidR="006E2502" w:rsidRPr="00F24057">
        <w:rPr>
          <w:szCs w:val="22"/>
          <w:lang w:val="sr-Latn-ME"/>
        </w:rPr>
        <w:t>m</w:t>
      </w:r>
      <w:r w:rsidR="00867870" w:rsidRPr="00F24057">
        <w:rPr>
          <w:szCs w:val="22"/>
          <w:lang w:val="sr-Latn-ME"/>
        </w:rPr>
        <w:t>l</w:t>
      </w:r>
      <w:r w:rsidR="006E2502" w:rsidRPr="00F24057">
        <w:rPr>
          <w:szCs w:val="22"/>
          <w:lang w:val="sr-Latn-ME"/>
        </w:rPr>
        <w:t xml:space="preserve"> </w:t>
      </w:r>
      <w:r w:rsidRPr="00F24057">
        <w:rPr>
          <w:szCs w:val="22"/>
          <w:lang w:val="sr-Latn-ME"/>
        </w:rPr>
        <w:t xml:space="preserve">sadrži 40 mg adalimumaba. </w:t>
      </w:r>
    </w:p>
    <w:p w14:paraId="65E5517F" w14:textId="77777777" w:rsidR="00240A4D" w:rsidRPr="00F24057" w:rsidRDefault="00240A4D" w:rsidP="00D70B34">
      <w:pPr>
        <w:rPr>
          <w:szCs w:val="22"/>
          <w:lang w:val="sr-Latn-ME"/>
        </w:rPr>
      </w:pPr>
    </w:p>
    <w:p w14:paraId="7E737DE2" w14:textId="63AEB49D" w:rsidR="00BC42D1" w:rsidRPr="00F24057" w:rsidRDefault="00FF6F87" w:rsidP="00D70B34">
      <w:pPr>
        <w:rPr>
          <w:szCs w:val="22"/>
          <w:lang w:val="sr-Latn-ME"/>
        </w:rPr>
      </w:pPr>
      <w:r w:rsidRPr="00F24057">
        <w:rPr>
          <w:szCs w:val="22"/>
          <w:lang w:val="sr-Latn-ME"/>
        </w:rPr>
        <w:t xml:space="preserve">Adalimumab je rekombinantno humano monoklonsko </w:t>
      </w:r>
      <w:r w:rsidR="007E5568" w:rsidRPr="00F24057">
        <w:rPr>
          <w:szCs w:val="22"/>
          <w:lang w:val="sr-Latn-ME"/>
        </w:rPr>
        <w:t>antitijelo</w:t>
      </w:r>
      <w:r w:rsidRPr="00F24057">
        <w:rPr>
          <w:szCs w:val="22"/>
          <w:lang w:val="sr-Latn-ME"/>
        </w:rPr>
        <w:t xml:space="preserve">, dobijeno iz ćelija jajnika kineskog hrčka. </w:t>
      </w:r>
    </w:p>
    <w:p w14:paraId="06AF438C" w14:textId="77777777" w:rsidR="00552C27" w:rsidRPr="00F24057" w:rsidRDefault="00552C27" w:rsidP="00D70B34">
      <w:pPr>
        <w:rPr>
          <w:szCs w:val="22"/>
          <w:lang w:val="sr-Latn-ME"/>
        </w:rPr>
      </w:pPr>
    </w:p>
    <w:p w14:paraId="67AFE043" w14:textId="72B238B0" w:rsidR="00910194" w:rsidRPr="00F24057" w:rsidRDefault="00232F68" w:rsidP="00D70B34">
      <w:pPr>
        <w:rPr>
          <w:szCs w:val="22"/>
          <w:lang w:val="sr-Latn-ME"/>
        </w:rPr>
      </w:pPr>
      <w:r w:rsidRPr="00F24057">
        <w:rPr>
          <w:szCs w:val="22"/>
          <w:lang w:val="sr-Latn-ME"/>
        </w:rPr>
        <w:t>Za spisak svih ekscipijenasa, pogledati dio 6.1</w:t>
      </w:r>
      <w:r w:rsidR="00FF6F87" w:rsidRPr="00F24057">
        <w:rPr>
          <w:szCs w:val="22"/>
          <w:lang w:val="sr-Latn-ME"/>
        </w:rPr>
        <w:t>.</w:t>
      </w:r>
    </w:p>
    <w:p w14:paraId="164FC05B" w14:textId="77777777" w:rsidR="001B4E8E" w:rsidRPr="00F24057" w:rsidRDefault="001B4E8E" w:rsidP="00D70B34">
      <w:pPr>
        <w:pStyle w:val="NASLOV123"/>
        <w:spacing w:before="0" w:after="0"/>
        <w:rPr>
          <w:lang w:val="sr-Latn-ME"/>
        </w:rPr>
      </w:pPr>
    </w:p>
    <w:p w14:paraId="0577AD8B" w14:textId="77777777" w:rsidR="001B4E8E" w:rsidRPr="00F24057" w:rsidRDefault="001B4E8E" w:rsidP="00D70B34">
      <w:pPr>
        <w:pStyle w:val="NASLOV123"/>
        <w:spacing w:before="0" w:after="0"/>
        <w:rPr>
          <w:lang w:val="sr-Latn-ME"/>
        </w:rPr>
      </w:pPr>
    </w:p>
    <w:p w14:paraId="6C806EF6" w14:textId="0C932ED1" w:rsidR="00910194" w:rsidRPr="00F24057" w:rsidRDefault="00CE09F3" w:rsidP="00D70B34">
      <w:pPr>
        <w:pStyle w:val="NASLOV123"/>
        <w:spacing w:before="0" w:after="0"/>
        <w:rPr>
          <w:lang w:val="sr-Latn-ME"/>
        </w:rPr>
      </w:pPr>
      <w:r w:rsidRPr="00F24057">
        <w:rPr>
          <w:lang w:val="sr-Latn-ME"/>
        </w:rPr>
        <w:t>3. FARMACEUTSKI OBLIK</w:t>
      </w:r>
    </w:p>
    <w:p w14:paraId="2A2835F9" w14:textId="77777777" w:rsidR="001B4E8E" w:rsidRPr="00F24057" w:rsidRDefault="001B4E8E" w:rsidP="00D70B34">
      <w:pPr>
        <w:pStyle w:val="NASLOV123"/>
        <w:spacing w:before="0" w:after="0"/>
        <w:rPr>
          <w:b w:val="0"/>
          <w:bCs/>
          <w:lang w:val="sr-Latn-ME"/>
        </w:rPr>
      </w:pPr>
    </w:p>
    <w:p w14:paraId="6FF525CC" w14:textId="5E717FF9" w:rsidR="00C358AF" w:rsidRPr="00F24057" w:rsidRDefault="00C358AF" w:rsidP="00D70B34">
      <w:pPr>
        <w:pStyle w:val="NASLOV123"/>
        <w:spacing w:before="0" w:after="0"/>
        <w:rPr>
          <w:b w:val="0"/>
          <w:bCs/>
          <w:lang w:val="sr-Latn-ME"/>
        </w:rPr>
      </w:pPr>
      <w:r w:rsidRPr="00F24057">
        <w:rPr>
          <w:b w:val="0"/>
          <w:bCs/>
          <w:lang w:val="sr-Latn-ME"/>
        </w:rPr>
        <w:t xml:space="preserve">Rastvor za injekciju </w:t>
      </w:r>
      <w:r w:rsidR="00DB080C" w:rsidRPr="00F24057">
        <w:rPr>
          <w:b w:val="0"/>
          <w:bCs/>
          <w:lang w:val="sr-Latn-ME"/>
        </w:rPr>
        <w:t>u napunjenom injekcionom penu.</w:t>
      </w:r>
    </w:p>
    <w:p w14:paraId="7F01C503" w14:textId="43474E92" w:rsidR="00910194" w:rsidRPr="00F24057" w:rsidRDefault="00C126CA" w:rsidP="00D70B34">
      <w:pPr>
        <w:pStyle w:val="NASLOV123"/>
        <w:spacing w:before="0" w:after="0"/>
        <w:rPr>
          <w:b w:val="0"/>
          <w:bCs/>
          <w:lang w:val="sr-Latn-ME"/>
        </w:rPr>
      </w:pPr>
      <w:r w:rsidRPr="00F24057">
        <w:rPr>
          <w:b w:val="0"/>
          <w:bCs/>
          <w:lang w:val="sr-Latn-ME"/>
        </w:rPr>
        <w:t>Bistar, bezbojan rastvor</w:t>
      </w:r>
      <w:r w:rsidR="00DB080C" w:rsidRPr="00F24057">
        <w:rPr>
          <w:b w:val="0"/>
          <w:bCs/>
          <w:lang w:val="sr-Latn-ME"/>
        </w:rPr>
        <w:t>.</w:t>
      </w:r>
    </w:p>
    <w:p w14:paraId="419F1B86" w14:textId="77777777" w:rsidR="001B4E8E" w:rsidRPr="00F24057" w:rsidRDefault="001B4E8E" w:rsidP="00D70B34">
      <w:pPr>
        <w:pStyle w:val="NASLOV123"/>
        <w:spacing w:before="0" w:after="0"/>
        <w:rPr>
          <w:lang w:val="sr-Latn-ME"/>
        </w:rPr>
      </w:pPr>
    </w:p>
    <w:p w14:paraId="7B4C28BA" w14:textId="77777777" w:rsidR="001B4E8E" w:rsidRPr="00F24057" w:rsidRDefault="001B4E8E" w:rsidP="00D70B34">
      <w:pPr>
        <w:pStyle w:val="NASLOV123"/>
        <w:spacing w:before="0" w:after="0"/>
        <w:rPr>
          <w:lang w:val="sr-Latn-ME"/>
        </w:rPr>
      </w:pPr>
    </w:p>
    <w:p w14:paraId="072D43BB" w14:textId="0FEFBDAC" w:rsidR="00CE09F3" w:rsidRPr="00F24057" w:rsidRDefault="00CE09F3" w:rsidP="00D70B34">
      <w:pPr>
        <w:pStyle w:val="NASLOV123"/>
        <w:spacing w:before="0" w:after="0"/>
        <w:rPr>
          <w:lang w:val="sr-Latn-ME"/>
        </w:rPr>
      </w:pPr>
      <w:r w:rsidRPr="00F24057">
        <w:rPr>
          <w:lang w:val="sr-Latn-ME"/>
        </w:rPr>
        <w:t>4. KLINIČKI PODACI</w:t>
      </w:r>
    </w:p>
    <w:p w14:paraId="41F504D6" w14:textId="77777777" w:rsidR="001B4E8E" w:rsidRPr="00F24057" w:rsidRDefault="001B4E8E" w:rsidP="00D70B34">
      <w:pPr>
        <w:rPr>
          <w:b/>
          <w:bCs/>
          <w:szCs w:val="22"/>
          <w:lang w:val="sr-Latn-ME"/>
        </w:rPr>
      </w:pPr>
    </w:p>
    <w:p w14:paraId="072D43BC" w14:textId="10B319E4" w:rsidR="00CE09F3" w:rsidRPr="00F24057" w:rsidRDefault="00CE09F3" w:rsidP="00D70B34">
      <w:pPr>
        <w:rPr>
          <w:b/>
          <w:bCs/>
          <w:szCs w:val="22"/>
          <w:lang w:val="sr-Latn-ME"/>
        </w:rPr>
      </w:pPr>
      <w:r w:rsidRPr="00F24057">
        <w:rPr>
          <w:b/>
          <w:bCs/>
          <w:szCs w:val="22"/>
          <w:lang w:val="sr-Latn-ME"/>
        </w:rPr>
        <w:t>4.1. Terapijske indikacije</w:t>
      </w:r>
    </w:p>
    <w:p w14:paraId="072D43BD" w14:textId="284C02A7" w:rsidR="00CE09F3" w:rsidRPr="00F24057" w:rsidRDefault="00CE09F3" w:rsidP="00D70B34">
      <w:pPr>
        <w:rPr>
          <w:szCs w:val="22"/>
          <w:lang w:val="sr-Latn-ME"/>
        </w:rPr>
      </w:pPr>
    </w:p>
    <w:p w14:paraId="7A10625E" w14:textId="77777777" w:rsidR="005D3973" w:rsidRPr="00F24057" w:rsidRDefault="005D3973" w:rsidP="00D70B34">
      <w:pPr>
        <w:rPr>
          <w:szCs w:val="22"/>
          <w:u w:val="single"/>
          <w:lang w:val="sr-Latn-ME"/>
        </w:rPr>
      </w:pPr>
      <w:r w:rsidRPr="00F24057">
        <w:rPr>
          <w:szCs w:val="22"/>
          <w:u w:val="single"/>
          <w:lang w:val="sr-Latn-ME"/>
        </w:rPr>
        <w:t xml:space="preserve">Reumatoidni artritis </w:t>
      </w:r>
    </w:p>
    <w:p w14:paraId="05750991" w14:textId="77777777" w:rsidR="005D3973" w:rsidRPr="00F24057" w:rsidRDefault="005D3973" w:rsidP="00D70B34">
      <w:pPr>
        <w:rPr>
          <w:szCs w:val="22"/>
          <w:lang w:val="sr-Latn-ME"/>
        </w:rPr>
      </w:pPr>
    </w:p>
    <w:p w14:paraId="5CF17665" w14:textId="3526BC7C" w:rsidR="005B6391" w:rsidRPr="00F24057" w:rsidRDefault="005D3973" w:rsidP="00D70B34">
      <w:pPr>
        <w:rPr>
          <w:szCs w:val="22"/>
          <w:lang w:val="sr-Latn-ME"/>
        </w:rPr>
      </w:pPr>
      <w:r w:rsidRPr="00F24057">
        <w:rPr>
          <w:szCs w:val="22"/>
          <w:lang w:val="sr-Latn-ME"/>
        </w:rPr>
        <w:t>L</w:t>
      </w:r>
      <w:r w:rsidR="00313CAB" w:rsidRPr="00F24057">
        <w:rPr>
          <w:szCs w:val="22"/>
          <w:lang w:val="sr-Latn-ME"/>
        </w:rPr>
        <w:t>ij</w:t>
      </w:r>
      <w:r w:rsidRPr="00F24057">
        <w:rPr>
          <w:szCs w:val="22"/>
          <w:lang w:val="sr-Latn-ME"/>
        </w:rPr>
        <w:t xml:space="preserve">ek </w:t>
      </w:r>
      <w:r w:rsidR="00054C42" w:rsidRPr="00F24057">
        <w:rPr>
          <w:szCs w:val="22"/>
          <w:lang w:val="sr-Latn-ME"/>
        </w:rPr>
        <w:t>Hukyndra</w:t>
      </w:r>
      <w:r w:rsidRPr="00F24057">
        <w:rPr>
          <w:szCs w:val="22"/>
          <w:lang w:val="sr-Latn-ME"/>
        </w:rPr>
        <w:t xml:space="preserve"> je, u kombinaciji sa metotreksatom, indikovan za: </w:t>
      </w:r>
    </w:p>
    <w:p w14:paraId="0938E9B0" w14:textId="7B6A15CB" w:rsidR="005B6391" w:rsidRPr="00F24057" w:rsidRDefault="005D3973" w:rsidP="00D70B34">
      <w:pPr>
        <w:pStyle w:val="ListParagraph"/>
        <w:numPr>
          <w:ilvl w:val="0"/>
          <w:numId w:val="7"/>
        </w:numPr>
        <w:tabs>
          <w:tab w:val="clear" w:pos="284"/>
        </w:tabs>
        <w:rPr>
          <w:szCs w:val="22"/>
          <w:lang w:val="sr-Latn-ME"/>
        </w:rPr>
      </w:pPr>
      <w:r w:rsidRPr="00F24057">
        <w:rPr>
          <w:szCs w:val="22"/>
          <w:lang w:val="sr-Latn-ME"/>
        </w:rPr>
        <w:t>l</w:t>
      </w:r>
      <w:r w:rsidR="00553758" w:rsidRPr="00F24057">
        <w:rPr>
          <w:szCs w:val="22"/>
          <w:lang w:val="sr-Latn-ME"/>
        </w:rPr>
        <w:t>ij</w:t>
      </w:r>
      <w:r w:rsidRPr="00F24057">
        <w:rPr>
          <w:szCs w:val="22"/>
          <w:lang w:val="sr-Latn-ME"/>
        </w:rPr>
        <w:t>ečenje u</w:t>
      </w:r>
      <w:r w:rsidR="0030064A" w:rsidRPr="00F24057">
        <w:rPr>
          <w:szCs w:val="22"/>
          <w:lang w:val="sr-Latn-ME"/>
        </w:rPr>
        <w:t>mjeren</w:t>
      </w:r>
      <w:r w:rsidRPr="00F24057">
        <w:rPr>
          <w:szCs w:val="22"/>
          <w:lang w:val="sr-Latn-ME"/>
        </w:rPr>
        <w:t>og do teškog oblika aktivnog reumatoidnog artritisa kod odraslih osoba, kada odgovor na modifikujuće antireumatske l</w:t>
      </w:r>
      <w:r w:rsidR="00313CAB" w:rsidRPr="00F24057">
        <w:rPr>
          <w:szCs w:val="22"/>
          <w:lang w:val="sr-Latn-ME"/>
        </w:rPr>
        <w:t>j</w:t>
      </w:r>
      <w:r w:rsidRPr="00F24057">
        <w:rPr>
          <w:szCs w:val="22"/>
          <w:lang w:val="sr-Latn-ME"/>
        </w:rPr>
        <w:t>ekove, uključujući metotreksat, nije bio zadovoljavajući</w:t>
      </w:r>
      <w:r w:rsidR="00A1709C" w:rsidRPr="00F24057">
        <w:rPr>
          <w:szCs w:val="22"/>
          <w:lang w:val="sr-Latn-ME"/>
        </w:rPr>
        <w:t>,</w:t>
      </w:r>
      <w:r w:rsidRPr="00F24057">
        <w:rPr>
          <w:szCs w:val="22"/>
          <w:lang w:val="sr-Latn-ME"/>
        </w:rPr>
        <w:t xml:space="preserve"> </w:t>
      </w:r>
    </w:p>
    <w:p w14:paraId="6621E5A6" w14:textId="443434C5" w:rsidR="005B6391" w:rsidRPr="00F24057" w:rsidRDefault="005D3973" w:rsidP="00D70B34">
      <w:pPr>
        <w:pStyle w:val="ListParagraph"/>
        <w:numPr>
          <w:ilvl w:val="0"/>
          <w:numId w:val="7"/>
        </w:numPr>
        <w:tabs>
          <w:tab w:val="clear" w:pos="284"/>
        </w:tabs>
        <w:rPr>
          <w:szCs w:val="22"/>
          <w:lang w:val="sr-Latn-ME"/>
        </w:rPr>
      </w:pPr>
      <w:r w:rsidRPr="00F24057">
        <w:rPr>
          <w:szCs w:val="22"/>
          <w:lang w:val="sr-Latn-ME"/>
        </w:rPr>
        <w:t>l</w:t>
      </w:r>
      <w:r w:rsidR="00553758" w:rsidRPr="00F24057">
        <w:rPr>
          <w:szCs w:val="22"/>
          <w:lang w:val="sr-Latn-ME"/>
        </w:rPr>
        <w:t>ij</w:t>
      </w:r>
      <w:r w:rsidRPr="00F24057">
        <w:rPr>
          <w:szCs w:val="22"/>
          <w:lang w:val="sr-Latn-ME"/>
        </w:rPr>
        <w:t>ečenje teškog, aktivnog i progresivnog reumatoidnog artritisa odraslih, koji nisu prethodno l</w:t>
      </w:r>
      <w:r w:rsidR="00313CAB" w:rsidRPr="00F24057">
        <w:rPr>
          <w:szCs w:val="22"/>
          <w:lang w:val="sr-Latn-ME"/>
        </w:rPr>
        <w:t>ij</w:t>
      </w:r>
      <w:r w:rsidRPr="00F24057">
        <w:rPr>
          <w:szCs w:val="22"/>
          <w:lang w:val="sr-Latn-ME"/>
        </w:rPr>
        <w:t xml:space="preserve">ečeni metotreksatom. </w:t>
      </w:r>
    </w:p>
    <w:p w14:paraId="2826E188" w14:textId="77777777" w:rsidR="005B6391" w:rsidRPr="00F24057" w:rsidRDefault="005B6391" w:rsidP="00D70B34">
      <w:pPr>
        <w:rPr>
          <w:szCs w:val="22"/>
          <w:lang w:val="sr-Latn-ME"/>
        </w:rPr>
      </w:pPr>
    </w:p>
    <w:p w14:paraId="7AAEA72C" w14:textId="687B65E9" w:rsidR="005B6391" w:rsidRPr="00F24057" w:rsidRDefault="005D3973" w:rsidP="00D70B34">
      <w:pPr>
        <w:rPr>
          <w:szCs w:val="22"/>
          <w:lang w:val="sr-Latn-ME"/>
        </w:rPr>
      </w:pPr>
      <w:r w:rsidRPr="00F24057">
        <w:rPr>
          <w:szCs w:val="22"/>
          <w:lang w:val="sr-Latn-ME"/>
        </w:rPr>
        <w:t>L</w:t>
      </w:r>
      <w:r w:rsidR="00313CAB" w:rsidRPr="00F24057">
        <w:rPr>
          <w:szCs w:val="22"/>
          <w:lang w:val="sr-Latn-ME"/>
        </w:rPr>
        <w:t>ij</w:t>
      </w:r>
      <w:r w:rsidRPr="00F24057">
        <w:rPr>
          <w:szCs w:val="22"/>
          <w:lang w:val="sr-Latn-ME"/>
        </w:rPr>
        <w:t xml:space="preserve">ek </w:t>
      </w:r>
      <w:r w:rsidR="00054C42" w:rsidRPr="00F24057">
        <w:rPr>
          <w:szCs w:val="22"/>
          <w:lang w:val="sr-Latn-ME"/>
        </w:rPr>
        <w:t>Hukyndra</w:t>
      </w:r>
      <w:r w:rsidRPr="00F24057">
        <w:rPr>
          <w:szCs w:val="22"/>
          <w:lang w:val="sr-Latn-ME"/>
        </w:rPr>
        <w:t xml:space="preserve"> se može </w:t>
      </w:r>
      <w:r w:rsidR="009811CA" w:rsidRPr="00F24057">
        <w:rPr>
          <w:szCs w:val="22"/>
          <w:lang w:val="sr-Latn-ME"/>
        </w:rPr>
        <w:t>primijeniti</w:t>
      </w:r>
      <w:r w:rsidRPr="00F24057">
        <w:rPr>
          <w:szCs w:val="22"/>
          <w:lang w:val="sr-Latn-ME"/>
        </w:rPr>
        <w:t xml:space="preserve"> i kao monoterapija u slučajevima kada pacijenti ne podnose metotreksat ili </w:t>
      </w:r>
      <w:r w:rsidR="0012704F" w:rsidRPr="00F24057">
        <w:rPr>
          <w:szCs w:val="22"/>
          <w:lang w:val="sr-Latn-ME"/>
        </w:rPr>
        <w:t>kada kontinuirana prim</w:t>
      </w:r>
      <w:r w:rsidR="0030064A" w:rsidRPr="00F24057">
        <w:rPr>
          <w:szCs w:val="22"/>
          <w:lang w:val="sr-Latn-ME"/>
        </w:rPr>
        <w:t>j</w:t>
      </w:r>
      <w:r w:rsidR="0012704F" w:rsidRPr="00F24057">
        <w:rPr>
          <w:szCs w:val="22"/>
          <w:lang w:val="sr-Latn-ME"/>
        </w:rPr>
        <w:t>ena metotreksata nije odgovarajuća</w:t>
      </w:r>
      <w:r w:rsidRPr="00F24057">
        <w:rPr>
          <w:szCs w:val="22"/>
          <w:lang w:val="sr-Latn-ME"/>
        </w:rPr>
        <w:t xml:space="preserve">. </w:t>
      </w:r>
    </w:p>
    <w:p w14:paraId="377916D3" w14:textId="77777777" w:rsidR="005B6391" w:rsidRPr="00F24057" w:rsidRDefault="005B6391" w:rsidP="00D70B34">
      <w:pPr>
        <w:rPr>
          <w:szCs w:val="22"/>
          <w:lang w:val="sr-Latn-ME"/>
        </w:rPr>
      </w:pPr>
    </w:p>
    <w:p w14:paraId="6DD29AB3" w14:textId="420274C8" w:rsidR="005B6391" w:rsidRPr="00F24057" w:rsidRDefault="000C4ED4" w:rsidP="00D70B34">
      <w:pPr>
        <w:rPr>
          <w:szCs w:val="22"/>
          <w:lang w:val="sr-Latn-ME"/>
        </w:rPr>
      </w:pPr>
      <w:r w:rsidRPr="00F24057">
        <w:rPr>
          <w:szCs w:val="22"/>
          <w:lang w:val="sr-Latn-ME"/>
        </w:rPr>
        <w:t>Radiološki je potvrđeno</w:t>
      </w:r>
      <w:r w:rsidR="005D3973" w:rsidRPr="00F24057">
        <w:rPr>
          <w:szCs w:val="22"/>
          <w:lang w:val="sr-Latn-ME"/>
        </w:rPr>
        <w:t xml:space="preserve"> da l</w:t>
      </w:r>
      <w:r w:rsidR="0030064A" w:rsidRPr="00F24057">
        <w:rPr>
          <w:szCs w:val="22"/>
          <w:lang w:val="sr-Latn-ME"/>
        </w:rPr>
        <w:t>ij</w:t>
      </w:r>
      <w:r w:rsidR="005D3973" w:rsidRPr="00F24057">
        <w:rPr>
          <w:szCs w:val="22"/>
          <w:lang w:val="sr-Latn-ME"/>
        </w:rPr>
        <w:t xml:space="preserve">ek </w:t>
      </w:r>
      <w:r w:rsidR="00054C42" w:rsidRPr="00F24057">
        <w:rPr>
          <w:szCs w:val="22"/>
          <w:lang w:val="sr-Latn-ME"/>
        </w:rPr>
        <w:t>Hukyndra</w:t>
      </w:r>
      <w:r w:rsidR="005D3973" w:rsidRPr="00F24057">
        <w:rPr>
          <w:szCs w:val="22"/>
          <w:lang w:val="sr-Latn-ME"/>
        </w:rPr>
        <w:t xml:space="preserve"> u kombinaciji sa metotreksatom smanjuje brzinu progresije oštećenja zglobova i da poboljšava fizičku funkciju. </w:t>
      </w:r>
    </w:p>
    <w:p w14:paraId="79A50B86" w14:textId="77777777" w:rsidR="005B6391" w:rsidRPr="00F24057" w:rsidRDefault="005B6391" w:rsidP="00D70B34">
      <w:pPr>
        <w:rPr>
          <w:szCs w:val="22"/>
          <w:lang w:val="sr-Latn-ME"/>
        </w:rPr>
      </w:pPr>
    </w:p>
    <w:p w14:paraId="717AA46D" w14:textId="77777777" w:rsidR="005B6391" w:rsidRPr="00F24057" w:rsidRDefault="005D3973" w:rsidP="00D70B34">
      <w:pPr>
        <w:rPr>
          <w:szCs w:val="22"/>
          <w:u w:val="single"/>
          <w:lang w:val="sr-Latn-ME"/>
        </w:rPr>
      </w:pPr>
      <w:r w:rsidRPr="00F24057">
        <w:rPr>
          <w:szCs w:val="22"/>
          <w:u w:val="single"/>
          <w:lang w:val="sr-Latn-ME"/>
        </w:rPr>
        <w:t xml:space="preserve">Juvenilni idiopatski artritis </w:t>
      </w:r>
    </w:p>
    <w:p w14:paraId="4FC1CFF1" w14:textId="77777777" w:rsidR="005B6391" w:rsidRPr="00F24057" w:rsidRDefault="005B6391" w:rsidP="00D70B34">
      <w:pPr>
        <w:rPr>
          <w:szCs w:val="22"/>
          <w:lang w:val="sr-Latn-ME"/>
        </w:rPr>
      </w:pPr>
    </w:p>
    <w:p w14:paraId="017E69FD" w14:textId="77777777" w:rsidR="005B6391" w:rsidRPr="00F24057" w:rsidRDefault="005D3973" w:rsidP="00D70B34">
      <w:pPr>
        <w:rPr>
          <w:i/>
          <w:iCs/>
          <w:szCs w:val="22"/>
          <w:lang w:val="sr-Latn-ME"/>
        </w:rPr>
      </w:pPr>
      <w:r w:rsidRPr="00F24057">
        <w:rPr>
          <w:i/>
          <w:iCs/>
          <w:szCs w:val="22"/>
          <w:lang w:val="sr-Latn-ME"/>
        </w:rPr>
        <w:t xml:space="preserve">Poliartikularni juvenilni idiopatski artritis </w:t>
      </w:r>
    </w:p>
    <w:p w14:paraId="6E11B307" w14:textId="53962367" w:rsidR="005B6391" w:rsidRPr="00F24057" w:rsidRDefault="005D3973" w:rsidP="00D70B34">
      <w:pPr>
        <w:rPr>
          <w:szCs w:val="22"/>
          <w:lang w:val="sr-Latn-ME"/>
        </w:rPr>
      </w:pPr>
      <w:r w:rsidRPr="00F24057">
        <w:rPr>
          <w:szCs w:val="22"/>
          <w:lang w:val="sr-Latn-ME"/>
        </w:rPr>
        <w:t>L</w:t>
      </w:r>
      <w:r w:rsidR="0030064A" w:rsidRPr="00F24057">
        <w:rPr>
          <w:szCs w:val="22"/>
          <w:lang w:val="sr-Latn-ME"/>
        </w:rPr>
        <w:t>ij</w:t>
      </w:r>
      <w:r w:rsidRPr="00F24057">
        <w:rPr>
          <w:szCs w:val="22"/>
          <w:lang w:val="sr-Latn-ME"/>
        </w:rPr>
        <w:t xml:space="preserve">ek </w:t>
      </w:r>
      <w:r w:rsidR="00054C42" w:rsidRPr="00F24057">
        <w:rPr>
          <w:szCs w:val="22"/>
          <w:lang w:val="sr-Latn-ME"/>
        </w:rPr>
        <w:t>Hukyndra</w:t>
      </w:r>
      <w:r w:rsidRPr="00F24057">
        <w:rPr>
          <w:szCs w:val="22"/>
          <w:lang w:val="sr-Latn-ME"/>
        </w:rPr>
        <w:t xml:space="preserve"> je, u kombinaciji sa metotreksatom, indikovan za terapiju aktivnog poliartikularnog juvenilnog idiopatskog artritisa, kod </w:t>
      </w:r>
      <w:r w:rsidR="006E1070" w:rsidRPr="00F24057">
        <w:rPr>
          <w:szCs w:val="22"/>
          <w:lang w:val="sr-Latn-ME"/>
        </w:rPr>
        <w:t>pacijenata</w:t>
      </w:r>
      <w:r w:rsidRPr="00F24057">
        <w:rPr>
          <w:szCs w:val="22"/>
          <w:lang w:val="sr-Latn-ME"/>
        </w:rPr>
        <w:t xml:space="preserve"> uzrasta od 2 ili više godina, kod kojih odgovor na jedan </w:t>
      </w:r>
      <w:r w:rsidRPr="00F24057">
        <w:rPr>
          <w:szCs w:val="22"/>
          <w:lang w:val="sr-Latn-ME"/>
        </w:rPr>
        <w:lastRenderedPageBreak/>
        <w:t>ili više antireumatskih l</w:t>
      </w:r>
      <w:r w:rsidR="0030064A" w:rsidRPr="00F24057">
        <w:rPr>
          <w:szCs w:val="22"/>
          <w:lang w:val="sr-Latn-ME"/>
        </w:rPr>
        <w:t>j</w:t>
      </w:r>
      <w:r w:rsidRPr="00F24057">
        <w:rPr>
          <w:szCs w:val="22"/>
          <w:lang w:val="sr-Latn-ME"/>
        </w:rPr>
        <w:t>ekova koji modifikuju tok bolesti (</w:t>
      </w:r>
      <w:r w:rsidR="002E0EE4" w:rsidRPr="00F24057">
        <w:rPr>
          <w:szCs w:val="22"/>
          <w:lang w:val="sr-Latn-ME"/>
        </w:rPr>
        <w:t>DMARD</w:t>
      </w:r>
      <w:r w:rsidRPr="00F24057">
        <w:rPr>
          <w:szCs w:val="22"/>
          <w:lang w:val="sr-Latn-ME"/>
        </w:rPr>
        <w:t>) nije bio zadovoljavajući. L</w:t>
      </w:r>
      <w:r w:rsidR="0030064A" w:rsidRPr="00F24057">
        <w:rPr>
          <w:szCs w:val="22"/>
          <w:lang w:val="sr-Latn-ME"/>
        </w:rPr>
        <w:t>ij</w:t>
      </w:r>
      <w:r w:rsidRPr="00F24057">
        <w:rPr>
          <w:szCs w:val="22"/>
          <w:lang w:val="sr-Latn-ME"/>
        </w:rPr>
        <w:t xml:space="preserve">ek </w:t>
      </w:r>
      <w:r w:rsidR="00054C42" w:rsidRPr="00F24057">
        <w:rPr>
          <w:szCs w:val="22"/>
          <w:lang w:val="sr-Latn-ME"/>
        </w:rPr>
        <w:t>Hukyndra</w:t>
      </w:r>
      <w:r w:rsidRPr="00F24057">
        <w:rPr>
          <w:szCs w:val="22"/>
          <w:lang w:val="sr-Latn-ME"/>
        </w:rPr>
        <w:t xml:space="preserve"> se može </w:t>
      </w:r>
      <w:r w:rsidR="009811CA" w:rsidRPr="00F24057">
        <w:rPr>
          <w:szCs w:val="22"/>
          <w:lang w:val="sr-Latn-ME"/>
        </w:rPr>
        <w:t>primijeniti</w:t>
      </w:r>
      <w:r w:rsidRPr="00F24057">
        <w:rPr>
          <w:szCs w:val="22"/>
          <w:lang w:val="sr-Latn-ME"/>
        </w:rPr>
        <w:t xml:space="preserve"> kao monoterapija u slučajevima kada pacijenti ne podnose metotreksat ili </w:t>
      </w:r>
      <w:r w:rsidR="00622B91" w:rsidRPr="00F24057">
        <w:rPr>
          <w:szCs w:val="22"/>
          <w:lang w:val="sr-Latn-ME"/>
        </w:rPr>
        <w:t xml:space="preserve">kada nastavak terapije metotreksatom nije prikladan (za efikasnost monoterapije </w:t>
      </w:r>
      <w:r w:rsidR="007B39D0" w:rsidRPr="00F24057">
        <w:rPr>
          <w:szCs w:val="22"/>
          <w:lang w:val="sr-Latn-ME"/>
        </w:rPr>
        <w:t xml:space="preserve">pogledati dio </w:t>
      </w:r>
      <w:r w:rsidR="00622B91" w:rsidRPr="00F24057">
        <w:rPr>
          <w:szCs w:val="22"/>
          <w:lang w:val="sr-Latn-ME"/>
        </w:rPr>
        <w:t>5.1)</w:t>
      </w:r>
      <w:r w:rsidRPr="00F24057">
        <w:rPr>
          <w:szCs w:val="22"/>
          <w:lang w:val="sr-Latn-ME"/>
        </w:rPr>
        <w:t xml:space="preserve">. Nije </w:t>
      </w:r>
      <w:r w:rsidR="00E00925" w:rsidRPr="00F24057">
        <w:rPr>
          <w:szCs w:val="22"/>
          <w:lang w:val="sr-Latn-ME"/>
        </w:rPr>
        <w:t>ispitivana</w:t>
      </w:r>
      <w:r w:rsidRPr="00F24057">
        <w:rPr>
          <w:szCs w:val="22"/>
          <w:lang w:val="sr-Latn-ME"/>
        </w:rPr>
        <w:t xml:space="preserve"> </w:t>
      </w:r>
      <w:r w:rsidR="0030064A" w:rsidRPr="00F24057">
        <w:rPr>
          <w:szCs w:val="22"/>
          <w:lang w:val="sr-Latn-ME"/>
        </w:rPr>
        <w:t>primjen</w:t>
      </w:r>
      <w:r w:rsidR="00E00925" w:rsidRPr="00F24057">
        <w:rPr>
          <w:szCs w:val="22"/>
          <w:lang w:val="sr-Latn-ME"/>
        </w:rPr>
        <w:t>a</w:t>
      </w:r>
      <w:r w:rsidRPr="00F24057">
        <w:rPr>
          <w:szCs w:val="22"/>
          <w:lang w:val="sr-Latn-ME"/>
        </w:rPr>
        <w:t xml:space="preserve"> </w:t>
      </w:r>
      <w:r w:rsidR="00054C42" w:rsidRPr="00F24057">
        <w:rPr>
          <w:szCs w:val="22"/>
          <w:lang w:val="sr-Latn-ME"/>
        </w:rPr>
        <w:t>a</w:t>
      </w:r>
      <w:r w:rsidR="00EC7A8B" w:rsidRPr="00F24057">
        <w:rPr>
          <w:szCs w:val="22"/>
          <w:lang w:val="sr-Latn-ME"/>
        </w:rPr>
        <w:t>dalimumaba</w:t>
      </w:r>
      <w:r w:rsidRPr="00F24057">
        <w:rPr>
          <w:szCs w:val="22"/>
          <w:lang w:val="sr-Latn-ME"/>
        </w:rPr>
        <w:t xml:space="preserve"> kod d</w:t>
      </w:r>
      <w:r w:rsidR="0030064A" w:rsidRPr="00F24057">
        <w:rPr>
          <w:szCs w:val="22"/>
          <w:lang w:val="sr-Latn-ME"/>
        </w:rPr>
        <w:t>j</w:t>
      </w:r>
      <w:r w:rsidRPr="00F24057">
        <w:rPr>
          <w:szCs w:val="22"/>
          <w:lang w:val="sr-Latn-ME"/>
        </w:rPr>
        <w:t xml:space="preserve">ece mlađe od 2 godine. </w:t>
      </w:r>
    </w:p>
    <w:p w14:paraId="0A2D50C8" w14:textId="77777777" w:rsidR="005B6391" w:rsidRPr="00F24057" w:rsidRDefault="005B6391" w:rsidP="00D70B34">
      <w:pPr>
        <w:rPr>
          <w:szCs w:val="22"/>
          <w:lang w:val="sr-Latn-ME"/>
        </w:rPr>
      </w:pPr>
    </w:p>
    <w:p w14:paraId="72030768" w14:textId="77777777" w:rsidR="005B6391" w:rsidRPr="00F24057" w:rsidRDefault="005D3973" w:rsidP="00D70B34">
      <w:pPr>
        <w:rPr>
          <w:i/>
          <w:iCs/>
          <w:szCs w:val="22"/>
          <w:lang w:val="sr-Latn-ME"/>
        </w:rPr>
      </w:pPr>
      <w:r w:rsidRPr="00F24057">
        <w:rPr>
          <w:i/>
          <w:iCs/>
          <w:szCs w:val="22"/>
          <w:lang w:val="sr-Latn-ME"/>
        </w:rPr>
        <w:t xml:space="preserve">Artritis povezan sa entezitisom </w:t>
      </w:r>
    </w:p>
    <w:p w14:paraId="070E8A8D" w14:textId="3E27E76C" w:rsidR="005D3973"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5D3973" w:rsidRPr="00F24057">
        <w:rPr>
          <w:szCs w:val="22"/>
          <w:lang w:val="sr-Latn-ME"/>
        </w:rPr>
        <w:t xml:space="preserve"> je indikovan za </w:t>
      </w:r>
      <w:r w:rsidRPr="00F24057">
        <w:rPr>
          <w:szCs w:val="22"/>
          <w:lang w:val="sr-Latn-ME"/>
        </w:rPr>
        <w:t>liječenje</w:t>
      </w:r>
      <w:r w:rsidR="005D3973" w:rsidRPr="00F24057">
        <w:rPr>
          <w:szCs w:val="22"/>
          <w:lang w:val="sr-Latn-ME"/>
        </w:rPr>
        <w:t xml:space="preserve"> aktivnog artritisa povezanog sa entezitisom kod pacijenata uzrasta 6 i više godina, kod kojih nije postignut zadovoljavajući odgovor ili koji ne podnose konvencionalnu terapiju (</w:t>
      </w:r>
      <w:r w:rsidR="007B39D0" w:rsidRPr="00F24057">
        <w:rPr>
          <w:szCs w:val="22"/>
          <w:lang w:val="sr-Latn-ME"/>
        </w:rPr>
        <w:t xml:space="preserve">pogledati dio </w:t>
      </w:r>
      <w:r w:rsidR="005D3973" w:rsidRPr="00F24057">
        <w:rPr>
          <w:szCs w:val="22"/>
          <w:lang w:val="sr-Latn-ME"/>
        </w:rPr>
        <w:t>5.1).</w:t>
      </w:r>
    </w:p>
    <w:p w14:paraId="38C5BC3C" w14:textId="7BF5AFDF" w:rsidR="005D3973" w:rsidRPr="00F24057" w:rsidRDefault="005D3973" w:rsidP="00D70B34">
      <w:pPr>
        <w:rPr>
          <w:szCs w:val="22"/>
          <w:lang w:val="sr-Latn-ME"/>
        </w:rPr>
      </w:pPr>
    </w:p>
    <w:p w14:paraId="46004C12" w14:textId="77777777" w:rsidR="00D01D20" w:rsidRPr="00F24057" w:rsidRDefault="00D01D20" w:rsidP="00D70B34">
      <w:pPr>
        <w:rPr>
          <w:szCs w:val="22"/>
          <w:u w:val="single"/>
          <w:lang w:val="sr-Latn-ME"/>
        </w:rPr>
      </w:pPr>
      <w:r w:rsidRPr="00F24057">
        <w:rPr>
          <w:szCs w:val="22"/>
          <w:u w:val="single"/>
          <w:lang w:val="sr-Latn-ME"/>
        </w:rPr>
        <w:t xml:space="preserve">Aksijalni spondiloartritis </w:t>
      </w:r>
    </w:p>
    <w:p w14:paraId="21599D7B" w14:textId="77777777" w:rsidR="00D01D20" w:rsidRPr="00F24057" w:rsidRDefault="00D01D20" w:rsidP="00D70B34">
      <w:pPr>
        <w:rPr>
          <w:szCs w:val="22"/>
          <w:lang w:val="sr-Latn-ME"/>
        </w:rPr>
      </w:pPr>
    </w:p>
    <w:p w14:paraId="1270F604" w14:textId="77777777" w:rsidR="00D01D20" w:rsidRPr="00F24057" w:rsidRDefault="00D01D20" w:rsidP="00D70B34">
      <w:pPr>
        <w:rPr>
          <w:szCs w:val="22"/>
          <w:lang w:val="sr-Latn-ME"/>
        </w:rPr>
      </w:pPr>
      <w:r w:rsidRPr="00F24057">
        <w:rPr>
          <w:i/>
          <w:iCs/>
          <w:szCs w:val="22"/>
          <w:lang w:val="sr-Latn-ME"/>
        </w:rPr>
        <w:t>Ankilozirajući spondilitis (AS</w:t>
      </w:r>
      <w:r w:rsidRPr="00F24057">
        <w:rPr>
          <w:szCs w:val="22"/>
          <w:lang w:val="sr-Latn-ME"/>
        </w:rPr>
        <w:t xml:space="preserve">) </w:t>
      </w:r>
    </w:p>
    <w:p w14:paraId="1AEACB23" w14:textId="3F153C66" w:rsidR="00D01D20"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D01D20" w:rsidRPr="00F24057">
        <w:rPr>
          <w:szCs w:val="22"/>
          <w:lang w:val="sr-Latn-ME"/>
        </w:rPr>
        <w:t xml:space="preserve"> je indikovan za </w:t>
      </w:r>
      <w:r w:rsidRPr="00F24057">
        <w:rPr>
          <w:szCs w:val="22"/>
          <w:lang w:val="sr-Latn-ME"/>
        </w:rPr>
        <w:t>liječenje</w:t>
      </w:r>
      <w:r w:rsidR="00D01D20" w:rsidRPr="00F24057">
        <w:rPr>
          <w:szCs w:val="22"/>
          <w:lang w:val="sr-Latn-ME"/>
        </w:rPr>
        <w:t xml:space="preserve"> teškog aktivnog ankilozirajućeg spondilitisa kod odraslih osoba kod kojih nije postignut zadovoljavajući odgovor na konvencionalnu terapiju. </w:t>
      </w:r>
    </w:p>
    <w:p w14:paraId="0A4D3003" w14:textId="77777777" w:rsidR="00D01D20" w:rsidRPr="00F24057" w:rsidRDefault="00D01D20" w:rsidP="00D70B34">
      <w:pPr>
        <w:rPr>
          <w:szCs w:val="22"/>
          <w:lang w:val="sr-Latn-ME"/>
        </w:rPr>
      </w:pPr>
    </w:p>
    <w:p w14:paraId="4364A3B2" w14:textId="77777777" w:rsidR="00D01D20" w:rsidRPr="00F24057" w:rsidRDefault="00D01D20" w:rsidP="00D70B34">
      <w:pPr>
        <w:rPr>
          <w:i/>
          <w:iCs/>
          <w:szCs w:val="22"/>
          <w:lang w:val="sr-Latn-ME"/>
        </w:rPr>
      </w:pPr>
      <w:r w:rsidRPr="00F24057">
        <w:rPr>
          <w:i/>
          <w:iCs/>
          <w:szCs w:val="22"/>
          <w:lang w:val="sr-Latn-ME"/>
        </w:rPr>
        <w:t xml:space="preserve">Aksijalni spondiloartritis bez radiografskog dokaza AS </w:t>
      </w:r>
    </w:p>
    <w:p w14:paraId="52A79B94" w14:textId="3F089C51" w:rsidR="00D01D20"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D01D20" w:rsidRPr="00F24057">
        <w:rPr>
          <w:szCs w:val="22"/>
          <w:lang w:val="sr-Latn-ME"/>
        </w:rPr>
        <w:t xml:space="preserve"> je indikovan za </w:t>
      </w:r>
      <w:r w:rsidRPr="00F24057">
        <w:rPr>
          <w:szCs w:val="22"/>
          <w:lang w:val="sr-Latn-ME"/>
        </w:rPr>
        <w:t>liječenje</w:t>
      </w:r>
      <w:r w:rsidR="00D01D20" w:rsidRPr="00F24057">
        <w:rPr>
          <w:szCs w:val="22"/>
          <w:lang w:val="sr-Latn-ME"/>
        </w:rPr>
        <w:t xml:space="preserve"> teškog oblika aksijalnog spondiloartritisa bez radiografskog dokaza AS, kada su prisutni objektivni znaci inflamacije, </w:t>
      </w:r>
      <w:r w:rsidR="00E60355" w:rsidRPr="00F24057">
        <w:rPr>
          <w:szCs w:val="22"/>
          <w:lang w:val="sr-Latn-ME"/>
        </w:rPr>
        <w:t xml:space="preserve">povećane </w:t>
      </w:r>
      <w:r w:rsidR="00972894" w:rsidRPr="00F24057">
        <w:rPr>
          <w:szCs w:val="22"/>
          <w:lang w:val="sr-Latn-ME"/>
        </w:rPr>
        <w:t>vrijedno</w:t>
      </w:r>
      <w:r w:rsidR="00A27FA8" w:rsidRPr="00F24057">
        <w:rPr>
          <w:szCs w:val="22"/>
          <w:lang w:val="sr-Latn-ME"/>
        </w:rPr>
        <w:t>sti C reaktivnog proteina</w:t>
      </w:r>
      <w:r w:rsidR="00D01D20" w:rsidRPr="00F24057">
        <w:rPr>
          <w:szCs w:val="22"/>
          <w:lang w:val="sr-Latn-ME"/>
        </w:rPr>
        <w:t xml:space="preserve"> </w:t>
      </w:r>
      <w:r w:rsidR="00A27FA8" w:rsidRPr="00F24057">
        <w:rPr>
          <w:szCs w:val="22"/>
          <w:lang w:val="sr-Latn-ME"/>
        </w:rPr>
        <w:t>(</w:t>
      </w:r>
      <w:r w:rsidR="00D01D20" w:rsidRPr="00F24057">
        <w:rPr>
          <w:szCs w:val="22"/>
          <w:lang w:val="sr-Latn-ME"/>
        </w:rPr>
        <w:t>CRP</w:t>
      </w:r>
      <w:r w:rsidR="00A27FA8" w:rsidRPr="00F24057">
        <w:rPr>
          <w:szCs w:val="22"/>
          <w:lang w:val="sr-Latn-ME"/>
        </w:rPr>
        <w:t>)</w:t>
      </w:r>
      <w:r w:rsidR="00D01D20" w:rsidRPr="00F24057">
        <w:rPr>
          <w:szCs w:val="22"/>
          <w:lang w:val="sr-Latn-ME"/>
        </w:rPr>
        <w:t xml:space="preserve"> i/ili </w:t>
      </w:r>
      <w:r w:rsidR="008B1DBB" w:rsidRPr="00F24057">
        <w:rPr>
          <w:szCs w:val="22"/>
          <w:lang w:val="sr-Latn-ME"/>
        </w:rPr>
        <w:t>na osnovu nalaza magnetne rezonance (</w:t>
      </w:r>
      <w:r w:rsidR="00D01D20" w:rsidRPr="00F24057">
        <w:rPr>
          <w:szCs w:val="22"/>
          <w:lang w:val="sr-Latn-ME"/>
        </w:rPr>
        <w:t>MRI</w:t>
      </w:r>
      <w:r w:rsidR="008B1DBB" w:rsidRPr="00F24057">
        <w:rPr>
          <w:szCs w:val="22"/>
          <w:lang w:val="sr-Latn-ME"/>
        </w:rPr>
        <w:t>)</w:t>
      </w:r>
      <w:r w:rsidR="00D01D20" w:rsidRPr="00F24057">
        <w:rPr>
          <w:szCs w:val="22"/>
          <w:lang w:val="sr-Latn-ME"/>
        </w:rPr>
        <w:t xml:space="preserve">, kod odraslih osoba kod kojih nije postignut zadovoljavajući odgovor terapijom nesteroidnim antiinflamatornim </w:t>
      </w:r>
      <w:r w:rsidRPr="00F24057">
        <w:rPr>
          <w:szCs w:val="22"/>
          <w:lang w:val="sr-Latn-ME"/>
        </w:rPr>
        <w:t>ljekov</w:t>
      </w:r>
      <w:r w:rsidR="00D01D20" w:rsidRPr="00F24057">
        <w:rPr>
          <w:szCs w:val="22"/>
          <w:lang w:val="sr-Latn-ME"/>
        </w:rPr>
        <w:t xml:space="preserve">ima ili kod </w:t>
      </w:r>
      <w:r w:rsidR="008B1DBB" w:rsidRPr="00F24057">
        <w:rPr>
          <w:szCs w:val="22"/>
          <w:lang w:val="sr-Latn-ME"/>
        </w:rPr>
        <w:t xml:space="preserve">pacijenata </w:t>
      </w:r>
      <w:r w:rsidR="00D01D20" w:rsidRPr="00F24057">
        <w:rPr>
          <w:szCs w:val="22"/>
          <w:lang w:val="sr-Latn-ME"/>
        </w:rPr>
        <w:t xml:space="preserve">koji </w:t>
      </w:r>
      <w:r w:rsidR="008B1DBB" w:rsidRPr="00F24057">
        <w:rPr>
          <w:szCs w:val="22"/>
          <w:lang w:val="sr-Latn-ME"/>
        </w:rPr>
        <w:t>ne podnose</w:t>
      </w:r>
      <w:r w:rsidR="00D01D20" w:rsidRPr="00F24057">
        <w:rPr>
          <w:szCs w:val="22"/>
          <w:lang w:val="sr-Latn-ME"/>
        </w:rPr>
        <w:t xml:space="preserve"> pomenutu konvencionalnu terapiju. </w:t>
      </w:r>
    </w:p>
    <w:p w14:paraId="757BA11C" w14:textId="77777777" w:rsidR="00D01D20" w:rsidRPr="00F24057" w:rsidRDefault="00D01D20" w:rsidP="00D70B34">
      <w:pPr>
        <w:rPr>
          <w:szCs w:val="22"/>
          <w:lang w:val="sr-Latn-ME"/>
        </w:rPr>
      </w:pPr>
    </w:p>
    <w:p w14:paraId="20F41BB5" w14:textId="77777777" w:rsidR="00D01D20" w:rsidRPr="00F24057" w:rsidRDefault="00D01D20" w:rsidP="00D70B34">
      <w:pPr>
        <w:rPr>
          <w:szCs w:val="22"/>
          <w:u w:val="single"/>
          <w:lang w:val="sr-Latn-ME"/>
        </w:rPr>
      </w:pPr>
      <w:r w:rsidRPr="00F24057">
        <w:rPr>
          <w:szCs w:val="22"/>
          <w:u w:val="single"/>
          <w:lang w:val="sr-Latn-ME"/>
        </w:rPr>
        <w:t xml:space="preserve">Psorijazni artritis </w:t>
      </w:r>
    </w:p>
    <w:p w14:paraId="20B3895F" w14:textId="77777777" w:rsidR="00D01D20" w:rsidRPr="00F24057" w:rsidRDefault="00D01D20" w:rsidP="00D70B34">
      <w:pPr>
        <w:rPr>
          <w:szCs w:val="22"/>
          <w:lang w:val="sr-Latn-ME"/>
        </w:rPr>
      </w:pPr>
    </w:p>
    <w:p w14:paraId="1B68E5DD" w14:textId="60CE4331" w:rsidR="00D01D20"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D01D20" w:rsidRPr="00F24057">
        <w:rPr>
          <w:szCs w:val="22"/>
          <w:lang w:val="sr-Latn-ME"/>
        </w:rPr>
        <w:t xml:space="preserve"> je indikovan za </w:t>
      </w:r>
      <w:r w:rsidRPr="00F24057">
        <w:rPr>
          <w:szCs w:val="22"/>
          <w:lang w:val="sr-Latn-ME"/>
        </w:rPr>
        <w:t>liječenje</w:t>
      </w:r>
      <w:r w:rsidR="00D01D20" w:rsidRPr="00F24057">
        <w:rPr>
          <w:szCs w:val="22"/>
          <w:lang w:val="sr-Latn-ME"/>
        </w:rPr>
        <w:t xml:space="preserve"> aktivnog i progresivnog psorijaznog artritisa odraslih osoba kod kojih prethodna terapija antireumatskim modifikujućim </w:t>
      </w:r>
      <w:r w:rsidRPr="00F24057">
        <w:rPr>
          <w:szCs w:val="22"/>
          <w:lang w:val="sr-Latn-ME"/>
        </w:rPr>
        <w:t>ljekov</w:t>
      </w:r>
      <w:r w:rsidR="00D01D20" w:rsidRPr="00F24057">
        <w:rPr>
          <w:szCs w:val="22"/>
          <w:lang w:val="sr-Latn-ME"/>
        </w:rPr>
        <w:t xml:space="preserve">ima nije dala zadovoljavajući odgovor. </w:t>
      </w:r>
      <w:r w:rsidR="00416F72" w:rsidRPr="00F24057">
        <w:rPr>
          <w:szCs w:val="22"/>
          <w:lang w:val="sr-Latn-ME"/>
        </w:rPr>
        <w:t>Radiološki je potvrđeno</w:t>
      </w:r>
      <w:r w:rsidR="00D01D20" w:rsidRPr="00F24057">
        <w:rPr>
          <w:szCs w:val="22"/>
          <w:lang w:val="sr-Latn-ME"/>
        </w:rPr>
        <w:t xml:space="preserve"> da kod pacijenata sa poliartikularnim simetričnim podtipovima bolesti (</w:t>
      </w:r>
      <w:r w:rsidR="007B39D0" w:rsidRPr="00F24057">
        <w:rPr>
          <w:szCs w:val="22"/>
          <w:lang w:val="sr-Latn-ME"/>
        </w:rPr>
        <w:t xml:space="preserve">pogledati dio </w:t>
      </w:r>
      <w:r w:rsidR="00D01D20" w:rsidRPr="00F24057">
        <w:rPr>
          <w:szCs w:val="22"/>
          <w:lang w:val="sr-Latn-ME"/>
        </w:rPr>
        <w:t xml:space="preserve">5.1) </w:t>
      </w:r>
      <w:r w:rsidR="00901723" w:rsidRPr="00F24057">
        <w:rPr>
          <w:szCs w:val="22"/>
          <w:lang w:val="sr-Latn-ME"/>
        </w:rPr>
        <w:t>adalimumab</w:t>
      </w:r>
      <w:r w:rsidR="00901723" w:rsidRPr="00F24057" w:rsidDel="00901723">
        <w:rPr>
          <w:szCs w:val="22"/>
          <w:lang w:val="sr-Latn-ME"/>
        </w:rPr>
        <w:t xml:space="preserve"> </w:t>
      </w:r>
      <w:r w:rsidR="00D01D20" w:rsidRPr="00F24057">
        <w:rPr>
          <w:szCs w:val="22"/>
          <w:lang w:val="sr-Latn-ME"/>
        </w:rPr>
        <w:t>redukuje stepen progresije oštećenja perifernih zglobova</w:t>
      </w:r>
      <w:r w:rsidR="00416F72" w:rsidRPr="00F24057">
        <w:rPr>
          <w:szCs w:val="22"/>
          <w:lang w:val="sr-Latn-ME"/>
        </w:rPr>
        <w:t xml:space="preserve"> </w:t>
      </w:r>
      <w:r w:rsidR="00D01D20" w:rsidRPr="00F24057">
        <w:rPr>
          <w:szCs w:val="22"/>
          <w:lang w:val="sr-Latn-ME"/>
        </w:rPr>
        <w:t>i da poboljšava fizičku funkciju.</w:t>
      </w:r>
    </w:p>
    <w:p w14:paraId="00D78F3D" w14:textId="4769E220" w:rsidR="005D3973" w:rsidRPr="00F24057" w:rsidRDefault="005D3973" w:rsidP="00D70B34">
      <w:pPr>
        <w:rPr>
          <w:szCs w:val="22"/>
          <w:lang w:val="sr-Latn-ME"/>
        </w:rPr>
      </w:pPr>
    </w:p>
    <w:p w14:paraId="3C9BCA38" w14:textId="77777777" w:rsidR="00FF179E" w:rsidRPr="00F24057" w:rsidRDefault="00FF179E" w:rsidP="00D70B34">
      <w:pPr>
        <w:rPr>
          <w:szCs w:val="22"/>
          <w:u w:val="single"/>
          <w:lang w:val="sr-Latn-ME"/>
        </w:rPr>
      </w:pPr>
      <w:r w:rsidRPr="00F24057">
        <w:rPr>
          <w:szCs w:val="22"/>
          <w:u w:val="single"/>
          <w:lang w:val="sr-Latn-ME"/>
        </w:rPr>
        <w:t xml:space="preserve">Psorijaza </w:t>
      </w:r>
    </w:p>
    <w:p w14:paraId="6ADA4C94" w14:textId="77777777" w:rsidR="00FF179E" w:rsidRPr="00F24057" w:rsidRDefault="00FF179E" w:rsidP="00D70B34">
      <w:pPr>
        <w:rPr>
          <w:szCs w:val="22"/>
          <w:lang w:val="sr-Latn-ME"/>
        </w:rPr>
      </w:pPr>
    </w:p>
    <w:p w14:paraId="70A23E03" w14:textId="4FE3A9BE" w:rsidR="00FF179E"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FF179E" w:rsidRPr="00F24057">
        <w:rPr>
          <w:szCs w:val="22"/>
          <w:lang w:val="sr-Latn-ME"/>
        </w:rPr>
        <w:t xml:space="preserve"> je indikovan za terapiju u</w:t>
      </w:r>
      <w:r w:rsidRPr="00F24057">
        <w:rPr>
          <w:szCs w:val="22"/>
          <w:lang w:val="sr-Latn-ME"/>
        </w:rPr>
        <w:t>mjeren</w:t>
      </w:r>
      <w:r w:rsidR="00FF179E" w:rsidRPr="00F24057">
        <w:rPr>
          <w:szCs w:val="22"/>
          <w:lang w:val="sr-Latn-ME"/>
        </w:rPr>
        <w:t xml:space="preserve">e do teške hronične plak psorijaze kod odraslih pacijenata koji su kandidati za sistemsku terapiju. </w:t>
      </w:r>
    </w:p>
    <w:p w14:paraId="647543C0" w14:textId="77777777" w:rsidR="00FF179E" w:rsidRPr="00F24057" w:rsidRDefault="00FF179E" w:rsidP="00D70B34">
      <w:pPr>
        <w:rPr>
          <w:szCs w:val="22"/>
          <w:lang w:val="sr-Latn-ME"/>
        </w:rPr>
      </w:pPr>
    </w:p>
    <w:p w14:paraId="1A3EC42C" w14:textId="11DF6838" w:rsidR="00FF179E" w:rsidRPr="00F24057" w:rsidRDefault="00FF179E" w:rsidP="00D70B34">
      <w:pPr>
        <w:rPr>
          <w:szCs w:val="22"/>
          <w:u w:val="single"/>
          <w:lang w:val="sr-Latn-ME"/>
        </w:rPr>
      </w:pPr>
      <w:r w:rsidRPr="00F24057">
        <w:rPr>
          <w:szCs w:val="22"/>
          <w:u w:val="single"/>
          <w:lang w:val="sr-Latn-ME"/>
        </w:rPr>
        <w:t xml:space="preserve">Plak psorijaza kod </w:t>
      </w:r>
      <w:r w:rsidR="0030064A" w:rsidRPr="00F24057">
        <w:rPr>
          <w:szCs w:val="22"/>
          <w:u w:val="single"/>
          <w:lang w:val="sr-Latn-ME"/>
        </w:rPr>
        <w:t>djece</w:t>
      </w:r>
      <w:r w:rsidRPr="00F24057">
        <w:rPr>
          <w:szCs w:val="22"/>
          <w:u w:val="single"/>
          <w:lang w:val="sr-Latn-ME"/>
        </w:rPr>
        <w:t xml:space="preserve"> </w:t>
      </w:r>
    </w:p>
    <w:p w14:paraId="7D109119" w14:textId="77777777" w:rsidR="00FF179E" w:rsidRPr="00F24057" w:rsidRDefault="00FF179E" w:rsidP="00D70B34">
      <w:pPr>
        <w:rPr>
          <w:szCs w:val="22"/>
          <w:lang w:val="sr-Latn-ME"/>
        </w:rPr>
      </w:pPr>
    </w:p>
    <w:p w14:paraId="081783F6" w14:textId="21E0BEF0" w:rsidR="00FF179E"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FF179E" w:rsidRPr="00F24057">
        <w:rPr>
          <w:szCs w:val="22"/>
          <w:lang w:val="sr-Latn-ME"/>
        </w:rPr>
        <w:t xml:space="preserve"> je indikovan za </w:t>
      </w:r>
      <w:r w:rsidRPr="00F24057">
        <w:rPr>
          <w:szCs w:val="22"/>
          <w:lang w:val="sr-Latn-ME"/>
        </w:rPr>
        <w:t>liječenje</w:t>
      </w:r>
      <w:r w:rsidR="00FF179E" w:rsidRPr="00F24057">
        <w:rPr>
          <w:szCs w:val="22"/>
          <w:lang w:val="sr-Latn-ME"/>
        </w:rPr>
        <w:t xml:space="preserve"> teške hronične plak psorijaze kod </w:t>
      </w:r>
      <w:r w:rsidRPr="00F24057">
        <w:rPr>
          <w:szCs w:val="22"/>
          <w:lang w:val="sr-Latn-ME"/>
        </w:rPr>
        <w:t>djece</w:t>
      </w:r>
      <w:r w:rsidR="00FF179E" w:rsidRPr="00F24057">
        <w:rPr>
          <w:szCs w:val="22"/>
          <w:lang w:val="sr-Latn-ME"/>
        </w:rPr>
        <w:t xml:space="preserve"> i adolescenata uzrasta od 4 ili više godina kod kojih nije postignut zadovoljavajući odgovor ili koji nisu prikladni kandidati za </w:t>
      </w:r>
      <w:r w:rsidR="00901723" w:rsidRPr="00F24057">
        <w:rPr>
          <w:szCs w:val="22"/>
          <w:lang w:val="sr-Latn-ME"/>
        </w:rPr>
        <w:t>topikalnu</w:t>
      </w:r>
      <w:r w:rsidR="00901723" w:rsidRPr="00F24057" w:rsidDel="00901723">
        <w:rPr>
          <w:szCs w:val="22"/>
          <w:lang w:val="sr-Latn-ME"/>
        </w:rPr>
        <w:t xml:space="preserve"> </w:t>
      </w:r>
      <w:r w:rsidR="00FF179E" w:rsidRPr="00F24057">
        <w:rPr>
          <w:szCs w:val="22"/>
          <w:lang w:val="sr-Latn-ME"/>
        </w:rPr>
        <w:t xml:space="preserve">terapiju i fototerapije. </w:t>
      </w:r>
    </w:p>
    <w:p w14:paraId="4A25E1DE" w14:textId="77777777" w:rsidR="00FF179E" w:rsidRPr="00F24057" w:rsidRDefault="00FF179E" w:rsidP="00D70B34">
      <w:pPr>
        <w:rPr>
          <w:szCs w:val="22"/>
          <w:lang w:val="sr-Latn-ME"/>
        </w:rPr>
      </w:pPr>
    </w:p>
    <w:p w14:paraId="5EBC7846" w14:textId="4E91B990" w:rsidR="00FF179E" w:rsidRPr="00F24057" w:rsidRDefault="00FF179E" w:rsidP="00D70B34">
      <w:pPr>
        <w:rPr>
          <w:szCs w:val="22"/>
          <w:u w:val="single"/>
          <w:lang w:val="sr-Latn-ME"/>
        </w:rPr>
      </w:pPr>
      <w:r w:rsidRPr="00F24057">
        <w:rPr>
          <w:szCs w:val="22"/>
          <w:u w:val="single"/>
          <w:lang w:val="sr-Latn-ME"/>
        </w:rPr>
        <w:t xml:space="preserve">Gnojno zapaljenje znojnih </w:t>
      </w:r>
      <w:r w:rsidR="009A3407" w:rsidRPr="00F24057">
        <w:rPr>
          <w:szCs w:val="22"/>
          <w:u w:val="single"/>
          <w:lang w:val="sr-Latn-ME"/>
        </w:rPr>
        <w:t>žlijezd</w:t>
      </w:r>
      <w:r w:rsidRPr="00F24057">
        <w:rPr>
          <w:szCs w:val="22"/>
          <w:u w:val="single"/>
          <w:lang w:val="sr-Latn-ME"/>
        </w:rPr>
        <w:t>a (</w:t>
      </w:r>
      <w:r w:rsidRPr="00F24057">
        <w:rPr>
          <w:i/>
          <w:iCs/>
          <w:szCs w:val="22"/>
          <w:u w:val="single"/>
          <w:lang w:val="sr-Latn-ME"/>
        </w:rPr>
        <w:t>Hidradenitis suppurativa</w:t>
      </w:r>
      <w:r w:rsidRPr="00F24057">
        <w:rPr>
          <w:szCs w:val="22"/>
          <w:u w:val="single"/>
          <w:lang w:val="sr-Latn-ME"/>
        </w:rPr>
        <w:t xml:space="preserve">) </w:t>
      </w:r>
    </w:p>
    <w:p w14:paraId="7A63E0D6" w14:textId="77777777" w:rsidR="00FF179E" w:rsidRPr="00F24057" w:rsidRDefault="00FF179E" w:rsidP="00D70B34">
      <w:pPr>
        <w:rPr>
          <w:szCs w:val="22"/>
          <w:lang w:val="sr-Latn-ME"/>
        </w:rPr>
      </w:pPr>
    </w:p>
    <w:p w14:paraId="1DDBB9F1" w14:textId="73E2E27F" w:rsidR="00FF179E"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FF179E" w:rsidRPr="00F24057">
        <w:rPr>
          <w:szCs w:val="22"/>
          <w:lang w:val="sr-Latn-ME"/>
        </w:rPr>
        <w:t xml:space="preserve"> je indikovan za </w:t>
      </w:r>
      <w:r w:rsidRPr="00F24057">
        <w:rPr>
          <w:szCs w:val="22"/>
          <w:lang w:val="sr-Latn-ME"/>
        </w:rPr>
        <w:t>liječenje</w:t>
      </w:r>
      <w:r w:rsidR="00FF179E" w:rsidRPr="00F24057">
        <w:rPr>
          <w:szCs w:val="22"/>
          <w:lang w:val="sr-Latn-ME"/>
        </w:rPr>
        <w:t xml:space="preserve"> u</w:t>
      </w:r>
      <w:r w:rsidRPr="00F24057">
        <w:rPr>
          <w:szCs w:val="22"/>
          <w:lang w:val="sr-Latn-ME"/>
        </w:rPr>
        <w:t>mjeren</w:t>
      </w:r>
      <w:r w:rsidR="00FF179E" w:rsidRPr="00F24057">
        <w:rPr>
          <w:szCs w:val="22"/>
          <w:lang w:val="sr-Latn-ME"/>
        </w:rPr>
        <w:t xml:space="preserve">og do teškog oblika aktivnog gnojnog zapaljenja znojnih </w:t>
      </w:r>
      <w:r w:rsidR="009A3407" w:rsidRPr="00F24057">
        <w:rPr>
          <w:szCs w:val="22"/>
          <w:lang w:val="sr-Latn-ME"/>
        </w:rPr>
        <w:t>žlijezd</w:t>
      </w:r>
      <w:r w:rsidR="00FF179E" w:rsidRPr="00F24057">
        <w:rPr>
          <w:szCs w:val="22"/>
          <w:lang w:val="sr-Latn-ME"/>
        </w:rPr>
        <w:t>a (</w:t>
      </w:r>
      <w:r w:rsidR="00FF179E" w:rsidRPr="00F24057">
        <w:rPr>
          <w:i/>
          <w:iCs/>
          <w:szCs w:val="22"/>
          <w:lang w:val="sr-Latn-ME"/>
        </w:rPr>
        <w:t>hidradenitis suppurativa</w:t>
      </w:r>
      <w:r w:rsidR="00DD428B" w:rsidRPr="00F24057">
        <w:rPr>
          <w:i/>
          <w:iCs/>
          <w:szCs w:val="22"/>
          <w:lang w:val="sr-Latn-ME"/>
        </w:rPr>
        <w:t xml:space="preserve"> </w:t>
      </w:r>
      <w:r w:rsidR="00FF179E" w:rsidRPr="00F24057">
        <w:rPr>
          <w:i/>
          <w:iCs/>
          <w:szCs w:val="22"/>
          <w:lang w:val="sr-Latn-ME"/>
        </w:rPr>
        <w:t>/</w:t>
      </w:r>
      <w:r w:rsidR="00DD428B" w:rsidRPr="00F24057">
        <w:rPr>
          <w:i/>
          <w:iCs/>
          <w:szCs w:val="22"/>
          <w:lang w:val="sr-Latn-ME"/>
        </w:rPr>
        <w:t xml:space="preserve"> </w:t>
      </w:r>
      <w:r w:rsidR="00FF179E" w:rsidRPr="00F24057">
        <w:rPr>
          <w:i/>
          <w:iCs/>
          <w:szCs w:val="22"/>
          <w:lang w:val="sr-Latn-ME"/>
        </w:rPr>
        <w:t>acne inversa</w:t>
      </w:r>
      <w:r w:rsidR="00FF179E" w:rsidRPr="00F24057">
        <w:rPr>
          <w:szCs w:val="22"/>
          <w:lang w:val="sr-Latn-ME"/>
        </w:rPr>
        <w:t xml:space="preserve">) kod odraslih pacijenata i adolescenata uzrasta od 12 godina i starijih kod kojih nije postignut zadovoljavajući odgovor na konvencionalno sistemsko </w:t>
      </w:r>
      <w:r w:rsidRPr="00F24057">
        <w:rPr>
          <w:szCs w:val="22"/>
          <w:lang w:val="sr-Latn-ME"/>
        </w:rPr>
        <w:t>liječenje</w:t>
      </w:r>
      <w:r w:rsidR="00FF179E" w:rsidRPr="00F24057">
        <w:rPr>
          <w:szCs w:val="22"/>
          <w:lang w:val="sr-Latn-ME"/>
        </w:rPr>
        <w:t xml:space="preserve"> gnojnog zapaljenja znojnih </w:t>
      </w:r>
      <w:r w:rsidR="009A3407" w:rsidRPr="00F24057">
        <w:rPr>
          <w:szCs w:val="22"/>
          <w:lang w:val="sr-Latn-ME"/>
        </w:rPr>
        <w:t>žlijezd</w:t>
      </w:r>
      <w:r w:rsidR="00FF179E" w:rsidRPr="00F24057">
        <w:rPr>
          <w:szCs w:val="22"/>
          <w:lang w:val="sr-Latn-ME"/>
        </w:rPr>
        <w:t>a (</w:t>
      </w:r>
      <w:r w:rsidR="00FF179E" w:rsidRPr="00F24057">
        <w:rPr>
          <w:i/>
          <w:iCs/>
          <w:szCs w:val="22"/>
          <w:lang w:val="sr-Latn-ME"/>
        </w:rPr>
        <w:t>hidradenitis suppurativa</w:t>
      </w:r>
      <w:r w:rsidR="00FF179E" w:rsidRPr="00F24057">
        <w:rPr>
          <w:szCs w:val="22"/>
          <w:lang w:val="sr-Latn-ME"/>
        </w:rPr>
        <w:t>) (</w:t>
      </w:r>
      <w:r w:rsidR="000D5A28" w:rsidRPr="00F24057">
        <w:rPr>
          <w:szCs w:val="22"/>
          <w:lang w:val="sr-Latn-ME"/>
        </w:rPr>
        <w:t>pogledati</w:t>
      </w:r>
      <w:r w:rsidR="00FF179E" w:rsidRPr="00F24057">
        <w:rPr>
          <w:szCs w:val="22"/>
          <w:lang w:val="sr-Latn-ME"/>
        </w:rPr>
        <w:t xml:space="preserve"> </w:t>
      </w:r>
      <w:r w:rsidRPr="00F24057">
        <w:rPr>
          <w:szCs w:val="22"/>
          <w:lang w:val="sr-Latn-ME"/>
        </w:rPr>
        <w:t>djelove</w:t>
      </w:r>
      <w:r w:rsidR="00FF179E" w:rsidRPr="00F24057">
        <w:rPr>
          <w:szCs w:val="22"/>
          <w:lang w:val="sr-Latn-ME"/>
        </w:rPr>
        <w:t xml:space="preserve"> 5.1 i 5.2). </w:t>
      </w:r>
    </w:p>
    <w:p w14:paraId="6DD18AB8" w14:textId="77777777" w:rsidR="00FF179E" w:rsidRPr="00F24057" w:rsidRDefault="00FF179E" w:rsidP="00D70B34">
      <w:pPr>
        <w:rPr>
          <w:szCs w:val="22"/>
          <w:lang w:val="sr-Latn-ME"/>
        </w:rPr>
      </w:pPr>
    </w:p>
    <w:p w14:paraId="5C39F641" w14:textId="5E0FCD86" w:rsidR="00FF179E" w:rsidRPr="00F24057" w:rsidRDefault="00DA2306" w:rsidP="00D70B34">
      <w:pPr>
        <w:rPr>
          <w:szCs w:val="22"/>
          <w:u w:val="single"/>
          <w:lang w:val="sr-Latn-ME"/>
        </w:rPr>
      </w:pPr>
      <w:r w:rsidRPr="00F24057">
        <w:rPr>
          <w:i/>
          <w:iCs/>
          <w:szCs w:val="22"/>
          <w:u w:val="single"/>
          <w:lang w:val="sr-Latn-ME"/>
        </w:rPr>
        <w:t>Crohn</w:t>
      </w:r>
      <w:r w:rsidR="00FF179E" w:rsidRPr="00F24057">
        <w:rPr>
          <w:szCs w:val="22"/>
          <w:u w:val="single"/>
          <w:lang w:val="sr-Latn-ME"/>
        </w:rPr>
        <w:t xml:space="preserve">-ova bolest </w:t>
      </w:r>
    </w:p>
    <w:p w14:paraId="0A0B5E42" w14:textId="77777777" w:rsidR="00FF179E" w:rsidRPr="00F24057" w:rsidRDefault="00FF179E" w:rsidP="00D70B34">
      <w:pPr>
        <w:rPr>
          <w:szCs w:val="22"/>
          <w:lang w:val="sr-Latn-ME"/>
        </w:rPr>
      </w:pPr>
    </w:p>
    <w:p w14:paraId="3515C811" w14:textId="26D6B3F2" w:rsidR="00FF179E"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FF179E" w:rsidRPr="00F24057">
        <w:rPr>
          <w:szCs w:val="22"/>
          <w:lang w:val="sr-Latn-ME"/>
        </w:rPr>
        <w:t xml:space="preserve"> je indikovan za </w:t>
      </w:r>
      <w:r w:rsidRPr="00F24057">
        <w:rPr>
          <w:szCs w:val="22"/>
          <w:lang w:val="sr-Latn-ME"/>
        </w:rPr>
        <w:t>liječenje</w:t>
      </w:r>
      <w:r w:rsidR="00FF179E" w:rsidRPr="00F24057">
        <w:rPr>
          <w:szCs w:val="22"/>
          <w:lang w:val="sr-Latn-ME"/>
        </w:rPr>
        <w:t xml:space="preserve"> u</w:t>
      </w:r>
      <w:r w:rsidRPr="00F24057">
        <w:rPr>
          <w:szCs w:val="22"/>
          <w:lang w:val="sr-Latn-ME"/>
        </w:rPr>
        <w:t>mjeren</w:t>
      </w:r>
      <w:r w:rsidR="00FF179E" w:rsidRPr="00F24057">
        <w:rPr>
          <w:szCs w:val="22"/>
          <w:lang w:val="sr-Latn-ME"/>
        </w:rPr>
        <w:t xml:space="preserve">og do teškog oblika aktivne </w:t>
      </w:r>
      <w:r w:rsidR="00DA2306" w:rsidRPr="00F24057">
        <w:rPr>
          <w:i/>
          <w:iCs/>
          <w:szCs w:val="22"/>
          <w:lang w:val="sr-Latn-ME"/>
        </w:rPr>
        <w:t>Crohn</w:t>
      </w:r>
      <w:r w:rsidR="00FF179E" w:rsidRPr="00F24057">
        <w:rPr>
          <w:szCs w:val="22"/>
          <w:lang w:val="sr-Latn-ME"/>
        </w:rPr>
        <w:t xml:space="preserve">-ove bolesti, kod </w:t>
      </w:r>
      <w:r w:rsidR="00E44AE1" w:rsidRPr="00F24057">
        <w:rPr>
          <w:szCs w:val="22"/>
          <w:lang w:val="sr-Latn-ME"/>
        </w:rPr>
        <w:t xml:space="preserve">odraslih </w:t>
      </w:r>
      <w:r w:rsidR="00FF179E" w:rsidRPr="00F24057">
        <w:rPr>
          <w:szCs w:val="22"/>
          <w:lang w:val="sr-Latn-ME"/>
        </w:rPr>
        <w:t xml:space="preserve">pacijenata </w:t>
      </w:r>
      <w:r w:rsidR="005162E0" w:rsidRPr="00F24057">
        <w:rPr>
          <w:szCs w:val="22"/>
          <w:lang w:val="sr-Latn-ME"/>
        </w:rPr>
        <w:t>kod kojih uprkos prethodnom potpunom i odgovarajućem toku l</w:t>
      </w:r>
      <w:r w:rsidR="00885A78" w:rsidRPr="00F24057">
        <w:rPr>
          <w:szCs w:val="22"/>
          <w:lang w:val="sr-Latn-ME"/>
        </w:rPr>
        <w:t>ij</w:t>
      </w:r>
      <w:r w:rsidR="005162E0" w:rsidRPr="00F24057">
        <w:rPr>
          <w:szCs w:val="22"/>
          <w:lang w:val="sr-Latn-ME"/>
        </w:rPr>
        <w:t xml:space="preserve">ečenja kortikosteroidima i/ili imunosupresivima nije postignut odgovor ili kod pacijenata </w:t>
      </w:r>
      <w:r w:rsidR="00C031F8" w:rsidRPr="00F24057">
        <w:rPr>
          <w:szCs w:val="22"/>
          <w:lang w:val="sr-Latn-ME"/>
        </w:rPr>
        <w:t>kod kojih postoji intolerancija</w:t>
      </w:r>
      <w:r w:rsidR="005162E0" w:rsidRPr="00F24057">
        <w:rPr>
          <w:szCs w:val="22"/>
          <w:lang w:val="sr-Latn-ME"/>
        </w:rPr>
        <w:t xml:space="preserve"> ili </w:t>
      </w:r>
      <w:r w:rsidR="002271FE" w:rsidRPr="00F24057">
        <w:rPr>
          <w:szCs w:val="22"/>
          <w:lang w:val="sr-Latn-ME"/>
        </w:rPr>
        <w:t xml:space="preserve">kontraindikacije za </w:t>
      </w:r>
      <w:r w:rsidRPr="00F24057">
        <w:rPr>
          <w:szCs w:val="22"/>
          <w:lang w:val="sr-Latn-ME"/>
        </w:rPr>
        <w:t>primjen</w:t>
      </w:r>
      <w:r w:rsidR="002271FE" w:rsidRPr="00F24057">
        <w:rPr>
          <w:szCs w:val="22"/>
          <w:lang w:val="sr-Latn-ME"/>
        </w:rPr>
        <w:t>u pomenute konvencionalne terapije</w:t>
      </w:r>
      <w:r w:rsidR="005162E0" w:rsidRPr="00F24057">
        <w:rPr>
          <w:szCs w:val="22"/>
          <w:lang w:val="sr-Latn-ME"/>
        </w:rPr>
        <w:t>.</w:t>
      </w:r>
    </w:p>
    <w:p w14:paraId="2FBA2D19" w14:textId="77777777" w:rsidR="00FF179E" w:rsidRPr="00F24057" w:rsidRDefault="00FF179E" w:rsidP="00D70B34">
      <w:pPr>
        <w:rPr>
          <w:szCs w:val="22"/>
          <w:lang w:val="sr-Latn-ME"/>
        </w:rPr>
      </w:pPr>
    </w:p>
    <w:p w14:paraId="7B32C1AD" w14:textId="2C06880A" w:rsidR="00FF179E" w:rsidRPr="00F24057" w:rsidRDefault="00FF179E" w:rsidP="00D70B34">
      <w:pPr>
        <w:rPr>
          <w:szCs w:val="22"/>
          <w:u w:val="single"/>
          <w:lang w:val="sr-Latn-ME"/>
        </w:rPr>
      </w:pPr>
      <w:r w:rsidRPr="00F24057">
        <w:rPr>
          <w:szCs w:val="22"/>
          <w:u w:val="single"/>
          <w:lang w:val="sr-Latn-ME"/>
        </w:rPr>
        <w:t xml:space="preserve">Pedijatrijski oblik </w:t>
      </w:r>
      <w:r w:rsidR="00DA2306" w:rsidRPr="00F24057">
        <w:rPr>
          <w:i/>
          <w:iCs/>
          <w:szCs w:val="22"/>
          <w:u w:val="single"/>
          <w:lang w:val="sr-Latn-ME"/>
        </w:rPr>
        <w:t>Crohn</w:t>
      </w:r>
      <w:r w:rsidRPr="00F24057">
        <w:rPr>
          <w:szCs w:val="22"/>
          <w:u w:val="single"/>
          <w:lang w:val="sr-Latn-ME"/>
        </w:rPr>
        <w:t>-ove bolesti</w:t>
      </w:r>
    </w:p>
    <w:p w14:paraId="6AECB472" w14:textId="77777777" w:rsidR="005C4475" w:rsidRPr="00F24057" w:rsidRDefault="005C4475" w:rsidP="00D70B34">
      <w:pPr>
        <w:rPr>
          <w:szCs w:val="22"/>
          <w:lang w:val="sr-Latn-ME"/>
        </w:rPr>
      </w:pPr>
    </w:p>
    <w:p w14:paraId="4414D352" w14:textId="1212D535" w:rsidR="00FF179E"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FF179E" w:rsidRPr="00F24057">
        <w:rPr>
          <w:szCs w:val="22"/>
          <w:lang w:val="sr-Latn-ME"/>
        </w:rPr>
        <w:t xml:space="preserve"> je indikovan za </w:t>
      </w:r>
      <w:r w:rsidRPr="00F24057">
        <w:rPr>
          <w:szCs w:val="22"/>
          <w:lang w:val="sr-Latn-ME"/>
        </w:rPr>
        <w:t>liječenje</w:t>
      </w:r>
      <w:r w:rsidR="00FF179E" w:rsidRPr="00F24057">
        <w:rPr>
          <w:szCs w:val="22"/>
          <w:lang w:val="sr-Latn-ME"/>
        </w:rPr>
        <w:t xml:space="preserve"> u</w:t>
      </w:r>
      <w:r w:rsidRPr="00F24057">
        <w:rPr>
          <w:szCs w:val="22"/>
          <w:lang w:val="sr-Latn-ME"/>
        </w:rPr>
        <w:t>mjeren</w:t>
      </w:r>
      <w:r w:rsidR="00FF179E" w:rsidRPr="00F24057">
        <w:rPr>
          <w:szCs w:val="22"/>
          <w:lang w:val="sr-Latn-ME"/>
        </w:rPr>
        <w:t xml:space="preserve">og do teškog oblika aktivne </w:t>
      </w:r>
      <w:r w:rsidR="00DA2306" w:rsidRPr="00F24057">
        <w:rPr>
          <w:i/>
          <w:iCs/>
          <w:szCs w:val="22"/>
          <w:lang w:val="sr-Latn-ME"/>
        </w:rPr>
        <w:t>Crohn</w:t>
      </w:r>
      <w:r w:rsidR="00FF179E" w:rsidRPr="00F24057">
        <w:rPr>
          <w:szCs w:val="22"/>
          <w:lang w:val="sr-Latn-ME"/>
        </w:rPr>
        <w:t xml:space="preserve">-ove bolesti kod pedijatrijskih pacijenata (uzrasta od 6 ili više godina), kod kojih nije postignut zadovoljavajući odgovor konvencionalnom terapijom, uključujući </w:t>
      </w:r>
      <w:r w:rsidR="001B11AC" w:rsidRPr="00F24057">
        <w:rPr>
          <w:szCs w:val="22"/>
          <w:lang w:val="sr-Latn-ME"/>
        </w:rPr>
        <w:t>primarn</w:t>
      </w:r>
      <w:r w:rsidR="005B1490" w:rsidRPr="00F24057">
        <w:rPr>
          <w:szCs w:val="22"/>
          <w:lang w:val="sr-Latn-ME"/>
        </w:rPr>
        <w:t>u</w:t>
      </w:r>
      <w:r w:rsidR="00FF179E" w:rsidRPr="00F24057">
        <w:rPr>
          <w:szCs w:val="22"/>
          <w:lang w:val="sr-Latn-ME"/>
        </w:rPr>
        <w:t xml:space="preserve"> nutri</w:t>
      </w:r>
      <w:r w:rsidR="001B11AC" w:rsidRPr="00F24057">
        <w:rPr>
          <w:szCs w:val="22"/>
          <w:lang w:val="sr-Latn-ME"/>
        </w:rPr>
        <w:t>tivn</w:t>
      </w:r>
      <w:r w:rsidR="00FF179E" w:rsidRPr="00F24057">
        <w:rPr>
          <w:szCs w:val="22"/>
          <w:lang w:val="sr-Latn-ME"/>
        </w:rPr>
        <w:t>u terapiju, kortikosteroid i/ili imunomodulator, ili kod pacijenata kod kojih postoji intolerancija ili kontraindikacij</w:t>
      </w:r>
      <w:r w:rsidR="001B11AC" w:rsidRPr="00F24057">
        <w:rPr>
          <w:szCs w:val="22"/>
          <w:lang w:val="sr-Latn-ME"/>
        </w:rPr>
        <w:t>e</w:t>
      </w:r>
      <w:r w:rsidR="00FF179E" w:rsidRPr="00F24057">
        <w:rPr>
          <w:szCs w:val="22"/>
          <w:lang w:val="sr-Latn-ME"/>
        </w:rPr>
        <w:t xml:space="preserve"> za </w:t>
      </w:r>
      <w:r w:rsidRPr="00F24057">
        <w:rPr>
          <w:szCs w:val="22"/>
          <w:lang w:val="sr-Latn-ME"/>
        </w:rPr>
        <w:t>primjen</w:t>
      </w:r>
      <w:r w:rsidR="00FF179E" w:rsidRPr="00F24057">
        <w:rPr>
          <w:szCs w:val="22"/>
          <w:lang w:val="sr-Latn-ME"/>
        </w:rPr>
        <w:t>u pomenute konvencionalne terapije.</w:t>
      </w:r>
    </w:p>
    <w:p w14:paraId="2F0FDE0B" w14:textId="7CE2E472" w:rsidR="005D3973" w:rsidRPr="00F24057" w:rsidRDefault="005D3973" w:rsidP="00D70B34">
      <w:pPr>
        <w:rPr>
          <w:szCs w:val="22"/>
          <w:lang w:val="sr-Latn-ME"/>
        </w:rPr>
      </w:pPr>
    </w:p>
    <w:p w14:paraId="5E6222CF" w14:textId="77777777" w:rsidR="007E56E3" w:rsidRPr="00F24057" w:rsidRDefault="007E56E3" w:rsidP="00D70B34">
      <w:pPr>
        <w:rPr>
          <w:szCs w:val="22"/>
          <w:u w:val="single"/>
          <w:lang w:val="sr-Latn-ME"/>
        </w:rPr>
      </w:pPr>
      <w:r w:rsidRPr="00F24057">
        <w:rPr>
          <w:szCs w:val="22"/>
          <w:u w:val="single"/>
          <w:lang w:val="sr-Latn-ME"/>
        </w:rPr>
        <w:t xml:space="preserve">Ulcerozni kolitis </w:t>
      </w:r>
    </w:p>
    <w:p w14:paraId="6CA31F3F" w14:textId="77777777" w:rsidR="007E56E3" w:rsidRPr="00F24057" w:rsidRDefault="007E56E3" w:rsidP="00D70B34">
      <w:pPr>
        <w:rPr>
          <w:szCs w:val="22"/>
          <w:lang w:val="sr-Latn-ME"/>
        </w:rPr>
      </w:pPr>
    </w:p>
    <w:p w14:paraId="1F58C61C" w14:textId="3B4BBF13" w:rsidR="007E56E3"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7E56E3" w:rsidRPr="00F24057">
        <w:rPr>
          <w:szCs w:val="22"/>
          <w:lang w:val="sr-Latn-ME"/>
        </w:rPr>
        <w:t xml:space="preserve"> je indikovan za </w:t>
      </w:r>
      <w:r w:rsidRPr="00F24057">
        <w:rPr>
          <w:szCs w:val="22"/>
          <w:lang w:val="sr-Latn-ME"/>
        </w:rPr>
        <w:t>liječenje</w:t>
      </w:r>
      <w:r w:rsidR="007E56E3" w:rsidRPr="00F24057">
        <w:rPr>
          <w:szCs w:val="22"/>
          <w:lang w:val="sr-Latn-ME"/>
        </w:rPr>
        <w:t xml:space="preserve"> u</w:t>
      </w:r>
      <w:r w:rsidRPr="00F24057">
        <w:rPr>
          <w:szCs w:val="22"/>
          <w:lang w:val="sr-Latn-ME"/>
        </w:rPr>
        <w:t>mjeren</w:t>
      </w:r>
      <w:r w:rsidR="007E56E3" w:rsidRPr="00F24057">
        <w:rPr>
          <w:szCs w:val="22"/>
          <w:lang w:val="sr-Latn-ME"/>
        </w:rPr>
        <w:t>og do teškog oblika aktivnog ulceroznog kolitisa kod odraslih pacijenata, kod kojih nije postignut zadovoljavajući odgovor na konvencionalnu terapiju, uključujući kortikosteroide i</w:t>
      </w:r>
      <w:r w:rsidR="000B58FF" w:rsidRPr="00F24057">
        <w:rPr>
          <w:szCs w:val="22"/>
          <w:lang w:val="sr-Latn-ME"/>
        </w:rPr>
        <w:t>/ili</w:t>
      </w:r>
      <w:r w:rsidR="007E56E3" w:rsidRPr="00F24057">
        <w:rPr>
          <w:szCs w:val="22"/>
          <w:lang w:val="sr-Latn-ME"/>
        </w:rPr>
        <w:t xml:space="preserve"> 6-merkaptopurin (6-MP) ili azatioprin (AZA), ili kod kojih postoji intolerancija ili kontraindikacije na pomenutu konvencionalnu terapiju. </w:t>
      </w:r>
    </w:p>
    <w:p w14:paraId="34F7FC83" w14:textId="289EEBB5" w:rsidR="00EB329B" w:rsidRPr="00F24057" w:rsidRDefault="00EB329B" w:rsidP="00D70B34">
      <w:pPr>
        <w:rPr>
          <w:szCs w:val="22"/>
          <w:lang w:val="sr-Latn-ME"/>
        </w:rPr>
      </w:pPr>
    </w:p>
    <w:p w14:paraId="73C5487B" w14:textId="02151E85" w:rsidR="00EB329B" w:rsidRPr="00F24057" w:rsidRDefault="002B4701" w:rsidP="00D70B34">
      <w:pPr>
        <w:rPr>
          <w:szCs w:val="22"/>
          <w:u w:val="single"/>
          <w:lang w:val="sr-Latn-ME"/>
        </w:rPr>
      </w:pPr>
      <w:r w:rsidRPr="00F24057">
        <w:rPr>
          <w:szCs w:val="22"/>
          <w:u w:val="single"/>
          <w:lang w:val="sr-Latn-ME"/>
        </w:rPr>
        <w:t>U</w:t>
      </w:r>
      <w:r w:rsidR="00EB329B" w:rsidRPr="00F24057">
        <w:rPr>
          <w:szCs w:val="22"/>
          <w:u w:val="single"/>
          <w:lang w:val="sr-Latn-ME"/>
        </w:rPr>
        <w:t>lcerozni kolitis</w:t>
      </w:r>
      <w:r w:rsidRPr="00F24057">
        <w:rPr>
          <w:szCs w:val="22"/>
          <w:u w:val="single"/>
          <w:lang w:val="sr-Latn-ME"/>
        </w:rPr>
        <w:t xml:space="preserve"> kod </w:t>
      </w:r>
      <w:r w:rsidR="0030064A" w:rsidRPr="00F24057">
        <w:rPr>
          <w:szCs w:val="22"/>
          <w:u w:val="single"/>
          <w:lang w:val="sr-Latn-ME"/>
        </w:rPr>
        <w:t>djece</w:t>
      </w:r>
    </w:p>
    <w:p w14:paraId="448585C3" w14:textId="77777777" w:rsidR="00EB329B" w:rsidRPr="00F24057" w:rsidRDefault="00EB329B" w:rsidP="00D70B34">
      <w:pPr>
        <w:rPr>
          <w:szCs w:val="22"/>
          <w:u w:val="single"/>
          <w:lang w:val="sr-Latn-ME"/>
        </w:rPr>
      </w:pPr>
    </w:p>
    <w:p w14:paraId="64EBA269" w14:textId="4AC42D44" w:rsidR="00EB329B" w:rsidRPr="00F24057" w:rsidRDefault="0030064A" w:rsidP="00D70B34">
      <w:pPr>
        <w:rPr>
          <w:szCs w:val="22"/>
          <w:lang w:val="sr-Latn-ME"/>
        </w:rPr>
      </w:pPr>
      <w:r w:rsidRPr="00F24057">
        <w:rPr>
          <w:szCs w:val="22"/>
          <w:lang w:val="sr-Latn-ME"/>
        </w:rPr>
        <w:t xml:space="preserve">Lijek </w:t>
      </w:r>
      <w:r w:rsidR="00EB329B" w:rsidRPr="00F24057">
        <w:rPr>
          <w:szCs w:val="22"/>
          <w:lang w:val="sr-Latn-ME"/>
        </w:rPr>
        <w:t xml:space="preserve">Hukyndra je indikovan za </w:t>
      </w:r>
      <w:r w:rsidRPr="00F24057">
        <w:rPr>
          <w:szCs w:val="22"/>
          <w:lang w:val="sr-Latn-ME"/>
        </w:rPr>
        <w:t>liječenje</w:t>
      </w:r>
      <w:r w:rsidR="00EB329B" w:rsidRPr="00F24057">
        <w:rPr>
          <w:szCs w:val="22"/>
          <w:lang w:val="sr-Latn-ME"/>
        </w:rPr>
        <w:t xml:space="preserve"> u</w:t>
      </w:r>
      <w:r w:rsidRPr="00F24057">
        <w:rPr>
          <w:szCs w:val="22"/>
          <w:lang w:val="sr-Latn-ME"/>
        </w:rPr>
        <w:t>mjeren</w:t>
      </w:r>
      <w:r w:rsidR="00EB329B" w:rsidRPr="00F24057">
        <w:rPr>
          <w:szCs w:val="22"/>
          <w:lang w:val="sr-Latn-ME"/>
        </w:rPr>
        <w:t xml:space="preserve">og do teškog oblika aktivnog ulceroznog kolitisa kod </w:t>
      </w:r>
      <w:r w:rsidR="00BF729F" w:rsidRPr="00F24057">
        <w:rPr>
          <w:szCs w:val="22"/>
          <w:lang w:val="sr-Latn-ME"/>
        </w:rPr>
        <w:t>pedijatrijskih</w:t>
      </w:r>
      <w:r w:rsidR="00EB329B" w:rsidRPr="00F24057">
        <w:rPr>
          <w:szCs w:val="22"/>
          <w:lang w:val="sr-Latn-ME"/>
        </w:rPr>
        <w:t xml:space="preserve"> pacijenata</w:t>
      </w:r>
      <w:r w:rsidR="00BF729F" w:rsidRPr="00F24057">
        <w:rPr>
          <w:szCs w:val="22"/>
          <w:lang w:val="sr-Latn-ME"/>
        </w:rPr>
        <w:t xml:space="preserve"> (uzrasta od 6 ili više godina)</w:t>
      </w:r>
      <w:r w:rsidR="00EB329B" w:rsidRPr="00F24057">
        <w:rPr>
          <w:szCs w:val="22"/>
          <w:lang w:val="sr-Latn-ME"/>
        </w:rPr>
        <w:t xml:space="preserve">, kod kojih nije postignut zadovoljavajući odgovor na konvencionalnu terapiju, uključujući kortikosteroide i 6-merkaptopurin (6-MP) ili azatioprin (AZA), ili kod kojih postoji intolerancija ili kontraindikacije na pomenutu konvencionalnu terapiju. </w:t>
      </w:r>
    </w:p>
    <w:p w14:paraId="53AF72E6" w14:textId="77777777" w:rsidR="007E56E3" w:rsidRPr="00F24057" w:rsidRDefault="007E56E3" w:rsidP="00D70B34">
      <w:pPr>
        <w:rPr>
          <w:szCs w:val="22"/>
          <w:lang w:val="sr-Latn-ME"/>
        </w:rPr>
      </w:pPr>
    </w:p>
    <w:p w14:paraId="4AE3C75F" w14:textId="77777777" w:rsidR="007E56E3" w:rsidRPr="00F24057" w:rsidRDefault="007E56E3" w:rsidP="00D70B34">
      <w:pPr>
        <w:rPr>
          <w:szCs w:val="22"/>
          <w:u w:val="single"/>
          <w:lang w:val="sr-Latn-ME"/>
        </w:rPr>
      </w:pPr>
      <w:r w:rsidRPr="00F24057">
        <w:rPr>
          <w:szCs w:val="22"/>
          <w:u w:val="single"/>
          <w:lang w:val="sr-Latn-ME"/>
        </w:rPr>
        <w:t xml:space="preserve">Uveitis </w:t>
      </w:r>
    </w:p>
    <w:p w14:paraId="6ACC1649" w14:textId="77777777" w:rsidR="007E56E3" w:rsidRPr="00F24057" w:rsidRDefault="007E56E3" w:rsidP="00D70B34">
      <w:pPr>
        <w:rPr>
          <w:szCs w:val="22"/>
          <w:lang w:val="sr-Latn-ME"/>
        </w:rPr>
      </w:pPr>
    </w:p>
    <w:p w14:paraId="6DF68368" w14:textId="6B340E35" w:rsidR="007E56E3"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7E56E3" w:rsidRPr="00F24057">
        <w:rPr>
          <w:szCs w:val="22"/>
          <w:lang w:val="sr-Latn-ME"/>
        </w:rPr>
        <w:t xml:space="preserve"> je indikovan za </w:t>
      </w:r>
      <w:r w:rsidRPr="00F24057">
        <w:rPr>
          <w:szCs w:val="22"/>
          <w:lang w:val="sr-Latn-ME"/>
        </w:rPr>
        <w:t>liječenje</w:t>
      </w:r>
      <w:r w:rsidR="007E56E3" w:rsidRPr="00F24057">
        <w:rPr>
          <w:szCs w:val="22"/>
          <w:lang w:val="sr-Latn-ME"/>
        </w:rPr>
        <w:t xml:space="preserve"> neinfektivnog intermedijalnog, posteriornog</w:t>
      </w:r>
      <w:r w:rsidR="00067FB0" w:rsidRPr="00F24057">
        <w:rPr>
          <w:szCs w:val="22"/>
          <w:lang w:val="sr-Latn-ME"/>
        </w:rPr>
        <w:t xml:space="preserve"> uveitisa</w:t>
      </w:r>
      <w:r w:rsidR="007E56E3" w:rsidRPr="00F24057">
        <w:rPr>
          <w:szCs w:val="22"/>
          <w:lang w:val="sr-Latn-ME"/>
        </w:rPr>
        <w:t xml:space="preserve"> i panuveitisa kod odraslih pacijenata, kod kojih nije postignut zadovoljavajući odgovor na kortikosteroide, kojima je potrebna </w:t>
      </w:r>
      <w:r w:rsidR="00266733" w:rsidRPr="00F24057">
        <w:rPr>
          <w:szCs w:val="22"/>
          <w:lang w:val="sr-Latn-ME"/>
        </w:rPr>
        <w:t>smanjena</w:t>
      </w:r>
      <w:r w:rsidR="007E56E3" w:rsidRPr="00F24057">
        <w:rPr>
          <w:szCs w:val="22"/>
          <w:lang w:val="sr-Latn-ME"/>
        </w:rPr>
        <w:t xml:space="preserve"> </w:t>
      </w:r>
      <w:r w:rsidRPr="00F24057">
        <w:rPr>
          <w:szCs w:val="22"/>
          <w:lang w:val="sr-Latn-ME"/>
        </w:rPr>
        <w:t>primjen</w:t>
      </w:r>
      <w:r w:rsidR="007E56E3" w:rsidRPr="00F24057">
        <w:rPr>
          <w:szCs w:val="22"/>
          <w:lang w:val="sr-Latn-ME"/>
        </w:rPr>
        <w:t xml:space="preserve">a kortikosteroida ili kod kojih </w:t>
      </w:r>
      <w:r w:rsidRPr="00F24057">
        <w:rPr>
          <w:szCs w:val="22"/>
          <w:lang w:val="sr-Latn-ME"/>
        </w:rPr>
        <w:t>liječenje</w:t>
      </w:r>
      <w:r w:rsidR="007E56E3" w:rsidRPr="00F24057">
        <w:rPr>
          <w:szCs w:val="22"/>
          <w:lang w:val="sr-Latn-ME"/>
        </w:rPr>
        <w:t xml:space="preserve"> kortikosteroidima nije prikladno. </w:t>
      </w:r>
    </w:p>
    <w:p w14:paraId="4310C73A" w14:textId="77777777" w:rsidR="007E56E3" w:rsidRPr="00F24057" w:rsidRDefault="007E56E3" w:rsidP="00D70B34">
      <w:pPr>
        <w:rPr>
          <w:szCs w:val="22"/>
          <w:lang w:val="sr-Latn-ME"/>
        </w:rPr>
      </w:pPr>
    </w:p>
    <w:p w14:paraId="25BEDE0A" w14:textId="77777777" w:rsidR="007E56E3" w:rsidRPr="00F24057" w:rsidRDefault="007E56E3" w:rsidP="00D70B34">
      <w:pPr>
        <w:rPr>
          <w:szCs w:val="22"/>
          <w:u w:val="single"/>
          <w:lang w:val="sr-Latn-ME"/>
        </w:rPr>
      </w:pPr>
      <w:r w:rsidRPr="00F24057">
        <w:rPr>
          <w:szCs w:val="22"/>
          <w:u w:val="single"/>
          <w:lang w:val="sr-Latn-ME"/>
        </w:rPr>
        <w:t xml:space="preserve">Pedijatrijski uveitis </w:t>
      </w:r>
    </w:p>
    <w:p w14:paraId="3A850DB9" w14:textId="77777777" w:rsidR="007E56E3" w:rsidRPr="00F24057" w:rsidRDefault="007E56E3" w:rsidP="00D70B34">
      <w:pPr>
        <w:rPr>
          <w:szCs w:val="22"/>
          <w:lang w:val="sr-Latn-ME"/>
        </w:rPr>
      </w:pPr>
    </w:p>
    <w:p w14:paraId="2762F48F" w14:textId="181CB79E" w:rsidR="007E56E3" w:rsidRPr="00F24057" w:rsidRDefault="0030064A" w:rsidP="00D70B34">
      <w:pPr>
        <w:rPr>
          <w:szCs w:val="22"/>
          <w:lang w:val="sr-Latn-ME"/>
        </w:rPr>
      </w:pPr>
      <w:r w:rsidRPr="00F24057">
        <w:rPr>
          <w:szCs w:val="22"/>
          <w:lang w:val="sr-Latn-ME"/>
        </w:rPr>
        <w:t xml:space="preserve">Lijek </w:t>
      </w:r>
      <w:r w:rsidR="00054C42" w:rsidRPr="00F24057">
        <w:rPr>
          <w:szCs w:val="22"/>
          <w:lang w:val="sr-Latn-ME"/>
        </w:rPr>
        <w:t>Hukyndra</w:t>
      </w:r>
      <w:r w:rsidR="007E56E3" w:rsidRPr="00F24057">
        <w:rPr>
          <w:szCs w:val="22"/>
          <w:lang w:val="sr-Latn-ME"/>
        </w:rPr>
        <w:t xml:space="preserve"> je indikovan za </w:t>
      </w:r>
      <w:r w:rsidRPr="00F24057">
        <w:rPr>
          <w:szCs w:val="22"/>
          <w:lang w:val="sr-Latn-ME"/>
        </w:rPr>
        <w:t>liječenje</w:t>
      </w:r>
      <w:r w:rsidR="007E56E3" w:rsidRPr="00F24057">
        <w:rPr>
          <w:szCs w:val="22"/>
          <w:lang w:val="sr-Latn-ME"/>
        </w:rPr>
        <w:t xml:space="preserve"> hroničnog neinfektivnog anteriornog uveitisa kod pedijatrijskih pacijenata uzrasta od 2 godine i starijih kod kojih nije postignut zadovoljavajući odgovor na konvencionalnu terapiju, </w:t>
      </w:r>
      <w:r w:rsidR="00266733" w:rsidRPr="00F24057">
        <w:rPr>
          <w:szCs w:val="22"/>
          <w:lang w:val="sr-Latn-ME"/>
        </w:rPr>
        <w:t>kod kojih postoji intolerancija na konvencionalnu terapiju ili kod kojih konvencionaln</w:t>
      </w:r>
      <w:r w:rsidR="00A7052E" w:rsidRPr="00F24057">
        <w:rPr>
          <w:szCs w:val="22"/>
          <w:lang w:val="sr-Latn-ME"/>
        </w:rPr>
        <w:t>a</w:t>
      </w:r>
      <w:r w:rsidR="00266733" w:rsidRPr="00F24057">
        <w:rPr>
          <w:szCs w:val="22"/>
          <w:lang w:val="sr-Latn-ME"/>
        </w:rPr>
        <w:t xml:space="preserve"> terapij</w:t>
      </w:r>
      <w:r w:rsidR="00A7052E" w:rsidRPr="00F24057">
        <w:rPr>
          <w:szCs w:val="22"/>
          <w:lang w:val="sr-Latn-ME"/>
        </w:rPr>
        <w:t>a nije prikladna</w:t>
      </w:r>
      <w:r w:rsidR="007E56E3" w:rsidRPr="00F24057">
        <w:rPr>
          <w:szCs w:val="22"/>
          <w:lang w:val="sr-Latn-ME"/>
        </w:rPr>
        <w:t>.</w:t>
      </w:r>
    </w:p>
    <w:p w14:paraId="072D43BE" w14:textId="77777777" w:rsidR="00CE09F3" w:rsidRPr="00F24057" w:rsidRDefault="00CE09F3" w:rsidP="00D70B34">
      <w:pPr>
        <w:rPr>
          <w:szCs w:val="22"/>
          <w:lang w:val="sr-Latn-ME"/>
        </w:rPr>
      </w:pPr>
    </w:p>
    <w:p w14:paraId="072D43BF" w14:textId="445749B9" w:rsidR="00CE09F3" w:rsidRPr="00F24057" w:rsidRDefault="00CE09F3" w:rsidP="00D70B34">
      <w:pPr>
        <w:rPr>
          <w:b/>
          <w:bCs/>
          <w:szCs w:val="22"/>
          <w:lang w:val="sr-Latn-ME"/>
        </w:rPr>
      </w:pPr>
      <w:r w:rsidRPr="00F24057">
        <w:rPr>
          <w:b/>
          <w:bCs/>
          <w:szCs w:val="22"/>
          <w:lang w:val="sr-Latn-ME"/>
        </w:rPr>
        <w:t xml:space="preserve">4.2. Doziranje i način </w:t>
      </w:r>
      <w:r w:rsidR="0030064A" w:rsidRPr="00F24057">
        <w:rPr>
          <w:b/>
          <w:bCs/>
          <w:szCs w:val="22"/>
          <w:lang w:val="sr-Latn-ME"/>
        </w:rPr>
        <w:t>primjen</w:t>
      </w:r>
      <w:r w:rsidRPr="00F24057">
        <w:rPr>
          <w:b/>
          <w:bCs/>
          <w:szCs w:val="22"/>
          <w:lang w:val="sr-Latn-ME"/>
        </w:rPr>
        <w:t>e</w:t>
      </w:r>
    </w:p>
    <w:p w14:paraId="072D43C0" w14:textId="7DCAA1C4" w:rsidR="00CE09F3" w:rsidRPr="00F24057" w:rsidRDefault="00CE09F3" w:rsidP="00D70B34">
      <w:pPr>
        <w:rPr>
          <w:szCs w:val="22"/>
          <w:lang w:val="sr-Latn-ME"/>
        </w:rPr>
      </w:pPr>
    </w:p>
    <w:p w14:paraId="67EFFC93" w14:textId="3A3E69D1" w:rsidR="00F15228" w:rsidRPr="00F24057" w:rsidRDefault="004562B1" w:rsidP="00D70B34">
      <w:pPr>
        <w:rPr>
          <w:szCs w:val="22"/>
          <w:lang w:val="sr-Latn-ME"/>
        </w:rPr>
      </w:pPr>
      <w:r w:rsidRPr="00F24057">
        <w:rPr>
          <w:szCs w:val="22"/>
          <w:lang w:val="sr-Latn-ME"/>
        </w:rPr>
        <w:t>Terapiju</w:t>
      </w:r>
      <w:r w:rsidR="00F15228" w:rsidRPr="00F24057">
        <w:rPr>
          <w:szCs w:val="22"/>
          <w:lang w:val="sr-Latn-ME"/>
        </w:rPr>
        <w:t xml:space="preserve"> </w:t>
      </w:r>
      <w:r w:rsidR="00885A78" w:rsidRPr="00F24057">
        <w:rPr>
          <w:szCs w:val="22"/>
          <w:lang w:val="sr-Latn-ME"/>
        </w:rPr>
        <w:t>lijekom</w:t>
      </w:r>
      <w:r w:rsidR="00F15228" w:rsidRPr="00F24057">
        <w:rPr>
          <w:szCs w:val="22"/>
          <w:lang w:val="sr-Latn-ME"/>
        </w:rPr>
        <w:t xml:space="preserve"> </w:t>
      </w:r>
      <w:r w:rsidR="00652907" w:rsidRPr="00F24057">
        <w:rPr>
          <w:szCs w:val="22"/>
          <w:lang w:val="sr-Latn-ME"/>
        </w:rPr>
        <w:t>Hukyndra</w:t>
      </w:r>
      <w:r w:rsidR="00F15228" w:rsidRPr="00F24057">
        <w:rPr>
          <w:szCs w:val="22"/>
          <w:lang w:val="sr-Latn-ME"/>
        </w:rPr>
        <w:t xml:space="preserve"> moraju da započnu i da nadziru </w:t>
      </w:r>
      <w:r w:rsidR="0030064A" w:rsidRPr="00F24057">
        <w:rPr>
          <w:szCs w:val="22"/>
          <w:lang w:val="sr-Latn-ME"/>
        </w:rPr>
        <w:t>ljekar</w:t>
      </w:r>
      <w:r w:rsidR="00F15228" w:rsidRPr="00F24057">
        <w:rPr>
          <w:szCs w:val="22"/>
          <w:lang w:val="sr-Latn-ME"/>
        </w:rPr>
        <w:t xml:space="preserve">i specijalisti sa iskustvom u dijagnostici i </w:t>
      </w:r>
      <w:r w:rsidR="00885A78" w:rsidRPr="00F24057">
        <w:rPr>
          <w:szCs w:val="22"/>
          <w:lang w:val="sr-Latn-ME"/>
        </w:rPr>
        <w:t>liječenj</w:t>
      </w:r>
      <w:r w:rsidR="00F15228" w:rsidRPr="00F24057">
        <w:rPr>
          <w:szCs w:val="22"/>
          <w:lang w:val="sr-Latn-ME"/>
        </w:rPr>
        <w:t xml:space="preserve">u stanja za koja je </w:t>
      </w:r>
      <w:r w:rsidR="0030064A" w:rsidRPr="00F24057">
        <w:rPr>
          <w:szCs w:val="22"/>
          <w:lang w:val="sr-Latn-ME"/>
        </w:rPr>
        <w:t xml:space="preserve">lijek </w:t>
      </w:r>
      <w:r w:rsidR="00652907" w:rsidRPr="00F24057">
        <w:rPr>
          <w:szCs w:val="22"/>
          <w:lang w:val="sr-Latn-ME"/>
        </w:rPr>
        <w:t>Hukyndra</w:t>
      </w:r>
      <w:r w:rsidR="00F15228" w:rsidRPr="00F24057">
        <w:rPr>
          <w:szCs w:val="22"/>
          <w:lang w:val="sr-Latn-ME"/>
        </w:rPr>
        <w:t xml:space="preserve"> indikovan. Oftalmolozima se preporučuje da se </w:t>
      </w:r>
      <w:r w:rsidR="00FC7E67" w:rsidRPr="00F24057">
        <w:rPr>
          <w:szCs w:val="22"/>
          <w:lang w:val="sr-Latn-ME"/>
        </w:rPr>
        <w:t>konsultuju</w:t>
      </w:r>
      <w:r w:rsidR="00F15228" w:rsidRPr="00F24057">
        <w:rPr>
          <w:szCs w:val="22"/>
          <w:lang w:val="sr-Latn-ME"/>
        </w:rPr>
        <w:t xml:space="preserve"> sa odgovarajućim specijalistom </w:t>
      </w:r>
      <w:r w:rsidR="00885A78" w:rsidRPr="00F24057">
        <w:rPr>
          <w:szCs w:val="22"/>
          <w:lang w:val="sr-Latn-ME"/>
        </w:rPr>
        <w:t xml:space="preserve">prije </w:t>
      </w:r>
      <w:r w:rsidR="00F15228" w:rsidRPr="00F24057">
        <w:rPr>
          <w:szCs w:val="22"/>
          <w:lang w:val="sr-Latn-ME"/>
        </w:rPr>
        <w:t xml:space="preserve">nego što započnu terapiju </w:t>
      </w:r>
      <w:r w:rsidR="00885A78" w:rsidRPr="00F24057">
        <w:rPr>
          <w:szCs w:val="22"/>
          <w:lang w:val="sr-Latn-ME"/>
        </w:rPr>
        <w:t>lijekom</w:t>
      </w:r>
      <w:r w:rsidR="00F15228" w:rsidRPr="00F24057">
        <w:rPr>
          <w:szCs w:val="22"/>
          <w:lang w:val="sr-Latn-ME"/>
        </w:rPr>
        <w:t xml:space="preserve"> </w:t>
      </w:r>
      <w:r w:rsidR="00652907" w:rsidRPr="00F24057">
        <w:rPr>
          <w:szCs w:val="22"/>
          <w:lang w:val="sr-Latn-ME"/>
        </w:rPr>
        <w:t>Hukyndra</w:t>
      </w:r>
      <w:r w:rsidR="00F15228" w:rsidRPr="00F24057">
        <w:rPr>
          <w:szCs w:val="22"/>
          <w:lang w:val="sr-Latn-ME"/>
        </w:rPr>
        <w:t xml:space="preserve"> (</w:t>
      </w:r>
      <w:r w:rsidR="007B39D0" w:rsidRPr="00F24057">
        <w:rPr>
          <w:szCs w:val="22"/>
          <w:lang w:val="sr-Latn-ME"/>
        </w:rPr>
        <w:t xml:space="preserve">pogledati dio </w:t>
      </w:r>
      <w:r w:rsidR="00F15228" w:rsidRPr="00F24057">
        <w:rPr>
          <w:szCs w:val="22"/>
          <w:lang w:val="sr-Latn-ME"/>
        </w:rPr>
        <w:t xml:space="preserve">4.4). Pacijentima koji se </w:t>
      </w:r>
      <w:r w:rsidR="00885A78" w:rsidRPr="00F24057">
        <w:rPr>
          <w:szCs w:val="22"/>
          <w:lang w:val="sr-Latn-ME"/>
        </w:rPr>
        <w:t>liječe</w:t>
      </w:r>
      <w:r w:rsidR="00F15228" w:rsidRPr="00F24057">
        <w:rPr>
          <w:szCs w:val="22"/>
          <w:lang w:val="sr-Latn-ME"/>
        </w:rPr>
        <w:t xml:space="preserve"> </w:t>
      </w:r>
      <w:r w:rsidR="00885A78" w:rsidRPr="00F24057">
        <w:rPr>
          <w:szCs w:val="22"/>
          <w:lang w:val="sr-Latn-ME"/>
        </w:rPr>
        <w:t>lijekom</w:t>
      </w:r>
      <w:r w:rsidR="00F15228" w:rsidRPr="00F24057">
        <w:rPr>
          <w:szCs w:val="22"/>
          <w:lang w:val="sr-Latn-ME"/>
        </w:rPr>
        <w:t xml:space="preserve"> </w:t>
      </w:r>
      <w:r w:rsidR="00652907" w:rsidRPr="00F24057">
        <w:rPr>
          <w:szCs w:val="22"/>
          <w:lang w:val="sr-Latn-ME"/>
        </w:rPr>
        <w:t>Hukyndra</w:t>
      </w:r>
      <w:r w:rsidR="00F15228" w:rsidRPr="00F24057">
        <w:rPr>
          <w:szCs w:val="22"/>
          <w:lang w:val="sr-Latn-ME"/>
        </w:rPr>
        <w:t xml:space="preserve"> treba dati </w:t>
      </w:r>
      <w:r w:rsidR="00DE770A" w:rsidRPr="00F24057">
        <w:rPr>
          <w:szCs w:val="22"/>
          <w:lang w:val="sr-Latn-ME"/>
        </w:rPr>
        <w:t>K</w:t>
      </w:r>
      <w:r w:rsidR="00F15228" w:rsidRPr="00F24057">
        <w:rPr>
          <w:szCs w:val="22"/>
          <w:lang w:val="sr-Latn-ME"/>
        </w:rPr>
        <w:t xml:space="preserve">articu sa </w:t>
      </w:r>
      <w:r w:rsidR="007E5568" w:rsidRPr="00F24057">
        <w:rPr>
          <w:szCs w:val="22"/>
          <w:lang w:val="sr-Latn-ME"/>
        </w:rPr>
        <w:t>podsjet</w:t>
      </w:r>
      <w:r w:rsidR="00F15228" w:rsidRPr="00F24057">
        <w:rPr>
          <w:szCs w:val="22"/>
          <w:lang w:val="sr-Latn-ME"/>
        </w:rPr>
        <w:t xml:space="preserve">nikom za pacijenta. </w:t>
      </w:r>
    </w:p>
    <w:p w14:paraId="75A2BB83" w14:textId="77777777" w:rsidR="00F15228" w:rsidRPr="00F24057" w:rsidRDefault="00F15228" w:rsidP="00D70B34">
      <w:pPr>
        <w:rPr>
          <w:szCs w:val="22"/>
          <w:lang w:val="sr-Latn-ME"/>
        </w:rPr>
      </w:pPr>
    </w:p>
    <w:p w14:paraId="54328852" w14:textId="79F8FAC7" w:rsidR="00F15228" w:rsidRPr="00F24057" w:rsidRDefault="00F15228" w:rsidP="00D70B34">
      <w:pPr>
        <w:rPr>
          <w:szCs w:val="22"/>
          <w:lang w:val="sr-Latn-ME"/>
        </w:rPr>
      </w:pPr>
      <w:r w:rsidRPr="00F24057">
        <w:rPr>
          <w:szCs w:val="22"/>
          <w:lang w:val="sr-Latn-ME"/>
        </w:rPr>
        <w:t xml:space="preserve">Nakon odgovarajuće obuke o </w:t>
      </w:r>
      <w:r w:rsidR="00FC7E67" w:rsidRPr="00F24057">
        <w:rPr>
          <w:szCs w:val="22"/>
          <w:lang w:val="sr-Latn-ME"/>
        </w:rPr>
        <w:t xml:space="preserve">načinu </w:t>
      </w:r>
      <w:r w:rsidR="0030064A" w:rsidRPr="00F24057">
        <w:rPr>
          <w:szCs w:val="22"/>
          <w:lang w:val="sr-Latn-ME"/>
        </w:rPr>
        <w:t>primjen</w:t>
      </w:r>
      <w:r w:rsidR="00FC7E67" w:rsidRPr="00F24057">
        <w:rPr>
          <w:szCs w:val="22"/>
          <w:lang w:val="sr-Latn-ME"/>
        </w:rPr>
        <w:t>e</w:t>
      </w:r>
      <w:r w:rsidRPr="00F24057">
        <w:rPr>
          <w:szCs w:val="22"/>
          <w:lang w:val="sr-Latn-ME"/>
        </w:rPr>
        <w:t xml:space="preserve"> injekcija, pacijenti mogu sami sebi da daju injekcije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ako njihov </w:t>
      </w:r>
      <w:r w:rsidR="0030064A" w:rsidRPr="00F24057">
        <w:rPr>
          <w:szCs w:val="22"/>
          <w:lang w:val="sr-Latn-ME"/>
        </w:rPr>
        <w:t>ljekar</w:t>
      </w:r>
      <w:r w:rsidRPr="00F24057">
        <w:rPr>
          <w:szCs w:val="22"/>
          <w:lang w:val="sr-Latn-ME"/>
        </w:rPr>
        <w:t xml:space="preserve"> </w:t>
      </w:r>
      <w:r w:rsidR="00885A78" w:rsidRPr="00F24057">
        <w:rPr>
          <w:szCs w:val="22"/>
          <w:lang w:val="sr-Latn-ME"/>
        </w:rPr>
        <w:t>procjeni</w:t>
      </w:r>
      <w:r w:rsidRPr="00F24057">
        <w:rPr>
          <w:szCs w:val="22"/>
          <w:lang w:val="sr-Latn-ME"/>
        </w:rPr>
        <w:t xml:space="preserve"> da je to moguće sprovesti, uz medicinsko praćenje po potrebi. </w:t>
      </w:r>
    </w:p>
    <w:p w14:paraId="0FD57971" w14:textId="77777777" w:rsidR="00F15228" w:rsidRPr="00F24057" w:rsidRDefault="00F15228" w:rsidP="00D70B34">
      <w:pPr>
        <w:rPr>
          <w:szCs w:val="22"/>
          <w:lang w:val="sr-Latn-ME"/>
        </w:rPr>
      </w:pPr>
    </w:p>
    <w:p w14:paraId="61ACD1D7" w14:textId="1ABAB673" w:rsidR="00F15228" w:rsidRPr="00F24057" w:rsidRDefault="00F15228" w:rsidP="00D70B34">
      <w:pPr>
        <w:rPr>
          <w:szCs w:val="22"/>
          <w:lang w:val="sr-Latn-ME"/>
        </w:rPr>
      </w:pPr>
      <w:r w:rsidRPr="00F24057">
        <w:rPr>
          <w:szCs w:val="22"/>
          <w:lang w:val="sr-Latn-ME"/>
        </w:rPr>
        <w:t xml:space="preserve">Tokom terapije </w:t>
      </w:r>
      <w:r w:rsidR="00885A78" w:rsidRPr="00F24057">
        <w:rPr>
          <w:szCs w:val="22"/>
          <w:lang w:val="sr-Latn-ME"/>
        </w:rPr>
        <w:t>lijekom</w:t>
      </w:r>
      <w:r w:rsidRPr="00F24057">
        <w:rPr>
          <w:szCs w:val="22"/>
          <w:lang w:val="sr-Latn-ME"/>
        </w:rPr>
        <w:t xml:space="preserve"> </w:t>
      </w:r>
      <w:r w:rsidR="00652907" w:rsidRPr="00F24057">
        <w:rPr>
          <w:szCs w:val="22"/>
          <w:lang w:val="sr-Latn-ME"/>
        </w:rPr>
        <w:t>Hukyndra</w:t>
      </w:r>
      <w:r w:rsidRPr="00F24057">
        <w:rPr>
          <w:szCs w:val="22"/>
          <w:lang w:val="sr-Latn-ME"/>
        </w:rPr>
        <w:t xml:space="preserve"> treba prilagoditi ostalu istovremeno </w:t>
      </w:r>
      <w:r w:rsidR="009811CA" w:rsidRPr="00F24057">
        <w:rPr>
          <w:szCs w:val="22"/>
          <w:lang w:val="sr-Latn-ME"/>
        </w:rPr>
        <w:t>primijenje</w:t>
      </w:r>
      <w:r w:rsidRPr="00F24057">
        <w:rPr>
          <w:szCs w:val="22"/>
          <w:lang w:val="sr-Latn-ME"/>
        </w:rPr>
        <w:t xml:space="preserve">nu terapiju (npr. </w:t>
      </w:r>
      <w:r w:rsidR="001438A3" w:rsidRPr="00F24057">
        <w:rPr>
          <w:szCs w:val="22"/>
          <w:lang w:val="sr-Latn-ME"/>
        </w:rPr>
        <w:t>k</w:t>
      </w:r>
      <w:r w:rsidRPr="00F24057">
        <w:rPr>
          <w:szCs w:val="22"/>
          <w:lang w:val="sr-Latn-ME"/>
        </w:rPr>
        <w:t>ortikosteroide i/ili imunomodulatore).</w:t>
      </w:r>
    </w:p>
    <w:p w14:paraId="4AFA80A1" w14:textId="07257BC1" w:rsidR="008D37E9" w:rsidRPr="00F24057" w:rsidRDefault="008D37E9" w:rsidP="00D70B34">
      <w:pPr>
        <w:rPr>
          <w:szCs w:val="22"/>
          <w:lang w:val="sr-Latn-ME"/>
        </w:rPr>
      </w:pPr>
    </w:p>
    <w:p w14:paraId="440957BB" w14:textId="688BDCB1" w:rsidR="008D37E9" w:rsidRPr="00F24057" w:rsidRDefault="0030064A" w:rsidP="00D70B34">
      <w:pPr>
        <w:rPr>
          <w:szCs w:val="22"/>
          <w:lang w:val="sr-Latn-ME"/>
        </w:rPr>
      </w:pPr>
      <w:r w:rsidRPr="00F24057">
        <w:rPr>
          <w:szCs w:val="22"/>
          <w:lang w:val="sr-Latn-ME"/>
        </w:rPr>
        <w:t xml:space="preserve">Lijek </w:t>
      </w:r>
      <w:r w:rsidR="005D7A79" w:rsidRPr="00F24057">
        <w:rPr>
          <w:szCs w:val="22"/>
          <w:lang w:val="sr-Latn-ME"/>
        </w:rPr>
        <w:t>H</w:t>
      </w:r>
      <w:r w:rsidR="000C6E54" w:rsidRPr="00F24057">
        <w:rPr>
          <w:szCs w:val="22"/>
          <w:lang w:val="sr-Latn-ME"/>
        </w:rPr>
        <w:t>u</w:t>
      </w:r>
      <w:r w:rsidR="005D7A79" w:rsidRPr="00F24057">
        <w:rPr>
          <w:szCs w:val="22"/>
          <w:lang w:val="sr-Latn-ME"/>
        </w:rPr>
        <w:t>k</w:t>
      </w:r>
      <w:r w:rsidR="000C6E54" w:rsidRPr="00F24057">
        <w:rPr>
          <w:szCs w:val="22"/>
          <w:lang w:val="sr-Latn-ME"/>
        </w:rPr>
        <w:t>y</w:t>
      </w:r>
      <w:r w:rsidR="005D7A79" w:rsidRPr="00F24057">
        <w:rPr>
          <w:szCs w:val="22"/>
          <w:lang w:val="sr-Latn-ME"/>
        </w:rPr>
        <w:t xml:space="preserve">ndra je dostupan samo kao napunjeni </w:t>
      </w:r>
      <w:r w:rsidR="008E4FC4" w:rsidRPr="00F24057">
        <w:rPr>
          <w:szCs w:val="22"/>
          <w:lang w:val="sr-Latn-ME"/>
        </w:rPr>
        <w:t xml:space="preserve">injekcioni </w:t>
      </w:r>
      <w:r w:rsidR="005D7A79" w:rsidRPr="00F24057">
        <w:rPr>
          <w:szCs w:val="22"/>
          <w:lang w:val="sr-Latn-ME"/>
        </w:rPr>
        <w:t xml:space="preserve">špric od 40 mg, napunjeni </w:t>
      </w:r>
      <w:r w:rsidR="008E4FC4" w:rsidRPr="00F24057">
        <w:rPr>
          <w:szCs w:val="22"/>
          <w:lang w:val="sr-Latn-ME"/>
        </w:rPr>
        <w:t xml:space="preserve">injekcioni </w:t>
      </w:r>
      <w:r w:rsidR="005D7A79" w:rsidRPr="00F24057">
        <w:rPr>
          <w:szCs w:val="22"/>
          <w:lang w:val="sr-Latn-ME"/>
        </w:rPr>
        <w:t>pen od 40 mg i napunjen</w:t>
      </w:r>
      <w:r w:rsidR="00B076A7" w:rsidRPr="00F24057">
        <w:rPr>
          <w:szCs w:val="22"/>
          <w:lang w:val="sr-Latn-ME"/>
        </w:rPr>
        <w:t xml:space="preserve"> injekcioni </w:t>
      </w:r>
      <w:r w:rsidR="005D7A79" w:rsidRPr="00F24057">
        <w:rPr>
          <w:szCs w:val="22"/>
          <w:lang w:val="sr-Latn-ME"/>
        </w:rPr>
        <w:t xml:space="preserve">špric od 80 mg. Stoga, nije </w:t>
      </w:r>
      <w:r w:rsidR="005600EF" w:rsidRPr="00F24057">
        <w:rPr>
          <w:szCs w:val="22"/>
          <w:lang w:val="sr-Latn-ME"/>
        </w:rPr>
        <w:t>moguće</w:t>
      </w:r>
      <w:r w:rsidR="005D7A79" w:rsidRPr="00F24057">
        <w:rPr>
          <w:szCs w:val="22"/>
          <w:lang w:val="sr-Latn-ME"/>
        </w:rPr>
        <w:t xml:space="preserve"> davati </w:t>
      </w:r>
      <w:r w:rsidRPr="00F24057">
        <w:rPr>
          <w:szCs w:val="22"/>
          <w:lang w:val="sr-Latn-ME"/>
        </w:rPr>
        <w:t xml:space="preserve">lijek </w:t>
      </w:r>
      <w:r w:rsidR="005D7A79" w:rsidRPr="00F24057">
        <w:rPr>
          <w:szCs w:val="22"/>
          <w:lang w:val="sr-Latn-ME"/>
        </w:rPr>
        <w:t>H</w:t>
      </w:r>
      <w:r w:rsidR="00976CE1" w:rsidRPr="00F24057">
        <w:rPr>
          <w:szCs w:val="22"/>
          <w:lang w:val="sr-Latn-ME"/>
        </w:rPr>
        <w:t>uky</w:t>
      </w:r>
      <w:r w:rsidR="005D7A79" w:rsidRPr="00F24057">
        <w:rPr>
          <w:szCs w:val="22"/>
          <w:lang w:val="sr-Latn-ME"/>
        </w:rPr>
        <w:t xml:space="preserve">ndra pacijentima kojima je potrebna manja doza od 40 mg. Ako je potrebna alternativna doza, treba koristiti druge </w:t>
      </w:r>
      <w:r w:rsidRPr="00F24057">
        <w:rPr>
          <w:szCs w:val="22"/>
          <w:lang w:val="sr-Latn-ME"/>
        </w:rPr>
        <w:t>ljekov</w:t>
      </w:r>
      <w:r w:rsidR="0032598F" w:rsidRPr="00F24057">
        <w:rPr>
          <w:szCs w:val="22"/>
          <w:lang w:val="sr-Latn-ME"/>
        </w:rPr>
        <w:t>e koji sadrže</w:t>
      </w:r>
      <w:r w:rsidR="005D7A79" w:rsidRPr="00F24057">
        <w:rPr>
          <w:szCs w:val="22"/>
          <w:lang w:val="sr-Latn-ME"/>
        </w:rPr>
        <w:t xml:space="preserve"> adalimumab </w:t>
      </w:r>
      <w:r w:rsidR="005600EF" w:rsidRPr="00F24057">
        <w:rPr>
          <w:szCs w:val="22"/>
          <w:lang w:val="sr-Latn-ME"/>
        </w:rPr>
        <w:t xml:space="preserve">i omogućavaju </w:t>
      </w:r>
      <w:r w:rsidRPr="00F24057">
        <w:rPr>
          <w:szCs w:val="22"/>
          <w:lang w:val="sr-Latn-ME"/>
        </w:rPr>
        <w:t>primjen</w:t>
      </w:r>
      <w:r w:rsidR="005600EF" w:rsidRPr="00F24057">
        <w:rPr>
          <w:szCs w:val="22"/>
          <w:lang w:val="sr-Latn-ME"/>
        </w:rPr>
        <w:t>u odgovarajuće doze</w:t>
      </w:r>
      <w:r w:rsidR="005D7A79" w:rsidRPr="00F24057">
        <w:rPr>
          <w:szCs w:val="22"/>
          <w:lang w:val="sr-Latn-ME"/>
        </w:rPr>
        <w:t>.</w:t>
      </w:r>
    </w:p>
    <w:p w14:paraId="6BA24EB6" w14:textId="77777777" w:rsidR="008E4FC4" w:rsidRPr="00F24057" w:rsidRDefault="008E4FC4" w:rsidP="00D70B34">
      <w:pPr>
        <w:rPr>
          <w:szCs w:val="22"/>
          <w:lang w:val="sr-Latn-ME"/>
        </w:rPr>
      </w:pPr>
    </w:p>
    <w:p w14:paraId="3960F926" w14:textId="77777777" w:rsidR="00FF33EF" w:rsidRPr="00F24057" w:rsidRDefault="00FF33EF" w:rsidP="00D70B34">
      <w:pPr>
        <w:rPr>
          <w:szCs w:val="22"/>
          <w:u w:val="single"/>
          <w:lang w:val="sr-Latn-ME"/>
        </w:rPr>
      </w:pPr>
      <w:r w:rsidRPr="00F24057">
        <w:rPr>
          <w:szCs w:val="22"/>
          <w:u w:val="single"/>
          <w:lang w:val="sr-Latn-ME"/>
        </w:rPr>
        <w:t xml:space="preserve">Doziranje </w:t>
      </w:r>
    </w:p>
    <w:p w14:paraId="1DCD07FF" w14:textId="77777777" w:rsidR="00FF33EF" w:rsidRPr="00F24057" w:rsidRDefault="00FF33EF" w:rsidP="00D70B34">
      <w:pPr>
        <w:rPr>
          <w:szCs w:val="22"/>
          <w:lang w:val="sr-Latn-ME"/>
        </w:rPr>
      </w:pPr>
    </w:p>
    <w:p w14:paraId="0854EC81" w14:textId="77777777" w:rsidR="00FF33EF" w:rsidRPr="00F24057" w:rsidRDefault="00FF33EF" w:rsidP="00D70B34">
      <w:pPr>
        <w:rPr>
          <w:i/>
          <w:iCs/>
          <w:szCs w:val="22"/>
          <w:lang w:val="sr-Latn-ME"/>
        </w:rPr>
      </w:pPr>
      <w:r w:rsidRPr="00F24057">
        <w:rPr>
          <w:i/>
          <w:iCs/>
          <w:szCs w:val="22"/>
          <w:lang w:val="sr-Latn-ME"/>
        </w:rPr>
        <w:t xml:space="preserve">Reumatoidni artritis </w:t>
      </w:r>
    </w:p>
    <w:p w14:paraId="39D90FCA" w14:textId="50A856E2" w:rsidR="00FF33EF" w:rsidRPr="00F24057" w:rsidRDefault="00FF33EF" w:rsidP="00D70B34">
      <w:pPr>
        <w:rPr>
          <w:szCs w:val="22"/>
          <w:lang w:val="sr-Latn-ME"/>
        </w:rPr>
      </w:pPr>
      <w:r w:rsidRPr="00F24057">
        <w:rPr>
          <w:szCs w:val="22"/>
          <w:lang w:val="sr-Latn-ME"/>
        </w:rPr>
        <w:t xml:space="preserve">Kod odraslih pacijenata sa reumatoidnim artritisom preporučena doza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iznosi 40 mg adalimumaba, a </w:t>
      </w:r>
      <w:r w:rsidR="0030064A" w:rsidRPr="00F24057">
        <w:rPr>
          <w:szCs w:val="22"/>
          <w:lang w:val="sr-Latn-ME"/>
        </w:rPr>
        <w:t>primjen</w:t>
      </w:r>
      <w:r w:rsidR="00023C5B" w:rsidRPr="00F24057">
        <w:rPr>
          <w:szCs w:val="22"/>
          <w:lang w:val="sr-Latn-ME"/>
        </w:rPr>
        <w:t xml:space="preserve">juje </w:t>
      </w:r>
      <w:r w:rsidRPr="00F24057">
        <w:rPr>
          <w:szCs w:val="22"/>
          <w:lang w:val="sr-Latn-ME"/>
        </w:rPr>
        <w:t xml:space="preserve">se kao jednokratna doza svake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supkutanom injekcijom. Za </w:t>
      </w:r>
      <w:r w:rsidR="009811CA" w:rsidRPr="00F24057">
        <w:rPr>
          <w:szCs w:val="22"/>
          <w:lang w:val="sr-Latn-ME"/>
        </w:rPr>
        <w:t>vr</w:t>
      </w:r>
      <w:r w:rsidR="00C54CB6" w:rsidRPr="00F24057">
        <w:rPr>
          <w:szCs w:val="22"/>
          <w:lang w:val="sr-Latn-ME"/>
        </w:rPr>
        <w:t>ijeme</w:t>
      </w:r>
      <w:r w:rsidR="007E5568" w:rsidRPr="00F24057">
        <w:rPr>
          <w:szCs w:val="22"/>
          <w:lang w:val="sr-Latn-ME"/>
        </w:rPr>
        <w:t xml:space="preserve"> </w:t>
      </w:r>
      <w:r w:rsidRPr="00F24057">
        <w:rPr>
          <w:szCs w:val="22"/>
          <w:lang w:val="sr-Latn-ME"/>
        </w:rPr>
        <w:t xml:space="preserve">terapije </w:t>
      </w:r>
      <w:r w:rsidR="00885A78" w:rsidRPr="00F24057">
        <w:rPr>
          <w:szCs w:val="22"/>
          <w:lang w:val="sr-Latn-ME"/>
        </w:rPr>
        <w:t>lijekom</w:t>
      </w:r>
      <w:r w:rsidRPr="00F24057">
        <w:rPr>
          <w:szCs w:val="22"/>
          <w:lang w:val="sr-Latn-ME"/>
        </w:rPr>
        <w:t xml:space="preserve"> </w:t>
      </w:r>
      <w:r w:rsidR="00652907" w:rsidRPr="00F24057">
        <w:rPr>
          <w:szCs w:val="22"/>
          <w:lang w:val="sr-Latn-ME"/>
        </w:rPr>
        <w:t>Hukyndra</w:t>
      </w:r>
      <w:r w:rsidRPr="00F24057">
        <w:rPr>
          <w:szCs w:val="22"/>
          <w:lang w:val="sr-Latn-ME"/>
        </w:rPr>
        <w:t xml:space="preserve"> treba nastaviti </w:t>
      </w:r>
      <w:r w:rsidR="0030064A" w:rsidRPr="00F24057">
        <w:rPr>
          <w:szCs w:val="22"/>
          <w:lang w:val="sr-Latn-ME"/>
        </w:rPr>
        <w:t>primjen</w:t>
      </w:r>
      <w:r w:rsidRPr="00F24057">
        <w:rPr>
          <w:szCs w:val="22"/>
          <w:lang w:val="sr-Latn-ME"/>
        </w:rPr>
        <w:t xml:space="preserve">u metotreksata. </w:t>
      </w:r>
    </w:p>
    <w:p w14:paraId="3B19118F" w14:textId="77777777" w:rsidR="00FF33EF" w:rsidRPr="00F24057" w:rsidRDefault="00FF33EF" w:rsidP="00D70B34">
      <w:pPr>
        <w:rPr>
          <w:szCs w:val="22"/>
          <w:lang w:val="sr-Latn-ME"/>
        </w:rPr>
      </w:pPr>
    </w:p>
    <w:p w14:paraId="2192BB85" w14:textId="23574509" w:rsidR="00FF33EF" w:rsidRPr="00F24057" w:rsidRDefault="006838D9" w:rsidP="00D70B34">
      <w:pPr>
        <w:rPr>
          <w:szCs w:val="22"/>
          <w:lang w:val="sr-Latn-ME"/>
        </w:rPr>
      </w:pPr>
      <w:r w:rsidRPr="00F24057">
        <w:rPr>
          <w:szCs w:val="22"/>
          <w:lang w:val="sr-Latn-ME"/>
        </w:rPr>
        <w:t xml:space="preserve">Glukokortikoidi, salicilati, nesteroidni antiinflamatorni </w:t>
      </w:r>
      <w:r w:rsidR="0030064A" w:rsidRPr="00F24057">
        <w:rPr>
          <w:szCs w:val="22"/>
          <w:lang w:val="sr-Latn-ME"/>
        </w:rPr>
        <w:t>ljekov</w:t>
      </w:r>
      <w:r w:rsidRPr="00F24057">
        <w:rPr>
          <w:szCs w:val="22"/>
          <w:lang w:val="sr-Latn-ME"/>
        </w:rPr>
        <w:t xml:space="preserve">i ili analgetici mogu se i dalje </w:t>
      </w:r>
      <w:r w:rsidR="0030064A" w:rsidRPr="00F24057">
        <w:rPr>
          <w:szCs w:val="22"/>
          <w:lang w:val="sr-Latn-ME"/>
        </w:rPr>
        <w:t>primjen</w:t>
      </w:r>
      <w:r w:rsidR="005600EF" w:rsidRPr="00F24057">
        <w:rPr>
          <w:szCs w:val="22"/>
          <w:lang w:val="sr-Latn-ME"/>
        </w:rPr>
        <w:t>jivat</w:t>
      </w:r>
      <w:r w:rsidRPr="00F24057">
        <w:rPr>
          <w:szCs w:val="22"/>
          <w:lang w:val="sr-Latn-ME"/>
        </w:rPr>
        <w:t>i</w:t>
      </w:r>
      <w:r w:rsidR="005600EF" w:rsidRPr="00F24057">
        <w:rPr>
          <w:szCs w:val="22"/>
          <w:lang w:val="sr-Latn-ME"/>
        </w:rPr>
        <w:t xml:space="preserve"> za </w:t>
      </w:r>
      <w:r w:rsidR="009811CA" w:rsidRPr="00F24057">
        <w:rPr>
          <w:szCs w:val="22"/>
          <w:lang w:val="sr-Latn-ME"/>
        </w:rPr>
        <w:t>vr</w:t>
      </w:r>
      <w:r w:rsidR="00D02388" w:rsidRPr="00F24057">
        <w:rPr>
          <w:szCs w:val="22"/>
          <w:lang w:val="sr-Latn-ME"/>
        </w:rPr>
        <w:t>ij</w:t>
      </w:r>
      <w:r w:rsidR="009811CA" w:rsidRPr="00F24057">
        <w:rPr>
          <w:szCs w:val="22"/>
          <w:lang w:val="sr-Latn-ME"/>
        </w:rPr>
        <w:t>eme</w:t>
      </w:r>
      <w:r w:rsidR="007E5568" w:rsidRPr="00F24057">
        <w:rPr>
          <w:szCs w:val="22"/>
          <w:lang w:val="sr-Latn-ME"/>
        </w:rPr>
        <w:t xml:space="preserve"> </w:t>
      </w:r>
      <w:r w:rsidR="005600EF" w:rsidRPr="00F24057">
        <w:rPr>
          <w:szCs w:val="22"/>
          <w:lang w:val="sr-Latn-ME"/>
        </w:rPr>
        <w:t xml:space="preserve">terapije </w:t>
      </w:r>
      <w:r w:rsidR="00885A78" w:rsidRPr="00F24057">
        <w:rPr>
          <w:szCs w:val="22"/>
          <w:lang w:val="sr-Latn-ME"/>
        </w:rPr>
        <w:t>lijekom</w:t>
      </w:r>
      <w:r w:rsidR="005600EF" w:rsidRPr="00F24057">
        <w:rPr>
          <w:szCs w:val="22"/>
          <w:lang w:val="sr-Latn-ME"/>
        </w:rPr>
        <w:t xml:space="preserve"> Hukyndra</w:t>
      </w:r>
      <w:r w:rsidR="00FF33EF" w:rsidRPr="00F24057">
        <w:rPr>
          <w:szCs w:val="22"/>
          <w:lang w:val="sr-Latn-ME"/>
        </w:rPr>
        <w:t xml:space="preserve">. Za informacije o istovremenoj </w:t>
      </w:r>
      <w:r w:rsidR="0030064A" w:rsidRPr="00F24057">
        <w:rPr>
          <w:szCs w:val="22"/>
          <w:lang w:val="sr-Latn-ME"/>
        </w:rPr>
        <w:t>primjen</w:t>
      </w:r>
      <w:r w:rsidR="00FF33EF" w:rsidRPr="00F24057">
        <w:rPr>
          <w:szCs w:val="22"/>
          <w:lang w:val="sr-Latn-ME"/>
        </w:rPr>
        <w:t xml:space="preserve">i sa antireumatskim </w:t>
      </w:r>
      <w:r w:rsidR="0030064A" w:rsidRPr="00F24057">
        <w:rPr>
          <w:szCs w:val="22"/>
          <w:lang w:val="sr-Latn-ME"/>
        </w:rPr>
        <w:t>ljekov</w:t>
      </w:r>
      <w:r w:rsidR="00FF33EF" w:rsidRPr="00F24057">
        <w:rPr>
          <w:szCs w:val="22"/>
          <w:lang w:val="sr-Latn-ME"/>
        </w:rPr>
        <w:t xml:space="preserve">ima koji modifikuju tok bolesti, a nisu metotreksat, </w:t>
      </w:r>
      <w:r w:rsidR="0030064A" w:rsidRPr="00F24057">
        <w:rPr>
          <w:szCs w:val="22"/>
          <w:lang w:val="sr-Latn-ME"/>
        </w:rPr>
        <w:t>vidjeti</w:t>
      </w:r>
      <w:r w:rsidR="00FF33EF" w:rsidRPr="00F24057">
        <w:rPr>
          <w:szCs w:val="22"/>
          <w:lang w:val="sr-Latn-ME"/>
        </w:rPr>
        <w:t xml:space="preserve"> </w:t>
      </w:r>
      <w:r w:rsidR="000D5A28" w:rsidRPr="00F24057">
        <w:rPr>
          <w:szCs w:val="22"/>
          <w:lang w:val="sr-Latn-ME"/>
        </w:rPr>
        <w:t>djelove</w:t>
      </w:r>
      <w:r w:rsidR="00FF33EF" w:rsidRPr="00F24057">
        <w:rPr>
          <w:szCs w:val="22"/>
          <w:lang w:val="sr-Latn-ME"/>
        </w:rPr>
        <w:t xml:space="preserve"> 4.4 i 5.1. </w:t>
      </w:r>
    </w:p>
    <w:p w14:paraId="02E7B0A8" w14:textId="77777777" w:rsidR="00FF33EF" w:rsidRPr="00F24057" w:rsidRDefault="00FF33EF" w:rsidP="00D70B34">
      <w:pPr>
        <w:rPr>
          <w:szCs w:val="22"/>
          <w:lang w:val="sr-Latn-ME"/>
        </w:rPr>
      </w:pPr>
    </w:p>
    <w:p w14:paraId="3A1BD280" w14:textId="00E7A413" w:rsidR="00FF33EF" w:rsidRPr="00F24057" w:rsidRDefault="00FF33EF" w:rsidP="00D70B34">
      <w:pPr>
        <w:rPr>
          <w:szCs w:val="22"/>
          <w:lang w:val="sr-Latn-ME"/>
        </w:rPr>
      </w:pPr>
      <w:r w:rsidRPr="00F24057">
        <w:rPr>
          <w:szCs w:val="22"/>
          <w:lang w:val="sr-Latn-ME"/>
        </w:rPr>
        <w:t xml:space="preserve">U slučaju monoterapije, kod nekih pacijenata kod kojih je došlo do slabljenja odgovora na </w:t>
      </w:r>
      <w:r w:rsidR="005600EF" w:rsidRPr="00F24057">
        <w:rPr>
          <w:szCs w:val="22"/>
          <w:lang w:val="sr-Latn-ME"/>
        </w:rPr>
        <w:t>terapiju</w:t>
      </w:r>
      <w:r w:rsidRPr="00F24057">
        <w:rPr>
          <w:szCs w:val="22"/>
          <w:lang w:val="sr-Latn-ME"/>
        </w:rPr>
        <w:t xml:space="preserve"> </w:t>
      </w:r>
      <w:r w:rsidR="00885A78" w:rsidRPr="00F24057">
        <w:rPr>
          <w:szCs w:val="22"/>
          <w:lang w:val="sr-Latn-ME"/>
        </w:rPr>
        <w:t>lijekom</w:t>
      </w:r>
      <w:r w:rsidR="008E4FC4" w:rsidRPr="00F24057">
        <w:rPr>
          <w:szCs w:val="22"/>
          <w:lang w:val="sr-Latn-ME"/>
        </w:rPr>
        <w:t xml:space="preserve"> </w:t>
      </w:r>
      <w:r w:rsidR="00652907" w:rsidRPr="00F24057">
        <w:rPr>
          <w:szCs w:val="22"/>
          <w:lang w:val="sr-Latn-ME"/>
        </w:rPr>
        <w:t>Hukyndra</w:t>
      </w:r>
      <w:r w:rsidRPr="00F24057">
        <w:rPr>
          <w:szCs w:val="22"/>
          <w:lang w:val="sr-Latn-ME"/>
        </w:rPr>
        <w:t xml:space="preserve"> u dozi od 40 mg svake druge </w:t>
      </w:r>
      <w:r w:rsidR="00885A78" w:rsidRPr="00F24057">
        <w:rPr>
          <w:szCs w:val="22"/>
          <w:lang w:val="sr-Latn-ME"/>
        </w:rPr>
        <w:t>nedjelj</w:t>
      </w:r>
      <w:r w:rsidRPr="00F24057">
        <w:rPr>
          <w:szCs w:val="22"/>
          <w:lang w:val="sr-Latn-ME"/>
        </w:rPr>
        <w:t xml:space="preserve">e možda će biti </w:t>
      </w:r>
      <w:r w:rsidR="00DC608B" w:rsidRPr="00F24057">
        <w:rPr>
          <w:szCs w:val="22"/>
          <w:lang w:val="sr-Latn-ME"/>
        </w:rPr>
        <w:t>efikasno</w:t>
      </w:r>
      <w:r w:rsidRPr="00F24057">
        <w:rPr>
          <w:szCs w:val="22"/>
          <w:lang w:val="sr-Latn-ME"/>
        </w:rPr>
        <w:t xml:space="preserve"> poveća</w:t>
      </w:r>
      <w:r w:rsidR="00DC608B" w:rsidRPr="00F24057">
        <w:rPr>
          <w:szCs w:val="22"/>
          <w:lang w:val="sr-Latn-ME"/>
        </w:rPr>
        <w:t>nje</w:t>
      </w:r>
      <w:r w:rsidRPr="00F24057">
        <w:rPr>
          <w:szCs w:val="22"/>
          <w:lang w:val="sr-Latn-ME"/>
        </w:rPr>
        <w:t xml:space="preserve"> doze adalimumaba na 40 mg svake </w:t>
      </w:r>
      <w:r w:rsidR="00885A78" w:rsidRPr="00F24057">
        <w:rPr>
          <w:szCs w:val="22"/>
          <w:lang w:val="sr-Latn-ME"/>
        </w:rPr>
        <w:t>nedjelj</w:t>
      </w:r>
      <w:r w:rsidRPr="00F24057">
        <w:rPr>
          <w:szCs w:val="22"/>
          <w:lang w:val="sr-Latn-ME"/>
        </w:rPr>
        <w:t xml:space="preserve">e ili 80 mg svake druge </w:t>
      </w:r>
      <w:r w:rsidR="00885A78" w:rsidRPr="00F24057">
        <w:rPr>
          <w:szCs w:val="22"/>
          <w:lang w:val="sr-Latn-ME"/>
        </w:rPr>
        <w:t>nedjelj</w:t>
      </w:r>
      <w:r w:rsidRPr="00F24057">
        <w:rPr>
          <w:szCs w:val="22"/>
          <w:lang w:val="sr-Latn-ME"/>
        </w:rPr>
        <w:t xml:space="preserve">e. </w:t>
      </w:r>
    </w:p>
    <w:p w14:paraId="0C170494" w14:textId="77777777" w:rsidR="00FF33EF" w:rsidRPr="00F24057" w:rsidRDefault="00FF33EF" w:rsidP="00D70B34">
      <w:pPr>
        <w:rPr>
          <w:szCs w:val="22"/>
          <w:lang w:val="sr-Latn-ME"/>
        </w:rPr>
      </w:pPr>
    </w:p>
    <w:p w14:paraId="40A7D989" w14:textId="5468DBD1" w:rsidR="00FF33EF" w:rsidRPr="00F24057" w:rsidRDefault="00FF33EF" w:rsidP="00D70B34">
      <w:pPr>
        <w:rPr>
          <w:szCs w:val="22"/>
          <w:lang w:val="sr-Latn-ME"/>
        </w:rPr>
      </w:pPr>
      <w:r w:rsidRPr="00F24057">
        <w:rPr>
          <w:szCs w:val="22"/>
          <w:lang w:val="sr-Latn-ME"/>
        </w:rPr>
        <w:t xml:space="preserve">Dostupni podaci pokazuju da se klinički odgovor obično postiže </w:t>
      </w:r>
      <w:r w:rsidR="00DC608B" w:rsidRPr="00F24057">
        <w:rPr>
          <w:szCs w:val="22"/>
          <w:lang w:val="sr-Latn-ME"/>
        </w:rPr>
        <w:t>tokom</w:t>
      </w:r>
      <w:r w:rsidRPr="00F24057">
        <w:rPr>
          <w:szCs w:val="22"/>
          <w:lang w:val="sr-Latn-ME"/>
        </w:rPr>
        <w:t xml:space="preserve"> 12 </w:t>
      </w:r>
      <w:r w:rsidR="00885A78" w:rsidRPr="00F24057">
        <w:rPr>
          <w:szCs w:val="22"/>
          <w:lang w:val="sr-Latn-ME"/>
        </w:rPr>
        <w:t>nedjelj</w:t>
      </w:r>
      <w:r w:rsidRPr="00F24057">
        <w:rPr>
          <w:szCs w:val="22"/>
          <w:lang w:val="sr-Latn-ME"/>
        </w:rPr>
        <w:t xml:space="preserve">a </w:t>
      </w:r>
      <w:r w:rsidR="00DC608B" w:rsidRPr="00F24057">
        <w:rPr>
          <w:szCs w:val="22"/>
          <w:lang w:val="sr-Latn-ME"/>
        </w:rPr>
        <w:t xml:space="preserve">od početka </w:t>
      </w:r>
      <w:r w:rsidRPr="00F24057">
        <w:rPr>
          <w:szCs w:val="22"/>
          <w:lang w:val="sr-Latn-ME"/>
        </w:rPr>
        <w:t xml:space="preserve">terapije. </w:t>
      </w:r>
      <w:r w:rsidR="00905607" w:rsidRPr="00F24057">
        <w:rPr>
          <w:szCs w:val="22"/>
          <w:lang w:val="sr-Latn-ME"/>
        </w:rPr>
        <w:t xml:space="preserve">Nastavak terapije treba razmotriti kod onih pacijenata koji nisu odgovorili na </w:t>
      </w:r>
      <w:r w:rsidRPr="00F24057">
        <w:rPr>
          <w:szCs w:val="22"/>
          <w:lang w:val="sr-Latn-ME"/>
        </w:rPr>
        <w:t>terapij</w:t>
      </w:r>
      <w:r w:rsidR="00905607" w:rsidRPr="00F24057">
        <w:rPr>
          <w:szCs w:val="22"/>
          <w:lang w:val="sr-Latn-ME"/>
        </w:rPr>
        <w:t>u u ovom vremenskom periodu</w:t>
      </w:r>
      <w:r w:rsidRPr="00F24057">
        <w:rPr>
          <w:szCs w:val="22"/>
          <w:lang w:val="sr-Latn-ME"/>
        </w:rPr>
        <w:t xml:space="preserve">. </w:t>
      </w:r>
    </w:p>
    <w:p w14:paraId="71054B41" w14:textId="7324EF2D" w:rsidR="00EB7F71" w:rsidRPr="00F24057" w:rsidRDefault="00EB7F71" w:rsidP="00D70B34">
      <w:pPr>
        <w:rPr>
          <w:szCs w:val="22"/>
          <w:lang w:val="sr-Latn-ME"/>
        </w:rPr>
      </w:pPr>
    </w:p>
    <w:p w14:paraId="6B0BBD51" w14:textId="17C512AD" w:rsidR="00EB7F71" w:rsidRPr="00F24057" w:rsidRDefault="00EB7F71" w:rsidP="00D70B34">
      <w:pPr>
        <w:rPr>
          <w:i/>
          <w:iCs/>
          <w:szCs w:val="22"/>
          <w:u w:val="single"/>
          <w:lang w:val="sr-Latn-ME"/>
        </w:rPr>
      </w:pPr>
      <w:r w:rsidRPr="00F24057">
        <w:rPr>
          <w:i/>
          <w:iCs/>
          <w:szCs w:val="22"/>
          <w:u w:val="single"/>
          <w:lang w:val="sr-Latn-ME"/>
        </w:rPr>
        <w:t>P</w:t>
      </w:r>
      <w:r w:rsidR="00603EB7" w:rsidRPr="00F24057">
        <w:rPr>
          <w:i/>
          <w:iCs/>
          <w:szCs w:val="22"/>
          <w:u w:val="single"/>
          <w:lang w:val="sr-Latn-ME"/>
        </w:rPr>
        <w:t>rivremeni p</w:t>
      </w:r>
      <w:r w:rsidRPr="00F24057">
        <w:rPr>
          <w:i/>
          <w:iCs/>
          <w:szCs w:val="22"/>
          <w:u w:val="single"/>
          <w:lang w:val="sr-Latn-ME"/>
        </w:rPr>
        <w:t xml:space="preserve">rekid terapije </w:t>
      </w:r>
    </w:p>
    <w:p w14:paraId="65F19659" w14:textId="77777777" w:rsidR="00EB7F71" w:rsidRPr="00F24057" w:rsidRDefault="00EB7F71" w:rsidP="00D70B34">
      <w:pPr>
        <w:rPr>
          <w:szCs w:val="22"/>
          <w:lang w:val="sr-Latn-ME"/>
        </w:rPr>
      </w:pPr>
    </w:p>
    <w:p w14:paraId="2A795940" w14:textId="1817D54E" w:rsidR="00EB7F71" w:rsidRPr="00F24057" w:rsidRDefault="00EB7F71" w:rsidP="00D70B34">
      <w:pPr>
        <w:rPr>
          <w:szCs w:val="22"/>
          <w:lang w:val="sr-Latn-ME"/>
        </w:rPr>
      </w:pPr>
      <w:r w:rsidRPr="00F24057">
        <w:rPr>
          <w:szCs w:val="22"/>
          <w:lang w:val="sr-Latn-ME"/>
        </w:rPr>
        <w:t xml:space="preserve">Možda će biti potrebno </w:t>
      </w:r>
      <w:r w:rsidR="00603EB7" w:rsidRPr="00F24057">
        <w:rPr>
          <w:szCs w:val="22"/>
          <w:lang w:val="sr-Latn-ME"/>
        </w:rPr>
        <w:t>privremeno</w:t>
      </w:r>
      <w:r w:rsidRPr="00F24057">
        <w:rPr>
          <w:szCs w:val="22"/>
          <w:lang w:val="sr-Latn-ME"/>
        </w:rPr>
        <w:t xml:space="preserve"> prekin</w:t>
      </w:r>
      <w:r w:rsidR="00603EB7" w:rsidRPr="00F24057">
        <w:rPr>
          <w:szCs w:val="22"/>
          <w:lang w:val="sr-Latn-ME"/>
        </w:rPr>
        <w:t>uti</w:t>
      </w:r>
      <w:r w:rsidRPr="00F24057">
        <w:rPr>
          <w:szCs w:val="22"/>
          <w:lang w:val="sr-Latn-ME"/>
        </w:rPr>
        <w:t xml:space="preserve"> terapij</w:t>
      </w:r>
      <w:r w:rsidR="00603EB7" w:rsidRPr="00F24057">
        <w:rPr>
          <w:szCs w:val="22"/>
          <w:lang w:val="sr-Latn-ME"/>
        </w:rPr>
        <w:t>u</w:t>
      </w:r>
      <w:r w:rsidRPr="00F24057">
        <w:rPr>
          <w:szCs w:val="22"/>
          <w:lang w:val="sr-Latn-ME"/>
        </w:rPr>
        <w:t>, na prim</w:t>
      </w:r>
      <w:r w:rsidR="009A3407" w:rsidRPr="00F24057">
        <w:rPr>
          <w:szCs w:val="22"/>
          <w:lang w:val="sr-Latn-ME"/>
        </w:rPr>
        <w:t>j</w:t>
      </w:r>
      <w:r w:rsidRPr="00F24057">
        <w:rPr>
          <w:szCs w:val="22"/>
          <w:lang w:val="sr-Latn-ME"/>
        </w:rPr>
        <w:t xml:space="preserve">er </w:t>
      </w:r>
      <w:r w:rsidR="00885A78" w:rsidRPr="00F24057">
        <w:rPr>
          <w:szCs w:val="22"/>
          <w:lang w:val="sr-Latn-ME"/>
        </w:rPr>
        <w:t xml:space="preserve">prije </w:t>
      </w:r>
      <w:r w:rsidRPr="00F24057">
        <w:rPr>
          <w:szCs w:val="22"/>
          <w:lang w:val="sr-Latn-ME"/>
        </w:rPr>
        <w:t xml:space="preserve">hirurškog zahvata ili u slučaju ozbiljne infekcije. </w:t>
      </w:r>
    </w:p>
    <w:p w14:paraId="18B51D12" w14:textId="77777777" w:rsidR="00EB7F71" w:rsidRPr="00F24057" w:rsidRDefault="00EB7F71" w:rsidP="00D70B34">
      <w:pPr>
        <w:rPr>
          <w:szCs w:val="22"/>
          <w:lang w:val="sr-Latn-ME"/>
        </w:rPr>
      </w:pPr>
    </w:p>
    <w:p w14:paraId="79CD8DF5" w14:textId="3F77214C" w:rsidR="00EB7F71" w:rsidRPr="00F24057" w:rsidRDefault="00EB7F71" w:rsidP="00D70B34">
      <w:pPr>
        <w:rPr>
          <w:szCs w:val="22"/>
          <w:lang w:val="sr-Latn-ME"/>
        </w:rPr>
      </w:pPr>
      <w:r w:rsidRPr="00F24057">
        <w:rPr>
          <w:szCs w:val="22"/>
          <w:lang w:val="sr-Latn-ME"/>
        </w:rPr>
        <w:t xml:space="preserve">Dostupni podaci </w:t>
      </w:r>
      <w:r w:rsidR="00603EB7" w:rsidRPr="00F24057">
        <w:rPr>
          <w:szCs w:val="22"/>
          <w:lang w:val="sr-Latn-ME"/>
        </w:rPr>
        <w:t>pokazuju da</w:t>
      </w:r>
      <w:r w:rsidRPr="00F24057">
        <w:rPr>
          <w:szCs w:val="22"/>
          <w:lang w:val="sr-Latn-ME"/>
        </w:rPr>
        <w:t xml:space="preserve"> je ponovno uvođenje adalimumaba nakon prekida od 70 dana ili duže rezultiralo podjednako jakim kliničkim odgovorom i sličnim </w:t>
      </w:r>
      <w:r w:rsidR="0030064A" w:rsidRPr="00F24057">
        <w:rPr>
          <w:szCs w:val="22"/>
          <w:lang w:val="sr-Latn-ME"/>
        </w:rPr>
        <w:t>bezbjedno</w:t>
      </w:r>
      <w:r w:rsidR="00603EB7" w:rsidRPr="00F24057">
        <w:rPr>
          <w:szCs w:val="22"/>
          <w:lang w:val="sr-Latn-ME"/>
        </w:rPr>
        <w:t>snim</w:t>
      </w:r>
      <w:r w:rsidRPr="00F24057">
        <w:rPr>
          <w:szCs w:val="22"/>
          <w:lang w:val="sr-Latn-ME"/>
        </w:rPr>
        <w:t xml:space="preserve"> profilom kao i </w:t>
      </w:r>
      <w:r w:rsidR="00885A78" w:rsidRPr="00F24057">
        <w:rPr>
          <w:szCs w:val="22"/>
          <w:lang w:val="sr-Latn-ME"/>
        </w:rPr>
        <w:t xml:space="preserve">prije </w:t>
      </w:r>
      <w:r w:rsidRPr="00F24057">
        <w:rPr>
          <w:szCs w:val="22"/>
          <w:lang w:val="sr-Latn-ME"/>
        </w:rPr>
        <w:t xml:space="preserve">prekida terapije. </w:t>
      </w:r>
    </w:p>
    <w:p w14:paraId="71470FF8" w14:textId="77777777" w:rsidR="00EB7F71" w:rsidRPr="00F24057" w:rsidRDefault="00EB7F71" w:rsidP="00D70B34">
      <w:pPr>
        <w:rPr>
          <w:szCs w:val="22"/>
          <w:lang w:val="sr-Latn-ME"/>
        </w:rPr>
      </w:pPr>
    </w:p>
    <w:p w14:paraId="3A49622F" w14:textId="5D6C4B45" w:rsidR="00EB7F71" w:rsidRPr="00F24057" w:rsidRDefault="00EB7F71" w:rsidP="00D70B34">
      <w:pPr>
        <w:rPr>
          <w:i/>
          <w:iCs/>
          <w:szCs w:val="22"/>
          <w:lang w:val="sr-Latn-ME"/>
        </w:rPr>
      </w:pPr>
      <w:r w:rsidRPr="00F24057">
        <w:rPr>
          <w:i/>
          <w:iCs/>
          <w:szCs w:val="22"/>
          <w:lang w:val="sr-Latn-ME"/>
        </w:rPr>
        <w:t xml:space="preserve">Ankilozirajući spondilitis, aksijalni spondiloartritis bez radiografskog dokaza AS i psorijazni artritis </w:t>
      </w:r>
    </w:p>
    <w:p w14:paraId="705CD52A" w14:textId="2D9ECCD7" w:rsidR="00EB7F71" w:rsidRPr="00F24057" w:rsidRDefault="00EB7F71" w:rsidP="00D70B34">
      <w:pPr>
        <w:rPr>
          <w:szCs w:val="22"/>
          <w:lang w:val="sr-Latn-ME"/>
        </w:rPr>
      </w:pPr>
      <w:r w:rsidRPr="00F24057">
        <w:rPr>
          <w:szCs w:val="22"/>
          <w:lang w:val="sr-Latn-ME"/>
        </w:rPr>
        <w:t>Kod pacijenata sa ankilozirajućim spondilitisom, aksijalnim spondiloartritisom bez radiografskog dokaza AS, kao i kod pacijenata sa psorijaznim artritisom preporučena doza adalimumaba iznosi 40 mg</w:t>
      </w:r>
      <w:r w:rsidR="00576A78" w:rsidRPr="00F24057">
        <w:rPr>
          <w:szCs w:val="22"/>
          <w:lang w:val="sr-Latn-ME"/>
        </w:rPr>
        <w:t xml:space="preserve"> i </w:t>
      </w:r>
      <w:r w:rsidR="0030064A" w:rsidRPr="00F24057">
        <w:rPr>
          <w:szCs w:val="22"/>
          <w:lang w:val="sr-Latn-ME"/>
        </w:rPr>
        <w:t>primjen</w:t>
      </w:r>
      <w:r w:rsidR="00576A78" w:rsidRPr="00F24057">
        <w:rPr>
          <w:szCs w:val="22"/>
          <w:lang w:val="sr-Latn-ME"/>
        </w:rPr>
        <w:t>ju</w:t>
      </w:r>
      <w:r w:rsidRPr="00F24057">
        <w:rPr>
          <w:szCs w:val="22"/>
          <w:lang w:val="sr-Latn-ME"/>
        </w:rPr>
        <w:t xml:space="preserve">je se kao jednokratna doza svake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supkutanom injekcijom. </w:t>
      </w:r>
    </w:p>
    <w:p w14:paraId="7B10C07E" w14:textId="77777777" w:rsidR="00EB7F71" w:rsidRPr="00F24057" w:rsidRDefault="00EB7F71" w:rsidP="00D70B34">
      <w:pPr>
        <w:rPr>
          <w:szCs w:val="22"/>
          <w:lang w:val="sr-Latn-ME"/>
        </w:rPr>
      </w:pPr>
    </w:p>
    <w:p w14:paraId="6B95CDB6" w14:textId="5E75457B" w:rsidR="00EB7F71" w:rsidRPr="00F24057" w:rsidRDefault="00EB7F71" w:rsidP="00D70B34">
      <w:pPr>
        <w:rPr>
          <w:szCs w:val="22"/>
          <w:lang w:val="sr-Latn-ME"/>
        </w:rPr>
      </w:pPr>
      <w:r w:rsidRPr="00F24057">
        <w:rPr>
          <w:szCs w:val="22"/>
          <w:lang w:val="sr-Latn-ME"/>
        </w:rPr>
        <w:t xml:space="preserve">Dostupni podaci </w:t>
      </w:r>
      <w:r w:rsidR="00E33DB8" w:rsidRPr="00F24057">
        <w:rPr>
          <w:szCs w:val="22"/>
          <w:lang w:val="sr-Latn-ME"/>
        </w:rPr>
        <w:t>pokazuju da</w:t>
      </w:r>
      <w:r w:rsidRPr="00F24057">
        <w:rPr>
          <w:szCs w:val="22"/>
          <w:lang w:val="sr-Latn-ME"/>
        </w:rPr>
        <w:t xml:space="preserve"> se klinički odgovor obično postiže </w:t>
      </w:r>
      <w:r w:rsidR="00E33DB8" w:rsidRPr="00F24057">
        <w:rPr>
          <w:szCs w:val="22"/>
          <w:lang w:val="sr-Latn-ME"/>
        </w:rPr>
        <w:t>tokom</w:t>
      </w:r>
      <w:r w:rsidRPr="00F24057">
        <w:rPr>
          <w:szCs w:val="22"/>
          <w:lang w:val="sr-Latn-ME"/>
        </w:rPr>
        <w:t xml:space="preserve"> 12 </w:t>
      </w:r>
      <w:r w:rsidR="00885A78" w:rsidRPr="00F24057">
        <w:rPr>
          <w:szCs w:val="22"/>
          <w:lang w:val="sr-Latn-ME"/>
        </w:rPr>
        <w:t>nedjelj</w:t>
      </w:r>
      <w:r w:rsidRPr="00F24057">
        <w:rPr>
          <w:szCs w:val="22"/>
          <w:lang w:val="sr-Latn-ME"/>
        </w:rPr>
        <w:t xml:space="preserve">a </w:t>
      </w:r>
      <w:r w:rsidR="00E33DB8" w:rsidRPr="00F24057">
        <w:rPr>
          <w:szCs w:val="22"/>
          <w:lang w:val="sr-Latn-ME"/>
        </w:rPr>
        <w:t>od početka terapije</w:t>
      </w:r>
      <w:r w:rsidRPr="00F24057">
        <w:rPr>
          <w:szCs w:val="22"/>
          <w:lang w:val="sr-Latn-ME"/>
        </w:rPr>
        <w:t xml:space="preserve">. </w:t>
      </w:r>
      <w:r w:rsidR="00E33DB8" w:rsidRPr="00F24057">
        <w:rPr>
          <w:szCs w:val="22"/>
          <w:lang w:val="sr-Latn-ME"/>
        </w:rPr>
        <w:t>Nastavak terapije</w:t>
      </w:r>
      <w:r w:rsidRPr="00F24057">
        <w:rPr>
          <w:szCs w:val="22"/>
          <w:lang w:val="sr-Latn-ME"/>
        </w:rPr>
        <w:t xml:space="preserve"> treba razmotriti </w:t>
      </w:r>
      <w:r w:rsidR="00C6231C" w:rsidRPr="00F24057">
        <w:rPr>
          <w:szCs w:val="22"/>
          <w:lang w:val="sr-Latn-ME"/>
        </w:rPr>
        <w:t>kod onih pacijenata koji nisu odgovorili na terapiju u ovom vremenskom periodu</w:t>
      </w:r>
      <w:r w:rsidRPr="00F24057">
        <w:rPr>
          <w:szCs w:val="22"/>
          <w:lang w:val="sr-Latn-ME"/>
        </w:rPr>
        <w:t xml:space="preserve">. </w:t>
      </w:r>
    </w:p>
    <w:p w14:paraId="739D4692" w14:textId="77777777" w:rsidR="00EB7F71" w:rsidRPr="00F24057" w:rsidRDefault="00EB7F71" w:rsidP="00D70B34">
      <w:pPr>
        <w:rPr>
          <w:szCs w:val="22"/>
          <w:lang w:val="sr-Latn-ME"/>
        </w:rPr>
      </w:pPr>
    </w:p>
    <w:p w14:paraId="079ED289" w14:textId="27BC06BA" w:rsidR="00EB7F71" w:rsidRPr="00F24057" w:rsidRDefault="00EB7F71" w:rsidP="00D70B34">
      <w:pPr>
        <w:rPr>
          <w:i/>
          <w:iCs/>
          <w:szCs w:val="22"/>
          <w:lang w:val="sr-Latn-ME"/>
        </w:rPr>
      </w:pPr>
      <w:r w:rsidRPr="00F24057">
        <w:rPr>
          <w:i/>
          <w:iCs/>
          <w:szCs w:val="22"/>
          <w:lang w:val="sr-Latn-ME"/>
        </w:rPr>
        <w:t>Psorijaza</w:t>
      </w:r>
    </w:p>
    <w:p w14:paraId="4EB05EAE" w14:textId="6B835B0E" w:rsidR="00EB7F71" w:rsidRPr="00F24057" w:rsidRDefault="00EB7F71" w:rsidP="00D70B34">
      <w:pPr>
        <w:rPr>
          <w:szCs w:val="22"/>
          <w:lang w:val="sr-Latn-ME"/>
        </w:rPr>
      </w:pPr>
      <w:r w:rsidRPr="00F24057">
        <w:rPr>
          <w:szCs w:val="22"/>
          <w:lang w:val="sr-Latn-ME"/>
        </w:rPr>
        <w:t xml:space="preserve">Kod odraslih pacijenata preporučena početna doza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je 80 mg supkutano, </w:t>
      </w:r>
      <w:r w:rsidR="008407BC" w:rsidRPr="00F24057">
        <w:rPr>
          <w:szCs w:val="22"/>
          <w:lang w:val="sr-Latn-ME"/>
        </w:rPr>
        <w:t>praćena dozom od</w:t>
      </w:r>
      <w:r w:rsidRPr="00F24057">
        <w:rPr>
          <w:szCs w:val="22"/>
          <w:lang w:val="sr-Latn-ME"/>
        </w:rPr>
        <w:t xml:space="preserve"> 40 mg supkutano svake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w:t>
      </w:r>
      <w:r w:rsidR="00D841D4" w:rsidRPr="00F24057">
        <w:rPr>
          <w:szCs w:val="22"/>
          <w:lang w:val="sr-Latn-ME"/>
        </w:rPr>
        <w:t xml:space="preserve">s tim što se prva doza od 40 mg </w:t>
      </w:r>
      <w:r w:rsidR="0030064A" w:rsidRPr="00F24057">
        <w:rPr>
          <w:szCs w:val="22"/>
          <w:lang w:val="sr-Latn-ME"/>
        </w:rPr>
        <w:t>primjen</w:t>
      </w:r>
      <w:r w:rsidR="00D841D4" w:rsidRPr="00F24057">
        <w:rPr>
          <w:szCs w:val="22"/>
          <w:lang w:val="sr-Latn-ME"/>
        </w:rPr>
        <w:t xml:space="preserve">juje </w:t>
      </w:r>
      <w:r w:rsidR="00885A78" w:rsidRPr="00F24057">
        <w:rPr>
          <w:szCs w:val="22"/>
          <w:lang w:val="sr-Latn-ME"/>
        </w:rPr>
        <w:t>nedjelj</w:t>
      </w:r>
      <w:r w:rsidRPr="00F24057">
        <w:rPr>
          <w:szCs w:val="22"/>
          <w:lang w:val="sr-Latn-ME"/>
        </w:rPr>
        <w:t>u</w:t>
      </w:r>
      <w:r w:rsidR="00D841D4" w:rsidRPr="00F24057">
        <w:rPr>
          <w:szCs w:val="22"/>
          <w:lang w:val="sr-Latn-ME"/>
        </w:rPr>
        <w:t xml:space="preserve"> dana</w:t>
      </w:r>
      <w:r w:rsidRPr="00F24057">
        <w:rPr>
          <w:szCs w:val="22"/>
          <w:lang w:val="sr-Latn-ME"/>
        </w:rPr>
        <w:t xml:space="preserve"> nakon </w:t>
      </w:r>
      <w:r w:rsidR="00D841D4" w:rsidRPr="00F24057">
        <w:rPr>
          <w:szCs w:val="22"/>
          <w:lang w:val="sr-Latn-ME"/>
        </w:rPr>
        <w:t>inicijalne</w:t>
      </w:r>
      <w:r w:rsidRPr="00F24057">
        <w:rPr>
          <w:szCs w:val="22"/>
          <w:lang w:val="sr-Latn-ME"/>
        </w:rPr>
        <w:t xml:space="preserve"> doze. </w:t>
      </w:r>
    </w:p>
    <w:p w14:paraId="608E1C64" w14:textId="77777777" w:rsidR="00EB7F71" w:rsidRPr="00F24057" w:rsidRDefault="00EB7F71" w:rsidP="00D70B34">
      <w:pPr>
        <w:rPr>
          <w:szCs w:val="22"/>
          <w:lang w:val="sr-Latn-ME"/>
        </w:rPr>
      </w:pPr>
    </w:p>
    <w:p w14:paraId="373C1A60" w14:textId="0126DFE4" w:rsidR="00EB7F71" w:rsidRPr="00F24057" w:rsidRDefault="00D96A98" w:rsidP="00D70B34">
      <w:pPr>
        <w:rPr>
          <w:szCs w:val="22"/>
          <w:lang w:val="sr-Latn-ME"/>
        </w:rPr>
      </w:pPr>
      <w:r w:rsidRPr="00F24057">
        <w:rPr>
          <w:szCs w:val="22"/>
          <w:lang w:val="sr-Latn-ME"/>
        </w:rPr>
        <w:t>Ukoliko pacijent ne postigne terapijski odgovor</w:t>
      </w:r>
      <w:r w:rsidR="00EB7F71" w:rsidRPr="00F24057">
        <w:rPr>
          <w:szCs w:val="22"/>
          <w:lang w:val="sr-Latn-ME"/>
        </w:rPr>
        <w:t xml:space="preserve"> </w:t>
      </w:r>
      <w:r w:rsidRPr="00F24057">
        <w:rPr>
          <w:szCs w:val="22"/>
          <w:lang w:val="sr-Latn-ME"/>
        </w:rPr>
        <w:t>tokom perioda od</w:t>
      </w:r>
      <w:r w:rsidR="00EB7F71" w:rsidRPr="00F24057">
        <w:rPr>
          <w:szCs w:val="22"/>
          <w:lang w:val="sr-Latn-ME"/>
        </w:rPr>
        <w:t xml:space="preserve"> 16 </w:t>
      </w:r>
      <w:r w:rsidR="00885A78" w:rsidRPr="00F24057">
        <w:rPr>
          <w:szCs w:val="22"/>
          <w:lang w:val="sr-Latn-ME"/>
        </w:rPr>
        <w:t>nedjelj</w:t>
      </w:r>
      <w:r w:rsidR="00EB7F71" w:rsidRPr="00F24057">
        <w:rPr>
          <w:szCs w:val="22"/>
          <w:lang w:val="sr-Latn-ME"/>
        </w:rPr>
        <w:t xml:space="preserve">a, nastavak </w:t>
      </w:r>
      <w:r w:rsidR="00885A78" w:rsidRPr="00F24057">
        <w:rPr>
          <w:szCs w:val="22"/>
          <w:lang w:val="sr-Latn-ME"/>
        </w:rPr>
        <w:t>liječenj</w:t>
      </w:r>
      <w:r w:rsidR="00EB7F71" w:rsidRPr="00F24057">
        <w:rPr>
          <w:szCs w:val="22"/>
          <w:lang w:val="sr-Latn-ME"/>
        </w:rPr>
        <w:t>a</w:t>
      </w:r>
      <w:r w:rsidRPr="00F24057">
        <w:rPr>
          <w:szCs w:val="22"/>
          <w:lang w:val="sr-Latn-ME"/>
        </w:rPr>
        <w:t xml:space="preserve"> nakon tog perioda</w:t>
      </w:r>
      <w:r w:rsidR="005C368C" w:rsidRPr="00F24057">
        <w:rPr>
          <w:szCs w:val="22"/>
          <w:lang w:val="sr-Latn-ME"/>
        </w:rPr>
        <w:t xml:space="preserve"> potrebno je pažljivo razmotriti</w:t>
      </w:r>
      <w:r w:rsidR="00EB7F71" w:rsidRPr="00F24057">
        <w:rPr>
          <w:szCs w:val="22"/>
          <w:lang w:val="sr-Latn-ME"/>
        </w:rPr>
        <w:t xml:space="preserve">. </w:t>
      </w:r>
    </w:p>
    <w:p w14:paraId="22407530" w14:textId="77777777" w:rsidR="00EB7F71" w:rsidRPr="00F24057" w:rsidRDefault="00EB7F71" w:rsidP="00D70B34">
      <w:pPr>
        <w:rPr>
          <w:szCs w:val="22"/>
          <w:lang w:val="sr-Latn-ME"/>
        </w:rPr>
      </w:pPr>
    </w:p>
    <w:p w14:paraId="6AF88735" w14:textId="0CE975A5" w:rsidR="00EB7F71" w:rsidRPr="00F24057" w:rsidRDefault="00EB7F71" w:rsidP="00D70B34">
      <w:pPr>
        <w:rPr>
          <w:szCs w:val="22"/>
          <w:lang w:val="sr-Latn-ME"/>
        </w:rPr>
      </w:pPr>
      <w:r w:rsidRPr="00F24057">
        <w:rPr>
          <w:szCs w:val="22"/>
          <w:lang w:val="sr-Latn-ME"/>
        </w:rPr>
        <w:t xml:space="preserve">Kod pacijenata kod kojih nije postignut </w:t>
      </w:r>
      <w:r w:rsidR="005C368C" w:rsidRPr="00F24057">
        <w:rPr>
          <w:szCs w:val="22"/>
          <w:lang w:val="sr-Latn-ME"/>
        </w:rPr>
        <w:t>adekvatan</w:t>
      </w:r>
      <w:r w:rsidRPr="00F24057">
        <w:rPr>
          <w:szCs w:val="22"/>
          <w:lang w:val="sr-Latn-ME"/>
        </w:rPr>
        <w:t xml:space="preserve"> odgovor na </w:t>
      </w:r>
      <w:r w:rsidR="0030064A" w:rsidRPr="00F24057">
        <w:rPr>
          <w:szCs w:val="22"/>
          <w:lang w:val="sr-Latn-ME"/>
        </w:rPr>
        <w:t xml:space="preserve">lijek </w:t>
      </w:r>
      <w:r w:rsidR="00652907" w:rsidRPr="00F24057">
        <w:rPr>
          <w:szCs w:val="22"/>
          <w:lang w:val="sr-Latn-ME"/>
        </w:rPr>
        <w:t>Hukyndra</w:t>
      </w:r>
      <w:r w:rsidRPr="00F24057">
        <w:rPr>
          <w:szCs w:val="22"/>
          <w:lang w:val="sr-Latn-ME"/>
        </w:rPr>
        <w:t xml:space="preserve"> u dozi od 40 mg svake druge </w:t>
      </w:r>
      <w:r w:rsidR="00885A78" w:rsidRPr="00F24057">
        <w:rPr>
          <w:szCs w:val="22"/>
          <w:lang w:val="sr-Latn-ME"/>
        </w:rPr>
        <w:t>nedjelj</w:t>
      </w:r>
      <w:r w:rsidRPr="00F24057">
        <w:rPr>
          <w:szCs w:val="22"/>
          <w:lang w:val="sr-Latn-ME"/>
        </w:rPr>
        <w:t xml:space="preserve">e nakon 16 </w:t>
      </w:r>
      <w:r w:rsidR="00885A78" w:rsidRPr="00F24057">
        <w:rPr>
          <w:szCs w:val="22"/>
          <w:lang w:val="sr-Latn-ME"/>
        </w:rPr>
        <w:t>nedjelj</w:t>
      </w:r>
      <w:r w:rsidRPr="00F24057">
        <w:rPr>
          <w:szCs w:val="22"/>
          <w:lang w:val="sr-Latn-ME"/>
        </w:rPr>
        <w:t xml:space="preserve">a, možda će biti </w:t>
      </w:r>
      <w:r w:rsidR="005C368C" w:rsidRPr="00F24057">
        <w:rPr>
          <w:szCs w:val="22"/>
          <w:lang w:val="sr-Latn-ME"/>
        </w:rPr>
        <w:t>efikasno</w:t>
      </w:r>
      <w:r w:rsidRPr="00F24057">
        <w:rPr>
          <w:szCs w:val="22"/>
          <w:lang w:val="sr-Latn-ME"/>
        </w:rPr>
        <w:t xml:space="preserve"> poveća</w:t>
      </w:r>
      <w:r w:rsidR="00805E33" w:rsidRPr="00F24057">
        <w:rPr>
          <w:szCs w:val="22"/>
          <w:lang w:val="sr-Latn-ME"/>
        </w:rPr>
        <w:t>nje</w:t>
      </w:r>
      <w:r w:rsidRPr="00F24057">
        <w:rPr>
          <w:szCs w:val="22"/>
          <w:lang w:val="sr-Latn-ME"/>
        </w:rPr>
        <w:t xml:space="preserve"> doze na 40 mg </w:t>
      </w:r>
      <w:r w:rsidR="00805E33" w:rsidRPr="00F24057">
        <w:rPr>
          <w:szCs w:val="22"/>
          <w:lang w:val="sr-Latn-ME"/>
        </w:rPr>
        <w:t>adalimumaba</w:t>
      </w:r>
      <w:r w:rsidRPr="00F24057">
        <w:rPr>
          <w:szCs w:val="22"/>
          <w:lang w:val="sr-Latn-ME"/>
        </w:rPr>
        <w:t xml:space="preserve"> svake </w:t>
      </w:r>
      <w:r w:rsidR="00885A78" w:rsidRPr="00F24057">
        <w:rPr>
          <w:szCs w:val="22"/>
          <w:lang w:val="sr-Latn-ME"/>
        </w:rPr>
        <w:t>nedjelj</w:t>
      </w:r>
      <w:r w:rsidRPr="00F24057">
        <w:rPr>
          <w:szCs w:val="22"/>
          <w:lang w:val="sr-Latn-ME"/>
        </w:rPr>
        <w:t xml:space="preserve">e ili 80 mg svake druge </w:t>
      </w:r>
      <w:r w:rsidR="00885A78" w:rsidRPr="00F24057">
        <w:rPr>
          <w:szCs w:val="22"/>
          <w:lang w:val="sr-Latn-ME"/>
        </w:rPr>
        <w:t>nedjelj</w:t>
      </w:r>
      <w:r w:rsidRPr="00F24057">
        <w:rPr>
          <w:szCs w:val="22"/>
          <w:lang w:val="sr-Latn-ME"/>
        </w:rPr>
        <w:t xml:space="preserve">e. Potrebno je pažljivo ponovo </w:t>
      </w:r>
      <w:r w:rsidR="00506CC0" w:rsidRPr="00F24057">
        <w:rPr>
          <w:szCs w:val="22"/>
          <w:lang w:val="sr-Latn-ME"/>
        </w:rPr>
        <w:t>procijeniti</w:t>
      </w:r>
      <w:r w:rsidRPr="00F24057">
        <w:rPr>
          <w:szCs w:val="22"/>
          <w:lang w:val="sr-Latn-ME"/>
        </w:rPr>
        <w:t xml:space="preserve"> </w:t>
      </w:r>
      <w:r w:rsidR="00805E33" w:rsidRPr="00F24057">
        <w:rPr>
          <w:szCs w:val="22"/>
          <w:lang w:val="sr-Latn-ME"/>
        </w:rPr>
        <w:t xml:space="preserve">odnos </w:t>
      </w:r>
      <w:r w:rsidRPr="00F24057">
        <w:rPr>
          <w:szCs w:val="22"/>
          <w:lang w:val="sr-Latn-ME"/>
        </w:rPr>
        <w:t>koristi i rizik</w:t>
      </w:r>
      <w:r w:rsidR="00805E33" w:rsidRPr="00F24057">
        <w:rPr>
          <w:szCs w:val="22"/>
          <w:lang w:val="sr-Latn-ME"/>
        </w:rPr>
        <w:t>a</w:t>
      </w:r>
      <w:r w:rsidRPr="00F24057">
        <w:rPr>
          <w:szCs w:val="22"/>
          <w:lang w:val="sr-Latn-ME"/>
        </w:rPr>
        <w:t xml:space="preserve"> kontinuirane terapije </w:t>
      </w:r>
      <w:r w:rsidR="00885A78" w:rsidRPr="00F24057">
        <w:rPr>
          <w:szCs w:val="22"/>
          <w:lang w:val="sr-Latn-ME"/>
        </w:rPr>
        <w:t>lijekom</w:t>
      </w:r>
      <w:r w:rsidR="00191C87" w:rsidRPr="00F24057">
        <w:rPr>
          <w:szCs w:val="22"/>
          <w:lang w:val="sr-Latn-ME"/>
        </w:rPr>
        <w:t xml:space="preserve"> Hukyndra</w:t>
      </w:r>
      <w:r w:rsidRPr="00F24057">
        <w:rPr>
          <w:szCs w:val="22"/>
          <w:lang w:val="sr-Latn-ME"/>
        </w:rPr>
        <w:t xml:space="preserve"> u dozi od 40 mg jednom </w:t>
      </w:r>
      <w:r w:rsidR="00885A78" w:rsidRPr="00F24057">
        <w:rPr>
          <w:szCs w:val="22"/>
          <w:lang w:val="sr-Latn-ME"/>
        </w:rPr>
        <w:t>nedjelj</w:t>
      </w:r>
      <w:r w:rsidRPr="00F24057">
        <w:rPr>
          <w:szCs w:val="22"/>
          <w:lang w:val="sr-Latn-ME"/>
        </w:rPr>
        <w:t xml:space="preserve">no ili 80 mg svake druge </w:t>
      </w:r>
      <w:r w:rsidR="00885A78" w:rsidRPr="00F24057">
        <w:rPr>
          <w:szCs w:val="22"/>
          <w:lang w:val="sr-Latn-ME"/>
        </w:rPr>
        <w:t>nedjelj</w:t>
      </w:r>
      <w:r w:rsidRPr="00F24057">
        <w:rPr>
          <w:szCs w:val="22"/>
          <w:lang w:val="sr-Latn-ME"/>
        </w:rPr>
        <w:t>e kod pacijenata kod kojih nije postignut zadovoljavajući odgovor nakon povećanja doz</w:t>
      </w:r>
      <w:r w:rsidR="00191C87" w:rsidRPr="00F24057">
        <w:rPr>
          <w:szCs w:val="22"/>
          <w:lang w:val="sr-Latn-ME"/>
        </w:rPr>
        <w:t>e</w:t>
      </w:r>
      <w:r w:rsidRPr="00F24057">
        <w:rPr>
          <w:szCs w:val="22"/>
          <w:lang w:val="sr-Latn-ME"/>
        </w:rPr>
        <w:t xml:space="preserve"> (</w:t>
      </w:r>
      <w:r w:rsidR="007B39D0" w:rsidRPr="00F24057">
        <w:rPr>
          <w:szCs w:val="22"/>
          <w:lang w:val="sr-Latn-ME"/>
        </w:rPr>
        <w:t xml:space="preserve">pogledati dio </w:t>
      </w:r>
      <w:r w:rsidRPr="00F24057">
        <w:rPr>
          <w:szCs w:val="22"/>
          <w:lang w:val="sr-Latn-ME"/>
        </w:rPr>
        <w:t xml:space="preserve">5.1). Ako se sa dozom od 40 mg svake </w:t>
      </w:r>
      <w:r w:rsidR="00885A78" w:rsidRPr="00F24057">
        <w:rPr>
          <w:szCs w:val="22"/>
          <w:lang w:val="sr-Latn-ME"/>
        </w:rPr>
        <w:t>nedjelj</w:t>
      </w:r>
      <w:r w:rsidRPr="00F24057">
        <w:rPr>
          <w:szCs w:val="22"/>
          <w:lang w:val="sr-Latn-ME"/>
        </w:rPr>
        <w:t xml:space="preserve">e ili 80 mg svake druge </w:t>
      </w:r>
      <w:r w:rsidR="00885A78" w:rsidRPr="00F24057">
        <w:rPr>
          <w:szCs w:val="22"/>
          <w:lang w:val="sr-Latn-ME"/>
        </w:rPr>
        <w:t>nedjelj</w:t>
      </w:r>
      <w:r w:rsidRPr="00F24057">
        <w:rPr>
          <w:szCs w:val="22"/>
          <w:lang w:val="sr-Latn-ME"/>
        </w:rPr>
        <w:t>e postigne zadovoljavajući odgovor, doz</w:t>
      </w:r>
      <w:r w:rsidR="00191C87" w:rsidRPr="00F24057">
        <w:rPr>
          <w:szCs w:val="22"/>
          <w:lang w:val="sr-Latn-ME"/>
        </w:rPr>
        <w:t>a</w:t>
      </w:r>
      <w:r w:rsidRPr="00F24057">
        <w:rPr>
          <w:szCs w:val="22"/>
          <w:lang w:val="sr-Latn-ME"/>
        </w:rPr>
        <w:t xml:space="preserve"> se potom može smanjiti na 40 mg svake druge </w:t>
      </w:r>
      <w:r w:rsidR="00885A78" w:rsidRPr="00F24057">
        <w:rPr>
          <w:szCs w:val="22"/>
          <w:lang w:val="sr-Latn-ME"/>
        </w:rPr>
        <w:t>nedjelj</w:t>
      </w:r>
      <w:r w:rsidRPr="00F24057">
        <w:rPr>
          <w:szCs w:val="22"/>
          <w:lang w:val="sr-Latn-ME"/>
        </w:rPr>
        <w:t>e.</w:t>
      </w:r>
    </w:p>
    <w:p w14:paraId="26C25285" w14:textId="77777777" w:rsidR="00CC2AC4" w:rsidRPr="00F24057" w:rsidRDefault="00CC2AC4" w:rsidP="00D70B34">
      <w:pPr>
        <w:rPr>
          <w:szCs w:val="22"/>
          <w:lang w:val="sr-Latn-ME"/>
        </w:rPr>
      </w:pPr>
    </w:p>
    <w:p w14:paraId="63EADB2E" w14:textId="40DC74CF" w:rsidR="00CC2AC4" w:rsidRPr="00F24057" w:rsidRDefault="00CC2AC4" w:rsidP="00D70B34">
      <w:pPr>
        <w:rPr>
          <w:i/>
          <w:iCs/>
          <w:szCs w:val="22"/>
          <w:lang w:val="sr-Latn-ME"/>
        </w:rPr>
      </w:pPr>
      <w:r w:rsidRPr="00F24057">
        <w:rPr>
          <w:i/>
          <w:iCs/>
          <w:szCs w:val="22"/>
          <w:lang w:val="sr-Latn-ME"/>
        </w:rPr>
        <w:t xml:space="preserve">Gnojno zapaljenje znojnih </w:t>
      </w:r>
      <w:r w:rsidR="009A3407" w:rsidRPr="00F24057">
        <w:rPr>
          <w:i/>
          <w:iCs/>
          <w:szCs w:val="22"/>
          <w:lang w:val="sr-Latn-ME"/>
        </w:rPr>
        <w:t>žlijezd</w:t>
      </w:r>
      <w:r w:rsidRPr="00F24057">
        <w:rPr>
          <w:i/>
          <w:iCs/>
          <w:szCs w:val="22"/>
          <w:lang w:val="sr-Latn-ME"/>
        </w:rPr>
        <w:t xml:space="preserve">a (Hidradenitis suppurativa) </w:t>
      </w:r>
    </w:p>
    <w:p w14:paraId="689FFEE4" w14:textId="04731B74" w:rsidR="00CC2AC4" w:rsidRPr="00F24057" w:rsidRDefault="00CC2AC4" w:rsidP="00D70B34">
      <w:pPr>
        <w:rPr>
          <w:szCs w:val="22"/>
          <w:lang w:val="sr-Latn-ME"/>
        </w:rPr>
      </w:pPr>
      <w:r w:rsidRPr="00F24057">
        <w:rPr>
          <w:szCs w:val="22"/>
          <w:lang w:val="sr-Latn-ME"/>
        </w:rPr>
        <w:lastRenderedPageBreak/>
        <w:t xml:space="preserve">Preporučen režim doziranja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za odrasle pacijente sa gnojnim zapaljenjem znojnih </w:t>
      </w:r>
      <w:r w:rsidR="009A3407" w:rsidRPr="00F24057">
        <w:rPr>
          <w:szCs w:val="22"/>
          <w:lang w:val="sr-Latn-ME"/>
        </w:rPr>
        <w:t>žlijezd</w:t>
      </w:r>
      <w:r w:rsidRPr="00F24057">
        <w:rPr>
          <w:szCs w:val="22"/>
          <w:lang w:val="sr-Latn-ME"/>
        </w:rPr>
        <w:t>a je početna doza od 160 mg prvog dana (</w:t>
      </w:r>
      <w:r w:rsidR="009811CA" w:rsidRPr="00F24057">
        <w:rPr>
          <w:szCs w:val="22"/>
          <w:lang w:val="sr-Latn-ME"/>
        </w:rPr>
        <w:t>primijenje</w:t>
      </w:r>
      <w:r w:rsidRPr="00F24057">
        <w:rPr>
          <w:szCs w:val="22"/>
          <w:lang w:val="sr-Latn-ME"/>
        </w:rPr>
        <w:t xml:space="preserve">na u obliku četiri injekcije od 40 mg u jednom danu ili </w:t>
      </w:r>
      <w:r w:rsidR="009A3407" w:rsidRPr="00F24057">
        <w:rPr>
          <w:szCs w:val="22"/>
          <w:lang w:val="sr-Latn-ME"/>
        </w:rPr>
        <w:t xml:space="preserve">dvije </w:t>
      </w:r>
      <w:r w:rsidRPr="00F24057">
        <w:rPr>
          <w:szCs w:val="22"/>
          <w:lang w:val="sr-Latn-ME"/>
        </w:rPr>
        <w:t xml:space="preserve">injekcije od 40 mg na dan tokom dva uzastopna dana), </w:t>
      </w:r>
      <w:r w:rsidR="003070AD" w:rsidRPr="00F24057">
        <w:rPr>
          <w:szCs w:val="22"/>
          <w:lang w:val="sr-Latn-ME"/>
        </w:rPr>
        <w:t>praćena</w:t>
      </w:r>
      <w:r w:rsidRPr="00F24057">
        <w:rPr>
          <w:szCs w:val="22"/>
          <w:lang w:val="sr-Latn-ME"/>
        </w:rPr>
        <w:t xml:space="preserve"> doz</w:t>
      </w:r>
      <w:r w:rsidR="003070AD" w:rsidRPr="00F24057">
        <w:rPr>
          <w:szCs w:val="22"/>
          <w:lang w:val="sr-Latn-ME"/>
        </w:rPr>
        <w:t>om</w:t>
      </w:r>
      <w:r w:rsidRPr="00F24057">
        <w:rPr>
          <w:szCs w:val="22"/>
          <w:lang w:val="sr-Latn-ME"/>
        </w:rPr>
        <w:t xml:space="preserve"> od 80 mg</w:t>
      </w:r>
      <w:r w:rsidR="00370A0C" w:rsidRPr="00F24057">
        <w:rPr>
          <w:szCs w:val="22"/>
          <w:lang w:val="sr-Latn-ME"/>
        </w:rPr>
        <w:t xml:space="preserve"> nakon</w:t>
      </w:r>
      <w:r w:rsidRPr="00F24057">
        <w:rPr>
          <w:szCs w:val="22"/>
          <w:lang w:val="sr-Latn-ME"/>
        </w:rPr>
        <w:t xml:space="preserve"> </w:t>
      </w:r>
      <w:r w:rsidR="009A3407" w:rsidRPr="00F24057">
        <w:rPr>
          <w:szCs w:val="22"/>
          <w:lang w:val="sr-Latn-ME"/>
        </w:rPr>
        <w:t xml:space="preserve">dvije </w:t>
      </w:r>
      <w:r w:rsidR="00885A78" w:rsidRPr="00F24057">
        <w:rPr>
          <w:szCs w:val="22"/>
          <w:lang w:val="sr-Latn-ME"/>
        </w:rPr>
        <w:t>nedjelj</w:t>
      </w:r>
      <w:r w:rsidRPr="00F24057">
        <w:rPr>
          <w:szCs w:val="22"/>
          <w:lang w:val="sr-Latn-ME"/>
        </w:rPr>
        <w:t>e, 15. dana (</w:t>
      </w:r>
      <w:r w:rsidR="009811CA" w:rsidRPr="00F24057">
        <w:rPr>
          <w:szCs w:val="22"/>
          <w:lang w:val="sr-Latn-ME"/>
        </w:rPr>
        <w:t>primijenje</w:t>
      </w:r>
      <w:r w:rsidRPr="00F24057">
        <w:rPr>
          <w:szCs w:val="22"/>
          <w:lang w:val="sr-Latn-ME"/>
        </w:rPr>
        <w:t xml:space="preserve">na u obliku </w:t>
      </w:r>
      <w:r w:rsidR="009A3407" w:rsidRPr="00F24057">
        <w:rPr>
          <w:szCs w:val="22"/>
          <w:lang w:val="sr-Latn-ME"/>
        </w:rPr>
        <w:t xml:space="preserve">dvije </w:t>
      </w:r>
      <w:r w:rsidRPr="00F24057">
        <w:rPr>
          <w:szCs w:val="22"/>
          <w:lang w:val="sr-Latn-ME"/>
        </w:rPr>
        <w:t xml:space="preserve">injekcije od 40 mg u jednom danu).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kasnije (29. dan) </w:t>
      </w:r>
      <w:r w:rsidR="0030064A" w:rsidRPr="00F24057">
        <w:rPr>
          <w:szCs w:val="22"/>
          <w:lang w:val="sr-Latn-ME"/>
        </w:rPr>
        <w:t>liječenje</w:t>
      </w:r>
      <w:r w:rsidRPr="00F24057">
        <w:rPr>
          <w:szCs w:val="22"/>
          <w:lang w:val="sr-Latn-ME"/>
        </w:rPr>
        <w:t xml:space="preserve"> se nastavlja dozom od 40 mg svake </w:t>
      </w:r>
      <w:r w:rsidR="00885A78" w:rsidRPr="00F24057">
        <w:rPr>
          <w:szCs w:val="22"/>
          <w:lang w:val="sr-Latn-ME"/>
        </w:rPr>
        <w:t>nedjelj</w:t>
      </w:r>
      <w:r w:rsidRPr="00F24057">
        <w:rPr>
          <w:szCs w:val="22"/>
          <w:lang w:val="sr-Latn-ME"/>
        </w:rPr>
        <w:t xml:space="preserve">e ili 80 mg svake druge </w:t>
      </w:r>
      <w:r w:rsidR="00885A78" w:rsidRPr="00F24057">
        <w:rPr>
          <w:szCs w:val="22"/>
          <w:lang w:val="sr-Latn-ME"/>
        </w:rPr>
        <w:t>nedjelj</w:t>
      </w:r>
      <w:r w:rsidRPr="00F24057">
        <w:rPr>
          <w:szCs w:val="22"/>
          <w:lang w:val="sr-Latn-ME"/>
        </w:rPr>
        <w:t>e (</w:t>
      </w:r>
      <w:r w:rsidR="009811CA" w:rsidRPr="00F24057">
        <w:rPr>
          <w:szCs w:val="22"/>
          <w:lang w:val="sr-Latn-ME"/>
        </w:rPr>
        <w:t>primijenje</w:t>
      </w:r>
      <w:r w:rsidRPr="00F24057">
        <w:rPr>
          <w:szCs w:val="22"/>
          <w:lang w:val="sr-Latn-ME"/>
        </w:rPr>
        <w:t xml:space="preserve">na u obliku </w:t>
      </w:r>
      <w:r w:rsidR="009A3407" w:rsidRPr="00F24057">
        <w:rPr>
          <w:szCs w:val="22"/>
          <w:lang w:val="sr-Latn-ME"/>
        </w:rPr>
        <w:t xml:space="preserve">dvije </w:t>
      </w:r>
      <w:r w:rsidRPr="00F24057">
        <w:rPr>
          <w:szCs w:val="22"/>
          <w:lang w:val="sr-Latn-ME"/>
        </w:rPr>
        <w:t xml:space="preserve">injekcije od 40 mg u jednom danu). Ako je potrebno, </w:t>
      </w:r>
      <w:r w:rsidR="0030064A" w:rsidRPr="00F24057">
        <w:rPr>
          <w:szCs w:val="22"/>
          <w:lang w:val="sr-Latn-ME"/>
        </w:rPr>
        <w:t>primjen</w:t>
      </w:r>
      <w:r w:rsidRPr="00F24057">
        <w:rPr>
          <w:szCs w:val="22"/>
          <w:lang w:val="sr-Latn-ME"/>
        </w:rPr>
        <w:t xml:space="preserve">a antibiotika može se nastaviti i tokom </w:t>
      </w:r>
      <w:r w:rsidR="00885A78" w:rsidRPr="00F24057">
        <w:rPr>
          <w:szCs w:val="22"/>
          <w:lang w:val="sr-Latn-ME"/>
        </w:rPr>
        <w:t>liječenj</w:t>
      </w:r>
      <w:r w:rsidRPr="00F24057">
        <w:rPr>
          <w:szCs w:val="22"/>
          <w:lang w:val="sr-Latn-ME"/>
        </w:rPr>
        <w:t xml:space="preserve">a </w:t>
      </w:r>
      <w:r w:rsidR="00885A78" w:rsidRPr="00F24057">
        <w:rPr>
          <w:szCs w:val="22"/>
          <w:lang w:val="sr-Latn-ME"/>
        </w:rPr>
        <w:t>lijekom</w:t>
      </w:r>
      <w:r w:rsidRPr="00F24057">
        <w:rPr>
          <w:szCs w:val="22"/>
          <w:lang w:val="sr-Latn-ME"/>
        </w:rPr>
        <w:t xml:space="preserve"> </w:t>
      </w:r>
      <w:r w:rsidR="00652907" w:rsidRPr="00F24057">
        <w:rPr>
          <w:szCs w:val="22"/>
          <w:lang w:val="sr-Latn-ME"/>
        </w:rPr>
        <w:t>Hukyndra</w:t>
      </w:r>
      <w:r w:rsidRPr="00F24057">
        <w:rPr>
          <w:szCs w:val="22"/>
          <w:lang w:val="sr-Latn-ME"/>
        </w:rPr>
        <w:t xml:space="preserve">. Preporučuje se da </w:t>
      </w:r>
      <w:r w:rsidR="00370A0C" w:rsidRPr="00F24057">
        <w:rPr>
          <w:szCs w:val="22"/>
          <w:lang w:val="sr-Latn-ME"/>
        </w:rPr>
        <w:t>pacijent</w:t>
      </w:r>
      <w:r w:rsidRPr="00F24057">
        <w:rPr>
          <w:szCs w:val="22"/>
          <w:lang w:val="sr-Latn-ME"/>
        </w:rPr>
        <w:t xml:space="preserve"> tokom terapije </w:t>
      </w:r>
      <w:r w:rsidR="00885A78" w:rsidRPr="00F24057">
        <w:rPr>
          <w:szCs w:val="22"/>
          <w:lang w:val="sr-Latn-ME"/>
        </w:rPr>
        <w:t>lijekom</w:t>
      </w:r>
      <w:r w:rsidRPr="00F24057">
        <w:rPr>
          <w:szCs w:val="22"/>
          <w:lang w:val="sr-Latn-ME"/>
        </w:rPr>
        <w:t xml:space="preserve"> </w:t>
      </w:r>
      <w:r w:rsidR="00652907" w:rsidRPr="00F24057">
        <w:rPr>
          <w:szCs w:val="22"/>
          <w:lang w:val="sr-Latn-ME"/>
        </w:rPr>
        <w:t>Hukyndra</w:t>
      </w:r>
      <w:r w:rsidRPr="00F24057">
        <w:rPr>
          <w:szCs w:val="22"/>
          <w:lang w:val="sr-Latn-ME"/>
        </w:rPr>
        <w:t xml:space="preserve"> svakodnevno koristi topikaln</w:t>
      </w:r>
      <w:r w:rsidR="005D5461" w:rsidRPr="00F24057">
        <w:rPr>
          <w:szCs w:val="22"/>
          <w:lang w:val="sr-Latn-ME"/>
        </w:rPr>
        <w:t>i</w:t>
      </w:r>
      <w:r w:rsidRPr="00F24057">
        <w:rPr>
          <w:szCs w:val="22"/>
          <w:lang w:val="sr-Latn-ME"/>
        </w:rPr>
        <w:t xml:space="preserve"> antiseptičk</w:t>
      </w:r>
      <w:r w:rsidR="005D5461" w:rsidRPr="00F24057">
        <w:rPr>
          <w:szCs w:val="22"/>
          <w:lang w:val="sr-Latn-ME"/>
        </w:rPr>
        <w:t>i</w:t>
      </w:r>
      <w:r w:rsidRPr="00F24057">
        <w:rPr>
          <w:szCs w:val="22"/>
          <w:lang w:val="sr-Latn-ME"/>
        </w:rPr>
        <w:t xml:space="preserve"> </w:t>
      </w:r>
      <w:r w:rsidR="005D5461" w:rsidRPr="00F24057">
        <w:rPr>
          <w:szCs w:val="22"/>
          <w:lang w:val="sr-Latn-ME"/>
        </w:rPr>
        <w:t>rastvor</w:t>
      </w:r>
      <w:r w:rsidRPr="00F24057">
        <w:rPr>
          <w:szCs w:val="22"/>
          <w:lang w:val="sr-Latn-ME"/>
        </w:rPr>
        <w:t xml:space="preserve"> za ispiranje lezija uzrokovanih gnojnim zapaljenjem znojnih </w:t>
      </w:r>
      <w:r w:rsidR="009A3407" w:rsidRPr="00F24057">
        <w:rPr>
          <w:szCs w:val="22"/>
          <w:lang w:val="sr-Latn-ME"/>
        </w:rPr>
        <w:t>žlijezd</w:t>
      </w:r>
      <w:r w:rsidRPr="00F24057">
        <w:rPr>
          <w:szCs w:val="22"/>
          <w:lang w:val="sr-Latn-ME"/>
        </w:rPr>
        <w:t xml:space="preserve">a. </w:t>
      </w:r>
    </w:p>
    <w:p w14:paraId="402D434C" w14:textId="77777777" w:rsidR="00CC2AC4" w:rsidRPr="00F24057" w:rsidRDefault="00CC2AC4" w:rsidP="00D70B34">
      <w:pPr>
        <w:rPr>
          <w:szCs w:val="22"/>
          <w:lang w:val="sr-Latn-ME"/>
        </w:rPr>
      </w:pPr>
    </w:p>
    <w:p w14:paraId="5548C4FA" w14:textId="3AFCDCAD" w:rsidR="00CC2AC4" w:rsidRPr="00F24057" w:rsidRDefault="00CC2AC4" w:rsidP="00D70B34">
      <w:pPr>
        <w:rPr>
          <w:szCs w:val="22"/>
          <w:lang w:val="sr-Latn-ME"/>
        </w:rPr>
      </w:pPr>
      <w:r w:rsidRPr="00F24057">
        <w:rPr>
          <w:szCs w:val="22"/>
          <w:lang w:val="sr-Latn-ME"/>
        </w:rPr>
        <w:t>U</w:t>
      </w:r>
      <w:r w:rsidR="005D5461" w:rsidRPr="00F24057">
        <w:rPr>
          <w:szCs w:val="22"/>
          <w:lang w:val="sr-Latn-ME"/>
        </w:rPr>
        <w:t>koliko pacijent ne postigne terapijski odgovor tokom perioda</w:t>
      </w:r>
      <w:r w:rsidR="006B0652" w:rsidRPr="00F24057">
        <w:rPr>
          <w:szCs w:val="22"/>
          <w:lang w:val="sr-Latn-ME"/>
        </w:rPr>
        <w:t xml:space="preserve"> od</w:t>
      </w:r>
      <w:r w:rsidRPr="00F24057">
        <w:rPr>
          <w:szCs w:val="22"/>
          <w:lang w:val="sr-Latn-ME"/>
        </w:rPr>
        <w:t xml:space="preserve"> 12 </w:t>
      </w:r>
      <w:r w:rsidR="00885A78" w:rsidRPr="00F24057">
        <w:rPr>
          <w:szCs w:val="22"/>
          <w:lang w:val="sr-Latn-ME"/>
        </w:rPr>
        <w:t>nedjelj</w:t>
      </w:r>
      <w:r w:rsidRPr="00F24057">
        <w:rPr>
          <w:szCs w:val="22"/>
          <w:lang w:val="sr-Latn-ME"/>
        </w:rPr>
        <w:t xml:space="preserve">a, nastavak </w:t>
      </w:r>
      <w:r w:rsidR="00885A78" w:rsidRPr="00F24057">
        <w:rPr>
          <w:szCs w:val="22"/>
          <w:lang w:val="sr-Latn-ME"/>
        </w:rPr>
        <w:t>liječenj</w:t>
      </w:r>
      <w:r w:rsidRPr="00F24057">
        <w:rPr>
          <w:szCs w:val="22"/>
          <w:lang w:val="sr-Latn-ME"/>
        </w:rPr>
        <w:t xml:space="preserve">a </w:t>
      </w:r>
      <w:r w:rsidR="006B0652" w:rsidRPr="00F24057">
        <w:rPr>
          <w:szCs w:val="22"/>
          <w:lang w:val="sr-Latn-ME"/>
        </w:rPr>
        <w:t>nakon tog perioda potrebno je pažljivo razmotriti</w:t>
      </w:r>
      <w:r w:rsidRPr="00F24057">
        <w:rPr>
          <w:szCs w:val="22"/>
          <w:lang w:val="sr-Latn-ME"/>
        </w:rPr>
        <w:t xml:space="preserve">. </w:t>
      </w:r>
    </w:p>
    <w:p w14:paraId="6056AB3A" w14:textId="77777777" w:rsidR="00CC2AC4" w:rsidRPr="00F24057" w:rsidRDefault="00CC2AC4" w:rsidP="00D70B34">
      <w:pPr>
        <w:rPr>
          <w:szCs w:val="22"/>
          <w:lang w:val="sr-Latn-ME"/>
        </w:rPr>
      </w:pPr>
    </w:p>
    <w:p w14:paraId="5CA16098" w14:textId="2A3114C1" w:rsidR="00CC2AC4" w:rsidRPr="00F24057" w:rsidRDefault="006B0652" w:rsidP="00D70B34">
      <w:pPr>
        <w:rPr>
          <w:szCs w:val="22"/>
          <w:lang w:val="sr-Latn-ME"/>
        </w:rPr>
      </w:pPr>
      <w:r w:rsidRPr="00F24057">
        <w:rPr>
          <w:szCs w:val="22"/>
          <w:lang w:val="sr-Latn-ME"/>
        </w:rPr>
        <w:t>Ukoliko je potrebno privremeno prekinuti terapiju</w:t>
      </w:r>
      <w:r w:rsidR="00CC2AC4" w:rsidRPr="00F24057">
        <w:rPr>
          <w:szCs w:val="22"/>
          <w:lang w:val="sr-Latn-ME"/>
        </w:rPr>
        <w:t xml:space="preserve">, </w:t>
      </w:r>
      <w:r w:rsidR="0030064A" w:rsidRPr="00F24057">
        <w:rPr>
          <w:szCs w:val="22"/>
          <w:lang w:val="sr-Latn-ME"/>
        </w:rPr>
        <w:t xml:space="preserve">lijek </w:t>
      </w:r>
      <w:r w:rsidR="00652907" w:rsidRPr="00F24057">
        <w:rPr>
          <w:szCs w:val="22"/>
          <w:lang w:val="sr-Latn-ME"/>
        </w:rPr>
        <w:t>Hukyndra</w:t>
      </w:r>
      <w:r w:rsidR="00CC2AC4" w:rsidRPr="00F24057">
        <w:rPr>
          <w:szCs w:val="22"/>
          <w:lang w:val="sr-Latn-ME"/>
        </w:rPr>
        <w:t xml:space="preserve"> se kasnije može ponovno uvesti u dozi od 40 mg svake </w:t>
      </w:r>
      <w:r w:rsidR="00885A78" w:rsidRPr="00F24057">
        <w:rPr>
          <w:szCs w:val="22"/>
          <w:lang w:val="sr-Latn-ME"/>
        </w:rPr>
        <w:t>nedjelj</w:t>
      </w:r>
      <w:r w:rsidR="00CC2AC4" w:rsidRPr="00F24057">
        <w:rPr>
          <w:szCs w:val="22"/>
          <w:lang w:val="sr-Latn-ME"/>
        </w:rPr>
        <w:t xml:space="preserve">e ili 80 mg svake druge </w:t>
      </w:r>
      <w:r w:rsidR="00885A78" w:rsidRPr="00F24057">
        <w:rPr>
          <w:szCs w:val="22"/>
          <w:lang w:val="sr-Latn-ME"/>
        </w:rPr>
        <w:t>nedjelj</w:t>
      </w:r>
      <w:r w:rsidR="00CC2AC4" w:rsidRPr="00F24057">
        <w:rPr>
          <w:szCs w:val="22"/>
          <w:lang w:val="sr-Latn-ME"/>
        </w:rPr>
        <w:t>e (</w:t>
      </w:r>
      <w:r w:rsidR="007B39D0" w:rsidRPr="00F24057">
        <w:rPr>
          <w:szCs w:val="22"/>
          <w:lang w:val="sr-Latn-ME"/>
        </w:rPr>
        <w:t xml:space="preserve">pogledati dio </w:t>
      </w:r>
      <w:r w:rsidR="00CC2AC4" w:rsidRPr="00F24057">
        <w:rPr>
          <w:szCs w:val="22"/>
          <w:lang w:val="sr-Latn-ME"/>
        </w:rPr>
        <w:t xml:space="preserve">5.1). </w:t>
      </w:r>
    </w:p>
    <w:p w14:paraId="4426B852" w14:textId="77777777" w:rsidR="00CC2AC4" w:rsidRPr="00F24057" w:rsidRDefault="00CC2AC4" w:rsidP="00D70B34">
      <w:pPr>
        <w:rPr>
          <w:szCs w:val="22"/>
          <w:lang w:val="sr-Latn-ME"/>
        </w:rPr>
      </w:pPr>
    </w:p>
    <w:p w14:paraId="1071CD3F" w14:textId="70E6757B" w:rsidR="00CC2AC4" w:rsidRPr="00F24057" w:rsidRDefault="00CC2AC4" w:rsidP="00D70B34">
      <w:pPr>
        <w:rPr>
          <w:szCs w:val="22"/>
          <w:lang w:val="sr-Latn-ME"/>
        </w:rPr>
      </w:pPr>
      <w:r w:rsidRPr="00F24057">
        <w:rPr>
          <w:szCs w:val="22"/>
          <w:lang w:val="sr-Latn-ME"/>
        </w:rPr>
        <w:t xml:space="preserve">Potrebno je periodično </w:t>
      </w:r>
      <w:r w:rsidR="004F2520" w:rsidRPr="00F24057">
        <w:rPr>
          <w:szCs w:val="22"/>
          <w:lang w:val="sr-Latn-ME"/>
        </w:rPr>
        <w:t>procjen</w:t>
      </w:r>
      <w:r w:rsidRPr="00F24057">
        <w:rPr>
          <w:szCs w:val="22"/>
          <w:lang w:val="sr-Latn-ME"/>
        </w:rPr>
        <w:t>jivati</w:t>
      </w:r>
      <w:r w:rsidR="006B0652" w:rsidRPr="00F24057">
        <w:rPr>
          <w:szCs w:val="22"/>
          <w:lang w:val="sr-Latn-ME"/>
        </w:rPr>
        <w:t xml:space="preserve"> odnos</w:t>
      </w:r>
      <w:r w:rsidRPr="00F24057">
        <w:rPr>
          <w:szCs w:val="22"/>
          <w:lang w:val="sr-Latn-ME"/>
        </w:rPr>
        <w:t xml:space="preserve"> koristi i rizik</w:t>
      </w:r>
      <w:r w:rsidR="006B0652" w:rsidRPr="00F24057">
        <w:rPr>
          <w:szCs w:val="22"/>
          <w:lang w:val="sr-Latn-ME"/>
        </w:rPr>
        <w:t>a</w:t>
      </w:r>
      <w:r w:rsidRPr="00F24057">
        <w:rPr>
          <w:szCs w:val="22"/>
          <w:lang w:val="sr-Latn-ME"/>
        </w:rPr>
        <w:t xml:space="preserve"> kontinuirane dugotrajne terapije (</w:t>
      </w:r>
      <w:r w:rsidR="007B39D0" w:rsidRPr="00F24057">
        <w:rPr>
          <w:szCs w:val="22"/>
          <w:lang w:val="sr-Latn-ME"/>
        </w:rPr>
        <w:t xml:space="preserve">pogledati dio </w:t>
      </w:r>
      <w:r w:rsidRPr="00F24057">
        <w:rPr>
          <w:szCs w:val="22"/>
          <w:lang w:val="sr-Latn-ME"/>
        </w:rPr>
        <w:t xml:space="preserve">5.1). </w:t>
      </w:r>
    </w:p>
    <w:p w14:paraId="1C1F272E" w14:textId="77777777" w:rsidR="00CC2AC4" w:rsidRPr="00F24057" w:rsidRDefault="00CC2AC4" w:rsidP="00D70B34">
      <w:pPr>
        <w:rPr>
          <w:szCs w:val="22"/>
          <w:lang w:val="sr-Latn-ME"/>
        </w:rPr>
      </w:pPr>
    </w:p>
    <w:p w14:paraId="07C65152" w14:textId="49CBBF8D" w:rsidR="00CC2AC4" w:rsidRPr="00F24057" w:rsidRDefault="00DA2306" w:rsidP="00D70B34">
      <w:pPr>
        <w:rPr>
          <w:i/>
          <w:iCs/>
          <w:szCs w:val="22"/>
          <w:lang w:val="sr-Latn-ME"/>
        </w:rPr>
      </w:pPr>
      <w:r w:rsidRPr="00F24057">
        <w:rPr>
          <w:i/>
          <w:iCs/>
          <w:szCs w:val="22"/>
          <w:lang w:val="sr-Latn-ME"/>
        </w:rPr>
        <w:t>Crohn</w:t>
      </w:r>
      <w:r w:rsidR="00CC2AC4" w:rsidRPr="00F24057">
        <w:rPr>
          <w:i/>
          <w:iCs/>
          <w:szCs w:val="22"/>
          <w:lang w:val="sr-Latn-ME"/>
        </w:rPr>
        <w:t xml:space="preserve">-ova bolest </w:t>
      </w:r>
    </w:p>
    <w:p w14:paraId="06604E7D" w14:textId="019E22EA" w:rsidR="00CC2AC4" w:rsidRPr="00F24057" w:rsidRDefault="00CC2AC4" w:rsidP="00D70B34">
      <w:pPr>
        <w:rPr>
          <w:szCs w:val="22"/>
          <w:lang w:val="sr-Latn-ME"/>
        </w:rPr>
      </w:pPr>
      <w:r w:rsidRPr="00F24057">
        <w:rPr>
          <w:szCs w:val="22"/>
          <w:lang w:val="sr-Latn-ME"/>
        </w:rPr>
        <w:t xml:space="preserve">Preporučena indukciona doza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kod odraslih pacijenata sa u</w:t>
      </w:r>
      <w:r w:rsidR="0030064A" w:rsidRPr="00F24057">
        <w:rPr>
          <w:szCs w:val="22"/>
          <w:lang w:val="sr-Latn-ME"/>
        </w:rPr>
        <w:t>mjeren</w:t>
      </w:r>
      <w:r w:rsidRPr="00F24057">
        <w:rPr>
          <w:szCs w:val="22"/>
          <w:lang w:val="sr-Latn-ME"/>
        </w:rPr>
        <w:t xml:space="preserve">om do teškom aktivnom </w:t>
      </w:r>
      <w:r w:rsidR="00DA2306" w:rsidRPr="00F24057">
        <w:rPr>
          <w:i/>
          <w:iCs/>
          <w:szCs w:val="22"/>
          <w:lang w:val="sr-Latn-ME"/>
        </w:rPr>
        <w:t>Crohn</w:t>
      </w:r>
      <w:r w:rsidRPr="00F24057">
        <w:rPr>
          <w:szCs w:val="22"/>
          <w:lang w:val="sr-Latn-ME"/>
        </w:rPr>
        <w:t xml:space="preserve">-ovom bolešću je 80 mg u </w:t>
      </w:r>
      <w:r w:rsidR="00154193" w:rsidRPr="00F24057">
        <w:rPr>
          <w:szCs w:val="22"/>
          <w:lang w:val="sr-Latn-ME"/>
        </w:rPr>
        <w:t>početnoj</w:t>
      </w:r>
      <w:r w:rsidRPr="00F24057">
        <w:rPr>
          <w:szCs w:val="22"/>
          <w:lang w:val="sr-Latn-ME"/>
        </w:rPr>
        <w:t xml:space="preserve"> </w:t>
      </w:r>
      <w:r w:rsidR="00885A78" w:rsidRPr="00F24057">
        <w:rPr>
          <w:szCs w:val="22"/>
          <w:lang w:val="sr-Latn-ME"/>
        </w:rPr>
        <w:t>nedjelj</w:t>
      </w:r>
      <w:r w:rsidRPr="00F24057">
        <w:rPr>
          <w:szCs w:val="22"/>
          <w:lang w:val="sr-Latn-ME"/>
        </w:rPr>
        <w:t>i</w:t>
      </w:r>
      <w:r w:rsidR="00154193" w:rsidRPr="00F24057">
        <w:rPr>
          <w:szCs w:val="22"/>
          <w:lang w:val="sr-Latn-ME"/>
        </w:rPr>
        <w:t xml:space="preserve"> (označena kao nulta </w:t>
      </w:r>
      <w:r w:rsidR="00885A78" w:rsidRPr="00F24057">
        <w:rPr>
          <w:szCs w:val="22"/>
          <w:lang w:val="sr-Latn-ME"/>
        </w:rPr>
        <w:t>nedjelj</w:t>
      </w:r>
      <w:r w:rsidR="00154193" w:rsidRPr="00F24057">
        <w:rPr>
          <w:szCs w:val="22"/>
          <w:lang w:val="sr-Latn-ME"/>
        </w:rPr>
        <w:t xml:space="preserve">a, </w:t>
      </w:r>
      <w:r w:rsidR="00080447" w:rsidRPr="00F24057">
        <w:rPr>
          <w:i/>
          <w:iCs/>
          <w:szCs w:val="22"/>
          <w:lang w:val="sr-Latn-ME"/>
        </w:rPr>
        <w:t>Week 0</w:t>
      </w:r>
      <w:r w:rsidR="00154193" w:rsidRPr="00F24057">
        <w:rPr>
          <w:szCs w:val="22"/>
          <w:lang w:val="sr-Latn-ME"/>
        </w:rPr>
        <w:t>)</w:t>
      </w:r>
      <w:r w:rsidRPr="00F24057">
        <w:rPr>
          <w:szCs w:val="22"/>
          <w:lang w:val="sr-Latn-ME"/>
        </w:rPr>
        <w:t xml:space="preserve">, praćena dozom od 40 mg </w:t>
      </w:r>
      <w:r w:rsidR="00154193" w:rsidRPr="00F24057">
        <w:rPr>
          <w:szCs w:val="22"/>
          <w:lang w:val="sr-Latn-ME"/>
        </w:rPr>
        <w:t>nakon</w:t>
      </w:r>
      <w:r w:rsidRPr="00F24057">
        <w:rPr>
          <w:szCs w:val="22"/>
          <w:lang w:val="sr-Latn-ME"/>
        </w:rPr>
        <w:t xml:space="preserve"> </w:t>
      </w:r>
      <w:r w:rsidR="009A3407" w:rsidRPr="00F24057">
        <w:rPr>
          <w:szCs w:val="22"/>
          <w:lang w:val="sr-Latn-ME"/>
        </w:rPr>
        <w:t xml:space="preserve">dvije </w:t>
      </w:r>
      <w:r w:rsidR="00885A78" w:rsidRPr="00F24057">
        <w:rPr>
          <w:szCs w:val="22"/>
          <w:lang w:val="sr-Latn-ME"/>
        </w:rPr>
        <w:t>nedjelj</w:t>
      </w:r>
      <w:r w:rsidR="00BF3E0C" w:rsidRPr="00F24057">
        <w:rPr>
          <w:szCs w:val="22"/>
          <w:lang w:val="sr-Latn-ME"/>
        </w:rPr>
        <w:t>e</w:t>
      </w:r>
      <w:r w:rsidRPr="00F24057">
        <w:rPr>
          <w:szCs w:val="22"/>
          <w:lang w:val="sr-Latn-ME"/>
        </w:rPr>
        <w:t xml:space="preserve">. U slučaju da postoji potreba za bržim </w:t>
      </w:r>
      <w:r w:rsidR="00BF3E0C" w:rsidRPr="00F24057">
        <w:rPr>
          <w:szCs w:val="22"/>
          <w:lang w:val="sr-Latn-ME"/>
        </w:rPr>
        <w:t xml:space="preserve">terapijskim </w:t>
      </w:r>
      <w:r w:rsidRPr="00F24057">
        <w:rPr>
          <w:szCs w:val="22"/>
          <w:lang w:val="sr-Latn-ME"/>
        </w:rPr>
        <w:t xml:space="preserve">odgovorom, </w:t>
      </w:r>
      <w:r w:rsidR="0030064A" w:rsidRPr="00F24057">
        <w:rPr>
          <w:szCs w:val="22"/>
          <w:lang w:val="sr-Latn-ME"/>
        </w:rPr>
        <w:t>liječenje</w:t>
      </w:r>
      <w:r w:rsidRPr="00F24057">
        <w:rPr>
          <w:szCs w:val="22"/>
          <w:lang w:val="sr-Latn-ME"/>
        </w:rPr>
        <w:t xml:space="preserve"> se može započeti dozom od 160 mg u </w:t>
      </w:r>
      <w:r w:rsidR="00023C5B" w:rsidRPr="00F24057">
        <w:rPr>
          <w:szCs w:val="22"/>
          <w:lang w:val="sr-Latn-ME"/>
        </w:rPr>
        <w:t xml:space="preserve">prvoj </w:t>
      </w:r>
      <w:r w:rsidR="00885A78" w:rsidRPr="00F24057">
        <w:rPr>
          <w:szCs w:val="22"/>
          <w:lang w:val="sr-Latn-ME"/>
        </w:rPr>
        <w:t>nedjelj</w:t>
      </w:r>
      <w:r w:rsidRPr="00F24057">
        <w:rPr>
          <w:szCs w:val="22"/>
          <w:lang w:val="sr-Latn-ME"/>
        </w:rPr>
        <w:t>i (</w:t>
      </w:r>
      <w:r w:rsidR="009811CA" w:rsidRPr="00F24057">
        <w:rPr>
          <w:szCs w:val="22"/>
          <w:lang w:val="sr-Latn-ME"/>
        </w:rPr>
        <w:t>primijenje</w:t>
      </w:r>
      <w:r w:rsidRPr="00F24057">
        <w:rPr>
          <w:szCs w:val="22"/>
          <w:lang w:val="sr-Latn-ME"/>
        </w:rPr>
        <w:t xml:space="preserve">nom u obliku četiri injekcije od 40 mg u jednom danu ili kao </w:t>
      </w:r>
      <w:r w:rsidR="009A3407" w:rsidRPr="00F24057">
        <w:rPr>
          <w:szCs w:val="22"/>
          <w:lang w:val="sr-Latn-ME"/>
        </w:rPr>
        <w:t xml:space="preserve">dvije </w:t>
      </w:r>
      <w:r w:rsidRPr="00F24057">
        <w:rPr>
          <w:szCs w:val="22"/>
          <w:lang w:val="sr-Latn-ME"/>
        </w:rPr>
        <w:t xml:space="preserve">injekcije od 40 mg na dan </w:t>
      </w:r>
      <w:r w:rsidR="00023C5B" w:rsidRPr="00F24057">
        <w:rPr>
          <w:szCs w:val="22"/>
          <w:lang w:val="sr-Latn-ME"/>
        </w:rPr>
        <w:t xml:space="preserve">tokom </w:t>
      </w:r>
      <w:r w:rsidRPr="00F24057">
        <w:rPr>
          <w:szCs w:val="22"/>
          <w:lang w:val="sr-Latn-ME"/>
        </w:rPr>
        <w:t xml:space="preserve">dva uzastopna dana) </w:t>
      </w:r>
      <w:r w:rsidR="00576A6B" w:rsidRPr="00F24057">
        <w:rPr>
          <w:szCs w:val="22"/>
          <w:lang w:val="sr-Latn-ME"/>
        </w:rPr>
        <w:t>praćena dozom od</w:t>
      </w:r>
      <w:r w:rsidRPr="00F24057">
        <w:rPr>
          <w:szCs w:val="22"/>
          <w:lang w:val="sr-Latn-ME"/>
        </w:rPr>
        <w:t xml:space="preserve"> 80 mg </w:t>
      </w:r>
      <w:r w:rsidR="00576A6B" w:rsidRPr="00F24057">
        <w:rPr>
          <w:szCs w:val="22"/>
          <w:lang w:val="sr-Latn-ME"/>
        </w:rPr>
        <w:t xml:space="preserve">nakon </w:t>
      </w:r>
      <w:r w:rsidR="009A3407" w:rsidRPr="00F24057">
        <w:rPr>
          <w:szCs w:val="22"/>
          <w:lang w:val="sr-Latn-ME"/>
        </w:rPr>
        <w:t xml:space="preserve">dvije </w:t>
      </w:r>
      <w:r w:rsidR="00885A78" w:rsidRPr="00F24057">
        <w:rPr>
          <w:szCs w:val="22"/>
          <w:lang w:val="sr-Latn-ME"/>
        </w:rPr>
        <w:t>nedjelj</w:t>
      </w:r>
      <w:r w:rsidR="00576A6B" w:rsidRPr="00F24057">
        <w:rPr>
          <w:szCs w:val="22"/>
          <w:lang w:val="sr-Latn-ME"/>
        </w:rPr>
        <w:t xml:space="preserve">e </w:t>
      </w:r>
      <w:r w:rsidRPr="00F24057">
        <w:rPr>
          <w:szCs w:val="22"/>
          <w:lang w:val="sr-Latn-ME"/>
        </w:rPr>
        <w:t>(</w:t>
      </w:r>
      <w:r w:rsidR="009811CA" w:rsidRPr="00F24057">
        <w:rPr>
          <w:szCs w:val="22"/>
          <w:lang w:val="sr-Latn-ME"/>
        </w:rPr>
        <w:t>primijenje</w:t>
      </w:r>
      <w:r w:rsidRPr="00F24057">
        <w:rPr>
          <w:szCs w:val="22"/>
          <w:lang w:val="sr-Latn-ME"/>
        </w:rPr>
        <w:t xml:space="preserve">nom u obliku </w:t>
      </w:r>
      <w:r w:rsidR="009A3407" w:rsidRPr="00F24057">
        <w:rPr>
          <w:szCs w:val="22"/>
          <w:lang w:val="sr-Latn-ME"/>
        </w:rPr>
        <w:t xml:space="preserve">dvije </w:t>
      </w:r>
      <w:r w:rsidRPr="00F24057">
        <w:rPr>
          <w:szCs w:val="22"/>
          <w:lang w:val="sr-Latn-ME"/>
        </w:rPr>
        <w:t xml:space="preserve">injekcije od 40 mg u jednom danu), uz napomenu da je rizik od razvoja neželjenih dejstava veći </w:t>
      </w:r>
      <w:r w:rsidR="00576A6B" w:rsidRPr="00F24057">
        <w:rPr>
          <w:szCs w:val="22"/>
          <w:lang w:val="sr-Latn-ME"/>
        </w:rPr>
        <w:t>tokom</w:t>
      </w:r>
      <w:r w:rsidRPr="00F24057">
        <w:rPr>
          <w:szCs w:val="22"/>
          <w:lang w:val="sr-Latn-ME"/>
        </w:rPr>
        <w:t xml:space="preserve"> indukci</w:t>
      </w:r>
      <w:r w:rsidR="00576A6B" w:rsidRPr="00F24057">
        <w:rPr>
          <w:szCs w:val="22"/>
          <w:lang w:val="sr-Latn-ME"/>
        </w:rPr>
        <w:t>one terapije</w:t>
      </w:r>
      <w:r w:rsidRPr="00F24057">
        <w:rPr>
          <w:szCs w:val="22"/>
          <w:lang w:val="sr-Latn-ME"/>
        </w:rPr>
        <w:t xml:space="preserve">. </w:t>
      </w:r>
    </w:p>
    <w:p w14:paraId="6EF874ED" w14:textId="77777777" w:rsidR="00CC2AC4" w:rsidRPr="00F24057" w:rsidRDefault="00CC2AC4" w:rsidP="00D70B34">
      <w:pPr>
        <w:rPr>
          <w:szCs w:val="22"/>
          <w:lang w:val="sr-Latn-ME"/>
        </w:rPr>
      </w:pPr>
    </w:p>
    <w:p w14:paraId="4669CD5D" w14:textId="79F60515" w:rsidR="00CC2AC4" w:rsidRPr="00F24057" w:rsidRDefault="00CC2AC4" w:rsidP="00D70B34">
      <w:pPr>
        <w:rPr>
          <w:szCs w:val="22"/>
          <w:lang w:val="sr-Latn-ME"/>
        </w:rPr>
      </w:pPr>
      <w:r w:rsidRPr="00F24057">
        <w:rPr>
          <w:szCs w:val="22"/>
          <w:lang w:val="sr-Latn-ME"/>
        </w:rPr>
        <w:t xml:space="preserve">Nakon indukcije, preporučena doza je 40 mg svake druge </w:t>
      </w:r>
      <w:r w:rsidR="00885A78" w:rsidRPr="00F24057">
        <w:rPr>
          <w:szCs w:val="22"/>
          <w:lang w:val="sr-Latn-ME"/>
        </w:rPr>
        <w:t>nedjelj</w:t>
      </w:r>
      <w:r w:rsidRPr="00F24057">
        <w:rPr>
          <w:szCs w:val="22"/>
          <w:lang w:val="sr-Latn-ME"/>
        </w:rPr>
        <w:t xml:space="preserve">e supkutanom injekcijom. Alternativno, ako je pacijent prestao da uzima </w:t>
      </w:r>
      <w:r w:rsidR="0030064A" w:rsidRPr="00F24057">
        <w:rPr>
          <w:szCs w:val="22"/>
          <w:lang w:val="sr-Latn-ME"/>
        </w:rPr>
        <w:t xml:space="preserve">lijek </w:t>
      </w:r>
      <w:r w:rsidR="00652907" w:rsidRPr="00F24057">
        <w:rPr>
          <w:szCs w:val="22"/>
          <w:lang w:val="sr-Latn-ME"/>
        </w:rPr>
        <w:t>Hukyndra</w:t>
      </w:r>
      <w:r w:rsidRPr="00F24057">
        <w:rPr>
          <w:szCs w:val="22"/>
          <w:lang w:val="sr-Latn-ME"/>
        </w:rPr>
        <w:t xml:space="preserve">, a znakovi i simptomi bolesti su se opet pojavili, </w:t>
      </w:r>
      <w:r w:rsidR="0030064A" w:rsidRPr="00F24057">
        <w:rPr>
          <w:szCs w:val="22"/>
          <w:lang w:val="sr-Latn-ME"/>
        </w:rPr>
        <w:t xml:space="preserve">lijek </w:t>
      </w:r>
      <w:r w:rsidR="00652907" w:rsidRPr="00F24057">
        <w:rPr>
          <w:szCs w:val="22"/>
          <w:lang w:val="sr-Latn-ME"/>
        </w:rPr>
        <w:t>Hukyndra</w:t>
      </w:r>
      <w:r w:rsidRPr="00F24057">
        <w:rPr>
          <w:szCs w:val="22"/>
          <w:lang w:val="sr-Latn-ME"/>
        </w:rPr>
        <w:t xml:space="preserve"> se može ponovno </w:t>
      </w:r>
      <w:r w:rsidR="009811CA" w:rsidRPr="00F24057">
        <w:rPr>
          <w:szCs w:val="22"/>
          <w:lang w:val="sr-Latn-ME"/>
        </w:rPr>
        <w:t>primijeniti</w:t>
      </w:r>
      <w:r w:rsidRPr="00F24057">
        <w:rPr>
          <w:szCs w:val="22"/>
          <w:lang w:val="sr-Latn-ME"/>
        </w:rPr>
        <w:t xml:space="preserve">. Postoji malo podataka o ponovnoj </w:t>
      </w:r>
      <w:r w:rsidR="0030064A" w:rsidRPr="00F24057">
        <w:rPr>
          <w:szCs w:val="22"/>
          <w:lang w:val="sr-Latn-ME"/>
        </w:rPr>
        <w:t>primjen</w:t>
      </w:r>
      <w:r w:rsidRPr="00F24057">
        <w:rPr>
          <w:szCs w:val="22"/>
          <w:lang w:val="sr-Latn-ME"/>
        </w:rPr>
        <w:t xml:space="preserve">i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kada je prekid terapije trajao duže od 8 </w:t>
      </w:r>
      <w:r w:rsidR="00885A78" w:rsidRPr="00F24057">
        <w:rPr>
          <w:szCs w:val="22"/>
          <w:lang w:val="sr-Latn-ME"/>
        </w:rPr>
        <w:t>nedjelj</w:t>
      </w:r>
      <w:r w:rsidRPr="00F24057">
        <w:rPr>
          <w:szCs w:val="22"/>
          <w:lang w:val="sr-Latn-ME"/>
        </w:rPr>
        <w:t xml:space="preserve">a. </w:t>
      </w:r>
    </w:p>
    <w:p w14:paraId="44BF35B4" w14:textId="77777777" w:rsidR="00CC2AC4" w:rsidRPr="00F24057" w:rsidRDefault="00CC2AC4" w:rsidP="00D70B34">
      <w:pPr>
        <w:rPr>
          <w:szCs w:val="22"/>
          <w:lang w:val="sr-Latn-ME"/>
        </w:rPr>
      </w:pPr>
    </w:p>
    <w:p w14:paraId="1248FFCA" w14:textId="352F1961" w:rsidR="00CC2AC4" w:rsidRPr="00F24057" w:rsidRDefault="00CC2AC4" w:rsidP="00D70B34">
      <w:pPr>
        <w:rPr>
          <w:szCs w:val="22"/>
          <w:lang w:val="sr-Latn-ME"/>
        </w:rPr>
      </w:pPr>
      <w:r w:rsidRPr="00F24057">
        <w:rPr>
          <w:szCs w:val="22"/>
          <w:lang w:val="sr-Latn-ME"/>
        </w:rPr>
        <w:t>Tokom terapije održavanja, doza kortikosteroida može se postepeno smanjivati u skladu sa sm</w:t>
      </w:r>
      <w:r w:rsidR="007E5568" w:rsidRPr="00F24057">
        <w:rPr>
          <w:szCs w:val="22"/>
          <w:lang w:val="sr-Latn-ME"/>
        </w:rPr>
        <w:t>j</w:t>
      </w:r>
      <w:r w:rsidRPr="00F24057">
        <w:rPr>
          <w:szCs w:val="22"/>
          <w:lang w:val="sr-Latn-ME"/>
        </w:rPr>
        <w:t>ernicama</w:t>
      </w:r>
      <w:r w:rsidR="00576A6B" w:rsidRPr="00F24057">
        <w:rPr>
          <w:szCs w:val="22"/>
          <w:lang w:val="sr-Latn-ME"/>
        </w:rPr>
        <w:t xml:space="preserve"> iz kliničke prakse</w:t>
      </w:r>
      <w:r w:rsidRPr="00F24057">
        <w:rPr>
          <w:szCs w:val="22"/>
          <w:lang w:val="sr-Latn-ME"/>
        </w:rPr>
        <w:t xml:space="preserve">. </w:t>
      </w:r>
    </w:p>
    <w:p w14:paraId="5ABFDD82" w14:textId="77777777" w:rsidR="00CC2AC4" w:rsidRPr="00F24057" w:rsidRDefault="00CC2AC4" w:rsidP="00D70B34">
      <w:pPr>
        <w:rPr>
          <w:szCs w:val="22"/>
          <w:lang w:val="sr-Latn-ME"/>
        </w:rPr>
      </w:pPr>
    </w:p>
    <w:p w14:paraId="0CA13F32" w14:textId="601EDE23" w:rsidR="00CC2AC4" w:rsidRPr="00F24057" w:rsidRDefault="00CC2AC4" w:rsidP="00D70B34">
      <w:pPr>
        <w:rPr>
          <w:szCs w:val="22"/>
          <w:lang w:val="sr-Latn-ME"/>
        </w:rPr>
      </w:pPr>
      <w:r w:rsidRPr="00F24057">
        <w:rPr>
          <w:szCs w:val="22"/>
          <w:lang w:val="sr-Latn-ME"/>
        </w:rPr>
        <w:t xml:space="preserve">Kod nekih pacijenata kod kojih dođe do slabljenja odgovora na terapiju </w:t>
      </w:r>
      <w:r w:rsidR="00885A78" w:rsidRPr="00F24057">
        <w:rPr>
          <w:szCs w:val="22"/>
          <w:lang w:val="sr-Latn-ME"/>
        </w:rPr>
        <w:t>lijekom</w:t>
      </w:r>
      <w:r w:rsidRPr="00F24057">
        <w:rPr>
          <w:szCs w:val="22"/>
          <w:lang w:val="sr-Latn-ME"/>
        </w:rPr>
        <w:t xml:space="preserve"> </w:t>
      </w:r>
      <w:r w:rsidR="00652907" w:rsidRPr="00F24057">
        <w:rPr>
          <w:szCs w:val="22"/>
          <w:lang w:val="sr-Latn-ME"/>
        </w:rPr>
        <w:t>Hukyndra</w:t>
      </w:r>
      <w:r w:rsidRPr="00F24057">
        <w:rPr>
          <w:szCs w:val="22"/>
          <w:lang w:val="sr-Latn-ME"/>
        </w:rPr>
        <w:t xml:space="preserve"> u dozi od 40 mg svake druge </w:t>
      </w:r>
      <w:r w:rsidR="00885A78" w:rsidRPr="00F24057">
        <w:rPr>
          <w:szCs w:val="22"/>
          <w:lang w:val="sr-Latn-ME"/>
        </w:rPr>
        <w:t>nedjelj</w:t>
      </w:r>
      <w:r w:rsidRPr="00F24057">
        <w:rPr>
          <w:szCs w:val="22"/>
          <w:lang w:val="sr-Latn-ME"/>
        </w:rPr>
        <w:t xml:space="preserve">e možda će biti </w:t>
      </w:r>
      <w:r w:rsidR="008742E2" w:rsidRPr="00F24057">
        <w:rPr>
          <w:szCs w:val="22"/>
          <w:lang w:val="sr-Latn-ME"/>
        </w:rPr>
        <w:t>efikasno</w:t>
      </w:r>
      <w:r w:rsidRPr="00F24057">
        <w:rPr>
          <w:szCs w:val="22"/>
          <w:lang w:val="sr-Latn-ME"/>
        </w:rPr>
        <w:t xml:space="preserve"> poveća</w:t>
      </w:r>
      <w:r w:rsidR="008742E2" w:rsidRPr="00F24057">
        <w:rPr>
          <w:szCs w:val="22"/>
          <w:lang w:val="sr-Latn-ME"/>
        </w:rPr>
        <w:t>nje</w:t>
      </w:r>
      <w:r w:rsidRPr="00F24057">
        <w:rPr>
          <w:szCs w:val="22"/>
          <w:lang w:val="sr-Latn-ME"/>
        </w:rPr>
        <w:t xml:space="preserve"> doze na 40 mg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svake </w:t>
      </w:r>
      <w:r w:rsidR="00885A78" w:rsidRPr="00F24057">
        <w:rPr>
          <w:szCs w:val="22"/>
          <w:lang w:val="sr-Latn-ME"/>
        </w:rPr>
        <w:t>nedjelj</w:t>
      </w:r>
      <w:r w:rsidRPr="00F24057">
        <w:rPr>
          <w:szCs w:val="22"/>
          <w:lang w:val="sr-Latn-ME"/>
        </w:rPr>
        <w:t xml:space="preserve">e ili 80 mg svake druge </w:t>
      </w:r>
      <w:r w:rsidR="00885A78" w:rsidRPr="00F24057">
        <w:rPr>
          <w:szCs w:val="22"/>
          <w:lang w:val="sr-Latn-ME"/>
        </w:rPr>
        <w:t>nedjelj</w:t>
      </w:r>
      <w:r w:rsidRPr="00F24057">
        <w:rPr>
          <w:szCs w:val="22"/>
          <w:lang w:val="sr-Latn-ME"/>
        </w:rPr>
        <w:t xml:space="preserve">e. </w:t>
      </w:r>
    </w:p>
    <w:p w14:paraId="6890E13B" w14:textId="77777777" w:rsidR="00CC2AC4" w:rsidRPr="00F24057" w:rsidRDefault="00CC2AC4" w:rsidP="00D70B34">
      <w:pPr>
        <w:rPr>
          <w:szCs w:val="22"/>
          <w:lang w:val="sr-Latn-ME"/>
        </w:rPr>
      </w:pPr>
    </w:p>
    <w:p w14:paraId="1AFF2F61" w14:textId="4A050F61" w:rsidR="00CC2AC4" w:rsidRPr="00F24057" w:rsidRDefault="008742E2" w:rsidP="00D70B34">
      <w:pPr>
        <w:rPr>
          <w:szCs w:val="22"/>
          <w:lang w:val="sr-Latn-ME"/>
        </w:rPr>
      </w:pPr>
      <w:r w:rsidRPr="00F24057">
        <w:rPr>
          <w:szCs w:val="22"/>
          <w:lang w:val="sr-Latn-ME"/>
        </w:rPr>
        <w:t>Kod nekih</w:t>
      </w:r>
      <w:r w:rsidR="00CC2AC4" w:rsidRPr="00F24057">
        <w:rPr>
          <w:szCs w:val="22"/>
          <w:lang w:val="sr-Latn-ME"/>
        </w:rPr>
        <w:t xml:space="preserve"> pacijen</w:t>
      </w:r>
      <w:r w:rsidRPr="00F24057">
        <w:rPr>
          <w:szCs w:val="22"/>
          <w:lang w:val="sr-Latn-ME"/>
        </w:rPr>
        <w:t>a</w:t>
      </w:r>
      <w:r w:rsidR="00CC2AC4" w:rsidRPr="00F24057">
        <w:rPr>
          <w:szCs w:val="22"/>
          <w:lang w:val="sr-Latn-ME"/>
        </w:rPr>
        <w:t>t</w:t>
      </w:r>
      <w:r w:rsidRPr="00F24057">
        <w:rPr>
          <w:szCs w:val="22"/>
          <w:lang w:val="sr-Latn-ME"/>
        </w:rPr>
        <w:t>a</w:t>
      </w:r>
      <w:r w:rsidR="00CC2AC4" w:rsidRPr="00F24057">
        <w:rPr>
          <w:szCs w:val="22"/>
          <w:lang w:val="sr-Latn-ME"/>
        </w:rPr>
        <w:t xml:space="preserve"> koji ne </w:t>
      </w:r>
      <w:r w:rsidR="00816A4C" w:rsidRPr="00F24057">
        <w:rPr>
          <w:szCs w:val="22"/>
          <w:lang w:val="sr-Latn-ME"/>
        </w:rPr>
        <w:t>reaguju</w:t>
      </w:r>
      <w:r w:rsidR="00CC2AC4" w:rsidRPr="00F24057">
        <w:rPr>
          <w:szCs w:val="22"/>
          <w:lang w:val="sr-Latn-ME"/>
        </w:rPr>
        <w:t xml:space="preserve"> na terapiju do 4. </w:t>
      </w:r>
      <w:r w:rsidR="00885A78" w:rsidRPr="00F24057">
        <w:rPr>
          <w:szCs w:val="22"/>
          <w:lang w:val="sr-Latn-ME"/>
        </w:rPr>
        <w:t>nedjelj</w:t>
      </w:r>
      <w:r w:rsidR="00CC2AC4" w:rsidRPr="00F24057">
        <w:rPr>
          <w:szCs w:val="22"/>
          <w:lang w:val="sr-Latn-ME"/>
        </w:rPr>
        <w:t>e</w:t>
      </w:r>
      <w:r w:rsidR="00816A4C" w:rsidRPr="00F24057">
        <w:rPr>
          <w:szCs w:val="22"/>
          <w:lang w:val="sr-Latn-ME"/>
        </w:rPr>
        <w:t>, terapijski odgovor se može postići produženjem terapije</w:t>
      </w:r>
      <w:r w:rsidR="00CC2AC4" w:rsidRPr="00F24057">
        <w:rPr>
          <w:szCs w:val="22"/>
          <w:lang w:val="sr-Latn-ME"/>
        </w:rPr>
        <w:t xml:space="preserve"> održavanja do 12. </w:t>
      </w:r>
      <w:r w:rsidR="00885A78" w:rsidRPr="00F24057">
        <w:rPr>
          <w:szCs w:val="22"/>
          <w:lang w:val="sr-Latn-ME"/>
        </w:rPr>
        <w:t>nedjelj</w:t>
      </w:r>
      <w:r w:rsidR="00CC2AC4" w:rsidRPr="00F24057">
        <w:rPr>
          <w:szCs w:val="22"/>
          <w:lang w:val="sr-Latn-ME"/>
        </w:rPr>
        <w:t xml:space="preserve">e. </w:t>
      </w:r>
      <w:r w:rsidR="004229EA" w:rsidRPr="00F24057">
        <w:rPr>
          <w:szCs w:val="22"/>
          <w:lang w:val="sr-Latn-ME"/>
        </w:rPr>
        <w:t>Nastavak terapije treba razmotriti kod onih pacijenata koji nisu odgovorili na terapiju u ovom vremenskom periodu</w:t>
      </w:r>
      <w:r w:rsidR="00CC2AC4" w:rsidRPr="00F24057">
        <w:rPr>
          <w:szCs w:val="22"/>
          <w:lang w:val="sr-Latn-ME"/>
        </w:rPr>
        <w:t xml:space="preserve">. </w:t>
      </w:r>
    </w:p>
    <w:p w14:paraId="072D43C1" w14:textId="1F6709F4" w:rsidR="00CE09F3" w:rsidRPr="00F24057" w:rsidRDefault="00CE09F3" w:rsidP="00D70B34">
      <w:pPr>
        <w:rPr>
          <w:szCs w:val="22"/>
          <w:lang w:val="sr-Latn-ME"/>
        </w:rPr>
      </w:pPr>
    </w:p>
    <w:p w14:paraId="608B5554" w14:textId="77777777" w:rsidR="00DA11E8" w:rsidRPr="00F24057" w:rsidRDefault="00DA11E8" w:rsidP="00D70B34">
      <w:pPr>
        <w:rPr>
          <w:i/>
          <w:iCs/>
          <w:szCs w:val="22"/>
          <w:lang w:val="sr-Latn-ME"/>
        </w:rPr>
      </w:pPr>
      <w:r w:rsidRPr="00F24057">
        <w:rPr>
          <w:i/>
          <w:iCs/>
          <w:szCs w:val="22"/>
          <w:lang w:val="sr-Latn-ME"/>
        </w:rPr>
        <w:t xml:space="preserve">Ulcerozni kolitis </w:t>
      </w:r>
    </w:p>
    <w:p w14:paraId="36D3C2C4" w14:textId="4921EA93" w:rsidR="00DA11E8" w:rsidRPr="00F24057" w:rsidRDefault="00DA11E8" w:rsidP="00D70B34">
      <w:pPr>
        <w:rPr>
          <w:szCs w:val="22"/>
          <w:lang w:val="sr-Latn-ME"/>
        </w:rPr>
      </w:pPr>
      <w:r w:rsidRPr="00F24057">
        <w:rPr>
          <w:szCs w:val="22"/>
          <w:lang w:val="sr-Latn-ME"/>
        </w:rPr>
        <w:t xml:space="preserve">Preporučena indukciona doza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kod odraslih pacijenata sa u</w:t>
      </w:r>
      <w:r w:rsidR="0030064A" w:rsidRPr="00F24057">
        <w:rPr>
          <w:szCs w:val="22"/>
          <w:lang w:val="sr-Latn-ME"/>
        </w:rPr>
        <w:t>mjeren</w:t>
      </w:r>
      <w:r w:rsidRPr="00F24057">
        <w:rPr>
          <w:szCs w:val="22"/>
          <w:lang w:val="sr-Latn-ME"/>
        </w:rPr>
        <w:t xml:space="preserve">im do teškim ulceroznim kolitisom je 160 mg u </w:t>
      </w:r>
      <w:r w:rsidR="005B41B4" w:rsidRPr="00F24057">
        <w:rPr>
          <w:szCs w:val="22"/>
          <w:lang w:val="sr-Latn-ME"/>
        </w:rPr>
        <w:t>početnoj</w:t>
      </w:r>
      <w:r w:rsidRPr="00F24057">
        <w:rPr>
          <w:szCs w:val="22"/>
          <w:lang w:val="sr-Latn-ME"/>
        </w:rPr>
        <w:t xml:space="preserve"> </w:t>
      </w:r>
      <w:r w:rsidR="00885A78" w:rsidRPr="00F24057">
        <w:rPr>
          <w:szCs w:val="22"/>
          <w:lang w:val="sr-Latn-ME"/>
        </w:rPr>
        <w:t>nedjelj</w:t>
      </w:r>
      <w:r w:rsidRPr="00F24057">
        <w:rPr>
          <w:szCs w:val="22"/>
          <w:lang w:val="sr-Latn-ME"/>
        </w:rPr>
        <w:t xml:space="preserve">i </w:t>
      </w:r>
      <w:r w:rsidR="005B41B4" w:rsidRPr="00F24057">
        <w:rPr>
          <w:szCs w:val="22"/>
          <w:lang w:val="sr-Latn-ME"/>
        </w:rPr>
        <w:t xml:space="preserve">(označena kao nulta </w:t>
      </w:r>
      <w:r w:rsidR="00885A78" w:rsidRPr="00F24057">
        <w:rPr>
          <w:szCs w:val="22"/>
          <w:lang w:val="sr-Latn-ME"/>
        </w:rPr>
        <w:t>nedjelj</w:t>
      </w:r>
      <w:r w:rsidR="005B41B4" w:rsidRPr="00F24057">
        <w:rPr>
          <w:szCs w:val="22"/>
          <w:lang w:val="sr-Latn-ME"/>
        </w:rPr>
        <w:t xml:space="preserve">a, </w:t>
      </w:r>
      <w:r w:rsidR="00080447" w:rsidRPr="00F24057">
        <w:rPr>
          <w:i/>
          <w:iCs/>
          <w:szCs w:val="22"/>
          <w:lang w:val="sr-Latn-ME"/>
        </w:rPr>
        <w:t>Week 0</w:t>
      </w:r>
      <w:r w:rsidR="005B41B4" w:rsidRPr="00F24057">
        <w:rPr>
          <w:szCs w:val="22"/>
          <w:lang w:val="sr-Latn-ME"/>
        </w:rPr>
        <w:t xml:space="preserve">) </w:t>
      </w:r>
      <w:r w:rsidRPr="00F24057">
        <w:rPr>
          <w:szCs w:val="22"/>
          <w:lang w:val="sr-Latn-ME"/>
        </w:rPr>
        <w:t>(</w:t>
      </w:r>
      <w:r w:rsidR="009811CA" w:rsidRPr="00F24057">
        <w:rPr>
          <w:szCs w:val="22"/>
          <w:lang w:val="sr-Latn-ME"/>
        </w:rPr>
        <w:t>primijenje</w:t>
      </w:r>
      <w:r w:rsidRPr="00F24057">
        <w:rPr>
          <w:szCs w:val="22"/>
          <w:lang w:val="sr-Latn-ME"/>
        </w:rPr>
        <w:t xml:space="preserve">na u obliku četiri injekcije od 40 mg u jednom danu ili kao </w:t>
      </w:r>
      <w:r w:rsidR="009A3407" w:rsidRPr="00F24057">
        <w:rPr>
          <w:szCs w:val="22"/>
          <w:lang w:val="sr-Latn-ME"/>
        </w:rPr>
        <w:t xml:space="preserve">dvije </w:t>
      </w:r>
      <w:r w:rsidRPr="00F24057">
        <w:rPr>
          <w:szCs w:val="22"/>
          <w:lang w:val="sr-Latn-ME"/>
        </w:rPr>
        <w:t xml:space="preserve">injekcije od 40 mg na dan tokom dva uzastopna dana) </w:t>
      </w:r>
      <w:r w:rsidR="009E2A9A" w:rsidRPr="00F24057">
        <w:rPr>
          <w:szCs w:val="22"/>
          <w:lang w:val="sr-Latn-ME"/>
        </w:rPr>
        <w:t xml:space="preserve">praćena dozom od 80 mg nakon </w:t>
      </w:r>
      <w:r w:rsidR="009A3407" w:rsidRPr="00F24057">
        <w:rPr>
          <w:szCs w:val="22"/>
          <w:lang w:val="sr-Latn-ME"/>
        </w:rPr>
        <w:t xml:space="preserve">dvije </w:t>
      </w:r>
      <w:r w:rsidR="00885A78" w:rsidRPr="00F24057">
        <w:rPr>
          <w:szCs w:val="22"/>
          <w:lang w:val="sr-Latn-ME"/>
        </w:rPr>
        <w:t>nedjelj</w:t>
      </w:r>
      <w:r w:rsidR="009E2A9A" w:rsidRPr="00F24057">
        <w:rPr>
          <w:szCs w:val="22"/>
          <w:lang w:val="sr-Latn-ME"/>
        </w:rPr>
        <w:t xml:space="preserve">e </w:t>
      </w:r>
      <w:r w:rsidRPr="00F24057">
        <w:rPr>
          <w:szCs w:val="22"/>
          <w:lang w:val="sr-Latn-ME"/>
        </w:rPr>
        <w:t>(</w:t>
      </w:r>
      <w:r w:rsidR="009811CA" w:rsidRPr="00F24057">
        <w:rPr>
          <w:szCs w:val="22"/>
          <w:lang w:val="sr-Latn-ME"/>
        </w:rPr>
        <w:t>primijenje</w:t>
      </w:r>
      <w:r w:rsidRPr="00F24057">
        <w:rPr>
          <w:szCs w:val="22"/>
          <w:lang w:val="sr-Latn-ME"/>
        </w:rPr>
        <w:t xml:space="preserve">na u obliku </w:t>
      </w:r>
      <w:r w:rsidR="009A3407" w:rsidRPr="00F24057">
        <w:rPr>
          <w:szCs w:val="22"/>
          <w:lang w:val="sr-Latn-ME"/>
        </w:rPr>
        <w:t xml:space="preserve">dvije </w:t>
      </w:r>
      <w:r w:rsidRPr="00F24057">
        <w:rPr>
          <w:szCs w:val="22"/>
          <w:lang w:val="sr-Latn-ME"/>
        </w:rPr>
        <w:t>injekcije od 40 mg u jednom danu). Nakon indukci</w:t>
      </w:r>
      <w:r w:rsidR="009E2A9A" w:rsidRPr="00F24057">
        <w:rPr>
          <w:szCs w:val="22"/>
          <w:lang w:val="sr-Latn-ME"/>
        </w:rPr>
        <w:t>one terapije</w:t>
      </w:r>
      <w:r w:rsidRPr="00F24057">
        <w:rPr>
          <w:szCs w:val="22"/>
          <w:lang w:val="sr-Latn-ME"/>
        </w:rPr>
        <w:t xml:space="preserve">, preporučena doza je 40 mg svake druge </w:t>
      </w:r>
      <w:r w:rsidR="00885A78" w:rsidRPr="00F24057">
        <w:rPr>
          <w:szCs w:val="22"/>
          <w:lang w:val="sr-Latn-ME"/>
        </w:rPr>
        <w:t>nedjelj</w:t>
      </w:r>
      <w:r w:rsidRPr="00F24057">
        <w:rPr>
          <w:szCs w:val="22"/>
          <w:lang w:val="sr-Latn-ME"/>
        </w:rPr>
        <w:t xml:space="preserve">e supkutanom injekcijom. </w:t>
      </w:r>
    </w:p>
    <w:p w14:paraId="5D8C67D9" w14:textId="77777777" w:rsidR="00DA11E8" w:rsidRPr="00F24057" w:rsidRDefault="00DA11E8" w:rsidP="00D70B34">
      <w:pPr>
        <w:rPr>
          <w:szCs w:val="22"/>
          <w:lang w:val="sr-Latn-ME"/>
        </w:rPr>
      </w:pPr>
    </w:p>
    <w:p w14:paraId="2E69F44A" w14:textId="6AED75AD" w:rsidR="00DA11E8" w:rsidRPr="00F24057" w:rsidRDefault="00DA11E8" w:rsidP="00D70B34">
      <w:pPr>
        <w:rPr>
          <w:szCs w:val="22"/>
          <w:lang w:val="sr-Latn-ME"/>
        </w:rPr>
      </w:pPr>
      <w:r w:rsidRPr="00F24057">
        <w:rPr>
          <w:szCs w:val="22"/>
          <w:lang w:val="sr-Latn-ME"/>
        </w:rPr>
        <w:t>Tokom terapije održavanja, doza kortikosteroida može se postepeno smanjivati u skladu s</w:t>
      </w:r>
      <w:r w:rsidR="001337C4" w:rsidRPr="00F24057">
        <w:rPr>
          <w:szCs w:val="22"/>
          <w:lang w:val="sr-Latn-ME"/>
        </w:rPr>
        <w:t>a</w:t>
      </w:r>
      <w:r w:rsidRPr="00F24057">
        <w:rPr>
          <w:szCs w:val="22"/>
          <w:lang w:val="sr-Latn-ME"/>
        </w:rPr>
        <w:t xml:space="preserve"> sm</w:t>
      </w:r>
      <w:r w:rsidR="007E5568" w:rsidRPr="00F24057">
        <w:rPr>
          <w:szCs w:val="22"/>
          <w:lang w:val="sr-Latn-ME"/>
        </w:rPr>
        <w:t>j</w:t>
      </w:r>
      <w:r w:rsidRPr="00F24057">
        <w:rPr>
          <w:szCs w:val="22"/>
          <w:lang w:val="sr-Latn-ME"/>
        </w:rPr>
        <w:t>ernicama</w:t>
      </w:r>
      <w:r w:rsidR="001337C4" w:rsidRPr="00F24057">
        <w:rPr>
          <w:szCs w:val="22"/>
          <w:lang w:val="sr-Latn-ME"/>
        </w:rPr>
        <w:t xml:space="preserve"> iz kliničke prakse</w:t>
      </w:r>
      <w:r w:rsidRPr="00F24057">
        <w:rPr>
          <w:szCs w:val="22"/>
          <w:lang w:val="sr-Latn-ME"/>
        </w:rPr>
        <w:t xml:space="preserve">. </w:t>
      </w:r>
    </w:p>
    <w:p w14:paraId="37144BC7" w14:textId="77777777" w:rsidR="00DA11E8" w:rsidRPr="00F24057" w:rsidRDefault="00DA11E8" w:rsidP="00D70B34">
      <w:pPr>
        <w:rPr>
          <w:szCs w:val="22"/>
          <w:lang w:val="sr-Latn-ME"/>
        </w:rPr>
      </w:pPr>
    </w:p>
    <w:p w14:paraId="7B043014" w14:textId="6A8AC30B" w:rsidR="00DA11E8" w:rsidRPr="00F24057" w:rsidRDefault="00DA11E8" w:rsidP="00D70B34">
      <w:pPr>
        <w:rPr>
          <w:szCs w:val="22"/>
          <w:lang w:val="sr-Latn-ME"/>
        </w:rPr>
      </w:pPr>
      <w:r w:rsidRPr="00F24057">
        <w:rPr>
          <w:szCs w:val="22"/>
          <w:lang w:val="sr-Latn-ME"/>
        </w:rPr>
        <w:lastRenderedPageBreak/>
        <w:t xml:space="preserve">Kod nekih pacijenata kod kojih dođe do slabljenja odgovora na terapiju </w:t>
      </w:r>
      <w:r w:rsidR="00885A78" w:rsidRPr="00F24057">
        <w:rPr>
          <w:szCs w:val="22"/>
          <w:lang w:val="sr-Latn-ME"/>
        </w:rPr>
        <w:t>lijekom</w:t>
      </w:r>
      <w:r w:rsidR="003B1ECF" w:rsidRPr="00F24057">
        <w:rPr>
          <w:szCs w:val="22"/>
          <w:lang w:val="sr-Latn-ME"/>
        </w:rPr>
        <w:t xml:space="preserve"> </w:t>
      </w:r>
      <w:r w:rsidR="00652907" w:rsidRPr="00F24057">
        <w:rPr>
          <w:szCs w:val="22"/>
          <w:lang w:val="sr-Latn-ME"/>
        </w:rPr>
        <w:t>Hukyndra</w:t>
      </w:r>
      <w:r w:rsidRPr="00F24057">
        <w:rPr>
          <w:szCs w:val="22"/>
          <w:lang w:val="sr-Latn-ME"/>
        </w:rPr>
        <w:t xml:space="preserve"> u dozi od 40 mg svake druge </w:t>
      </w:r>
      <w:r w:rsidR="00885A78" w:rsidRPr="00F24057">
        <w:rPr>
          <w:szCs w:val="22"/>
          <w:lang w:val="sr-Latn-ME"/>
        </w:rPr>
        <w:t>nedjelj</w:t>
      </w:r>
      <w:r w:rsidRPr="00F24057">
        <w:rPr>
          <w:szCs w:val="22"/>
          <w:lang w:val="sr-Latn-ME"/>
        </w:rPr>
        <w:t xml:space="preserve">e </w:t>
      </w:r>
      <w:r w:rsidR="001337C4" w:rsidRPr="00F24057">
        <w:rPr>
          <w:szCs w:val="22"/>
          <w:lang w:val="sr-Latn-ME"/>
        </w:rPr>
        <w:t>može biti efikasno</w:t>
      </w:r>
      <w:r w:rsidRPr="00F24057">
        <w:rPr>
          <w:szCs w:val="22"/>
          <w:lang w:val="sr-Latn-ME"/>
        </w:rPr>
        <w:t xml:space="preserve"> poveća</w:t>
      </w:r>
      <w:r w:rsidR="001337C4" w:rsidRPr="00F24057">
        <w:rPr>
          <w:szCs w:val="22"/>
          <w:lang w:val="sr-Latn-ME"/>
        </w:rPr>
        <w:t>nje</w:t>
      </w:r>
      <w:r w:rsidRPr="00F24057">
        <w:rPr>
          <w:szCs w:val="22"/>
          <w:lang w:val="sr-Latn-ME"/>
        </w:rPr>
        <w:t xml:space="preserve"> doze na 40 mg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svake </w:t>
      </w:r>
      <w:r w:rsidR="00885A78" w:rsidRPr="00F24057">
        <w:rPr>
          <w:szCs w:val="22"/>
          <w:lang w:val="sr-Latn-ME"/>
        </w:rPr>
        <w:t>nedjelj</w:t>
      </w:r>
      <w:r w:rsidRPr="00F24057">
        <w:rPr>
          <w:szCs w:val="22"/>
          <w:lang w:val="sr-Latn-ME"/>
        </w:rPr>
        <w:t xml:space="preserve">e ili 80 mg svake druge </w:t>
      </w:r>
      <w:r w:rsidR="00885A78" w:rsidRPr="00F24057">
        <w:rPr>
          <w:szCs w:val="22"/>
          <w:lang w:val="sr-Latn-ME"/>
        </w:rPr>
        <w:t>nedjelj</w:t>
      </w:r>
      <w:r w:rsidRPr="00F24057">
        <w:rPr>
          <w:szCs w:val="22"/>
          <w:lang w:val="sr-Latn-ME"/>
        </w:rPr>
        <w:t xml:space="preserve">e. </w:t>
      </w:r>
    </w:p>
    <w:p w14:paraId="4A3AC61A" w14:textId="77777777" w:rsidR="00DA11E8" w:rsidRPr="00F24057" w:rsidRDefault="00DA11E8" w:rsidP="00D70B34">
      <w:pPr>
        <w:rPr>
          <w:szCs w:val="22"/>
          <w:lang w:val="sr-Latn-ME"/>
        </w:rPr>
      </w:pPr>
    </w:p>
    <w:p w14:paraId="55F117A0" w14:textId="4E52A30E" w:rsidR="00DA11E8" w:rsidRPr="00F24057" w:rsidRDefault="00DA11E8" w:rsidP="00D70B34">
      <w:pPr>
        <w:rPr>
          <w:szCs w:val="22"/>
          <w:lang w:val="sr-Latn-ME"/>
        </w:rPr>
      </w:pPr>
      <w:r w:rsidRPr="00F24057">
        <w:rPr>
          <w:szCs w:val="22"/>
          <w:lang w:val="sr-Latn-ME"/>
        </w:rPr>
        <w:t xml:space="preserve">Dostupni podaci </w:t>
      </w:r>
      <w:r w:rsidR="001337C4" w:rsidRPr="00F24057">
        <w:rPr>
          <w:szCs w:val="22"/>
          <w:lang w:val="sr-Latn-ME"/>
        </w:rPr>
        <w:t>pokazuju</w:t>
      </w:r>
      <w:r w:rsidRPr="00F24057">
        <w:rPr>
          <w:szCs w:val="22"/>
          <w:lang w:val="sr-Latn-ME"/>
        </w:rPr>
        <w:t xml:space="preserve"> da se klinički odgovor obično postiže </w:t>
      </w:r>
      <w:r w:rsidR="001337C4" w:rsidRPr="00F24057">
        <w:rPr>
          <w:szCs w:val="22"/>
          <w:lang w:val="sr-Latn-ME"/>
        </w:rPr>
        <w:t>tokom</w:t>
      </w:r>
      <w:r w:rsidRPr="00F24057">
        <w:rPr>
          <w:szCs w:val="22"/>
          <w:lang w:val="sr-Latn-ME"/>
        </w:rPr>
        <w:t xml:space="preserve"> 2-8 </w:t>
      </w:r>
      <w:r w:rsidR="00885A78" w:rsidRPr="00F24057">
        <w:rPr>
          <w:szCs w:val="22"/>
          <w:lang w:val="sr-Latn-ME"/>
        </w:rPr>
        <w:t>nedjelj</w:t>
      </w:r>
      <w:r w:rsidR="00736897" w:rsidRPr="00F24057">
        <w:rPr>
          <w:szCs w:val="22"/>
          <w:lang w:val="sr-Latn-ME"/>
        </w:rPr>
        <w:t>a</w:t>
      </w:r>
      <w:r w:rsidRPr="00F24057">
        <w:rPr>
          <w:szCs w:val="22"/>
          <w:lang w:val="sr-Latn-ME"/>
        </w:rPr>
        <w:t xml:space="preserve"> </w:t>
      </w:r>
      <w:r w:rsidR="00130EB7" w:rsidRPr="00F24057">
        <w:rPr>
          <w:szCs w:val="22"/>
          <w:lang w:val="sr-Latn-ME"/>
        </w:rPr>
        <w:t xml:space="preserve">od početka </w:t>
      </w:r>
      <w:r w:rsidRPr="00F24057">
        <w:rPr>
          <w:szCs w:val="22"/>
          <w:lang w:val="sr-Latn-ME"/>
        </w:rPr>
        <w:t>terapije. Kod pacijenata koji</w:t>
      </w:r>
      <w:r w:rsidR="00130EB7" w:rsidRPr="00F24057">
        <w:rPr>
          <w:szCs w:val="22"/>
          <w:lang w:val="sr-Latn-ME"/>
        </w:rPr>
        <w:t xml:space="preserve"> nisu odgovorili na terapiju</w:t>
      </w:r>
      <w:r w:rsidRPr="00F24057">
        <w:rPr>
          <w:szCs w:val="22"/>
          <w:lang w:val="sr-Latn-ME"/>
        </w:rPr>
        <w:t xml:space="preserve">, </w:t>
      </w:r>
      <w:r w:rsidR="00130EB7" w:rsidRPr="00F24057">
        <w:rPr>
          <w:szCs w:val="22"/>
          <w:lang w:val="sr-Latn-ME"/>
        </w:rPr>
        <w:t>terapiju</w:t>
      </w:r>
      <w:r w:rsidRPr="00F24057">
        <w:rPr>
          <w:szCs w:val="22"/>
          <w:lang w:val="sr-Latn-ME"/>
        </w:rPr>
        <w:t xml:space="preserve"> </w:t>
      </w:r>
      <w:r w:rsidR="00885A78" w:rsidRPr="00F24057">
        <w:rPr>
          <w:szCs w:val="22"/>
          <w:lang w:val="sr-Latn-ME"/>
        </w:rPr>
        <w:t>lijekom</w:t>
      </w:r>
      <w:r w:rsidRPr="00F24057">
        <w:rPr>
          <w:szCs w:val="22"/>
          <w:lang w:val="sr-Latn-ME"/>
        </w:rPr>
        <w:t xml:space="preserve"> </w:t>
      </w:r>
      <w:r w:rsidR="00652907" w:rsidRPr="00F24057">
        <w:rPr>
          <w:szCs w:val="22"/>
          <w:lang w:val="sr-Latn-ME"/>
        </w:rPr>
        <w:t>Hukyndra</w:t>
      </w:r>
      <w:r w:rsidRPr="00F24057">
        <w:rPr>
          <w:szCs w:val="22"/>
          <w:lang w:val="sr-Latn-ME"/>
        </w:rPr>
        <w:t xml:space="preserve"> ne treba nastaviti.</w:t>
      </w:r>
    </w:p>
    <w:p w14:paraId="12BCCDCA" w14:textId="77777777" w:rsidR="00DA11E8" w:rsidRPr="00F24057" w:rsidRDefault="00DA11E8" w:rsidP="00D70B34">
      <w:pPr>
        <w:rPr>
          <w:szCs w:val="22"/>
          <w:lang w:val="sr-Latn-ME"/>
        </w:rPr>
      </w:pPr>
    </w:p>
    <w:p w14:paraId="696BDCDB" w14:textId="77777777" w:rsidR="00DA11E8" w:rsidRPr="00F24057" w:rsidRDefault="00DA11E8" w:rsidP="00D70B34">
      <w:pPr>
        <w:rPr>
          <w:i/>
          <w:iCs/>
          <w:szCs w:val="22"/>
          <w:lang w:val="sr-Latn-ME"/>
        </w:rPr>
      </w:pPr>
      <w:r w:rsidRPr="00F24057">
        <w:rPr>
          <w:i/>
          <w:iCs/>
          <w:szCs w:val="22"/>
          <w:lang w:val="sr-Latn-ME"/>
        </w:rPr>
        <w:t xml:space="preserve">Uveitis </w:t>
      </w:r>
    </w:p>
    <w:p w14:paraId="1B384043" w14:textId="31032241" w:rsidR="00DA11E8" w:rsidRPr="00F24057" w:rsidRDefault="00DA11E8" w:rsidP="00D70B34">
      <w:pPr>
        <w:rPr>
          <w:szCs w:val="22"/>
          <w:lang w:val="sr-Latn-ME"/>
        </w:rPr>
      </w:pPr>
      <w:r w:rsidRPr="00F24057">
        <w:rPr>
          <w:szCs w:val="22"/>
          <w:lang w:val="sr-Latn-ME"/>
        </w:rPr>
        <w:t xml:space="preserve">Preporučena doza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kod odraslih pacijenata sa uveitisom je </w:t>
      </w:r>
      <w:r w:rsidR="0039700F" w:rsidRPr="00F24057">
        <w:rPr>
          <w:szCs w:val="22"/>
          <w:lang w:val="sr-Latn-ME"/>
        </w:rPr>
        <w:t>inicijalna</w:t>
      </w:r>
      <w:r w:rsidRPr="00F24057">
        <w:rPr>
          <w:szCs w:val="22"/>
          <w:lang w:val="sr-Latn-ME"/>
        </w:rPr>
        <w:t xml:space="preserve"> doza od 80 mg, </w:t>
      </w:r>
      <w:r w:rsidR="0039700F" w:rsidRPr="00F24057">
        <w:rPr>
          <w:szCs w:val="22"/>
          <w:lang w:val="sr-Latn-ME"/>
        </w:rPr>
        <w:t>praćena dozom od</w:t>
      </w:r>
      <w:r w:rsidRPr="00F24057">
        <w:rPr>
          <w:szCs w:val="22"/>
          <w:lang w:val="sr-Latn-ME"/>
        </w:rPr>
        <w:t xml:space="preserve"> 40 mg svake druge </w:t>
      </w:r>
      <w:r w:rsidR="00885A78" w:rsidRPr="00F24057">
        <w:rPr>
          <w:szCs w:val="22"/>
          <w:lang w:val="sr-Latn-ME"/>
        </w:rPr>
        <w:t>nedjelj</w:t>
      </w:r>
      <w:r w:rsidRPr="00F24057">
        <w:rPr>
          <w:szCs w:val="22"/>
          <w:lang w:val="sr-Latn-ME"/>
        </w:rPr>
        <w:t xml:space="preserve">e, počevši </w:t>
      </w:r>
      <w:r w:rsidR="00885A78" w:rsidRPr="00F24057">
        <w:rPr>
          <w:szCs w:val="22"/>
          <w:lang w:val="sr-Latn-ME"/>
        </w:rPr>
        <w:t>nedjelj</w:t>
      </w:r>
      <w:r w:rsidRPr="00F24057">
        <w:rPr>
          <w:szCs w:val="22"/>
          <w:lang w:val="sr-Latn-ME"/>
        </w:rPr>
        <w:t xml:space="preserve">u dana nakon početne doze. Iskustvo sa započinjanjem terapije samo adalimumabom je ograničeno. Terapija </w:t>
      </w:r>
      <w:r w:rsidR="00885A78" w:rsidRPr="00F24057">
        <w:rPr>
          <w:szCs w:val="22"/>
          <w:lang w:val="sr-Latn-ME"/>
        </w:rPr>
        <w:t>lijekom</w:t>
      </w:r>
      <w:r w:rsidRPr="00F24057">
        <w:rPr>
          <w:szCs w:val="22"/>
          <w:lang w:val="sr-Latn-ME"/>
        </w:rPr>
        <w:t xml:space="preserve"> </w:t>
      </w:r>
      <w:r w:rsidR="00652907" w:rsidRPr="00F24057">
        <w:rPr>
          <w:szCs w:val="22"/>
          <w:lang w:val="sr-Latn-ME"/>
        </w:rPr>
        <w:t>Hukyndra</w:t>
      </w:r>
      <w:r w:rsidRPr="00F24057">
        <w:rPr>
          <w:szCs w:val="22"/>
          <w:lang w:val="sr-Latn-ME"/>
        </w:rPr>
        <w:t xml:space="preserve"> može da se započne u kombinaciji sa kortikosteroidima i/ili drugim nebiološkim imunomodulatorima. Doza istovremeno </w:t>
      </w:r>
      <w:r w:rsidR="009811CA" w:rsidRPr="00F24057">
        <w:rPr>
          <w:szCs w:val="22"/>
          <w:lang w:val="sr-Latn-ME"/>
        </w:rPr>
        <w:t>primijenje</w:t>
      </w:r>
      <w:r w:rsidRPr="00F24057">
        <w:rPr>
          <w:szCs w:val="22"/>
          <w:lang w:val="sr-Latn-ME"/>
        </w:rPr>
        <w:t xml:space="preserve">nih kortikosteroida može da se postepeno smanjuje u skladu sa kliničkom praksom, počevši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nakon započinjanja terapije </w:t>
      </w:r>
      <w:r w:rsidR="00885A78" w:rsidRPr="00F24057">
        <w:rPr>
          <w:szCs w:val="22"/>
          <w:lang w:val="sr-Latn-ME"/>
        </w:rPr>
        <w:t>lijekom</w:t>
      </w:r>
      <w:r w:rsidRPr="00F24057">
        <w:rPr>
          <w:szCs w:val="22"/>
          <w:lang w:val="sr-Latn-ME"/>
        </w:rPr>
        <w:t xml:space="preserve"> </w:t>
      </w:r>
      <w:r w:rsidR="00652907" w:rsidRPr="00F24057">
        <w:rPr>
          <w:szCs w:val="22"/>
          <w:lang w:val="sr-Latn-ME"/>
        </w:rPr>
        <w:t>Hukyndra</w:t>
      </w:r>
      <w:r w:rsidRPr="00F24057">
        <w:rPr>
          <w:szCs w:val="22"/>
          <w:lang w:val="sr-Latn-ME"/>
        </w:rPr>
        <w:t xml:space="preserve">. </w:t>
      </w:r>
    </w:p>
    <w:p w14:paraId="7D8D170E" w14:textId="77777777" w:rsidR="00DA11E8" w:rsidRPr="00F24057" w:rsidRDefault="00DA11E8" w:rsidP="00D70B34">
      <w:pPr>
        <w:rPr>
          <w:szCs w:val="22"/>
          <w:lang w:val="sr-Latn-ME"/>
        </w:rPr>
      </w:pPr>
    </w:p>
    <w:p w14:paraId="11432CB5" w14:textId="307234FB" w:rsidR="00DA11E8" w:rsidRPr="00F24057" w:rsidRDefault="00DA11E8" w:rsidP="00D70B34">
      <w:pPr>
        <w:rPr>
          <w:szCs w:val="22"/>
          <w:lang w:val="sr-Latn-ME"/>
        </w:rPr>
      </w:pPr>
      <w:r w:rsidRPr="00F24057">
        <w:rPr>
          <w:szCs w:val="22"/>
          <w:lang w:val="sr-Latn-ME"/>
        </w:rPr>
        <w:t xml:space="preserve">Preporučuje se da se svake godine </w:t>
      </w:r>
      <w:r w:rsidR="00885A78" w:rsidRPr="00F24057">
        <w:rPr>
          <w:szCs w:val="22"/>
          <w:lang w:val="sr-Latn-ME"/>
        </w:rPr>
        <w:t>procjeni</w:t>
      </w:r>
      <w:r w:rsidRPr="00F24057">
        <w:rPr>
          <w:szCs w:val="22"/>
          <w:lang w:val="sr-Latn-ME"/>
        </w:rPr>
        <w:t xml:space="preserve"> odnos koristi i rizika kontinuirane dugotrajne terapije (</w:t>
      </w:r>
      <w:r w:rsidR="007B39D0" w:rsidRPr="00F24057">
        <w:rPr>
          <w:szCs w:val="22"/>
          <w:lang w:val="sr-Latn-ME"/>
        </w:rPr>
        <w:t xml:space="preserve">pogledati dio </w:t>
      </w:r>
      <w:r w:rsidRPr="00F24057">
        <w:rPr>
          <w:szCs w:val="22"/>
          <w:lang w:val="sr-Latn-ME"/>
        </w:rPr>
        <w:t xml:space="preserve">5.1). </w:t>
      </w:r>
    </w:p>
    <w:p w14:paraId="7E03C8B3" w14:textId="77777777" w:rsidR="00DA11E8" w:rsidRPr="00F24057" w:rsidRDefault="00DA11E8" w:rsidP="00D70B34">
      <w:pPr>
        <w:rPr>
          <w:szCs w:val="22"/>
          <w:lang w:val="sr-Latn-ME"/>
        </w:rPr>
      </w:pPr>
    </w:p>
    <w:p w14:paraId="5251DCB4" w14:textId="77777777" w:rsidR="00DA11E8" w:rsidRPr="00F24057" w:rsidRDefault="00DA11E8" w:rsidP="00D70B34">
      <w:pPr>
        <w:rPr>
          <w:szCs w:val="22"/>
          <w:u w:val="single"/>
          <w:lang w:val="sr-Latn-ME"/>
        </w:rPr>
      </w:pPr>
      <w:r w:rsidRPr="00F24057">
        <w:rPr>
          <w:szCs w:val="22"/>
          <w:u w:val="single"/>
          <w:lang w:val="sr-Latn-ME"/>
        </w:rPr>
        <w:t xml:space="preserve">Posebne populacije </w:t>
      </w:r>
    </w:p>
    <w:p w14:paraId="19CFF23E" w14:textId="77777777" w:rsidR="00DA11E8" w:rsidRPr="00F24057" w:rsidRDefault="00DA11E8" w:rsidP="00D70B34">
      <w:pPr>
        <w:rPr>
          <w:szCs w:val="22"/>
          <w:lang w:val="sr-Latn-ME"/>
        </w:rPr>
      </w:pPr>
    </w:p>
    <w:p w14:paraId="1092B84F" w14:textId="2D8B0AA4" w:rsidR="00DA11E8" w:rsidRPr="00F24057" w:rsidRDefault="00DA11E8" w:rsidP="00D70B34">
      <w:pPr>
        <w:rPr>
          <w:i/>
          <w:iCs/>
          <w:szCs w:val="22"/>
          <w:lang w:val="sr-Latn-ME"/>
        </w:rPr>
      </w:pPr>
      <w:r w:rsidRPr="00F24057">
        <w:rPr>
          <w:i/>
          <w:iCs/>
          <w:szCs w:val="22"/>
          <w:lang w:val="sr-Latn-ME"/>
        </w:rPr>
        <w:t>Starije os</w:t>
      </w:r>
      <w:r w:rsidR="00671751" w:rsidRPr="00F24057">
        <w:rPr>
          <w:i/>
          <w:iCs/>
          <w:szCs w:val="22"/>
          <w:lang w:val="sr-Latn-ME"/>
        </w:rPr>
        <w:t>obe</w:t>
      </w:r>
      <w:r w:rsidRPr="00F24057">
        <w:rPr>
          <w:i/>
          <w:iCs/>
          <w:szCs w:val="22"/>
          <w:lang w:val="sr-Latn-ME"/>
        </w:rPr>
        <w:t xml:space="preserve"> </w:t>
      </w:r>
    </w:p>
    <w:p w14:paraId="663E2ADD" w14:textId="77777777" w:rsidR="00DA11E8" w:rsidRPr="00F24057" w:rsidRDefault="00DA11E8" w:rsidP="00D70B34">
      <w:pPr>
        <w:rPr>
          <w:szCs w:val="22"/>
          <w:lang w:val="sr-Latn-ME"/>
        </w:rPr>
      </w:pPr>
      <w:r w:rsidRPr="00F24057">
        <w:rPr>
          <w:szCs w:val="22"/>
          <w:lang w:val="sr-Latn-ME"/>
        </w:rPr>
        <w:t xml:space="preserve">Nije potrebno prilagođavanje doze. </w:t>
      </w:r>
    </w:p>
    <w:p w14:paraId="53E37B91" w14:textId="77777777" w:rsidR="00DA11E8" w:rsidRPr="00F24057" w:rsidRDefault="00DA11E8" w:rsidP="00D70B34">
      <w:pPr>
        <w:rPr>
          <w:szCs w:val="22"/>
          <w:lang w:val="sr-Latn-ME"/>
        </w:rPr>
      </w:pPr>
    </w:p>
    <w:p w14:paraId="2D356F13" w14:textId="77777777" w:rsidR="00DA11E8" w:rsidRPr="00F24057" w:rsidRDefault="00DA11E8" w:rsidP="00D70B34">
      <w:pPr>
        <w:rPr>
          <w:i/>
          <w:iCs/>
          <w:szCs w:val="22"/>
          <w:lang w:val="sr-Latn-ME"/>
        </w:rPr>
      </w:pPr>
      <w:r w:rsidRPr="00F24057">
        <w:rPr>
          <w:i/>
          <w:iCs/>
          <w:szCs w:val="22"/>
          <w:lang w:val="sr-Latn-ME"/>
        </w:rPr>
        <w:t xml:space="preserve">Oštećenje funkcije bubrega i/ili jetre </w:t>
      </w:r>
    </w:p>
    <w:p w14:paraId="281A8916" w14:textId="231F1EF0" w:rsidR="00DA11E8" w:rsidRPr="00F24057" w:rsidRDefault="006C2D6C" w:rsidP="00D70B34">
      <w:pPr>
        <w:rPr>
          <w:szCs w:val="22"/>
          <w:lang w:val="sr-Latn-ME"/>
        </w:rPr>
      </w:pPr>
      <w:r w:rsidRPr="00F24057">
        <w:rPr>
          <w:szCs w:val="22"/>
          <w:lang w:val="sr-Latn-ME"/>
        </w:rPr>
        <w:t>A</w:t>
      </w:r>
      <w:r w:rsidR="00DA11E8" w:rsidRPr="00F24057">
        <w:rPr>
          <w:szCs w:val="22"/>
          <w:lang w:val="sr-Latn-ME"/>
        </w:rPr>
        <w:t>dalimumab</w:t>
      </w:r>
      <w:r w:rsidRPr="00F24057">
        <w:rPr>
          <w:szCs w:val="22"/>
          <w:lang w:val="sr-Latn-ME"/>
        </w:rPr>
        <w:t xml:space="preserve"> nije ispitivan</w:t>
      </w:r>
      <w:r w:rsidR="00DA11E8" w:rsidRPr="00F24057">
        <w:rPr>
          <w:szCs w:val="22"/>
          <w:lang w:val="sr-Latn-ME"/>
        </w:rPr>
        <w:t xml:space="preserve"> u </w:t>
      </w:r>
      <w:r w:rsidRPr="00F24057">
        <w:rPr>
          <w:szCs w:val="22"/>
          <w:lang w:val="sr-Latn-ME"/>
        </w:rPr>
        <w:t>ov</w:t>
      </w:r>
      <w:r w:rsidR="00DA11E8" w:rsidRPr="00F24057">
        <w:rPr>
          <w:szCs w:val="22"/>
          <w:lang w:val="sr-Latn-ME"/>
        </w:rPr>
        <w:t>oj populaciji pacijenata</w:t>
      </w:r>
      <w:r w:rsidRPr="00F24057">
        <w:rPr>
          <w:szCs w:val="22"/>
          <w:lang w:val="sr-Latn-ME"/>
        </w:rPr>
        <w:t>.</w:t>
      </w:r>
      <w:r w:rsidR="005F291C" w:rsidRPr="00F24057">
        <w:rPr>
          <w:szCs w:val="22"/>
          <w:lang w:val="sr-Latn-ME"/>
        </w:rPr>
        <w:t xml:space="preserve"> </w:t>
      </w:r>
      <w:r w:rsidRPr="00F24057">
        <w:rPr>
          <w:szCs w:val="22"/>
          <w:lang w:val="sr-Latn-ME"/>
        </w:rPr>
        <w:t>N</w:t>
      </w:r>
      <w:r w:rsidR="00DA11E8" w:rsidRPr="00F24057">
        <w:rPr>
          <w:szCs w:val="22"/>
          <w:lang w:val="sr-Latn-ME"/>
        </w:rPr>
        <w:t xml:space="preserve">e mogu </w:t>
      </w:r>
      <w:r w:rsidRPr="00F24057">
        <w:rPr>
          <w:szCs w:val="22"/>
          <w:lang w:val="sr-Latn-ME"/>
        </w:rPr>
        <w:t xml:space="preserve">se dati </w:t>
      </w:r>
      <w:r w:rsidR="00DA11E8" w:rsidRPr="00F24057">
        <w:rPr>
          <w:szCs w:val="22"/>
          <w:lang w:val="sr-Latn-ME"/>
        </w:rPr>
        <w:t xml:space="preserve">preporuke za doziranje. </w:t>
      </w:r>
    </w:p>
    <w:p w14:paraId="1F2F8E50" w14:textId="77777777" w:rsidR="00DA11E8" w:rsidRPr="00F24057" w:rsidRDefault="00DA11E8" w:rsidP="00D70B34">
      <w:pPr>
        <w:rPr>
          <w:szCs w:val="22"/>
          <w:lang w:val="sr-Latn-ME"/>
        </w:rPr>
      </w:pPr>
    </w:p>
    <w:p w14:paraId="2B3741D6" w14:textId="77777777" w:rsidR="00DA11E8" w:rsidRPr="00F24057" w:rsidRDefault="00DA11E8" w:rsidP="00D70B34">
      <w:pPr>
        <w:rPr>
          <w:i/>
          <w:iCs/>
          <w:szCs w:val="22"/>
          <w:lang w:val="sr-Latn-ME"/>
        </w:rPr>
      </w:pPr>
      <w:r w:rsidRPr="00F24057">
        <w:rPr>
          <w:i/>
          <w:iCs/>
          <w:szCs w:val="22"/>
          <w:lang w:val="sr-Latn-ME"/>
        </w:rPr>
        <w:t xml:space="preserve">Pedijatrijska populacija </w:t>
      </w:r>
    </w:p>
    <w:p w14:paraId="40172E5C" w14:textId="61EF5F8D" w:rsidR="00DA11E8" w:rsidRPr="00F24057" w:rsidRDefault="0030064A" w:rsidP="00D70B34">
      <w:pPr>
        <w:rPr>
          <w:szCs w:val="22"/>
          <w:lang w:val="sr-Latn-ME"/>
        </w:rPr>
      </w:pPr>
      <w:r w:rsidRPr="00F24057">
        <w:rPr>
          <w:szCs w:val="22"/>
          <w:lang w:val="sr-Latn-ME"/>
        </w:rPr>
        <w:t xml:space="preserve">Lijek </w:t>
      </w:r>
      <w:r w:rsidR="00652907" w:rsidRPr="00F24057">
        <w:rPr>
          <w:szCs w:val="22"/>
          <w:lang w:val="sr-Latn-ME"/>
        </w:rPr>
        <w:t>Hukyndra</w:t>
      </w:r>
      <w:r w:rsidR="00DA11E8" w:rsidRPr="00F24057">
        <w:rPr>
          <w:szCs w:val="22"/>
          <w:lang w:val="sr-Latn-ME"/>
        </w:rPr>
        <w:t xml:space="preserve"> je dostupan samo kao napunjen injekcioni špric od 40 mg</w:t>
      </w:r>
      <w:r w:rsidR="00CD1741" w:rsidRPr="00F24057">
        <w:rPr>
          <w:szCs w:val="22"/>
          <w:lang w:val="sr-Latn-ME"/>
        </w:rPr>
        <w:t xml:space="preserve">, </w:t>
      </w:r>
      <w:r w:rsidR="00DA11E8" w:rsidRPr="00F24057">
        <w:rPr>
          <w:szCs w:val="22"/>
          <w:lang w:val="sr-Latn-ME"/>
        </w:rPr>
        <w:t>napunjen injekcioni pen od 40 mg</w:t>
      </w:r>
      <w:r w:rsidR="00CD1741" w:rsidRPr="00F24057">
        <w:rPr>
          <w:szCs w:val="22"/>
          <w:lang w:val="sr-Latn-ME"/>
        </w:rPr>
        <w:t xml:space="preserve"> i napunjen injekcioni špric od </w:t>
      </w:r>
      <w:r w:rsidR="00E52EA6" w:rsidRPr="00F24057">
        <w:rPr>
          <w:szCs w:val="22"/>
          <w:lang w:val="sr-Latn-ME"/>
        </w:rPr>
        <w:t>8</w:t>
      </w:r>
      <w:r w:rsidR="00CD1741" w:rsidRPr="00F24057">
        <w:rPr>
          <w:szCs w:val="22"/>
          <w:lang w:val="sr-Latn-ME"/>
        </w:rPr>
        <w:t>0 mg</w:t>
      </w:r>
      <w:r w:rsidR="00DA11E8" w:rsidRPr="00F24057">
        <w:rPr>
          <w:szCs w:val="22"/>
          <w:lang w:val="sr-Latn-ME"/>
        </w:rPr>
        <w:t xml:space="preserve">. Zato se </w:t>
      </w:r>
      <w:r w:rsidRPr="00F24057">
        <w:rPr>
          <w:szCs w:val="22"/>
          <w:lang w:val="sr-Latn-ME"/>
        </w:rPr>
        <w:t xml:space="preserve">lijek </w:t>
      </w:r>
      <w:r w:rsidR="00652907" w:rsidRPr="00F24057">
        <w:rPr>
          <w:szCs w:val="22"/>
          <w:lang w:val="sr-Latn-ME"/>
        </w:rPr>
        <w:t>Hukyndra</w:t>
      </w:r>
      <w:r w:rsidR="00DA11E8" w:rsidRPr="00F24057">
        <w:rPr>
          <w:szCs w:val="22"/>
          <w:lang w:val="sr-Latn-ME"/>
        </w:rPr>
        <w:t xml:space="preserve"> ne može </w:t>
      </w:r>
      <w:r w:rsidR="009811CA" w:rsidRPr="00F24057">
        <w:rPr>
          <w:szCs w:val="22"/>
          <w:lang w:val="sr-Latn-ME"/>
        </w:rPr>
        <w:t>primijeniti</w:t>
      </w:r>
      <w:r w:rsidR="00DA11E8" w:rsidRPr="00F24057">
        <w:rPr>
          <w:szCs w:val="22"/>
          <w:lang w:val="sr-Latn-ME"/>
        </w:rPr>
        <w:t xml:space="preserve"> kod pedijatrijskih pacijenata </w:t>
      </w:r>
      <w:r w:rsidR="00A37F2D" w:rsidRPr="00F24057">
        <w:rPr>
          <w:szCs w:val="22"/>
          <w:lang w:val="sr-Latn-ME"/>
        </w:rPr>
        <w:t>kojima je potrebna manja doza</w:t>
      </w:r>
      <w:r w:rsidR="00DA11E8" w:rsidRPr="00F24057">
        <w:rPr>
          <w:szCs w:val="22"/>
          <w:lang w:val="sr-Latn-ME"/>
        </w:rPr>
        <w:t xml:space="preserve"> od c</w:t>
      </w:r>
      <w:r w:rsidR="0006219F" w:rsidRPr="00F24057">
        <w:rPr>
          <w:szCs w:val="22"/>
          <w:lang w:val="sr-Latn-ME"/>
        </w:rPr>
        <w:t>ij</w:t>
      </w:r>
      <w:r w:rsidR="00DA11E8" w:rsidRPr="00F24057">
        <w:rPr>
          <w:szCs w:val="22"/>
          <w:lang w:val="sr-Latn-ME"/>
        </w:rPr>
        <w:t xml:space="preserve">ele doze od 40 mg. Ako je potrebna </w:t>
      </w:r>
      <w:r w:rsidR="00A37F2D" w:rsidRPr="00F24057">
        <w:rPr>
          <w:szCs w:val="22"/>
          <w:lang w:val="sr-Latn-ME"/>
        </w:rPr>
        <w:t>alternativna</w:t>
      </w:r>
      <w:r w:rsidR="00DA11E8" w:rsidRPr="00F24057">
        <w:rPr>
          <w:szCs w:val="22"/>
          <w:lang w:val="sr-Latn-ME"/>
        </w:rPr>
        <w:t xml:space="preserve"> doza, </w:t>
      </w:r>
      <w:r w:rsidR="00A37F2D" w:rsidRPr="00F24057">
        <w:rPr>
          <w:szCs w:val="22"/>
          <w:lang w:val="sr-Latn-ME"/>
        </w:rPr>
        <w:t>po</w:t>
      </w:r>
      <w:r w:rsidR="00DA11E8" w:rsidRPr="00F24057">
        <w:rPr>
          <w:szCs w:val="22"/>
          <w:lang w:val="sr-Latn-ME"/>
        </w:rPr>
        <w:t>treb</w:t>
      </w:r>
      <w:r w:rsidR="00A37F2D" w:rsidRPr="00F24057">
        <w:rPr>
          <w:szCs w:val="22"/>
          <w:lang w:val="sr-Latn-ME"/>
        </w:rPr>
        <w:t>no je</w:t>
      </w:r>
      <w:r w:rsidR="00DA11E8" w:rsidRPr="00F24057">
        <w:rPr>
          <w:szCs w:val="22"/>
          <w:lang w:val="sr-Latn-ME"/>
        </w:rPr>
        <w:t xml:space="preserve"> </w:t>
      </w:r>
      <w:r w:rsidR="009811CA" w:rsidRPr="00F24057">
        <w:rPr>
          <w:szCs w:val="22"/>
          <w:lang w:val="sr-Latn-ME"/>
        </w:rPr>
        <w:t>primijeniti</w:t>
      </w:r>
      <w:r w:rsidR="00DA11E8" w:rsidRPr="00F24057">
        <w:rPr>
          <w:szCs w:val="22"/>
          <w:lang w:val="sr-Latn-ME"/>
        </w:rPr>
        <w:t xml:space="preserve"> druge </w:t>
      </w:r>
      <w:r w:rsidRPr="00F24057">
        <w:rPr>
          <w:szCs w:val="22"/>
          <w:lang w:val="sr-Latn-ME"/>
        </w:rPr>
        <w:t>ljekov</w:t>
      </w:r>
      <w:r w:rsidR="00DA11E8" w:rsidRPr="00F24057">
        <w:rPr>
          <w:szCs w:val="22"/>
          <w:lang w:val="sr-Latn-ME"/>
        </w:rPr>
        <w:t xml:space="preserve">e koji sadrže adalimumab i koji </w:t>
      </w:r>
      <w:r w:rsidR="00A37F2D" w:rsidRPr="00F24057">
        <w:rPr>
          <w:szCs w:val="22"/>
          <w:lang w:val="sr-Latn-ME"/>
        </w:rPr>
        <w:t>omo</w:t>
      </w:r>
      <w:r w:rsidR="00A24C6B" w:rsidRPr="00F24057">
        <w:rPr>
          <w:szCs w:val="22"/>
          <w:lang w:val="sr-Latn-ME"/>
        </w:rPr>
        <w:t xml:space="preserve">gućavaju </w:t>
      </w:r>
      <w:r w:rsidRPr="00F24057">
        <w:rPr>
          <w:szCs w:val="22"/>
          <w:lang w:val="sr-Latn-ME"/>
        </w:rPr>
        <w:t>primjen</w:t>
      </w:r>
      <w:r w:rsidR="00A24C6B" w:rsidRPr="00F24057">
        <w:rPr>
          <w:szCs w:val="22"/>
          <w:lang w:val="sr-Latn-ME"/>
        </w:rPr>
        <w:t>u odgovarajuće doze</w:t>
      </w:r>
      <w:r w:rsidR="00DA11E8" w:rsidRPr="00F24057">
        <w:rPr>
          <w:szCs w:val="22"/>
          <w:lang w:val="sr-Latn-ME"/>
        </w:rPr>
        <w:t xml:space="preserve">. </w:t>
      </w:r>
    </w:p>
    <w:p w14:paraId="2B3B98B3" w14:textId="77777777" w:rsidR="00DA11E8" w:rsidRPr="00F24057" w:rsidRDefault="00DA11E8" w:rsidP="00D70B34">
      <w:pPr>
        <w:rPr>
          <w:szCs w:val="22"/>
          <w:lang w:val="sr-Latn-ME"/>
        </w:rPr>
      </w:pPr>
    </w:p>
    <w:p w14:paraId="33F13808" w14:textId="77777777" w:rsidR="00DA11E8" w:rsidRPr="00F24057" w:rsidRDefault="00DA11E8" w:rsidP="00D70B34">
      <w:pPr>
        <w:rPr>
          <w:szCs w:val="22"/>
          <w:u w:val="single"/>
          <w:lang w:val="sr-Latn-ME"/>
        </w:rPr>
      </w:pPr>
      <w:r w:rsidRPr="00F24057">
        <w:rPr>
          <w:szCs w:val="22"/>
          <w:u w:val="single"/>
          <w:lang w:val="sr-Latn-ME"/>
        </w:rPr>
        <w:t xml:space="preserve">Juvenilni idiopatski artritis </w:t>
      </w:r>
    </w:p>
    <w:p w14:paraId="2830EE72" w14:textId="77777777" w:rsidR="00DA11E8" w:rsidRPr="00F24057" w:rsidRDefault="00DA11E8" w:rsidP="00D70B34">
      <w:pPr>
        <w:rPr>
          <w:szCs w:val="22"/>
          <w:lang w:val="sr-Latn-ME"/>
        </w:rPr>
      </w:pPr>
    </w:p>
    <w:p w14:paraId="4EF59C99" w14:textId="0C0AD8AE" w:rsidR="00DA11E8" w:rsidRPr="00F24057" w:rsidRDefault="00DA11E8" w:rsidP="00D70B34">
      <w:pPr>
        <w:rPr>
          <w:i/>
          <w:iCs/>
          <w:szCs w:val="22"/>
          <w:lang w:val="sr-Latn-ME"/>
        </w:rPr>
      </w:pPr>
      <w:r w:rsidRPr="00F24057">
        <w:rPr>
          <w:i/>
          <w:iCs/>
          <w:szCs w:val="22"/>
          <w:lang w:val="sr-Latn-ME"/>
        </w:rPr>
        <w:t>Poliartikularni juvenilni idiopatski artritis u uzrastu od 2 i više godina</w:t>
      </w:r>
    </w:p>
    <w:p w14:paraId="3FB1318E" w14:textId="0D46FC55" w:rsidR="00DA11E8" w:rsidRPr="00F24057" w:rsidRDefault="00122EDE" w:rsidP="00D70B34">
      <w:pPr>
        <w:rPr>
          <w:szCs w:val="22"/>
          <w:lang w:val="sr-Latn-ME"/>
        </w:rPr>
      </w:pPr>
      <w:r w:rsidRPr="00F24057">
        <w:rPr>
          <w:szCs w:val="22"/>
          <w:lang w:val="sr-Latn-ME"/>
        </w:rPr>
        <w:t xml:space="preserve">Preporučena doza </w:t>
      </w:r>
      <w:r w:rsidR="00885A78" w:rsidRPr="00F24057">
        <w:rPr>
          <w:szCs w:val="22"/>
          <w:lang w:val="sr-Latn-ME"/>
        </w:rPr>
        <w:t xml:space="preserve">lijeka </w:t>
      </w:r>
      <w:r w:rsidR="00652907" w:rsidRPr="00F24057">
        <w:rPr>
          <w:szCs w:val="22"/>
          <w:lang w:val="sr-Latn-ME"/>
        </w:rPr>
        <w:t>Hukyndra</w:t>
      </w:r>
      <w:r w:rsidRPr="00F24057">
        <w:rPr>
          <w:szCs w:val="22"/>
          <w:lang w:val="sr-Latn-ME"/>
        </w:rPr>
        <w:t xml:space="preserve"> </w:t>
      </w:r>
      <w:r w:rsidR="00023C5B" w:rsidRPr="00F24057">
        <w:rPr>
          <w:szCs w:val="22"/>
          <w:lang w:val="sr-Latn-ME"/>
        </w:rPr>
        <w:t xml:space="preserve">kod </w:t>
      </w:r>
      <w:r w:rsidR="00677689" w:rsidRPr="00F24057">
        <w:rPr>
          <w:szCs w:val="22"/>
          <w:lang w:val="sr-Latn-ME"/>
        </w:rPr>
        <w:t xml:space="preserve">pacijenata </w:t>
      </w:r>
      <w:r w:rsidRPr="00F24057">
        <w:rPr>
          <w:szCs w:val="22"/>
          <w:lang w:val="sr-Latn-ME"/>
        </w:rPr>
        <w:t>sa poliartikularnim juvenilnim idiopatskim artritisom uzrast</w:t>
      </w:r>
      <w:r w:rsidR="00D17620" w:rsidRPr="00F24057">
        <w:rPr>
          <w:szCs w:val="22"/>
          <w:lang w:val="sr-Latn-ME"/>
        </w:rPr>
        <w:t>a</w:t>
      </w:r>
      <w:r w:rsidRPr="00F24057">
        <w:rPr>
          <w:szCs w:val="22"/>
          <w:lang w:val="sr-Latn-ME"/>
        </w:rPr>
        <w:t xml:space="preserve"> 2 i više godina određuje se na osnovu </w:t>
      </w:r>
      <w:r w:rsidR="007E5568" w:rsidRPr="00F24057">
        <w:rPr>
          <w:szCs w:val="22"/>
          <w:lang w:val="sr-Latn-ME"/>
        </w:rPr>
        <w:t>tjeles</w:t>
      </w:r>
      <w:r w:rsidRPr="00F24057">
        <w:rPr>
          <w:szCs w:val="22"/>
          <w:lang w:val="sr-Latn-ME"/>
        </w:rPr>
        <w:t xml:space="preserve">ne mase (Tabela 1). </w:t>
      </w:r>
      <w:r w:rsidR="0030064A" w:rsidRPr="00F24057">
        <w:rPr>
          <w:szCs w:val="22"/>
          <w:lang w:val="sr-Latn-ME"/>
        </w:rPr>
        <w:t xml:space="preserve">Lijek </w:t>
      </w:r>
      <w:r w:rsidR="00652907" w:rsidRPr="00F24057">
        <w:rPr>
          <w:szCs w:val="22"/>
          <w:lang w:val="sr-Latn-ME"/>
        </w:rPr>
        <w:t>Hukyndra</w:t>
      </w:r>
      <w:r w:rsidRPr="00F24057">
        <w:rPr>
          <w:szCs w:val="22"/>
          <w:lang w:val="sr-Latn-ME"/>
        </w:rPr>
        <w:t xml:space="preserve"> se </w:t>
      </w:r>
      <w:r w:rsidR="0030064A" w:rsidRPr="00F24057">
        <w:rPr>
          <w:szCs w:val="22"/>
          <w:lang w:val="sr-Latn-ME"/>
        </w:rPr>
        <w:t>primjen</w:t>
      </w:r>
      <w:r w:rsidRPr="00F24057">
        <w:rPr>
          <w:szCs w:val="22"/>
          <w:lang w:val="sr-Latn-ME"/>
        </w:rPr>
        <w:t xml:space="preserve">juje svake druge </w:t>
      </w:r>
      <w:r w:rsidR="00885A78" w:rsidRPr="00F24057">
        <w:rPr>
          <w:szCs w:val="22"/>
          <w:lang w:val="sr-Latn-ME"/>
        </w:rPr>
        <w:t>nedjelj</w:t>
      </w:r>
      <w:r w:rsidRPr="00F24057">
        <w:rPr>
          <w:szCs w:val="22"/>
          <w:lang w:val="sr-Latn-ME"/>
        </w:rPr>
        <w:t>e supkutanom injekcijom.</w:t>
      </w:r>
    </w:p>
    <w:p w14:paraId="0C74D403" w14:textId="77777777" w:rsidR="00537040" w:rsidRPr="00F24057" w:rsidRDefault="00537040" w:rsidP="00D70B34">
      <w:pPr>
        <w:rPr>
          <w:szCs w:val="22"/>
          <w:lang w:val="sr-Latn-ME"/>
        </w:rPr>
      </w:pPr>
    </w:p>
    <w:p w14:paraId="6E11B486" w14:textId="3AE8C90A" w:rsidR="00C14EB6" w:rsidRPr="00F24057" w:rsidRDefault="00537040" w:rsidP="00D70B34">
      <w:pPr>
        <w:rPr>
          <w:b/>
          <w:bCs/>
          <w:szCs w:val="22"/>
          <w:lang w:val="sr-Latn-ME"/>
        </w:rPr>
      </w:pPr>
      <w:r w:rsidRPr="00F24057">
        <w:rPr>
          <w:b/>
          <w:bCs/>
          <w:szCs w:val="22"/>
          <w:lang w:val="sr-Latn-ME"/>
        </w:rPr>
        <w:t xml:space="preserve">Tabela 1. Doza </w:t>
      </w:r>
      <w:r w:rsidR="00885A78" w:rsidRPr="00F24057">
        <w:rPr>
          <w:b/>
          <w:bCs/>
          <w:szCs w:val="22"/>
          <w:lang w:val="sr-Latn-ME"/>
        </w:rPr>
        <w:t xml:space="preserve">lijeka </w:t>
      </w:r>
      <w:r w:rsidRPr="00F24057">
        <w:rPr>
          <w:b/>
          <w:bCs/>
          <w:szCs w:val="22"/>
          <w:lang w:val="sr-Latn-ME"/>
        </w:rPr>
        <w:t xml:space="preserve">Hukyndra </w:t>
      </w:r>
      <w:r w:rsidR="001D677F" w:rsidRPr="00F24057">
        <w:rPr>
          <w:b/>
          <w:bCs/>
          <w:szCs w:val="22"/>
          <w:lang w:val="sr-Latn-ME"/>
        </w:rPr>
        <w:t xml:space="preserve">kod </w:t>
      </w:r>
      <w:r w:rsidRPr="00F24057">
        <w:rPr>
          <w:b/>
          <w:bCs/>
          <w:szCs w:val="22"/>
          <w:lang w:val="sr-Latn-ME"/>
        </w:rPr>
        <w:t>pacijen</w:t>
      </w:r>
      <w:r w:rsidR="001D677F" w:rsidRPr="00F24057">
        <w:rPr>
          <w:b/>
          <w:bCs/>
          <w:szCs w:val="22"/>
          <w:lang w:val="sr-Latn-ME"/>
        </w:rPr>
        <w:t>ata</w:t>
      </w:r>
      <w:r w:rsidRPr="00F24057">
        <w:rPr>
          <w:b/>
          <w:bCs/>
          <w:szCs w:val="22"/>
          <w:lang w:val="sr-Latn-ME"/>
        </w:rPr>
        <w:t xml:space="preserve"> sa poliartikularnim juvenilnim idiopatskim artritisom</w:t>
      </w:r>
    </w:p>
    <w:p w14:paraId="4A0DF4B0" w14:textId="77777777" w:rsidR="000F004B" w:rsidRPr="00F24057" w:rsidRDefault="000F004B"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513"/>
        <w:gridCol w:w="4514"/>
      </w:tblGrid>
      <w:tr w:rsidR="00537040" w:rsidRPr="00F24057" w14:paraId="62FB1E94" w14:textId="77777777" w:rsidTr="00583FF4">
        <w:trPr>
          <w:trHeight w:val="20"/>
        </w:trPr>
        <w:tc>
          <w:tcPr>
            <w:tcW w:w="2500" w:type="pct"/>
            <w:tcBorders>
              <w:left w:val="nil"/>
              <w:right w:val="single" w:sz="4" w:space="0" w:color="FFFFFF" w:themeColor="background1"/>
            </w:tcBorders>
            <w:vAlign w:val="center"/>
          </w:tcPr>
          <w:p w14:paraId="44C51FDA" w14:textId="14B70A1A" w:rsidR="00537040" w:rsidRPr="00F24057" w:rsidRDefault="007E5568" w:rsidP="002D3530">
            <w:pPr>
              <w:tabs>
                <w:tab w:val="clear" w:pos="284"/>
              </w:tabs>
              <w:jc w:val="center"/>
              <w:rPr>
                <w:b/>
                <w:bCs/>
                <w:szCs w:val="22"/>
                <w:lang w:val="sr-Latn-ME"/>
              </w:rPr>
            </w:pPr>
            <w:r w:rsidRPr="00F24057">
              <w:rPr>
                <w:b/>
                <w:bCs/>
                <w:szCs w:val="22"/>
                <w:lang w:val="sr-Latn-ME"/>
              </w:rPr>
              <w:t>Tjeles</w:t>
            </w:r>
            <w:r w:rsidR="00537040" w:rsidRPr="00F24057">
              <w:rPr>
                <w:b/>
                <w:bCs/>
                <w:szCs w:val="22"/>
                <w:lang w:val="sr-Latn-ME"/>
              </w:rPr>
              <w:t>na masa pacijenta</w:t>
            </w:r>
          </w:p>
        </w:tc>
        <w:tc>
          <w:tcPr>
            <w:tcW w:w="2500" w:type="pct"/>
            <w:tcBorders>
              <w:left w:val="single" w:sz="4" w:space="0" w:color="FFFFFF" w:themeColor="background1"/>
              <w:right w:val="nil"/>
            </w:tcBorders>
            <w:vAlign w:val="center"/>
          </w:tcPr>
          <w:p w14:paraId="5963C14A" w14:textId="67A816E3" w:rsidR="00537040" w:rsidRPr="00F24057" w:rsidRDefault="000F004B" w:rsidP="002D3530">
            <w:pPr>
              <w:tabs>
                <w:tab w:val="clear" w:pos="284"/>
              </w:tabs>
              <w:jc w:val="center"/>
              <w:rPr>
                <w:b/>
                <w:bCs/>
                <w:szCs w:val="22"/>
                <w:lang w:val="sr-Latn-ME"/>
              </w:rPr>
            </w:pPr>
            <w:r w:rsidRPr="00F24057">
              <w:rPr>
                <w:b/>
                <w:bCs/>
                <w:szCs w:val="22"/>
                <w:lang w:val="sr-Latn-ME"/>
              </w:rPr>
              <w:t>Režim doziranja</w:t>
            </w:r>
          </w:p>
        </w:tc>
      </w:tr>
      <w:tr w:rsidR="00537040" w:rsidRPr="00F24057" w14:paraId="495A85D6" w14:textId="77777777" w:rsidTr="00583FF4">
        <w:trPr>
          <w:trHeight w:val="20"/>
        </w:trPr>
        <w:tc>
          <w:tcPr>
            <w:tcW w:w="2500" w:type="pct"/>
            <w:tcBorders>
              <w:left w:val="nil"/>
              <w:right w:val="single" w:sz="4" w:space="0" w:color="FFFFFF" w:themeColor="background1"/>
            </w:tcBorders>
            <w:vAlign w:val="center"/>
          </w:tcPr>
          <w:p w14:paraId="56D106C8" w14:textId="47B8AEAF" w:rsidR="00537040" w:rsidRPr="00F24057" w:rsidRDefault="000F004B" w:rsidP="00D70B34">
            <w:pPr>
              <w:tabs>
                <w:tab w:val="clear" w:pos="284"/>
                <w:tab w:val="left" w:pos="1484"/>
              </w:tabs>
              <w:jc w:val="center"/>
              <w:rPr>
                <w:szCs w:val="22"/>
                <w:lang w:val="sr-Latn-ME"/>
              </w:rPr>
            </w:pPr>
            <w:r w:rsidRPr="00F24057">
              <w:rPr>
                <w:szCs w:val="22"/>
                <w:lang w:val="sr-Latn-ME"/>
              </w:rPr>
              <w:t>10 kg do &lt; 30 kg</w:t>
            </w:r>
          </w:p>
        </w:tc>
        <w:tc>
          <w:tcPr>
            <w:tcW w:w="2500" w:type="pct"/>
            <w:tcBorders>
              <w:left w:val="single" w:sz="4" w:space="0" w:color="FFFFFF" w:themeColor="background1"/>
              <w:right w:val="nil"/>
            </w:tcBorders>
            <w:vAlign w:val="center"/>
          </w:tcPr>
          <w:p w14:paraId="2BFDF987" w14:textId="25A50B8C" w:rsidR="00537040" w:rsidRPr="00F24057" w:rsidRDefault="000F004B" w:rsidP="00D70B34">
            <w:pPr>
              <w:jc w:val="center"/>
              <w:rPr>
                <w:szCs w:val="22"/>
                <w:lang w:val="sr-Latn-ME"/>
              </w:rPr>
            </w:pPr>
            <w:r w:rsidRPr="00F24057">
              <w:rPr>
                <w:szCs w:val="22"/>
                <w:lang w:val="sr-Latn-ME"/>
              </w:rPr>
              <w:t>-</w:t>
            </w:r>
          </w:p>
        </w:tc>
      </w:tr>
      <w:tr w:rsidR="00537040" w:rsidRPr="00F24057" w14:paraId="0BD79211" w14:textId="77777777" w:rsidTr="00583FF4">
        <w:trPr>
          <w:trHeight w:val="20"/>
        </w:trPr>
        <w:tc>
          <w:tcPr>
            <w:tcW w:w="2500" w:type="pct"/>
            <w:tcBorders>
              <w:left w:val="nil"/>
              <w:right w:val="single" w:sz="4" w:space="0" w:color="FFFFFF" w:themeColor="background1"/>
            </w:tcBorders>
            <w:vAlign w:val="center"/>
          </w:tcPr>
          <w:p w14:paraId="30CD3BC2" w14:textId="7B39A6AC" w:rsidR="00537040" w:rsidRPr="00F24057" w:rsidRDefault="000F004B" w:rsidP="00D70B34">
            <w:pPr>
              <w:jc w:val="center"/>
              <w:rPr>
                <w:szCs w:val="22"/>
                <w:lang w:val="sr-Latn-ME"/>
              </w:rPr>
            </w:pPr>
            <w:r w:rsidRPr="00F24057">
              <w:rPr>
                <w:szCs w:val="22"/>
                <w:lang w:val="sr-Latn-ME"/>
              </w:rPr>
              <w:t>≥ 30 kg</w:t>
            </w:r>
          </w:p>
        </w:tc>
        <w:tc>
          <w:tcPr>
            <w:tcW w:w="2500" w:type="pct"/>
            <w:tcBorders>
              <w:left w:val="single" w:sz="4" w:space="0" w:color="FFFFFF" w:themeColor="background1"/>
              <w:right w:val="nil"/>
            </w:tcBorders>
            <w:vAlign w:val="center"/>
          </w:tcPr>
          <w:p w14:paraId="4C7A5339" w14:textId="66957153" w:rsidR="00537040" w:rsidRPr="00F24057" w:rsidRDefault="000F004B" w:rsidP="00D70B34">
            <w:pPr>
              <w:tabs>
                <w:tab w:val="clear" w:pos="284"/>
                <w:tab w:val="left" w:pos="1135"/>
              </w:tabs>
              <w:jc w:val="center"/>
              <w:rPr>
                <w:szCs w:val="22"/>
                <w:lang w:val="sr-Latn-ME"/>
              </w:rPr>
            </w:pPr>
            <w:r w:rsidRPr="00F24057">
              <w:rPr>
                <w:szCs w:val="22"/>
                <w:lang w:val="sr-Latn-ME"/>
              </w:rPr>
              <w:t xml:space="preserve">40 mg svake druge </w:t>
            </w:r>
            <w:r w:rsidR="00885A78" w:rsidRPr="00F24057">
              <w:rPr>
                <w:szCs w:val="22"/>
                <w:lang w:val="sr-Latn-ME"/>
              </w:rPr>
              <w:t>nedjelj</w:t>
            </w:r>
            <w:r w:rsidRPr="00F24057">
              <w:rPr>
                <w:szCs w:val="22"/>
                <w:lang w:val="sr-Latn-ME"/>
              </w:rPr>
              <w:t>e</w:t>
            </w:r>
          </w:p>
        </w:tc>
      </w:tr>
    </w:tbl>
    <w:p w14:paraId="25AB0DD1" w14:textId="77777777" w:rsidR="00C14EB6" w:rsidRPr="00F24057" w:rsidRDefault="00C14EB6" w:rsidP="00D70B34">
      <w:pPr>
        <w:rPr>
          <w:szCs w:val="22"/>
          <w:lang w:val="sr-Latn-ME"/>
        </w:rPr>
      </w:pPr>
    </w:p>
    <w:p w14:paraId="069DA6F0" w14:textId="671CF05A" w:rsidR="00AC5005" w:rsidRPr="00F24057" w:rsidRDefault="00AC5005" w:rsidP="00D70B34">
      <w:pPr>
        <w:rPr>
          <w:szCs w:val="22"/>
          <w:lang w:val="sr-Latn-ME"/>
        </w:rPr>
      </w:pPr>
      <w:r w:rsidRPr="00F24057">
        <w:rPr>
          <w:szCs w:val="22"/>
          <w:lang w:val="sr-Latn-ME"/>
        </w:rPr>
        <w:t xml:space="preserve">Dostupni podaci pokazuju da se klinički odgovor obično postiže </w:t>
      </w:r>
      <w:r w:rsidR="00CD4A50" w:rsidRPr="00F24057">
        <w:rPr>
          <w:szCs w:val="22"/>
          <w:lang w:val="sr-Latn-ME"/>
        </w:rPr>
        <w:t>tokom</w:t>
      </w:r>
      <w:r w:rsidRPr="00F24057">
        <w:rPr>
          <w:szCs w:val="22"/>
          <w:lang w:val="sr-Latn-ME"/>
        </w:rPr>
        <w:t xml:space="preserve"> 12 </w:t>
      </w:r>
      <w:r w:rsidR="00885A78" w:rsidRPr="00F24057">
        <w:rPr>
          <w:szCs w:val="22"/>
          <w:lang w:val="sr-Latn-ME"/>
        </w:rPr>
        <w:t>nedjelj</w:t>
      </w:r>
      <w:r w:rsidRPr="00F24057">
        <w:rPr>
          <w:szCs w:val="22"/>
          <w:lang w:val="sr-Latn-ME"/>
        </w:rPr>
        <w:t>a</w:t>
      </w:r>
      <w:r w:rsidR="00CD4A50" w:rsidRPr="00F24057">
        <w:rPr>
          <w:szCs w:val="22"/>
          <w:lang w:val="sr-Latn-ME"/>
        </w:rPr>
        <w:t xml:space="preserve"> od početka</w:t>
      </w:r>
      <w:r w:rsidRPr="00F24057">
        <w:rPr>
          <w:szCs w:val="22"/>
          <w:lang w:val="sr-Latn-ME"/>
        </w:rPr>
        <w:t xml:space="preserve"> terapije. </w:t>
      </w:r>
      <w:r w:rsidR="00CD4A50" w:rsidRPr="00F24057">
        <w:rPr>
          <w:szCs w:val="22"/>
          <w:lang w:val="sr-Latn-ME"/>
        </w:rPr>
        <w:t>Nastavak terapije treba razmotriti kod onih pacijenata koji nisu odgovorili na terapiju u ovom vremenskom periodu</w:t>
      </w:r>
      <w:r w:rsidRPr="00F24057">
        <w:rPr>
          <w:szCs w:val="22"/>
          <w:lang w:val="sr-Latn-ME"/>
        </w:rPr>
        <w:t xml:space="preserve">. </w:t>
      </w:r>
    </w:p>
    <w:p w14:paraId="2739C2D7" w14:textId="77777777" w:rsidR="00AC5005" w:rsidRPr="00F24057" w:rsidRDefault="00AC5005" w:rsidP="00D70B34">
      <w:pPr>
        <w:rPr>
          <w:szCs w:val="22"/>
          <w:lang w:val="sr-Latn-ME"/>
        </w:rPr>
      </w:pPr>
    </w:p>
    <w:p w14:paraId="5930DA04" w14:textId="5E338AF3" w:rsidR="00AC5005" w:rsidRPr="00F24057" w:rsidRDefault="00AC5005" w:rsidP="00D70B34">
      <w:pPr>
        <w:rPr>
          <w:szCs w:val="22"/>
          <w:lang w:val="sr-Latn-ME"/>
        </w:rPr>
      </w:pPr>
      <w:r w:rsidRPr="00F24057">
        <w:rPr>
          <w:szCs w:val="22"/>
          <w:lang w:val="sr-Latn-ME"/>
        </w:rPr>
        <w:t xml:space="preserve">Nema relevantne </w:t>
      </w:r>
      <w:r w:rsidR="0030064A" w:rsidRPr="00F24057">
        <w:rPr>
          <w:szCs w:val="22"/>
          <w:lang w:val="sr-Latn-ME"/>
        </w:rPr>
        <w:t>primjen</w:t>
      </w:r>
      <w:r w:rsidRPr="00F24057">
        <w:rPr>
          <w:szCs w:val="22"/>
          <w:lang w:val="sr-Latn-ME"/>
        </w:rPr>
        <w:t xml:space="preserve">e adalimumaba kod pacijenata mlađih od 2 godine u ovoj indikaciji. </w:t>
      </w:r>
    </w:p>
    <w:p w14:paraId="409CF790" w14:textId="77777777" w:rsidR="00AC5005" w:rsidRPr="00F24057" w:rsidRDefault="00AC5005" w:rsidP="00D70B34">
      <w:pPr>
        <w:rPr>
          <w:szCs w:val="22"/>
          <w:lang w:val="sr-Latn-ME"/>
        </w:rPr>
      </w:pPr>
    </w:p>
    <w:p w14:paraId="78BE17A1" w14:textId="662FF8EF" w:rsidR="00AC5005" w:rsidRPr="00F24057" w:rsidRDefault="00AC5005" w:rsidP="00D70B34">
      <w:pPr>
        <w:rPr>
          <w:i/>
          <w:iCs/>
          <w:szCs w:val="22"/>
          <w:lang w:val="sr-Latn-ME"/>
        </w:rPr>
      </w:pPr>
      <w:r w:rsidRPr="00F24057">
        <w:rPr>
          <w:i/>
          <w:iCs/>
          <w:szCs w:val="22"/>
          <w:lang w:val="sr-Latn-ME"/>
        </w:rPr>
        <w:t>Artritis povezan s</w:t>
      </w:r>
      <w:r w:rsidR="00BB54A4" w:rsidRPr="00F24057">
        <w:rPr>
          <w:i/>
          <w:iCs/>
          <w:szCs w:val="22"/>
          <w:lang w:val="sr-Latn-ME"/>
        </w:rPr>
        <w:t>a</w:t>
      </w:r>
      <w:r w:rsidRPr="00F24057">
        <w:rPr>
          <w:i/>
          <w:iCs/>
          <w:szCs w:val="22"/>
          <w:lang w:val="sr-Latn-ME"/>
        </w:rPr>
        <w:t xml:space="preserve"> entezitisom </w:t>
      </w:r>
    </w:p>
    <w:p w14:paraId="66E9DD78" w14:textId="43F9F4BB" w:rsidR="00DA11E8" w:rsidRPr="00F24057" w:rsidRDefault="00AC5005" w:rsidP="00D70B34">
      <w:pPr>
        <w:rPr>
          <w:szCs w:val="22"/>
          <w:lang w:val="sr-Latn-ME"/>
        </w:rPr>
      </w:pPr>
      <w:r w:rsidRPr="00F24057">
        <w:rPr>
          <w:szCs w:val="22"/>
          <w:lang w:val="sr-Latn-ME"/>
        </w:rPr>
        <w:lastRenderedPageBreak/>
        <w:t xml:space="preserve">Preporučena doza </w:t>
      </w:r>
      <w:r w:rsidR="00885A78" w:rsidRPr="00F24057">
        <w:rPr>
          <w:szCs w:val="22"/>
          <w:lang w:val="sr-Latn-ME"/>
        </w:rPr>
        <w:t xml:space="preserve">lijeka </w:t>
      </w:r>
      <w:r w:rsidR="00BE2ABD" w:rsidRPr="00F24057">
        <w:rPr>
          <w:szCs w:val="22"/>
          <w:lang w:val="sr-Latn-ME"/>
        </w:rPr>
        <w:t>Hukyndra</w:t>
      </w:r>
      <w:r w:rsidRPr="00F24057">
        <w:rPr>
          <w:szCs w:val="22"/>
          <w:lang w:val="sr-Latn-ME"/>
        </w:rPr>
        <w:t xml:space="preserve"> </w:t>
      </w:r>
      <w:r w:rsidR="00023C5B" w:rsidRPr="00F24057">
        <w:rPr>
          <w:szCs w:val="22"/>
          <w:lang w:val="sr-Latn-ME"/>
        </w:rPr>
        <w:t xml:space="preserve">kod </w:t>
      </w:r>
      <w:r w:rsidR="00677689" w:rsidRPr="00F24057">
        <w:rPr>
          <w:szCs w:val="22"/>
          <w:lang w:val="sr-Latn-ME"/>
        </w:rPr>
        <w:t xml:space="preserve">pacijenata </w:t>
      </w:r>
      <w:r w:rsidRPr="00F24057">
        <w:rPr>
          <w:szCs w:val="22"/>
          <w:lang w:val="sr-Latn-ME"/>
        </w:rPr>
        <w:t>sa artritisom povezanim sa entezitisom uzrast</w:t>
      </w:r>
      <w:r w:rsidR="00B3005B" w:rsidRPr="00F24057">
        <w:rPr>
          <w:szCs w:val="22"/>
          <w:lang w:val="sr-Latn-ME"/>
        </w:rPr>
        <w:t>a</w:t>
      </w:r>
      <w:r w:rsidRPr="00F24057">
        <w:rPr>
          <w:szCs w:val="22"/>
          <w:lang w:val="sr-Latn-ME"/>
        </w:rPr>
        <w:t xml:space="preserve"> 6 i više godina određuje se na osnovu </w:t>
      </w:r>
      <w:r w:rsidR="007E5568" w:rsidRPr="00F24057">
        <w:rPr>
          <w:szCs w:val="22"/>
          <w:lang w:val="sr-Latn-ME"/>
        </w:rPr>
        <w:t>tjeles</w:t>
      </w:r>
      <w:r w:rsidRPr="00F24057">
        <w:rPr>
          <w:szCs w:val="22"/>
          <w:lang w:val="sr-Latn-ME"/>
        </w:rPr>
        <w:t xml:space="preserve">ne mase (Tabela 2). </w:t>
      </w:r>
      <w:r w:rsidR="0030064A" w:rsidRPr="00F24057">
        <w:rPr>
          <w:szCs w:val="22"/>
          <w:lang w:val="sr-Latn-ME"/>
        </w:rPr>
        <w:t xml:space="preserve">Lijek </w:t>
      </w:r>
      <w:r w:rsidR="00BE2ABD" w:rsidRPr="00F24057">
        <w:rPr>
          <w:szCs w:val="22"/>
          <w:lang w:val="sr-Latn-ME"/>
        </w:rPr>
        <w:t>Hukyndra</w:t>
      </w:r>
      <w:r w:rsidRPr="00F24057">
        <w:rPr>
          <w:szCs w:val="22"/>
          <w:lang w:val="sr-Latn-ME"/>
        </w:rPr>
        <w:t xml:space="preserve"> se </w:t>
      </w:r>
      <w:r w:rsidR="0030064A" w:rsidRPr="00F24057">
        <w:rPr>
          <w:szCs w:val="22"/>
          <w:lang w:val="sr-Latn-ME"/>
        </w:rPr>
        <w:t>primjen</w:t>
      </w:r>
      <w:r w:rsidRPr="00F24057">
        <w:rPr>
          <w:szCs w:val="22"/>
          <w:lang w:val="sr-Latn-ME"/>
        </w:rPr>
        <w:t xml:space="preserve">juje svake druge </w:t>
      </w:r>
      <w:r w:rsidR="00885A78" w:rsidRPr="00F24057">
        <w:rPr>
          <w:szCs w:val="22"/>
          <w:lang w:val="sr-Latn-ME"/>
        </w:rPr>
        <w:t>nedjelj</w:t>
      </w:r>
      <w:r w:rsidRPr="00F24057">
        <w:rPr>
          <w:szCs w:val="22"/>
          <w:lang w:val="sr-Latn-ME"/>
        </w:rPr>
        <w:t>e supkutanom injekcijom.</w:t>
      </w:r>
    </w:p>
    <w:p w14:paraId="081BC9B0" w14:textId="77777777" w:rsidR="007E0E89" w:rsidRPr="00F24057" w:rsidRDefault="007E0E89" w:rsidP="00D70B34">
      <w:pPr>
        <w:rPr>
          <w:szCs w:val="22"/>
          <w:lang w:val="sr-Latn-ME"/>
        </w:rPr>
      </w:pPr>
    </w:p>
    <w:p w14:paraId="5DAC4134" w14:textId="2D88E8EC" w:rsidR="007E0E89" w:rsidRPr="00F24057" w:rsidRDefault="007E0E89" w:rsidP="00D70B34">
      <w:pPr>
        <w:rPr>
          <w:b/>
          <w:bCs/>
          <w:szCs w:val="22"/>
          <w:lang w:val="sr-Latn-ME"/>
        </w:rPr>
      </w:pPr>
      <w:r w:rsidRPr="00F24057">
        <w:rPr>
          <w:b/>
          <w:bCs/>
          <w:szCs w:val="22"/>
          <w:lang w:val="sr-Latn-ME"/>
        </w:rPr>
        <w:t xml:space="preserve">Tabela 2. Doza </w:t>
      </w:r>
      <w:r w:rsidR="00885A78" w:rsidRPr="00F24057">
        <w:rPr>
          <w:b/>
          <w:bCs/>
          <w:szCs w:val="22"/>
          <w:lang w:val="sr-Latn-ME"/>
        </w:rPr>
        <w:t xml:space="preserve">lijeka </w:t>
      </w:r>
      <w:r w:rsidR="00BE2ABD" w:rsidRPr="00F24057">
        <w:rPr>
          <w:b/>
          <w:bCs/>
          <w:szCs w:val="22"/>
          <w:lang w:val="sr-Latn-ME"/>
        </w:rPr>
        <w:t>Hukyndra</w:t>
      </w:r>
      <w:r w:rsidRPr="00F24057">
        <w:rPr>
          <w:b/>
          <w:bCs/>
          <w:szCs w:val="22"/>
          <w:lang w:val="sr-Latn-ME"/>
        </w:rPr>
        <w:t xml:space="preserve"> </w:t>
      </w:r>
      <w:r w:rsidR="001D677F" w:rsidRPr="00F24057">
        <w:rPr>
          <w:b/>
          <w:bCs/>
          <w:szCs w:val="22"/>
          <w:lang w:val="sr-Latn-ME"/>
        </w:rPr>
        <w:t xml:space="preserve">kod </w:t>
      </w:r>
      <w:r w:rsidRPr="00F24057">
        <w:rPr>
          <w:b/>
          <w:bCs/>
          <w:szCs w:val="22"/>
          <w:lang w:val="sr-Latn-ME"/>
        </w:rPr>
        <w:t>pacijen</w:t>
      </w:r>
      <w:r w:rsidR="001D677F" w:rsidRPr="00F24057">
        <w:rPr>
          <w:b/>
          <w:bCs/>
          <w:szCs w:val="22"/>
          <w:lang w:val="sr-Latn-ME"/>
        </w:rPr>
        <w:t>ata</w:t>
      </w:r>
      <w:r w:rsidRPr="00F24057">
        <w:rPr>
          <w:b/>
          <w:bCs/>
          <w:szCs w:val="22"/>
          <w:lang w:val="sr-Latn-ME"/>
        </w:rPr>
        <w:t xml:space="preserve"> sa artritisom povezanim sa entezitisom</w:t>
      </w:r>
    </w:p>
    <w:p w14:paraId="68C3565C" w14:textId="7C37C69A" w:rsidR="00AC5005" w:rsidRPr="00F24057" w:rsidRDefault="00AC5005"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513"/>
        <w:gridCol w:w="4514"/>
      </w:tblGrid>
      <w:tr w:rsidR="007E0E89" w:rsidRPr="00F24057" w14:paraId="0C73C422" w14:textId="77777777" w:rsidTr="00583FF4">
        <w:trPr>
          <w:trHeight w:val="20"/>
        </w:trPr>
        <w:tc>
          <w:tcPr>
            <w:tcW w:w="2500" w:type="pct"/>
            <w:tcBorders>
              <w:left w:val="nil"/>
              <w:right w:val="single" w:sz="4" w:space="0" w:color="FFFFFF" w:themeColor="background1"/>
            </w:tcBorders>
            <w:vAlign w:val="center"/>
          </w:tcPr>
          <w:p w14:paraId="5B670EC4" w14:textId="01287616" w:rsidR="007E0E89" w:rsidRPr="00F24057" w:rsidRDefault="007E5568" w:rsidP="00D70B34">
            <w:pPr>
              <w:jc w:val="center"/>
              <w:rPr>
                <w:b/>
                <w:bCs/>
                <w:szCs w:val="22"/>
                <w:lang w:val="sr-Latn-ME"/>
              </w:rPr>
            </w:pPr>
            <w:r w:rsidRPr="00F24057">
              <w:rPr>
                <w:b/>
                <w:bCs/>
                <w:szCs w:val="22"/>
                <w:lang w:val="sr-Latn-ME"/>
              </w:rPr>
              <w:t>Tjeles</w:t>
            </w:r>
            <w:r w:rsidR="00CE041B" w:rsidRPr="00F24057">
              <w:rPr>
                <w:b/>
                <w:bCs/>
                <w:szCs w:val="22"/>
                <w:lang w:val="sr-Latn-ME"/>
              </w:rPr>
              <w:t>na masa pacijenta</w:t>
            </w:r>
          </w:p>
        </w:tc>
        <w:tc>
          <w:tcPr>
            <w:tcW w:w="2500" w:type="pct"/>
            <w:tcBorders>
              <w:left w:val="single" w:sz="4" w:space="0" w:color="FFFFFF" w:themeColor="background1"/>
              <w:right w:val="nil"/>
            </w:tcBorders>
            <w:vAlign w:val="center"/>
          </w:tcPr>
          <w:p w14:paraId="1BAE6560" w14:textId="51FC5913" w:rsidR="007E0E89" w:rsidRPr="00F24057" w:rsidRDefault="00CE041B" w:rsidP="00D70B34">
            <w:pPr>
              <w:jc w:val="center"/>
              <w:rPr>
                <w:b/>
                <w:bCs/>
                <w:szCs w:val="22"/>
                <w:lang w:val="sr-Latn-ME"/>
              </w:rPr>
            </w:pPr>
            <w:r w:rsidRPr="00F24057">
              <w:rPr>
                <w:b/>
                <w:bCs/>
                <w:szCs w:val="22"/>
                <w:lang w:val="sr-Latn-ME"/>
              </w:rPr>
              <w:t>Režim doziranja</w:t>
            </w:r>
          </w:p>
        </w:tc>
      </w:tr>
      <w:tr w:rsidR="007E0E89" w:rsidRPr="00F24057" w14:paraId="018AF7A5" w14:textId="77777777" w:rsidTr="00583FF4">
        <w:trPr>
          <w:trHeight w:val="20"/>
        </w:trPr>
        <w:tc>
          <w:tcPr>
            <w:tcW w:w="2500" w:type="pct"/>
            <w:tcBorders>
              <w:left w:val="nil"/>
              <w:right w:val="single" w:sz="4" w:space="0" w:color="FFFFFF" w:themeColor="background1"/>
            </w:tcBorders>
            <w:vAlign w:val="center"/>
          </w:tcPr>
          <w:p w14:paraId="5037FEED" w14:textId="019FBADA" w:rsidR="007E0E89" w:rsidRPr="00F24057" w:rsidRDefault="00CE041B" w:rsidP="00D70B34">
            <w:pPr>
              <w:jc w:val="center"/>
              <w:rPr>
                <w:szCs w:val="22"/>
                <w:lang w:val="sr-Latn-ME"/>
              </w:rPr>
            </w:pPr>
            <w:r w:rsidRPr="00F24057">
              <w:rPr>
                <w:szCs w:val="22"/>
                <w:lang w:val="sr-Latn-ME"/>
              </w:rPr>
              <w:t>15 kg do &lt; 30 kg</w:t>
            </w:r>
          </w:p>
        </w:tc>
        <w:tc>
          <w:tcPr>
            <w:tcW w:w="2500" w:type="pct"/>
            <w:tcBorders>
              <w:left w:val="single" w:sz="4" w:space="0" w:color="FFFFFF" w:themeColor="background1"/>
              <w:right w:val="nil"/>
            </w:tcBorders>
            <w:vAlign w:val="center"/>
          </w:tcPr>
          <w:p w14:paraId="0F3BBB3E" w14:textId="1BC1E2DC" w:rsidR="007E0E89" w:rsidRPr="00F24057" w:rsidRDefault="00CE041B" w:rsidP="00D70B34">
            <w:pPr>
              <w:jc w:val="center"/>
              <w:rPr>
                <w:szCs w:val="22"/>
                <w:lang w:val="sr-Latn-ME"/>
              </w:rPr>
            </w:pPr>
            <w:r w:rsidRPr="00F24057">
              <w:rPr>
                <w:szCs w:val="22"/>
                <w:lang w:val="sr-Latn-ME"/>
              </w:rPr>
              <w:t>-</w:t>
            </w:r>
          </w:p>
        </w:tc>
      </w:tr>
      <w:tr w:rsidR="007E0E89" w:rsidRPr="00F24057" w14:paraId="126064DC" w14:textId="77777777" w:rsidTr="00583FF4">
        <w:trPr>
          <w:trHeight w:val="20"/>
        </w:trPr>
        <w:tc>
          <w:tcPr>
            <w:tcW w:w="2500" w:type="pct"/>
            <w:tcBorders>
              <w:left w:val="nil"/>
              <w:right w:val="single" w:sz="4" w:space="0" w:color="FFFFFF" w:themeColor="background1"/>
            </w:tcBorders>
            <w:vAlign w:val="center"/>
          </w:tcPr>
          <w:p w14:paraId="4B4B184F" w14:textId="7674C3E7" w:rsidR="007E0E89" w:rsidRPr="00F24057" w:rsidRDefault="00CE041B" w:rsidP="00D70B34">
            <w:pPr>
              <w:jc w:val="center"/>
              <w:rPr>
                <w:szCs w:val="22"/>
                <w:lang w:val="sr-Latn-ME"/>
              </w:rPr>
            </w:pPr>
            <w:r w:rsidRPr="00F24057">
              <w:rPr>
                <w:szCs w:val="22"/>
                <w:lang w:val="sr-Latn-ME"/>
              </w:rPr>
              <w:t>≥ 30kg</w:t>
            </w:r>
          </w:p>
        </w:tc>
        <w:tc>
          <w:tcPr>
            <w:tcW w:w="2500" w:type="pct"/>
            <w:tcBorders>
              <w:left w:val="single" w:sz="4" w:space="0" w:color="FFFFFF" w:themeColor="background1"/>
              <w:right w:val="nil"/>
            </w:tcBorders>
            <w:vAlign w:val="center"/>
          </w:tcPr>
          <w:p w14:paraId="1AF05E5A" w14:textId="072833BA" w:rsidR="007E0E89" w:rsidRPr="00F24057" w:rsidRDefault="00CE041B" w:rsidP="00D70B34">
            <w:pPr>
              <w:jc w:val="center"/>
              <w:rPr>
                <w:szCs w:val="22"/>
                <w:lang w:val="sr-Latn-ME"/>
              </w:rPr>
            </w:pPr>
            <w:r w:rsidRPr="00F24057">
              <w:rPr>
                <w:szCs w:val="22"/>
                <w:lang w:val="sr-Latn-ME"/>
              </w:rPr>
              <w:t xml:space="preserve">40 mg svake druge </w:t>
            </w:r>
            <w:r w:rsidR="00885A78" w:rsidRPr="00F24057">
              <w:rPr>
                <w:szCs w:val="22"/>
                <w:lang w:val="sr-Latn-ME"/>
              </w:rPr>
              <w:t>nedjelj</w:t>
            </w:r>
            <w:r w:rsidRPr="00F24057">
              <w:rPr>
                <w:szCs w:val="22"/>
                <w:lang w:val="sr-Latn-ME"/>
              </w:rPr>
              <w:t>e</w:t>
            </w:r>
          </w:p>
        </w:tc>
      </w:tr>
    </w:tbl>
    <w:p w14:paraId="02CB048D" w14:textId="2C40EC8B" w:rsidR="00AC5005" w:rsidRPr="00F24057" w:rsidRDefault="00AC5005" w:rsidP="00D70B34">
      <w:pPr>
        <w:rPr>
          <w:szCs w:val="22"/>
          <w:lang w:val="sr-Latn-ME"/>
        </w:rPr>
      </w:pPr>
    </w:p>
    <w:p w14:paraId="51BF62EB" w14:textId="100D13E7" w:rsidR="008F16D2" w:rsidRPr="00F24057" w:rsidRDefault="008F16D2" w:rsidP="00D70B34">
      <w:pPr>
        <w:rPr>
          <w:szCs w:val="22"/>
          <w:lang w:val="sr-Latn-ME"/>
        </w:rPr>
      </w:pPr>
      <w:r w:rsidRPr="00F24057">
        <w:rPr>
          <w:szCs w:val="22"/>
          <w:lang w:val="sr-Latn-ME"/>
        </w:rPr>
        <w:t>Adalimumab nije ispitivan kod pacijenata sa artritisom povezanim s</w:t>
      </w:r>
      <w:r w:rsidR="0092703C" w:rsidRPr="00F24057">
        <w:rPr>
          <w:szCs w:val="22"/>
          <w:lang w:val="sr-Latn-ME"/>
        </w:rPr>
        <w:t>a</w:t>
      </w:r>
      <w:r w:rsidRPr="00F24057">
        <w:rPr>
          <w:szCs w:val="22"/>
          <w:lang w:val="sr-Latn-ME"/>
        </w:rPr>
        <w:t xml:space="preserve"> entezitisom mlađih od 6 godina.</w:t>
      </w:r>
    </w:p>
    <w:p w14:paraId="6C97DC9A" w14:textId="18F6F177" w:rsidR="00765DDC" w:rsidRPr="00F24057" w:rsidRDefault="00765DDC" w:rsidP="00D70B34">
      <w:pPr>
        <w:rPr>
          <w:szCs w:val="22"/>
          <w:lang w:val="sr-Latn-ME"/>
        </w:rPr>
      </w:pPr>
    </w:p>
    <w:p w14:paraId="79D21091" w14:textId="3E1C9F51" w:rsidR="001F6D7B" w:rsidRPr="00F24057" w:rsidRDefault="001F6D7B" w:rsidP="00D70B34">
      <w:pPr>
        <w:rPr>
          <w:i/>
          <w:iCs/>
          <w:szCs w:val="22"/>
          <w:u w:val="single"/>
          <w:lang w:val="sr-Latn-ME"/>
        </w:rPr>
      </w:pPr>
      <w:r w:rsidRPr="00F24057">
        <w:rPr>
          <w:i/>
          <w:iCs/>
          <w:szCs w:val="22"/>
          <w:u w:val="single"/>
          <w:lang w:val="sr-Latn-ME"/>
        </w:rPr>
        <w:t xml:space="preserve">Psorijatični artritis i aksijalni spondiloartritis uključujući </w:t>
      </w:r>
      <w:r w:rsidR="00280273" w:rsidRPr="00F24057">
        <w:rPr>
          <w:i/>
          <w:iCs/>
          <w:szCs w:val="22"/>
          <w:u w:val="single"/>
          <w:lang w:val="sr-Latn-ME"/>
        </w:rPr>
        <w:t>ankilozirajući</w:t>
      </w:r>
      <w:r w:rsidRPr="00F24057">
        <w:rPr>
          <w:i/>
          <w:iCs/>
          <w:szCs w:val="22"/>
          <w:u w:val="single"/>
          <w:lang w:val="sr-Latn-ME"/>
        </w:rPr>
        <w:t xml:space="preserve"> spond</w:t>
      </w:r>
      <w:r w:rsidR="00280273" w:rsidRPr="00F24057">
        <w:rPr>
          <w:i/>
          <w:iCs/>
          <w:szCs w:val="22"/>
          <w:u w:val="single"/>
          <w:lang w:val="sr-Latn-ME"/>
        </w:rPr>
        <w:t>i</w:t>
      </w:r>
      <w:r w:rsidRPr="00F24057">
        <w:rPr>
          <w:i/>
          <w:iCs/>
          <w:szCs w:val="22"/>
          <w:u w:val="single"/>
          <w:lang w:val="sr-Latn-ME"/>
        </w:rPr>
        <w:t>litis</w:t>
      </w:r>
    </w:p>
    <w:p w14:paraId="6934A745" w14:textId="77777777" w:rsidR="001F6D7B" w:rsidRPr="00F24057" w:rsidRDefault="001F6D7B" w:rsidP="00D70B34">
      <w:pPr>
        <w:rPr>
          <w:szCs w:val="22"/>
          <w:lang w:val="sr-Latn-ME"/>
        </w:rPr>
      </w:pPr>
    </w:p>
    <w:p w14:paraId="3D13CDF5" w14:textId="0AD28244" w:rsidR="00765DDC" w:rsidRPr="00F24057" w:rsidRDefault="001F6D7B" w:rsidP="00D70B34">
      <w:pPr>
        <w:rPr>
          <w:szCs w:val="22"/>
          <w:lang w:val="sr-Latn-ME"/>
        </w:rPr>
      </w:pPr>
      <w:r w:rsidRPr="00F24057">
        <w:rPr>
          <w:szCs w:val="22"/>
          <w:lang w:val="sr-Latn-ME"/>
        </w:rPr>
        <w:t>Ne postoji relevantna upotreba adalimumaba u pedijatrijskoj populaciji za indikacije AS i psorijatičnog artritisa.</w:t>
      </w:r>
    </w:p>
    <w:p w14:paraId="5D457735" w14:textId="77777777" w:rsidR="00765DDC" w:rsidRPr="00F24057" w:rsidRDefault="00765DDC" w:rsidP="00D70B34">
      <w:pPr>
        <w:rPr>
          <w:i/>
          <w:iCs/>
          <w:szCs w:val="22"/>
          <w:u w:val="single"/>
          <w:lang w:val="sr-Latn-ME"/>
        </w:rPr>
      </w:pPr>
    </w:p>
    <w:p w14:paraId="0C065447" w14:textId="6BE80E6C" w:rsidR="00765DDC" w:rsidRPr="00F24057" w:rsidRDefault="00765DDC" w:rsidP="00D70B34">
      <w:pPr>
        <w:rPr>
          <w:i/>
          <w:iCs/>
          <w:szCs w:val="22"/>
          <w:u w:val="single"/>
          <w:lang w:val="sr-Latn-ME"/>
        </w:rPr>
      </w:pPr>
      <w:r w:rsidRPr="00F24057">
        <w:rPr>
          <w:i/>
          <w:iCs/>
          <w:szCs w:val="22"/>
          <w:u w:val="single"/>
          <w:lang w:val="sr-Latn-ME"/>
        </w:rPr>
        <w:t xml:space="preserve">Plak psorijaza kod </w:t>
      </w:r>
      <w:r w:rsidR="0030064A" w:rsidRPr="00F24057">
        <w:rPr>
          <w:i/>
          <w:iCs/>
          <w:szCs w:val="22"/>
          <w:u w:val="single"/>
          <w:lang w:val="sr-Latn-ME"/>
        </w:rPr>
        <w:t>djece</w:t>
      </w:r>
      <w:r w:rsidRPr="00F24057">
        <w:rPr>
          <w:i/>
          <w:iCs/>
          <w:szCs w:val="22"/>
          <w:u w:val="single"/>
          <w:lang w:val="sr-Latn-ME"/>
        </w:rPr>
        <w:t xml:space="preserve"> </w:t>
      </w:r>
    </w:p>
    <w:p w14:paraId="31B160AA" w14:textId="77777777" w:rsidR="00765DDC" w:rsidRPr="00F24057" w:rsidRDefault="00765DDC" w:rsidP="00D70B34">
      <w:pPr>
        <w:rPr>
          <w:szCs w:val="22"/>
          <w:lang w:val="sr-Latn-ME"/>
        </w:rPr>
      </w:pPr>
    </w:p>
    <w:p w14:paraId="549A1CE6" w14:textId="1F946E53" w:rsidR="00765DDC" w:rsidRPr="00F24057" w:rsidRDefault="00765DDC" w:rsidP="00D70B34">
      <w:pPr>
        <w:rPr>
          <w:szCs w:val="22"/>
          <w:lang w:val="sr-Latn-ME"/>
        </w:rPr>
      </w:pPr>
      <w:r w:rsidRPr="00F24057">
        <w:rPr>
          <w:szCs w:val="22"/>
          <w:lang w:val="sr-Latn-ME"/>
        </w:rPr>
        <w:t xml:space="preserve">Preporučena doza </w:t>
      </w:r>
      <w:r w:rsidR="00885A78" w:rsidRPr="00F24057">
        <w:rPr>
          <w:szCs w:val="22"/>
          <w:lang w:val="sr-Latn-ME"/>
        </w:rPr>
        <w:t xml:space="preserve">lijeka </w:t>
      </w:r>
      <w:r w:rsidR="00BE2ABD" w:rsidRPr="00F24057">
        <w:rPr>
          <w:szCs w:val="22"/>
          <w:lang w:val="sr-Latn-ME"/>
        </w:rPr>
        <w:t>Hukyndra</w:t>
      </w:r>
      <w:r w:rsidRPr="00F24057">
        <w:rPr>
          <w:szCs w:val="22"/>
          <w:lang w:val="sr-Latn-ME"/>
        </w:rPr>
        <w:t xml:space="preserve"> </w:t>
      </w:r>
      <w:r w:rsidR="00677689" w:rsidRPr="00F24057">
        <w:rPr>
          <w:szCs w:val="22"/>
          <w:lang w:val="sr-Latn-ME"/>
        </w:rPr>
        <w:t xml:space="preserve">kod pacijenata </w:t>
      </w:r>
      <w:r w:rsidRPr="00F24057">
        <w:rPr>
          <w:szCs w:val="22"/>
          <w:lang w:val="sr-Latn-ME"/>
        </w:rPr>
        <w:t xml:space="preserve">sa plak psorijazom uzrasta od 4 do 17 godina određuje se na osnovu </w:t>
      </w:r>
      <w:r w:rsidR="007E5568" w:rsidRPr="00F24057">
        <w:rPr>
          <w:szCs w:val="22"/>
          <w:lang w:val="sr-Latn-ME"/>
        </w:rPr>
        <w:t>tjeles</w:t>
      </w:r>
      <w:r w:rsidRPr="00F24057">
        <w:rPr>
          <w:szCs w:val="22"/>
          <w:lang w:val="sr-Latn-ME"/>
        </w:rPr>
        <w:t xml:space="preserve">ne mase (Tabela 3). </w:t>
      </w:r>
      <w:r w:rsidR="0030064A" w:rsidRPr="00F24057">
        <w:rPr>
          <w:szCs w:val="22"/>
          <w:lang w:val="sr-Latn-ME"/>
        </w:rPr>
        <w:t xml:space="preserve">Lijek </w:t>
      </w:r>
      <w:r w:rsidR="00BE2ABD" w:rsidRPr="00F24057">
        <w:rPr>
          <w:szCs w:val="22"/>
          <w:lang w:val="sr-Latn-ME"/>
        </w:rPr>
        <w:t>Hukyndra</w:t>
      </w:r>
      <w:r w:rsidRPr="00F24057">
        <w:rPr>
          <w:szCs w:val="22"/>
          <w:lang w:val="sr-Latn-ME"/>
        </w:rPr>
        <w:t xml:space="preserve"> se </w:t>
      </w:r>
      <w:r w:rsidR="0030064A" w:rsidRPr="00F24057">
        <w:rPr>
          <w:szCs w:val="22"/>
          <w:lang w:val="sr-Latn-ME"/>
        </w:rPr>
        <w:t>primjen</w:t>
      </w:r>
      <w:r w:rsidRPr="00F24057">
        <w:rPr>
          <w:szCs w:val="22"/>
          <w:lang w:val="sr-Latn-ME"/>
        </w:rPr>
        <w:t>juje supkutanom injekcijom.</w:t>
      </w:r>
    </w:p>
    <w:p w14:paraId="6787DE78" w14:textId="626E995E" w:rsidR="007C6E14" w:rsidRPr="00F24057" w:rsidRDefault="007C6E14" w:rsidP="00D70B34">
      <w:pPr>
        <w:rPr>
          <w:szCs w:val="22"/>
          <w:lang w:val="sr-Latn-ME"/>
        </w:rPr>
      </w:pPr>
    </w:p>
    <w:p w14:paraId="47FE964C" w14:textId="4CC3DEA9" w:rsidR="007C6E14" w:rsidRPr="00F24057" w:rsidRDefault="007C6E14" w:rsidP="00D70B34">
      <w:pPr>
        <w:rPr>
          <w:b/>
          <w:bCs/>
          <w:szCs w:val="22"/>
          <w:lang w:val="sr-Latn-ME"/>
        </w:rPr>
      </w:pPr>
      <w:r w:rsidRPr="00F24057">
        <w:rPr>
          <w:b/>
          <w:bCs/>
          <w:szCs w:val="22"/>
          <w:lang w:val="sr-Latn-ME"/>
        </w:rPr>
        <w:t xml:space="preserve">Tabela 3. Doza </w:t>
      </w:r>
      <w:r w:rsidR="00885A78" w:rsidRPr="00F24057">
        <w:rPr>
          <w:b/>
          <w:bCs/>
          <w:szCs w:val="22"/>
          <w:lang w:val="sr-Latn-ME"/>
        </w:rPr>
        <w:t xml:space="preserve">lijeka </w:t>
      </w:r>
      <w:r w:rsidR="00BE2ABD" w:rsidRPr="00F24057">
        <w:rPr>
          <w:b/>
          <w:bCs/>
          <w:szCs w:val="22"/>
          <w:lang w:val="sr-Latn-ME"/>
        </w:rPr>
        <w:t>Hukyndra</w:t>
      </w:r>
      <w:r w:rsidRPr="00F24057">
        <w:rPr>
          <w:b/>
          <w:bCs/>
          <w:szCs w:val="22"/>
          <w:lang w:val="sr-Latn-ME"/>
        </w:rPr>
        <w:t xml:space="preserve"> </w:t>
      </w:r>
      <w:r w:rsidR="001D677F" w:rsidRPr="00F24057">
        <w:rPr>
          <w:b/>
          <w:bCs/>
          <w:szCs w:val="22"/>
          <w:lang w:val="sr-Latn-ME"/>
        </w:rPr>
        <w:t xml:space="preserve">kod </w:t>
      </w:r>
      <w:r w:rsidRPr="00F24057">
        <w:rPr>
          <w:b/>
          <w:bCs/>
          <w:szCs w:val="22"/>
          <w:lang w:val="sr-Latn-ME"/>
        </w:rPr>
        <w:t>pedijatrijsk</w:t>
      </w:r>
      <w:r w:rsidR="001D677F" w:rsidRPr="00F24057">
        <w:rPr>
          <w:b/>
          <w:bCs/>
          <w:szCs w:val="22"/>
          <w:lang w:val="sr-Latn-ME"/>
        </w:rPr>
        <w:t>ih</w:t>
      </w:r>
      <w:r w:rsidRPr="00F24057">
        <w:rPr>
          <w:b/>
          <w:bCs/>
          <w:szCs w:val="22"/>
          <w:lang w:val="sr-Latn-ME"/>
        </w:rPr>
        <w:t xml:space="preserve"> pacijen</w:t>
      </w:r>
      <w:r w:rsidR="001D677F" w:rsidRPr="00F24057">
        <w:rPr>
          <w:b/>
          <w:bCs/>
          <w:szCs w:val="22"/>
          <w:lang w:val="sr-Latn-ME"/>
        </w:rPr>
        <w:t>ata</w:t>
      </w:r>
      <w:r w:rsidRPr="00F24057">
        <w:rPr>
          <w:b/>
          <w:bCs/>
          <w:szCs w:val="22"/>
          <w:lang w:val="sr-Latn-ME"/>
        </w:rPr>
        <w:t xml:space="preserve"> sa plak psorijazom</w:t>
      </w:r>
    </w:p>
    <w:p w14:paraId="3E6F6223" w14:textId="5214BB3F" w:rsidR="00093CF8" w:rsidRPr="00F24057" w:rsidRDefault="00093CF8"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979"/>
        <w:gridCol w:w="5048"/>
      </w:tblGrid>
      <w:tr w:rsidR="00093CF8" w:rsidRPr="00F24057" w14:paraId="507670C2" w14:textId="77777777" w:rsidTr="00076BB1">
        <w:trPr>
          <w:trHeight w:val="20"/>
        </w:trPr>
        <w:tc>
          <w:tcPr>
            <w:tcW w:w="2204" w:type="pct"/>
            <w:tcBorders>
              <w:left w:val="nil"/>
              <w:right w:val="single" w:sz="4" w:space="0" w:color="FFFFFF" w:themeColor="background1"/>
            </w:tcBorders>
            <w:vAlign w:val="center"/>
          </w:tcPr>
          <w:p w14:paraId="5745C2FE" w14:textId="22C44561" w:rsidR="00093CF8" w:rsidRPr="00F24057" w:rsidRDefault="007E5568" w:rsidP="00D70B34">
            <w:pPr>
              <w:jc w:val="center"/>
              <w:rPr>
                <w:b/>
                <w:bCs/>
                <w:szCs w:val="22"/>
                <w:lang w:val="sr-Latn-ME"/>
              </w:rPr>
            </w:pPr>
            <w:r w:rsidRPr="00F24057">
              <w:rPr>
                <w:b/>
                <w:bCs/>
                <w:szCs w:val="22"/>
                <w:lang w:val="sr-Latn-ME"/>
              </w:rPr>
              <w:t>Tjeles</w:t>
            </w:r>
            <w:r w:rsidR="007C6E14" w:rsidRPr="00F24057">
              <w:rPr>
                <w:b/>
                <w:bCs/>
                <w:szCs w:val="22"/>
                <w:lang w:val="sr-Latn-ME"/>
              </w:rPr>
              <w:t>na masa pacijenta</w:t>
            </w:r>
          </w:p>
        </w:tc>
        <w:tc>
          <w:tcPr>
            <w:tcW w:w="2796" w:type="pct"/>
            <w:tcBorders>
              <w:left w:val="single" w:sz="4" w:space="0" w:color="FFFFFF" w:themeColor="background1"/>
              <w:right w:val="nil"/>
            </w:tcBorders>
            <w:vAlign w:val="center"/>
          </w:tcPr>
          <w:p w14:paraId="2A566BE8" w14:textId="0492A0B1" w:rsidR="00093CF8" w:rsidRPr="00F24057" w:rsidRDefault="007C6E14" w:rsidP="00D70B34">
            <w:pPr>
              <w:jc w:val="center"/>
              <w:rPr>
                <w:b/>
                <w:bCs/>
                <w:szCs w:val="22"/>
                <w:lang w:val="sr-Latn-ME"/>
              </w:rPr>
            </w:pPr>
            <w:r w:rsidRPr="00F24057">
              <w:rPr>
                <w:b/>
                <w:bCs/>
                <w:szCs w:val="22"/>
                <w:lang w:val="sr-Latn-ME"/>
              </w:rPr>
              <w:t>Režim doziranja</w:t>
            </w:r>
          </w:p>
        </w:tc>
      </w:tr>
      <w:tr w:rsidR="00093CF8" w:rsidRPr="00F24057" w14:paraId="6E9B33BF" w14:textId="77777777" w:rsidTr="00076BB1">
        <w:trPr>
          <w:trHeight w:val="20"/>
        </w:trPr>
        <w:tc>
          <w:tcPr>
            <w:tcW w:w="2204" w:type="pct"/>
            <w:tcBorders>
              <w:left w:val="nil"/>
              <w:right w:val="single" w:sz="4" w:space="0" w:color="FFFFFF" w:themeColor="background1"/>
            </w:tcBorders>
            <w:vAlign w:val="center"/>
          </w:tcPr>
          <w:p w14:paraId="6AD09545" w14:textId="315E1950" w:rsidR="00093CF8" w:rsidRPr="00F24057" w:rsidRDefault="0074465E" w:rsidP="00D70B34">
            <w:pPr>
              <w:jc w:val="center"/>
              <w:rPr>
                <w:szCs w:val="22"/>
                <w:lang w:val="sr-Latn-ME"/>
              </w:rPr>
            </w:pPr>
            <w:r w:rsidRPr="00F24057">
              <w:rPr>
                <w:szCs w:val="22"/>
                <w:lang w:val="sr-Latn-ME"/>
              </w:rPr>
              <w:t>15 kg do &lt; 30 kg</w:t>
            </w:r>
          </w:p>
        </w:tc>
        <w:tc>
          <w:tcPr>
            <w:tcW w:w="2796" w:type="pct"/>
            <w:tcBorders>
              <w:left w:val="single" w:sz="4" w:space="0" w:color="FFFFFF" w:themeColor="background1"/>
              <w:right w:val="nil"/>
            </w:tcBorders>
            <w:vAlign w:val="center"/>
          </w:tcPr>
          <w:p w14:paraId="5EFB6D41" w14:textId="2070BCC7" w:rsidR="00093CF8" w:rsidRPr="00F24057" w:rsidRDefault="0074465E" w:rsidP="00D70B34">
            <w:pPr>
              <w:jc w:val="center"/>
              <w:rPr>
                <w:szCs w:val="22"/>
                <w:lang w:val="sr-Latn-ME"/>
              </w:rPr>
            </w:pPr>
            <w:r w:rsidRPr="00F24057">
              <w:rPr>
                <w:szCs w:val="22"/>
                <w:lang w:val="sr-Latn-ME"/>
              </w:rPr>
              <w:t>-</w:t>
            </w:r>
          </w:p>
        </w:tc>
      </w:tr>
      <w:tr w:rsidR="00093CF8" w:rsidRPr="00F24057" w14:paraId="2DCF5688" w14:textId="77777777" w:rsidTr="00076BB1">
        <w:trPr>
          <w:trHeight w:val="20"/>
        </w:trPr>
        <w:tc>
          <w:tcPr>
            <w:tcW w:w="2204" w:type="pct"/>
            <w:tcBorders>
              <w:left w:val="nil"/>
              <w:right w:val="single" w:sz="4" w:space="0" w:color="FFFFFF" w:themeColor="background1"/>
            </w:tcBorders>
            <w:vAlign w:val="center"/>
          </w:tcPr>
          <w:p w14:paraId="531D1E1F" w14:textId="091BF650" w:rsidR="0074465E" w:rsidRPr="00F24057" w:rsidRDefault="0074465E" w:rsidP="00D70B34">
            <w:pPr>
              <w:jc w:val="center"/>
              <w:rPr>
                <w:szCs w:val="22"/>
                <w:lang w:val="sr-Latn-ME"/>
              </w:rPr>
            </w:pPr>
            <w:r w:rsidRPr="00F24057">
              <w:rPr>
                <w:szCs w:val="22"/>
                <w:lang w:val="sr-Latn-ME"/>
              </w:rPr>
              <w:t>≥ 30 kg</w:t>
            </w:r>
          </w:p>
        </w:tc>
        <w:tc>
          <w:tcPr>
            <w:tcW w:w="2796" w:type="pct"/>
            <w:tcBorders>
              <w:left w:val="single" w:sz="4" w:space="0" w:color="FFFFFF" w:themeColor="background1"/>
              <w:right w:val="nil"/>
            </w:tcBorders>
            <w:vAlign w:val="center"/>
          </w:tcPr>
          <w:p w14:paraId="1F196F4B" w14:textId="39548DA7" w:rsidR="00093CF8" w:rsidRPr="00F24057" w:rsidRDefault="0074465E" w:rsidP="00D70B34">
            <w:pPr>
              <w:jc w:val="center"/>
              <w:rPr>
                <w:szCs w:val="22"/>
                <w:lang w:val="sr-Latn-ME"/>
              </w:rPr>
            </w:pPr>
            <w:r w:rsidRPr="00F24057">
              <w:rPr>
                <w:szCs w:val="22"/>
                <w:lang w:val="sr-Latn-ME"/>
              </w:rPr>
              <w:t xml:space="preserve">Početna doza od 40 mg, a zatim 40 mg svake druge </w:t>
            </w:r>
            <w:r w:rsidR="00885A78" w:rsidRPr="00F24057">
              <w:rPr>
                <w:szCs w:val="22"/>
                <w:lang w:val="sr-Latn-ME"/>
              </w:rPr>
              <w:t>nedjelj</w:t>
            </w:r>
            <w:r w:rsidRPr="00F24057">
              <w:rPr>
                <w:szCs w:val="22"/>
                <w:lang w:val="sr-Latn-ME"/>
              </w:rPr>
              <w:t xml:space="preserve">e, počevši </w:t>
            </w:r>
            <w:r w:rsidR="00885A78" w:rsidRPr="00F24057">
              <w:rPr>
                <w:szCs w:val="22"/>
                <w:lang w:val="sr-Latn-ME"/>
              </w:rPr>
              <w:t>nedjelj</w:t>
            </w:r>
            <w:r w:rsidRPr="00F24057">
              <w:rPr>
                <w:szCs w:val="22"/>
                <w:lang w:val="sr-Latn-ME"/>
              </w:rPr>
              <w:t>u dana nakon početne doze</w:t>
            </w:r>
          </w:p>
        </w:tc>
      </w:tr>
    </w:tbl>
    <w:p w14:paraId="00603443" w14:textId="77777777" w:rsidR="00093CF8" w:rsidRPr="00F24057" w:rsidRDefault="00093CF8" w:rsidP="00D70B34">
      <w:pPr>
        <w:rPr>
          <w:szCs w:val="22"/>
          <w:lang w:val="sr-Latn-ME"/>
        </w:rPr>
      </w:pPr>
    </w:p>
    <w:p w14:paraId="1347D04C" w14:textId="369644D1" w:rsidR="004D077D" w:rsidRPr="00F24057" w:rsidRDefault="000E486A" w:rsidP="00D70B34">
      <w:pPr>
        <w:rPr>
          <w:szCs w:val="22"/>
          <w:lang w:val="sr-Latn-ME"/>
        </w:rPr>
      </w:pPr>
      <w:r w:rsidRPr="00F24057">
        <w:rPr>
          <w:szCs w:val="22"/>
          <w:lang w:val="sr-Latn-ME"/>
        </w:rPr>
        <w:t>Ukoliko</w:t>
      </w:r>
      <w:r w:rsidR="004D077D" w:rsidRPr="00F24057">
        <w:rPr>
          <w:szCs w:val="22"/>
          <w:lang w:val="sr-Latn-ME"/>
        </w:rPr>
        <w:t xml:space="preserve"> pacijent ne postigne terapijski odgovor </w:t>
      </w:r>
      <w:r w:rsidRPr="00F24057">
        <w:rPr>
          <w:szCs w:val="22"/>
          <w:lang w:val="sr-Latn-ME"/>
        </w:rPr>
        <w:t>tokom perioda od</w:t>
      </w:r>
      <w:r w:rsidR="004D077D" w:rsidRPr="00F24057">
        <w:rPr>
          <w:szCs w:val="22"/>
          <w:lang w:val="sr-Latn-ME"/>
        </w:rPr>
        <w:t xml:space="preserve"> 16 </w:t>
      </w:r>
      <w:r w:rsidR="00885A78" w:rsidRPr="00F24057">
        <w:rPr>
          <w:szCs w:val="22"/>
          <w:lang w:val="sr-Latn-ME"/>
        </w:rPr>
        <w:t>nedjelj</w:t>
      </w:r>
      <w:r w:rsidR="004D077D" w:rsidRPr="00F24057">
        <w:rPr>
          <w:szCs w:val="22"/>
          <w:lang w:val="sr-Latn-ME"/>
        </w:rPr>
        <w:t xml:space="preserve">a, </w:t>
      </w:r>
      <w:r w:rsidRPr="00F24057">
        <w:rPr>
          <w:szCs w:val="22"/>
          <w:lang w:val="sr-Latn-ME"/>
        </w:rPr>
        <w:t xml:space="preserve">nastavak </w:t>
      </w:r>
      <w:r w:rsidR="00885A78" w:rsidRPr="00F24057">
        <w:rPr>
          <w:szCs w:val="22"/>
          <w:lang w:val="sr-Latn-ME"/>
        </w:rPr>
        <w:t>liječenj</w:t>
      </w:r>
      <w:r w:rsidRPr="00F24057">
        <w:rPr>
          <w:szCs w:val="22"/>
          <w:lang w:val="sr-Latn-ME"/>
        </w:rPr>
        <w:t>a nakon tog perioda potrebno je</w:t>
      </w:r>
      <w:r w:rsidR="004D077D" w:rsidRPr="00F24057">
        <w:rPr>
          <w:szCs w:val="22"/>
          <w:lang w:val="sr-Latn-ME"/>
        </w:rPr>
        <w:t xml:space="preserve"> pažljivo razmotriti. </w:t>
      </w:r>
    </w:p>
    <w:p w14:paraId="5E9723E1" w14:textId="77777777" w:rsidR="004D077D" w:rsidRPr="00F24057" w:rsidRDefault="004D077D" w:rsidP="00D70B34">
      <w:pPr>
        <w:rPr>
          <w:szCs w:val="22"/>
          <w:lang w:val="sr-Latn-ME"/>
        </w:rPr>
      </w:pPr>
    </w:p>
    <w:p w14:paraId="5B294688" w14:textId="4E0D5C3A" w:rsidR="004D077D" w:rsidRPr="00F24057" w:rsidRDefault="004D077D" w:rsidP="00D70B34">
      <w:pPr>
        <w:rPr>
          <w:szCs w:val="22"/>
          <w:lang w:val="sr-Latn-ME"/>
        </w:rPr>
      </w:pPr>
      <w:r w:rsidRPr="00F24057">
        <w:rPr>
          <w:szCs w:val="22"/>
          <w:lang w:val="sr-Latn-ME"/>
        </w:rPr>
        <w:t xml:space="preserve">Ako je indikovano ponovno </w:t>
      </w:r>
      <w:r w:rsidR="0030064A" w:rsidRPr="00F24057">
        <w:rPr>
          <w:szCs w:val="22"/>
          <w:lang w:val="sr-Latn-ME"/>
        </w:rPr>
        <w:t>liječenje</w:t>
      </w:r>
      <w:r w:rsidRPr="00F24057">
        <w:rPr>
          <w:szCs w:val="22"/>
          <w:lang w:val="sr-Latn-ME"/>
        </w:rPr>
        <w:t xml:space="preserve"> adalimumabom, potrebno je pridržavati se gore navedenih </w:t>
      </w:r>
      <w:r w:rsidR="007E5568" w:rsidRPr="00F24057">
        <w:rPr>
          <w:szCs w:val="22"/>
          <w:lang w:val="sr-Latn-ME"/>
        </w:rPr>
        <w:t>smjernic</w:t>
      </w:r>
      <w:r w:rsidRPr="00F24057">
        <w:rPr>
          <w:szCs w:val="22"/>
          <w:lang w:val="sr-Latn-ME"/>
        </w:rPr>
        <w:t xml:space="preserve">a za doziranje i trajanje terapije. </w:t>
      </w:r>
    </w:p>
    <w:p w14:paraId="2C5C77E9" w14:textId="77777777" w:rsidR="004D077D" w:rsidRPr="00F24057" w:rsidRDefault="004D077D" w:rsidP="00D70B34">
      <w:pPr>
        <w:rPr>
          <w:szCs w:val="22"/>
          <w:lang w:val="sr-Latn-ME"/>
        </w:rPr>
      </w:pPr>
    </w:p>
    <w:p w14:paraId="73F7AA5D" w14:textId="3CF386A2" w:rsidR="004D077D" w:rsidRPr="00F24057" w:rsidRDefault="0030064A" w:rsidP="00D70B34">
      <w:pPr>
        <w:rPr>
          <w:szCs w:val="22"/>
          <w:lang w:val="sr-Latn-ME"/>
        </w:rPr>
      </w:pPr>
      <w:r w:rsidRPr="00F24057">
        <w:rPr>
          <w:szCs w:val="22"/>
          <w:lang w:val="sr-Latn-ME"/>
        </w:rPr>
        <w:t>Bezbjedno</w:t>
      </w:r>
      <w:r w:rsidR="004D077D" w:rsidRPr="00F24057">
        <w:rPr>
          <w:szCs w:val="22"/>
          <w:lang w:val="sr-Latn-ME"/>
        </w:rPr>
        <w:t xml:space="preserve">st adalimumaba kod pedijatrijskih pacijenata sa plak psorijazom </w:t>
      </w:r>
      <w:r w:rsidR="004F2520" w:rsidRPr="00F24057">
        <w:rPr>
          <w:szCs w:val="22"/>
          <w:lang w:val="sr-Latn-ME"/>
        </w:rPr>
        <w:t>procjen</w:t>
      </w:r>
      <w:r w:rsidR="004D077D" w:rsidRPr="00F24057">
        <w:rPr>
          <w:szCs w:val="22"/>
          <w:lang w:val="sr-Latn-ME"/>
        </w:rPr>
        <w:t xml:space="preserve">jivala se tokom srednjeg perioda od 13 </w:t>
      </w:r>
      <w:r w:rsidR="00885A78" w:rsidRPr="00F24057">
        <w:rPr>
          <w:szCs w:val="22"/>
          <w:lang w:val="sr-Latn-ME"/>
        </w:rPr>
        <w:t>mjesec</w:t>
      </w:r>
      <w:r w:rsidR="004D077D" w:rsidRPr="00F24057">
        <w:rPr>
          <w:szCs w:val="22"/>
          <w:lang w:val="sr-Latn-ME"/>
        </w:rPr>
        <w:t xml:space="preserve">i. </w:t>
      </w:r>
    </w:p>
    <w:p w14:paraId="2CB467F5" w14:textId="77777777" w:rsidR="004D077D" w:rsidRPr="00F24057" w:rsidRDefault="004D077D" w:rsidP="00D70B34">
      <w:pPr>
        <w:rPr>
          <w:szCs w:val="22"/>
          <w:lang w:val="sr-Latn-ME"/>
        </w:rPr>
      </w:pPr>
    </w:p>
    <w:p w14:paraId="0A4A1E81" w14:textId="4734EBB1" w:rsidR="008F16D2" w:rsidRPr="00F24057" w:rsidRDefault="004D077D" w:rsidP="00D70B34">
      <w:pPr>
        <w:rPr>
          <w:szCs w:val="22"/>
          <w:lang w:val="sr-Latn-ME"/>
        </w:rPr>
      </w:pPr>
      <w:r w:rsidRPr="00F24057">
        <w:rPr>
          <w:szCs w:val="22"/>
          <w:lang w:val="sr-Latn-ME"/>
        </w:rPr>
        <w:t xml:space="preserve">Nema relevantne </w:t>
      </w:r>
      <w:r w:rsidR="0030064A" w:rsidRPr="00F24057">
        <w:rPr>
          <w:szCs w:val="22"/>
          <w:lang w:val="sr-Latn-ME"/>
        </w:rPr>
        <w:t>primjen</w:t>
      </w:r>
      <w:r w:rsidRPr="00F24057">
        <w:rPr>
          <w:szCs w:val="22"/>
          <w:lang w:val="sr-Latn-ME"/>
        </w:rPr>
        <w:t xml:space="preserve">e adalimumaba kod </w:t>
      </w:r>
      <w:r w:rsidR="0030064A" w:rsidRPr="00F24057">
        <w:rPr>
          <w:szCs w:val="22"/>
          <w:lang w:val="sr-Latn-ME"/>
        </w:rPr>
        <w:t>djece</w:t>
      </w:r>
      <w:r w:rsidRPr="00F24057">
        <w:rPr>
          <w:szCs w:val="22"/>
          <w:lang w:val="sr-Latn-ME"/>
        </w:rPr>
        <w:t xml:space="preserve"> mlađe od 4 godine u ovoj indikaciji.</w:t>
      </w:r>
    </w:p>
    <w:p w14:paraId="45A4BCF7" w14:textId="5BF2339C" w:rsidR="00DF1174" w:rsidRPr="00F24057" w:rsidRDefault="00DF1174" w:rsidP="00D70B34">
      <w:pPr>
        <w:rPr>
          <w:szCs w:val="22"/>
          <w:lang w:val="sr-Latn-ME"/>
        </w:rPr>
      </w:pPr>
    </w:p>
    <w:p w14:paraId="11C90663" w14:textId="2F71121B" w:rsidR="00DF1174" w:rsidRPr="00F24057" w:rsidRDefault="00DF1174" w:rsidP="00D70B34">
      <w:pPr>
        <w:rPr>
          <w:i/>
          <w:iCs/>
          <w:szCs w:val="22"/>
          <w:u w:val="single"/>
          <w:lang w:val="sr-Latn-ME"/>
        </w:rPr>
      </w:pPr>
      <w:r w:rsidRPr="00F24057">
        <w:rPr>
          <w:i/>
          <w:iCs/>
          <w:szCs w:val="22"/>
          <w:u w:val="single"/>
          <w:lang w:val="sr-Latn-ME"/>
        </w:rPr>
        <w:t xml:space="preserve">Gnojno zapaljenje znojnih </w:t>
      </w:r>
      <w:r w:rsidR="009A3407" w:rsidRPr="00F24057">
        <w:rPr>
          <w:i/>
          <w:iCs/>
          <w:szCs w:val="22"/>
          <w:u w:val="single"/>
          <w:lang w:val="sr-Latn-ME"/>
        </w:rPr>
        <w:t>žlijezd</w:t>
      </w:r>
      <w:r w:rsidRPr="00F24057">
        <w:rPr>
          <w:i/>
          <w:iCs/>
          <w:szCs w:val="22"/>
          <w:u w:val="single"/>
          <w:lang w:val="sr-Latn-ME"/>
        </w:rPr>
        <w:t xml:space="preserve">a (Hidradenitis suppurativa) kod adolescenata (od 12 godina i starijih, </w:t>
      </w:r>
      <w:r w:rsidR="007E5568" w:rsidRPr="00F24057">
        <w:rPr>
          <w:i/>
          <w:iCs/>
          <w:szCs w:val="22"/>
          <w:u w:val="single"/>
          <w:lang w:val="sr-Latn-ME"/>
        </w:rPr>
        <w:t>tjeles</w:t>
      </w:r>
      <w:r w:rsidRPr="00F24057">
        <w:rPr>
          <w:i/>
          <w:iCs/>
          <w:szCs w:val="22"/>
          <w:u w:val="single"/>
          <w:lang w:val="sr-Latn-ME"/>
        </w:rPr>
        <w:t xml:space="preserve">ne mase najmanje 30 kg) </w:t>
      </w:r>
    </w:p>
    <w:p w14:paraId="63B5875C" w14:textId="77777777" w:rsidR="00DF1174" w:rsidRPr="00F24057" w:rsidRDefault="00DF1174" w:rsidP="00D70B34">
      <w:pPr>
        <w:rPr>
          <w:szCs w:val="22"/>
          <w:lang w:val="sr-Latn-ME"/>
        </w:rPr>
      </w:pPr>
    </w:p>
    <w:p w14:paraId="6CF800E3" w14:textId="1CAF0E4C" w:rsidR="00DF1174" w:rsidRPr="00F24057" w:rsidRDefault="00DF1174" w:rsidP="00D70B34">
      <w:pPr>
        <w:rPr>
          <w:szCs w:val="22"/>
          <w:lang w:val="sr-Latn-ME"/>
        </w:rPr>
      </w:pPr>
      <w:r w:rsidRPr="00F24057">
        <w:rPr>
          <w:szCs w:val="22"/>
          <w:lang w:val="sr-Latn-ME"/>
        </w:rPr>
        <w:t xml:space="preserve">Nisu sprovedena klinička ispitivanja adalimumaba kod adolescenata sa gnojnim zapaljenjem znojnih </w:t>
      </w:r>
      <w:r w:rsidR="009A3407" w:rsidRPr="00F24057">
        <w:rPr>
          <w:szCs w:val="22"/>
          <w:lang w:val="sr-Latn-ME"/>
        </w:rPr>
        <w:t>žlijezd</w:t>
      </w:r>
      <w:r w:rsidRPr="00F24057">
        <w:rPr>
          <w:szCs w:val="22"/>
          <w:lang w:val="sr-Latn-ME"/>
        </w:rPr>
        <w:t>a. Doziranje adalimumaba kod tih pacijenata utvrđeno je na osnovu farmakokinetičkog modelovanja i simulacije (</w:t>
      </w:r>
      <w:r w:rsidR="007B39D0" w:rsidRPr="00F24057">
        <w:rPr>
          <w:szCs w:val="22"/>
          <w:lang w:val="sr-Latn-ME"/>
        </w:rPr>
        <w:t xml:space="preserve">pogledati dio </w:t>
      </w:r>
      <w:r w:rsidRPr="00F24057">
        <w:rPr>
          <w:szCs w:val="22"/>
          <w:lang w:val="sr-Latn-ME"/>
        </w:rPr>
        <w:t xml:space="preserve">5.2). </w:t>
      </w:r>
    </w:p>
    <w:p w14:paraId="19F5C39E" w14:textId="77777777" w:rsidR="00DF1174" w:rsidRPr="00F24057" w:rsidRDefault="00DF1174" w:rsidP="00D70B34">
      <w:pPr>
        <w:rPr>
          <w:szCs w:val="22"/>
          <w:lang w:val="sr-Latn-ME"/>
        </w:rPr>
      </w:pPr>
    </w:p>
    <w:p w14:paraId="2CDD51B3" w14:textId="16F001D6" w:rsidR="00DF1174" w:rsidRPr="00F24057" w:rsidRDefault="00DF1174" w:rsidP="00D70B34">
      <w:pPr>
        <w:rPr>
          <w:szCs w:val="22"/>
          <w:lang w:val="sr-Latn-ME"/>
        </w:rPr>
      </w:pPr>
      <w:r w:rsidRPr="00F24057">
        <w:rPr>
          <w:szCs w:val="22"/>
          <w:lang w:val="sr-Latn-ME"/>
        </w:rPr>
        <w:t xml:space="preserve">Preporučena doza </w:t>
      </w:r>
      <w:r w:rsidR="00885A78" w:rsidRPr="00F24057">
        <w:rPr>
          <w:szCs w:val="22"/>
          <w:lang w:val="sr-Latn-ME"/>
        </w:rPr>
        <w:t xml:space="preserve">lijeka </w:t>
      </w:r>
      <w:r w:rsidR="00BE2ABD" w:rsidRPr="00F24057">
        <w:rPr>
          <w:szCs w:val="22"/>
          <w:lang w:val="sr-Latn-ME"/>
        </w:rPr>
        <w:t>Hukyndra</w:t>
      </w:r>
      <w:r w:rsidRPr="00F24057">
        <w:rPr>
          <w:szCs w:val="22"/>
          <w:lang w:val="sr-Latn-ME"/>
        </w:rPr>
        <w:t xml:space="preserve"> je 80 mg </w:t>
      </w:r>
      <w:r w:rsidR="00EA4BC4" w:rsidRPr="00F24057">
        <w:rPr>
          <w:szCs w:val="22"/>
          <w:lang w:val="sr-Latn-ME"/>
        </w:rPr>
        <w:t xml:space="preserve">na početku terapije (nulta </w:t>
      </w:r>
      <w:r w:rsidR="00885A78" w:rsidRPr="00F24057">
        <w:rPr>
          <w:szCs w:val="22"/>
          <w:lang w:val="sr-Latn-ME"/>
        </w:rPr>
        <w:t>nedjelj</w:t>
      </w:r>
      <w:r w:rsidR="00EA4BC4" w:rsidRPr="00F24057">
        <w:rPr>
          <w:szCs w:val="22"/>
          <w:lang w:val="sr-Latn-ME"/>
        </w:rPr>
        <w:t xml:space="preserve">a, </w:t>
      </w:r>
      <w:r w:rsidR="00080447" w:rsidRPr="00F24057">
        <w:rPr>
          <w:i/>
          <w:iCs/>
          <w:szCs w:val="22"/>
          <w:lang w:val="sr-Latn-ME"/>
        </w:rPr>
        <w:t>Week 0</w:t>
      </w:r>
      <w:r w:rsidR="00EA4BC4" w:rsidRPr="00F24057">
        <w:rPr>
          <w:szCs w:val="22"/>
          <w:lang w:val="sr-Latn-ME"/>
        </w:rPr>
        <w:t>)</w:t>
      </w:r>
      <w:r w:rsidRPr="00F24057">
        <w:rPr>
          <w:szCs w:val="22"/>
          <w:lang w:val="sr-Latn-ME"/>
        </w:rPr>
        <w:t xml:space="preserve">, </w:t>
      </w:r>
      <w:r w:rsidR="00EA4BC4" w:rsidRPr="00F24057">
        <w:rPr>
          <w:szCs w:val="22"/>
          <w:lang w:val="sr-Latn-ME"/>
        </w:rPr>
        <w:t>praćena</w:t>
      </w:r>
      <w:r w:rsidRPr="00F24057">
        <w:rPr>
          <w:szCs w:val="22"/>
          <w:lang w:val="sr-Latn-ME"/>
        </w:rPr>
        <w:t xml:space="preserve"> doz</w:t>
      </w:r>
      <w:r w:rsidR="00EA4BC4" w:rsidRPr="00F24057">
        <w:rPr>
          <w:szCs w:val="22"/>
          <w:lang w:val="sr-Latn-ME"/>
        </w:rPr>
        <w:t>om</w:t>
      </w:r>
      <w:r w:rsidRPr="00F24057">
        <w:rPr>
          <w:szCs w:val="22"/>
          <w:lang w:val="sr-Latn-ME"/>
        </w:rPr>
        <w:t xml:space="preserve"> od 40 mg svake druge </w:t>
      </w:r>
      <w:r w:rsidR="00885A78" w:rsidRPr="00F24057">
        <w:rPr>
          <w:szCs w:val="22"/>
          <w:lang w:val="sr-Latn-ME"/>
        </w:rPr>
        <w:t>nedjelj</w:t>
      </w:r>
      <w:r w:rsidRPr="00F24057">
        <w:rPr>
          <w:szCs w:val="22"/>
          <w:lang w:val="sr-Latn-ME"/>
        </w:rPr>
        <w:t xml:space="preserve">e, počevši od prve </w:t>
      </w:r>
      <w:r w:rsidR="00885A78" w:rsidRPr="00F24057">
        <w:rPr>
          <w:szCs w:val="22"/>
          <w:lang w:val="sr-Latn-ME"/>
        </w:rPr>
        <w:t>nedjelj</w:t>
      </w:r>
      <w:r w:rsidRPr="00F24057">
        <w:rPr>
          <w:szCs w:val="22"/>
          <w:lang w:val="sr-Latn-ME"/>
        </w:rPr>
        <w:t xml:space="preserve">e, supkutanom injekcijom. </w:t>
      </w:r>
    </w:p>
    <w:p w14:paraId="64BC146A" w14:textId="77777777" w:rsidR="00DF1174" w:rsidRPr="00F24057" w:rsidRDefault="00DF1174" w:rsidP="00D70B34">
      <w:pPr>
        <w:rPr>
          <w:szCs w:val="22"/>
          <w:lang w:val="sr-Latn-ME"/>
        </w:rPr>
      </w:pPr>
    </w:p>
    <w:p w14:paraId="1C264B5A" w14:textId="3B8E3169" w:rsidR="00DF1174" w:rsidRPr="00F24057" w:rsidRDefault="00DF1174" w:rsidP="00D70B34">
      <w:pPr>
        <w:rPr>
          <w:szCs w:val="22"/>
          <w:lang w:val="sr-Latn-ME"/>
        </w:rPr>
      </w:pPr>
      <w:r w:rsidRPr="00F24057">
        <w:rPr>
          <w:szCs w:val="22"/>
          <w:lang w:val="sr-Latn-ME"/>
        </w:rPr>
        <w:t xml:space="preserve">Kod adolescenata kod kojih nije postignut </w:t>
      </w:r>
      <w:r w:rsidR="00FF62A3" w:rsidRPr="00F24057">
        <w:rPr>
          <w:szCs w:val="22"/>
          <w:lang w:val="sr-Latn-ME"/>
        </w:rPr>
        <w:t>adekvatan terapijski</w:t>
      </w:r>
      <w:r w:rsidRPr="00F24057">
        <w:rPr>
          <w:szCs w:val="22"/>
          <w:lang w:val="sr-Latn-ME"/>
        </w:rPr>
        <w:t xml:space="preserve"> odgovor na </w:t>
      </w:r>
      <w:r w:rsidR="0030064A" w:rsidRPr="00F24057">
        <w:rPr>
          <w:szCs w:val="22"/>
          <w:lang w:val="sr-Latn-ME"/>
        </w:rPr>
        <w:t xml:space="preserve">lijek </w:t>
      </w:r>
      <w:r w:rsidR="00BE2ABD" w:rsidRPr="00F24057">
        <w:rPr>
          <w:szCs w:val="22"/>
          <w:lang w:val="sr-Latn-ME"/>
        </w:rPr>
        <w:t>Hukyndra</w:t>
      </w:r>
      <w:r w:rsidRPr="00F24057">
        <w:rPr>
          <w:szCs w:val="22"/>
          <w:lang w:val="sr-Latn-ME"/>
        </w:rPr>
        <w:t xml:space="preserve"> u dozi od 40 mg svake druge </w:t>
      </w:r>
      <w:r w:rsidR="00885A78" w:rsidRPr="00F24057">
        <w:rPr>
          <w:szCs w:val="22"/>
          <w:lang w:val="sr-Latn-ME"/>
        </w:rPr>
        <w:t>nedjelj</w:t>
      </w:r>
      <w:r w:rsidRPr="00F24057">
        <w:rPr>
          <w:szCs w:val="22"/>
          <w:lang w:val="sr-Latn-ME"/>
        </w:rPr>
        <w:t>e</w:t>
      </w:r>
      <w:r w:rsidR="00BA46CC" w:rsidRPr="00F24057">
        <w:rPr>
          <w:szCs w:val="22"/>
          <w:lang w:val="sr-Latn-ME"/>
        </w:rPr>
        <w:t>,</w:t>
      </w:r>
      <w:r w:rsidRPr="00F24057">
        <w:rPr>
          <w:szCs w:val="22"/>
          <w:lang w:val="sr-Latn-ME"/>
        </w:rPr>
        <w:t xml:space="preserve"> može se razmotriti povećanje doz</w:t>
      </w:r>
      <w:r w:rsidR="00BA46CC" w:rsidRPr="00F24057">
        <w:rPr>
          <w:szCs w:val="22"/>
          <w:lang w:val="sr-Latn-ME"/>
        </w:rPr>
        <w:t>e</w:t>
      </w:r>
      <w:r w:rsidRPr="00F24057">
        <w:rPr>
          <w:szCs w:val="22"/>
          <w:lang w:val="sr-Latn-ME"/>
        </w:rPr>
        <w:t xml:space="preserve"> na 40 mg svake </w:t>
      </w:r>
      <w:r w:rsidR="00885A78" w:rsidRPr="00F24057">
        <w:rPr>
          <w:szCs w:val="22"/>
          <w:lang w:val="sr-Latn-ME"/>
        </w:rPr>
        <w:t>nedjelj</w:t>
      </w:r>
      <w:r w:rsidRPr="00F24057">
        <w:rPr>
          <w:szCs w:val="22"/>
          <w:lang w:val="sr-Latn-ME"/>
        </w:rPr>
        <w:t xml:space="preserve">e ili 80 mg svake druge </w:t>
      </w:r>
      <w:r w:rsidR="00885A78" w:rsidRPr="00F24057">
        <w:rPr>
          <w:szCs w:val="22"/>
          <w:lang w:val="sr-Latn-ME"/>
        </w:rPr>
        <w:t>nedjelj</w:t>
      </w:r>
      <w:r w:rsidRPr="00F24057">
        <w:rPr>
          <w:szCs w:val="22"/>
          <w:lang w:val="sr-Latn-ME"/>
        </w:rPr>
        <w:t xml:space="preserve">e. </w:t>
      </w:r>
    </w:p>
    <w:p w14:paraId="2EA4B470" w14:textId="77777777" w:rsidR="00DF1174" w:rsidRPr="00F24057" w:rsidRDefault="00DF1174" w:rsidP="00D70B34">
      <w:pPr>
        <w:rPr>
          <w:szCs w:val="22"/>
          <w:lang w:val="sr-Latn-ME"/>
        </w:rPr>
      </w:pPr>
    </w:p>
    <w:p w14:paraId="5CBC3685" w14:textId="227A9B64" w:rsidR="00DF1174" w:rsidRPr="00F24057" w:rsidRDefault="00DF1174" w:rsidP="00D70B34">
      <w:pPr>
        <w:rPr>
          <w:szCs w:val="22"/>
          <w:lang w:val="sr-Latn-ME"/>
        </w:rPr>
      </w:pPr>
      <w:r w:rsidRPr="00F24057">
        <w:rPr>
          <w:szCs w:val="22"/>
          <w:lang w:val="sr-Latn-ME"/>
        </w:rPr>
        <w:lastRenderedPageBreak/>
        <w:t xml:space="preserve">Ako je potrebno, </w:t>
      </w:r>
      <w:r w:rsidR="0030064A" w:rsidRPr="00F24057">
        <w:rPr>
          <w:szCs w:val="22"/>
          <w:lang w:val="sr-Latn-ME"/>
        </w:rPr>
        <w:t>primjen</w:t>
      </w:r>
      <w:r w:rsidRPr="00F24057">
        <w:rPr>
          <w:szCs w:val="22"/>
          <w:lang w:val="sr-Latn-ME"/>
        </w:rPr>
        <w:t xml:space="preserve">a antibiotika može da se nastavi i tokom </w:t>
      </w:r>
      <w:r w:rsidR="00885A78" w:rsidRPr="00F24057">
        <w:rPr>
          <w:szCs w:val="22"/>
          <w:lang w:val="sr-Latn-ME"/>
        </w:rPr>
        <w:t>liječenj</w:t>
      </w:r>
      <w:r w:rsidRPr="00F24057">
        <w:rPr>
          <w:szCs w:val="22"/>
          <w:lang w:val="sr-Latn-ME"/>
        </w:rPr>
        <w:t xml:space="preserve">a </w:t>
      </w:r>
      <w:r w:rsidR="00885A78" w:rsidRPr="00F24057">
        <w:rPr>
          <w:szCs w:val="22"/>
          <w:lang w:val="sr-Latn-ME"/>
        </w:rPr>
        <w:t>lijekom</w:t>
      </w:r>
      <w:r w:rsidRPr="00F24057">
        <w:rPr>
          <w:szCs w:val="22"/>
          <w:lang w:val="sr-Latn-ME"/>
        </w:rPr>
        <w:t xml:space="preserve"> </w:t>
      </w:r>
      <w:r w:rsidR="00BE2ABD" w:rsidRPr="00F24057">
        <w:rPr>
          <w:szCs w:val="22"/>
          <w:lang w:val="sr-Latn-ME"/>
        </w:rPr>
        <w:t>Hukyndra</w:t>
      </w:r>
      <w:r w:rsidRPr="00F24057">
        <w:rPr>
          <w:szCs w:val="22"/>
          <w:lang w:val="sr-Latn-ME"/>
        </w:rPr>
        <w:t xml:space="preserve">. Preporučuje se da pacijent tokom </w:t>
      </w:r>
      <w:r w:rsidR="006B35D7" w:rsidRPr="00F24057">
        <w:rPr>
          <w:szCs w:val="22"/>
          <w:lang w:val="sr-Latn-ME"/>
        </w:rPr>
        <w:t>terapije</w:t>
      </w:r>
      <w:r w:rsidRPr="00F24057">
        <w:rPr>
          <w:szCs w:val="22"/>
          <w:lang w:val="sr-Latn-ME"/>
        </w:rPr>
        <w:t xml:space="preserve"> </w:t>
      </w:r>
      <w:r w:rsidR="00885A78" w:rsidRPr="00F24057">
        <w:rPr>
          <w:szCs w:val="22"/>
          <w:lang w:val="sr-Latn-ME"/>
        </w:rPr>
        <w:t>lijekom</w:t>
      </w:r>
      <w:r w:rsidRPr="00F24057">
        <w:rPr>
          <w:szCs w:val="22"/>
          <w:lang w:val="sr-Latn-ME"/>
        </w:rPr>
        <w:t xml:space="preserve"> </w:t>
      </w:r>
      <w:r w:rsidR="00BE2ABD" w:rsidRPr="00F24057">
        <w:rPr>
          <w:szCs w:val="22"/>
          <w:lang w:val="sr-Latn-ME"/>
        </w:rPr>
        <w:t>Hukyndra</w:t>
      </w:r>
      <w:r w:rsidRPr="00F24057">
        <w:rPr>
          <w:szCs w:val="22"/>
          <w:lang w:val="sr-Latn-ME"/>
        </w:rPr>
        <w:t xml:space="preserve"> svakodnevno koristi topikaln</w:t>
      </w:r>
      <w:r w:rsidR="006B35D7" w:rsidRPr="00F24057">
        <w:rPr>
          <w:szCs w:val="22"/>
          <w:lang w:val="sr-Latn-ME"/>
        </w:rPr>
        <w:t>i</w:t>
      </w:r>
      <w:r w:rsidRPr="00F24057">
        <w:rPr>
          <w:szCs w:val="22"/>
          <w:lang w:val="sr-Latn-ME"/>
        </w:rPr>
        <w:t xml:space="preserve"> antiseptičk</w:t>
      </w:r>
      <w:r w:rsidR="006B35D7" w:rsidRPr="00F24057">
        <w:rPr>
          <w:szCs w:val="22"/>
          <w:lang w:val="sr-Latn-ME"/>
        </w:rPr>
        <w:t>i</w:t>
      </w:r>
      <w:r w:rsidRPr="00F24057">
        <w:rPr>
          <w:szCs w:val="22"/>
          <w:lang w:val="sr-Latn-ME"/>
        </w:rPr>
        <w:t xml:space="preserve"> </w:t>
      </w:r>
      <w:r w:rsidR="006B35D7" w:rsidRPr="00F24057">
        <w:rPr>
          <w:szCs w:val="22"/>
          <w:lang w:val="sr-Latn-ME"/>
        </w:rPr>
        <w:t>rastvor</w:t>
      </w:r>
      <w:r w:rsidRPr="00F24057">
        <w:rPr>
          <w:szCs w:val="22"/>
          <w:lang w:val="sr-Latn-ME"/>
        </w:rPr>
        <w:t xml:space="preserve"> za ispiranje lezija uzrokovanih gnojnim zapaljenjem znojnih </w:t>
      </w:r>
      <w:r w:rsidR="009A3407" w:rsidRPr="00F24057">
        <w:rPr>
          <w:szCs w:val="22"/>
          <w:lang w:val="sr-Latn-ME"/>
        </w:rPr>
        <w:t>žlijezd</w:t>
      </w:r>
      <w:r w:rsidRPr="00F24057">
        <w:rPr>
          <w:szCs w:val="22"/>
          <w:lang w:val="sr-Latn-ME"/>
        </w:rPr>
        <w:t xml:space="preserve">a. </w:t>
      </w:r>
    </w:p>
    <w:p w14:paraId="61CE5883" w14:textId="77777777" w:rsidR="00DF1174" w:rsidRPr="00F24057" w:rsidRDefault="00DF1174" w:rsidP="00D70B34">
      <w:pPr>
        <w:rPr>
          <w:szCs w:val="22"/>
          <w:lang w:val="sr-Latn-ME"/>
        </w:rPr>
      </w:pPr>
    </w:p>
    <w:p w14:paraId="51A07171" w14:textId="7DE33675" w:rsidR="00543986" w:rsidRPr="00F24057" w:rsidRDefault="00543986" w:rsidP="00D70B34">
      <w:pPr>
        <w:rPr>
          <w:szCs w:val="22"/>
          <w:lang w:val="sr-Latn-ME"/>
        </w:rPr>
      </w:pPr>
      <w:r w:rsidRPr="00F24057">
        <w:rPr>
          <w:szCs w:val="22"/>
          <w:lang w:val="sr-Latn-ME"/>
        </w:rPr>
        <w:t xml:space="preserve">Ukoliko pacijent ne postigne terapijski odgovor tokom perioda od 12 </w:t>
      </w:r>
      <w:r w:rsidR="00885A78" w:rsidRPr="00F24057">
        <w:rPr>
          <w:szCs w:val="22"/>
          <w:lang w:val="sr-Latn-ME"/>
        </w:rPr>
        <w:t>nedjelj</w:t>
      </w:r>
      <w:r w:rsidRPr="00F24057">
        <w:rPr>
          <w:szCs w:val="22"/>
          <w:lang w:val="sr-Latn-ME"/>
        </w:rPr>
        <w:t xml:space="preserve">a, nastavak </w:t>
      </w:r>
      <w:r w:rsidR="004F0F96" w:rsidRPr="00F24057">
        <w:rPr>
          <w:szCs w:val="22"/>
          <w:lang w:val="sr-Latn-ME"/>
        </w:rPr>
        <w:t>terapije</w:t>
      </w:r>
      <w:r w:rsidRPr="00F24057">
        <w:rPr>
          <w:szCs w:val="22"/>
          <w:lang w:val="sr-Latn-ME"/>
        </w:rPr>
        <w:t xml:space="preserve"> nakon tog perioda potrebno je pažljivo razmotriti. </w:t>
      </w:r>
    </w:p>
    <w:p w14:paraId="3AB767EC" w14:textId="77777777" w:rsidR="00DF1174" w:rsidRPr="00F24057" w:rsidRDefault="00DF1174" w:rsidP="00D70B34">
      <w:pPr>
        <w:rPr>
          <w:szCs w:val="22"/>
          <w:lang w:val="sr-Latn-ME"/>
        </w:rPr>
      </w:pPr>
    </w:p>
    <w:p w14:paraId="7A049F4D" w14:textId="309FE7AE" w:rsidR="00DF1174" w:rsidRPr="00F24057" w:rsidRDefault="004F0F96" w:rsidP="00D70B34">
      <w:pPr>
        <w:rPr>
          <w:szCs w:val="22"/>
          <w:lang w:val="sr-Latn-ME"/>
        </w:rPr>
      </w:pPr>
      <w:r w:rsidRPr="00F24057">
        <w:rPr>
          <w:szCs w:val="22"/>
          <w:lang w:val="sr-Latn-ME"/>
        </w:rPr>
        <w:t>Ukoliko je potrebno privremeno prekinuti terapiju</w:t>
      </w:r>
      <w:r w:rsidR="009B23CA" w:rsidRPr="00F24057">
        <w:rPr>
          <w:szCs w:val="22"/>
          <w:lang w:val="sr-Latn-ME"/>
        </w:rPr>
        <w:t xml:space="preserve">, </w:t>
      </w:r>
      <w:r w:rsidR="0030064A" w:rsidRPr="00F24057">
        <w:rPr>
          <w:szCs w:val="22"/>
          <w:lang w:val="sr-Latn-ME"/>
        </w:rPr>
        <w:t xml:space="preserve">lijek </w:t>
      </w:r>
      <w:r w:rsidR="009B23CA" w:rsidRPr="00F24057">
        <w:rPr>
          <w:szCs w:val="22"/>
          <w:lang w:val="sr-Latn-ME"/>
        </w:rPr>
        <w:t>Hukyndra se kasnije po po</w:t>
      </w:r>
      <w:r w:rsidR="00BE577E" w:rsidRPr="00F24057">
        <w:rPr>
          <w:szCs w:val="22"/>
          <w:lang w:val="sr-Latn-ME"/>
        </w:rPr>
        <w:t>trebi</w:t>
      </w:r>
      <w:r w:rsidR="00DF1174" w:rsidRPr="00F24057">
        <w:rPr>
          <w:szCs w:val="22"/>
          <w:lang w:val="sr-Latn-ME"/>
        </w:rPr>
        <w:t xml:space="preserve"> može ponovno uvesti. </w:t>
      </w:r>
    </w:p>
    <w:p w14:paraId="6DEB1B33" w14:textId="77777777" w:rsidR="00DF1174" w:rsidRPr="00F24057" w:rsidRDefault="00DF1174" w:rsidP="00D70B34">
      <w:pPr>
        <w:rPr>
          <w:szCs w:val="22"/>
          <w:lang w:val="sr-Latn-ME"/>
        </w:rPr>
      </w:pPr>
    </w:p>
    <w:p w14:paraId="02FB7323" w14:textId="410699E4" w:rsidR="00DF1174" w:rsidRPr="00F24057" w:rsidRDefault="00DF1174" w:rsidP="00D70B34">
      <w:pPr>
        <w:rPr>
          <w:szCs w:val="22"/>
          <w:lang w:val="sr-Latn-ME"/>
        </w:rPr>
      </w:pPr>
      <w:r w:rsidRPr="00F24057">
        <w:rPr>
          <w:szCs w:val="22"/>
          <w:lang w:val="sr-Latn-ME"/>
        </w:rPr>
        <w:t xml:space="preserve">Potrebno je periodično </w:t>
      </w:r>
      <w:r w:rsidR="004F2520" w:rsidRPr="00F24057">
        <w:rPr>
          <w:szCs w:val="22"/>
          <w:lang w:val="sr-Latn-ME"/>
        </w:rPr>
        <w:t>procjen</w:t>
      </w:r>
      <w:r w:rsidRPr="00F24057">
        <w:rPr>
          <w:szCs w:val="22"/>
          <w:lang w:val="sr-Latn-ME"/>
        </w:rPr>
        <w:t xml:space="preserve">jivati </w:t>
      </w:r>
      <w:r w:rsidR="00BE577E" w:rsidRPr="00F24057">
        <w:rPr>
          <w:szCs w:val="22"/>
          <w:lang w:val="sr-Latn-ME"/>
        </w:rPr>
        <w:t xml:space="preserve">odnos </w:t>
      </w:r>
      <w:r w:rsidRPr="00F24057">
        <w:rPr>
          <w:szCs w:val="22"/>
          <w:lang w:val="sr-Latn-ME"/>
        </w:rPr>
        <w:t>koristi i rizik</w:t>
      </w:r>
      <w:r w:rsidR="00BE577E" w:rsidRPr="00F24057">
        <w:rPr>
          <w:szCs w:val="22"/>
          <w:lang w:val="sr-Latn-ME"/>
        </w:rPr>
        <w:t>a</w:t>
      </w:r>
      <w:r w:rsidRPr="00F24057">
        <w:rPr>
          <w:szCs w:val="22"/>
          <w:lang w:val="sr-Latn-ME"/>
        </w:rPr>
        <w:t xml:space="preserve"> kontinuirane dugotrajne terapije (</w:t>
      </w:r>
      <w:r w:rsidR="0030064A" w:rsidRPr="00F24057">
        <w:rPr>
          <w:szCs w:val="22"/>
          <w:lang w:val="sr-Latn-ME"/>
        </w:rPr>
        <w:t>vidjeti</w:t>
      </w:r>
      <w:r w:rsidRPr="00F24057">
        <w:rPr>
          <w:szCs w:val="22"/>
          <w:lang w:val="sr-Latn-ME"/>
        </w:rPr>
        <w:t xml:space="preserve"> podatke za odrasle u </w:t>
      </w:r>
      <w:r w:rsidR="009A3407" w:rsidRPr="00F24057">
        <w:rPr>
          <w:szCs w:val="22"/>
          <w:lang w:val="sr-Latn-ME"/>
        </w:rPr>
        <w:t>dijelu</w:t>
      </w:r>
      <w:r w:rsidRPr="00F24057">
        <w:rPr>
          <w:szCs w:val="22"/>
          <w:lang w:val="sr-Latn-ME"/>
        </w:rPr>
        <w:t xml:space="preserve"> 5.1). </w:t>
      </w:r>
    </w:p>
    <w:p w14:paraId="620A67C9" w14:textId="77777777" w:rsidR="00DF1174" w:rsidRPr="00F24057" w:rsidRDefault="00DF1174" w:rsidP="00D70B34">
      <w:pPr>
        <w:rPr>
          <w:szCs w:val="22"/>
          <w:lang w:val="sr-Latn-ME"/>
        </w:rPr>
      </w:pPr>
    </w:p>
    <w:p w14:paraId="5DA9AF3E" w14:textId="21E1E046" w:rsidR="00DF1174" w:rsidRPr="00F24057" w:rsidRDefault="00DF1174" w:rsidP="00D70B34">
      <w:pPr>
        <w:rPr>
          <w:szCs w:val="22"/>
          <w:lang w:val="sr-Latn-ME"/>
        </w:rPr>
      </w:pPr>
      <w:r w:rsidRPr="00F24057">
        <w:rPr>
          <w:szCs w:val="22"/>
          <w:lang w:val="sr-Latn-ME"/>
        </w:rPr>
        <w:t xml:space="preserve">Nema relevantne </w:t>
      </w:r>
      <w:r w:rsidR="0030064A" w:rsidRPr="00F24057">
        <w:rPr>
          <w:szCs w:val="22"/>
          <w:lang w:val="sr-Latn-ME"/>
        </w:rPr>
        <w:t>primjen</w:t>
      </w:r>
      <w:r w:rsidRPr="00F24057">
        <w:rPr>
          <w:szCs w:val="22"/>
          <w:lang w:val="sr-Latn-ME"/>
        </w:rPr>
        <w:t xml:space="preserve">e adalimumaba kod </w:t>
      </w:r>
      <w:r w:rsidR="0030064A" w:rsidRPr="00F24057">
        <w:rPr>
          <w:szCs w:val="22"/>
          <w:lang w:val="sr-Latn-ME"/>
        </w:rPr>
        <w:t>djece</w:t>
      </w:r>
      <w:r w:rsidRPr="00F24057">
        <w:rPr>
          <w:szCs w:val="22"/>
          <w:lang w:val="sr-Latn-ME"/>
        </w:rPr>
        <w:t xml:space="preserve"> mlađe od 12 godina za ovu indikaciju. </w:t>
      </w:r>
    </w:p>
    <w:p w14:paraId="3945F93E" w14:textId="77777777" w:rsidR="00DF1174" w:rsidRPr="00F24057" w:rsidRDefault="00DF1174" w:rsidP="00D70B34">
      <w:pPr>
        <w:rPr>
          <w:szCs w:val="22"/>
          <w:lang w:val="sr-Latn-ME"/>
        </w:rPr>
      </w:pPr>
    </w:p>
    <w:p w14:paraId="21F30597" w14:textId="6534CF3F" w:rsidR="00DF1174" w:rsidRPr="00F24057" w:rsidRDefault="00DA2306" w:rsidP="00D70B34">
      <w:pPr>
        <w:rPr>
          <w:i/>
          <w:iCs/>
          <w:szCs w:val="22"/>
          <w:u w:val="single"/>
          <w:lang w:val="sr-Latn-ME"/>
        </w:rPr>
      </w:pPr>
      <w:r w:rsidRPr="00F24057">
        <w:rPr>
          <w:i/>
          <w:iCs/>
          <w:szCs w:val="22"/>
          <w:u w:val="single"/>
          <w:lang w:val="sr-Latn-ME"/>
        </w:rPr>
        <w:t>Crohn</w:t>
      </w:r>
      <w:r w:rsidR="00DF1174" w:rsidRPr="00F24057">
        <w:rPr>
          <w:i/>
          <w:iCs/>
          <w:szCs w:val="22"/>
          <w:u w:val="single"/>
          <w:lang w:val="sr-Latn-ME"/>
        </w:rPr>
        <w:t xml:space="preserve">-ova bolest kod </w:t>
      </w:r>
      <w:r w:rsidR="0030064A" w:rsidRPr="00F24057">
        <w:rPr>
          <w:i/>
          <w:iCs/>
          <w:szCs w:val="22"/>
          <w:u w:val="single"/>
          <w:lang w:val="sr-Latn-ME"/>
        </w:rPr>
        <w:t>djece</w:t>
      </w:r>
      <w:r w:rsidR="00DF1174" w:rsidRPr="00F24057">
        <w:rPr>
          <w:i/>
          <w:iCs/>
          <w:szCs w:val="22"/>
          <w:u w:val="single"/>
          <w:lang w:val="sr-Latn-ME"/>
        </w:rPr>
        <w:t xml:space="preserve"> </w:t>
      </w:r>
    </w:p>
    <w:p w14:paraId="061A3AB2" w14:textId="77777777" w:rsidR="00DF1174" w:rsidRPr="00F24057" w:rsidRDefault="00DF1174" w:rsidP="00D70B34">
      <w:pPr>
        <w:rPr>
          <w:szCs w:val="22"/>
          <w:lang w:val="sr-Latn-ME"/>
        </w:rPr>
      </w:pPr>
    </w:p>
    <w:p w14:paraId="75B2C661" w14:textId="3A046AC2" w:rsidR="00DF1174" w:rsidRPr="00F24057" w:rsidRDefault="00DF1174" w:rsidP="00D70B34">
      <w:pPr>
        <w:rPr>
          <w:szCs w:val="22"/>
          <w:lang w:val="sr-Latn-ME"/>
        </w:rPr>
      </w:pPr>
      <w:r w:rsidRPr="00F24057">
        <w:rPr>
          <w:szCs w:val="22"/>
          <w:lang w:val="sr-Latn-ME"/>
        </w:rPr>
        <w:t xml:space="preserve">Preporučena doza </w:t>
      </w:r>
      <w:r w:rsidR="00885A78" w:rsidRPr="00F24057">
        <w:rPr>
          <w:szCs w:val="22"/>
          <w:lang w:val="sr-Latn-ME"/>
        </w:rPr>
        <w:t xml:space="preserve">lijeka </w:t>
      </w:r>
      <w:r w:rsidR="00BE2ABD" w:rsidRPr="00F24057">
        <w:rPr>
          <w:szCs w:val="22"/>
          <w:lang w:val="sr-Latn-ME"/>
        </w:rPr>
        <w:t>Hukyndra</w:t>
      </w:r>
      <w:r w:rsidRPr="00F24057">
        <w:rPr>
          <w:szCs w:val="22"/>
          <w:lang w:val="sr-Latn-ME"/>
        </w:rPr>
        <w:t xml:space="preserve"> </w:t>
      </w:r>
      <w:r w:rsidR="00677689" w:rsidRPr="00F24057">
        <w:rPr>
          <w:szCs w:val="22"/>
          <w:lang w:val="sr-Latn-ME"/>
        </w:rPr>
        <w:t xml:space="preserve">kod pacijenata </w:t>
      </w:r>
      <w:r w:rsidRPr="00F24057">
        <w:rPr>
          <w:szCs w:val="22"/>
          <w:lang w:val="sr-Latn-ME"/>
        </w:rPr>
        <w:t xml:space="preserve">sa </w:t>
      </w:r>
      <w:r w:rsidR="00DA2306" w:rsidRPr="00F24057">
        <w:rPr>
          <w:i/>
          <w:iCs/>
          <w:szCs w:val="22"/>
          <w:lang w:val="sr-Latn-ME"/>
        </w:rPr>
        <w:t>Crohn</w:t>
      </w:r>
      <w:r w:rsidRPr="00F24057">
        <w:rPr>
          <w:szCs w:val="22"/>
          <w:lang w:val="sr-Latn-ME"/>
        </w:rPr>
        <w:t xml:space="preserve">-ovom bolešću uzrasta od 6 do 17 godina određuje se na osnovu </w:t>
      </w:r>
      <w:r w:rsidR="007E5568" w:rsidRPr="00F24057">
        <w:rPr>
          <w:szCs w:val="22"/>
          <w:lang w:val="sr-Latn-ME"/>
        </w:rPr>
        <w:t>tjeles</w:t>
      </w:r>
      <w:r w:rsidRPr="00F24057">
        <w:rPr>
          <w:szCs w:val="22"/>
          <w:lang w:val="sr-Latn-ME"/>
        </w:rPr>
        <w:t xml:space="preserve">ne mase (Tabela 4). </w:t>
      </w:r>
      <w:r w:rsidR="0030064A" w:rsidRPr="00F24057">
        <w:rPr>
          <w:szCs w:val="22"/>
          <w:lang w:val="sr-Latn-ME"/>
        </w:rPr>
        <w:t xml:space="preserve">Lijek </w:t>
      </w:r>
      <w:r w:rsidR="00BE2ABD" w:rsidRPr="00F24057">
        <w:rPr>
          <w:szCs w:val="22"/>
          <w:lang w:val="sr-Latn-ME"/>
        </w:rPr>
        <w:t>Hukyndra</w:t>
      </w:r>
      <w:r w:rsidRPr="00F24057">
        <w:rPr>
          <w:szCs w:val="22"/>
          <w:lang w:val="sr-Latn-ME"/>
        </w:rPr>
        <w:t xml:space="preserve"> se </w:t>
      </w:r>
      <w:r w:rsidR="0030064A" w:rsidRPr="00F24057">
        <w:rPr>
          <w:szCs w:val="22"/>
          <w:lang w:val="sr-Latn-ME"/>
        </w:rPr>
        <w:t>primjen</w:t>
      </w:r>
      <w:r w:rsidRPr="00F24057">
        <w:rPr>
          <w:szCs w:val="22"/>
          <w:lang w:val="sr-Latn-ME"/>
        </w:rPr>
        <w:t>juje supkutanom injekcijom.</w:t>
      </w:r>
    </w:p>
    <w:p w14:paraId="7575D63B" w14:textId="5B4C981D" w:rsidR="004D077D" w:rsidRPr="00F24057" w:rsidRDefault="004D077D" w:rsidP="00D70B34">
      <w:pPr>
        <w:rPr>
          <w:szCs w:val="22"/>
          <w:lang w:val="sr-Latn-ME"/>
        </w:rPr>
      </w:pPr>
    </w:p>
    <w:p w14:paraId="24746821" w14:textId="6711D988" w:rsidR="00E3071C" w:rsidRPr="00F24057" w:rsidRDefault="00E3071C" w:rsidP="00D70B34">
      <w:pPr>
        <w:rPr>
          <w:b/>
          <w:bCs/>
          <w:szCs w:val="22"/>
          <w:lang w:val="sr-Latn-ME"/>
        </w:rPr>
      </w:pPr>
      <w:r w:rsidRPr="00F24057">
        <w:rPr>
          <w:b/>
          <w:bCs/>
          <w:szCs w:val="22"/>
          <w:lang w:val="sr-Latn-ME"/>
        </w:rPr>
        <w:t>Tabela 4. Doza adalimumab</w:t>
      </w:r>
      <w:r w:rsidR="0044184C" w:rsidRPr="00F24057">
        <w:rPr>
          <w:b/>
          <w:bCs/>
          <w:szCs w:val="22"/>
          <w:lang w:val="sr-Latn-ME"/>
        </w:rPr>
        <w:t>a</w:t>
      </w:r>
      <w:r w:rsidRPr="00F24057">
        <w:rPr>
          <w:b/>
          <w:bCs/>
          <w:szCs w:val="22"/>
          <w:lang w:val="sr-Latn-ME"/>
        </w:rPr>
        <w:t xml:space="preserve"> </w:t>
      </w:r>
      <w:r w:rsidR="00A3640C" w:rsidRPr="00F24057">
        <w:rPr>
          <w:b/>
          <w:bCs/>
          <w:szCs w:val="22"/>
          <w:lang w:val="sr-Latn-ME"/>
        </w:rPr>
        <w:t xml:space="preserve">kod </w:t>
      </w:r>
      <w:r w:rsidRPr="00F24057">
        <w:rPr>
          <w:b/>
          <w:bCs/>
          <w:szCs w:val="22"/>
          <w:lang w:val="sr-Latn-ME"/>
        </w:rPr>
        <w:t>pedijatrijsk</w:t>
      </w:r>
      <w:r w:rsidR="00A3640C" w:rsidRPr="00F24057">
        <w:rPr>
          <w:b/>
          <w:bCs/>
          <w:szCs w:val="22"/>
          <w:lang w:val="sr-Latn-ME"/>
        </w:rPr>
        <w:t>ih</w:t>
      </w:r>
      <w:r w:rsidRPr="00F24057">
        <w:rPr>
          <w:b/>
          <w:bCs/>
          <w:szCs w:val="22"/>
          <w:lang w:val="sr-Latn-ME"/>
        </w:rPr>
        <w:t xml:space="preserve"> pacijen</w:t>
      </w:r>
      <w:r w:rsidR="00A3640C" w:rsidRPr="00F24057">
        <w:rPr>
          <w:b/>
          <w:bCs/>
          <w:szCs w:val="22"/>
          <w:lang w:val="sr-Latn-ME"/>
        </w:rPr>
        <w:t>ata</w:t>
      </w:r>
      <w:r w:rsidRPr="00F24057">
        <w:rPr>
          <w:b/>
          <w:bCs/>
          <w:szCs w:val="22"/>
          <w:lang w:val="sr-Latn-ME"/>
        </w:rPr>
        <w:t xml:space="preserve"> sa </w:t>
      </w:r>
      <w:r w:rsidR="00DA2306" w:rsidRPr="00F24057">
        <w:rPr>
          <w:b/>
          <w:bCs/>
          <w:i/>
          <w:iCs/>
          <w:szCs w:val="22"/>
          <w:lang w:val="sr-Latn-ME"/>
        </w:rPr>
        <w:t>Crohn</w:t>
      </w:r>
      <w:r w:rsidRPr="00F24057">
        <w:rPr>
          <w:b/>
          <w:bCs/>
          <w:szCs w:val="22"/>
          <w:lang w:val="sr-Latn-ME"/>
        </w:rPr>
        <w:t>-ovom bolešću</w:t>
      </w:r>
    </w:p>
    <w:p w14:paraId="300828D1" w14:textId="77777777" w:rsidR="007B5584" w:rsidRPr="00F24057" w:rsidRDefault="007B5584"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129"/>
        <w:gridCol w:w="6097"/>
        <w:gridCol w:w="1791"/>
      </w:tblGrid>
      <w:tr w:rsidR="00294A3B" w:rsidRPr="00F24057" w14:paraId="54C1B37B" w14:textId="77777777" w:rsidTr="00CE7D7F">
        <w:trPr>
          <w:trHeight w:val="20"/>
        </w:trPr>
        <w:tc>
          <w:tcPr>
            <w:tcW w:w="626" w:type="pct"/>
            <w:vAlign w:val="center"/>
          </w:tcPr>
          <w:p w14:paraId="3FE02AF4" w14:textId="14ED2F71" w:rsidR="00294A3B" w:rsidRPr="00F24057" w:rsidRDefault="007E5568" w:rsidP="00D70B34">
            <w:pPr>
              <w:jc w:val="center"/>
              <w:rPr>
                <w:b/>
                <w:bCs/>
                <w:szCs w:val="22"/>
                <w:lang w:val="sr-Latn-ME"/>
              </w:rPr>
            </w:pPr>
            <w:r w:rsidRPr="00F24057">
              <w:rPr>
                <w:b/>
                <w:bCs/>
                <w:szCs w:val="22"/>
                <w:lang w:val="sr-Latn-ME"/>
              </w:rPr>
              <w:t>Tjeles</w:t>
            </w:r>
            <w:r w:rsidR="00294A3B" w:rsidRPr="00F24057">
              <w:rPr>
                <w:b/>
                <w:bCs/>
                <w:szCs w:val="22"/>
                <w:lang w:val="sr-Latn-ME"/>
              </w:rPr>
              <w:t>na masa pacijenta</w:t>
            </w:r>
          </w:p>
        </w:tc>
        <w:tc>
          <w:tcPr>
            <w:tcW w:w="3381" w:type="pct"/>
            <w:vAlign w:val="center"/>
          </w:tcPr>
          <w:p w14:paraId="15DCB2A0" w14:textId="3B8AC7EC" w:rsidR="00294A3B" w:rsidRPr="00F24057" w:rsidRDefault="00294A3B" w:rsidP="00D70B34">
            <w:pPr>
              <w:jc w:val="center"/>
              <w:rPr>
                <w:b/>
                <w:bCs/>
                <w:szCs w:val="22"/>
                <w:lang w:val="sr-Latn-ME"/>
              </w:rPr>
            </w:pPr>
            <w:r w:rsidRPr="00F24057">
              <w:rPr>
                <w:b/>
                <w:bCs/>
                <w:szCs w:val="22"/>
                <w:lang w:val="sr-Latn-ME"/>
              </w:rPr>
              <w:t>Indukciona doza</w:t>
            </w:r>
          </w:p>
        </w:tc>
        <w:tc>
          <w:tcPr>
            <w:tcW w:w="993" w:type="pct"/>
            <w:vAlign w:val="center"/>
          </w:tcPr>
          <w:p w14:paraId="4EBD71C0" w14:textId="5DB87F3E" w:rsidR="00294A3B" w:rsidRPr="00F24057" w:rsidRDefault="00294A3B" w:rsidP="00D70B34">
            <w:pPr>
              <w:jc w:val="center"/>
              <w:rPr>
                <w:b/>
                <w:bCs/>
                <w:szCs w:val="22"/>
                <w:lang w:val="sr-Latn-ME"/>
              </w:rPr>
            </w:pPr>
            <w:r w:rsidRPr="00F24057">
              <w:rPr>
                <w:b/>
                <w:bCs/>
                <w:szCs w:val="22"/>
                <w:lang w:val="sr-Latn-ME"/>
              </w:rPr>
              <w:t xml:space="preserve">Doza održavanja počevši od 4. </w:t>
            </w:r>
            <w:r w:rsidR="00885A78" w:rsidRPr="00F24057">
              <w:rPr>
                <w:b/>
                <w:bCs/>
                <w:szCs w:val="22"/>
                <w:lang w:val="sr-Latn-ME"/>
              </w:rPr>
              <w:t>nedjelj</w:t>
            </w:r>
            <w:r w:rsidRPr="00F24057">
              <w:rPr>
                <w:b/>
                <w:bCs/>
                <w:szCs w:val="22"/>
                <w:lang w:val="sr-Latn-ME"/>
              </w:rPr>
              <w:t>e</w:t>
            </w:r>
          </w:p>
        </w:tc>
      </w:tr>
      <w:tr w:rsidR="00294A3B" w:rsidRPr="00F24057" w14:paraId="27105CED" w14:textId="77777777" w:rsidTr="00CE7D7F">
        <w:trPr>
          <w:trHeight w:val="20"/>
        </w:trPr>
        <w:tc>
          <w:tcPr>
            <w:tcW w:w="626" w:type="pct"/>
            <w:vAlign w:val="center"/>
          </w:tcPr>
          <w:p w14:paraId="260F62A2" w14:textId="4D2B8389" w:rsidR="00294A3B" w:rsidRPr="00F24057" w:rsidRDefault="00613D17" w:rsidP="00D70B34">
            <w:pPr>
              <w:jc w:val="center"/>
              <w:rPr>
                <w:szCs w:val="22"/>
                <w:lang w:val="sr-Latn-ME"/>
              </w:rPr>
            </w:pPr>
            <w:r w:rsidRPr="00F24057">
              <w:rPr>
                <w:szCs w:val="22"/>
                <w:lang w:val="sr-Latn-ME"/>
              </w:rPr>
              <w:t>&lt; 40 kg</w:t>
            </w:r>
          </w:p>
        </w:tc>
        <w:tc>
          <w:tcPr>
            <w:tcW w:w="3381" w:type="pct"/>
            <w:vAlign w:val="center"/>
          </w:tcPr>
          <w:p w14:paraId="74062BAA" w14:textId="75D1265F" w:rsidR="00613D17" w:rsidRPr="00F24057" w:rsidRDefault="00613D17" w:rsidP="00D70B34">
            <w:pPr>
              <w:jc w:val="left"/>
              <w:rPr>
                <w:szCs w:val="22"/>
                <w:lang w:val="sr-Latn-ME"/>
              </w:rPr>
            </w:pPr>
            <w:r w:rsidRPr="00F24057">
              <w:rPr>
                <w:szCs w:val="22"/>
                <w:lang w:val="sr-Latn-ME"/>
              </w:rPr>
              <w:sym w:font="Symbol" w:char="F0B7"/>
            </w:r>
            <w:r w:rsidRPr="00F24057">
              <w:rPr>
                <w:szCs w:val="22"/>
                <w:lang w:val="sr-Latn-ME"/>
              </w:rPr>
              <w:t xml:space="preserve"> 40 mg u </w:t>
            </w:r>
            <w:r w:rsidR="004847D8" w:rsidRPr="00F24057">
              <w:rPr>
                <w:szCs w:val="22"/>
                <w:lang w:val="sr-Latn-ME"/>
              </w:rPr>
              <w:t>po</w:t>
            </w:r>
            <w:r w:rsidR="006D0599" w:rsidRPr="00F24057">
              <w:rPr>
                <w:szCs w:val="22"/>
                <w:lang w:val="sr-Latn-ME"/>
              </w:rPr>
              <w:t>č</w:t>
            </w:r>
            <w:r w:rsidR="004847D8" w:rsidRPr="00F24057">
              <w:rPr>
                <w:szCs w:val="22"/>
                <w:lang w:val="sr-Latn-ME"/>
              </w:rPr>
              <w:t>etnoj</w:t>
            </w:r>
            <w:r w:rsidRPr="00F24057">
              <w:rPr>
                <w:szCs w:val="22"/>
                <w:lang w:val="sr-Latn-ME"/>
              </w:rPr>
              <w:t xml:space="preserve"> </w:t>
            </w:r>
            <w:r w:rsidR="00885A78" w:rsidRPr="00F24057">
              <w:rPr>
                <w:szCs w:val="22"/>
                <w:lang w:val="sr-Latn-ME"/>
              </w:rPr>
              <w:t>nedjelj</w:t>
            </w:r>
            <w:r w:rsidRPr="00F24057">
              <w:rPr>
                <w:szCs w:val="22"/>
                <w:lang w:val="sr-Latn-ME"/>
              </w:rPr>
              <w:t>i</w:t>
            </w:r>
            <w:r w:rsidR="004847D8" w:rsidRPr="00F24057">
              <w:rPr>
                <w:szCs w:val="22"/>
                <w:lang w:val="sr-Latn-ME"/>
              </w:rPr>
              <w:t xml:space="preserve"> (označena kao nulta </w:t>
            </w:r>
            <w:r w:rsidR="00885A78" w:rsidRPr="00F24057">
              <w:rPr>
                <w:szCs w:val="22"/>
                <w:lang w:val="sr-Latn-ME"/>
              </w:rPr>
              <w:t>nedjelj</w:t>
            </w:r>
            <w:r w:rsidR="004847D8" w:rsidRPr="00F24057">
              <w:rPr>
                <w:szCs w:val="22"/>
                <w:lang w:val="sr-Latn-ME"/>
              </w:rPr>
              <w:t xml:space="preserve">a, </w:t>
            </w:r>
            <w:r w:rsidR="00080447" w:rsidRPr="00F24057">
              <w:rPr>
                <w:i/>
                <w:iCs/>
                <w:szCs w:val="22"/>
                <w:lang w:val="sr-Latn-ME"/>
              </w:rPr>
              <w:t>Week 0</w:t>
            </w:r>
            <w:r w:rsidR="004847D8" w:rsidRPr="00F24057">
              <w:rPr>
                <w:szCs w:val="22"/>
                <w:lang w:val="sr-Latn-ME"/>
              </w:rPr>
              <w:t>)</w:t>
            </w:r>
            <w:r w:rsidRPr="00F24057">
              <w:rPr>
                <w:szCs w:val="22"/>
                <w:lang w:val="sr-Latn-ME"/>
              </w:rPr>
              <w:t xml:space="preserve"> </w:t>
            </w:r>
            <w:r w:rsidR="004847D8" w:rsidRPr="00F24057">
              <w:rPr>
                <w:szCs w:val="22"/>
                <w:lang w:val="sr-Latn-ME"/>
              </w:rPr>
              <w:t>praćena dozom od</w:t>
            </w:r>
            <w:r w:rsidRPr="00F24057">
              <w:rPr>
                <w:szCs w:val="22"/>
                <w:lang w:val="sr-Latn-ME"/>
              </w:rPr>
              <w:t xml:space="preserve"> 20 mg </w:t>
            </w:r>
            <w:r w:rsidR="004847D8" w:rsidRPr="00F24057">
              <w:rPr>
                <w:szCs w:val="22"/>
                <w:lang w:val="sr-Latn-ME"/>
              </w:rPr>
              <w:t xml:space="preserve">nakon </w:t>
            </w:r>
            <w:r w:rsidR="009A3407" w:rsidRPr="00F24057">
              <w:rPr>
                <w:szCs w:val="22"/>
                <w:lang w:val="sr-Latn-ME"/>
              </w:rPr>
              <w:t xml:space="preserve">dvije </w:t>
            </w:r>
            <w:r w:rsidR="00885A78" w:rsidRPr="00F24057">
              <w:rPr>
                <w:szCs w:val="22"/>
                <w:lang w:val="sr-Latn-ME"/>
              </w:rPr>
              <w:t>nedjelj</w:t>
            </w:r>
            <w:r w:rsidR="004847D8" w:rsidRPr="00F24057">
              <w:rPr>
                <w:szCs w:val="22"/>
                <w:lang w:val="sr-Latn-ME"/>
              </w:rPr>
              <w:t>e</w:t>
            </w:r>
            <w:r w:rsidR="00E92844" w:rsidRPr="00F24057">
              <w:rPr>
                <w:szCs w:val="22"/>
                <w:lang w:val="sr-Latn-ME"/>
              </w:rPr>
              <w:t>*</w:t>
            </w:r>
          </w:p>
          <w:p w14:paraId="68E3B0AF" w14:textId="77777777" w:rsidR="00613D17" w:rsidRPr="00F24057" w:rsidRDefault="00613D17" w:rsidP="00D70B34">
            <w:pPr>
              <w:jc w:val="left"/>
              <w:rPr>
                <w:szCs w:val="22"/>
                <w:lang w:val="sr-Latn-ME"/>
              </w:rPr>
            </w:pPr>
          </w:p>
          <w:p w14:paraId="28F4F45C" w14:textId="1875B0CB" w:rsidR="00613D17" w:rsidRPr="00F24057" w:rsidRDefault="00613D17" w:rsidP="00D70B34">
            <w:pPr>
              <w:jc w:val="left"/>
              <w:rPr>
                <w:szCs w:val="22"/>
                <w:lang w:val="sr-Latn-ME"/>
              </w:rPr>
            </w:pPr>
            <w:r w:rsidRPr="00F24057">
              <w:rPr>
                <w:szCs w:val="22"/>
                <w:lang w:val="sr-Latn-ME"/>
              </w:rPr>
              <w:t xml:space="preserve">U slučaju kada je potreban brži odgovor na </w:t>
            </w:r>
            <w:r w:rsidR="00435FFF" w:rsidRPr="00F24057">
              <w:rPr>
                <w:szCs w:val="22"/>
                <w:lang w:val="sr-Latn-ME"/>
              </w:rPr>
              <w:t>terapiju</w:t>
            </w:r>
            <w:r w:rsidRPr="00F24057">
              <w:rPr>
                <w:szCs w:val="22"/>
                <w:lang w:val="sr-Latn-ME"/>
              </w:rPr>
              <w:t xml:space="preserve">, imajući </w:t>
            </w:r>
            <w:r w:rsidR="00435FFF" w:rsidRPr="00F24057">
              <w:rPr>
                <w:szCs w:val="22"/>
                <w:lang w:val="sr-Latn-ME"/>
              </w:rPr>
              <w:t>u vidu</w:t>
            </w:r>
            <w:r w:rsidRPr="00F24057">
              <w:rPr>
                <w:szCs w:val="22"/>
                <w:lang w:val="sr-Latn-ME"/>
              </w:rPr>
              <w:t xml:space="preserve"> da rizik od neželjenih dejstava može biti veći kod </w:t>
            </w:r>
            <w:r w:rsidR="0030064A" w:rsidRPr="00F24057">
              <w:rPr>
                <w:szCs w:val="22"/>
                <w:lang w:val="sr-Latn-ME"/>
              </w:rPr>
              <w:t>primjen</w:t>
            </w:r>
            <w:r w:rsidRPr="00F24057">
              <w:rPr>
                <w:szCs w:val="22"/>
                <w:lang w:val="sr-Latn-ME"/>
              </w:rPr>
              <w:t>e v</w:t>
            </w:r>
            <w:r w:rsidR="00435FFF" w:rsidRPr="00F24057">
              <w:rPr>
                <w:szCs w:val="22"/>
                <w:lang w:val="sr-Latn-ME"/>
              </w:rPr>
              <w:t>eć</w:t>
            </w:r>
            <w:r w:rsidRPr="00F24057">
              <w:rPr>
                <w:szCs w:val="22"/>
                <w:lang w:val="sr-Latn-ME"/>
              </w:rPr>
              <w:t xml:space="preserve">e indukcione doze, može se </w:t>
            </w:r>
            <w:r w:rsidR="009811CA" w:rsidRPr="00F24057">
              <w:rPr>
                <w:szCs w:val="22"/>
                <w:lang w:val="sr-Latn-ME"/>
              </w:rPr>
              <w:t>primijeniti</w:t>
            </w:r>
            <w:r w:rsidRPr="00F24057">
              <w:rPr>
                <w:szCs w:val="22"/>
                <w:lang w:val="sr-Latn-ME"/>
              </w:rPr>
              <w:t xml:space="preserve"> </w:t>
            </w:r>
            <w:r w:rsidR="009811CA" w:rsidRPr="00F24057">
              <w:rPr>
                <w:szCs w:val="22"/>
                <w:lang w:val="sr-Latn-ME"/>
              </w:rPr>
              <w:t>sljedeć</w:t>
            </w:r>
            <w:r w:rsidRPr="00F24057">
              <w:rPr>
                <w:szCs w:val="22"/>
                <w:lang w:val="sr-Latn-ME"/>
              </w:rPr>
              <w:t>a doza:</w:t>
            </w:r>
          </w:p>
          <w:p w14:paraId="37479860" w14:textId="40F81A4C" w:rsidR="00294A3B" w:rsidRPr="00F24057" w:rsidRDefault="00613D17" w:rsidP="00D70B34">
            <w:pPr>
              <w:jc w:val="left"/>
              <w:rPr>
                <w:szCs w:val="22"/>
                <w:lang w:val="sr-Latn-ME"/>
              </w:rPr>
            </w:pPr>
            <w:r w:rsidRPr="00F24057">
              <w:rPr>
                <w:szCs w:val="22"/>
                <w:lang w:val="sr-Latn-ME"/>
              </w:rPr>
              <w:sym w:font="Symbol" w:char="F0B7"/>
            </w:r>
            <w:r w:rsidRPr="00F24057">
              <w:rPr>
                <w:szCs w:val="22"/>
                <w:lang w:val="sr-Latn-ME"/>
              </w:rPr>
              <w:t xml:space="preserve"> 80 mg </w:t>
            </w:r>
            <w:r w:rsidR="00435FFF" w:rsidRPr="00F24057">
              <w:rPr>
                <w:szCs w:val="22"/>
                <w:lang w:val="sr-Latn-ME"/>
              </w:rPr>
              <w:t xml:space="preserve">u početnoj </w:t>
            </w:r>
            <w:r w:rsidR="00885A78" w:rsidRPr="00F24057">
              <w:rPr>
                <w:szCs w:val="22"/>
                <w:lang w:val="sr-Latn-ME"/>
              </w:rPr>
              <w:t>nedjelj</w:t>
            </w:r>
            <w:r w:rsidR="00435FFF" w:rsidRPr="00F24057">
              <w:rPr>
                <w:szCs w:val="22"/>
                <w:lang w:val="sr-Latn-ME"/>
              </w:rPr>
              <w:t xml:space="preserve">i </w:t>
            </w:r>
            <w:r w:rsidR="00A745A1" w:rsidRPr="00F24057">
              <w:rPr>
                <w:szCs w:val="22"/>
                <w:lang w:val="sr-Latn-ME"/>
              </w:rPr>
              <w:t xml:space="preserve">praćena dozom od 40 mg nakon </w:t>
            </w:r>
            <w:r w:rsidR="009A3407" w:rsidRPr="00F24057">
              <w:rPr>
                <w:szCs w:val="22"/>
                <w:lang w:val="sr-Latn-ME"/>
              </w:rPr>
              <w:t xml:space="preserve">dvije </w:t>
            </w:r>
            <w:r w:rsidR="00885A78" w:rsidRPr="00F24057">
              <w:rPr>
                <w:szCs w:val="22"/>
                <w:lang w:val="sr-Latn-ME"/>
              </w:rPr>
              <w:t>nedjelj</w:t>
            </w:r>
            <w:r w:rsidR="00A745A1" w:rsidRPr="00F24057">
              <w:rPr>
                <w:szCs w:val="22"/>
                <w:lang w:val="sr-Latn-ME"/>
              </w:rPr>
              <w:t>e</w:t>
            </w:r>
          </w:p>
        </w:tc>
        <w:tc>
          <w:tcPr>
            <w:tcW w:w="993" w:type="pct"/>
            <w:vAlign w:val="center"/>
          </w:tcPr>
          <w:p w14:paraId="50AD6534" w14:textId="68BA21CF" w:rsidR="00294A3B" w:rsidRPr="00F24057" w:rsidRDefault="00570A68" w:rsidP="00D70B34">
            <w:pPr>
              <w:jc w:val="center"/>
              <w:rPr>
                <w:szCs w:val="22"/>
                <w:lang w:val="sr-Latn-ME"/>
              </w:rPr>
            </w:pPr>
            <w:r w:rsidRPr="00F24057">
              <w:rPr>
                <w:szCs w:val="22"/>
                <w:lang w:val="sr-Latn-ME"/>
              </w:rPr>
              <w:t>-</w:t>
            </w:r>
          </w:p>
        </w:tc>
      </w:tr>
      <w:tr w:rsidR="00294A3B" w:rsidRPr="00F24057" w14:paraId="30594CCA" w14:textId="77777777" w:rsidTr="00CE7D7F">
        <w:trPr>
          <w:trHeight w:val="20"/>
        </w:trPr>
        <w:tc>
          <w:tcPr>
            <w:tcW w:w="626" w:type="pct"/>
            <w:vAlign w:val="center"/>
          </w:tcPr>
          <w:p w14:paraId="39C9AC31" w14:textId="5751EA7A" w:rsidR="00294A3B" w:rsidRPr="00F24057" w:rsidRDefault="00613D17" w:rsidP="00D70B34">
            <w:pPr>
              <w:jc w:val="center"/>
              <w:rPr>
                <w:szCs w:val="22"/>
                <w:lang w:val="sr-Latn-ME"/>
              </w:rPr>
            </w:pPr>
            <w:r w:rsidRPr="00F24057">
              <w:rPr>
                <w:szCs w:val="22"/>
                <w:lang w:val="sr-Latn-ME"/>
              </w:rPr>
              <w:t>≥ 40 kg</w:t>
            </w:r>
          </w:p>
        </w:tc>
        <w:tc>
          <w:tcPr>
            <w:tcW w:w="3381" w:type="pct"/>
            <w:vAlign w:val="center"/>
          </w:tcPr>
          <w:p w14:paraId="6A0B2FB8" w14:textId="1FA82413" w:rsidR="00613D17" w:rsidRPr="00F24057" w:rsidRDefault="00613D17" w:rsidP="00D70B34">
            <w:pPr>
              <w:jc w:val="left"/>
              <w:rPr>
                <w:szCs w:val="22"/>
                <w:lang w:val="sr-Latn-ME"/>
              </w:rPr>
            </w:pPr>
            <w:r w:rsidRPr="00F24057">
              <w:rPr>
                <w:szCs w:val="22"/>
                <w:lang w:val="sr-Latn-ME"/>
              </w:rPr>
              <w:sym w:font="Symbol" w:char="F0B7"/>
            </w:r>
            <w:r w:rsidRPr="00F24057">
              <w:rPr>
                <w:szCs w:val="22"/>
                <w:lang w:val="sr-Latn-ME"/>
              </w:rPr>
              <w:t xml:space="preserve"> 80 mg </w:t>
            </w:r>
            <w:r w:rsidR="006D0599" w:rsidRPr="00F24057">
              <w:rPr>
                <w:szCs w:val="22"/>
                <w:lang w:val="sr-Latn-ME"/>
              </w:rPr>
              <w:t xml:space="preserve">u početnoj </w:t>
            </w:r>
            <w:r w:rsidR="00885A78" w:rsidRPr="00F24057">
              <w:rPr>
                <w:szCs w:val="22"/>
                <w:lang w:val="sr-Latn-ME"/>
              </w:rPr>
              <w:t>nedjelj</w:t>
            </w:r>
            <w:r w:rsidR="006D0599" w:rsidRPr="00F24057">
              <w:rPr>
                <w:szCs w:val="22"/>
                <w:lang w:val="sr-Latn-ME"/>
              </w:rPr>
              <w:t xml:space="preserve">i (označena kao nulta </w:t>
            </w:r>
            <w:r w:rsidR="00885A78" w:rsidRPr="00F24057">
              <w:rPr>
                <w:szCs w:val="22"/>
                <w:lang w:val="sr-Latn-ME"/>
              </w:rPr>
              <w:t>nedjelj</w:t>
            </w:r>
            <w:r w:rsidR="006D0599" w:rsidRPr="00F24057">
              <w:rPr>
                <w:szCs w:val="22"/>
                <w:lang w:val="sr-Latn-ME"/>
              </w:rPr>
              <w:t xml:space="preserve">a, </w:t>
            </w:r>
            <w:r w:rsidR="00080447" w:rsidRPr="00F24057">
              <w:rPr>
                <w:i/>
                <w:iCs/>
                <w:szCs w:val="22"/>
                <w:lang w:val="sr-Latn-ME"/>
              </w:rPr>
              <w:t>Week 0</w:t>
            </w:r>
            <w:r w:rsidR="006D0599" w:rsidRPr="00F24057">
              <w:rPr>
                <w:szCs w:val="22"/>
                <w:lang w:val="sr-Latn-ME"/>
              </w:rPr>
              <w:t xml:space="preserve">) praćena dozom od 40 mg nakon </w:t>
            </w:r>
            <w:r w:rsidR="009A3407" w:rsidRPr="00F24057">
              <w:rPr>
                <w:szCs w:val="22"/>
                <w:lang w:val="sr-Latn-ME"/>
              </w:rPr>
              <w:t xml:space="preserve">dvije </w:t>
            </w:r>
            <w:r w:rsidR="00885A78" w:rsidRPr="00F24057">
              <w:rPr>
                <w:szCs w:val="22"/>
                <w:lang w:val="sr-Latn-ME"/>
              </w:rPr>
              <w:t>nedjelj</w:t>
            </w:r>
            <w:r w:rsidR="006D0599" w:rsidRPr="00F24057">
              <w:rPr>
                <w:szCs w:val="22"/>
                <w:lang w:val="sr-Latn-ME"/>
              </w:rPr>
              <w:t>e</w:t>
            </w:r>
          </w:p>
          <w:p w14:paraId="0F16E5B7" w14:textId="77777777" w:rsidR="00613D17" w:rsidRPr="00F24057" w:rsidRDefault="00613D17" w:rsidP="00D70B34">
            <w:pPr>
              <w:jc w:val="left"/>
              <w:rPr>
                <w:szCs w:val="22"/>
                <w:lang w:val="sr-Latn-ME"/>
              </w:rPr>
            </w:pPr>
          </w:p>
          <w:p w14:paraId="07D41F68" w14:textId="05312E1D" w:rsidR="00613D17" w:rsidRPr="00F24057" w:rsidRDefault="00613D17" w:rsidP="00D70B34">
            <w:pPr>
              <w:jc w:val="left"/>
              <w:rPr>
                <w:szCs w:val="22"/>
                <w:lang w:val="sr-Latn-ME"/>
              </w:rPr>
            </w:pPr>
            <w:r w:rsidRPr="00F24057">
              <w:rPr>
                <w:szCs w:val="22"/>
                <w:lang w:val="sr-Latn-ME"/>
              </w:rPr>
              <w:t xml:space="preserve">U slučaju kada je potreban brži odgovor na </w:t>
            </w:r>
            <w:r w:rsidR="00A745A1" w:rsidRPr="00F24057">
              <w:rPr>
                <w:szCs w:val="22"/>
                <w:lang w:val="sr-Latn-ME"/>
              </w:rPr>
              <w:t xml:space="preserve">terapiju, imajući u vidu da </w:t>
            </w:r>
            <w:r w:rsidRPr="00F24057">
              <w:rPr>
                <w:szCs w:val="22"/>
                <w:lang w:val="sr-Latn-ME"/>
              </w:rPr>
              <w:t xml:space="preserve">rizik od neželjenih dejstava može biti veći kod </w:t>
            </w:r>
            <w:r w:rsidR="0030064A" w:rsidRPr="00F24057">
              <w:rPr>
                <w:szCs w:val="22"/>
                <w:lang w:val="sr-Latn-ME"/>
              </w:rPr>
              <w:t>primjen</w:t>
            </w:r>
            <w:r w:rsidRPr="00F24057">
              <w:rPr>
                <w:szCs w:val="22"/>
                <w:lang w:val="sr-Latn-ME"/>
              </w:rPr>
              <w:t>e v</w:t>
            </w:r>
            <w:r w:rsidR="00A745A1" w:rsidRPr="00F24057">
              <w:rPr>
                <w:szCs w:val="22"/>
                <w:lang w:val="sr-Latn-ME"/>
              </w:rPr>
              <w:t>eće</w:t>
            </w:r>
            <w:r w:rsidRPr="00F24057">
              <w:rPr>
                <w:szCs w:val="22"/>
                <w:lang w:val="sr-Latn-ME"/>
              </w:rPr>
              <w:t xml:space="preserve"> indukcione doze, može se </w:t>
            </w:r>
            <w:r w:rsidR="009811CA" w:rsidRPr="00F24057">
              <w:rPr>
                <w:szCs w:val="22"/>
                <w:lang w:val="sr-Latn-ME"/>
              </w:rPr>
              <w:t>primijeniti</w:t>
            </w:r>
            <w:r w:rsidRPr="00F24057">
              <w:rPr>
                <w:szCs w:val="22"/>
                <w:lang w:val="sr-Latn-ME"/>
              </w:rPr>
              <w:t xml:space="preserve"> </w:t>
            </w:r>
            <w:r w:rsidR="009811CA" w:rsidRPr="00F24057">
              <w:rPr>
                <w:szCs w:val="22"/>
                <w:lang w:val="sr-Latn-ME"/>
              </w:rPr>
              <w:t>sljedeć</w:t>
            </w:r>
            <w:r w:rsidRPr="00F24057">
              <w:rPr>
                <w:szCs w:val="22"/>
                <w:lang w:val="sr-Latn-ME"/>
              </w:rPr>
              <w:t>a doza:</w:t>
            </w:r>
          </w:p>
          <w:p w14:paraId="08DFA135" w14:textId="181BBB2C" w:rsidR="00294A3B" w:rsidRPr="00F24057" w:rsidRDefault="00613D17" w:rsidP="00D70B34">
            <w:pPr>
              <w:jc w:val="left"/>
              <w:rPr>
                <w:szCs w:val="22"/>
                <w:lang w:val="sr-Latn-ME"/>
              </w:rPr>
            </w:pPr>
            <w:r w:rsidRPr="00F24057">
              <w:rPr>
                <w:szCs w:val="22"/>
                <w:lang w:val="sr-Latn-ME"/>
              </w:rPr>
              <w:sym w:font="Symbol" w:char="F0B7"/>
            </w:r>
            <w:r w:rsidRPr="00F24057">
              <w:rPr>
                <w:szCs w:val="22"/>
                <w:lang w:val="sr-Latn-ME"/>
              </w:rPr>
              <w:t xml:space="preserve"> 160 mg </w:t>
            </w:r>
            <w:r w:rsidR="000A12A8" w:rsidRPr="00F24057">
              <w:rPr>
                <w:szCs w:val="22"/>
                <w:lang w:val="sr-Latn-ME"/>
              </w:rPr>
              <w:t xml:space="preserve">u početnoj </w:t>
            </w:r>
            <w:r w:rsidR="00885A78" w:rsidRPr="00F24057">
              <w:rPr>
                <w:szCs w:val="22"/>
                <w:lang w:val="sr-Latn-ME"/>
              </w:rPr>
              <w:t>nedjelj</w:t>
            </w:r>
            <w:r w:rsidR="000A12A8" w:rsidRPr="00F24057">
              <w:rPr>
                <w:szCs w:val="22"/>
                <w:lang w:val="sr-Latn-ME"/>
              </w:rPr>
              <w:t xml:space="preserve">i (označena kao nulta </w:t>
            </w:r>
            <w:r w:rsidR="00885A78" w:rsidRPr="00F24057">
              <w:rPr>
                <w:szCs w:val="22"/>
                <w:lang w:val="sr-Latn-ME"/>
              </w:rPr>
              <w:t>nedjelj</w:t>
            </w:r>
            <w:r w:rsidR="000A12A8" w:rsidRPr="00F24057">
              <w:rPr>
                <w:szCs w:val="22"/>
                <w:lang w:val="sr-Latn-ME"/>
              </w:rPr>
              <w:t xml:space="preserve">a, </w:t>
            </w:r>
            <w:r w:rsidR="00080447" w:rsidRPr="00F24057">
              <w:rPr>
                <w:i/>
                <w:iCs/>
                <w:szCs w:val="22"/>
                <w:lang w:val="sr-Latn-ME"/>
              </w:rPr>
              <w:t>Week 0</w:t>
            </w:r>
            <w:r w:rsidR="000A12A8" w:rsidRPr="00F24057">
              <w:rPr>
                <w:szCs w:val="22"/>
                <w:lang w:val="sr-Latn-ME"/>
              </w:rPr>
              <w:t xml:space="preserve">) praćena dozom od 80 mg nakon </w:t>
            </w:r>
            <w:r w:rsidR="009A3407" w:rsidRPr="00F24057">
              <w:rPr>
                <w:szCs w:val="22"/>
                <w:lang w:val="sr-Latn-ME"/>
              </w:rPr>
              <w:t xml:space="preserve">dvije </w:t>
            </w:r>
            <w:r w:rsidR="00885A78" w:rsidRPr="00F24057">
              <w:rPr>
                <w:szCs w:val="22"/>
                <w:lang w:val="sr-Latn-ME"/>
              </w:rPr>
              <w:t>nedjelj</w:t>
            </w:r>
            <w:r w:rsidR="000A12A8" w:rsidRPr="00F24057">
              <w:rPr>
                <w:szCs w:val="22"/>
                <w:lang w:val="sr-Latn-ME"/>
              </w:rPr>
              <w:t>e</w:t>
            </w:r>
          </w:p>
        </w:tc>
        <w:tc>
          <w:tcPr>
            <w:tcW w:w="993" w:type="pct"/>
            <w:vAlign w:val="center"/>
          </w:tcPr>
          <w:p w14:paraId="063813B9" w14:textId="73FAA6A3" w:rsidR="00294A3B" w:rsidRPr="00F24057" w:rsidRDefault="00570A68" w:rsidP="00D70B34">
            <w:pPr>
              <w:jc w:val="center"/>
              <w:rPr>
                <w:szCs w:val="22"/>
                <w:lang w:val="sr-Latn-ME"/>
              </w:rPr>
            </w:pPr>
            <w:r w:rsidRPr="00F24057">
              <w:rPr>
                <w:szCs w:val="22"/>
                <w:lang w:val="sr-Latn-ME"/>
              </w:rPr>
              <w:t xml:space="preserve">40 mg svake druge </w:t>
            </w:r>
            <w:r w:rsidR="00885A78" w:rsidRPr="00F24057">
              <w:rPr>
                <w:szCs w:val="22"/>
                <w:lang w:val="sr-Latn-ME"/>
              </w:rPr>
              <w:t>nedjelj</w:t>
            </w:r>
            <w:r w:rsidRPr="00F24057">
              <w:rPr>
                <w:szCs w:val="22"/>
                <w:lang w:val="sr-Latn-ME"/>
              </w:rPr>
              <w:t>e</w:t>
            </w:r>
          </w:p>
        </w:tc>
      </w:tr>
    </w:tbl>
    <w:p w14:paraId="569EF1E3" w14:textId="51035A8E" w:rsidR="00313B3D" w:rsidRPr="00F24057" w:rsidRDefault="00313B3D" w:rsidP="00D70B34">
      <w:pPr>
        <w:rPr>
          <w:i/>
          <w:iCs/>
          <w:szCs w:val="22"/>
          <w:lang w:val="sr-Latn-ME"/>
        </w:rPr>
      </w:pPr>
      <w:r w:rsidRPr="00F24057">
        <w:rPr>
          <w:i/>
          <w:iCs/>
          <w:szCs w:val="22"/>
          <w:lang w:val="sr-Latn-ME"/>
        </w:rPr>
        <w:t xml:space="preserve">*Napomena: </w:t>
      </w:r>
      <w:r w:rsidR="0030064A" w:rsidRPr="00F24057">
        <w:rPr>
          <w:i/>
          <w:iCs/>
          <w:szCs w:val="22"/>
          <w:lang w:val="sr-Latn-ME"/>
        </w:rPr>
        <w:t xml:space="preserve">Lijek </w:t>
      </w:r>
      <w:r w:rsidR="000F6669" w:rsidRPr="00F24057">
        <w:rPr>
          <w:i/>
          <w:iCs/>
          <w:szCs w:val="22"/>
          <w:lang w:val="sr-Latn-ME"/>
        </w:rPr>
        <w:t>Hukyndra</w:t>
      </w:r>
      <w:r w:rsidRPr="00F24057">
        <w:rPr>
          <w:i/>
          <w:iCs/>
          <w:szCs w:val="22"/>
          <w:lang w:val="sr-Latn-ME"/>
        </w:rPr>
        <w:t xml:space="preserve"> je trenutno dostupan samo kao napunjen injekcioni špric od 40 mg, napunjen injekcioni pen od 40 mg i kao napunjen injekcioni špric od 80 mg.</w:t>
      </w:r>
      <w:r w:rsidR="001C5232" w:rsidRPr="00F24057">
        <w:rPr>
          <w:i/>
          <w:iCs/>
          <w:szCs w:val="22"/>
          <w:lang w:val="sr-Latn-ME"/>
        </w:rPr>
        <w:t xml:space="preserve"> Stoga, nije </w:t>
      </w:r>
      <w:r w:rsidR="00360BDC" w:rsidRPr="00F24057">
        <w:rPr>
          <w:i/>
          <w:iCs/>
          <w:szCs w:val="22"/>
          <w:lang w:val="sr-Latn-ME"/>
        </w:rPr>
        <w:t>moguće</w:t>
      </w:r>
      <w:r w:rsidR="001C5232" w:rsidRPr="00F24057">
        <w:rPr>
          <w:i/>
          <w:iCs/>
          <w:szCs w:val="22"/>
          <w:lang w:val="sr-Latn-ME"/>
        </w:rPr>
        <w:t xml:space="preserve"> </w:t>
      </w:r>
      <w:r w:rsidR="009811CA" w:rsidRPr="00F24057">
        <w:rPr>
          <w:i/>
          <w:iCs/>
          <w:szCs w:val="22"/>
          <w:lang w:val="sr-Latn-ME"/>
        </w:rPr>
        <w:t>primijeniti</w:t>
      </w:r>
      <w:r w:rsidR="001C5232" w:rsidRPr="00F24057">
        <w:rPr>
          <w:i/>
          <w:iCs/>
          <w:szCs w:val="22"/>
          <w:lang w:val="sr-Latn-ME"/>
        </w:rPr>
        <w:t xml:space="preserve"> </w:t>
      </w:r>
      <w:r w:rsidR="0030064A" w:rsidRPr="00F24057">
        <w:rPr>
          <w:i/>
          <w:iCs/>
          <w:szCs w:val="22"/>
          <w:lang w:val="sr-Latn-ME"/>
        </w:rPr>
        <w:t xml:space="preserve">lijek </w:t>
      </w:r>
      <w:r w:rsidR="001C5232" w:rsidRPr="00F24057">
        <w:rPr>
          <w:i/>
          <w:iCs/>
          <w:szCs w:val="22"/>
          <w:lang w:val="sr-Latn-ME"/>
        </w:rPr>
        <w:t>H</w:t>
      </w:r>
      <w:r w:rsidR="007A6914" w:rsidRPr="00F24057">
        <w:rPr>
          <w:i/>
          <w:iCs/>
          <w:szCs w:val="22"/>
          <w:lang w:val="sr-Latn-ME"/>
        </w:rPr>
        <w:t>ukyndra</w:t>
      </w:r>
      <w:r w:rsidR="001C5232" w:rsidRPr="00F24057">
        <w:rPr>
          <w:i/>
          <w:iCs/>
          <w:szCs w:val="22"/>
          <w:lang w:val="sr-Latn-ME"/>
        </w:rPr>
        <w:t xml:space="preserve"> pacijentima kojima je potrebna manja od pune doze od 40 mg.</w:t>
      </w:r>
    </w:p>
    <w:p w14:paraId="1DBC539E" w14:textId="77777777" w:rsidR="00313B3D" w:rsidRPr="00F24057" w:rsidRDefault="00313B3D" w:rsidP="00D70B34">
      <w:pPr>
        <w:rPr>
          <w:szCs w:val="22"/>
          <w:lang w:val="sr-Latn-ME"/>
        </w:rPr>
      </w:pPr>
    </w:p>
    <w:p w14:paraId="2E6A3B4C" w14:textId="5D7C6CFE" w:rsidR="00313B3D" w:rsidRPr="00F24057" w:rsidRDefault="00313B3D" w:rsidP="00D70B34">
      <w:pPr>
        <w:rPr>
          <w:szCs w:val="22"/>
          <w:lang w:val="sr-Latn-ME"/>
        </w:rPr>
      </w:pPr>
      <w:r w:rsidRPr="00F24057">
        <w:rPr>
          <w:szCs w:val="22"/>
          <w:lang w:val="sr-Latn-ME"/>
        </w:rPr>
        <w:t xml:space="preserve">Pacijenti kod kojih </w:t>
      </w:r>
      <w:r w:rsidR="00360BDC" w:rsidRPr="00F24057">
        <w:rPr>
          <w:szCs w:val="22"/>
          <w:lang w:val="sr-Latn-ME"/>
        </w:rPr>
        <w:t>nij</w:t>
      </w:r>
      <w:r w:rsidRPr="00F24057">
        <w:rPr>
          <w:szCs w:val="22"/>
          <w:lang w:val="sr-Latn-ME"/>
        </w:rPr>
        <w:t>e postign</w:t>
      </w:r>
      <w:r w:rsidR="00360BDC" w:rsidRPr="00F24057">
        <w:rPr>
          <w:szCs w:val="22"/>
          <w:lang w:val="sr-Latn-ME"/>
        </w:rPr>
        <w:t>ut</w:t>
      </w:r>
      <w:r w:rsidRPr="00F24057">
        <w:rPr>
          <w:szCs w:val="22"/>
          <w:lang w:val="sr-Latn-ME"/>
        </w:rPr>
        <w:t xml:space="preserve"> zadovoljavajući odgovor mog</w:t>
      </w:r>
      <w:r w:rsidR="00360BDC" w:rsidRPr="00F24057">
        <w:rPr>
          <w:szCs w:val="22"/>
          <w:lang w:val="sr-Latn-ME"/>
        </w:rPr>
        <w:t>u</w:t>
      </w:r>
      <w:r w:rsidRPr="00F24057">
        <w:rPr>
          <w:szCs w:val="22"/>
          <w:lang w:val="sr-Latn-ME"/>
        </w:rPr>
        <w:t xml:space="preserve"> da imaju korist od povećanja doz</w:t>
      </w:r>
      <w:r w:rsidR="00360BDC" w:rsidRPr="00F24057">
        <w:rPr>
          <w:szCs w:val="22"/>
          <w:lang w:val="sr-Latn-ME"/>
        </w:rPr>
        <w:t>e</w:t>
      </w:r>
      <w:r w:rsidR="00525F12" w:rsidRPr="00F24057">
        <w:rPr>
          <w:szCs w:val="22"/>
          <w:lang w:val="sr-Latn-ME"/>
        </w:rPr>
        <w:t>:</w:t>
      </w:r>
    </w:p>
    <w:p w14:paraId="6C905060" w14:textId="78D3F0EE" w:rsidR="00313B3D" w:rsidRPr="00F24057" w:rsidRDefault="007677A0" w:rsidP="00D70B34">
      <w:pPr>
        <w:rPr>
          <w:szCs w:val="22"/>
          <w:lang w:val="sr-Latn-ME"/>
        </w:rPr>
      </w:pPr>
      <w:r w:rsidRPr="00F24057">
        <w:rPr>
          <w:szCs w:val="22"/>
          <w:lang w:val="sr-Latn-ME"/>
        </w:rPr>
        <w:sym w:font="Symbol" w:char="F0B7"/>
      </w:r>
      <w:r w:rsidR="003E5C78" w:rsidRPr="00F24057">
        <w:rPr>
          <w:szCs w:val="22"/>
          <w:lang w:val="sr-Latn-ME"/>
        </w:rPr>
        <w:t xml:space="preserve"> </w:t>
      </w:r>
      <w:r w:rsidRPr="00F24057">
        <w:rPr>
          <w:szCs w:val="22"/>
          <w:lang w:val="sr-Latn-ME"/>
        </w:rPr>
        <w:t xml:space="preserve">&lt; 40 kg: 20 mg svake </w:t>
      </w:r>
      <w:r w:rsidR="00885A78" w:rsidRPr="00F24057">
        <w:rPr>
          <w:szCs w:val="22"/>
          <w:lang w:val="sr-Latn-ME"/>
        </w:rPr>
        <w:t>nedjelj</w:t>
      </w:r>
      <w:r w:rsidRPr="00F24057">
        <w:rPr>
          <w:szCs w:val="22"/>
          <w:lang w:val="sr-Latn-ME"/>
        </w:rPr>
        <w:t xml:space="preserve">e </w:t>
      </w:r>
    </w:p>
    <w:p w14:paraId="792E24CF" w14:textId="3C3808D7" w:rsidR="00313B3D" w:rsidRPr="00F24057" w:rsidRDefault="00313B3D" w:rsidP="00D70B34">
      <w:pPr>
        <w:rPr>
          <w:szCs w:val="22"/>
          <w:lang w:val="sr-Latn-ME"/>
        </w:rPr>
      </w:pPr>
      <w:r w:rsidRPr="00F24057">
        <w:rPr>
          <w:szCs w:val="22"/>
          <w:lang w:val="sr-Latn-ME"/>
        </w:rPr>
        <w:sym w:font="Symbol" w:char="F0B7"/>
      </w:r>
      <w:r w:rsidR="003E5C78" w:rsidRPr="00F24057">
        <w:rPr>
          <w:szCs w:val="22"/>
          <w:lang w:val="sr-Latn-ME"/>
        </w:rPr>
        <w:t xml:space="preserve"> </w:t>
      </w:r>
      <w:r w:rsidRPr="00F24057">
        <w:rPr>
          <w:szCs w:val="22"/>
          <w:lang w:val="sr-Latn-ME"/>
        </w:rPr>
        <w:t xml:space="preserve">≥ 40 kg: 40 mg svake </w:t>
      </w:r>
      <w:r w:rsidR="00885A78" w:rsidRPr="00F24057">
        <w:rPr>
          <w:szCs w:val="22"/>
          <w:lang w:val="sr-Latn-ME"/>
        </w:rPr>
        <w:t>nedjelj</w:t>
      </w:r>
      <w:r w:rsidRPr="00F24057">
        <w:rPr>
          <w:szCs w:val="22"/>
          <w:lang w:val="sr-Latn-ME"/>
        </w:rPr>
        <w:t xml:space="preserve">e ili 80 mg svake druge </w:t>
      </w:r>
      <w:r w:rsidR="00885A78" w:rsidRPr="00F24057">
        <w:rPr>
          <w:szCs w:val="22"/>
          <w:lang w:val="sr-Latn-ME"/>
        </w:rPr>
        <w:t>nedjelj</w:t>
      </w:r>
      <w:r w:rsidRPr="00F24057">
        <w:rPr>
          <w:szCs w:val="22"/>
          <w:lang w:val="sr-Latn-ME"/>
        </w:rPr>
        <w:t xml:space="preserve">e </w:t>
      </w:r>
    </w:p>
    <w:p w14:paraId="162D4494" w14:textId="77777777" w:rsidR="00313B3D" w:rsidRPr="00F24057" w:rsidRDefault="00313B3D" w:rsidP="00D70B34">
      <w:pPr>
        <w:rPr>
          <w:szCs w:val="22"/>
          <w:lang w:val="sr-Latn-ME"/>
        </w:rPr>
      </w:pPr>
    </w:p>
    <w:p w14:paraId="382217F3" w14:textId="46C36431" w:rsidR="00313B3D" w:rsidRPr="00F24057" w:rsidRDefault="00313B3D" w:rsidP="00D70B34">
      <w:pPr>
        <w:rPr>
          <w:szCs w:val="22"/>
          <w:lang w:val="sr-Latn-ME"/>
        </w:rPr>
      </w:pPr>
      <w:r w:rsidRPr="00F24057">
        <w:rPr>
          <w:szCs w:val="22"/>
          <w:lang w:val="sr-Latn-ME"/>
        </w:rPr>
        <w:t>U</w:t>
      </w:r>
      <w:r w:rsidR="00360BDC" w:rsidRPr="00F24057">
        <w:rPr>
          <w:szCs w:val="22"/>
          <w:lang w:val="sr-Latn-ME"/>
        </w:rPr>
        <w:t>koliko pacijent ne postigne terapijski odgovor</w:t>
      </w:r>
      <w:r w:rsidRPr="00F24057">
        <w:rPr>
          <w:szCs w:val="22"/>
          <w:lang w:val="sr-Latn-ME"/>
        </w:rPr>
        <w:t xml:space="preserve"> do 12 </w:t>
      </w:r>
      <w:r w:rsidR="00885A78" w:rsidRPr="00F24057">
        <w:rPr>
          <w:szCs w:val="22"/>
          <w:lang w:val="sr-Latn-ME"/>
        </w:rPr>
        <w:t>nedjelj</w:t>
      </w:r>
      <w:r w:rsidRPr="00F24057">
        <w:rPr>
          <w:szCs w:val="22"/>
          <w:lang w:val="sr-Latn-ME"/>
        </w:rPr>
        <w:t xml:space="preserve">e, </w:t>
      </w:r>
      <w:r w:rsidR="00A816CE" w:rsidRPr="00F24057">
        <w:rPr>
          <w:szCs w:val="22"/>
          <w:lang w:val="sr-Latn-ME"/>
        </w:rPr>
        <w:t>nastavak terapije nakon tog perioda potrebno je pažljivo razmotriti</w:t>
      </w:r>
      <w:r w:rsidRPr="00F24057">
        <w:rPr>
          <w:szCs w:val="22"/>
          <w:lang w:val="sr-Latn-ME"/>
        </w:rPr>
        <w:t xml:space="preserve">. </w:t>
      </w:r>
    </w:p>
    <w:p w14:paraId="3318D035" w14:textId="77777777" w:rsidR="00313B3D" w:rsidRPr="00F24057" w:rsidRDefault="00313B3D" w:rsidP="00D70B34">
      <w:pPr>
        <w:rPr>
          <w:szCs w:val="22"/>
          <w:lang w:val="sr-Latn-ME"/>
        </w:rPr>
      </w:pPr>
    </w:p>
    <w:p w14:paraId="28EAEC76" w14:textId="28B1B5C6" w:rsidR="00313B3D" w:rsidRPr="00F24057" w:rsidRDefault="00313B3D" w:rsidP="00D70B34">
      <w:pPr>
        <w:rPr>
          <w:szCs w:val="22"/>
          <w:lang w:val="sr-Latn-ME"/>
        </w:rPr>
      </w:pPr>
      <w:r w:rsidRPr="00F24057">
        <w:rPr>
          <w:szCs w:val="22"/>
          <w:lang w:val="sr-Latn-ME"/>
        </w:rPr>
        <w:t xml:space="preserve">Nema relevantne </w:t>
      </w:r>
      <w:r w:rsidR="0030064A" w:rsidRPr="00F24057">
        <w:rPr>
          <w:szCs w:val="22"/>
          <w:lang w:val="sr-Latn-ME"/>
        </w:rPr>
        <w:t>primjen</w:t>
      </w:r>
      <w:r w:rsidRPr="00F24057">
        <w:rPr>
          <w:szCs w:val="22"/>
          <w:lang w:val="sr-Latn-ME"/>
        </w:rPr>
        <w:t xml:space="preserve">e adalimumaba kod </w:t>
      </w:r>
      <w:r w:rsidR="0030064A" w:rsidRPr="00F24057">
        <w:rPr>
          <w:szCs w:val="22"/>
          <w:lang w:val="sr-Latn-ME"/>
        </w:rPr>
        <w:t>djece</w:t>
      </w:r>
      <w:r w:rsidRPr="00F24057">
        <w:rPr>
          <w:szCs w:val="22"/>
          <w:lang w:val="sr-Latn-ME"/>
        </w:rPr>
        <w:t xml:space="preserve"> mlađe od 6 godina u ovoj indikaciji. </w:t>
      </w:r>
    </w:p>
    <w:p w14:paraId="1DC91759" w14:textId="75FC52FF" w:rsidR="00313B3D" w:rsidRPr="00F24057" w:rsidRDefault="00313B3D" w:rsidP="00D70B34">
      <w:pPr>
        <w:rPr>
          <w:szCs w:val="22"/>
          <w:lang w:val="sr-Latn-ME"/>
        </w:rPr>
      </w:pPr>
    </w:p>
    <w:p w14:paraId="6C08E6D6" w14:textId="78C25969" w:rsidR="00E3071C" w:rsidRPr="00F24057" w:rsidRDefault="00151340" w:rsidP="00D70B34">
      <w:pPr>
        <w:rPr>
          <w:i/>
          <w:iCs/>
          <w:szCs w:val="22"/>
          <w:u w:val="single"/>
          <w:lang w:val="sr-Latn-ME"/>
        </w:rPr>
      </w:pPr>
      <w:r w:rsidRPr="00F24057">
        <w:rPr>
          <w:i/>
          <w:iCs/>
          <w:szCs w:val="22"/>
          <w:u w:val="single"/>
          <w:lang w:val="sr-Latn-ME"/>
        </w:rPr>
        <w:lastRenderedPageBreak/>
        <w:t>U</w:t>
      </w:r>
      <w:r w:rsidR="00E3071C" w:rsidRPr="00F24057">
        <w:rPr>
          <w:i/>
          <w:iCs/>
          <w:szCs w:val="22"/>
          <w:u w:val="single"/>
          <w:lang w:val="sr-Latn-ME"/>
        </w:rPr>
        <w:t xml:space="preserve">lcerozni </w:t>
      </w:r>
      <w:r w:rsidR="00B42FF4" w:rsidRPr="00F24057">
        <w:rPr>
          <w:i/>
          <w:iCs/>
          <w:szCs w:val="22"/>
          <w:u w:val="single"/>
          <w:lang w:val="sr-Latn-ME"/>
        </w:rPr>
        <w:t>k</w:t>
      </w:r>
      <w:r w:rsidR="00E3071C" w:rsidRPr="00F24057">
        <w:rPr>
          <w:i/>
          <w:iCs/>
          <w:szCs w:val="22"/>
          <w:u w:val="single"/>
          <w:lang w:val="sr-Latn-ME"/>
        </w:rPr>
        <w:t>olitis</w:t>
      </w:r>
      <w:r w:rsidRPr="00F24057">
        <w:rPr>
          <w:i/>
          <w:iCs/>
          <w:szCs w:val="22"/>
          <w:u w:val="single"/>
          <w:lang w:val="sr-Latn-ME"/>
        </w:rPr>
        <w:t xml:space="preserve"> kod </w:t>
      </w:r>
      <w:r w:rsidR="0030064A" w:rsidRPr="00F24057">
        <w:rPr>
          <w:i/>
          <w:iCs/>
          <w:szCs w:val="22"/>
          <w:u w:val="single"/>
          <w:lang w:val="sr-Latn-ME"/>
        </w:rPr>
        <w:t>djece</w:t>
      </w:r>
    </w:p>
    <w:p w14:paraId="7C1CFD54" w14:textId="45BB2792" w:rsidR="00E3071C" w:rsidRPr="00F24057" w:rsidRDefault="00E3071C" w:rsidP="00D70B34">
      <w:pPr>
        <w:rPr>
          <w:i/>
          <w:iCs/>
          <w:szCs w:val="22"/>
          <w:lang w:val="sr-Latn-ME"/>
        </w:rPr>
      </w:pPr>
    </w:p>
    <w:p w14:paraId="6C7374D8" w14:textId="76DDA234" w:rsidR="00E3071C" w:rsidRPr="00F24057" w:rsidRDefault="00E3071C" w:rsidP="00D70B34">
      <w:pPr>
        <w:rPr>
          <w:szCs w:val="22"/>
          <w:lang w:val="sr-Latn-ME"/>
        </w:rPr>
      </w:pPr>
      <w:r w:rsidRPr="00F24057">
        <w:rPr>
          <w:szCs w:val="22"/>
          <w:lang w:val="sr-Latn-ME"/>
        </w:rPr>
        <w:t xml:space="preserve">Preporučena doza </w:t>
      </w:r>
      <w:r w:rsidR="00885A78" w:rsidRPr="00F24057">
        <w:rPr>
          <w:szCs w:val="22"/>
          <w:lang w:val="sr-Latn-ME"/>
        </w:rPr>
        <w:t xml:space="preserve">lijeka </w:t>
      </w:r>
      <w:r w:rsidRPr="00F24057">
        <w:rPr>
          <w:szCs w:val="22"/>
          <w:lang w:val="sr-Latn-ME"/>
        </w:rPr>
        <w:t xml:space="preserve">Hukyndra </w:t>
      </w:r>
      <w:r w:rsidR="001C3CDF" w:rsidRPr="00F24057">
        <w:rPr>
          <w:szCs w:val="22"/>
          <w:lang w:val="sr-Latn-ME"/>
        </w:rPr>
        <w:t>kod</w:t>
      </w:r>
      <w:r w:rsidRPr="00F24057">
        <w:rPr>
          <w:szCs w:val="22"/>
          <w:lang w:val="sr-Latn-ME"/>
        </w:rPr>
        <w:t xml:space="preserve"> pacijen</w:t>
      </w:r>
      <w:r w:rsidR="001C3CDF" w:rsidRPr="00F24057">
        <w:rPr>
          <w:szCs w:val="22"/>
          <w:lang w:val="sr-Latn-ME"/>
        </w:rPr>
        <w:t>a</w:t>
      </w:r>
      <w:r w:rsidRPr="00F24057">
        <w:rPr>
          <w:szCs w:val="22"/>
          <w:lang w:val="sr-Latn-ME"/>
        </w:rPr>
        <w:t>t</w:t>
      </w:r>
      <w:r w:rsidR="001C3CDF" w:rsidRPr="00F24057">
        <w:rPr>
          <w:szCs w:val="22"/>
          <w:lang w:val="sr-Latn-ME"/>
        </w:rPr>
        <w:t>a</w:t>
      </w:r>
      <w:r w:rsidRPr="00F24057">
        <w:rPr>
          <w:szCs w:val="22"/>
          <w:lang w:val="sr-Latn-ME"/>
        </w:rPr>
        <w:t xml:space="preserve"> sa ulceroznim kolitisom uzrasta od 6 do 17 godina određuje se na osnovu </w:t>
      </w:r>
      <w:r w:rsidR="007E5568" w:rsidRPr="00F24057">
        <w:rPr>
          <w:szCs w:val="22"/>
          <w:lang w:val="sr-Latn-ME"/>
        </w:rPr>
        <w:t>tjeles</w:t>
      </w:r>
      <w:r w:rsidRPr="00F24057">
        <w:rPr>
          <w:szCs w:val="22"/>
          <w:lang w:val="sr-Latn-ME"/>
        </w:rPr>
        <w:t xml:space="preserve">ne mase (Tabela 5). </w:t>
      </w:r>
      <w:r w:rsidR="0030064A" w:rsidRPr="00F24057">
        <w:rPr>
          <w:szCs w:val="22"/>
          <w:lang w:val="sr-Latn-ME"/>
        </w:rPr>
        <w:t xml:space="preserve">Lijek </w:t>
      </w:r>
      <w:r w:rsidRPr="00F24057">
        <w:rPr>
          <w:szCs w:val="22"/>
          <w:lang w:val="sr-Latn-ME"/>
        </w:rPr>
        <w:t xml:space="preserve">Hukyndra se </w:t>
      </w:r>
      <w:r w:rsidR="0030064A" w:rsidRPr="00F24057">
        <w:rPr>
          <w:szCs w:val="22"/>
          <w:lang w:val="sr-Latn-ME"/>
        </w:rPr>
        <w:t>primjen</w:t>
      </w:r>
      <w:r w:rsidRPr="00F24057">
        <w:rPr>
          <w:szCs w:val="22"/>
          <w:lang w:val="sr-Latn-ME"/>
        </w:rPr>
        <w:t>juje supkutanom injekcijom.</w:t>
      </w:r>
    </w:p>
    <w:p w14:paraId="23E7D886" w14:textId="77777777" w:rsidR="00151340" w:rsidRPr="00F24057" w:rsidRDefault="00151340" w:rsidP="00D70B34">
      <w:pPr>
        <w:rPr>
          <w:szCs w:val="22"/>
          <w:lang w:val="sr-Latn-ME"/>
        </w:rPr>
      </w:pPr>
    </w:p>
    <w:p w14:paraId="5C970A2C" w14:textId="62167555" w:rsidR="00294A3B" w:rsidRPr="00F24057" w:rsidRDefault="00E3071C" w:rsidP="00D70B34">
      <w:pPr>
        <w:rPr>
          <w:b/>
          <w:bCs/>
          <w:szCs w:val="22"/>
          <w:lang w:val="sr-Latn-ME"/>
        </w:rPr>
      </w:pPr>
      <w:r w:rsidRPr="00F24057">
        <w:rPr>
          <w:b/>
          <w:bCs/>
          <w:szCs w:val="22"/>
          <w:lang w:val="sr-Latn-ME"/>
        </w:rPr>
        <w:t>Tabela 5. Doza adalimumab</w:t>
      </w:r>
      <w:r w:rsidR="0044184C" w:rsidRPr="00F24057">
        <w:rPr>
          <w:b/>
          <w:bCs/>
          <w:szCs w:val="22"/>
          <w:lang w:val="sr-Latn-ME"/>
        </w:rPr>
        <w:t>a</w:t>
      </w:r>
      <w:r w:rsidRPr="00F24057">
        <w:rPr>
          <w:b/>
          <w:bCs/>
          <w:szCs w:val="22"/>
          <w:lang w:val="sr-Latn-ME"/>
        </w:rPr>
        <w:t xml:space="preserve"> </w:t>
      </w:r>
      <w:r w:rsidR="00A3640C" w:rsidRPr="00F24057">
        <w:rPr>
          <w:b/>
          <w:bCs/>
          <w:szCs w:val="22"/>
          <w:lang w:val="sr-Latn-ME"/>
        </w:rPr>
        <w:t xml:space="preserve">kod </w:t>
      </w:r>
      <w:r w:rsidRPr="00F24057">
        <w:rPr>
          <w:b/>
          <w:bCs/>
          <w:szCs w:val="22"/>
          <w:lang w:val="sr-Latn-ME"/>
        </w:rPr>
        <w:t>pedijatrijsk</w:t>
      </w:r>
      <w:r w:rsidR="00A3640C" w:rsidRPr="00F24057">
        <w:rPr>
          <w:b/>
          <w:bCs/>
          <w:szCs w:val="22"/>
          <w:lang w:val="sr-Latn-ME"/>
        </w:rPr>
        <w:t>ih</w:t>
      </w:r>
      <w:r w:rsidRPr="00F24057">
        <w:rPr>
          <w:b/>
          <w:bCs/>
          <w:szCs w:val="22"/>
          <w:lang w:val="sr-Latn-ME"/>
        </w:rPr>
        <w:t xml:space="preserve"> pacijen</w:t>
      </w:r>
      <w:r w:rsidR="00A3640C" w:rsidRPr="00F24057">
        <w:rPr>
          <w:b/>
          <w:bCs/>
          <w:szCs w:val="22"/>
          <w:lang w:val="sr-Latn-ME"/>
        </w:rPr>
        <w:t>ata</w:t>
      </w:r>
      <w:r w:rsidRPr="00F24057">
        <w:rPr>
          <w:b/>
          <w:bCs/>
          <w:szCs w:val="22"/>
          <w:lang w:val="sr-Latn-ME"/>
        </w:rPr>
        <w:t xml:space="preserve"> sa ulceroznim kolitisom</w:t>
      </w:r>
    </w:p>
    <w:p w14:paraId="04A9DA9A" w14:textId="77777777" w:rsidR="005B5060" w:rsidRPr="00F24057" w:rsidRDefault="005B5060"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057"/>
        <w:gridCol w:w="6027"/>
        <w:gridCol w:w="1933"/>
      </w:tblGrid>
      <w:tr w:rsidR="00E3071C" w:rsidRPr="00F24057" w14:paraId="2E45D553" w14:textId="77777777" w:rsidTr="005659BA">
        <w:trPr>
          <w:trHeight w:val="20"/>
        </w:trPr>
        <w:tc>
          <w:tcPr>
            <w:tcW w:w="586" w:type="pct"/>
            <w:vAlign w:val="center"/>
          </w:tcPr>
          <w:p w14:paraId="77B06C0B" w14:textId="5714216F" w:rsidR="00E3071C" w:rsidRPr="00F24057" w:rsidRDefault="007E5568" w:rsidP="00D70B34">
            <w:pPr>
              <w:jc w:val="center"/>
              <w:rPr>
                <w:b/>
                <w:bCs/>
                <w:szCs w:val="22"/>
                <w:lang w:val="sr-Latn-ME"/>
              </w:rPr>
            </w:pPr>
            <w:r w:rsidRPr="00F24057">
              <w:rPr>
                <w:b/>
                <w:bCs/>
                <w:szCs w:val="22"/>
                <w:lang w:val="sr-Latn-ME"/>
              </w:rPr>
              <w:t>Tjeles</w:t>
            </w:r>
            <w:r w:rsidR="00E3071C" w:rsidRPr="00F24057">
              <w:rPr>
                <w:b/>
                <w:bCs/>
                <w:szCs w:val="22"/>
                <w:lang w:val="sr-Latn-ME"/>
              </w:rPr>
              <w:t>na masa pacijenta</w:t>
            </w:r>
          </w:p>
        </w:tc>
        <w:tc>
          <w:tcPr>
            <w:tcW w:w="3341" w:type="pct"/>
            <w:vAlign w:val="center"/>
          </w:tcPr>
          <w:p w14:paraId="462DEABD" w14:textId="77777777" w:rsidR="00E3071C" w:rsidRPr="00F24057" w:rsidRDefault="00E3071C" w:rsidP="00D70B34">
            <w:pPr>
              <w:jc w:val="center"/>
              <w:rPr>
                <w:b/>
                <w:bCs/>
                <w:szCs w:val="22"/>
                <w:lang w:val="sr-Latn-ME"/>
              </w:rPr>
            </w:pPr>
            <w:r w:rsidRPr="00F24057">
              <w:rPr>
                <w:b/>
                <w:bCs/>
                <w:szCs w:val="22"/>
                <w:lang w:val="sr-Latn-ME"/>
              </w:rPr>
              <w:t>Indukciona doza</w:t>
            </w:r>
          </w:p>
        </w:tc>
        <w:tc>
          <w:tcPr>
            <w:tcW w:w="1072" w:type="pct"/>
            <w:vAlign w:val="center"/>
          </w:tcPr>
          <w:p w14:paraId="6A934187" w14:textId="5E7A252D" w:rsidR="00E3071C" w:rsidRPr="00F24057" w:rsidRDefault="00E3071C" w:rsidP="00D70B34">
            <w:pPr>
              <w:jc w:val="center"/>
              <w:rPr>
                <w:b/>
                <w:bCs/>
                <w:szCs w:val="22"/>
                <w:lang w:val="sr-Latn-ME"/>
              </w:rPr>
            </w:pPr>
            <w:r w:rsidRPr="00F24057">
              <w:rPr>
                <w:b/>
                <w:bCs/>
                <w:szCs w:val="22"/>
                <w:lang w:val="sr-Latn-ME"/>
              </w:rPr>
              <w:t xml:space="preserve">Doza održavanja počevši od 4. </w:t>
            </w:r>
            <w:r w:rsidR="00885A78" w:rsidRPr="00F24057">
              <w:rPr>
                <w:b/>
                <w:bCs/>
                <w:szCs w:val="22"/>
                <w:lang w:val="sr-Latn-ME"/>
              </w:rPr>
              <w:t>nedjelj</w:t>
            </w:r>
            <w:r w:rsidRPr="00F24057">
              <w:rPr>
                <w:b/>
                <w:bCs/>
                <w:szCs w:val="22"/>
                <w:lang w:val="sr-Latn-ME"/>
              </w:rPr>
              <w:t>e*</w:t>
            </w:r>
          </w:p>
        </w:tc>
      </w:tr>
      <w:tr w:rsidR="00E3071C" w:rsidRPr="00F24057" w14:paraId="50DEB6BC" w14:textId="77777777" w:rsidTr="005659BA">
        <w:trPr>
          <w:trHeight w:val="20"/>
        </w:trPr>
        <w:tc>
          <w:tcPr>
            <w:tcW w:w="586" w:type="pct"/>
            <w:vAlign w:val="center"/>
          </w:tcPr>
          <w:p w14:paraId="48159F9A" w14:textId="77777777" w:rsidR="00E3071C" w:rsidRPr="00F24057" w:rsidRDefault="00E3071C" w:rsidP="00D70B34">
            <w:pPr>
              <w:jc w:val="center"/>
              <w:rPr>
                <w:szCs w:val="22"/>
                <w:lang w:val="sr-Latn-ME"/>
              </w:rPr>
            </w:pPr>
            <w:r w:rsidRPr="00F24057">
              <w:rPr>
                <w:szCs w:val="22"/>
                <w:lang w:val="sr-Latn-ME"/>
              </w:rPr>
              <w:t>&lt; 40 kg</w:t>
            </w:r>
          </w:p>
        </w:tc>
        <w:tc>
          <w:tcPr>
            <w:tcW w:w="3341" w:type="pct"/>
            <w:vAlign w:val="center"/>
          </w:tcPr>
          <w:p w14:paraId="71114584" w14:textId="38AAE4BC" w:rsidR="00E3071C" w:rsidRPr="00F24057" w:rsidRDefault="00E3071C" w:rsidP="00D70B34">
            <w:pPr>
              <w:jc w:val="left"/>
              <w:rPr>
                <w:szCs w:val="22"/>
                <w:lang w:val="sr-Latn-ME"/>
              </w:rPr>
            </w:pPr>
            <w:r w:rsidRPr="00F24057">
              <w:rPr>
                <w:szCs w:val="22"/>
                <w:lang w:val="sr-Latn-ME"/>
              </w:rPr>
              <w:sym w:font="Symbol" w:char="F0B7"/>
            </w:r>
            <w:r w:rsidRPr="00F24057">
              <w:rPr>
                <w:szCs w:val="22"/>
                <w:lang w:val="sr-Latn-ME"/>
              </w:rPr>
              <w:t xml:space="preserve"> 80 mg </w:t>
            </w:r>
            <w:r w:rsidR="00C25B75" w:rsidRPr="00F24057">
              <w:rPr>
                <w:szCs w:val="22"/>
                <w:lang w:val="sr-Latn-ME"/>
              </w:rPr>
              <w:t xml:space="preserve">u početnoj </w:t>
            </w:r>
            <w:r w:rsidR="00885A78" w:rsidRPr="00F24057">
              <w:rPr>
                <w:szCs w:val="22"/>
                <w:lang w:val="sr-Latn-ME"/>
              </w:rPr>
              <w:t>nedjelj</w:t>
            </w:r>
            <w:r w:rsidR="00C25B75" w:rsidRPr="00F24057">
              <w:rPr>
                <w:szCs w:val="22"/>
                <w:lang w:val="sr-Latn-ME"/>
              </w:rPr>
              <w:t xml:space="preserve">i (označena kao nulta </w:t>
            </w:r>
            <w:r w:rsidR="00885A78" w:rsidRPr="00F24057">
              <w:rPr>
                <w:szCs w:val="22"/>
                <w:lang w:val="sr-Latn-ME"/>
              </w:rPr>
              <w:t>nedjelj</w:t>
            </w:r>
            <w:r w:rsidR="00C25B75" w:rsidRPr="00F24057">
              <w:rPr>
                <w:szCs w:val="22"/>
                <w:lang w:val="sr-Latn-ME"/>
              </w:rPr>
              <w:t xml:space="preserve">a, </w:t>
            </w:r>
            <w:r w:rsidR="00080447" w:rsidRPr="00F24057">
              <w:rPr>
                <w:i/>
                <w:iCs/>
                <w:szCs w:val="22"/>
                <w:lang w:val="sr-Latn-ME"/>
              </w:rPr>
              <w:t>Week 0</w:t>
            </w:r>
            <w:r w:rsidR="00C25B75" w:rsidRPr="00F24057">
              <w:rPr>
                <w:szCs w:val="22"/>
                <w:lang w:val="sr-Latn-ME"/>
              </w:rPr>
              <w:t xml:space="preserve">) </w:t>
            </w:r>
            <w:r w:rsidRPr="00F24057">
              <w:rPr>
                <w:szCs w:val="22"/>
                <w:lang w:val="sr-Latn-ME"/>
              </w:rPr>
              <w:t>(</w:t>
            </w:r>
            <w:r w:rsidR="009811CA" w:rsidRPr="00F24057">
              <w:rPr>
                <w:szCs w:val="22"/>
                <w:lang w:val="sr-Latn-ME"/>
              </w:rPr>
              <w:t>primijenje</w:t>
            </w:r>
            <w:r w:rsidRPr="00F24057">
              <w:rPr>
                <w:szCs w:val="22"/>
                <w:lang w:val="sr-Latn-ME"/>
              </w:rPr>
              <w:t xml:space="preserve">na kao </w:t>
            </w:r>
            <w:r w:rsidR="009A3407" w:rsidRPr="00F24057">
              <w:rPr>
                <w:szCs w:val="22"/>
                <w:lang w:val="sr-Latn-ME"/>
              </w:rPr>
              <w:t xml:space="preserve">dvije </w:t>
            </w:r>
            <w:r w:rsidRPr="00F24057">
              <w:rPr>
                <w:szCs w:val="22"/>
                <w:lang w:val="sr-Latn-ME"/>
              </w:rPr>
              <w:t xml:space="preserve">injekcije od 40 mg na dan) </w:t>
            </w:r>
            <w:r w:rsidR="00F650D0" w:rsidRPr="00F24057">
              <w:rPr>
                <w:szCs w:val="22"/>
                <w:lang w:val="sr-Latn-ME"/>
              </w:rPr>
              <w:t>praćena dozom od</w:t>
            </w:r>
            <w:r w:rsidRPr="00F24057">
              <w:rPr>
                <w:szCs w:val="22"/>
                <w:lang w:val="sr-Latn-ME"/>
              </w:rPr>
              <w:t xml:space="preserve"> 40 mg </w:t>
            </w:r>
            <w:r w:rsidR="00F650D0" w:rsidRPr="00F24057">
              <w:rPr>
                <w:szCs w:val="22"/>
                <w:lang w:val="sr-Latn-ME"/>
              </w:rPr>
              <w:t>nakon</w:t>
            </w:r>
            <w:r w:rsidRPr="00F24057">
              <w:rPr>
                <w:szCs w:val="22"/>
                <w:lang w:val="sr-Latn-ME"/>
              </w:rPr>
              <w:t xml:space="preserve"> </w:t>
            </w:r>
            <w:r w:rsidR="009A3407" w:rsidRPr="00F24057">
              <w:rPr>
                <w:szCs w:val="22"/>
                <w:lang w:val="sr-Latn-ME"/>
              </w:rPr>
              <w:t xml:space="preserve">dvije </w:t>
            </w:r>
            <w:r w:rsidR="00885A78" w:rsidRPr="00F24057">
              <w:rPr>
                <w:szCs w:val="22"/>
                <w:lang w:val="sr-Latn-ME"/>
              </w:rPr>
              <w:t>nedjelj</w:t>
            </w:r>
            <w:r w:rsidR="00F650D0" w:rsidRPr="00F24057">
              <w:rPr>
                <w:szCs w:val="22"/>
                <w:lang w:val="sr-Latn-ME"/>
              </w:rPr>
              <w:t>e</w:t>
            </w:r>
            <w:r w:rsidRPr="00F24057">
              <w:rPr>
                <w:szCs w:val="22"/>
                <w:lang w:val="sr-Latn-ME"/>
              </w:rPr>
              <w:t xml:space="preserve"> (</w:t>
            </w:r>
            <w:r w:rsidR="009811CA" w:rsidRPr="00F24057">
              <w:rPr>
                <w:szCs w:val="22"/>
                <w:lang w:val="sr-Latn-ME"/>
              </w:rPr>
              <w:t>primijenje</w:t>
            </w:r>
            <w:r w:rsidRPr="00F24057">
              <w:rPr>
                <w:szCs w:val="22"/>
                <w:lang w:val="sr-Latn-ME"/>
              </w:rPr>
              <w:t>na kao jedna injekcija od 40 mg)</w:t>
            </w:r>
          </w:p>
        </w:tc>
        <w:tc>
          <w:tcPr>
            <w:tcW w:w="1072" w:type="pct"/>
            <w:vAlign w:val="center"/>
          </w:tcPr>
          <w:p w14:paraId="3EA4BC75" w14:textId="20E56483" w:rsidR="00E3071C" w:rsidRPr="00F24057" w:rsidRDefault="00E3071C" w:rsidP="00D70B34">
            <w:pPr>
              <w:jc w:val="center"/>
              <w:rPr>
                <w:szCs w:val="22"/>
                <w:lang w:val="sr-Latn-ME"/>
              </w:rPr>
            </w:pPr>
            <w:r w:rsidRPr="00F24057">
              <w:rPr>
                <w:szCs w:val="22"/>
                <w:lang w:val="sr-Latn-ME"/>
              </w:rPr>
              <w:t xml:space="preserve">40 mg svake druge </w:t>
            </w:r>
            <w:r w:rsidR="00885A78" w:rsidRPr="00F24057">
              <w:rPr>
                <w:szCs w:val="22"/>
                <w:lang w:val="sr-Latn-ME"/>
              </w:rPr>
              <w:t>nedjelj</w:t>
            </w:r>
            <w:r w:rsidRPr="00F24057">
              <w:rPr>
                <w:szCs w:val="22"/>
                <w:lang w:val="sr-Latn-ME"/>
              </w:rPr>
              <w:t>e</w:t>
            </w:r>
          </w:p>
        </w:tc>
      </w:tr>
      <w:tr w:rsidR="00E3071C" w:rsidRPr="00F24057" w14:paraId="4EDD4A03" w14:textId="77777777" w:rsidTr="005659BA">
        <w:trPr>
          <w:trHeight w:val="20"/>
        </w:trPr>
        <w:tc>
          <w:tcPr>
            <w:tcW w:w="586" w:type="pct"/>
            <w:vAlign w:val="center"/>
          </w:tcPr>
          <w:p w14:paraId="0B152929" w14:textId="77777777" w:rsidR="00E3071C" w:rsidRPr="00F24057" w:rsidRDefault="00E3071C" w:rsidP="00D70B34">
            <w:pPr>
              <w:jc w:val="center"/>
              <w:rPr>
                <w:szCs w:val="22"/>
                <w:lang w:val="sr-Latn-ME"/>
              </w:rPr>
            </w:pPr>
            <w:r w:rsidRPr="00F24057">
              <w:rPr>
                <w:szCs w:val="22"/>
                <w:lang w:val="sr-Latn-ME"/>
              </w:rPr>
              <w:t>≥ 40 kg</w:t>
            </w:r>
          </w:p>
        </w:tc>
        <w:tc>
          <w:tcPr>
            <w:tcW w:w="3341" w:type="pct"/>
            <w:vAlign w:val="center"/>
          </w:tcPr>
          <w:p w14:paraId="481941FF" w14:textId="5017A1DD" w:rsidR="00E3071C" w:rsidRPr="00F24057" w:rsidRDefault="00E3071C" w:rsidP="00D70B34">
            <w:pPr>
              <w:jc w:val="left"/>
              <w:rPr>
                <w:szCs w:val="22"/>
                <w:lang w:val="sr-Latn-ME"/>
              </w:rPr>
            </w:pPr>
            <w:r w:rsidRPr="00F24057">
              <w:rPr>
                <w:szCs w:val="22"/>
                <w:lang w:val="sr-Latn-ME"/>
              </w:rPr>
              <w:sym w:font="Symbol" w:char="F0B7"/>
            </w:r>
            <w:r w:rsidRPr="00F24057">
              <w:rPr>
                <w:szCs w:val="22"/>
                <w:lang w:val="sr-Latn-ME"/>
              </w:rPr>
              <w:t xml:space="preserve"> 160 mg </w:t>
            </w:r>
            <w:r w:rsidR="00F650D0" w:rsidRPr="00F24057">
              <w:rPr>
                <w:szCs w:val="22"/>
                <w:lang w:val="sr-Latn-ME"/>
              </w:rPr>
              <w:t xml:space="preserve">u početnoj </w:t>
            </w:r>
            <w:r w:rsidR="00885A78" w:rsidRPr="00F24057">
              <w:rPr>
                <w:szCs w:val="22"/>
                <w:lang w:val="sr-Latn-ME"/>
              </w:rPr>
              <w:t>nedjelj</w:t>
            </w:r>
            <w:r w:rsidR="00F650D0" w:rsidRPr="00F24057">
              <w:rPr>
                <w:szCs w:val="22"/>
                <w:lang w:val="sr-Latn-ME"/>
              </w:rPr>
              <w:t xml:space="preserve">i (označena kao nulta </w:t>
            </w:r>
            <w:r w:rsidR="00885A78" w:rsidRPr="00F24057">
              <w:rPr>
                <w:szCs w:val="22"/>
                <w:lang w:val="sr-Latn-ME"/>
              </w:rPr>
              <w:t>nedjelj</w:t>
            </w:r>
            <w:r w:rsidR="00F650D0" w:rsidRPr="00F24057">
              <w:rPr>
                <w:szCs w:val="22"/>
                <w:lang w:val="sr-Latn-ME"/>
              </w:rPr>
              <w:t xml:space="preserve">a, </w:t>
            </w:r>
            <w:r w:rsidR="00080447" w:rsidRPr="00F24057">
              <w:rPr>
                <w:i/>
                <w:iCs/>
                <w:szCs w:val="22"/>
                <w:lang w:val="sr-Latn-ME"/>
              </w:rPr>
              <w:t>Week 0</w:t>
            </w:r>
            <w:r w:rsidR="00F650D0" w:rsidRPr="00F24057">
              <w:rPr>
                <w:szCs w:val="22"/>
                <w:lang w:val="sr-Latn-ME"/>
              </w:rPr>
              <w:t>)</w:t>
            </w:r>
            <w:r w:rsidRPr="00F24057">
              <w:rPr>
                <w:szCs w:val="22"/>
                <w:lang w:val="sr-Latn-ME"/>
              </w:rPr>
              <w:t xml:space="preserve"> (</w:t>
            </w:r>
            <w:r w:rsidR="009811CA" w:rsidRPr="00F24057">
              <w:rPr>
                <w:szCs w:val="22"/>
                <w:lang w:val="sr-Latn-ME"/>
              </w:rPr>
              <w:t>primijenje</w:t>
            </w:r>
            <w:r w:rsidRPr="00F24057">
              <w:rPr>
                <w:szCs w:val="22"/>
                <w:lang w:val="sr-Latn-ME"/>
              </w:rPr>
              <w:t xml:space="preserve">na u obliku četiri injekcije od 40 mg u jednom danu ili kao </w:t>
            </w:r>
            <w:r w:rsidR="009A3407" w:rsidRPr="00F24057">
              <w:rPr>
                <w:szCs w:val="22"/>
                <w:lang w:val="sr-Latn-ME"/>
              </w:rPr>
              <w:t xml:space="preserve">dvije </w:t>
            </w:r>
            <w:r w:rsidRPr="00F24057">
              <w:rPr>
                <w:szCs w:val="22"/>
                <w:lang w:val="sr-Latn-ME"/>
              </w:rPr>
              <w:t xml:space="preserve">injekcije od 40 mg na dan </w:t>
            </w:r>
            <w:r w:rsidR="00EA0E2C" w:rsidRPr="00F24057">
              <w:rPr>
                <w:szCs w:val="22"/>
                <w:lang w:val="sr-Latn-ME"/>
              </w:rPr>
              <w:t>tokom</w:t>
            </w:r>
            <w:r w:rsidRPr="00F24057">
              <w:rPr>
                <w:szCs w:val="22"/>
                <w:lang w:val="sr-Latn-ME"/>
              </w:rPr>
              <w:t xml:space="preserve"> dva uzastopna dana) </w:t>
            </w:r>
            <w:r w:rsidR="00EA0E2C" w:rsidRPr="00F24057">
              <w:rPr>
                <w:szCs w:val="22"/>
                <w:lang w:val="sr-Latn-ME"/>
              </w:rPr>
              <w:t>praćena dozom od</w:t>
            </w:r>
            <w:r w:rsidR="003E5C78" w:rsidRPr="00F24057">
              <w:rPr>
                <w:szCs w:val="22"/>
                <w:lang w:val="sr-Latn-ME"/>
              </w:rPr>
              <w:t xml:space="preserve"> </w:t>
            </w:r>
            <w:r w:rsidRPr="00F24057">
              <w:rPr>
                <w:szCs w:val="22"/>
                <w:lang w:val="sr-Latn-ME"/>
              </w:rPr>
              <w:t xml:space="preserve">80 mg </w:t>
            </w:r>
            <w:r w:rsidR="00EA0E2C" w:rsidRPr="00F24057">
              <w:rPr>
                <w:szCs w:val="22"/>
                <w:lang w:val="sr-Latn-ME"/>
              </w:rPr>
              <w:t xml:space="preserve">nakon </w:t>
            </w:r>
            <w:r w:rsidR="009A3407" w:rsidRPr="00F24057">
              <w:rPr>
                <w:szCs w:val="22"/>
                <w:lang w:val="sr-Latn-ME"/>
              </w:rPr>
              <w:t xml:space="preserve">dvije </w:t>
            </w:r>
            <w:r w:rsidR="00885A78" w:rsidRPr="00F24057">
              <w:rPr>
                <w:szCs w:val="22"/>
                <w:lang w:val="sr-Latn-ME"/>
              </w:rPr>
              <w:t>nedjelj</w:t>
            </w:r>
            <w:r w:rsidR="00EA0E2C" w:rsidRPr="00F24057">
              <w:rPr>
                <w:szCs w:val="22"/>
                <w:lang w:val="sr-Latn-ME"/>
              </w:rPr>
              <w:t>e</w:t>
            </w:r>
            <w:r w:rsidRPr="00F24057">
              <w:rPr>
                <w:szCs w:val="22"/>
                <w:lang w:val="sr-Latn-ME"/>
              </w:rPr>
              <w:t xml:space="preserve"> (</w:t>
            </w:r>
            <w:r w:rsidR="009811CA" w:rsidRPr="00F24057">
              <w:rPr>
                <w:szCs w:val="22"/>
                <w:lang w:val="sr-Latn-ME"/>
              </w:rPr>
              <w:t>primijenje</w:t>
            </w:r>
            <w:r w:rsidRPr="00F24057">
              <w:rPr>
                <w:szCs w:val="22"/>
                <w:lang w:val="sr-Latn-ME"/>
              </w:rPr>
              <w:t xml:space="preserve">na u obliku </w:t>
            </w:r>
            <w:r w:rsidR="009A3407" w:rsidRPr="00F24057">
              <w:rPr>
                <w:szCs w:val="22"/>
                <w:lang w:val="sr-Latn-ME"/>
              </w:rPr>
              <w:t xml:space="preserve">dvije </w:t>
            </w:r>
            <w:r w:rsidRPr="00F24057">
              <w:rPr>
                <w:szCs w:val="22"/>
                <w:lang w:val="sr-Latn-ME"/>
              </w:rPr>
              <w:t>injekcije od 40 mg u jednom danu)</w:t>
            </w:r>
          </w:p>
        </w:tc>
        <w:tc>
          <w:tcPr>
            <w:tcW w:w="1072" w:type="pct"/>
            <w:vAlign w:val="center"/>
          </w:tcPr>
          <w:p w14:paraId="0C05A024" w14:textId="7AE79648" w:rsidR="00E3071C" w:rsidRPr="00F24057" w:rsidRDefault="00E3071C" w:rsidP="00D70B34">
            <w:pPr>
              <w:jc w:val="center"/>
              <w:rPr>
                <w:szCs w:val="22"/>
                <w:lang w:val="sr-Latn-ME"/>
              </w:rPr>
            </w:pPr>
            <w:r w:rsidRPr="00F24057">
              <w:rPr>
                <w:szCs w:val="22"/>
                <w:lang w:val="sr-Latn-ME"/>
              </w:rPr>
              <w:t xml:space="preserve">80 mg svake druge </w:t>
            </w:r>
            <w:r w:rsidR="00885A78" w:rsidRPr="00F24057">
              <w:rPr>
                <w:szCs w:val="22"/>
                <w:lang w:val="sr-Latn-ME"/>
              </w:rPr>
              <w:t>nedjelj</w:t>
            </w:r>
            <w:r w:rsidRPr="00F24057">
              <w:rPr>
                <w:szCs w:val="22"/>
                <w:lang w:val="sr-Latn-ME"/>
              </w:rPr>
              <w:t>e</w:t>
            </w:r>
          </w:p>
        </w:tc>
      </w:tr>
    </w:tbl>
    <w:p w14:paraId="2EE08DE6" w14:textId="155CD2B2" w:rsidR="00E3071C" w:rsidRPr="00F24057" w:rsidRDefault="00E3071C" w:rsidP="00D70B34">
      <w:pPr>
        <w:rPr>
          <w:szCs w:val="22"/>
          <w:lang w:val="sr-Latn-ME"/>
        </w:rPr>
      </w:pPr>
      <w:r w:rsidRPr="00F24057">
        <w:rPr>
          <w:szCs w:val="22"/>
          <w:lang w:val="sr-Latn-ME"/>
        </w:rPr>
        <w:t>* Pedijatrijski pacijenti koji napune 18 godina dok su na l</w:t>
      </w:r>
      <w:r w:rsidR="00CF7AAF" w:rsidRPr="00F24057">
        <w:rPr>
          <w:szCs w:val="22"/>
          <w:lang w:val="sr-Latn-ME"/>
        </w:rPr>
        <w:t>ij</w:t>
      </w:r>
      <w:r w:rsidRPr="00F24057">
        <w:rPr>
          <w:szCs w:val="22"/>
          <w:lang w:val="sr-Latn-ME"/>
        </w:rPr>
        <w:t>eku Huk</w:t>
      </w:r>
      <w:r w:rsidR="00171738" w:rsidRPr="00F24057">
        <w:rPr>
          <w:szCs w:val="22"/>
          <w:lang w:val="sr-Latn-ME"/>
        </w:rPr>
        <w:t>y</w:t>
      </w:r>
      <w:r w:rsidRPr="00F24057">
        <w:rPr>
          <w:szCs w:val="22"/>
          <w:lang w:val="sr-Latn-ME"/>
        </w:rPr>
        <w:t>ndra treba da nastave sa propisanom dozom održavanja</w:t>
      </w:r>
      <w:r w:rsidR="00537982" w:rsidRPr="00F24057">
        <w:rPr>
          <w:szCs w:val="22"/>
          <w:lang w:val="sr-Latn-ME"/>
        </w:rPr>
        <w:t>.</w:t>
      </w:r>
    </w:p>
    <w:p w14:paraId="1F40DF9F" w14:textId="0D7D7623" w:rsidR="00E3071C" w:rsidRPr="00F24057" w:rsidRDefault="00E3071C" w:rsidP="00D70B34">
      <w:pPr>
        <w:rPr>
          <w:b/>
          <w:bCs/>
          <w:szCs w:val="22"/>
          <w:lang w:val="sr-Latn-ME"/>
        </w:rPr>
      </w:pPr>
    </w:p>
    <w:p w14:paraId="6955B7E7" w14:textId="5C53D9EE" w:rsidR="00D70C1D" w:rsidRPr="00F24057" w:rsidRDefault="00D70C1D" w:rsidP="00D70B34">
      <w:pPr>
        <w:rPr>
          <w:szCs w:val="22"/>
          <w:lang w:val="sr-Latn-ME"/>
        </w:rPr>
      </w:pPr>
      <w:r w:rsidRPr="00F24057">
        <w:rPr>
          <w:szCs w:val="22"/>
          <w:lang w:val="sr-Latn-ME"/>
        </w:rPr>
        <w:t xml:space="preserve">Ukoliko pacijent ne postigne terapijski odgovor do 8 </w:t>
      </w:r>
      <w:r w:rsidR="00885A78" w:rsidRPr="00F24057">
        <w:rPr>
          <w:szCs w:val="22"/>
          <w:lang w:val="sr-Latn-ME"/>
        </w:rPr>
        <w:t>nedjelj</w:t>
      </w:r>
      <w:r w:rsidRPr="00F24057">
        <w:rPr>
          <w:szCs w:val="22"/>
          <w:lang w:val="sr-Latn-ME"/>
        </w:rPr>
        <w:t xml:space="preserve">e, nastavak terapije nakon tog perioda potrebno je pažljivo razmotriti. </w:t>
      </w:r>
    </w:p>
    <w:p w14:paraId="799F0051" w14:textId="77777777" w:rsidR="00171738" w:rsidRPr="00F24057" w:rsidRDefault="00171738" w:rsidP="00D70B34">
      <w:pPr>
        <w:rPr>
          <w:szCs w:val="22"/>
          <w:lang w:val="sr-Latn-ME"/>
        </w:rPr>
      </w:pPr>
    </w:p>
    <w:p w14:paraId="3C591D24" w14:textId="5B2D2905" w:rsidR="00171738" w:rsidRPr="00F24057" w:rsidRDefault="00171738" w:rsidP="00D70B34">
      <w:pPr>
        <w:rPr>
          <w:szCs w:val="22"/>
          <w:lang w:val="sr-Latn-ME"/>
        </w:rPr>
      </w:pPr>
      <w:r w:rsidRPr="00F24057">
        <w:rPr>
          <w:szCs w:val="22"/>
          <w:lang w:val="sr-Latn-ME"/>
        </w:rPr>
        <w:t xml:space="preserve">Nema relevantne </w:t>
      </w:r>
      <w:r w:rsidR="0030064A" w:rsidRPr="00F24057">
        <w:rPr>
          <w:szCs w:val="22"/>
          <w:lang w:val="sr-Latn-ME"/>
        </w:rPr>
        <w:t>primjen</w:t>
      </w:r>
      <w:r w:rsidRPr="00F24057">
        <w:rPr>
          <w:szCs w:val="22"/>
          <w:lang w:val="sr-Latn-ME"/>
        </w:rPr>
        <w:t xml:space="preserve">e </w:t>
      </w:r>
      <w:r w:rsidR="00885A78" w:rsidRPr="00F24057">
        <w:rPr>
          <w:szCs w:val="22"/>
          <w:lang w:val="sr-Latn-ME"/>
        </w:rPr>
        <w:t xml:space="preserve">lijeka </w:t>
      </w:r>
      <w:r w:rsidRPr="00F24057">
        <w:rPr>
          <w:szCs w:val="22"/>
          <w:lang w:val="sr-Latn-ME"/>
        </w:rPr>
        <w:t xml:space="preserve">Hukyndra kod </w:t>
      </w:r>
      <w:r w:rsidR="0030064A" w:rsidRPr="00F24057">
        <w:rPr>
          <w:szCs w:val="22"/>
          <w:lang w:val="sr-Latn-ME"/>
        </w:rPr>
        <w:t>djece</w:t>
      </w:r>
      <w:r w:rsidRPr="00F24057">
        <w:rPr>
          <w:szCs w:val="22"/>
          <w:lang w:val="sr-Latn-ME"/>
        </w:rPr>
        <w:t xml:space="preserve"> mlađe od 6 godin</w:t>
      </w:r>
      <w:r w:rsidR="00D70C1D" w:rsidRPr="00F24057">
        <w:rPr>
          <w:szCs w:val="22"/>
          <w:lang w:val="sr-Latn-ME"/>
        </w:rPr>
        <w:t>a</w:t>
      </w:r>
      <w:r w:rsidRPr="00F24057">
        <w:rPr>
          <w:szCs w:val="22"/>
          <w:lang w:val="sr-Latn-ME"/>
        </w:rPr>
        <w:t xml:space="preserve"> u ovoj indikaciji.</w:t>
      </w:r>
    </w:p>
    <w:p w14:paraId="0CE2C52C" w14:textId="72B2EAC5" w:rsidR="00171738" w:rsidRPr="00F24057" w:rsidRDefault="00171738" w:rsidP="00D70B34">
      <w:pPr>
        <w:rPr>
          <w:szCs w:val="22"/>
          <w:lang w:val="sr-Latn-ME"/>
        </w:rPr>
      </w:pPr>
    </w:p>
    <w:p w14:paraId="7E43D40E" w14:textId="514C0130" w:rsidR="00171738" w:rsidRPr="00F24057" w:rsidRDefault="00171738" w:rsidP="00D70B34">
      <w:pPr>
        <w:rPr>
          <w:i/>
          <w:iCs/>
          <w:szCs w:val="22"/>
          <w:u w:val="single"/>
          <w:lang w:val="sr-Latn-ME"/>
        </w:rPr>
      </w:pPr>
      <w:r w:rsidRPr="00F24057">
        <w:rPr>
          <w:i/>
          <w:iCs/>
          <w:szCs w:val="22"/>
          <w:u w:val="single"/>
          <w:lang w:val="sr-Latn-ME"/>
        </w:rPr>
        <w:t>Pedijatrijski uveitis</w:t>
      </w:r>
    </w:p>
    <w:p w14:paraId="6BD676BC" w14:textId="77777777" w:rsidR="00171738" w:rsidRPr="00F24057" w:rsidRDefault="00171738" w:rsidP="00D70B34">
      <w:pPr>
        <w:rPr>
          <w:i/>
          <w:iCs/>
          <w:szCs w:val="22"/>
          <w:lang w:val="sr-Latn-ME"/>
        </w:rPr>
      </w:pPr>
    </w:p>
    <w:p w14:paraId="0D04749B" w14:textId="2E5C3D71" w:rsidR="00171738" w:rsidRPr="00F24057" w:rsidRDefault="00171738" w:rsidP="00D70B34">
      <w:pPr>
        <w:rPr>
          <w:szCs w:val="22"/>
          <w:lang w:val="sr-Latn-ME"/>
        </w:rPr>
      </w:pPr>
      <w:r w:rsidRPr="00F24057">
        <w:rPr>
          <w:szCs w:val="22"/>
          <w:lang w:val="sr-Latn-ME"/>
        </w:rPr>
        <w:t xml:space="preserve">Preporučena doza </w:t>
      </w:r>
      <w:r w:rsidR="00885A78" w:rsidRPr="00F24057">
        <w:rPr>
          <w:szCs w:val="22"/>
          <w:lang w:val="sr-Latn-ME"/>
        </w:rPr>
        <w:t xml:space="preserve">lijeka </w:t>
      </w:r>
      <w:r w:rsidRPr="00F24057">
        <w:rPr>
          <w:szCs w:val="22"/>
          <w:lang w:val="sr-Latn-ME"/>
        </w:rPr>
        <w:t xml:space="preserve">Hukyndra </w:t>
      </w:r>
      <w:r w:rsidR="00677689" w:rsidRPr="00F24057">
        <w:rPr>
          <w:szCs w:val="22"/>
          <w:lang w:val="sr-Latn-ME"/>
        </w:rPr>
        <w:t xml:space="preserve">kod pedijatrijskih pacijenata </w:t>
      </w:r>
      <w:r w:rsidRPr="00F24057">
        <w:rPr>
          <w:szCs w:val="22"/>
          <w:lang w:val="sr-Latn-ME"/>
        </w:rPr>
        <w:t xml:space="preserve">sa uveitisom </w:t>
      </w:r>
      <w:r w:rsidR="00677689" w:rsidRPr="00F24057">
        <w:rPr>
          <w:szCs w:val="22"/>
          <w:lang w:val="sr-Latn-ME"/>
        </w:rPr>
        <w:t xml:space="preserve">uzrasta </w:t>
      </w:r>
      <w:r w:rsidRPr="00F24057">
        <w:rPr>
          <w:szCs w:val="22"/>
          <w:lang w:val="sr-Latn-ME"/>
        </w:rPr>
        <w:t xml:space="preserve">od 2 i više godina određuje se na osnovu </w:t>
      </w:r>
      <w:r w:rsidR="007E5568" w:rsidRPr="00F24057">
        <w:rPr>
          <w:szCs w:val="22"/>
          <w:lang w:val="sr-Latn-ME"/>
        </w:rPr>
        <w:t>tjeles</w:t>
      </w:r>
      <w:r w:rsidRPr="00F24057">
        <w:rPr>
          <w:szCs w:val="22"/>
          <w:lang w:val="sr-Latn-ME"/>
        </w:rPr>
        <w:t xml:space="preserve">ne mase (Tabela 6). </w:t>
      </w:r>
      <w:r w:rsidR="0030064A" w:rsidRPr="00F24057">
        <w:rPr>
          <w:szCs w:val="22"/>
          <w:lang w:val="sr-Latn-ME"/>
        </w:rPr>
        <w:t xml:space="preserve">Lijek </w:t>
      </w:r>
      <w:r w:rsidRPr="00F24057">
        <w:rPr>
          <w:szCs w:val="22"/>
          <w:lang w:val="sr-Latn-ME"/>
        </w:rPr>
        <w:t xml:space="preserve">Hukyndra se </w:t>
      </w:r>
      <w:r w:rsidR="0030064A" w:rsidRPr="00F24057">
        <w:rPr>
          <w:szCs w:val="22"/>
          <w:lang w:val="sr-Latn-ME"/>
        </w:rPr>
        <w:t>primjen</w:t>
      </w:r>
      <w:r w:rsidRPr="00F24057">
        <w:rPr>
          <w:szCs w:val="22"/>
          <w:lang w:val="sr-Latn-ME"/>
        </w:rPr>
        <w:t xml:space="preserve">juje supkutanom injekcijom. </w:t>
      </w:r>
    </w:p>
    <w:p w14:paraId="1F37AC98" w14:textId="77777777" w:rsidR="00171738" w:rsidRPr="00F24057" w:rsidRDefault="00171738" w:rsidP="00D70B34">
      <w:pPr>
        <w:rPr>
          <w:szCs w:val="22"/>
          <w:lang w:val="sr-Latn-ME"/>
        </w:rPr>
      </w:pPr>
    </w:p>
    <w:p w14:paraId="7EFA159A" w14:textId="4BFF7403" w:rsidR="00171738" w:rsidRPr="00F24057" w:rsidRDefault="00171738" w:rsidP="00D70B34">
      <w:pPr>
        <w:rPr>
          <w:szCs w:val="22"/>
          <w:lang w:val="sr-Latn-ME"/>
        </w:rPr>
      </w:pPr>
      <w:r w:rsidRPr="00F24057">
        <w:rPr>
          <w:szCs w:val="22"/>
          <w:lang w:val="sr-Latn-ME"/>
        </w:rPr>
        <w:t xml:space="preserve">Kod </w:t>
      </w:r>
      <w:r w:rsidR="003557F4" w:rsidRPr="00F24057">
        <w:rPr>
          <w:szCs w:val="22"/>
          <w:lang w:val="sr-Latn-ME"/>
        </w:rPr>
        <w:t xml:space="preserve">pedijatrijskih pacijenata sa </w:t>
      </w:r>
      <w:r w:rsidRPr="00F24057">
        <w:rPr>
          <w:szCs w:val="22"/>
          <w:lang w:val="sr-Latn-ME"/>
        </w:rPr>
        <w:t>uveitis</w:t>
      </w:r>
      <w:r w:rsidR="003557F4" w:rsidRPr="00F24057">
        <w:rPr>
          <w:szCs w:val="22"/>
          <w:lang w:val="sr-Latn-ME"/>
        </w:rPr>
        <w:t>om</w:t>
      </w:r>
      <w:r w:rsidRPr="00F24057">
        <w:rPr>
          <w:szCs w:val="22"/>
          <w:lang w:val="sr-Latn-ME"/>
        </w:rPr>
        <w:t xml:space="preserve">, nema </w:t>
      </w:r>
      <w:r w:rsidR="003557F4" w:rsidRPr="00F24057">
        <w:rPr>
          <w:szCs w:val="22"/>
          <w:lang w:val="sr-Latn-ME"/>
        </w:rPr>
        <w:t xml:space="preserve">dovoljno podataka o </w:t>
      </w:r>
      <w:r w:rsidR="0030064A" w:rsidRPr="00F24057">
        <w:rPr>
          <w:szCs w:val="22"/>
          <w:lang w:val="sr-Latn-ME"/>
        </w:rPr>
        <w:t>primjen</w:t>
      </w:r>
      <w:r w:rsidR="003557F4" w:rsidRPr="00F24057">
        <w:rPr>
          <w:szCs w:val="22"/>
          <w:lang w:val="sr-Latn-ME"/>
        </w:rPr>
        <w:t xml:space="preserve">i </w:t>
      </w:r>
      <w:r w:rsidRPr="00F24057">
        <w:rPr>
          <w:szCs w:val="22"/>
          <w:lang w:val="sr-Latn-ME"/>
        </w:rPr>
        <w:t>adalimumab</w:t>
      </w:r>
      <w:r w:rsidR="003557F4" w:rsidRPr="00F24057">
        <w:rPr>
          <w:szCs w:val="22"/>
          <w:lang w:val="sr-Latn-ME"/>
        </w:rPr>
        <w:t>a</w:t>
      </w:r>
      <w:r w:rsidRPr="00F24057">
        <w:rPr>
          <w:szCs w:val="22"/>
          <w:lang w:val="sr-Latn-ME"/>
        </w:rPr>
        <w:t xml:space="preserve"> bez istovremen</w:t>
      </w:r>
      <w:r w:rsidR="003557F4" w:rsidRPr="00F24057">
        <w:rPr>
          <w:szCs w:val="22"/>
          <w:lang w:val="sr-Latn-ME"/>
        </w:rPr>
        <w:t>e</w:t>
      </w:r>
      <w:r w:rsidRPr="00F24057">
        <w:rPr>
          <w:szCs w:val="22"/>
          <w:lang w:val="sr-Latn-ME"/>
        </w:rPr>
        <w:t xml:space="preserve"> </w:t>
      </w:r>
      <w:r w:rsidR="0030064A" w:rsidRPr="00F24057">
        <w:rPr>
          <w:szCs w:val="22"/>
          <w:lang w:val="sr-Latn-ME"/>
        </w:rPr>
        <w:t>primjen</w:t>
      </w:r>
      <w:r w:rsidR="003557F4" w:rsidRPr="00F24057">
        <w:rPr>
          <w:szCs w:val="22"/>
          <w:lang w:val="sr-Latn-ME"/>
        </w:rPr>
        <w:t>e</w:t>
      </w:r>
      <w:r w:rsidRPr="00F24057">
        <w:rPr>
          <w:szCs w:val="22"/>
          <w:lang w:val="sr-Latn-ME"/>
        </w:rPr>
        <w:t xml:space="preserve"> metotreksat</w:t>
      </w:r>
      <w:r w:rsidR="003557F4" w:rsidRPr="00F24057">
        <w:rPr>
          <w:szCs w:val="22"/>
          <w:lang w:val="sr-Latn-ME"/>
        </w:rPr>
        <w:t>a</w:t>
      </w:r>
      <w:r w:rsidRPr="00F24057">
        <w:rPr>
          <w:szCs w:val="22"/>
          <w:lang w:val="sr-Latn-ME"/>
        </w:rPr>
        <w:t>.</w:t>
      </w:r>
    </w:p>
    <w:p w14:paraId="303CC9C5" w14:textId="77777777" w:rsidR="00171738" w:rsidRPr="00F24057" w:rsidRDefault="00171738" w:rsidP="00D70B34">
      <w:pPr>
        <w:rPr>
          <w:szCs w:val="22"/>
          <w:lang w:val="sr-Latn-ME"/>
        </w:rPr>
      </w:pPr>
    </w:p>
    <w:p w14:paraId="54E573D6" w14:textId="68BD8B3B" w:rsidR="00171738" w:rsidRPr="00F24057" w:rsidRDefault="00171738" w:rsidP="00D70B34">
      <w:pPr>
        <w:rPr>
          <w:b/>
          <w:bCs/>
          <w:szCs w:val="22"/>
          <w:lang w:val="sr-Latn-ME"/>
        </w:rPr>
      </w:pPr>
      <w:r w:rsidRPr="00F24057">
        <w:rPr>
          <w:b/>
          <w:bCs/>
          <w:szCs w:val="22"/>
          <w:lang w:val="sr-Latn-ME"/>
        </w:rPr>
        <w:t>Tabela 6. Doza adalimumab</w:t>
      </w:r>
      <w:r w:rsidR="0044184C" w:rsidRPr="00F24057">
        <w:rPr>
          <w:b/>
          <w:bCs/>
          <w:szCs w:val="22"/>
          <w:lang w:val="sr-Latn-ME"/>
        </w:rPr>
        <w:t>a</w:t>
      </w:r>
      <w:r w:rsidRPr="00F24057">
        <w:rPr>
          <w:b/>
          <w:bCs/>
          <w:szCs w:val="22"/>
          <w:lang w:val="sr-Latn-ME"/>
        </w:rPr>
        <w:t xml:space="preserve"> </w:t>
      </w:r>
      <w:r w:rsidR="00A3640C" w:rsidRPr="00F24057">
        <w:rPr>
          <w:b/>
          <w:bCs/>
          <w:szCs w:val="22"/>
          <w:lang w:val="sr-Latn-ME"/>
        </w:rPr>
        <w:t xml:space="preserve">kod </w:t>
      </w:r>
      <w:r w:rsidRPr="00F24057">
        <w:rPr>
          <w:b/>
          <w:bCs/>
          <w:szCs w:val="22"/>
          <w:lang w:val="sr-Latn-ME"/>
        </w:rPr>
        <w:t>pedijatrijsk</w:t>
      </w:r>
      <w:r w:rsidR="00A3640C" w:rsidRPr="00F24057">
        <w:rPr>
          <w:b/>
          <w:bCs/>
          <w:szCs w:val="22"/>
          <w:lang w:val="sr-Latn-ME"/>
        </w:rPr>
        <w:t>ih</w:t>
      </w:r>
      <w:r w:rsidRPr="00F24057">
        <w:rPr>
          <w:b/>
          <w:bCs/>
          <w:szCs w:val="22"/>
          <w:lang w:val="sr-Latn-ME"/>
        </w:rPr>
        <w:t xml:space="preserve"> pacijen</w:t>
      </w:r>
      <w:r w:rsidR="00A3640C" w:rsidRPr="00F24057">
        <w:rPr>
          <w:b/>
          <w:bCs/>
          <w:szCs w:val="22"/>
          <w:lang w:val="sr-Latn-ME"/>
        </w:rPr>
        <w:t>ata</w:t>
      </w:r>
      <w:r w:rsidRPr="00F24057">
        <w:rPr>
          <w:b/>
          <w:bCs/>
          <w:szCs w:val="22"/>
          <w:lang w:val="sr-Latn-ME"/>
        </w:rPr>
        <w:t xml:space="preserve"> sa uveitisom</w:t>
      </w:r>
    </w:p>
    <w:p w14:paraId="71F9FE8D" w14:textId="77777777" w:rsidR="003557F4" w:rsidRPr="00F24057" w:rsidRDefault="003557F4"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398"/>
        <w:gridCol w:w="5619"/>
      </w:tblGrid>
      <w:tr w:rsidR="00171738" w:rsidRPr="00F24057" w14:paraId="168FA395" w14:textId="77777777" w:rsidTr="00052B0C">
        <w:trPr>
          <w:trHeight w:val="20"/>
        </w:trPr>
        <w:tc>
          <w:tcPr>
            <w:tcW w:w="1884" w:type="pct"/>
            <w:tcBorders>
              <w:top w:val="single" w:sz="4" w:space="0" w:color="FFFFFF" w:themeColor="background1"/>
              <w:left w:val="single" w:sz="4" w:space="0" w:color="FFFFFF" w:themeColor="background1"/>
              <w:right w:val="single" w:sz="4" w:space="0" w:color="FFFFFF" w:themeColor="background1"/>
            </w:tcBorders>
            <w:vAlign w:val="center"/>
          </w:tcPr>
          <w:p w14:paraId="7BDCFB03" w14:textId="608D875F" w:rsidR="00171738" w:rsidRPr="00F24057" w:rsidRDefault="007E5568" w:rsidP="00D70B34">
            <w:pPr>
              <w:jc w:val="center"/>
              <w:rPr>
                <w:b/>
                <w:bCs/>
                <w:szCs w:val="22"/>
                <w:lang w:val="sr-Latn-ME"/>
              </w:rPr>
            </w:pPr>
            <w:r w:rsidRPr="00F24057">
              <w:rPr>
                <w:b/>
                <w:bCs/>
                <w:szCs w:val="22"/>
                <w:lang w:val="sr-Latn-ME"/>
              </w:rPr>
              <w:t>Tjeles</w:t>
            </w:r>
            <w:r w:rsidR="00171738" w:rsidRPr="00F24057">
              <w:rPr>
                <w:b/>
                <w:bCs/>
                <w:szCs w:val="22"/>
                <w:lang w:val="sr-Latn-ME"/>
              </w:rPr>
              <w:t>na masa pacijenta</w:t>
            </w:r>
          </w:p>
        </w:tc>
        <w:tc>
          <w:tcPr>
            <w:tcW w:w="3116" w:type="pct"/>
            <w:tcBorders>
              <w:top w:val="single" w:sz="4" w:space="0" w:color="FFFFFF" w:themeColor="background1"/>
              <w:left w:val="single" w:sz="4" w:space="0" w:color="FFFFFF" w:themeColor="background1"/>
              <w:right w:val="single" w:sz="4" w:space="0" w:color="FFFFFF" w:themeColor="background1"/>
            </w:tcBorders>
            <w:vAlign w:val="center"/>
          </w:tcPr>
          <w:p w14:paraId="679692EE" w14:textId="22478EBD" w:rsidR="00171738" w:rsidRPr="00F24057" w:rsidRDefault="00171738" w:rsidP="00D70B34">
            <w:pPr>
              <w:jc w:val="center"/>
              <w:rPr>
                <w:b/>
                <w:bCs/>
                <w:szCs w:val="22"/>
                <w:lang w:val="sr-Latn-ME"/>
              </w:rPr>
            </w:pPr>
            <w:r w:rsidRPr="00F24057">
              <w:rPr>
                <w:b/>
                <w:bCs/>
                <w:szCs w:val="22"/>
                <w:lang w:val="sr-Latn-ME"/>
              </w:rPr>
              <w:t>Režim doziranja</w:t>
            </w:r>
          </w:p>
        </w:tc>
      </w:tr>
      <w:tr w:rsidR="00171738" w:rsidRPr="00F24057" w14:paraId="7C4724B0" w14:textId="77777777" w:rsidTr="00052B0C">
        <w:trPr>
          <w:trHeight w:val="20"/>
        </w:trPr>
        <w:tc>
          <w:tcPr>
            <w:tcW w:w="1884" w:type="pct"/>
            <w:tcBorders>
              <w:left w:val="single" w:sz="4" w:space="0" w:color="FFFFFF" w:themeColor="background1"/>
              <w:right w:val="single" w:sz="4" w:space="0" w:color="FFFFFF" w:themeColor="background1"/>
            </w:tcBorders>
            <w:vAlign w:val="center"/>
          </w:tcPr>
          <w:p w14:paraId="1F834CEB" w14:textId="7FB81802" w:rsidR="00171738" w:rsidRPr="00F24057" w:rsidRDefault="00171738" w:rsidP="00D70B34">
            <w:pPr>
              <w:jc w:val="center"/>
              <w:rPr>
                <w:b/>
                <w:bCs/>
                <w:szCs w:val="22"/>
                <w:lang w:val="sr-Latn-ME"/>
              </w:rPr>
            </w:pPr>
            <w:r w:rsidRPr="00F24057">
              <w:rPr>
                <w:szCs w:val="22"/>
                <w:lang w:val="sr-Latn-ME"/>
              </w:rPr>
              <w:t>&lt; 30 kg</w:t>
            </w:r>
          </w:p>
        </w:tc>
        <w:tc>
          <w:tcPr>
            <w:tcW w:w="3116" w:type="pct"/>
            <w:tcBorders>
              <w:left w:val="single" w:sz="4" w:space="0" w:color="FFFFFF" w:themeColor="background1"/>
              <w:right w:val="single" w:sz="4" w:space="0" w:color="FFFFFF" w:themeColor="background1"/>
            </w:tcBorders>
            <w:vAlign w:val="center"/>
          </w:tcPr>
          <w:p w14:paraId="0B2A9948" w14:textId="1ED66714" w:rsidR="00171738" w:rsidRPr="00F24057" w:rsidRDefault="00171738" w:rsidP="00D70B34">
            <w:pPr>
              <w:jc w:val="center"/>
              <w:rPr>
                <w:b/>
                <w:bCs/>
                <w:szCs w:val="22"/>
                <w:lang w:val="sr-Latn-ME"/>
              </w:rPr>
            </w:pPr>
            <w:r w:rsidRPr="00F24057">
              <w:rPr>
                <w:szCs w:val="22"/>
                <w:lang w:val="sr-Latn-ME"/>
              </w:rPr>
              <w:t>–</w:t>
            </w:r>
          </w:p>
        </w:tc>
      </w:tr>
      <w:tr w:rsidR="00171738" w:rsidRPr="00F24057" w14:paraId="587F8980" w14:textId="77777777" w:rsidTr="00052B0C">
        <w:trPr>
          <w:trHeight w:val="20"/>
        </w:trPr>
        <w:tc>
          <w:tcPr>
            <w:tcW w:w="1884" w:type="pct"/>
            <w:tcBorders>
              <w:left w:val="single" w:sz="4" w:space="0" w:color="FFFFFF" w:themeColor="background1"/>
              <w:right w:val="single" w:sz="4" w:space="0" w:color="FFFFFF" w:themeColor="background1"/>
            </w:tcBorders>
            <w:vAlign w:val="center"/>
          </w:tcPr>
          <w:p w14:paraId="5057635B" w14:textId="56CC760A" w:rsidR="00171738" w:rsidRPr="00F24057" w:rsidRDefault="00171738" w:rsidP="00D70B34">
            <w:pPr>
              <w:jc w:val="center"/>
              <w:rPr>
                <w:b/>
                <w:bCs/>
                <w:szCs w:val="22"/>
                <w:lang w:val="sr-Latn-ME"/>
              </w:rPr>
            </w:pPr>
            <w:r w:rsidRPr="00F24057">
              <w:rPr>
                <w:szCs w:val="22"/>
                <w:lang w:val="sr-Latn-ME"/>
              </w:rPr>
              <w:t>≥ 30 kg</w:t>
            </w:r>
          </w:p>
        </w:tc>
        <w:tc>
          <w:tcPr>
            <w:tcW w:w="3116" w:type="pct"/>
            <w:tcBorders>
              <w:left w:val="single" w:sz="4" w:space="0" w:color="FFFFFF" w:themeColor="background1"/>
              <w:right w:val="single" w:sz="4" w:space="0" w:color="FFFFFF" w:themeColor="background1"/>
            </w:tcBorders>
            <w:vAlign w:val="center"/>
          </w:tcPr>
          <w:p w14:paraId="438B77CB" w14:textId="7BCACB99" w:rsidR="00171738" w:rsidRPr="00F24057" w:rsidRDefault="00171738" w:rsidP="00D70B34">
            <w:pPr>
              <w:jc w:val="center"/>
              <w:rPr>
                <w:b/>
                <w:bCs/>
                <w:szCs w:val="22"/>
                <w:lang w:val="sr-Latn-ME"/>
              </w:rPr>
            </w:pPr>
            <w:r w:rsidRPr="00F24057">
              <w:rPr>
                <w:szCs w:val="22"/>
                <w:lang w:val="sr-Latn-ME"/>
              </w:rPr>
              <w:t xml:space="preserve">40 mg svake druge </w:t>
            </w:r>
            <w:r w:rsidR="00885A78" w:rsidRPr="00F24057">
              <w:rPr>
                <w:szCs w:val="22"/>
                <w:lang w:val="sr-Latn-ME"/>
              </w:rPr>
              <w:t>nedjelj</w:t>
            </w:r>
            <w:r w:rsidRPr="00F24057">
              <w:rPr>
                <w:szCs w:val="22"/>
                <w:lang w:val="sr-Latn-ME"/>
              </w:rPr>
              <w:t>e u kombinaciji sa metotreksatom</w:t>
            </w:r>
          </w:p>
        </w:tc>
      </w:tr>
    </w:tbl>
    <w:p w14:paraId="071DE31C" w14:textId="77777777" w:rsidR="00171738" w:rsidRPr="00F24057" w:rsidRDefault="00171738" w:rsidP="00D70B34">
      <w:pPr>
        <w:rPr>
          <w:szCs w:val="22"/>
          <w:lang w:val="sr-Latn-ME"/>
        </w:rPr>
      </w:pPr>
    </w:p>
    <w:p w14:paraId="5A067600" w14:textId="3F5524E0" w:rsidR="00171738" w:rsidRPr="00F24057" w:rsidRDefault="00171738" w:rsidP="00D70B34">
      <w:pPr>
        <w:rPr>
          <w:szCs w:val="22"/>
          <w:lang w:val="sr-Latn-ME"/>
        </w:rPr>
      </w:pPr>
      <w:r w:rsidRPr="00F24057">
        <w:rPr>
          <w:szCs w:val="22"/>
          <w:lang w:val="sr-Latn-ME"/>
        </w:rPr>
        <w:t xml:space="preserve">Kad se uvodi </w:t>
      </w:r>
      <w:r w:rsidR="00B36D6C" w:rsidRPr="00F24057">
        <w:rPr>
          <w:szCs w:val="22"/>
          <w:lang w:val="sr-Latn-ME"/>
        </w:rPr>
        <w:t>terapij</w:t>
      </w:r>
      <w:r w:rsidR="00601E32" w:rsidRPr="00F24057">
        <w:rPr>
          <w:szCs w:val="22"/>
          <w:lang w:val="sr-Latn-ME"/>
        </w:rPr>
        <w:t>a</w:t>
      </w:r>
      <w:r w:rsidRPr="00F24057">
        <w:rPr>
          <w:szCs w:val="22"/>
          <w:lang w:val="sr-Latn-ME"/>
        </w:rPr>
        <w:t xml:space="preserve"> </w:t>
      </w:r>
      <w:r w:rsidR="00885A78" w:rsidRPr="00F24057">
        <w:rPr>
          <w:szCs w:val="22"/>
          <w:lang w:val="sr-Latn-ME"/>
        </w:rPr>
        <w:t>lijekom</w:t>
      </w:r>
      <w:r w:rsidRPr="00F24057">
        <w:rPr>
          <w:szCs w:val="22"/>
          <w:lang w:val="sr-Latn-ME"/>
        </w:rPr>
        <w:t xml:space="preserve"> Hukyndra može se </w:t>
      </w:r>
      <w:r w:rsidR="009811CA" w:rsidRPr="00F24057">
        <w:rPr>
          <w:szCs w:val="22"/>
          <w:lang w:val="sr-Latn-ME"/>
        </w:rPr>
        <w:t>primijeniti</w:t>
      </w:r>
      <w:r w:rsidRPr="00F24057">
        <w:rPr>
          <w:szCs w:val="22"/>
          <w:lang w:val="sr-Latn-ME"/>
        </w:rPr>
        <w:t xml:space="preserve"> udarna doza od 40 mg </w:t>
      </w:r>
      <w:r w:rsidR="00601E32" w:rsidRPr="00F24057">
        <w:rPr>
          <w:szCs w:val="22"/>
          <w:lang w:val="sr-Latn-ME"/>
        </w:rPr>
        <w:t>kod</w:t>
      </w:r>
      <w:r w:rsidRPr="00F24057">
        <w:rPr>
          <w:szCs w:val="22"/>
          <w:lang w:val="sr-Latn-ME"/>
        </w:rPr>
        <w:t xml:space="preserve"> pacijen</w:t>
      </w:r>
      <w:r w:rsidR="00601E32" w:rsidRPr="00F24057">
        <w:rPr>
          <w:szCs w:val="22"/>
          <w:lang w:val="sr-Latn-ME"/>
        </w:rPr>
        <w:t>ata</w:t>
      </w:r>
      <w:r w:rsidRPr="00F24057">
        <w:rPr>
          <w:szCs w:val="22"/>
          <w:lang w:val="sr-Latn-ME"/>
        </w:rPr>
        <w:t xml:space="preserve"> </w:t>
      </w:r>
      <w:r w:rsidR="007E5568" w:rsidRPr="00F24057">
        <w:rPr>
          <w:szCs w:val="22"/>
          <w:lang w:val="sr-Latn-ME"/>
        </w:rPr>
        <w:t>tjeles</w:t>
      </w:r>
      <w:r w:rsidRPr="00F24057">
        <w:rPr>
          <w:szCs w:val="22"/>
          <w:lang w:val="sr-Latn-ME"/>
        </w:rPr>
        <w:t xml:space="preserve">ne mase &lt; 30 kg ili 80 mg </w:t>
      </w:r>
      <w:r w:rsidR="00601E32" w:rsidRPr="00F24057">
        <w:rPr>
          <w:szCs w:val="22"/>
          <w:lang w:val="sr-Latn-ME"/>
        </w:rPr>
        <w:t>kod</w:t>
      </w:r>
      <w:r w:rsidRPr="00F24057">
        <w:rPr>
          <w:szCs w:val="22"/>
          <w:lang w:val="sr-Latn-ME"/>
        </w:rPr>
        <w:t xml:space="preserve"> pacijen</w:t>
      </w:r>
      <w:r w:rsidR="00601E32" w:rsidRPr="00F24057">
        <w:rPr>
          <w:szCs w:val="22"/>
          <w:lang w:val="sr-Latn-ME"/>
        </w:rPr>
        <w:t>a</w:t>
      </w:r>
      <w:r w:rsidRPr="00F24057">
        <w:rPr>
          <w:szCs w:val="22"/>
          <w:lang w:val="sr-Latn-ME"/>
        </w:rPr>
        <w:t>t</w:t>
      </w:r>
      <w:r w:rsidR="00601E32" w:rsidRPr="00F24057">
        <w:rPr>
          <w:szCs w:val="22"/>
          <w:lang w:val="sr-Latn-ME"/>
        </w:rPr>
        <w:t>a</w:t>
      </w:r>
      <w:r w:rsidRPr="00F24057">
        <w:rPr>
          <w:szCs w:val="22"/>
          <w:lang w:val="sr-Latn-ME"/>
        </w:rPr>
        <w:t xml:space="preserve"> </w:t>
      </w:r>
      <w:r w:rsidR="007E5568" w:rsidRPr="00F24057">
        <w:rPr>
          <w:szCs w:val="22"/>
          <w:lang w:val="sr-Latn-ME"/>
        </w:rPr>
        <w:t>tjeles</w:t>
      </w:r>
      <w:r w:rsidRPr="00F24057">
        <w:rPr>
          <w:szCs w:val="22"/>
          <w:lang w:val="sr-Latn-ME"/>
        </w:rPr>
        <w:t xml:space="preserve">ne mase ≥ 30 kg </w:t>
      </w:r>
      <w:r w:rsidR="00885A78" w:rsidRPr="00F24057">
        <w:rPr>
          <w:szCs w:val="22"/>
          <w:lang w:val="sr-Latn-ME"/>
        </w:rPr>
        <w:t>nedjelj</w:t>
      </w:r>
      <w:r w:rsidRPr="00F24057">
        <w:rPr>
          <w:szCs w:val="22"/>
          <w:lang w:val="sr-Latn-ME"/>
        </w:rPr>
        <w:t xml:space="preserve">u dana </w:t>
      </w:r>
      <w:r w:rsidR="00885A78" w:rsidRPr="00F24057">
        <w:rPr>
          <w:szCs w:val="22"/>
          <w:lang w:val="sr-Latn-ME"/>
        </w:rPr>
        <w:t xml:space="preserve">prije </w:t>
      </w:r>
      <w:r w:rsidRPr="00F24057">
        <w:rPr>
          <w:szCs w:val="22"/>
          <w:lang w:val="sr-Latn-ME"/>
        </w:rPr>
        <w:t xml:space="preserve">početka terapije održavanja. Nisu dostupni klinički podaci o </w:t>
      </w:r>
      <w:r w:rsidR="0030064A" w:rsidRPr="00F24057">
        <w:rPr>
          <w:szCs w:val="22"/>
          <w:lang w:val="sr-Latn-ME"/>
        </w:rPr>
        <w:t>primjen</w:t>
      </w:r>
      <w:r w:rsidRPr="00F24057">
        <w:rPr>
          <w:szCs w:val="22"/>
          <w:lang w:val="sr-Latn-ME"/>
        </w:rPr>
        <w:t xml:space="preserve">i udarne doze adalimumaba kod </w:t>
      </w:r>
      <w:r w:rsidR="0030064A" w:rsidRPr="00F24057">
        <w:rPr>
          <w:szCs w:val="22"/>
          <w:lang w:val="sr-Latn-ME"/>
        </w:rPr>
        <w:t>djece</w:t>
      </w:r>
      <w:r w:rsidRPr="00F24057">
        <w:rPr>
          <w:szCs w:val="22"/>
          <w:lang w:val="sr-Latn-ME"/>
        </w:rPr>
        <w:t xml:space="preserve"> uzrast</w:t>
      </w:r>
      <w:r w:rsidR="00771881" w:rsidRPr="00F24057">
        <w:rPr>
          <w:szCs w:val="22"/>
          <w:lang w:val="sr-Latn-ME"/>
        </w:rPr>
        <w:t>a</w:t>
      </w:r>
      <w:r w:rsidRPr="00F24057">
        <w:rPr>
          <w:szCs w:val="22"/>
          <w:lang w:val="sr-Latn-ME"/>
        </w:rPr>
        <w:t xml:space="preserve"> &lt; 6 godina (</w:t>
      </w:r>
      <w:r w:rsidR="007B39D0" w:rsidRPr="00F24057">
        <w:rPr>
          <w:szCs w:val="22"/>
          <w:lang w:val="sr-Latn-ME"/>
        </w:rPr>
        <w:t xml:space="preserve">pogledati dio </w:t>
      </w:r>
      <w:r w:rsidRPr="00F24057">
        <w:rPr>
          <w:szCs w:val="22"/>
          <w:lang w:val="sr-Latn-ME"/>
        </w:rPr>
        <w:t xml:space="preserve">5.2). </w:t>
      </w:r>
    </w:p>
    <w:p w14:paraId="5999D299" w14:textId="77777777" w:rsidR="00171738" w:rsidRPr="00F24057" w:rsidRDefault="00171738" w:rsidP="00D70B34">
      <w:pPr>
        <w:rPr>
          <w:szCs w:val="22"/>
          <w:lang w:val="sr-Latn-ME"/>
        </w:rPr>
      </w:pPr>
    </w:p>
    <w:p w14:paraId="603C5979" w14:textId="1025921F" w:rsidR="00171738" w:rsidRPr="00F24057" w:rsidRDefault="00171738" w:rsidP="00D70B34">
      <w:pPr>
        <w:rPr>
          <w:szCs w:val="22"/>
          <w:lang w:val="sr-Latn-ME"/>
        </w:rPr>
      </w:pPr>
      <w:r w:rsidRPr="00F24057">
        <w:rPr>
          <w:szCs w:val="22"/>
          <w:lang w:val="sr-Latn-ME"/>
        </w:rPr>
        <w:t xml:space="preserve">Nema relevantne </w:t>
      </w:r>
      <w:r w:rsidR="0030064A" w:rsidRPr="00F24057">
        <w:rPr>
          <w:szCs w:val="22"/>
          <w:lang w:val="sr-Latn-ME"/>
        </w:rPr>
        <w:t>primjen</w:t>
      </w:r>
      <w:r w:rsidRPr="00F24057">
        <w:rPr>
          <w:szCs w:val="22"/>
          <w:lang w:val="sr-Latn-ME"/>
        </w:rPr>
        <w:t xml:space="preserve">e </w:t>
      </w:r>
      <w:r w:rsidR="00885A78" w:rsidRPr="00F24057">
        <w:rPr>
          <w:szCs w:val="22"/>
          <w:lang w:val="sr-Latn-ME"/>
        </w:rPr>
        <w:t xml:space="preserve">lijeka </w:t>
      </w:r>
      <w:r w:rsidRPr="00F24057">
        <w:rPr>
          <w:szCs w:val="22"/>
          <w:lang w:val="sr-Latn-ME"/>
        </w:rPr>
        <w:t xml:space="preserve">adalimumab kod </w:t>
      </w:r>
      <w:r w:rsidR="0030064A" w:rsidRPr="00F24057">
        <w:rPr>
          <w:szCs w:val="22"/>
          <w:lang w:val="sr-Latn-ME"/>
        </w:rPr>
        <w:t>djece</w:t>
      </w:r>
      <w:r w:rsidRPr="00F24057">
        <w:rPr>
          <w:szCs w:val="22"/>
          <w:lang w:val="sr-Latn-ME"/>
        </w:rPr>
        <w:t xml:space="preserve"> mlađe od 2 godine u ovoj indikaciji. </w:t>
      </w:r>
    </w:p>
    <w:p w14:paraId="12DC72C0" w14:textId="77777777" w:rsidR="00171738" w:rsidRPr="00F24057" w:rsidRDefault="00171738" w:rsidP="00D70B34">
      <w:pPr>
        <w:rPr>
          <w:szCs w:val="22"/>
          <w:lang w:val="sr-Latn-ME"/>
        </w:rPr>
      </w:pPr>
    </w:p>
    <w:p w14:paraId="57B01432" w14:textId="39E85E84" w:rsidR="00171738" w:rsidRPr="00F24057" w:rsidRDefault="00171738" w:rsidP="00D70B34">
      <w:pPr>
        <w:rPr>
          <w:szCs w:val="22"/>
          <w:lang w:val="sr-Latn-ME"/>
        </w:rPr>
      </w:pPr>
      <w:r w:rsidRPr="00F24057">
        <w:rPr>
          <w:szCs w:val="22"/>
          <w:lang w:val="sr-Latn-ME"/>
        </w:rPr>
        <w:t>Preporučuje se da se svake godine oc</w:t>
      </w:r>
      <w:r w:rsidR="00733F79" w:rsidRPr="00F24057">
        <w:rPr>
          <w:szCs w:val="22"/>
          <w:lang w:val="sr-Latn-ME"/>
        </w:rPr>
        <w:t>i</w:t>
      </w:r>
      <w:r w:rsidR="009A3407" w:rsidRPr="00F24057">
        <w:rPr>
          <w:szCs w:val="22"/>
          <w:lang w:val="sr-Latn-ME"/>
        </w:rPr>
        <w:t>j</w:t>
      </w:r>
      <w:r w:rsidRPr="00F24057">
        <w:rPr>
          <w:szCs w:val="22"/>
          <w:lang w:val="sr-Latn-ME"/>
        </w:rPr>
        <w:t>eni odnos koristi i rizika kontinuirane dugotrajne terapije (</w:t>
      </w:r>
      <w:r w:rsidR="007B39D0" w:rsidRPr="00F24057">
        <w:rPr>
          <w:szCs w:val="22"/>
          <w:lang w:val="sr-Latn-ME"/>
        </w:rPr>
        <w:t xml:space="preserve">pogledati dio </w:t>
      </w:r>
      <w:r w:rsidRPr="00F24057">
        <w:rPr>
          <w:szCs w:val="22"/>
          <w:lang w:val="sr-Latn-ME"/>
        </w:rPr>
        <w:t xml:space="preserve">5.1). </w:t>
      </w:r>
    </w:p>
    <w:p w14:paraId="3C7BAD67" w14:textId="77777777" w:rsidR="00171738" w:rsidRPr="00F24057" w:rsidRDefault="00171738" w:rsidP="00D70B34">
      <w:pPr>
        <w:rPr>
          <w:szCs w:val="22"/>
          <w:lang w:val="sr-Latn-ME"/>
        </w:rPr>
      </w:pPr>
    </w:p>
    <w:p w14:paraId="2BCE8305" w14:textId="667C3565" w:rsidR="00B076A7" w:rsidRPr="00F24057" w:rsidRDefault="00B076A7" w:rsidP="00D70B34">
      <w:pPr>
        <w:rPr>
          <w:szCs w:val="22"/>
          <w:u w:val="single"/>
          <w:lang w:val="sr-Latn-ME"/>
        </w:rPr>
      </w:pPr>
      <w:r w:rsidRPr="00F24057">
        <w:rPr>
          <w:szCs w:val="22"/>
          <w:u w:val="single"/>
          <w:lang w:val="sr-Latn-ME"/>
        </w:rPr>
        <w:t xml:space="preserve">Način </w:t>
      </w:r>
      <w:r w:rsidR="0030064A" w:rsidRPr="00F24057">
        <w:rPr>
          <w:szCs w:val="22"/>
          <w:u w:val="single"/>
          <w:lang w:val="sr-Latn-ME"/>
        </w:rPr>
        <w:t>primjen</w:t>
      </w:r>
      <w:r w:rsidRPr="00F24057">
        <w:rPr>
          <w:szCs w:val="22"/>
          <w:u w:val="single"/>
          <w:lang w:val="sr-Latn-ME"/>
        </w:rPr>
        <w:t xml:space="preserve">e </w:t>
      </w:r>
    </w:p>
    <w:p w14:paraId="0D1B6989" w14:textId="77777777" w:rsidR="00B076A7" w:rsidRPr="00F24057" w:rsidRDefault="00B076A7" w:rsidP="00D70B34">
      <w:pPr>
        <w:rPr>
          <w:szCs w:val="22"/>
          <w:lang w:val="sr-Latn-ME"/>
        </w:rPr>
      </w:pPr>
    </w:p>
    <w:p w14:paraId="11540830" w14:textId="45537BCF" w:rsidR="00B076A7" w:rsidRPr="00F24057" w:rsidRDefault="0030064A" w:rsidP="00D70B34">
      <w:pPr>
        <w:rPr>
          <w:szCs w:val="22"/>
          <w:lang w:val="sr-Latn-ME"/>
        </w:rPr>
      </w:pPr>
      <w:r w:rsidRPr="00F24057">
        <w:rPr>
          <w:szCs w:val="22"/>
          <w:lang w:val="sr-Latn-ME"/>
        </w:rPr>
        <w:lastRenderedPageBreak/>
        <w:t xml:space="preserve">Lijek </w:t>
      </w:r>
      <w:r w:rsidR="00B076A7" w:rsidRPr="00F24057">
        <w:rPr>
          <w:szCs w:val="22"/>
          <w:lang w:val="sr-Latn-ME"/>
        </w:rPr>
        <w:t xml:space="preserve">Hukyndra se </w:t>
      </w:r>
      <w:r w:rsidRPr="00F24057">
        <w:rPr>
          <w:szCs w:val="22"/>
          <w:lang w:val="sr-Latn-ME"/>
        </w:rPr>
        <w:t>primjen</w:t>
      </w:r>
      <w:r w:rsidR="00B076A7" w:rsidRPr="00F24057">
        <w:rPr>
          <w:szCs w:val="22"/>
          <w:lang w:val="sr-Latn-ME"/>
        </w:rPr>
        <w:t xml:space="preserve">juje supkutanom injekcijom. Detaljne instrukcije za </w:t>
      </w:r>
      <w:r w:rsidRPr="00F24057">
        <w:rPr>
          <w:szCs w:val="22"/>
          <w:lang w:val="sr-Latn-ME"/>
        </w:rPr>
        <w:t>primjen</w:t>
      </w:r>
      <w:r w:rsidR="00B076A7" w:rsidRPr="00F24057">
        <w:rPr>
          <w:szCs w:val="22"/>
          <w:lang w:val="sr-Latn-ME"/>
        </w:rPr>
        <w:t xml:space="preserve">u nalaze se u Uputstvu </w:t>
      </w:r>
      <w:r w:rsidR="00A561D3" w:rsidRPr="00F24057">
        <w:rPr>
          <w:szCs w:val="22"/>
          <w:lang w:val="sr-Latn-ME"/>
        </w:rPr>
        <w:t>za</w:t>
      </w:r>
      <w:r w:rsidR="00B076A7" w:rsidRPr="00F24057">
        <w:rPr>
          <w:szCs w:val="22"/>
          <w:lang w:val="sr-Latn-ME"/>
        </w:rPr>
        <w:t xml:space="preserve"> l</w:t>
      </w:r>
      <w:r w:rsidR="009A3407" w:rsidRPr="00F24057">
        <w:rPr>
          <w:szCs w:val="22"/>
          <w:lang w:val="sr-Latn-ME"/>
        </w:rPr>
        <w:t>ij</w:t>
      </w:r>
      <w:r w:rsidR="00B076A7" w:rsidRPr="00F24057">
        <w:rPr>
          <w:szCs w:val="22"/>
          <w:lang w:val="sr-Latn-ME"/>
        </w:rPr>
        <w:t xml:space="preserve">ek. </w:t>
      </w:r>
    </w:p>
    <w:p w14:paraId="1552798A" w14:textId="77777777" w:rsidR="00835820" w:rsidRPr="00F24057" w:rsidRDefault="00835820" w:rsidP="00D70B34">
      <w:pPr>
        <w:rPr>
          <w:szCs w:val="22"/>
          <w:lang w:val="sr-Latn-ME"/>
        </w:rPr>
      </w:pPr>
    </w:p>
    <w:p w14:paraId="2B85F031" w14:textId="79AF55B9" w:rsidR="00B076A7" w:rsidRPr="00F24057" w:rsidRDefault="0030064A" w:rsidP="00D70B34">
      <w:pPr>
        <w:rPr>
          <w:szCs w:val="22"/>
          <w:lang w:val="sr-Latn-ME"/>
        </w:rPr>
      </w:pPr>
      <w:r w:rsidRPr="00F24057">
        <w:rPr>
          <w:szCs w:val="22"/>
          <w:lang w:val="sr-Latn-ME"/>
        </w:rPr>
        <w:t xml:space="preserve">Lijek </w:t>
      </w:r>
      <w:r w:rsidR="00B076A7" w:rsidRPr="00F24057">
        <w:rPr>
          <w:szCs w:val="22"/>
          <w:lang w:val="sr-Latn-ME"/>
        </w:rPr>
        <w:t xml:space="preserve">Hukyndra je dostupan samo kao napunjeni injekcioni špric od 40 mg, napunjeni injekcioni pen od 40 mg i napunjen injekcioni špric od 80 mg. Stoga, nije </w:t>
      </w:r>
      <w:r w:rsidR="00835820" w:rsidRPr="00F24057">
        <w:rPr>
          <w:szCs w:val="22"/>
          <w:lang w:val="sr-Latn-ME"/>
        </w:rPr>
        <w:t>moguće</w:t>
      </w:r>
      <w:r w:rsidR="00B076A7" w:rsidRPr="00F24057">
        <w:rPr>
          <w:szCs w:val="22"/>
          <w:lang w:val="sr-Latn-ME"/>
        </w:rPr>
        <w:t xml:space="preserve"> </w:t>
      </w:r>
      <w:r w:rsidR="009811CA" w:rsidRPr="00F24057">
        <w:rPr>
          <w:szCs w:val="22"/>
          <w:lang w:val="sr-Latn-ME"/>
        </w:rPr>
        <w:t>primijeniti</w:t>
      </w:r>
      <w:r w:rsidR="00B076A7" w:rsidRPr="00F24057">
        <w:rPr>
          <w:szCs w:val="22"/>
          <w:lang w:val="sr-Latn-ME"/>
        </w:rPr>
        <w:t xml:space="preserve"> </w:t>
      </w:r>
      <w:r w:rsidRPr="00F24057">
        <w:rPr>
          <w:szCs w:val="22"/>
          <w:lang w:val="sr-Latn-ME"/>
        </w:rPr>
        <w:t xml:space="preserve">lijek </w:t>
      </w:r>
      <w:r w:rsidR="00B076A7" w:rsidRPr="00F24057">
        <w:rPr>
          <w:szCs w:val="22"/>
          <w:lang w:val="sr-Latn-ME"/>
        </w:rPr>
        <w:t xml:space="preserve">Hukyndra </w:t>
      </w:r>
      <w:r w:rsidR="00813E14" w:rsidRPr="00F24057">
        <w:rPr>
          <w:szCs w:val="22"/>
          <w:lang w:val="sr-Latn-ME"/>
        </w:rPr>
        <w:t>kod pacijenata</w:t>
      </w:r>
      <w:r w:rsidR="00B076A7" w:rsidRPr="00F24057">
        <w:rPr>
          <w:szCs w:val="22"/>
          <w:lang w:val="sr-Latn-ME"/>
        </w:rPr>
        <w:t xml:space="preserve"> kojima je potrebna manja doza od 40 mg. Ako je potrebna alternativna doza, treba koristiti druge </w:t>
      </w:r>
      <w:r w:rsidRPr="00F24057">
        <w:rPr>
          <w:szCs w:val="22"/>
          <w:lang w:val="sr-Latn-ME"/>
        </w:rPr>
        <w:t>ljekov</w:t>
      </w:r>
      <w:r w:rsidR="009D5500" w:rsidRPr="00F24057">
        <w:rPr>
          <w:szCs w:val="22"/>
          <w:lang w:val="sr-Latn-ME"/>
        </w:rPr>
        <w:t>e koji sadrže</w:t>
      </w:r>
      <w:r w:rsidR="00B076A7" w:rsidRPr="00F24057">
        <w:rPr>
          <w:szCs w:val="22"/>
          <w:lang w:val="sr-Latn-ME"/>
        </w:rPr>
        <w:t xml:space="preserve"> adalimumab</w:t>
      </w:r>
      <w:r w:rsidR="009D5500" w:rsidRPr="00F24057">
        <w:rPr>
          <w:szCs w:val="22"/>
          <w:lang w:val="sr-Latn-ME"/>
        </w:rPr>
        <w:t xml:space="preserve"> i omogućavaju </w:t>
      </w:r>
      <w:r w:rsidRPr="00F24057">
        <w:rPr>
          <w:szCs w:val="22"/>
          <w:lang w:val="sr-Latn-ME"/>
        </w:rPr>
        <w:t>primjen</w:t>
      </w:r>
      <w:r w:rsidR="009D5500" w:rsidRPr="00F24057">
        <w:rPr>
          <w:szCs w:val="22"/>
          <w:lang w:val="sr-Latn-ME"/>
        </w:rPr>
        <w:t>u odgovarajuće doze</w:t>
      </w:r>
      <w:r w:rsidR="00B076A7" w:rsidRPr="00F24057">
        <w:rPr>
          <w:szCs w:val="22"/>
          <w:lang w:val="sr-Latn-ME"/>
        </w:rPr>
        <w:t>.</w:t>
      </w:r>
    </w:p>
    <w:p w14:paraId="55C3F686" w14:textId="77777777" w:rsidR="00171738" w:rsidRPr="00F24057" w:rsidRDefault="00171738" w:rsidP="00D70B34">
      <w:pPr>
        <w:rPr>
          <w:b/>
          <w:bCs/>
          <w:szCs w:val="22"/>
          <w:lang w:val="sr-Latn-ME"/>
        </w:rPr>
      </w:pPr>
    </w:p>
    <w:p w14:paraId="072D43C2" w14:textId="77777777" w:rsidR="00CE09F3" w:rsidRPr="00F24057" w:rsidRDefault="00CE09F3" w:rsidP="00D70B34">
      <w:pPr>
        <w:rPr>
          <w:b/>
          <w:bCs/>
          <w:szCs w:val="22"/>
          <w:lang w:val="sr-Latn-ME"/>
        </w:rPr>
      </w:pPr>
      <w:r w:rsidRPr="00F24057">
        <w:rPr>
          <w:b/>
          <w:bCs/>
          <w:szCs w:val="22"/>
          <w:lang w:val="sr-Latn-ME"/>
        </w:rPr>
        <w:t>4.3. Kontraindikacije</w:t>
      </w:r>
    </w:p>
    <w:p w14:paraId="072D43C3" w14:textId="409FEF9E" w:rsidR="00CE09F3" w:rsidRPr="00F24057" w:rsidRDefault="00CE09F3" w:rsidP="00D70B34">
      <w:pPr>
        <w:rPr>
          <w:szCs w:val="22"/>
          <w:lang w:val="sr-Latn-ME"/>
        </w:rPr>
      </w:pPr>
    </w:p>
    <w:p w14:paraId="78B7C987" w14:textId="7D22928E" w:rsidR="00B076A7" w:rsidRPr="00F24057" w:rsidRDefault="00B076A7" w:rsidP="005D6EE3">
      <w:pPr>
        <w:pStyle w:val="ListParagraph"/>
        <w:numPr>
          <w:ilvl w:val="0"/>
          <w:numId w:val="5"/>
        </w:numPr>
        <w:tabs>
          <w:tab w:val="clear" w:pos="284"/>
        </w:tabs>
        <w:rPr>
          <w:szCs w:val="22"/>
          <w:lang w:val="sr-Latn-ME"/>
        </w:rPr>
      </w:pPr>
      <w:r w:rsidRPr="00F24057">
        <w:rPr>
          <w:szCs w:val="22"/>
          <w:lang w:val="sr-Latn-ME"/>
        </w:rPr>
        <w:t>Pre</w:t>
      </w:r>
      <w:r w:rsidR="004F2520" w:rsidRPr="00F24057">
        <w:rPr>
          <w:szCs w:val="22"/>
          <w:lang w:val="sr-Latn-ME"/>
        </w:rPr>
        <w:t>osjetljivo</w:t>
      </w:r>
      <w:r w:rsidRPr="00F24057">
        <w:rPr>
          <w:szCs w:val="22"/>
          <w:lang w:val="sr-Latn-ME"/>
        </w:rPr>
        <w:t xml:space="preserve">st na aktivnu supstancu ili na bilo koju od pomoćnih supstanci navedenih u </w:t>
      </w:r>
      <w:r w:rsidR="009A3407" w:rsidRPr="00F24057">
        <w:rPr>
          <w:szCs w:val="22"/>
          <w:lang w:val="sr-Latn-ME"/>
        </w:rPr>
        <w:t>dijelu</w:t>
      </w:r>
      <w:r w:rsidRPr="00F24057">
        <w:rPr>
          <w:szCs w:val="22"/>
          <w:lang w:val="sr-Latn-ME"/>
        </w:rPr>
        <w:t xml:space="preserve"> 6.1. </w:t>
      </w:r>
    </w:p>
    <w:p w14:paraId="13587CBC" w14:textId="594575C9" w:rsidR="00B076A7" w:rsidRPr="00F24057" w:rsidRDefault="00B076A7" w:rsidP="005D6EE3">
      <w:pPr>
        <w:pStyle w:val="ListParagraph"/>
        <w:numPr>
          <w:ilvl w:val="0"/>
          <w:numId w:val="5"/>
        </w:numPr>
        <w:tabs>
          <w:tab w:val="clear" w:pos="284"/>
        </w:tabs>
        <w:rPr>
          <w:szCs w:val="22"/>
          <w:lang w:val="sr-Latn-ME"/>
        </w:rPr>
      </w:pPr>
      <w:r w:rsidRPr="00F24057">
        <w:rPr>
          <w:szCs w:val="22"/>
          <w:lang w:val="sr-Latn-ME"/>
        </w:rPr>
        <w:t>Aktivna tuberkuloza ili druge teške infekcije kao što su sepsa i oportunističke infekcije (</w:t>
      </w:r>
      <w:r w:rsidR="007B39D0" w:rsidRPr="00F24057">
        <w:rPr>
          <w:szCs w:val="22"/>
          <w:lang w:val="sr-Latn-ME"/>
        </w:rPr>
        <w:t xml:space="preserve">pogledati dio </w:t>
      </w:r>
      <w:r w:rsidRPr="00F24057">
        <w:rPr>
          <w:szCs w:val="22"/>
          <w:lang w:val="sr-Latn-ME"/>
        </w:rPr>
        <w:t xml:space="preserve">4.4). </w:t>
      </w:r>
    </w:p>
    <w:p w14:paraId="52B85E35" w14:textId="0466FFE4" w:rsidR="00B076A7" w:rsidRPr="00F24057" w:rsidRDefault="00B076A7" w:rsidP="005D6EE3">
      <w:pPr>
        <w:pStyle w:val="ListParagraph"/>
        <w:numPr>
          <w:ilvl w:val="0"/>
          <w:numId w:val="5"/>
        </w:numPr>
        <w:tabs>
          <w:tab w:val="clear" w:pos="284"/>
        </w:tabs>
        <w:rPr>
          <w:szCs w:val="22"/>
          <w:lang w:val="sr-Latn-ME"/>
        </w:rPr>
      </w:pPr>
      <w:r w:rsidRPr="00F24057">
        <w:rPr>
          <w:szCs w:val="22"/>
          <w:lang w:val="sr-Latn-ME"/>
        </w:rPr>
        <w:t>U</w:t>
      </w:r>
      <w:r w:rsidR="0030064A" w:rsidRPr="00F24057">
        <w:rPr>
          <w:szCs w:val="22"/>
          <w:lang w:val="sr-Latn-ME"/>
        </w:rPr>
        <w:t>mjeren</w:t>
      </w:r>
      <w:r w:rsidRPr="00F24057">
        <w:rPr>
          <w:szCs w:val="22"/>
          <w:lang w:val="sr-Latn-ME"/>
        </w:rPr>
        <w:t>a do teška srčana insuficijencija (NYHA klasa III/IV) (</w:t>
      </w:r>
      <w:r w:rsidR="007B39D0" w:rsidRPr="00F24057">
        <w:rPr>
          <w:szCs w:val="22"/>
          <w:lang w:val="sr-Latn-ME"/>
        </w:rPr>
        <w:t xml:space="preserve">pogledati dio </w:t>
      </w:r>
      <w:r w:rsidRPr="00F24057">
        <w:rPr>
          <w:szCs w:val="22"/>
          <w:lang w:val="sr-Latn-ME"/>
        </w:rPr>
        <w:t>4.4).</w:t>
      </w:r>
    </w:p>
    <w:p w14:paraId="072D43C4" w14:textId="77777777" w:rsidR="00CE09F3" w:rsidRPr="00F24057" w:rsidRDefault="00CE09F3" w:rsidP="00D70B34">
      <w:pPr>
        <w:rPr>
          <w:szCs w:val="22"/>
          <w:lang w:val="sr-Latn-ME"/>
        </w:rPr>
      </w:pPr>
    </w:p>
    <w:p w14:paraId="072D43C5" w14:textId="5E8CCFF8" w:rsidR="00CE09F3" w:rsidRPr="00F24057" w:rsidRDefault="00CE09F3" w:rsidP="00D70B34">
      <w:pPr>
        <w:rPr>
          <w:b/>
          <w:bCs/>
          <w:szCs w:val="22"/>
          <w:lang w:val="sr-Latn-ME"/>
        </w:rPr>
      </w:pPr>
      <w:r w:rsidRPr="00F24057">
        <w:rPr>
          <w:b/>
          <w:bCs/>
          <w:szCs w:val="22"/>
          <w:lang w:val="sr-Latn-ME"/>
        </w:rPr>
        <w:t>4.4. Posebna upozorenja i m</w:t>
      </w:r>
      <w:r w:rsidR="00AA29FD" w:rsidRPr="00F24057">
        <w:rPr>
          <w:b/>
          <w:bCs/>
          <w:szCs w:val="22"/>
          <w:lang w:val="sr-Latn-ME"/>
        </w:rPr>
        <w:t>j</w:t>
      </w:r>
      <w:r w:rsidRPr="00F24057">
        <w:rPr>
          <w:b/>
          <w:bCs/>
          <w:szCs w:val="22"/>
          <w:lang w:val="sr-Latn-ME"/>
        </w:rPr>
        <w:t>ere opreza pri upotrebi l</w:t>
      </w:r>
      <w:r w:rsidR="00AA29FD" w:rsidRPr="00F24057">
        <w:rPr>
          <w:b/>
          <w:bCs/>
          <w:szCs w:val="22"/>
          <w:lang w:val="sr-Latn-ME"/>
        </w:rPr>
        <w:t>ij</w:t>
      </w:r>
      <w:r w:rsidRPr="00F24057">
        <w:rPr>
          <w:b/>
          <w:bCs/>
          <w:szCs w:val="22"/>
          <w:lang w:val="sr-Latn-ME"/>
        </w:rPr>
        <w:t>eka</w:t>
      </w:r>
    </w:p>
    <w:p w14:paraId="014F62C5" w14:textId="77777777" w:rsidR="00B076A7" w:rsidRPr="00F24057" w:rsidRDefault="00B076A7" w:rsidP="00D70B34">
      <w:pPr>
        <w:rPr>
          <w:szCs w:val="22"/>
          <w:lang w:val="sr-Latn-ME"/>
        </w:rPr>
      </w:pPr>
    </w:p>
    <w:p w14:paraId="00DF03C6" w14:textId="4FF670AB" w:rsidR="00B076A7" w:rsidRPr="00F24057" w:rsidRDefault="00B076A7" w:rsidP="00D70B34">
      <w:pPr>
        <w:rPr>
          <w:szCs w:val="22"/>
          <w:u w:val="single"/>
          <w:lang w:val="sr-Latn-ME"/>
        </w:rPr>
      </w:pPr>
      <w:r w:rsidRPr="00F24057">
        <w:rPr>
          <w:szCs w:val="22"/>
          <w:u w:val="single"/>
          <w:lang w:val="sr-Latn-ME"/>
        </w:rPr>
        <w:t xml:space="preserve">Sledljivost </w:t>
      </w:r>
    </w:p>
    <w:p w14:paraId="5497E934" w14:textId="77777777" w:rsidR="00B076A7" w:rsidRPr="00F24057" w:rsidRDefault="00B076A7" w:rsidP="00D70B34">
      <w:pPr>
        <w:rPr>
          <w:szCs w:val="22"/>
          <w:lang w:val="sr-Latn-ME"/>
        </w:rPr>
      </w:pPr>
    </w:p>
    <w:p w14:paraId="6D9CC3EE" w14:textId="13C360BF" w:rsidR="00B076A7" w:rsidRPr="00F24057" w:rsidRDefault="00B076A7" w:rsidP="00D70B34">
      <w:pPr>
        <w:rPr>
          <w:szCs w:val="22"/>
          <w:lang w:val="sr-Latn-ME"/>
        </w:rPr>
      </w:pPr>
      <w:r w:rsidRPr="00F24057">
        <w:rPr>
          <w:szCs w:val="22"/>
          <w:lang w:val="sr-Latn-ME"/>
        </w:rPr>
        <w:t>Kako bi se poboljšala s</w:t>
      </w:r>
      <w:r w:rsidR="008374E9" w:rsidRPr="00F24057">
        <w:rPr>
          <w:szCs w:val="22"/>
          <w:lang w:val="sr-Latn-ME"/>
        </w:rPr>
        <w:t>l</w:t>
      </w:r>
      <w:r w:rsidRPr="00F24057">
        <w:rPr>
          <w:szCs w:val="22"/>
          <w:lang w:val="sr-Latn-ME"/>
        </w:rPr>
        <w:t xml:space="preserve">edljivost bioloških </w:t>
      </w:r>
      <w:r w:rsidR="0030064A" w:rsidRPr="00F24057">
        <w:rPr>
          <w:szCs w:val="22"/>
          <w:lang w:val="sr-Latn-ME"/>
        </w:rPr>
        <w:t>ljekov</w:t>
      </w:r>
      <w:r w:rsidRPr="00F24057">
        <w:rPr>
          <w:szCs w:val="22"/>
          <w:lang w:val="sr-Latn-ME"/>
        </w:rPr>
        <w:t xml:space="preserve">a, potrebno je jasno evidentirati naziv i broj serije </w:t>
      </w:r>
      <w:r w:rsidR="009811CA" w:rsidRPr="00F24057">
        <w:rPr>
          <w:szCs w:val="22"/>
          <w:lang w:val="sr-Latn-ME"/>
        </w:rPr>
        <w:t>primijenje</w:t>
      </w:r>
      <w:r w:rsidRPr="00F24057">
        <w:rPr>
          <w:szCs w:val="22"/>
          <w:lang w:val="sr-Latn-ME"/>
        </w:rPr>
        <w:t>nog l</w:t>
      </w:r>
      <w:r w:rsidR="00AA29FD" w:rsidRPr="00F24057">
        <w:rPr>
          <w:szCs w:val="22"/>
          <w:lang w:val="sr-Latn-ME"/>
        </w:rPr>
        <w:t>ij</w:t>
      </w:r>
      <w:r w:rsidRPr="00F24057">
        <w:rPr>
          <w:szCs w:val="22"/>
          <w:lang w:val="sr-Latn-ME"/>
        </w:rPr>
        <w:t>eka</w:t>
      </w:r>
      <w:r w:rsidR="00B12652" w:rsidRPr="00F24057">
        <w:rPr>
          <w:szCs w:val="22"/>
          <w:lang w:val="sr-Latn-ME"/>
        </w:rPr>
        <w:t xml:space="preserve"> u zdravstvenom kartonu pacijenta</w:t>
      </w:r>
      <w:r w:rsidRPr="00F24057">
        <w:rPr>
          <w:szCs w:val="22"/>
          <w:lang w:val="sr-Latn-ME"/>
        </w:rPr>
        <w:t xml:space="preserve">. </w:t>
      </w:r>
    </w:p>
    <w:p w14:paraId="7A7BB233" w14:textId="77777777" w:rsidR="00B076A7" w:rsidRPr="00F24057" w:rsidRDefault="00B076A7" w:rsidP="00D70B34">
      <w:pPr>
        <w:rPr>
          <w:szCs w:val="22"/>
          <w:lang w:val="sr-Latn-ME"/>
        </w:rPr>
      </w:pPr>
    </w:p>
    <w:p w14:paraId="4BBA6294" w14:textId="77777777" w:rsidR="00B076A7" w:rsidRPr="00F24057" w:rsidRDefault="00B076A7" w:rsidP="00D70B34">
      <w:pPr>
        <w:rPr>
          <w:szCs w:val="22"/>
          <w:u w:val="single"/>
          <w:lang w:val="sr-Latn-ME"/>
        </w:rPr>
      </w:pPr>
      <w:r w:rsidRPr="00F24057">
        <w:rPr>
          <w:szCs w:val="22"/>
          <w:u w:val="single"/>
          <w:lang w:val="sr-Latn-ME"/>
        </w:rPr>
        <w:t xml:space="preserve">Infekcije </w:t>
      </w:r>
    </w:p>
    <w:p w14:paraId="55932042" w14:textId="77777777" w:rsidR="00B076A7" w:rsidRPr="00F24057" w:rsidRDefault="00B076A7" w:rsidP="00D70B34">
      <w:pPr>
        <w:rPr>
          <w:szCs w:val="22"/>
          <w:lang w:val="sr-Latn-ME"/>
        </w:rPr>
      </w:pPr>
    </w:p>
    <w:p w14:paraId="77E6D2A4" w14:textId="0B4D301D" w:rsidR="00B076A7" w:rsidRPr="00F24057" w:rsidRDefault="00B076A7" w:rsidP="00D70B34">
      <w:pPr>
        <w:rPr>
          <w:szCs w:val="22"/>
          <w:lang w:val="sr-Latn-ME"/>
        </w:rPr>
      </w:pPr>
      <w:r w:rsidRPr="00F24057">
        <w:rPr>
          <w:szCs w:val="22"/>
          <w:lang w:val="sr-Latn-ME"/>
        </w:rPr>
        <w:t>Pacijenti koji primaju TNF antagoniste su podložniji ozbiljnim infekcijama. Oštećena funkcija pluća može povećati rizik od nastanka infekcija. Zbog toga je potrebno pažljivo pratiti pacijente pr</w:t>
      </w:r>
      <w:r w:rsidR="009811CA" w:rsidRPr="00F24057">
        <w:rPr>
          <w:szCs w:val="22"/>
          <w:lang w:val="sr-Latn-ME"/>
        </w:rPr>
        <w:t>ij</w:t>
      </w:r>
      <w:r w:rsidRPr="00F24057">
        <w:rPr>
          <w:szCs w:val="22"/>
          <w:lang w:val="sr-Latn-ME"/>
        </w:rPr>
        <w:t xml:space="preserve">e, za </w:t>
      </w:r>
      <w:r w:rsidR="009811CA" w:rsidRPr="00F24057">
        <w:rPr>
          <w:szCs w:val="22"/>
          <w:lang w:val="sr-Latn-ME"/>
        </w:rPr>
        <w:t>vr</w:t>
      </w:r>
      <w:r w:rsidR="00FE54D1" w:rsidRPr="00F24057">
        <w:rPr>
          <w:szCs w:val="22"/>
          <w:lang w:val="sr-Latn-ME"/>
        </w:rPr>
        <w:t>ije</w:t>
      </w:r>
      <w:r w:rsidR="009811CA" w:rsidRPr="00F24057">
        <w:rPr>
          <w:szCs w:val="22"/>
          <w:lang w:val="sr-Latn-ME"/>
        </w:rPr>
        <w:t>me</w:t>
      </w:r>
      <w:r w:rsidR="007E5568" w:rsidRPr="00F24057">
        <w:rPr>
          <w:szCs w:val="22"/>
          <w:lang w:val="sr-Latn-ME"/>
        </w:rPr>
        <w:t xml:space="preserve"> </w:t>
      </w:r>
      <w:r w:rsidRPr="00F24057">
        <w:rPr>
          <w:szCs w:val="22"/>
          <w:lang w:val="sr-Latn-ME"/>
        </w:rPr>
        <w:t xml:space="preserve">i nakon završetka terapije </w:t>
      </w:r>
      <w:r w:rsidR="00885A78" w:rsidRPr="00F24057">
        <w:rPr>
          <w:szCs w:val="22"/>
          <w:lang w:val="sr-Latn-ME"/>
        </w:rPr>
        <w:t>lijekom</w:t>
      </w:r>
      <w:r w:rsidRPr="00F24057">
        <w:rPr>
          <w:szCs w:val="22"/>
          <w:lang w:val="sr-Latn-ME"/>
        </w:rPr>
        <w:t xml:space="preserve"> Hukyndra zbog moguće pojave infekcija, uključujući tuberkulozu. Budući da eliminacija adalimumaba može da traje i do četiri </w:t>
      </w:r>
      <w:r w:rsidR="00885A78" w:rsidRPr="00F24057">
        <w:rPr>
          <w:szCs w:val="22"/>
          <w:lang w:val="sr-Latn-ME"/>
        </w:rPr>
        <w:t>mjesec</w:t>
      </w:r>
      <w:r w:rsidRPr="00F24057">
        <w:rPr>
          <w:szCs w:val="22"/>
          <w:lang w:val="sr-Latn-ME"/>
        </w:rPr>
        <w:t xml:space="preserve">a, praćenje je potrebno nastaviti za </w:t>
      </w:r>
      <w:r w:rsidR="009811CA" w:rsidRPr="00F24057">
        <w:rPr>
          <w:szCs w:val="22"/>
          <w:lang w:val="sr-Latn-ME"/>
        </w:rPr>
        <w:t>vr</w:t>
      </w:r>
      <w:r w:rsidR="00FE54D1" w:rsidRPr="00F24057">
        <w:rPr>
          <w:szCs w:val="22"/>
          <w:lang w:val="sr-Latn-ME"/>
        </w:rPr>
        <w:t>ij</w:t>
      </w:r>
      <w:r w:rsidR="009811CA" w:rsidRPr="00F24057">
        <w:rPr>
          <w:szCs w:val="22"/>
          <w:lang w:val="sr-Latn-ME"/>
        </w:rPr>
        <w:t>eme</w:t>
      </w:r>
      <w:r w:rsidR="007E5568" w:rsidRPr="00F24057">
        <w:rPr>
          <w:szCs w:val="22"/>
          <w:lang w:val="sr-Latn-ME"/>
        </w:rPr>
        <w:t xml:space="preserve"> </w:t>
      </w:r>
      <w:r w:rsidRPr="00F24057">
        <w:rPr>
          <w:szCs w:val="22"/>
          <w:lang w:val="sr-Latn-ME"/>
        </w:rPr>
        <w:t>c</w:t>
      </w:r>
      <w:r w:rsidR="00FE54D1" w:rsidRPr="00F24057">
        <w:rPr>
          <w:szCs w:val="22"/>
          <w:lang w:val="sr-Latn-ME"/>
        </w:rPr>
        <w:t>ij</w:t>
      </w:r>
      <w:r w:rsidRPr="00F24057">
        <w:rPr>
          <w:szCs w:val="22"/>
          <w:lang w:val="sr-Latn-ME"/>
        </w:rPr>
        <w:t xml:space="preserve">elog tog perioda. </w:t>
      </w:r>
    </w:p>
    <w:p w14:paraId="472D104D" w14:textId="77777777" w:rsidR="00B076A7" w:rsidRPr="00F24057" w:rsidRDefault="00B076A7" w:rsidP="00D70B34">
      <w:pPr>
        <w:rPr>
          <w:szCs w:val="22"/>
          <w:lang w:val="sr-Latn-ME"/>
        </w:rPr>
      </w:pPr>
    </w:p>
    <w:p w14:paraId="072D43C6" w14:textId="0CFACD03" w:rsidR="00CE09F3" w:rsidRPr="00F24057" w:rsidRDefault="00B076A7" w:rsidP="00D70B34">
      <w:pPr>
        <w:rPr>
          <w:szCs w:val="22"/>
          <w:lang w:val="sr-Latn-ME"/>
        </w:rPr>
      </w:pPr>
      <w:r w:rsidRPr="00F24057">
        <w:rPr>
          <w:szCs w:val="22"/>
          <w:lang w:val="sr-Latn-ME"/>
        </w:rPr>
        <w:t xml:space="preserve">Terapija </w:t>
      </w:r>
      <w:r w:rsidR="00885A78" w:rsidRPr="00F24057">
        <w:rPr>
          <w:szCs w:val="22"/>
          <w:lang w:val="sr-Latn-ME"/>
        </w:rPr>
        <w:t>lijekom</w:t>
      </w:r>
      <w:r w:rsidRPr="00F24057">
        <w:rPr>
          <w:szCs w:val="22"/>
          <w:lang w:val="sr-Latn-ME"/>
        </w:rPr>
        <w:t xml:space="preserve"> Hukyndra ne </w:t>
      </w:r>
      <w:r w:rsidR="00885A78" w:rsidRPr="00F24057">
        <w:rPr>
          <w:szCs w:val="22"/>
          <w:lang w:val="sr-Latn-ME"/>
        </w:rPr>
        <w:t xml:space="preserve">smije </w:t>
      </w:r>
      <w:r w:rsidRPr="00F24057">
        <w:rPr>
          <w:szCs w:val="22"/>
          <w:lang w:val="sr-Latn-ME"/>
        </w:rPr>
        <w:t xml:space="preserve">da se započne kod pacijenata sa aktivnim infekcijama, uključujući hronične ili lokalizovane infekcije, sve dok se te infekcije ne stave pod kontrolu. Kod pacijenata koji su bili izloženi tuberkulozi ili pacijenata koji su putovali u područja visokog rizika od tuberkuloze ili endemskih mikoza, kao što su histoplazmoza, kokcidioidomikoza ili blastomikoza, </w:t>
      </w:r>
      <w:r w:rsidR="00885A78" w:rsidRPr="00F24057">
        <w:rPr>
          <w:szCs w:val="22"/>
          <w:lang w:val="sr-Latn-ME"/>
        </w:rPr>
        <w:t xml:space="preserve">prije </w:t>
      </w:r>
      <w:r w:rsidRPr="00F24057">
        <w:rPr>
          <w:szCs w:val="22"/>
          <w:lang w:val="sr-Latn-ME"/>
        </w:rPr>
        <w:t xml:space="preserve">započinjanja terapije treba razmotriti rizike i prednosti </w:t>
      </w:r>
      <w:r w:rsidR="00885A78" w:rsidRPr="00F24057">
        <w:rPr>
          <w:szCs w:val="22"/>
          <w:lang w:val="sr-Latn-ME"/>
        </w:rPr>
        <w:t>liječenj</w:t>
      </w:r>
      <w:r w:rsidRPr="00F24057">
        <w:rPr>
          <w:szCs w:val="22"/>
          <w:lang w:val="sr-Latn-ME"/>
        </w:rPr>
        <w:t xml:space="preserve">a </w:t>
      </w:r>
      <w:r w:rsidR="00885A78" w:rsidRPr="00F24057">
        <w:rPr>
          <w:szCs w:val="22"/>
          <w:lang w:val="sr-Latn-ME"/>
        </w:rPr>
        <w:t>lijekom</w:t>
      </w:r>
      <w:r w:rsidRPr="00F24057">
        <w:rPr>
          <w:szCs w:val="22"/>
          <w:lang w:val="sr-Latn-ME"/>
        </w:rPr>
        <w:t xml:space="preserve"> Hukyndra (</w:t>
      </w:r>
      <w:r w:rsidR="0030064A" w:rsidRPr="00F24057">
        <w:rPr>
          <w:szCs w:val="22"/>
          <w:lang w:val="sr-Latn-ME"/>
        </w:rPr>
        <w:t>vidjeti</w:t>
      </w:r>
      <w:r w:rsidRPr="00F24057">
        <w:rPr>
          <w:szCs w:val="22"/>
          <w:lang w:val="sr-Latn-ME"/>
        </w:rPr>
        <w:t xml:space="preserve"> </w:t>
      </w:r>
      <w:r w:rsidRPr="00F24057">
        <w:rPr>
          <w:i/>
          <w:iCs/>
          <w:szCs w:val="22"/>
          <w:lang w:val="sr-Latn-ME"/>
        </w:rPr>
        <w:t>Druge oportunističke infekcije</w:t>
      </w:r>
      <w:r w:rsidRPr="00F24057">
        <w:rPr>
          <w:szCs w:val="22"/>
          <w:lang w:val="sr-Latn-ME"/>
        </w:rPr>
        <w:t>).</w:t>
      </w:r>
    </w:p>
    <w:p w14:paraId="7F4A947C" w14:textId="6B2F4EC2" w:rsidR="00B076A7" w:rsidRPr="00F24057" w:rsidRDefault="00B076A7" w:rsidP="00D70B34">
      <w:pPr>
        <w:rPr>
          <w:szCs w:val="22"/>
          <w:lang w:val="sr-Latn-ME"/>
        </w:rPr>
      </w:pPr>
    </w:p>
    <w:p w14:paraId="446D28B1" w14:textId="0EB807CF" w:rsidR="00B076A7" w:rsidRPr="00F24057" w:rsidRDefault="00B076A7" w:rsidP="00D70B34">
      <w:pPr>
        <w:rPr>
          <w:szCs w:val="22"/>
          <w:lang w:val="sr-Latn-ME"/>
        </w:rPr>
      </w:pPr>
      <w:r w:rsidRPr="00F24057">
        <w:rPr>
          <w:szCs w:val="22"/>
          <w:lang w:val="sr-Latn-ME"/>
        </w:rPr>
        <w:t xml:space="preserve">Pacijente kod kojih se za </w:t>
      </w:r>
      <w:r w:rsidR="009811CA" w:rsidRPr="00F24057">
        <w:rPr>
          <w:szCs w:val="22"/>
          <w:lang w:val="sr-Latn-ME"/>
        </w:rPr>
        <w:t>vre</w:t>
      </w:r>
      <w:r w:rsidR="00FE54D1" w:rsidRPr="00F24057">
        <w:rPr>
          <w:szCs w:val="22"/>
          <w:lang w:val="sr-Latn-ME"/>
        </w:rPr>
        <w:t>ij</w:t>
      </w:r>
      <w:r w:rsidR="009811CA" w:rsidRPr="00F24057">
        <w:rPr>
          <w:szCs w:val="22"/>
          <w:lang w:val="sr-Latn-ME"/>
        </w:rPr>
        <w:t>me</w:t>
      </w:r>
      <w:r w:rsidR="007E5568" w:rsidRPr="00F24057">
        <w:rPr>
          <w:szCs w:val="22"/>
          <w:lang w:val="sr-Latn-ME"/>
        </w:rPr>
        <w:t xml:space="preserve"> </w:t>
      </w:r>
      <w:r w:rsidR="00885A78" w:rsidRPr="00F24057">
        <w:rPr>
          <w:szCs w:val="22"/>
          <w:lang w:val="sr-Latn-ME"/>
        </w:rPr>
        <w:t>liječenj</w:t>
      </w:r>
      <w:r w:rsidRPr="00F24057">
        <w:rPr>
          <w:szCs w:val="22"/>
          <w:lang w:val="sr-Latn-ME"/>
        </w:rPr>
        <w:t xml:space="preserve">a </w:t>
      </w:r>
      <w:r w:rsidR="00885A78" w:rsidRPr="00F24057">
        <w:rPr>
          <w:szCs w:val="22"/>
          <w:lang w:val="sr-Latn-ME"/>
        </w:rPr>
        <w:t>lijekom</w:t>
      </w:r>
      <w:r w:rsidRPr="00F24057">
        <w:rPr>
          <w:szCs w:val="22"/>
          <w:lang w:val="sr-Latn-ME"/>
        </w:rPr>
        <w:t xml:space="preserve"> Hukyndra razviju nove infekcije potrebno je pažljivo pratiti i podvrgnuti kompletnoj dijagnostičkoj </w:t>
      </w:r>
      <w:r w:rsidR="00885A78" w:rsidRPr="00F24057">
        <w:rPr>
          <w:szCs w:val="22"/>
          <w:lang w:val="sr-Latn-ME"/>
        </w:rPr>
        <w:t>procjeni</w:t>
      </w:r>
      <w:r w:rsidRPr="00F24057">
        <w:rPr>
          <w:szCs w:val="22"/>
          <w:lang w:val="sr-Latn-ME"/>
        </w:rPr>
        <w:t xml:space="preserve">. </w:t>
      </w:r>
      <w:r w:rsidR="0030064A" w:rsidRPr="00F24057">
        <w:rPr>
          <w:szCs w:val="22"/>
          <w:lang w:val="sr-Latn-ME"/>
        </w:rPr>
        <w:t>Primjen</w:t>
      </w:r>
      <w:r w:rsidRPr="00F24057">
        <w:rPr>
          <w:szCs w:val="22"/>
          <w:lang w:val="sr-Latn-ME"/>
        </w:rPr>
        <w:t xml:space="preserve">a </w:t>
      </w:r>
      <w:r w:rsidR="00885A78" w:rsidRPr="00F24057">
        <w:rPr>
          <w:szCs w:val="22"/>
          <w:lang w:val="sr-Latn-ME"/>
        </w:rPr>
        <w:t xml:space="preserve">lijeka </w:t>
      </w:r>
      <w:r w:rsidRPr="00F24057">
        <w:rPr>
          <w:szCs w:val="22"/>
          <w:lang w:val="sr-Latn-ME"/>
        </w:rPr>
        <w:t xml:space="preserve">Hukyndra mora da se obustavi ako pacijent razvije novu ozbiljnu infekciju ili sepsu i potrebno je započeti odgovarajuću antimikrobnu ili antifungalnu terapiju sve dok se infekcija ne stavi pod kontrolu. </w:t>
      </w:r>
      <w:r w:rsidR="0030064A" w:rsidRPr="00F24057">
        <w:rPr>
          <w:szCs w:val="22"/>
          <w:lang w:val="sr-Latn-ME"/>
        </w:rPr>
        <w:t>Ljekar</w:t>
      </w:r>
      <w:r w:rsidRPr="00F24057">
        <w:rPr>
          <w:szCs w:val="22"/>
          <w:lang w:val="sr-Latn-ME"/>
        </w:rPr>
        <w:t xml:space="preserve">i treba oprezno da razmotre terapiju </w:t>
      </w:r>
      <w:r w:rsidR="00885A78" w:rsidRPr="00F24057">
        <w:rPr>
          <w:szCs w:val="22"/>
          <w:lang w:val="sr-Latn-ME"/>
        </w:rPr>
        <w:t>lijekom</w:t>
      </w:r>
      <w:r w:rsidRPr="00F24057">
        <w:rPr>
          <w:szCs w:val="22"/>
          <w:lang w:val="sr-Latn-ME"/>
        </w:rPr>
        <w:t xml:space="preserve"> Hukyndra kod pacijenata sa ponavljajućim infekcijama u anamnezi ili postojećim oboljenjima koja pogoduju razvoju infekcija kod pacijenata, uključujući istovremenu </w:t>
      </w:r>
      <w:r w:rsidR="0030064A" w:rsidRPr="00F24057">
        <w:rPr>
          <w:szCs w:val="22"/>
          <w:lang w:val="sr-Latn-ME"/>
        </w:rPr>
        <w:t>primjen</w:t>
      </w:r>
      <w:r w:rsidRPr="00F24057">
        <w:rPr>
          <w:szCs w:val="22"/>
          <w:lang w:val="sr-Latn-ME"/>
        </w:rPr>
        <w:t xml:space="preserve">u imunosupresivnih </w:t>
      </w:r>
      <w:r w:rsidR="0030064A" w:rsidRPr="00F24057">
        <w:rPr>
          <w:szCs w:val="22"/>
          <w:lang w:val="sr-Latn-ME"/>
        </w:rPr>
        <w:t>ljekov</w:t>
      </w:r>
      <w:r w:rsidRPr="00F24057">
        <w:rPr>
          <w:szCs w:val="22"/>
          <w:lang w:val="sr-Latn-ME"/>
        </w:rPr>
        <w:t>a.</w:t>
      </w:r>
      <w:r w:rsidR="003E5C78" w:rsidRPr="00F24057">
        <w:rPr>
          <w:szCs w:val="22"/>
          <w:lang w:val="sr-Latn-ME"/>
        </w:rPr>
        <w:t xml:space="preserve"> </w:t>
      </w:r>
    </w:p>
    <w:p w14:paraId="760DDF14" w14:textId="77777777" w:rsidR="00B076A7" w:rsidRPr="00F24057" w:rsidRDefault="00B076A7" w:rsidP="00D70B34">
      <w:pPr>
        <w:rPr>
          <w:szCs w:val="22"/>
          <w:lang w:val="sr-Latn-ME"/>
        </w:rPr>
      </w:pPr>
    </w:p>
    <w:p w14:paraId="1E6991B0" w14:textId="77777777" w:rsidR="00B076A7" w:rsidRPr="00F24057" w:rsidRDefault="00B076A7" w:rsidP="00D70B34">
      <w:pPr>
        <w:rPr>
          <w:i/>
          <w:iCs/>
          <w:szCs w:val="22"/>
          <w:lang w:val="sr-Latn-ME"/>
        </w:rPr>
      </w:pPr>
      <w:r w:rsidRPr="00F24057">
        <w:rPr>
          <w:i/>
          <w:iCs/>
          <w:szCs w:val="22"/>
          <w:lang w:val="sr-Latn-ME"/>
        </w:rPr>
        <w:t xml:space="preserve">Ozbiljne infekcije </w:t>
      </w:r>
    </w:p>
    <w:p w14:paraId="548E4CF4" w14:textId="560F144A" w:rsidR="00B076A7" w:rsidRPr="00F24057" w:rsidRDefault="00B076A7" w:rsidP="00D70B34">
      <w:pPr>
        <w:rPr>
          <w:szCs w:val="22"/>
          <w:lang w:val="sr-Latn-ME"/>
        </w:rPr>
      </w:pPr>
      <w:r w:rsidRPr="00F24057">
        <w:rPr>
          <w:szCs w:val="22"/>
          <w:lang w:val="sr-Latn-ME"/>
        </w:rPr>
        <w:t>Kod pacijenata koji su primali adalimumab za</w:t>
      </w:r>
      <w:r w:rsidR="004F2520" w:rsidRPr="00F24057">
        <w:rPr>
          <w:szCs w:val="22"/>
          <w:lang w:val="sr-Latn-ME"/>
        </w:rPr>
        <w:t>biljež</w:t>
      </w:r>
      <w:r w:rsidRPr="00F24057">
        <w:rPr>
          <w:szCs w:val="22"/>
          <w:lang w:val="sr-Latn-ME"/>
        </w:rPr>
        <w:t xml:space="preserve">ene su ozbiljne infekcije, uključujući sepsu, uzrokovane bakterijama, mikobakterijama, invazivnim gljivicama, parazitima, virusima, ili druge oportunističke infekcije poput listerioze, legioneloze i pneumocistisa. </w:t>
      </w:r>
    </w:p>
    <w:p w14:paraId="76261F8E" w14:textId="77777777" w:rsidR="00B076A7" w:rsidRPr="00F24057" w:rsidRDefault="00B076A7" w:rsidP="00D70B34">
      <w:pPr>
        <w:rPr>
          <w:szCs w:val="22"/>
          <w:lang w:val="sr-Latn-ME"/>
        </w:rPr>
      </w:pPr>
    </w:p>
    <w:p w14:paraId="12D2A8FC" w14:textId="361B52DE" w:rsidR="00B076A7" w:rsidRPr="00F24057" w:rsidRDefault="00B076A7" w:rsidP="00D70B34">
      <w:pPr>
        <w:rPr>
          <w:szCs w:val="22"/>
          <w:lang w:val="sr-Latn-ME"/>
        </w:rPr>
      </w:pPr>
      <w:r w:rsidRPr="00F24057">
        <w:rPr>
          <w:szCs w:val="22"/>
          <w:lang w:val="sr-Latn-ME"/>
        </w:rPr>
        <w:t xml:space="preserve">Ostale ozbiljne infekcije </w:t>
      </w:r>
      <w:r w:rsidR="00911D74" w:rsidRPr="00F24057">
        <w:rPr>
          <w:szCs w:val="22"/>
          <w:lang w:val="sr-Latn-ME"/>
        </w:rPr>
        <w:t>primijećene</w:t>
      </w:r>
      <w:r w:rsidRPr="00F24057">
        <w:rPr>
          <w:szCs w:val="22"/>
          <w:lang w:val="sr-Latn-ME"/>
        </w:rPr>
        <w:t xml:space="preserve"> u kliničkim ispitivanjima uključuju pneumoniju, pijelonefritis, septički artritis i septikemiju. Prijavljene su hospitalizacije ili smrtni ishodi povezani sa infekcijama. </w:t>
      </w:r>
    </w:p>
    <w:p w14:paraId="1EFF406A" w14:textId="77777777" w:rsidR="00B076A7" w:rsidRPr="00F24057" w:rsidRDefault="00B076A7" w:rsidP="00D70B34">
      <w:pPr>
        <w:rPr>
          <w:szCs w:val="22"/>
          <w:lang w:val="sr-Latn-ME"/>
        </w:rPr>
      </w:pPr>
    </w:p>
    <w:p w14:paraId="3ED9EE00" w14:textId="77777777" w:rsidR="00B076A7" w:rsidRPr="00F24057" w:rsidRDefault="00B076A7" w:rsidP="00D70B34">
      <w:pPr>
        <w:rPr>
          <w:i/>
          <w:iCs/>
          <w:szCs w:val="22"/>
          <w:lang w:val="sr-Latn-ME"/>
        </w:rPr>
      </w:pPr>
      <w:r w:rsidRPr="00F24057">
        <w:rPr>
          <w:i/>
          <w:iCs/>
          <w:szCs w:val="22"/>
          <w:lang w:val="sr-Latn-ME"/>
        </w:rPr>
        <w:t xml:space="preserve">Tuberkuloza </w:t>
      </w:r>
    </w:p>
    <w:p w14:paraId="5AA8E9DF" w14:textId="079ADF63" w:rsidR="0083737F" w:rsidRPr="00F24057" w:rsidRDefault="00B076A7" w:rsidP="00D70B34">
      <w:pPr>
        <w:rPr>
          <w:szCs w:val="22"/>
          <w:lang w:val="sr-Latn-ME"/>
        </w:rPr>
      </w:pPr>
      <w:r w:rsidRPr="00F24057">
        <w:rPr>
          <w:szCs w:val="22"/>
          <w:lang w:val="sr-Latn-ME"/>
        </w:rPr>
        <w:lastRenderedPageBreak/>
        <w:t xml:space="preserve">Kod pacijenata </w:t>
      </w:r>
      <w:r w:rsidR="00885A78" w:rsidRPr="00F24057">
        <w:rPr>
          <w:szCs w:val="22"/>
          <w:lang w:val="sr-Latn-ME"/>
        </w:rPr>
        <w:t>liječe</w:t>
      </w:r>
      <w:r w:rsidRPr="00F24057">
        <w:rPr>
          <w:szCs w:val="22"/>
          <w:lang w:val="sr-Latn-ME"/>
        </w:rPr>
        <w:t xml:space="preserve">nih adalimumabom prijavljeni su slučajevi tuberkuloze, uključujući reaktivaciju i razvoj tuberkuloze. Prijave su obuhvatale slučajeve pulmonalne i ekstrapulmonalne (tj. disemenovane) tuberkuloze. </w:t>
      </w:r>
    </w:p>
    <w:p w14:paraId="6EC27321" w14:textId="77777777" w:rsidR="00011DDE" w:rsidRPr="00F24057" w:rsidRDefault="00011DDE" w:rsidP="00D70B34">
      <w:pPr>
        <w:rPr>
          <w:szCs w:val="22"/>
          <w:lang w:val="sr-Latn-ME"/>
        </w:rPr>
      </w:pPr>
    </w:p>
    <w:p w14:paraId="012514BA" w14:textId="06043C07" w:rsidR="00B076A7" w:rsidRPr="00F24057" w:rsidRDefault="00885A78" w:rsidP="00D70B34">
      <w:pPr>
        <w:rPr>
          <w:szCs w:val="22"/>
          <w:lang w:val="sr-Latn-ME"/>
        </w:rPr>
      </w:pPr>
      <w:r w:rsidRPr="00F24057">
        <w:rPr>
          <w:szCs w:val="22"/>
          <w:lang w:val="sr-Latn-ME"/>
        </w:rPr>
        <w:t xml:space="preserve">Prije </w:t>
      </w:r>
      <w:r w:rsidR="00B076A7" w:rsidRPr="00F24057">
        <w:rPr>
          <w:szCs w:val="22"/>
          <w:lang w:val="sr-Latn-ME"/>
        </w:rPr>
        <w:t xml:space="preserve">početka terapije </w:t>
      </w:r>
      <w:r w:rsidRPr="00F24057">
        <w:rPr>
          <w:szCs w:val="22"/>
          <w:lang w:val="sr-Latn-ME"/>
        </w:rPr>
        <w:t>lijekom</w:t>
      </w:r>
      <w:r w:rsidR="00B076A7" w:rsidRPr="00F24057">
        <w:rPr>
          <w:szCs w:val="22"/>
          <w:lang w:val="sr-Latn-ME"/>
        </w:rPr>
        <w:t xml:space="preserve"> </w:t>
      </w:r>
      <w:r w:rsidR="0083737F" w:rsidRPr="00F24057">
        <w:rPr>
          <w:szCs w:val="22"/>
          <w:lang w:val="sr-Latn-ME"/>
        </w:rPr>
        <w:t>Hukyndra</w:t>
      </w:r>
      <w:r w:rsidR="00B076A7" w:rsidRPr="00F24057">
        <w:rPr>
          <w:szCs w:val="22"/>
          <w:lang w:val="sr-Latn-ME"/>
        </w:rPr>
        <w:t xml:space="preserve"> sve pacijente treba ispitati u pogledu postojanja aktivnog i neaktivnog („latentnog“) oblika tuberkuloze. Ovo ispitivanje treba da uključi detaljnu medicinsku </w:t>
      </w:r>
      <w:r w:rsidR="004F2520" w:rsidRPr="00F24057">
        <w:rPr>
          <w:szCs w:val="22"/>
          <w:lang w:val="sr-Latn-ME"/>
        </w:rPr>
        <w:t>procjen</w:t>
      </w:r>
      <w:r w:rsidR="00B076A7" w:rsidRPr="00F24057">
        <w:rPr>
          <w:szCs w:val="22"/>
          <w:lang w:val="sr-Latn-ME"/>
        </w:rPr>
        <w:t xml:space="preserve">u pacijentove anamneze o tuberkulozi ili eventualnoj prethodnoj izloženosti osobama sa aktivnom tuberkulozom, kao i prethodnoj i/ili sadašnjoj imunosupresivnoj terapiji. Kod svih pacijenata treba sprovesti odgovarajuće skrining testove (tj. tuberkulinski kožni test i rendgen pluća, uz pridržavanje lokalnih preporuka). Preporučuje se da se sprovođenje i rezultati tih analiza upišu u Karticu sa </w:t>
      </w:r>
      <w:r w:rsidR="007E5568" w:rsidRPr="00F24057">
        <w:rPr>
          <w:szCs w:val="22"/>
          <w:lang w:val="sr-Latn-ME"/>
        </w:rPr>
        <w:t>podsjet</w:t>
      </w:r>
      <w:r w:rsidR="00B076A7" w:rsidRPr="00F24057">
        <w:rPr>
          <w:szCs w:val="22"/>
          <w:lang w:val="sr-Latn-ME"/>
        </w:rPr>
        <w:t xml:space="preserve">nikom za pacijenta. Pri tome </w:t>
      </w:r>
      <w:r w:rsidR="0030064A" w:rsidRPr="00F24057">
        <w:rPr>
          <w:szCs w:val="22"/>
          <w:lang w:val="sr-Latn-ME"/>
        </w:rPr>
        <w:t>ljekar</w:t>
      </w:r>
      <w:r w:rsidR="00B076A7" w:rsidRPr="00F24057">
        <w:rPr>
          <w:szCs w:val="22"/>
          <w:lang w:val="sr-Latn-ME"/>
        </w:rPr>
        <w:t xml:space="preserve">i koji propisuju </w:t>
      </w:r>
      <w:r w:rsidR="0030064A" w:rsidRPr="00F24057">
        <w:rPr>
          <w:szCs w:val="22"/>
          <w:lang w:val="sr-Latn-ME"/>
        </w:rPr>
        <w:t xml:space="preserve">lijek </w:t>
      </w:r>
      <w:r w:rsidR="00B076A7" w:rsidRPr="00F24057">
        <w:rPr>
          <w:szCs w:val="22"/>
          <w:lang w:val="sr-Latn-ME"/>
        </w:rPr>
        <w:t xml:space="preserve">treba da imaju na umu da tuberkulinski kožni test može dati lažno negativne rezultate, pogotovo kod teško bolesnih ili imunokompromitovanih pacijenata. </w:t>
      </w:r>
    </w:p>
    <w:p w14:paraId="3230C581" w14:textId="77777777" w:rsidR="00B076A7" w:rsidRPr="00F24057" w:rsidRDefault="00B076A7" w:rsidP="00D70B34">
      <w:pPr>
        <w:rPr>
          <w:szCs w:val="22"/>
          <w:lang w:val="sr-Latn-ME"/>
        </w:rPr>
      </w:pPr>
    </w:p>
    <w:p w14:paraId="21CB2B99" w14:textId="30905ADF" w:rsidR="00B076A7" w:rsidRPr="00F24057" w:rsidRDefault="00B076A7" w:rsidP="00D70B34">
      <w:pPr>
        <w:rPr>
          <w:szCs w:val="22"/>
          <w:lang w:val="sr-Latn-ME"/>
        </w:rPr>
      </w:pPr>
      <w:r w:rsidRPr="00F24057">
        <w:rPr>
          <w:szCs w:val="22"/>
          <w:lang w:val="sr-Latn-ME"/>
        </w:rPr>
        <w:t xml:space="preserve">Ako se dijagnostikuje aktivna tuberkuloza, ne </w:t>
      </w:r>
      <w:r w:rsidR="00885A78" w:rsidRPr="00F24057">
        <w:rPr>
          <w:szCs w:val="22"/>
          <w:lang w:val="sr-Latn-ME"/>
        </w:rPr>
        <w:t xml:space="preserve">smije </w:t>
      </w:r>
      <w:r w:rsidRPr="00F24057">
        <w:rPr>
          <w:szCs w:val="22"/>
          <w:lang w:val="sr-Latn-ME"/>
        </w:rPr>
        <w:t xml:space="preserve">da se započne </w:t>
      </w:r>
      <w:r w:rsidR="0030064A" w:rsidRPr="00F24057">
        <w:rPr>
          <w:szCs w:val="22"/>
          <w:lang w:val="sr-Latn-ME"/>
        </w:rPr>
        <w:t>liječenje</w:t>
      </w:r>
      <w:r w:rsidRPr="00F24057">
        <w:rPr>
          <w:szCs w:val="22"/>
          <w:lang w:val="sr-Latn-ME"/>
        </w:rPr>
        <w:t xml:space="preserve"> </w:t>
      </w:r>
      <w:r w:rsidR="00885A78" w:rsidRPr="00F24057">
        <w:rPr>
          <w:szCs w:val="22"/>
          <w:lang w:val="sr-Latn-ME"/>
        </w:rPr>
        <w:t>lijekom</w:t>
      </w:r>
      <w:r w:rsidRPr="00F24057">
        <w:rPr>
          <w:szCs w:val="22"/>
          <w:lang w:val="sr-Latn-ME"/>
        </w:rPr>
        <w:t xml:space="preserve"> </w:t>
      </w:r>
      <w:r w:rsidR="0083737F" w:rsidRPr="00F24057">
        <w:rPr>
          <w:szCs w:val="22"/>
          <w:lang w:val="sr-Latn-ME"/>
        </w:rPr>
        <w:t>Hukyndra</w:t>
      </w:r>
      <w:r w:rsidRPr="00F24057">
        <w:rPr>
          <w:szCs w:val="22"/>
          <w:lang w:val="sr-Latn-ME"/>
        </w:rPr>
        <w:t xml:space="preserve"> (</w:t>
      </w:r>
      <w:r w:rsidR="007B39D0" w:rsidRPr="00F24057">
        <w:rPr>
          <w:szCs w:val="22"/>
          <w:lang w:val="sr-Latn-ME"/>
        </w:rPr>
        <w:t xml:space="preserve">pogledati dio </w:t>
      </w:r>
      <w:r w:rsidRPr="00F24057">
        <w:rPr>
          <w:szCs w:val="22"/>
          <w:lang w:val="sr-Latn-ME"/>
        </w:rPr>
        <w:t xml:space="preserve">4.3). </w:t>
      </w:r>
    </w:p>
    <w:p w14:paraId="5EA1703E" w14:textId="77777777" w:rsidR="00B076A7" w:rsidRPr="00F24057" w:rsidRDefault="00B076A7" w:rsidP="00D70B34">
      <w:pPr>
        <w:rPr>
          <w:szCs w:val="22"/>
          <w:lang w:val="sr-Latn-ME"/>
        </w:rPr>
      </w:pPr>
    </w:p>
    <w:p w14:paraId="4AA21651" w14:textId="56C584C7" w:rsidR="00B076A7" w:rsidRPr="00F24057" w:rsidRDefault="00B076A7" w:rsidP="00D70B34">
      <w:pPr>
        <w:rPr>
          <w:szCs w:val="22"/>
          <w:lang w:val="sr-Latn-ME"/>
        </w:rPr>
      </w:pPr>
      <w:r w:rsidRPr="00F24057">
        <w:rPr>
          <w:szCs w:val="22"/>
          <w:lang w:val="sr-Latn-ME"/>
        </w:rPr>
        <w:t>U svim dol</w:t>
      </w:r>
      <w:r w:rsidR="00007D37" w:rsidRPr="00F24057">
        <w:rPr>
          <w:szCs w:val="22"/>
          <w:lang w:val="sr-Latn-ME"/>
        </w:rPr>
        <w:t>j</w:t>
      </w:r>
      <w:r w:rsidRPr="00F24057">
        <w:rPr>
          <w:szCs w:val="22"/>
          <w:lang w:val="sr-Latn-ME"/>
        </w:rPr>
        <w:t xml:space="preserve">e opisanim situacijama potrebno je da se vrlo pažljivo </w:t>
      </w:r>
      <w:r w:rsidR="00885A78" w:rsidRPr="00F24057">
        <w:rPr>
          <w:szCs w:val="22"/>
          <w:lang w:val="sr-Latn-ME"/>
        </w:rPr>
        <w:t>proc</w:t>
      </w:r>
      <w:r w:rsidR="00007D37" w:rsidRPr="00F24057">
        <w:rPr>
          <w:szCs w:val="22"/>
          <w:lang w:val="sr-Latn-ME"/>
        </w:rPr>
        <w:t>i</w:t>
      </w:r>
      <w:r w:rsidR="00885A78" w:rsidRPr="00F24057">
        <w:rPr>
          <w:szCs w:val="22"/>
          <w:lang w:val="sr-Latn-ME"/>
        </w:rPr>
        <w:t>jeni</w:t>
      </w:r>
      <w:r w:rsidRPr="00F24057">
        <w:rPr>
          <w:szCs w:val="22"/>
          <w:lang w:val="sr-Latn-ME"/>
        </w:rPr>
        <w:t xml:space="preserve"> odnos koristi i rizika terapije. </w:t>
      </w:r>
    </w:p>
    <w:p w14:paraId="56962D3C" w14:textId="77777777" w:rsidR="00B076A7" w:rsidRPr="00F24057" w:rsidRDefault="00B076A7" w:rsidP="00D70B34">
      <w:pPr>
        <w:rPr>
          <w:szCs w:val="22"/>
          <w:lang w:val="sr-Latn-ME"/>
        </w:rPr>
      </w:pPr>
    </w:p>
    <w:p w14:paraId="214B4A6B" w14:textId="22674137" w:rsidR="00B076A7" w:rsidRPr="00F24057" w:rsidRDefault="00B076A7" w:rsidP="00D70B34">
      <w:pPr>
        <w:rPr>
          <w:szCs w:val="22"/>
          <w:lang w:val="sr-Latn-ME"/>
        </w:rPr>
      </w:pPr>
      <w:r w:rsidRPr="00F24057">
        <w:rPr>
          <w:szCs w:val="22"/>
          <w:lang w:val="sr-Latn-ME"/>
        </w:rPr>
        <w:t xml:space="preserve">Ako se sumnja na latentnu tuberkulozu, potrebno je da se konsultuje </w:t>
      </w:r>
      <w:r w:rsidR="0030064A" w:rsidRPr="00F24057">
        <w:rPr>
          <w:szCs w:val="22"/>
          <w:lang w:val="sr-Latn-ME"/>
        </w:rPr>
        <w:t>ljekar</w:t>
      </w:r>
      <w:r w:rsidRPr="00F24057">
        <w:rPr>
          <w:szCs w:val="22"/>
          <w:lang w:val="sr-Latn-ME"/>
        </w:rPr>
        <w:t xml:space="preserve"> sa iskustvom u </w:t>
      </w:r>
      <w:r w:rsidR="00885A78" w:rsidRPr="00F24057">
        <w:rPr>
          <w:szCs w:val="22"/>
          <w:lang w:val="sr-Latn-ME"/>
        </w:rPr>
        <w:t>liječenj</w:t>
      </w:r>
      <w:r w:rsidRPr="00F24057">
        <w:rPr>
          <w:szCs w:val="22"/>
          <w:lang w:val="sr-Latn-ME"/>
        </w:rPr>
        <w:t xml:space="preserve">u tuberkuloze. </w:t>
      </w:r>
    </w:p>
    <w:p w14:paraId="2C30DFF7" w14:textId="77777777" w:rsidR="00B076A7" w:rsidRPr="00F24057" w:rsidRDefault="00B076A7" w:rsidP="00D70B34">
      <w:pPr>
        <w:rPr>
          <w:szCs w:val="22"/>
          <w:lang w:val="sr-Latn-ME"/>
        </w:rPr>
      </w:pPr>
    </w:p>
    <w:p w14:paraId="099A6387" w14:textId="1E268D37" w:rsidR="00B076A7" w:rsidRPr="00F24057" w:rsidRDefault="00B076A7" w:rsidP="00D70B34">
      <w:pPr>
        <w:rPr>
          <w:szCs w:val="22"/>
          <w:lang w:val="sr-Latn-ME"/>
        </w:rPr>
      </w:pPr>
      <w:r w:rsidRPr="00F24057">
        <w:rPr>
          <w:szCs w:val="22"/>
          <w:lang w:val="sr-Latn-ME"/>
        </w:rPr>
        <w:t xml:space="preserve">Ako se dijagnostikuje latentna tuberkuloza, </w:t>
      </w:r>
      <w:r w:rsidR="00885A78" w:rsidRPr="00F24057">
        <w:rPr>
          <w:szCs w:val="22"/>
          <w:lang w:val="sr-Latn-ME"/>
        </w:rPr>
        <w:t xml:space="preserve">prije </w:t>
      </w:r>
      <w:r w:rsidRPr="00F24057">
        <w:rPr>
          <w:szCs w:val="22"/>
          <w:lang w:val="sr-Latn-ME"/>
        </w:rPr>
        <w:t xml:space="preserve">početka terapije </w:t>
      </w:r>
      <w:r w:rsidR="00885A78" w:rsidRPr="00F24057">
        <w:rPr>
          <w:szCs w:val="22"/>
          <w:lang w:val="sr-Latn-ME"/>
        </w:rPr>
        <w:t>lijekom</w:t>
      </w:r>
      <w:r w:rsidRPr="00F24057">
        <w:rPr>
          <w:szCs w:val="22"/>
          <w:lang w:val="sr-Latn-ME"/>
        </w:rPr>
        <w:t xml:space="preserve"> </w:t>
      </w:r>
      <w:r w:rsidR="0083737F" w:rsidRPr="00F24057">
        <w:rPr>
          <w:szCs w:val="22"/>
          <w:lang w:val="sr-Latn-ME"/>
        </w:rPr>
        <w:t>Hukyndra</w:t>
      </w:r>
      <w:r w:rsidRPr="00F24057">
        <w:rPr>
          <w:szCs w:val="22"/>
          <w:lang w:val="sr-Latn-ME"/>
        </w:rPr>
        <w:t xml:space="preserve"> mora da se započne odgovarajuća profilaksa tuberkuloze, u skladu s lokalnim preporukama. </w:t>
      </w:r>
    </w:p>
    <w:p w14:paraId="3B74F418" w14:textId="77777777" w:rsidR="00B076A7" w:rsidRPr="00F24057" w:rsidRDefault="00B076A7" w:rsidP="00D70B34">
      <w:pPr>
        <w:rPr>
          <w:szCs w:val="22"/>
          <w:lang w:val="sr-Latn-ME"/>
        </w:rPr>
      </w:pPr>
    </w:p>
    <w:p w14:paraId="71813155" w14:textId="6330F86C" w:rsidR="00B076A7" w:rsidRPr="00F24057" w:rsidRDefault="0030064A" w:rsidP="00D70B34">
      <w:pPr>
        <w:rPr>
          <w:szCs w:val="22"/>
          <w:lang w:val="sr-Latn-ME"/>
        </w:rPr>
      </w:pPr>
      <w:r w:rsidRPr="00F24057">
        <w:rPr>
          <w:szCs w:val="22"/>
          <w:lang w:val="sr-Latn-ME"/>
        </w:rPr>
        <w:t>Primjen</w:t>
      </w:r>
      <w:r w:rsidR="00B076A7" w:rsidRPr="00F24057">
        <w:rPr>
          <w:szCs w:val="22"/>
          <w:lang w:val="sr-Latn-ME"/>
        </w:rPr>
        <w:t xml:space="preserve">a profilakse tuberkuloze takođe treba da se razmotri </w:t>
      </w:r>
      <w:r w:rsidR="00885A78" w:rsidRPr="00F24057">
        <w:rPr>
          <w:szCs w:val="22"/>
          <w:lang w:val="sr-Latn-ME"/>
        </w:rPr>
        <w:t xml:space="preserve">prije </w:t>
      </w:r>
      <w:r w:rsidR="00B076A7" w:rsidRPr="00F24057">
        <w:rPr>
          <w:szCs w:val="22"/>
          <w:lang w:val="sr-Latn-ME"/>
        </w:rPr>
        <w:t xml:space="preserve">početka terapije </w:t>
      </w:r>
      <w:r w:rsidR="00885A78" w:rsidRPr="00F24057">
        <w:rPr>
          <w:szCs w:val="22"/>
          <w:lang w:val="sr-Latn-ME"/>
        </w:rPr>
        <w:t>lijekom</w:t>
      </w:r>
      <w:r w:rsidR="00B076A7" w:rsidRPr="00F24057">
        <w:rPr>
          <w:szCs w:val="22"/>
          <w:lang w:val="sr-Latn-ME"/>
        </w:rPr>
        <w:t xml:space="preserve"> </w:t>
      </w:r>
      <w:r w:rsidR="0083737F" w:rsidRPr="00F24057">
        <w:rPr>
          <w:szCs w:val="22"/>
          <w:lang w:val="sr-Latn-ME"/>
        </w:rPr>
        <w:t>Hukyndra</w:t>
      </w:r>
      <w:r w:rsidR="00B076A7" w:rsidRPr="00F24057">
        <w:rPr>
          <w:szCs w:val="22"/>
          <w:lang w:val="sr-Latn-ME"/>
        </w:rPr>
        <w:t xml:space="preserve"> kod pacijenata sa nekoliko faktora rizika ili sa značajnim faktorima rizika od tuberkuloze uprkos negativnom nalazu na tuberkulozu i kod pacijenata sa latentnom ili aktivnom tuberkulozom u anamnezi kod kojih se ne može utvrditi adekvatan tok </w:t>
      </w:r>
      <w:r w:rsidR="00885A78" w:rsidRPr="00F24057">
        <w:rPr>
          <w:szCs w:val="22"/>
          <w:lang w:val="sr-Latn-ME"/>
        </w:rPr>
        <w:t>liječenj</w:t>
      </w:r>
      <w:r w:rsidR="00B076A7" w:rsidRPr="00F24057">
        <w:rPr>
          <w:szCs w:val="22"/>
          <w:lang w:val="sr-Latn-ME"/>
        </w:rPr>
        <w:t xml:space="preserve">a. </w:t>
      </w:r>
    </w:p>
    <w:p w14:paraId="51C6D3F6" w14:textId="54AC124A" w:rsidR="00B076A7" w:rsidRPr="00F24057" w:rsidRDefault="0083737F" w:rsidP="00D70B34">
      <w:pPr>
        <w:rPr>
          <w:szCs w:val="22"/>
          <w:lang w:val="sr-Latn-ME"/>
        </w:rPr>
      </w:pPr>
      <w:r w:rsidRPr="00F24057">
        <w:rPr>
          <w:szCs w:val="22"/>
          <w:lang w:val="sr-Latn-ME"/>
        </w:rPr>
        <w:t xml:space="preserve"> </w:t>
      </w:r>
    </w:p>
    <w:p w14:paraId="4B55F039" w14:textId="022D2873" w:rsidR="00B076A7" w:rsidRPr="00F24057" w:rsidRDefault="00B076A7" w:rsidP="00D70B34">
      <w:pPr>
        <w:rPr>
          <w:szCs w:val="22"/>
          <w:lang w:val="sr-Latn-ME"/>
        </w:rPr>
      </w:pPr>
      <w:r w:rsidRPr="00F24057">
        <w:rPr>
          <w:szCs w:val="22"/>
          <w:lang w:val="sr-Latn-ME"/>
        </w:rPr>
        <w:t>Uprkos profilaksi tuberkuloze, za</w:t>
      </w:r>
      <w:r w:rsidR="004F2520" w:rsidRPr="00F24057">
        <w:rPr>
          <w:szCs w:val="22"/>
          <w:lang w:val="sr-Latn-ME"/>
        </w:rPr>
        <w:t>biljež</w:t>
      </w:r>
      <w:r w:rsidRPr="00F24057">
        <w:rPr>
          <w:szCs w:val="22"/>
          <w:lang w:val="sr-Latn-ME"/>
        </w:rPr>
        <w:t xml:space="preserve">eni su slučajevi reaktivacije tuberkuloze kod pacijenata </w:t>
      </w:r>
      <w:r w:rsidR="00885A78" w:rsidRPr="00F24057">
        <w:rPr>
          <w:szCs w:val="22"/>
          <w:lang w:val="sr-Latn-ME"/>
        </w:rPr>
        <w:t>liječe</w:t>
      </w:r>
      <w:r w:rsidRPr="00F24057">
        <w:rPr>
          <w:szCs w:val="22"/>
          <w:lang w:val="sr-Latn-ME"/>
        </w:rPr>
        <w:t>nih adalimumabom. Kod nekih pacijenata koji su bili usp</w:t>
      </w:r>
      <w:r w:rsidR="004F2520" w:rsidRPr="00F24057">
        <w:rPr>
          <w:szCs w:val="22"/>
          <w:lang w:val="sr-Latn-ME"/>
        </w:rPr>
        <w:t>j</w:t>
      </w:r>
      <w:r w:rsidRPr="00F24057">
        <w:rPr>
          <w:szCs w:val="22"/>
          <w:lang w:val="sr-Latn-ME"/>
        </w:rPr>
        <w:t xml:space="preserve">ešno </w:t>
      </w:r>
      <w:r w:rsidR="00885A78" w:rsidRPr="00F24057">
        <w:rPr>
          <w:szCs w:val="22"/>
          <w:lang w:val="sr-Latn-ME"/>
        </w:rPr>
        <w:t>liječe</w:t>
      </w:r>
      <w:r w:rsidRPr="00F24057">
        <w:rPr>
          <w:szCs w:val="22"/>
          <w:lang w:val="sr-Latn-ME"/>
        </w:rPr>
        <w:t xml:space="preserve">ni zbog aktivne tuberkuloze, za </w:t>
      </w:r>
      <w:r w:rsidR="009811CA" w:rsidRPr="00F24057">
        <w:rPr>
          <w:szCs w:val="22"/>
          <w:lang w:val="sr-Latn-ME"/>
        </w:rPr>
        <w:t>vr</w:t>
      </w:r>
      <w:r w:rsidR="00D02388" w:rsidRPr="00F24057">
        <w:rPr>
          <w:szCs w:val="22"/>
          <w:lang w:val="sr-Latn-ME"/>
        </w:rPr>
        <w:t>ij</w:t>
      </w:r>
      <w:r w:rsidR="009811CA" w:rsidRPr="00F24057">
        <w:rPr>
          <w:szCs w:val="22"/>
          <w:lang w:val="sr-Latn-ME"/>
        </w:rPr>
        <w:t>eme</w:t>
      </w:r>
      <w:r w:rsidR="007E5568" w:rsidRPr="00F24057">
        <w:rPr>
          <w:szCs w:val="22"/>
          <w:lang w:val="sr-Latn-ME"/>
        </w:rPr>
        <w:t xml:space="preserve"> </w:t>
      </w:r>
      <w:r w:rsidR="00885A78" w:rsidRPr="00F24057">
        <w:rPr>
          <w:szCs w:val="22"/>
          <w:lang w:val="sr-Latn-ME"/>
        </w:rPr>
        <w:t>liječenj</w:t>
      </w:r>
      <w:r w:rsidRPr="00F24057">
        <w:rPr>
          <w:szCs w:val="22"/>
          <w:lang w:val="sr-Latn-ME"/>
        </w:rPr>
        <w:t xml:space="preserve">a adalimumabom ponovo se razvila tuberkuloza. </w:t>
      </w:r>
    </w:p>
    <w:p w14:paraId="4A1D515D" w14:textId="77777777" w:rsidR="00B076A7" w:rsidRPr="00F24057" w:rsidRDefault="00B076A7" w:rsidP="00D70B34">
      <w:pPr>
        <w:rPr>
          <w:szCs w:val="22"/>
          <w:lang w:val="sr-Latn-ME"/>
        </w:rPr>
      </w:pPr>
    </w:p>
    <w:p w14:paraId="4881DE88" w14:textId="27E0A526" w:rsidR="00B076A7" w:rsidRPr="00F24057" w:rsidRDefault="00B076A7" w:rsidP="00D70B34">
      <w:pPr>
        <w:rPr>
          <w:szCs w:val="22"/>
          <w:lang w:val="sr-Latn-ME"/>
        </w:rPr>
      </w:pPr>
      <w:r w:rsidRPr="00F24057">
        <w:rPr>
          <w:szCs w:val="22"/>
          <w:lang w:val="sr-Latn-ME"/>
        </w:rPr>
        <w:t>Pacijente treba uputiti da potraže medicinski sav</w:t>
      </w:r>
      <w:r w:rsidR="009A3407" w:rsidRPr="00F24057">
        <w:rPr>
          <w:szCs w:val="22"/>
          <w:lang w:val="sr-Latn-ME"/>
        </w:rPr>
        <w:t>j</w:t>
      </w:r>
      <w:r w:rsidRPr="00F24057">
        <w:rPr>
          <w:szCs w:val="22"/>
          <w:lang w:val="sr-Latn-ME"/>
        </w:rPr>
        <w:t xml:space="preserve">et ako se za </w:t>
      </w:r>
      <w:r w:rsidR="009811CA" w:rsidRPr="00F24057">
        <w:rPr>
          <w:szCs w:val="22"/>
          <w:lang w:val="sr-Latn-ME"/>
        </w:rPr>
        <w:t>vr</w:t>
      </w:r>
      <w:r w:rsidR="00044AF6" w:rsidRPr="00F24057">
        <w:rPr>
          <w:szCs w:val="22"/>
          <w:lang w:val="sr-Latn-ME"/>
        </w:rPr>
        <w:t>ijeme</w:t>
      </w:r>
      <w:r w:rsidR="007E5568" w:rsidRPr="00F24057">
        <w:rPr>
          <w:szCs w:val="22"/>
          <w:lang w:val="sr-Latn-ME"/>
        </w:rPr>
        <w:t xml:space="preserve"> </w:t>
      </w:r>
      <w:r w:rsidRPr="00F24057">
        <w:rPr>
          <w:szCs w:val="22"/>
          <w:lang w:val="sr-Latn-ME"/>
        </w:rPr>
        <w:t xml:space="preserve">ili nakon terapije </w:t>
      </w:r>
      <w:r w:rsidR="00885A78" w:rsidRPr="00F24057">
        <w:rPr>
          <w:szCs w:val="22"/>
          <w:lang w:val="sr-Latn-ME"/>
        </w:rPr>
        <w:t>lijekom</w:t>
      </w:r>
      <w:r w:rsidRPr="00F24057">
        <w:rPr>
          <w:szCs w:val="22"/>
          <w:lang w:val="sr-Latn-ME"/>
        </w:rPr>
        <w:t xml:space="preserve"> </w:t>
      </w:r>
      <w:r w:rsidR="0083737F" w:rsidRPr="00F24057">
        <w:rPr>
          <w:szCs w:val="22"/>
          <w:lang w:val="sr-Latn-ME"/>
        </w:rPr>
        <w:t>Hukyndra</w:t>
      </w:r>
      <w:r w:rsidRPr="00F24057">
        <w:rPr>
          <w:szCs w:val="22"/>
          <w:lang w:val="sr-Latn-ME"/>
        </w:rPr>
        <w:t xml:space="preserve"> pojave znakovi/simptomi koji upućuju na tuberkuloznu infekciju (npr. perzistentan kašalj, progresivno propadanje/gubitak </w:t>
      </w:r>
      <w:r w:rsidR="007E5568" w:rsidRPr="00F24057">
        <w:rPr>
          <w:szCs w:val="22"/>
          <w:lang w:val="sr-Latn-ME"/>
        </w:rPr>
        <w:t>tjeles</w:t>
      </w:r>
      <w:r w:rsidRPr="00F24057">
        <w:rPr>
          <w:szCs w:val="22"/>
          <w:lang w:val="sr-Latn-ME"/>
        </w:rPr>
        <w:t xml:space="preserve">ne mase, blago povišena </w:t>
      </w:r>
      <w:r w:rsidR="007E5568" w:rsidRPr="00F24057">
        <w:rPr>
          <w:szCs w:val="22"/>
          <w:lang w:val="sr-Latn-ME"/>
        </w:rPr>
        <w:t>tjeles</w:t>
      </w:r>
      <w:r w:rsidRPr="00F24057">
        <w:rPr>
          <w:szCs w:val="22"/>
          <w:lang w:val="sr-Latn-ME"/>
        </w:rPr>
        <w:t>na temperatura, bezvoljnost).</w:t>
      </w:r>
    </w:p>
    <w:p w14:paraId="2B6C66E4" w14:textId="78B3FC7C" w:rsidR="0083737F" w:rsidRPr="00F24057" w:rsidRDefault="0083737F" w:rsidP="00D70B34">
      <w:pPr>
        <w:rPr>
          <w:szCs w:val="22"/>
          <w:lang w:val="sr-Latn-ME"/>
        </w:rPr>
      </w:pPr>
    </w:p>
    <w:p w14:paraId="52D1D665" w14:textId="77777777" w:rsidR="0083737F" w:rsidRPr="00F24057" w:rsidRDefault="0083737F" w:rsidP="00D70B34">
      <w:pPr>
        <w:rPr>
          <w:i/>
          <w:iCs/>
          <w:szCs w:val="22"/>
          <w:lang w:val="sr-Latn-ME"/>
        </w:rPr>
      </w:pPr>
      <w:r w:rsidRPr="00F24057">
        <w:rPr>
          <w:i/>
          <w:iCs/>
          <w:szCs w:val="22"/>
          <w:lang w:val="sr-Latn-ME"/>
        </w:rPr>
        <w:t xml:space="preserve">Druge oportunističke infekcije </w:t>
      </w:r>
    </w:p>
    <w:p w14:paraId="594CDD08" w14:textId="77CA6C86" w:rsidR="0083737F" w:rsidRPr="00F24057" w:rsidRDefault="0083737F" w:rsidP="00D70B34">
      <w:pPr>
        <w:rPr>
          <w:szCs w:val="22"/>
          <w:lang w:val="sr-Latn-ME"/>
        </w:rPr>
      </w:pPr>
      <w:r w:rsidRPr="00F24057">
        <w:rPr>
          <w:szCs w:val="22"/>
          <w:lang w:val="sr-Latn-ME"/>
        </w:rPr>
        <w:t>Kod pacijenata koji primaju adalimumab za</w:t>
      </w:r>
      <w:r w:rsidR="004F2520" w:rsidRPr="00F24057">
        <w:rPr>
          <w:szCs w:val="22"/>
          <w:lang w:val="sr-Latn-ME"/>
        </w:rPr>
        <w:t>biljež</w:t>
      </w:r>
      <w:r w:rsidRPr="00F24057">
        <w:rPr>
          <w:szCs w:val="22"/>
          <w:lang w:val="sr-Latn-ME"/>
        </w:rPr>
        <w:t>ene su oportunističke infekcije, uključujući invazivne gljivične infekcije. Ove infekcije nisu uv</w:t>
      </w:r>
      <w:r w:rsidR="000C5085" w:rsidRPr="00F24057">
        <w:rPr>
          <w:szCs w:val="22"/>
          <w:lang w:val="sr-Latn-ME"/>
        </w:rPr>
        <w:t>ij</w:t>
      </w:r>
      <w:r w:rsidRPr="00F24057">
        <w:rPr>
          <w:szCs w:val="22"/>
          <w:lang w:val="sr-Latn-ME"/>
        </w:rPr>
        <w:t xml:space="preserve">ek bile prepoznate kod pacijenata koji su primali antagoniste TNF-a, što je rezultiralo kašnjenjem sa odgovarajućim </w:t>
      </w:r>
      <w:r w:rsidR="0030064A" w:rsidRPr="00F24057">
        <w:rPr>
          <w:szCs w:val="22"/>
          <w:lang w:val="sr-Latn-ME"/>
        </w:rPr>
        <w:t>liječenje</w:t>
      </w:r>
      <w:r w:rsidRPr="00F24057">
        <w:rPr>
          <w:szCs w:val="22"/>
          <w:lang w:val="sr-Latn-ME"/>
        </w:rPr>
        <w:t xml:space="preserve">m i ponekad dovelo do smrtnog ishoda. </w:t>
      </w:r>
    </w:p>
    <w:p w14:paraId="43B3DBE3" w14:textId="77777777" w:rsidR="0083737F" w:rsidRPr="00F24057" w:rsidRDefault="0083737F" w:rsidP="00D70B34">
      <w:pPr>
        <w:rPr>
          <w:szCs w:val="22"/>
          <w:lang w:val="sr-Latn-ME"/>
        </w:rPr>
      </w:pPr>
    </w:p>
    <w:p w14:paraId="2BEA2213" w14:textId="5FEF8E96" w:rsidR="0083737F" w:rsidRPr="00F24057" w:rsidRDefault="0083737F" w:rsidP="00D70B34">
      <w:pPr>
        <w:rPr>
          <w:szCs w:val="22"/>
          <w:lang w:val="sr-Latn-ME"/>
        </w:rPr>
      </w:pPr>
      <w:r w:rsidRPr="00F24057">
        <w:rPr>
          <w:szCs w:val="22"/>
          <w:lang w:val="sr-Latn-ME"/>
        </w:rPr>
        <w:t xml:space="preserve">Ako se kod pacijenata pojave znakovi i simptomi kao što su povišena </w:t>
      </w:r>
      <w:r w:rsidR="007E5568" w:rsidRPr="00F24057">
        <w:rPr>
          <w:szCs w:val="22"/>
          <w:lang w:val="sr-Latn-ME"/>
        </w:rPr>
        <w:t>tjeles</w:t>
      </w:r>
      <w:r w:rsidR="00063667" w:rsidRPr="00F24057">
        <w:rPr>
          <w:szCs w:val="22"/>
          <w:lang w:val="sr-Latn-ME"/>
        </w:rPr>
        <w:t xml:space="preserve">na </w:t>
      </w:r>
      <w:r w:rsidRPr="00F24057">
        <w:rPr>
          <w:szCs w:val="22"/>
          <w:lang w:val="sr-Latn-ME"/>
        </w:rPr>
        <w:t xml:space="preserve">temperatura, malaksalost, gubitak </w:t>
      </w:r>
      <w:r w:rsidR="007E5568" w:rsidRPr="00F24057">
        <w:rPr>
          <w:szCs w:val="22"/>
          <w:lang w:val="sr-Latn-ME"/>
        </w:rPr>
        <w:t>tjeles</w:t>
      </w:r>
      <w:r w:rsidRPr="00F24057">
        <w:rPr>
          <w:szCs w:val="22"/>
          <w:lang w:val="sr-Latn-ME"/>
        </w:rPr>
        <w:t xml:space="preserve">ne mase, znojenje, kašalj, dispneja i/ili plućni infiltrati ili druge ozbiljne sistemske bolesti s istovremenim šokom ili bez njega, treba posumnjati na invazivnu gljivičnu infekciju i odmah prekinuti </w:t>
      </w:r>
      <w:r w:rsidR="0030064A" w:rsidRPr="00F24057">
        <w:rPr>
          <w:szCs w:val="22"/>
          <w:lang w:val="sr-Latn-ME"/>
        </w:rPr>
        <w:t>primjen</w:t>
      </w:r>
      <w:r w:rsidRPr="00F24057">
        <w:rPr>
          <w:szCs w:val="22"/>
          <w:lang w:val="sr-Latn-ME"/>
        </w:rPr>
        <w:t xml:space="preserve">u </w:t>
      </w:r>
      <w:r w:rsidR="00885A78" w:rsidRPr="00F24057">
        <w:rPr>
          <w:szCs w:val="22"/>
          <w:lang w:val="sr-Latn-ME"/>
        </w:rPr>
        <w:t xml:space="preserve">lijeka </w:t>
      </w:r>
      <w:r w:rsidRPr="00F24057">
        <w:rPr>
          <w:szCs w:val="22"/>
          <w:lang w:val="sr-Latn-ME"/>
        </w:rPr>
        <w:t xml:space="preserve">Hukyndra. Kod ovih pacijenata dijagnozu i </w:t>
      </w:r>
      <w:r w:rsidR="0030064A" w:rsidRPr="00F24057">
        <w:rPr>
          <w:szCs w:val="22"/>
          <w:lang w:val="sr-Latn-ME"/>
        </w:rPr>
        <w:t>primjen</w:t>
      </w:r>
      <w:r w:rsidRPr="00F24057">
        <w:rPr>
          <w:szCs w:val="22"/>
          <w:lang w:val="sr-Latn-ME"/>
        </w:rPr>
        <w:t>u empirijske antifungalne terapije potrebno je sprovesti uz sav</w:t>
      </w:r>
      <w:r w:rsidR="009A3407" w:rsidRPr="00F24057">
        <w:rPr>
          <w:szCs w:val="22"/>
          <w:lang w:val="sr-Latn-ME"/>
        </w:rPr>
        <w:t>j</w:t>
      </w:r>
      <w:r w:rsidRPr="00F24057">
        <w:rPr>
          <w:szCs w:val="22"/>
          <w:lang w:val="sr-Latn-ME"/>
        </w:rPr>
        <w:t xml:space="preserve">etovanje sa </w:t>
      </w:r>
      <w:r w:rsidR="0030064A" w:rsidRPr="00F24057">
        <w:rPr>
          <w:szCs w:val="22"/>
          <w:lang w:val="sr-Latn-ME"/>
        </w:rPr>
        <w:t>ljekar</w:t>
      </w:r>
      <w:r w:rsidRPr="00F24057">
        <w:rPr>
          <w:szCs w:val="22"/>
          <w:lang w:val="sr-Latn-ME"/>
        </w:rPr>
        <w:t xml:space="preserve">om koji ima iskustva u </w:t>
      </w:r>
      <w:r w:rsidR="00885A78" w:rsidRPr="00F24057">
        <w:rPr>
          <w:szCs w:val="22"/>
          <w:lang w:val="sr-Latn-ME"/>
        </w:rPr>
        <w:t>liječenj</w:t>
      </w:r>
      <w:r w:rsidRPr="00F24057">
        <w:rPr>
          <w:szCs w:val="22"/>
          <w:lang w:val="sr-Latn-ME"/>
        </w:rPr>
        <w:t>u pacijenata sa invazivnim gljivičnim infekcijama.</w:t>
      </w:r>
    </w:p>
    <w:p w14:paraId="072D43C7" w14:textId="4BEFB3BD" w:rsidR="00CE09F3" w:rsidRPr="00F24057" w:rsidRDefault="00CE09F3" w:rsidP="00D70B34">
      <w:pPr>
        <w:rPr>
          <w:szCs w:val="22"/>
          <w:lang w:val="sr-Latn-ME"/>
        </w:rPr>
      </w:pPr>
    </w:p>
    <w:p w14:paraId="14E04AC2" w14:textId="77777777" w:rsidR="00CE5838" w:rsidRPr="00F24057" w:rsidRDefault="00CE5838" w:rsidP="00D70B34">
      <w:pPr>
        <w:rPr>
          <w:szCs w:val="22"/>
          <w:u w:val="single"/>
          <w:lang w:val="sr-Latn-ME"/>
        </w:rPr>
      </w:pPr>
      <w:r w:rsidRPr="00F24057">
        <w:rPr>
          <w:szCs w:val="22"/>
          <w:u w:val="single"/>
          <w:lang w:val="sr-Latn-ME"/>
        </w:rPr>
        <w:t xml:space="preserve">Reaktivacija hepatitisa B </w:t>
      </w:r>
    </w:p>
    <w:p w14:paraId="618B1CF1" w14:textId="77777777" w:rsidR="00CE5838" w:rsidRPr="00F24057" w:rsidRDefault="00CE5838" w:rsidP="00D70B34">
      <w:pPr>
        <w:rPr>
          <w:szCs w:val="22"/>
          <w:lang w:val="sr-Latn-ME"/>
        </w:rPr>
      </w:pPr>
    </w:p>
    <w:p w14:paraId="73204F33" w14:textId="043DE95C" w:rsidR="00CE5838" w:rsidRPr="00F24057" w:rsidRDefault="00CE5838" w:rsidP="00D70B34">
      <w:pPr>
        <w:rPr>
          <w:szCs w:val="22"/>
          <w:lang w:val="sr-Latn-ME"/>
        </w:rPr>
      </w:pPr>
      <w:r w:rsidRPr="00F24057">
        <w:rPr>
          <w:szCs w:val="22"/>
          <w:lang w:val="sr-Latn-ME"/>
        </w:rPr>
        <w:t>Za</w:t>
      </w:r>
      <w:r w:rsidR="004F2520" w:rsidRPr="00F24057">
        <w:rPr>
          <w:szCs w:val="22"/>
          <w:lang w:val="sr-Latn-ME"/>
        </w:rPr>
        <w:t>biljež</w:t>
      </w:r>
      <w:r w:rsidRPr="00F24057">
        <w:rPr>
          <w:szCs w:val="22"/>
          <w:lang w:val="sr-Latn-ME"/>
        </w:rPr>
        <w:t xml:space="preserve">ena je reaktivacija hepatitisa B kod pacijenata koji su uzimali antagoniste TNF-a, uključujući adalimumab i koji su bili hronični nosioci tog virusa (tj. pozitivni na površinski antigen), a bilo je i </w:t>
      </w:r>
      <w:r w:rsidRPr="00F24057">
        <w:rPr>
          <w:szCs w:val="22"/>
          <w:lang w:val="sr-Latn-ME"/>
        </w:rPr>
        <w:lastRenderedPageBreak/>
        <w:t xml:space="preserve">slučajeva sa smrtnim ishodom. Pacijente je potrebno </w:t>
      </w:r>
      <w:r w:rsidR="00885A78" w:rsidRPr="00F24057">
        <w:rPr>
          <w:szCs w:val="22"/>
          <w:lang w:val="sr-Latn-ME"/>
        </w:rPr>
        <w:t xml:space="preserve">prije </w:t>
      </w:r>
      <w:r w:rsidRPr="00F24057">
        <w:rPr>
          <w:szCs w:val="22"/>
          <w:lang w:val="sr-Latn-ME"/>
        </w:rPr>
        <w:t xml:space="preserve">početka terapije </w:t>
      </w:r>
      <w:r w:rsidR="00885A78" w:rsidRPr="00F24057">
        <w:rPr>
          <w:szCs w:val="22"/>
          <w:lang w:val="sr-Latn-ME"/>
        </w:rPr>
        <w:t>lijekom</w:t>
      </w:r>
      <w:r w:rsidRPr="00F24057">
        <w:rPr>
          <w:szCs w:val="22"/>
          <w:lang w:val="sr-Latn-ME"/>
        </w:rPr>
        <w:t xml:space="preserve"> </w:t>
      </w:r>
      <w:r w:rsidR="000F6669" w:rsidRPr="00F24057">
        <w:rPr>
          <w:szCs w:val="22"/>
          <w:lang w:val="sr-Latn-ME"/>
        </w:rPr>
        <w:t>Hukyndra</w:t>
      </w:r>
      <w:r w:rsidRPr="00F24057">
        <w:rPr>
          <w:szCs w:val="22"/>
          <w:lang w:val="sr-Latn-ME"/>
        </w:rPr>
        <w:t xml:space="preserve"> testirati na infekciju</w:t>
      </w:r>
      <w:r w:rsidR="00E71FEE" w:rsidRPr="00F24057">
        <w:rPr>
          <w:szCs w:val="22"/>
          <w:lang w:val="sr-Latn-ME"/>
        </w:rPr>
        <w:t xml:space="preserve"> virusom hepatitisa B (HBV)</w:t>
      </w:r>
      <w:r w:rsidRPr="00F24057">
        <w:rPr>
          <w:szCs w:val="22"/>
          <w:lang w:val="sr-Latn-ME"/>
        </w:rPr>
        <w:t>. Kod pacijenata koji su pozitivni na infekciju virusom hepatitisa B, preporuka je da se potraži sav</w:t>
      </w:r>
      <w:r w:rsidR="009A3407" w:rsidRPr="00F24057">
        <w:rPr>
          <w:szCs w:val="22"/>
          <w:lang w:val="sr-Latn-ME"/>
        </w:rPr>
        <w:t>j</w:t>
      </w:r>
      <w:r w:rsidRPr="00F24057">
        <w:rPr>
          <w:szCs w:val="22"/>
          <w:lang w:val="sr-Latn-ME"/>
        </w:rPr>
        <w:t xml:space="preserve">et </w:t>
      </w:r>
      <w:r w:rsidR="0030064A" w:rsidRPr="00F24057">
        <w:rPr>
          <w:szCs w:val="22"/>
          <w:lang w:val="sr-Latn-ME"/>
        </w:rPr>
        <w:t>ljekar</w:t>
      </w:r>
      <w:r w:rsidRPr="00F24057">
        <w:rPr>
          <w:szCs w:val="22"/>
          <w:lang w:val="sr-Latn-ME"/>
        </w:rPr>
        <w:t xml:space="preserve">a sa iskustvom u </w:t>
      </w:r>
      <w:r w:rsidR="00885A78" w:rsidRPr="00F24057">
        <w:rPr>
          <w:szCs w:val="22"/>
          <w:lang w:val="sr-Latn-ME"/>
        </w:rPr>
        <w:t>liječenj</w:t>
      </w:r>
      <w:r w:rsidRPr="00F24057">
        <w:rPr>
          <w:szCs w:val="22"/>
          <w:lang w:val="sr-Latn-ME"/>
        </w:rPr>
        <w:t xml:space="preserve">u hepatitisa B. </w:t>
      </w:r>
    </w:p>
    <w:p w14:paraId="2DAC60FB" w14:textId="087C2CCB" w:rsidR="00CE5838" w:rsidRPr="00F24057" w:rsidRDefault="00CE5838" w:rsidP="00D70B34">
      <w:pPr>
        <w:rPr>
          <w:szCs w:val="22"/>
          <w:lang w:val="sr-Latn-ME"/>
        </w:rPr>
      </w:pPr>
    </w:p>
    <w:p w14:paraId="371F4B8E" w14:textId="264A7728" w:rsidR="00CE5838" w:rsidRPr="00F24057" w:rsidRDefault="00CE5838" w:rsidP="00D70B34">
      <w:pPr>
        <w:rPr>
          <w:szCs w:val="22"/>
          <w:lang w:val="sr-Latn-ME"/>
        </w:rPr>
      </w:pPr>
      <w:r w:rsidRPr="00F24057">
        <w:rPr>
          <w:szCs w:val="22"/>
          <w:lang w:val="sr-Latn-ME"/>
        </w:rPr>
        <w:t xml:space="preserve">Nosioce HBV-a kod kojih je nužna </w:t>
      </w:r>
      <w:r w:rsidR="0030064A" w:rsidRPr="00F24057">
        <w:rPr>
          <w:szCs w:val="22"/>
          <w:lang w:val="sr-Latn-ME"/>
        </w:rPr>
        <w:t>primjen</w:t>
      </w:r>
      <w:r w:rsidRPr="00F24057">
        <w:rPr>
          <w:szCs w:val="22"/>
          <w:lang w:val="sr-Latn-ME"/>
        </w:rPr>
        <w:t xml:space="preserve">a </w:t>
      </w:r>
      <w:r w:rsidR="00885A78" w:rsidRPr="00F24057">
        <w:rPr>
          <w:szCs w:val="22"/>
          <w:lang w:val="sr-Latn-ME"/>
        </w:rPr>
        <w:t xml:space="preserve">lijeka </w:t>
      </w:r>
      <w:r w:rsidR="000F6669" w:rsidRPr="00F24057">
        <w:rPr>
          <w:szCs w:val="22"/>
          <w:lang w:val="sr-Latn-ME"/>
        </w:rPr>
        <w:t>Hukyndra</w:t>
      </w:r>
      <w:r w:rsidRPr="00F24057">
        <w:rPr>
          <w:szCs w:val="22"/>
          <w:lang w:val="sr-Latn-ME"/>
        </w:rPr>
        <w:t xml:space="preserve"> treba pažljivo pratiti zbog moguće pojave znakova i simptoma aktivne HBV infekcije tokom </w:t>
      </w:r>
      <w:r w:rsidR="00FE54D1" w:rsidRPr="00F24057">
        <w:rPr>
          <w:szCs w:val="22"/>
          <w:lang w:val="sr-Latn-ME"/>
        </w:rPr>
        <w:t>cijelog</w:t>
      </w:r>
      <w:r w:rsidRPr="00F24057">
        <w:rPr>
          <w:szCs w:val="22"/>
          <w:lang w:val="sr-Latn-ME"/>
        </w:rPr>
        <w:t xml:space="preserve"> trajanja terapije, kao i nekoliko </w:t>
      </w:r>
      <w:r w:rsidR="00885A78" w:rsidRPr="00F24057">
        <w:rPr>
          <w:szCs w:val="22"/>
          <w:lang w:val="sr-Latn-ME"/>
        </w:rPr>
        <w:t>mjesec</w:t>
      </w:r>
      <w:r w:rsidRPr="00F24057">
        <w:rPr>
          <w:szCs w:val="22"/>
          <w:lang w:val="sr-Latn-ME"/>
        </w:rPr>
        <w:t xml:space="preserve">i nakon njenog prekida. Nisu dostupni odgovarajući podaci o kombinovanom </w:t>
      </w:r>
      <w:r w:rsidR="00885A78" w:rsidRPr="00F24057">
        <w:rPr>
          <w:szCs w:val="22"/>
          <w:lang w:val="sr-Latn-ME"/>
        </w:rPr>
        <w:t>liječenj</w:t>
      </w:r>
      <w:r w:rsidRPr="00F24057">
        <w:rPr>
          <w:szCs w:val="22"/>
          <w:lang w:val="sr-Latn-ME"/>
        </w:rPr>
        <w:t xml:space="preserve">u antivirusnom terapijom i antagonistom TNF-a u svrhu prevencije reaktivacije HBV-a kod pacijenata koji su nosioci HBV-a. Kod pacijenata kod kojih se javi reaktivacija HBV infekcije mora da se obustavi terapija </w:t>
      </w:r>
      <w:r w:rsidR="00885A78" w:rsidRPr="00F24057">
        <w:rPr>
          <w:szCs w:val="22"/>
          <w:lang w:val="sr-Latn-ME"/>
        </w:rPr>
        <w:t>lijekom</w:t>
      </w:r>
      <w:r w:rsidRPr="00F24057">
        <w:rPr>
          <w:szCs w:val="22"/>
          <w:lang w:val="sr-Latn-ME"/>
        </w:rPr>
        <w:t xml:space="preserve"> </w:t>
      </w:r>
      <w:r w:rsidR="000F6669" w:rsidRPr="00F24057">
        <w:rPr>
          <w:szCs w:val="22"/>
          <w:lang w:val="sr-Latn-ME"/>
        </w:rPr>
        <w:t xml:space="preserve">Hukyndra </w:t>
      </w:r>
      <w:r w:rsidRPr="00F24057">
        <w:rPr>
          <w:szCs w:val="22"/>
          <w:lang w:val="sr-Latn-ME"/>
        </w:rPr>
        <w:t xml:space="preserve">i započne efektivna antivirusna terapija uz odgovarajuće suportivne </w:t>
      </w:r>
      <w:r w:rsidR="00AA29FD" w:rsidRPr="00F24057">
        <w:rPr>
          <w:szCs w:val="22"/>
          <w:lang w:val="sr-Latn-ME"/>
        </w:rPr>
        <w:t>mjere</w:t>
      </w:r>
      <w:r w:rsidRPr="00F24057">
        <w:rPr>
          <w:szCs w:val="22"/>
          <w:lang w:val="sr-Latn-ME"/>
        </w:rPr>
        <w:t xml:space="preserve">. </w:t>
      </w:r>
    </w:p>
    <w:p w14:paraId="5B82C7FD" w14:textId="77777777" w:rsidR="00CE5838" w:rsidRPr="00F24057" w:rsidRDefault="00CE5838" w:rsidP="00D70B34">
      <w:pPr>
        <w:rPr>
          <w:szCs w:val="22"/>
          <w:lang w:val="sr-Latn-ME"/>
        </w:rPr>
      </w:pPr>
    </w:p>
    <w:p w14:paraId="661A026D" w14:textId="77777777" w:rsidR="00CE5838" w:rsidRPr="00F24057" w:rsidRDefault="00CE5838" w:rsidP="00D70B34">
      <w:pPr>
        <w:rPr>
          <w:szCs w:val="22"/>
          <w:u w:val="single"/>
          <w:lang w:val="sr-Latn-ME"/>
        </w:rPr>
      </w:pPr>
      <w:r w:rsidRPr="00F24057">
        <w:rPr>
          <w:szCs w:val="22"/>
          <w:u w:val="single"/>
          <w:lang w:val="sr-Latn-ME"/>
        </w:rPr>
        <w:t xml:space="preserve">Neurološki događaji </w:t>
      </w:r>
    </w:p>
    <w:p w14:paraId="2A852696" w14:textId="77777777" w:rsidR="00CE5838" w:rsidRPr="00F24057" w:rsidRDefault="00CE5838" w:rsidP="00D70B34">
      <w:pPr>
        <w:rPr>
          <w:szCs w:val="22"/>
          <w:lang w:val="sr-Latn-ME"/>
        </w:rPr>
      </w:pPr>
    </w:p>
    <w:p w14:paraId="3E05D3CD" w14:textId="192556BB" w:rsidR="00CE5838" w:rsidRPr="00F24057" w:rsidRDefault="00CE5838" w:rsidP="00D70B34">
      <w:pPr>
        <w:rPr>
          <w:szCs w:val="22"/>
          <w:lang w:val="sr-Latn-ME"/>
        </w:rPr>
      </w:pPr>
      <w:r w:rsidRPr="00F24057">
        <w:rPr>
          <w:szCs w:val="22"/>
          <w:lang w:val="sr-Latn-ME"/>
        </w:rPr>
        <w:t xml:space="preserve">U </w:t>
      </w:r>
      <w:r w:rsidR="004F2520" w:rsidRPr="00F24057">
        <w:rPr>
          <w:szCs w:val="22"/>
          <w:lang w:val="sr-Latn-ME"/>
        </w:rPr>
        <w:t>rijetk</w:t>
      </w:r>
      <w:r w:rsidRPr="00F24057">
        <w:rPr>
          <w:szCs w:val="22"/>
          <w:lang w:val="sr-Latn-ME"/>
        </w:rPr>
        <w:t xml:space="preserve">im slučajevima su antagonisti TNF-a, uključujući adalimumab, bili povezani sa pojavom novih ili pogoršanjem postojećih kliničkih simptoma i/ili radiografskih dokaza demijelinizirajuće bolesti centralnog nervnog sistema, uključujući multiplu sklerozu i optički neuritis, i periferne demijelinizirajuće bolesti, uključujući </w:t>
      </w:r>
      <w:r w:rsidRPr="00F24057">
        <w:rPr>
          <w:i/>
          <w:iCs/>
          <w:szCs w:val="22"/>
          <w:lang w:val="sr-Latn-ME"/>
        </w:rPr>
        <w:t>Guillain-Barré</w:t>
      </w:r>
      <w:r w:rsidRPr="00F24057">
        <w:rPr>
          <w:szCs w:val="22"/>
          <w:lang w:val="sr-Latn-ME"/>
        </w:rPr>
        <w:t xml:space="preserve">-ov sindrom. </w:t>
      </w:r>
      <w:r w:rsidR="0030064A" w:rsidRPr="00F24057">
        <w:rPr>
          <w:szCs w:val="22"/>
          <w:lang w:val="sr-Latn-ME"/>
        </w:rPr>
        <w:t>Ljekar</w:t>
      </w:r>
      <w:r w:rsidRPr="00F24057">
        <w:rPr>
          <w:szCs w:val="22"/>
          <w:lang w:val="sr-Latn-ME"/>
        </w:rPr>
        <w:t xml:space="preserve">i koji propisuju </w:t>
      </w:r>
      <w:r w:rsidR="0030064A" w:rsidRPr="00F24057">
        <w:rPr>
          <w:szCs w:val="22"/>
          <w:lang w:val="sr-Latn-ME"/>
        </w:rPr>
        <w:t xml:space="preserve">lijek </w:t>
      </w:r>
      <w:r w:rsidRPr="00F24057">
        <w:rPr>
          <w:szCs w:val="22"/>
          <w:lang w:val="sr-Latn-ME"/>
        </w:rPr>
        <w:t xml:space="preserve">treba da budu oprezni prilikom razmatranja terapije </w:t>
      </w:r>
      <w:r w:rsidR="00885A78" w:rsidRPr="00F24057">
        <w:rPr>
          <w:szCs w:val="22"/>
          <w:lang w:val="sr-Latn-ME"/>
        </w:rPr>
        <w:t>lijekom</w:t>
      </w:r>
      <w:r w:rsidRPr="00F24057">
        <w:rPr>
          <w:szCs w:val="22"/>
          <w:lang w:val="sr-Latn-ME"/>
        </w:rPr>
        <w:t xml:space="preserve"> </w:t>
      </w:r>
      <w:r w:rsidR="000F6669" w:rsidRPr="00F24057">
        <w:rPr>
          <w:szCs w:val="22"/>
          <w:lang w:val="sr-Latn-ME"/>
        </w:rPr>
        <w:t xml:space="preserve">Hukyndra </w:t>
      </w:r>
      <w:r w:rsidRPr="00F24057">
        <w:rPr>
          <w:szCs w:val="22"/>
          <w:lang w:val="sr-Latn-ME"/>
        </w:rPr>
        <w:t xml:space="preserve">kod pacijenata sa ranije postojećim ili nedavno nastalim demijelinizirajućim poremećajima centralnog ili perifernog nervnog sistema; ako se razvije bilo koji od tih poremećaja, treba razmotriti prekid terapije </w:t>
      </w:r>
      <w:r w:rsidR="00885A78" w:rsidRPr="00F24057">
        <w:rPr>
          <w:szCs w:val="22"/>
          <w:lang w:val="sr-Latn-ME"/>
        </w:rPr>
        <w:t>lijekom</w:t>
      </w:r>
      <w:r w:rsidRPr="00F24057">
        <w:rPr>
          <w:szCs w:val="22"/>
          <w:lang w:val="sr-Latn-ME"/>
        </w:rPr>
        <w:t xml:space="preserve"> </w:t>
      </w:r>
      <w:r w:rsidR="000F6669" w:rsidRPr="00F24057">
        <w:rPr>
          <w:szCs w:val="22"/>
          <w:lang w:val="sr-Latn-ME"/>
        </w:rPr>
        <w:t>Hukyndra</w:t>
      </w:r>
      <w:r w:rsidRPr="00F24057">
        <w:rPr>
          <w:szCs w:val="22"/>
          <w:lang w:val="sr-Latn-ME"/>
        </w:rPr>
        <w:t xml:space="preserve">. Poznato je da postoji povezanost između intermedijarnog uveitisa i demijelinizirajućih poremećaja centralnog nervnog sistema. Kod pacijenata sa neinfektivnim intermedijarnim uveitisom treba sprovesti neurološku </w:t>
      </w:r>
      <w:r w:rsidR="004F2520" w:rsidRPr="00F24057">
        <w:rPr>
          <w:szCs w:val="22"/>
          <w:lang w:val="sr-Latn-ME"/>
        </w:rPr>
        <w:t>procjen</w:t>
      </w:r>
      <w:r w:rsidRPr="00F24057">
        <w:rPr>
          <w:szCs w:val="22"/>
          <w:lang w:val="sr-Latn-ME"/>
        </w:rPr>
        <w:t xml:space="preserve">u </w:t>
      </w:r>
      <w:r w:rsidR="00885A78" w:rsidRPr="00F24057">
        <w:rPr>
          <w:szCs w:val="22"/>
          <w:lang w:val="sr-Latn-ME"/>
        </w:rPr>
        <w:t xml:space="preserve">prije </w:t>
      </w:r>
      <w:r w:rsidRPr="00F24057">
        <w:rPr>
          <w:szCs w:val="22"/>
          <w:lang w:val="sr-Latn-ME"/>
        </w:rPr>
        <w:t xml:space="preserve">početka terapije </w:t>
      </w:r>
      <w:r w:rsidR="00885A78" w:rsidRPr="00F24057">
        <w:rPr>
          <w:szCs w:val="22"/>
          <w:lang w:val="sr-Latn-ME"/>
        </w:rPr>
        <w:t>lijekom</w:t>
      </w:r>
      <w:r w:rsidRPr="00F24057">
        <w:rPr>
          <w:szCs w:val="22"/>
          <w:lang w:val="sr-Latn-ME"/>
        </w:rPr>
        <w:t xml:space="preserve"> </w:t>
      </w:r>
      <w:r w:rsidR="000F6669" w:rsidRPr="00F24057">
        <w:rPr>
          <w:szCs w:val="22"/>
          <w:lang w:val="sr-Latn-ME"/>
        </w:rPr>
        <w:t xml:space="preserve">Hukyndra </w:t>
      </w:r>
      <w:r w:rsidRPr="00F24057">
        <w:rPr>
          <w:szCs w:val="22"/>
          <w:lang w:val="sr-Latn-ME"/>
        </w:rPr>
        <w:t xml:space="preserve">i redovno tokom </w:t>
      </w:r>
      <w:r w:rsidR="00885A78" w:rsidRPr="00F24057">
        <w:rPr>
          <w:szCs w:val="22"/>
          <w:lang w:val="sr-Latn-ME"/>
        </w:rPr>
        <w:t>liječenj</w:t>
      </w:r>
      <w:r w:rsidRPr="00F24057">
        <w:rPr>
          <w:szCs w:val="22"/>
          <w:lang w:val="sr-Latn-ME"/>
        </w:rPr>
        <w:t xml:space="preserve">a kako bi se utvrdili od ranije postojeći ili novorazvijeni demijelinizirajući poremećaji centralnog nervnog sistema. </w:t>
      </w:r>
    </w:p>
    <w:p w14:paraId="5FDE0D9E" w14:textId="77777777" w:rsidR="00CE5838" w:rsidRPr="00F24057" w:rsidRDefault="00CE5838" w:rsidP="00D70B34">
      <w:pPr>
        <w:rPr>
          <w:szCs w:val="22"/>
          <w:lang w:val="sr-Latn-ME"/>
        </w:rPr>
      </w:pPr>
    </w:p>
    <w:p w14:paraId="4EE5784D" w14:textId="77777777" w:rsidR="00CE5838" w:rsidRPr="00F24057" w:rsidRDefault="00CE5838" w:rsidP="00D70B34">
      <w:pPr>
        <w:rPr>
          <w:szCs w:val="22"/>
          <w:u w:val="single"/>
          <w:lang w:val="sr-Latn-ME"/>
        </w:rPr>
      </w:pPr>
      <w:r w:rsidRPr="00F24057">
        <w:rPr>
          <w:szCs w:val="22"/>
          <w:u w:val="single"/>
          <w:lang w:val="sr-Latn-ME"/>
        </w:rPr>
        <w:t xml:space="preserve">Alergijske reakcije </w:t>
      </w:r>
    </w:p>
    <w:p w14:paraId="73EABE56" w14:textId="77777777" w:rsidR="00CE5838" w:rsidRPr="00F24057" w:rsidRDefault="00CE5838" w:rsidP="00D70B34">
      <w:pPr>
        <w:rPr>
          <w:szCs w:val="22"/>
          <w:lang w:val="sr-Latn-ME"/>
        </w:rPr>
      </w:pPr>
    </w:p>
    <w:p w14:paraId="5EF4CA59" w14:textId="3FF70533" w:rsidR="00CE5838" w:rsidRPr="00F24057" w:rsidRDefault="00CE5838" w:rsidP="00D70B34">
      <w:pPr>
        <w:rPr>
          <w:szCs w:val="22"/>
          <w:lang w:val="sr-Latn-ME"/>
        </w:rPr>
      </w:pPr>
      <w:r w:rsidRPr="00F24057">
        <w:rPr>
          <w:szCs w:val="22"/>
          <w:lang w:val="sr-Latn-ME"/>
        </w:rPr>
        <w:t xml:space="preserve">Tokom kliničkih ispitivanja </w:t>
      </w:r>
      <w:r w:rsidR="004F2520" w:rsidRPr="00F24057">
        <w:rPr>
          <w:szCs w:val="22"/>
          <w:lang w:val="sr-Latn-ME"/>
        </w:rPr>
        <w:t>rijetk</w:t>
      </w:r>
      <w:r w:rsidRPr="00F24057">
        <w:rPr>
          <w:szCs w:val="22"/>
          <w:lang w:val="sr-Latn-ME"/>
        </w:rPr>
        <w:t xml:space="preserve">o su prijavljivane ozbiljne alergijske reakcije povezane sa </w:t>
      </w:r>
      <w:r w:rsidR="0030064A" w:rsidRPr="00F24057">
        <w:rPr>
          <w:szCs w:val="22"/>
          <w:lang w:val="sr-Latn-ME"/>
        </w:rPr>
        <w:t>primjen</w:t>
      </w:r>
      <w:r w:rsidRPr="00F24057">
        <w:rPr>
          <w:szCs w:val="22"/>
          <w:lang w:val="sr-Latn-ME"/>
        </w:rPr>
        <w:t>om adalimumaba. Povremeno su u kliničkim ispitivanjima za</w:t>
      </w:r>
      <w:r w:rsidR="004F2520" w:rsidRPr="00F24057">
        <w:rPr>
          <w:szCs w:val="22"/>
          <w:lang w:val="sr-Latn-ME"/>
        </w:rPr>
        <w:t>biljež</w:t>
      </w:r>
      <w:r w:rsidRPr="00F24057">
        <w:rPr>
          <w:szCs w:val="22"/>
          <w:lang w:val="sr-Latn-ME"/>
        </w:rPr>
        <w:t xml:space="preserve">ene alergijske reakcije povezane sa adalimumabom koje nisu bile ozbiljne. Ozbiljne alergijske reakcije, uključujući anafilaksu, prijavljivane su nakon </w:t>
      </w:r>
      <w:r w:rsidR="0030064A" w:rsidRPr="00F24057">
        <w:rPr>
          <w:szCs w:val="22"/>
          <w:lang w:val="sr-Latn-ME"/>
        </w:rPr>
        <w:t>primjen</w:t>
      </w:r>
      <w:r w:rsidRPr="00F24057">
        <w:rPr>
          <w:szCs w:val="22"/>
          <w:lang w:val="sr-Latn-ME"/>
        </w:rPr>
        <w:t xml:space="preserve">e adalimumaba. Ako se pojavi anafilaktička reakcija ili druga ozbiljna alergijska reakcija, </w:t>
      </w:r>
      <w:r w:rsidR="0030064A" w:rsidRPr="00F24057">
        <w:rPr>
          <w:szCs w:val="22"/>
          <w:lang w:val="sr-Latn-ME"/>
        </w:rPr>
        <w:t>primjen</w:t>
      </w:r>
      <w:r w:rsidRPr="00F24057">
        <w:rPr>
          <w:szCs w:val="22"/>
          <w:lang w:val="sr-Latn-ME"/>
        </w:rPr>
        <w:t xml:space="preserve">u </w:t>
      </w:r>
      <w:r w:rsidR="00885A78" w:rsidRPr="00F24057">
        <w:rPr>
          <w:szCs w:val="22"/>
          <w:lang w:val="sr-Latn-ME"/>
        </w:rPr>
        <w:t xml:space="preserve">lijeka </w:t>
      </w:r>
      <w:r w:rsidR="000F6669" w:rsidRPr="00F24057">
        <w:rPr>
          <w:szCs w:val="22"/>
          <w:lang w:val="sr-Latn-ME"/>
        </w:rPr>
        <w:t xml:space="preserve">Hukyndra </w:t>
      </w:r>
      <w:r w:rsidRPr="00F24057">
        <w:rPr>
          <w:szCs w:val="22"/>
          <w:lang w:val="sr-Latn-ME"/>
        </w:rPr>
        <w:t xml:space="preserve">treba odmah obustaviti i započeti odgovarajuću terapiju. </w:t>
      </w:r>
    </w:p>
    <w:p w14:paraId="57DFA78E" w14:textId="77777777" w:rsidR="00CE5838" w:rsidRPr="00F24057" w:rsidRDefault="00CE5838" w:rsidP="00D70B34">
      <w:pPr>
        <w:rPr>
          <w:szCs w:val="22"/>
          <w:lang w:val="sr-Latn-ME"/>
        </w:rPr>
      </w:pPr>
    </w:p>
    <w:p w14:paraId="3F5F2B79" w14:textId="77777777" w:rsidR="00CE5838" w:rsidRPr="00F24057" w:rsidRDefault="00CE5838" w:rsidP="00D70B34">
      <w:pPr>
        <w:rPr>
          <w:szCs w:val="22"/>
          <w:u w:val="single"/>
          <w:lang w:val="sr-Latn-ME"/>
        </w:rPr>
      </w:pPr>
      <w:r w:rsidRPr="00F24057">
        <w:rPr>
          <w:szCs w:val="22"/>
          <w:u w:val="single"/>
          <w:lang w:val="sr-Latn-ME"/>
        </w:rPr>
        <w:t xml:space="preserve">Imunosupresija </w:t>
      </w:r>
    </w:p>
    <w:p w14:paraId="296E070A" w14:textId="77777777" w:rsidR="00CE5838" w:rsidRPr="00F24057" w:rsidRDefault="00CE5838" w:rsidP="00D70B34">
      <w:pPr>
        <w:rPr>
          <w:szCs w:val="22"/>
          <w:lang w:val="sr-Latn-ME"/>
        </w:rPr>
      </w:pPr>
    </w:p>
    <w:p w14:paraId="45CF24BD" w14:textId="26020AD6" w:rsidR="00CE5838" w:rsidRPr="00F24057" w:rsidRDefault="00CE5838" w:rsidP="00D70B34">
      <w:pPr>
        <w:rPr>
          <w:szCs w:val="22"/>
          <w:lang w:val="sr-Latn-ME"/>
        </w:rPr>
      </w:pPr>
      <w:r w:rsidRPr="00F24057">
        <w:rPr>
          <w:szCs w:val="22"/>
          <w:lang w:val="sr-Latn-ME"/>
        </w:rPr>
        <w:t xml:space="preserve">U ispitivanju 64 pacijenta sa reumatoidnim artritisom </w:t>
      </w:r>
      <w:r w:rsidR="00885A78" w:rsidRPr="00F24057">
        <w:rPr>
          <w:szCs w:val="22"/>
          <w:lang w:val="sr-Latn-ME"/>
        </w:rPr>
        <w:t>liječe</w:t>
      </w:r>
      <w:r w:rsidRPr="00F24057">
        <w:rPr>
          <w:szCs w:val="22"/>
          <w:lang w:val="sr-Latn-ME"/>
        </w:rPr>
        <w:t xml:space="preserve">na adalimumabom nije </w:t>
      </w:r>
      <w:r w:rsidR="004F2520" w:rsidRPr="00F24057">
        <w:rPr>
          <w:szCs w:val="22"/>
          <w:lang w:val="sr-Latn-ME"/>
        </w:rPr>
        <w:t>zabilježeno</w:t>
      </w:r>
      <w:r w:rsidRPr="00F24057">
        <w:rPr>
          <w:szCs w:val="22"/>
          <w:lang w:val="sr-Latn-ME"/>
        </w:rPr>
        <w:t xml:space="preserve"> smanjenje odložene pre</w:t>
      </w:r>
      <w:r w:rsidR="004F2520" w:rsidRPr="00F24057">
        <w:rPr>
          <w:szCs w:val="22"/>
          <w:lang w:val="sr-Latn-ME"/>
        </w:rPr>
        <w:t>osjetljivo</w:t>
      </w:r>
      <w:r w:rsidRPr="00F24057">
        <w:rPr>
          <w:szCs w:val="22"/>
          <w:lang w:val="sr-Latn-ME"/>
        </w:rPr>
        <w:t xml:space="preserve">sti, sniženje nivoa imunoglobulina, kao ni </w:t>
      </w:r>
      <w:r w:rsidR="004F2520" w:rsidRPr="00F24057">
        <w:rPr>
          <w:szCs w:val="22"/>
          <w:lang w:val="sr-Latn-ME"/>
        </w:rPr>
        <w:t>promjen</w:t>
      </w:r>
      <w:r w:rsidRPr="00F24057">
        <w:rPr>
          <w:szCs w:val="22"/>
          <w:lang w:val="sr-Latn-ME"/>
        </w:rPr>
        <w:t>e broja efektorskih T i B ćelija, NK ćelija, monocita/makrofaga i neutrofila.</w:t>
      </w:r>
    </w:p>
    <w:p w14:paraId="6DB78AFE" w14:textId="355C3387" w:rsidR="000F6669" w:rsidRPr="00F24057" w:rsidRDefault="000F6669" w:rsidP="00D70B34">
      <w:pPr>
        <w:rPr>
          <w:szCs w:val="22"/>
          <w:lang w:val="sr-Latn-ME"/>
        </w:rPr>
      </w:pPr>
    </w:p>
    <w:p w14:paraId="3A8AD86F" w14:textId="77777777" w:rsidR="000F6669" w:rsidRPr="00F24057" w:rsidRDefault="000F6669" w:rsidP="00D70B34">
      <w:pPr>
        <w:rPr>
          <w:szCs w:val="22"/>
          <w:u w:val="single"/>
          <w:lang w:val="sr-Latn-ME"/>
        </w:rPr>
      </w:pPr>
      <w:r w:rsidRPr="00F24057">
        <w:rPr>
          <w:szCs w:val="22"/>
          <w:u w:val="single"/>
          <w:lang w:val="sr-Latn-ME"/>
        </w:rPr>
        <w:t xml:space="preserve">Maligne bolesti i limfoproliferativni poremećaji </w:t>
      </w:r>
    </w:p>
    <w:p w14:paraId="726E064D" w14:textId="77777777" w:rsidR="000F6669" w:rsidRPr="00F24057" w:rsidRDefault="000F6669" w:rsidP="00D70B34">
      <w:pPr>
        <w:rPr>
          <w:szCs w:val="22"/>
          <w:lang w:val="sr-Latn-ME"/>
        </w:rPr>
      </w:pPr>
    </w:p>
    <w:p w14:paraId="247E25C5" w14:textId="381187BD" w:rsidR="000F6669" w:rsidRPr="00F24057" w:rsidRDefault="000F6669" w:rsidP="00D70B34">
      <w:pPr>
        <w:rPr>
          <w:szCs w:val="22"/>
          <w:lang w:val="sr-Latn-ME"/>
        </w:rPr>
      </w:pPr>
      <w:r w:rsidRPr="00F24057">
        <w:rPr>
          <w:szCs w:val="22"/>
          <w:lang w:val="sr-Latn-ME"/>
        </w:rPr>
        <w:t xml:space="preserve">U kontrolisanim </w:t>
      </w:r>
      <w:r w:rsidR="00B76FE1" w:rsidRPr="00F24057">
        <w:rPr>
          <w:szCs w:val="22"/>
          <w:lang w:val="sr-Latn-ME"/>
        </w:rPr>
        <w:t>djelovima</w:t>
      </w:r>
      <w:r w:rsidRPr="00F24057">
        <w:rPr>
          <w:szCs w:val="22"/>
          <w:lang w:val="sr-Latn-ME"/>
        </w:rPr>
        <w:t xml:space="preserve"> kliničkih ispitivanja antagonista TNF-a </w:t>
      </w:r>
      <w:r w:rsidR="004F2520" w:rsidRPr="00F24057">
        <w:rPr>
          <w:szCs w:val="22"/>
          <w:lang w:val="sr-Latn-ME"/>
        </w:rPr>
        <w:t>zabilježeno</w:t>
      </w:r>
      <w:r w:rsidRPr="00F24057">
        <w:rPr>
          <w:szCs w:val="22"/>
          <w:lang w:val="sr-Latn-ME"/>
        </w:rPr>
        <w:t xml:space="preserve"> je više slučajeva malignih bolesti, uključujući i limfome, kod pacijenata </w:t>
      </w:r>
      <w:r w:rsidR="00885A78" w:rsidRPr="00F24057">
        <w:rPr>
          <w:szCs w:val="22"/>
          <w:lang w:val="sr-Latn-ME"/>
        </w:rPr>
        <w:t>liječe</w:t>
      </w:r>
      <w:r w:rsidRPr="00F24057">
        <w:rPr>
          <w:szCs w:val="22"/>
          <w:lang w:val="sr-Latn-ME"/>
        </w:rPr>
        <w:t xml:space="preserve">nih antagonistima TNF-a nego u kontrolnoj grupi. Međutim, učestalost je bila </w:t>
      </w:r>
      <w:r w:rsidR="004F2520" w:rsidRPr="00F24057">
        <w:rPr>
          <w:szCs w:val="22"/>
          <w:lang w:val="sr-Latn-ME"/>
        </w:rPr>
        <w:t>rijetk</w:t>
      </w:r>
      <w:r w:rsidRPr="00F24057">
        <w:rPr>
          <w:szCs w:val="22"/>
          <w:lang w:val="sr-Latn-ME"/>
        </w:rPr>
        <w:t xml:space="preserve">a. Nakon stavljanja </w:t>
      </w:r>
      <w:r w:rsidR="00885A78" w:rsidRPr="00F24057">
        <w:rPr>
          <w:szCs w:val="22"/>
          <w:lang w:val="sr-Latn-ME"/>
        </w:rPr>
        <w:t xml:space="preserve">lijeka </w:t>
      </w:r>
      <w:r w:rsidRPr="00F24057">
        <w:rPr>
          <w:szCs w:val="22"/>
          <w:lang w:val="sr-Latn-ME"/>
        </w:rPr>
        <w:t xml:space="preserve">u promet prijavljeni su slučajevi leukemije kod pacijenata </w:t>
      </w:r>
      <w:r w:rsidR="00885A78" w:rsidRPr="00F24057">
        <w:rPr>
          <w:szCs w:val="22"/>
          <w:lang w:val="sr-Latn-ME"/>
        </w:rPr>
        <w:t>liječe</w:t>
      </w:r>
      <w:r w:rsidRPr="00F24057">
        <w:rPr>
          <w:szCs w:val="22"/>
          <w:lang w:val="sr-Latn-ME"/>
        </w:rPr>
        <w:t xml:space="preserve">nih antagonistima TNF-a. </w:t>
      </w:r>
      <w:r w:rsidR="004F2520" w:rsidRPr="00F24057">
        <w:rPr>
          <w:szCs w:val="22"/>
          <w:lang w:val="sr-Latn-ME"/>
        </w:rPr>
        <w:t>Procjen</w:t>
      </w:r>
      <w:r w:rsidRPr="00F24057">
        <w:rPr>
          <w:szCs w:val="22"/>
          <w:lang w:val="sr-Latn-ME"/>
        </w:rPr>
        <w:t>u rizika otežava i inače povećani rizik od razvoja limfoma i leukemije kod pacijenata sa reumatoidnim artritisom sa dugotrajnom, izrazito aktivnom zapaljen</w:t>
      </w:r>
      <w:r w:rsidR="00B33244" w:rsidRPr="00F24057">
        <w:rPr>
          <w:szCs w:val="22"/>
          <w:lang w:val="sr-Latn-ME"/>
        </w:rPr>
        <w:t>j</w:t>
      </w:r>
      <w:r w:rsidRPr="00F24057">
        <w:rPr>
          <w:szCs w:val="22"/>
          <w:lang w:val="sr-Latn-ME"/>
        </w:rPr>
        <w:t xml:space="preserve">skom bolešću. Prema postojećim saznanjima, mogući rizik od razvoja limfoma, leukemija i ostalih malignih bolesti kod pacijenata </w:t>
      </w:r>
      <w:r w:rsidR="00885A78" w:rsidRPr="00F24057">
        <w:rPr>
          <w:szCs w:val="22"/>
          <w:lang w:val="sr-Latn-ME"/>
        </w:rPr>
        <w:t>liječe</w:t>
      </w:r>
      <w:r w:rsidRPr="00F24057">
        <w:rPr>
          <w:szCs w:val="22"/>
          <w:lang w:val="sr-Latn-ME"/>
        </w:rPr>
        <w:t xml:space="preserve">nih antagonistima TNF-a se ne može se isključiti. </w:t>
      </w:r>
    </w:p>
    <w:p w14:paraId="22932106" w14:textId="77777777" w:rsidR="000F6669" w:rsidRPr="00F24057" w:rsidRDefault="000F6669" w:rsidP="00D70B34">
      <w:pPr>
        <w:rPr>
          <w:szCs w:val="22"/>
          <w:lang w:val="sr-Latn-ME"/>
        </w:rPr>
      </w:pPr>
    </w:p>
    <w:p w14:paraId="5C040AC8" w14:textId="7DAAC31F" w:rsidR="000F6669" w:rsidRPr="00F24057" w:rsidRDefault="000F6669" w:rsidP="00D70B34">
      <w:pPr>
        <w:rPr>
          <w:szCs w:val="22"/>
          <w:lang w:val="sr-Latn-ME"/>
        </w:rPr>
      </w:pPr>
      <w:r w:rsidRPr="00F24057">
        <w:rPr>
          <w:szCs w:val="22"/>
          <w:lang w:val="sr-Latn-ME"/>
        </w:rPr>
        <w:t xml:space="preserve">Nakon stavljanja </w:t>
      </w:r>
      <w:r w:rsidR="00885A78" w:rsidRPr="00F24057">
        <w:rPr>
          <w:szCs w:val="22"/>
          <w:lang w:val="sr-Latn-ME"/>
        </w:rPr>
        <w:t xml:space="preserve">lijeka </w:t>
      </w:r>
      <w:r w:rsidRPr="00F24057">
        <w:rPr>
          <w:szCs w:val="22"/>
          <w:lang w:val="sr-Latn-ME"/>
        </w:rPr>
        <w:t>u promet za</w:t>
      </w:r>
      <w:r w:rsidR="004F2520" w:rsidRPr="00F24057">
        <w:rPr>
          <w:szCs w:val="22"/>
          <w:lang w:val="sr-Latn-ME"/>
        </w:rPr>
        <w:t>biljež</w:t>
      </w:r>
      <w:r w:rsidRPr="00F24057">
        <w:rPr>
          <w:szCs w:val="22"/>
          <w:lang w:val="sr-Latn-ME"/>
        </w:rPr>
        <w:t xml:space="preserve">ene su maligne bolesti, neke sa smrtnim ishodom, kod </w:t>
      </w:r>
      <w:r w:rsidR="0030064A" w:rsidRPr="00F24057">
        <w:rPr>
          <w:szCs w:val="22"/>
          <w:lang w:val="sr-Latn-ME"/>
        </w:rPr>
        <w:t>djece</w:t>
      </w:r>
      <w:r w:rsidRPr="00F24057">
        <w:rPr>
          <w:szCs w:val="22"/>
          <w:lang w:val="sr-Latn-ME"/>
        </w:rPr>
        <w:t xml:space="preserve">, adolescenata i mlađih odraslih osoba (uzrasta do 22 godine) </w:t>
      </w:r>
      <w:r w:rsidR="00885A78" w:rsidRPr="00F24057">
        <w:rPr>
          <w:szCs w:val="22"/>
          <w:lang w:val="sr-Latn-ME"/>
        </w:rPr>
        <w:t>liječe</w:t>
      </w:r>
      <w:r w:rsidRPr="00F24057">
        <w:rPr>
          <w:szCs w:val="22"/>
          <w:lang w:val="sr-Latn-ME"/>
        </w:rPr>
        <w:t xml:space="preserve">nih antagonistima TNF-a (početak terapije u 18. godini života ili ranije), uključujući adalimumab. Otprilike polovina slučajeva su bili limfomi. Ostali slučajevi predstavljali su mnoštvo različitih malignih bolesti, uključujući i </w:t>
      </w:r>
      <w:r w:rsidR="004F2520" w:rsidRPr="00F24057">
        <w:rPr>
          <w:szCs w:val="22"/>
          <w:lang w:val="sr-Latn-ME"/>
        </w:rPr>
        <w:t>rijetk</w:t>
      </w:r>
      <w:r w:rsidRPr="00F24057">
        <w:rPr>
          <w:szCs w:val="22"/>
          <w:lang w:val="sr-Latn-ME"/>
        </w:rPr>
        <w:t xml:space="preserve">e </w:t>
      </w:r>
      <w:r w:rsidRPr="00F24057">
        <w:rPr>
          <w:szCs w:val="22"/>
          <w:lang w:val="sr-Latn-ME"/>
        </w:rPr>
        <w:lastRenderedPageBreak/>
        <w:t xml:space="preserve">maligne bolesti obično povezane sa imunosupresijom. Rizik od pojave malignih bolesti kod </w:t>
      </w:r>
      <w:r w:rsidR="0030064A" w:rsidRPr="00F24057">
        <w:rPr>
          <w:szCs w:val="22"/>
          <w:lang w:val="sr-Latn-ME"/>
        </w:rPr>
        <w:t>djece</w:t>
      </w:r>
      <w:r w:rsidRPr="00F24057">
        <w:rPr>
          <w:szCs w:val="22"/>
          <w:lang w:val="sr-Latn-ME"/>
        </w:rPr>
        <w:t xml:space="preserve"> i adolescenata </w:t>
      </w:r>
      <w:r w:rsidR="00885A78" w:rsidRPr="00F24057">
        <w:rPr>
          <w:szCs w:val="22"/>
          <w:lang w:val="sr-Latn-ME"/>
        </w:rPr>
        <w:t>liječe</w:t>
      </w:r>
      <w:r w:rsidRPr="00F24057">
        <w:rPr>
          <w:szCs w:val="22"/>
          <w:lang w:val="sr-Latn-ME"/>
        </w:rPr>
        <w:t xml:space="preserve">nih antagonistima TNF-a ne može se isključiti. </w:t>
      </w:r>
    </w:p>
    <w:p w14:paraId="086A669E" w14:textId="77777777" w:rsidR="000F6669" w:rsidRPr="00F24057" w:rsidRDefault="000F6669" w:rsidP="00D70B34">
      <w:pPr>
        <w:rPr>
          <w:szCs w:val="22"/>
          <w:lang w:val="sr-Latn-ME"/>
        </w:rPr>
      </w:pPr>
    </w:p>
    <w:p w14:paraId="206EF9B2" w14:textId="4557172C" w:rsidR="000F6669" w:rsidRPr="00F24057" w:rsidRDefault="000F6669" w:rsidP="00D70B34">
      <w:pPr>
        <w:rPr>
          <w:szCs w:val="22"/>
          <w:lang w:val="sr-Latn-ME"/>
        </w:rPr>
      </w:pPr>
      <w:r w:rsidRPr="00F24057">
        <w:rPr>
          <w:szCs w:val="22"/>
          <w:lang w:val="sr-Latn-ME"/>
        </w:rPr>
        <w:t xml:space="preserve">Kod pacijenata </w:t>
      </w:r>
      <w:r w:rsidR="00885A78" w:rsidRPr="00F24057">
        <w:rPr>
          <w:szCs w:val="22"/>
          <w:lang w:val="sr-Latn-ME"/>
        </w:rPr>
        <w:t>liječe</w:t>
      </w:r>
      <w:r w:rsidRPr="00F24057">
        <w:rPr>
          <w:szCs w:val="22"/>
          <w:lang w:val="sr-Latn-ME"/>
        </w:rPr>
        <w:t xml:space="preserve">nih adalimumabom prijavljeni su </w:t>
      </w:r>
      <w:r w:rsidR="004F2520" w:rsidRPr="00F24057">
        <w:rPr>
          <w:szCs w:val="22"/>
          <w:lang w:val="sr-Latn-ME"/>
        </w:rPr>
        <w:t>rijetk</w:t>
      </w:r>
      <w:r w:rsidRPr="00F24057">
        <w:rPr>
          <w:szCs w:val="22"/>
          <w:lang w:val="sr-Latn-ME"/>
        </w:rPr>
        <w:t xml:space="preserve">i slučajevi hepatospleničnog T-ćelijskog limfoma nakon stavljanja </w:t>
      </w:r>
      <w:r w:rsidR="00885A78" w:rsidRPr="00F24057">
        <w:rPr>
          <w:szCs w:val="22"/>
          <w:lang w:val="sr-Latn-ME"/>
        </w:rPr>
        <w:t xml:space="preserve">lijeka </w:t>
      </w:r>
      <w:r w:rsidRPr="00F24057">
        <w:rPr>
          <w:szCs w:val="22"/>
          <w:lang w:val="sr-Latn-ME"/>
        </w:rPr>
        <w:t>u promet. Ovaj r</w:t>
      </w:r>
      <w:r w:rsidR="00F632D6" w:rsidRPr="00F24057">
        <w:rPr>
          <w:szCs w:val="22"/>
          <w:lang w:val="sr-Latn-ME"/>
        </w:rPr>
        <w:t>ijedak</w:t>
      </w:r>
      <w:r w:rsidRPr="00F24057">
        <w:rPr>
          <w:szCs w:val="22"/>
          <w:lang w:val="sr-Latn-ME"/>
        </w:rPr>
        <w:t xml:space="preserve"> oblik T-ćelijskog limfoma ima izrazito agresivan tok bolesti i uglavnom je smrtonosan. Neki od tih hepatospleničnih T-ćelijskih limfoma povezanih sa </w:t>
      </w:r>
      <w:r w:rsidR="0030064A" w:rsidRPr="00F24057">
        <w:rPr>
          <w:szCs w:val="22"/>
          <w:lang w:val="sr-Latn-ME"/>
        </w:rPr>
        <w:t>primjen</w:t>
      </w:r>
      <w:r w:rsidRPr="00F24057">
        <w:rPr>
          <w:szCs w:val="22"/>
          <w:lang w:val="sr-Latn-ME"/>
        </w:rPr>
        <w:t xml:space="preserve">om adalimumaba javili su se kod mladih odraslih pacijenata koji su istovremeno bili </w:t>
      </w:r>
      <w:r w:rsidR="00885A78" w:rsidRPr="00F24057">
        <w:rPr>
          <w:szCs w:val="22"/>
          <w:lang w:val="sr-Latn-ME"/>
        </w:rPr>
        <w:t>liječe</w:t>
      </w:r>
      <w:r w:rsidRPr="00F24057">
        <w:rPr>
          <w:szCs w:val="22"/>
          <w:lang w:val="sr-Latn-ME"/>
        </w:rPr>
        <w:t xml:space="preserve">ni azatioprinom ili 6-merkaptopurinom zbog inflamatorne bolesti </w:t>
      </w:r>
      <w:r w:rsidR="004F2520" w:rsidRPr="00F24057">
        <w:rPr>
          <w:szCs w:val="22"/>
          <w:lang w:val="sr-Latn-ME"/>
        </w:rPr>
        <w:t>crijev</w:t>
      </w:r>
      <w:r w:rsidRPr="00F24057">
        <w:rPr>
          <w:szCs w:val="22"/>
          <w:lang w:val="sr-Latn-ME"/>
        </w:rPr>
        <w:t xml:space="preserve">a. Potrebno je pažljivo razmotriti mogući rizik kod </w:t>
      </w:r>
      <w:r w:rsidR="0030064A" w:rsidRPr="00F24057">
        <w:rPr>
          <w:szCs w:val="22"/>
          <w:lang w:val="sr-Latn-ME"/>
        </w:rPr>
        <w:t>primjen</w:t>
      </w:r>
      <w:r w:rsidRPr="00F24057">
        <w:rPr>
          <w:szCs w:val="22"/>
          <w:lang w:val="sr-Latn-ME"/>
        </w:rPr>
        <w:t xml:space="preserve">e kombinacije azatioprina ili 6-merkaptopurina i </w:t>
      </w:r>
      <w:r w:rsidR="00885A78" w:rsidRPr="00F24057">
        <w:rPr>
          <w:szCs w:val="22"/>
          <w:lang w:val="sr-Latn-ME"/>
        </w:rPr>
        <w:t xml:space="preserve">lijeka </w:t>
      </w:r>
      <w:r w:rsidRPr="00F24057">
        <w:rPr>
          <w:szCs w:val="22"/>
          <w:lang w:val="sr-Latn-ME"/>
        </w:rPr>
        <w:t xml:space="preserve">Hukyndra. Rizik od pojave hepatospleničnog T-ćelijskog limfoma kod pacijenata </w:t>
      </w:r>
      <w:r w:rsidR="00885A78" w:rsidRPr="00F24057">
        <w:rPr>
          <w:szCs w:val="22"/>
          <w:lang w:val="sr-Latn-ME"/>
        </w:rPr>
        <w:t>liječe</w:t>
      </w:r>
      <w:r w:rsidRPr="00F24057">
        <w:rPr>
          <w:szCs w:val="22"/>
          <w:lang w:val="sr-Latn-ME"/>
        </w:rPr>
        <w:t xml:space="preserve">nih </w:t>
      </w:r>
      <w:r w:rsidR="00885A78" w:rsidRPr="00F24057">
        <w:rPr>
          <w:szCs w:val="22"/>
          <w:lang w:val="sr-Latn-ME"/>
        </w:rPr>
        <w:t>lijekom</w:t>
      </w:r>
      <w:r w:rsidRPr="00F24057">
        <w:rPr>
          <w:szCs w:val="22"/>
          <w:lang w:val="sr-Latn-ME"/>
        </w:rPr>
        <w:t xml:space="preserve"> Hukyndra ne može se isključiti (</w:t>
      </w:r>
      <w:r w:rsidR="007B39D0" w:rsidRPr="00F24057">
        <w:rPr>
          <w:szCs w:val="22"/>
          <w:lang w:val="sr-Latn-ME"/>
        </w:rPr>
        <w:t xml:space="preserve">pogledati dio </w:t>
      </w:r>
      <w:r w:rsidRPr="00F24057">
        <w:rPr>
          <w:szCs w:val="22"/>
          <w:lang w:val="sr-Latn-ME"/>
        </w:rPr>
        <w:t xml:space="preserve">4.8). </w:t>
      </w:r>
    </w:p>
    <w:p w14:paraId="7F9EB4D4" w14:textId="77777777" w:rsidR="000F6669" w:rsidRPr="00F24057" w:rsidRDefault="000F6669" w:rsidP="00D70B34">
      <w:pPr>
        <w:rPr>
          <w:szCs w:val="22"/>
          <w:lang w:val="sr-Latn-ME"/>
        </w:rPr>
      </w:pPr>
    </w:p>
    <w:p w14:paraId="49FF1C20" w14:textId="05A4EFA2" w:rsidR="000F6669" w:rsidRPr="00F24057" w:rsidRDefault="000F6669" w:rsidP="00D70B34">
      <w:pPr>
        <w:rPr>
          <w:szCs w:val="22"/>
          <w:lang w:val="sr-Latn-ME"/>
        </w:rPr>
      </w:pPr>
      <w:r w:rsidRPr="00F24057">
        <w:rPr>
          <w:szCs w:val="22"/>
          <w:lang w:val="sr-Latn-ME"/>
        </w:rPr>
        <w:t xml:space="preserve">Nisu sprovedena ispitivanja kod pacijenata sa malignim bolestima u anamnezi ili kod pacijenata koji su nastavili </w:t>
      </w:r>
      <w:r w:rsidR="0030064A" w:rsidRPr="00F24057">
        <w:rPr>
          <w:szCs w:val="22"/>
          <w:lang w:val="sr-Latn-ME"/>
        </w:rPr>
        <w:t>liječenje</w:t>
      </w:r>
      <w:r w:rsidRPr="00F24057">
        <w:rPr>
          <w:szCs w:val="22"/>
          <w:lang w:val="sr-Latn-ME"/>
        </w:rPr>
        <w:t xml:space="preserve"> adalimumabom nakon oboljevanja od maligne bolesti. Zbog toga je potreban dodatni oprez prilikom razmatranja </w:t>
      </w:r>
      <w:r w:rsidR="00885A78" w:rsidRPr="00F24057">
        <w:rPr>
          <w:szCs w:val="22"/>
          <w:lang w:val="sr-Latn-ME"/>
        </w:rPr>
        <w:t>liječenj</w:t>
      </w:r>
      <w:r w:rsidRPr="00F24057">
        <w:rPr>
          <w:szCs w:val="22"/>
          <w:lang w:val="sr-Latn-ME"/>
        </w:rPr>
        <w:t xml:space="preserve">a </w:t>
      </w:r>
      <w:r w:rsidR="00885A78" w:rsidRPr="00F24057">
        <w:rPr>
          <w:szCs w:val="22"/>
          <w:lang w:val="sr-Latn-ME"/>
        </w:rPr>
        <w:t>lijekom</w:t>
      </w:r>
      <w:r w:rsidRPr="00F24057">
        <w:rPr>
          <w:szCs w:val="22"/>
          <w:lang w:val="sr-Latn-ME"/>
        </w:rPr>
        <w:t xml:space="preserve"> Hukyndra kod takvih pacijenata (</w:t>
      </w:r>
      <w:r w:rsidR="007B39D0" w:rsidRPr="00F24057">
        <w:rPr>
          <w:szCs w:val="22"/>
          <w:lang w:val="sr-Latn-ME"/>
        </w:rPr>
        <w:t xml:space="preserve">pogledati dio </w:t>
      </w:r>
      <w:r w:rsidRPr="00F24057">
        <w:rPr>
          <w:szCs w:val="22"/>
          <w:lang w:val="sr-Latn-ME"/>
        </w:rPr>
        <w:t xml:space="preserve">4.8). </w:t>
      </w:r>
    </w:p>
    <w:p w14:paraId="6429B1F6" w14:textId="77777777" w:rsidR="000F6669" w:rsidRPr="00F24057" w:rsidRDefault="000F6669" w:rsidP="00D70B34">
      <w:pPr>
        <w:rPr>
          <w:szCs w:val="22"/>
          <w:lang w:val="sr-Latn-ME"/>
        </w:rPr>
      </w:pPr>
    </w:p>
    <w:p w14:paraId="5AE1FDF7" w14:textId="7844028E" w:rsidR="000F6669" w:rsidRPr="00F24057" w:rsidRDefault="000F6669" w:rsidP="00D70B34">
      <w:pPr>
        <w:rPr>
          <w:szCs w:val="22"/>
          <w:lang w:val="sr-Latn-ME"/>
        </w:rPr>
      </w:pPr>
      <w:r w:rsidRPr="00F24057">
        <w:rPr>
          <w:szCs w:val="22"/>
          <w:lang w:val="sr-Latn-ME"/>
        </w:rPr>
        <w:t xml:space="preserve">Sve pacijente, a posebno one koji u anamnezi imaju dugotrajno korišćenje imunosupresivne terapije ili pacijente sa psorijazom i PUVA </w:t>
      </w:r>
      <w:r w:rsidR="0030064A" w:rsidRPr="00F24057">
        <w:rPr>
          <w:szCs w:val="22"/>
          <w:lang w:val="sr-Latn-ME"/>
        </w:rPr>
        <w:t>liječenje</w:t>
      </w:r>
      <w:r w:rsidRPr="00F24057">
        <w:rPr>
          <w:szCs w:val="22"/>
          <w:lang w:val="sr-Latn-ME"/>
        </w:rPr>
        <w:t xml:space="preserve">m u anamnezi, potrebno je </w:t>
      </w:r>
      <w:r w:rsidR="00885A78" w:rsidRPr="00F24057">
        <w:rPr>
          <w:szCs w:val="22"/>
          <w:lang w:val="sr-Latn-ME"/>
        </w:rPr>
        <w:t xml:space="preserve">prije </w:t>
      </w:r>
      <w:r w:rsidRPr="00F24057">
        <w:rPr>
          <w:szCs w:val="22"/>
          <w:lang w:val="sr-Latn-ME"/>
        </w:rPr>
        <w:t xml:space="preserve">i za </w:t>
      </w:r>
      <w:r w:rsidR="009811CA" w:rsidRPr="00F24057">
        <w:rPr>
          <w:szCs w:val="22"/>
          <w:lang w:val="sr-Latn-ME"/>
        </w:rPr>
        <w:t>vr</w:t>
      </w:r>
      <w:r w:rsidR="00CD0B8E" w:rsidRPr="00F24057">
        <w:rPr>
          <w:szCs w:val="22"/>
          <w:lang w:val="sr-Latn-ME"/>
        </w:rPr>
        <w:t>ijeme</w:t>
      </w:r>
      <w:r w:rsidR="007E5568" w:rsidRPr="00F24057">
        <w:rPr>
          <w:szCs w:val="22"/>
          <w:lang w:val="sr-Latn-ME"/>
        </w:rPr>
        <w:t xml:space="preserve"> </w:t>
      </w:r>
      <w:r w:rsidRPr="00F24057">
        <w:rPr>
          <w:szCs w:val="22"/>
          <w:lang w:val="sr-Latn-ME"/>
        </w:rPr>
        <w:t xml:space="preserve">terapije </w:t>
      </w:r>
      <w:r w:rsidR="00885A78" w:rsidRPr="00F24057">
        <w:rPr>
          <w:szCs w:val="22"/>
          <w:lang w:val="sr-Latn-ME"/>
        </w:rPr>
        <w:t>lijekom</w:t>
      </w:r>
      <w:r w:rsidRPr="00F24057">
        <w:rPr>
          <w:szCs w:val="22"/>
          <w:lang w:val="sr-Latn-ME"/>
        </w:rPr>
        <w:t xml:space="preserve"> Hukyndra pregledati u svrhu otkrivanja nemelanomskog karcinoma kože. Melanom i karcinom Merkelovih ćelija su takođe prijavljeni kod pacijenata </w:t>
      </w:r>
      <w:r w:rsidR="00885A78" w:rsidRPr="00F24057">
        <w:rPr>
          <w:szCs w:val="22"/>
          <w:lang w:val="sr-Latn-ME"/>
        </w:rPr>
        <w:t>liječe</w:t>
      </w:r>
      <w:r w:rsidRPr="00F24057">
        <w:rPr>
          <w:szCs w:val="22"/>
          <w:lang w:val="sr-Latn-ME"/>
        </w:rPr>
        <w:t>nih antagonistima TNF-a, uključujući adalimumab (</w:t>
      </w:r>
      <w:r w:rsidR="007B39D0" w:rsidRPr="00F24057">
        <w:rPr>
          <w:szCs w:val="22"/>
          <w:lang w:val="sr-Latn-ME"/>
        </w:rPr>
        <w:t xml:space="preserve">pogledati dio </w:t>
      </w:r>
      <w:r w:rsidRPr="00F24057">
        <w:rPr>
          <w:szCs w:val="22"/>
          <w:lang w:val="sr-Latn-ME"/>
        </w:rPr>
        <w:t xml:space="preserve">4.8). </w:t>
      </w:r>
    </w:p>
    <w:p w14:paraId="5ABF2FC5" w14:textId="77777777" w:rsidR="000F6669" w:rsidRPr="00F24057" w:rsidRDefault="000F6669" w:rsidP="00D70B34">
      <w:pPr>
        <w:rPr>
          <w:szCs w:val="22"/>
          <w:lang w:val="sr-Latn-ME"/>
        </w:rPr>
      </w:pPr>
    </w:p>
    <w:p w14:paraId="39EE3704" w14:textId="2D27448E" w:rsidR="000F6669" w:rsidRPr="00F24057" w:rsidRDefault="000F6669" w:rsidP="00D70B34">
      <w:pPr>
        <w:rPr>
          <w:szCs w:val="22"/>
          <w:lang w:val="sr-Latn-ME"/>
        </w:rPr>
      </w:pPr>
      <w:r w:rsidRPr="00F24057">
        <w:rPr>
          <w:szCs w:val="22"/>
          <w:lang w:val="sr-Latn-ME"/>
        </w:rPr>
        <w:t xml:space="preserve">U eksplorativnom kliničkom ispitivanju kojim se </w:t>
      </w:r>
      <w:r w:rsidR="004F2520" w:rsidRPr="00F24057">
        <w:rPr>
          <w:szCs w:val="22"/>
          <w:lang w:val="sr-Latn-ME"/>
        </w:rPr>
        <w:t>procjen</w:t>
      </w:r>
      <w:r w:rsidRPr="00F24057">
        <w:rPr>
          <w:szCs w:val="22"/>
          <w:lang w:val="sr-Latn-ME"/>
        </w:rPr>
        <w:t xml:space="preserve">jivala </w:t>
      </w:r>
      <w:r w:rsidR="0030064A" w:rsidRPr="00F24057">
        <w:rPr>
          <w:szCs w:val="22"/>
          <w:lang w:val="sr-Latn-ME"/>
        </w:rPr>
        <w:t>primjen</w:t>
      </w:r>
      <w:r w:rsidRPr="00F24057">
        <w:rPr>
          <w:szCs w:val="22"/>
          <w:lang w:val="sr-Latn-ME"/>
        </w:rPr>
        <w:t>a drugog antagonista TNF-a, infliksimaba, kod pacijenata sa u</w:t>
      </w:r>
      <w:r w:rsidR="0030064A" w:rsidRPr="00F24057">
        <w:rPr>
          <w:szCs w:val="22"/>
          <w:lang w:val="sr-Latn-ME"/>
        </w:rPr>
        <w:t>mjeren</w:t>
      </w:r>
      <w:r w:rsidRPr="00F24057">
        <w:rPr>
          <w:szCs w:val="22"/>
          <w:lang w:val="sr-Latn-ME"/>
        </w:rPr>
        <w:t xml:space="preserve">om do teškom hroničnom opstruktivnom bolešću pluća (HOBP), prijavljen je veći broj malignih bolesti, uglavnom na plućima ili glavi i vratu, kod pacijenata </w:t>
      </w:r>
      <w:r w:rsidR="00885A78" w:rsidRPr="00F24057">
        <w:rPr>
          <w:szCs w:val="22"/>
          <w:lang w:val="sr-Latn-ME"/>
        </w:rPr>
        <w:t>liječe</w:t>
      </w:r>
      <w:r w:rsidRPr="00F24057">
        <w:rPr>
          <w:szCs w:val="22"/>
          <w:lang w:val="sr-Latn-ME"/>
        </w:rPr>
        <w:t xml:space="preserve">nih infliksimabom nego kod pacijenata u kontrolnoj grupi. Svi pacijenti bili su teški pušači. Zbog toga je potreban oprez kod </w:t>
      </w:r>
      <w:r w:rsidR="0030064A" w:rsidRPr="00F24057">
        <w:rPr>
          <w:szCs w:val="22"/>
          <w:lang w:val="sr-Latn-ME"/>
        </w:rPr>
        <w:t>primjen</w:t>
      </w:r>
      <w:r w:rsidRPr="00F24057">
        <w:rPr>
          <w:szCs w:val="22"/>
          <w:lang w:val="sr-Latn-ME"/>
        </w:rPr>
        <w:t xml:space="preserve">e antagonista TNF-a kod pacijenata sa HOBP, kao i kod pacijenata koji imaju povećan rizik od razvoja malignih bolesti zbog teškog pušenja. </w:t>
      </w:r>
    </w:p>
    <w:p w14:paraId="4F721EC8" w14:textId="77777777" w:rsidR="000F6669" w:rsidRPr="00F24057" w:rsidRDefault="000F6669" w:rsidP="00D70B34">
      <w:pPr>
        <w:rPr>
          <w:szCs w:val="22"/>
          <w:lang w:val="sr-Latn-ME"/>
        </w:rPr>
      </w:pPr>
    </w:p>
    <w:p w14:paraId="2D318242" w14:textId="655EDBAA" w:rsidR="000F6669" w:rsidRPr="00F24057" w:rsidRDefault="000F6669" w:rsidP="00D70B34">
      <w:pPr>
        <w:rPr>
          <w:szCs w:val="22"/>
          <w:lang w:val="sr-Latn-ME"/>
        </w:rPr>
      </w:pPr>
      <w:r w:rsidRPr="00F24057">
        <w:rPr>
          <w:szCs w:val="22"/>
          <w:lang w:val="sr-Latn-ME"/>
        </w:rPr>
        <w:t xml:space="preserve">Prema trenutnim podacima nije poznato da li </w:t>
      </w:r>
      <w:r w:rsidR="0030064A" w:rsidRPr="00F24057">
        <w:rPr>
          <w:szCs w:val="22"/>
          <w:lang w:val="sr-Latn-ME"/>
        </w:rPr>
        <w:t>liječenje</w:t>
      </w:r>
      <w:r w:rsidRPr="00F24057">
        <w:rPr>
          <w:szCs w:val="22"/>
          <w:lang w:val="sr-Latn-ME"/>
        </w:rPr>
        <w:t xml:space="preserve"> adalimumabom utiče na rizik od pojave displazije ili raka debelog </w:t>
      </w:r>
      <w:r w:rsidR="004F2520" w:rsidRPr="00F24057">
        <w:rPr>
          <w:szCs w:val="22"/>
          <w:lang w:val="sr-Latn-ME"/>
        </w:rPr>
        <w:t>crijev</w:t>
      </w:r>
      <w:r w:rsidRPr="00F24057">
        <w:rPr>
          <w:szCs w:val="22"/>
          <w:lang w:val="sr-Latn-ME"/>
        </w:rPr>
        <w:t xml:space="preserve">a. Sve pacijente sa ulceroznim kolitisom kod kojih je povećan rizik od displazije ili karcinoma debelog </w:t>
      </w:r>
      <w:r w:rsidR="004F2520" w:rsidRPr="00F24057">
        <w:rPr>
          <w:szCs w:val="22"/>
          <w:lang w:val="sr-Latn-ME"/>
        </w:rPr>
        <w:t>crijev</w:t>
      </w:r>
      <w:r w:rsidRPr="00F24057">
        <w:rPr>
          <w:szCs w:val="22"/>
          <w:lang w:val="sr-Latn-ME"/>
        </w:rPr>
        <w:t>a (na prim</w:t>
      </w:r>
      <w:r w:rsidR="009A3407" w:rsidRPr="00F24057">
        <w:rPr>
          <w:szCs w:val="22"/>
          <w:lang w:val="sr-Latn-ME"/>
        </w:rPr>
        <w:t>j</w:t>
      </w:r>
      <w:r w:rsidRPr="00F24057">
        <w:rPr>
          <w:szCs w:val="22"/>
          <w:lang w:val="sr-Latn-ME"/>
        </w:rPr>
        <w:t xml:space="preserve">er, pacijenti sa dugotrajnim ulceroznim kolitisom ili primarnim sklerozirajućim holangitisom) ili pacijente koji su imali displaziju ili karcinom debelog </w:t>
      </w:r>
      <w:r w:rsidR="004F2520" w:rsidRPr="00F24057">
        <w:rPr>
          <w:szCs w:val="22"/>
          <w:lang w:val="sr-Latn-ME"/>
        </w:rPr>
        <w:t>crijev</w:t>
      </w:r>
      <w:r w:rsidRPr="00F24057">
        <w:rPr>
          <w:szCs w:val="22"/>
          <w:lang w:val="sr-Latn-ME"/>
        </w:rPr>
        <w:t xml:space="preserve">a treba kontrolisati zbog mogućeg razvoja displazije u redovnim intervalima </w:t>
      </w:r>
      <w:r w:rsidR="00885A78" w:rsidRPr="00F24057">
        <w:rPr>
          <w:szCs w:val="22"/>
          <w:lang w:val="sr-Latn-ME"/>
        </w:rPr>
        <w:t xml:space="preserve">prije </w:t>
      </w:r>
      <w:r w:rsidRPr="00F24057">
        <w:rPr>
          <w:szCs w:val="22"/>
          <w:lang w:val="sr-Latn-ME"/>
        </w:rPr>
        <w:t xml:space="preserve">početka </w:t>
      </w:r>
      <w:r w:rsidR="00885A78" w:rsidRPr="00F24057">
        <w:rPr>
          <w:szCs w:val="22"/>
          <w:lang w:val="sr-Latn-ME"/>
        </w:rPr>
        <w:t>liječenj</w:t>
      </w:r>
      <w:r w:rsidRPr="00F24057">
        <w:rPr>
          <w:szCs w:val="22"/>
          <w:lang w:val="sr-Latn-ME"/>
        </w:rPr>
        <w:t>a i tokom čitavog trajanja bolesti. Ti pregledi bi trebalo da uključuju kolonoskopiju i biopsije u skladu sa lokalnim preporukama.</w:t>
      </w:r>
    </w:p>
    <w:p w14:paraId="2B4C241F" w14:textId="231270C9" w:rsidR="00631C85" w:rsidRPr="00F24057" w:rsidRDefault="00631C85" w:rsidP="00D70B34">
      <w:pPr>
        <w:rPr>
          <w:szCs w:val="22"/>
          <w:lang w:val="sr-Latn-ME"/>
        </w:rPr>
      </w:pPr>
    </w:p>
    <w:p w14:paraId="0D6E4E7A" w14:textId="77777777" w:rsidR="00631C85" w:rsidRPr="00F24057" w:rsidRDefault="00631C85" w:rsidP="00D70B34">
      <w:pPr>
        <w:rPr>
          <w:szCs w:val="22"/>
          <w:u w:val="single"/>
          <w:lang w:val="sr-Latn-ME"/>
        </w:rPr>
      </w:pPr>
      <w:r w:rsidRPr="00F24057">
        <w:rPr>
          <w:szCs w:val="22"/>
          <w:u w:val="single"/>
          <w:lang w:val="sr-Latn-ME"/>
        </w:rPr>
        <w:t xml:space="preserve">Hematološke reakcije </w:t>
      </w:r>
    </w:p>
    <w:p w14:paraId="3C612AF6" w14:textId="77777777" w:rsidR="00631C85" w:rsidRPr="00F24057" w:rsidRDefault="00631C85" w:rsidP="00D70B34">
      <w:pPr>
        <w:rPr>
          <w:szCs w:val="22"/>
          <w:lang w:val="sr-Latn-ME"/>
        </w:rPr>
      </w:pPr>
    </w:p>
    <w:p w14:paraId="075D1B8E" w14:textId="718F8409" w:rsidR="00631C85" w:rsidRPr="00F24057" w:rsidRDefault="00631C85" w:rsidP="00D70B34">
      <w:pPr>
        <w:rPr>
          <w:szCs w:val="22"/>
          <w:lang w:val="sr-Latn-ME"/>
        </w:rPr>
      </w:pPr>
      <w:r w:rsidRPr="00F24057">
        <w:rPr>
          <w:szCs w:val="22"/>
          <w:lang w:val="sr-Latn-ME"/>
        </w:rPr>
        <w:t xml:space="preserve">U </w:t>
      </w:r>
      <w:r w:rsidR="004F2520" w:rsidRPr="00F24057">
        <w:rPr>
          <w:szCs w:val="22"/>
          <w:lang w:val="sr-Latn-ME"/>
        </w:rPr>
        <w:t>rijetk</w:t>
      </w:r>
      <w:r w:rsidRPr="00F24057">
        <w:rPr>
          <w:szCs w:val="22"/>
          <w:lang w:val="sr-Latn-ME"/>
        </w:rPr>
        <w:t xml:space="preserve">im slučajevima za </w:t>
      </w:r>
      <w:r w:rsidR="009811CA" w:rsidRPr="00F24057">
        <w:rPr>
          <w:szCs w:val="22"/>
          <w:lang w:val="sr-Latn-ME"/>
        </w:rPr>
        <w:t>vr</w:t>
      </w:r>
      <w:r w:rsidR="0071098B" w:rsidRPr="00F24057">
        <w:rPr>
          <w:szCs w:val="22"/>
          <w:lang w:val="sr-Latn-ME"/>
        </w:rPr>
        <w:t>ijeme</w:t>
      </w:r>
      <w:r w:rsidR="007E5568" w:rsidRPr="00F24057">
        <w:rPr>
          <w:szCs w:val="22"/>
          <w:lang w:val="sr-Latn-ME"/>
        </w:rPr>
        <w:t xml:space="preserve"> </w:t>
      </w:r>
      <w:r w:rsidR="00885A78" w:rsidRPr="00F24057">
        <w:rPr>
          <w:szCs w:val="22"/>
          <w:lang w:val="sr-Latn-ME"/>
        </w:rPr>
        <w:t>liječenj</w:t>
      </w:r>
      <w:r w:rsidRPr="00F24057">
        <w:rPr>
          <w:szCs w:val="22"/>
          <w:lang w:val="sr-Latn-ME"/>
        </w:rPr>
        <w:t>a antagonistima TNF-a za</w:t>
      </w:r>
      <w:r w:rsidR="004F2520" w:rsidRPr="00F24057">
        <w:rPr>
          <w:szCs w:val="22"/>
          <w:lang w:val="sr-Latn-ME"/>
        </w:rPr>
        <w:t>biljež</w:t>
      </w:r>
      <w:r w:rsidRPr="00F24057">
        <w:rPr>
          <w:szCs w:val="22"/>
          <w:lang w:val="sr-Latn-ME"/>
        </w:rPr>
        <w:t xml:space="preserve">ena je pojava pancitopenije, uključujući i aplastičnu anemiju. Kod pacijenata </w:t>
      </w:r>
      <w:r w:rsidR="00885A78" w:rsidRPr="00F24057">
        <w:rPr>
          <w:szCs w:val="22"/>
          <w:lang w:val="sr-Latn-ME"/>
        </w:rPr>
        <w:t>liječe</w:t>
      </w:r>
      <w:r w:rsidRPr="00F24057">
        <w:rPr>
          <w:szCs w:val="22"/>
          <w:lang w:val="sr-Latn-ME"/>
        </w:rPr>
        <w:t>nih adalimumabom prijavljeni su neželjeni događaji u hematološkom sistemu, uključujući medicinski značajne citopenije (npr. trombocitopenija, leukopenija). Sve pacijente treba posav</w:t>
      </w:r>
      <w:r w:rsidR="009A3407" w:rsidRPr="00F24057">
        <w:rPr>
          <w:szCs w:val="22"/>
          <w:lang w:val="sr-Latn-ME"/>
        </w:rPr>
        <w:t>j</w:t>
      </w:r>
      <w:r w:rsidRPr="00F24057">
        <w:rPr>
          <w:szCs w:val="22"/>
          <w:lang w:val="sr-Latn-ME"/>
        </w:rPr>
        <w:t xml:space="preserve">etovati da odmah potraže medicinsku pomoć ako se za </w:t>
      </w:r>
      <w:r w:rsidR="009811CA" w:rsidRPr="00F24057">
        <w:rPr>
          <w:szCs w:val="22"/>
          <w:lang w:val="sr-Latn-ME"/>
        </w:rPr>
        <w:t>vre</w:t>
      </w:r>
      <w:r w:rsidR="00A4623D" w:rsidRPr="00F24057">
        <w:rPr>
          <w:szCs w:val="22"/>
          <w:lang w:val="sr-Latn-ME"/>
        </w:rPr>
        <w:t>ij</w:t>
      </w:r>
      <w:r w:rsidR="009811CA" w:rsidRPr="00F24057">
        <w:rPr>
          <w:szCs w:val="22"/>
          <w:lang w:val="sr-Latn-ME"/>
        </w:rPr>
        <w:t>me</w:t>
      </w:r>
      <w:r w:rsidR="007E5568" w:rsidRPr="00F24057">
        <w:rPr>
          <w:szCs w:val="22"/>
          <w:lang w:val="sr-Latn-ME"/>
        </w:rPr>
        <w:t xml:space="preserve"> </w:t>
      </w:r>
      <w:r w:rsidRPr="00F24057">
        <w:rPr>
          <w:szCs w:val="22"/>
          <w:lang w:val="sr-Latn-ME"/>
        </w:rPr>
        <w:t xml:space="preserve">terapije </w:t>
      </w:r>
      <w:r w:rsidR="00885A78" w:rsidRPr="00F24057">
        <w:rPr>
          <w:szCs w:val="22"/>
          <w:lang w:val="sr-Latn-ME"/>
        </w:rPr>
        <w:t>lijekom</w:t>
      </w:r>
      <w:r w:rsidRPr="00F24057">
        <w:rPr>
          <w:szCs w:val="22"/>
          <w:lang w:val="sr-Latn-ME"/>
        </w:rPr>
        <w:t xml:space="preserve"> </w:t>
      </w:r>
      <w:r w:rsidR="001F2D06" w:rsidRPr="00F24057">
        <w:rPr>
          <w:szCs w:val="22"/>
          <w:lang w:val="sr-Latn-ME"/>
        </w:rPr>
        <w:t>Hukyndra</w:t>
      </w:r>
      <w:r w:rsidRPr="00F24057">
        <w:rPr>
          <w:szCs w:val="22"/>
          <w:lang w:val="sr-Latn-ME"/>
        </w:rPr>
        <w:t xml:space="preserve"> pojave znakovi i simptomi koji upućuju na krvne diskrazije (npr. stalna povišena temperatura, stvaranje modrica, krvarenje, bledilo). Ako se dokažu značajne hematološke abnormalnosti, potrebno je razmotriti prekid terapije </w:t>
      </w:r>
      <w:r w:rsidR="00885A78" w:rsidRPr="00F24057">
        <w:rPr>
          <w:szCs w:val="22"/>
          <w:lang w:val="sr-Latn-ME"/>
        </w:rPr>
        <w:t>lijekom</w:t>
      </w:r>
      <w:r w:rsidRPr="00F24057">
        <w:rPr>
          <w:szCs w:val="22"/>
          <w:lang w:val="sr-Latn-ME"/>
        </w:rPr>
        <w:t xml:space="preserve"> </w:t>
      </w:r>
      <w:r w:rsidR="001F2D06" w:rsidRPr="00F24057">
        <w:rPr>
          <w:szCs w:val="22"/>
          <w:lang w:val="sr-Latn-ME"/>
        </w:rPr>
        <w:t>Hukyndra</w:t>
      </w:r>
      <w:r w:rsidRPr="00F24057">
        <w:rPr>
          <w:szCs w:val="22"/>
          <w:lang w:val="sr-Latn-ME"/>
        </w:rPr>
        <w:t xml:space="preserve"> kod takvih pacijenata. </w:t>
      </w:r>
    </w:p>
    <w:p w14:paraId="2B341F2D" w14:textId="77777777" w:rsidR="00631C85" w:rsidRPr="00F24057" w:rsidRDefault="00631C85" w:rsidP="00D70B34">
      <w:pPr>
        <w:rPr>
          <w:szCs w:val="22"/>
          <w:lang w:val="sr-Latn-ME"/>
        </w:rPr>
      </w:pPr>
    </w:p>
    <w:p w14:paraId="5FEDE4FD" w14:textId="77777777" w:rsidR="00631C85" w:rsidRPr="00F24057" w:rsidRDefault="00631C85" w:rsidP="00D70B34">
      <w:pPr>
        <w:rPr>
          <w:szCs w:val="22"/>
          <w:u w:val="single"/>
          <w:lang w:val="sr-Latn-ME"/>
        </w:rPr>
      </w:pPr>
      <w:r w:rsidRPr="00F24057">
        <w:rPr>
          <w:szCs w:val="22"/>
          <w:u w:val="single"/>
          <w:lang w:val="sr-Latn-ME"/>
        </w:rPr>
        <w:t xml:space="preserve">Vakcinacije </w:t>
      </w:r>
    </w:p>
    <w:p w14:paraId="188545F0" w14:textId="77777777" w:rsidR="00631C85" w:rsidRPr="00F24057" w:rsidRDefault="00631C85" w:rsidP="00D70B34">
      <w:pPr>
        <w:rPr>
          <w:szCs w:val="22"/>
          <w:lang w:val="sr-Latn-ME"/>
        </w:rPr>
      </w:pPr>
    </w:p>
    <w:p w14:paraId="54D7F81A" w14:textId="6BE240F6" w:rsidR="00631C85" w:rsidRPr="00F24057" w:rsidRDefault="00631C85" w:rsidP="00D70B34">
      <w:pPr>
        <w:rPr>
          <w:szCs w:val="22"/>
          <w:lang w:val="sr-Latn-ME"/>
        </w:rPr>
      </w:pPr>
      <w:r w:rsidRPr="00F24057">
        <w:rPr>
          <w:szCs w:val="22"/>
          <w:lang w:val="sr-Latn-ME"/>
        </w:rPr>
        <w:t xml:space="preserve">U studiji na 226 odraslih pacijenata sa reumatoidnim artritisom sličan odgovor </w:t>
      </w:r>
      <w:r w:rsidR="00AA29FD" w:rsidRPr="00F24057">
        <w:rPr>
          <w:szCs w:val="22"/>
          <w:lang w:val="sr-Latn-ME"/>
        </w:rPr>
        <w:t>antitijel</w:t>
      </w:r>
      <w:r w:rsidRPr="00F24057">
        <w:rPr>
          <w:szCs w:val="22"/>
          <w:lang w:val="sr-Latn-ME"/>
        </w:rPr>
        <w:t>a na 23-valentnu pneumokoknu vakcinu i trovalentnu vakcinu protiv influence je za</w:t>
      </w:r>
      <w:r w:rsidR="004F2520" w:rsidRPr="00F24057">
        <w:rPr>
          <w:szCs w:val="22"/>
          <w:lang w:val="sr-Latn-ME"/>
        </w:rPr>
        <w:t>biljež</w:t>
      </w:r>
      <w:r w:rsidRPr="00F24057">
        <w:rPr>
          <w:szCs w:val="22"/>
          <w:lang w:val="sr-Latn-ME"/>
        </w:rPr>
        <w:t xml:space="preserve">en kod pacijenata </w:t>
      </w:r>
      <w:r w:rsidR="00885A78" w:rsidRPr="00F24057">
        <w:rPr>
          <w:szCs w:val="22"/>
          <w:lang w:val="sr-Latn-ME"/>
        </w:rPr>
        <w:t>liječe</w:t>
      </w:r>
      <w:r w:rsidRPr="00F24057">
        <w:rPr>
          <w:szCs w:val="22"/>
          <w:lang w:val="sr-Latn-ME"/>
        </w:rPr>
        <w:t xml:space="preserve">nih adalimumabom ili placebom. Nema dostupnih podataka o sekundarnoj transmisiji živim vakcinama kod pacijenata </w:t>
      </w:r>
      <w:r w:rsidR="00885A78" w:rsidRPr="00F24057">
        <w:rPr>
          <w:szCs w:val="22"/>
          <w:lang w:val="sr-Latn-ME"/>
        </w:rPr>
        <w:t>liječe</w:t>
      </w:r>
      <w:r w:rsidRPr="00F24057">
        <w:rPr>
          <w:szCs w:val="22"/>
          <w:lang w:val="sr-Latn-ME"/>
        </w:rPr>
        <w:t xml:space="preserve">nih adalimumabom. </w:t>
      </w:r>
    </w:p>
    <w:p w14:paraId="04815993" w14:textId="77777777" w:rsidR="00631C85" w:rsidRPr="00F24057" w:rsidRDefault="00631C85" w:rsidP="00D70B34">
      <w:pPr>
        <w:rPr>
          <w:szCs w:val="22"/>
          <w:lang w:val="sr-Latn-ME"/>
        </w:rPr>
      </w:pPr>
    </w:p>
    <w:p w14:paraId="66B5084A" w14:textId="1D0AAB56" w:rsidR="001F2D06" w:rsidRPr="00F24057" w:rsidRDefault="00631C85" w:rsidP="00D70B34">
      <w:pPr>
        <w:rPr>
          <w:szCs w:val="22"/>
          <w:lang w:val="sr-Latn-ME"/>
        </w:rPr>
      </w:pPr>
      <w:r w:rsidRPr="00F24057">
        <w:rPr>
          <w:szCs w:val="22"/>
          <w:lang w:val="sr-Latn-ME"/>
        </w:rPr>
        <w:lastRenderedPageBreak/>
        <w:t xml:space="preserve">Preporučuje se da pedijatrijski pacijenti, ukoliko je to moguće, prime sve potrebne vakcine u skladu sa kalendarom obaveznih vakcinacija </w:t>
      </w:r>
      <w:r w:rsidR="00885A78" w:rsidRPr="00F24057">
        <w:rPr>
          <w:szCs w:val="22"/>
          <w:lang w:val="sr-Latn-ME"/>
        </w:rPr>
        <w:t xml:space="preserve">prije </w:t>
      </w:r>
      <w:r w:rsidRPr="00F24057">
        <w:rPr>
          <w:szCs w:val="22"/>
          <w:lang w:val="sr-Latn-ME"/>
        </w:rPr>
        <w:t xml:space="preserve">početka terapije </w:t>
      </w:r>
      <w:r w:rsidR="00885A78" w:rsidRPr="00F24057">
        <w:rPr>
          <w:szCs w:val="22"/>
          <w:lang w:val="sr-Latn-ME"/>
        </w:rPr>
        <w:t>lijekom</w:t>
      </w:r>
      <w:r w:rsidRPr="00F24057">
        <w:rPr>
          <w:szCs w:val="22"/>
          <w:lang w:val="sr-Latn-ME"/>
        </w:rPr>
        <w:t xml:space="preserve"> </w:t>
      </w:r>
      <w:r w:rsidR="001F2D06" w:rsidRPr="00F24057">
        <w:rPr>
          <w:szCs w:val="22"/>
          <w:lang w:val="sr-Latn-ME"/>
        </w:rPr>
        <w:t>Hukyndra</w:t>
      </w:r>
      <w:r w:rsidRPr="00F24057">
        <w:rPr>
          <w:szCs w:val="22"/>
          <w:lang w:val="sr-Latn-ME"/>
        </w:rPr>
        <w:t xml:space="preserve">. </w:t>
      </w:r>
    </w:p>
    <w:p w14:paraId="463DA395" w14:textId="77777777" w:rsidR="001F2D06" w:rsidRPr="00F24057" w:rsidRDefault="001F2D06" w:rsidP="00D70B34">
      <w:pPr>
        <w:rPr>
          <w:szCs w:val="22"/>
          <w:lang w:val="sr-Latn-ME"/>
        </w:rPr>
      </w:pPr>
    </w:p>
    <w:p w14:paraId="7457D048" w14:textId="7A252FBB" w:rsidR="001F2D06" w:rsidRPr="00F24057" w:rsidRDefault="00631C85" w:rsidP="00D70B34">
      <w:pPr>
        <w:rPr>
          <w:szCs w:val="22"/>
          <w:lang w:val="sr-Latn-ME"/>
        </w:rPr>
      </w:pPr>
      <w:r w:rsidRPr="00F24057">
        <w:rPr>
          <w:szCs w:val="22"/>
          <w:lang w:val="sr-Latn-ME"/>
        </w:rPr>
        <w:t xml:space="preserve">Pacijenti koji primaju </w:t>
      </w:r>
      <w:r w:rsidR="0030064A" w:rsidRPr="00F24057">
        <w:rPr>
          <w:szCs w:val="22"/>
          <w:lang w:val="sr-Latn-ME"/>
        </w:rPr>
        <w:t xml:space="preserve">lijek </w:t>
      </w:r>
      <w:r w:rsidR="001F2D06" w:rsidRPr="00F24057">
        <w:rPr>
          <w:szCs w:val="22"/>
          <w:lang w:val="sr-Latn-ME"/>
        </w:rPr>
        <w:t>Hukyndra</w:t>
      </w:r>
      <w:r w:rsidRPr="00F24057">
        <w:rPr>
          <w:szCs w:val="22"/>
          <w:lang w:val="sr-Latn-ME"/>
        </w:rPr>
        <w:t xml:space="preserve"> mogu istovremeno primiti vakcine, ali ne žive. </w:t>
      </w:r>
      <w:r w:rsidR="0030064A" w:rsidRPr="00F24057">
        <w:rPr>
          <w:szCs w:val="22"/>
          <w:lang w:val="sr-Latn-ME"/>
        </w:rPr>
        <w:t>Primjen</w:t>
      </w:r>
      <w:r w:rsidRPr="00F24057">
        <w:rPr>
          <w:szCs w:val="22"/>
          <w:lang w:val="sr-Latn-ME"/>
        </w:rPr>
        <w:t xml:space="preserve">a živih vakcina (npr. vakcina BCG) kod </w:t>
      </w:r>
      <w:r w:rsidR="0030064A" w:rsidRPr="00F24057">
        <w:rPr>
          <w:szCs w:val="22"/>
          <w:lang w:val="sr-Latn-ME"/>
        </w:rPr>
        <w:t>djece</w:t>
      </w:r>
      <w:r w:rsidRPr="00F24057">
        <w:rPr>
          <w:szCs w:val="22"/>
          <w:lang w:val="sr-Latn-ME"/>
        </w:rPr>
        <w:t xml:space="preserve"> koja su bila izložena adalimumabu </w:t>
      </w:r>
      <w:r w:rsidRPr="00F24057">
        <w:rPr>
          <w:i/>
          <w:iCs/>
          <w:szCs w:val="22"/>
          <w:lang w:val="sr-Latn-ME"/>
        </w:rPr>
        <w:t>in utero</w:t>
      </w:r>
      <w:r w:rsidRPr="00F24057">
        <w:rPr>
          <w:szCs w:val="22"/>
          <w:lang w:val="sr-Latn-ME"/>
        </w:rPr>
        <w:t xml:space="preserve"> se ne preporučuje 5 </w:t>
      </w:r>
      <w:r w:rsidR="00885A78" w:rsidRPr="00F24057">
        <w:rPr>
          <w:szCs w:val="22"/>
          <w:lang w:val="sr-Latn-ME"/>
        </w:rPr>
        <w:t>mjesec</w:t>
      </w:r>
      <w:r w:rsidRPr="00F24057">
        <w:rPr>
          <w:szCs w:val="22"/>
          <w:lang w:val="sr-Latn-ME"/>
        </w:rPr>
        <w:t>i nakon posl</w:t>
      </w:r>
      <w:r w:rsidR="00972894" w:rsidRPr="00F24057">
        <w:rPr>
          <w:szCs w:val="22"/>
          <w:lang w:val="sr-Latn-ME"/>
        </w:rPr>
        <w:t>j</w:t>
      </w:r>
      <w:r w:rsidRPr="00F24057">
        <w:rPr>
          <w:szCs w:val="22"/>
          <w:lang w:val="sr-Latn-ME"/>
        </w:rPr>
        <w:t xml:space="preserve">ednje injekcije adalimumaba koju je majka primila tokom trudnoće. </w:t>
      </w:r>
    </w:p>
    <w:p w14:paraId="54E4B3B5" w14:textId="77777777" w:rsidR="001F2D06" w:rsidRPr="00F24057" w:rsidRDefault="001F2D06" w:rsidP="00D70B34">
      <w:pPr>
        <w:rPr>
          <w:szCs w:val="22"/>
          <w:lang w:val="sr-Latn-ME"/>
        </w:rPr>
      </w:pPr>
    </w:p>
    <w:p w14:paraId="7561ECDC" w14:textId="77777777" w:rsidR="001F2D06" w:rsidRPr="00F24057" w:rsidRDefault="00631C85" w:rsidP="00D70B34">
      <w:pPr>
        <w:rPr>
          <w:szCs w:val="22"/>
          <w:u w:val="single"/>
          <w:lang w:val="sr-Latn-ME"/>
        </w:rPr>
      </w:pPr>
      <w:r w:rsidRPr="00F24057">
        <w:rPr>
          <w:szCs w:val="22"/>
          <w:u w:val="single"/>
          <w:lang w:val="sr-Latn-ME"/>
        </w:rPr>
        <w:t xml:space="preserve">Kongestivna srčana insuficijencija </w:t>
      </w:r>
    </w:p>
    <w:p w14:paraId="56B02193" w14:textId="77777777" w:rsidR="001F2D06" w:rsidRPr="00F24057" w:rsidRDefault="001F2D06" w:rsidP="00D70B34">
      <w:pPr>
        <w:rPr>
          <w:szCs w:val="22"/>
          <w:lang w:val="sr-Latn-ME"/>
        </w:rPr>
      </w:pPr>
    </w:p>
    <w:p w14:paraId="5E7243CD" w14:textId="79BDB0E5" w:rsidR="001F2D06" w:rsidRPr="00F24057" w:rsidRDefault="00631C85" w:rsidP="00D70B34">
      <w:pPr>
        <w:rPr>
          <w:szCs w:val="22"/>
          <w:lang w:val="sr-Latn-ME"/>
        </w:rPr>
      </w:pPr>
      <w:r w:rsidRPr="00F24057">
        <w:rPr>
          <w:szCs w:val="22"/>
          <w:lang w:val="sr-Latn-ME"/>
        </w:rPr>
        <w:t xml:space="preserve">U kliničkom ispitivanju jednog drugog antagonista TNF-a </w:t>
      </w:r>
      <w:r w:rsidR="004F2520" w:rsidRPr="00F24057">
        <w:rPr>
          <w:szCs w:val="22"/>
          <w:lang w:val="sr-Latn-ME"/>
        </w:rPr>
        <w:t>zabilježeno</w:t>
      </w:r>
      <w:r w:rsidRPr="00F24057">
        <w:rPr>
          <w:szCs w:val="22"/>
          <w:lang w:val="sr-Latn-ME"/>
        </w:rPr>
        <w:t xml:space="preserve"> je pogoršanje kongestivne srčane insuficijencije i povećana smrtnost zbog kongestivne srčane insuficijencije. Slučajevi pogoršanja kongestivne srčane insuficijencije takođe su prijavljeni i kod pacijenata </w:t>
      </w:r>
      <w:r w:rsidR="00885A78" w:rsidRPr="00F24057">
        <w:rPr>
          <w:szCs w:val="22"/>
          <w:lang w:val="sr-Latn-ME"/>
        </w:rPr>
        <w:t>liječe</w:t>
      </w:r>
      <w:r w:rsidRPr="00F24057">
        <w:rPr>
          <w:szCs w:val="22"/>
          <w:lang w:val="sr-Latn-ME"/>
        </w:rPr>
        <w:t xml:space="preserve">nih adalimumabom. Zato se pacijentima sa blagom srčanom insuficijencijom (NYHA klasa I/II) </w:t>
      </w:r>
      <w:r w:rsidR="0030064A" w:rsidRPr="00F24057">
        <w:rPr>
          <w:szCs w:val="22"/>
          <w:lang w:val="sr-Latn-ME"/>
        </w:rPr>
        <w:t xml:space="preserve">lijek </w:t>
      </w:r>
      <w:r w:rsidR="001F2D06" w:rsidRPr="00F24057">
        <w:rPr>
          <w:szCs w:val="22"/>
          <w:lang w:val="sr-Latn-ME"/>
        </w:rPr>
        <w:t>Hukyndra</w:t>
      </w:r>
      <w:r w:rsidRPr="00F24057">
        <w:rPr>
          <w:szCs w:val="22"/>
          <w:lang w:val="sr-Latn-ME"/>
        </w:rPr>
        <w:t xml:space="preserve"> mora davati oprezno. </w:t>
      </w:r>
      <w:r w:rsidR="0030064A" w:rsidRPr="00F24057">
        <w:rPr>
          <w:szCs w:val="22"/>
          <w:lang w:val="sr-Latn-ME"/>
        </w:rPr>
        <w:t>Primjen</w:t>
      </w:r>
      <w:r w:rsidRPr="00F24057">
        <w:rPr>
          <w:szCs w:val="22"/>
          <w:lang w:val="sr-Latn-ME"/>
        </w:rPr>
        <w:t xml:space="preserve">a </w:t>
      </w:r>
      <w:r w:rsidR="00885A78" w:rsidRPr="00F24057">
        <w:rPr>
          <w:szCs w:val="22"/>
          <w:lang w:val="sr-Latn-ME"/>
        </w:rPr>
        <w:t xml:space="preserve">lijeka </w:t>
      </w:r>
      <w:r w:rsidR="001F2D06" w:rsidRPr="00F24057">
        <w:rPr>
          <w:szCs w:val="22"/>
          <w:lang w:val="sr-Latn-ME"/>
        </w:rPr>
        <w:t>Hukyndra</w:t>
      </w:r>
      <w:r w:rsidRPr="00F24057">
        <w:rPr>
          <w:szCs w:val="22"/>
          <w:lang w:val="sr-Latn-ME"/>
        </w:rPr>
        <w:t xml:space="preserve"> je kontraindikovana kod pacijenata sa u</w:t>
      </w:r>
      <w:r w:rsidR="0030064A" w:rsidRPr="00F24057">
        <w:rPr>
          <w:szCs w:val="22"/>
          <w:lang w:val="sr-Latn-ME"/>
        </w:rPr>
        <w:t>mjeren</w:t>
      </w:r>
      <w:r w:rsidRPr="00F24057">
        <w:rPr>
          <w:szCs w:val="22"/>
          <w:lang w:val="sr-Latn-ME"/>
        </w:rPr>
        <w:t>om do teškom srčanom insuficijencijom (</w:t>
      </w:r>
      <w:r w:rsidR="007B39D0" w:rsidRPr="00F24057">
        <w:rPr>
          <w:szCs w:val="22"/>
          <w:lang w:val="sr-Latn-ME"/>
        </w:rPr>
        <w:t xml:space="preserve">pogledati dio </w:t>
      </w:r>
      <w:r w:rsidRPr="00F24057">
        <w:rPr>
          <w:szCs w:val="22"/>
          <w:lang w:val="sr-Latn-ME"/>
        </w:rPr>
        <w:t xml:space="preserve">4.3). Ako se pojave novi ili pogoršaju postojeći simptomi kongestivne srčane insuficijencije, mora da se obustavi terapija </w:t>
      </w:r>
      <w:r w:rsidR="00885A78" w:rsidRPr="00F24057">
        <w:rPr>
          <w:szCs w:val="22"/>
          <w:lang w:val="sr-Latn-ME"/>
        </w:rPr>
        <w:t>lijekom</w:t>
      </w:r>
      <w:r w:rsidRPr="00F24057">
        <w:rPr>
          <w:szCs w:val="22"/>
          <w:lang w:val="sr-Latn-ME"/>
        </w:rPr>
        <w:t xml:space="preserve"> </w:t>
      </w:r>
      <w:r w:rsidR="001F2D06" w:rsidRPr="00F24057">
        <w:rPr>
          <w:szCs w:val="22"/>
          <w:lang w:val="sr-Latn-ME"/>
        </w:rPr>
        <w:t>Hukyndra</w:t>
      </w:r>
      <w:r w:rsidRPr="00F24057">
        <w:rPr>
          <w:szCs w:val="22"/>
          <w:lang w:val="sr-Latn-ME"/>
        </w:rPr>
        <w:t xml:space="preserve">. </w:t>
      </w:r>
    </w:p>
    <w:p w14:paraId="760DA275" w14:textId="77777777" w:rsidR="001F2D06" w:rsidRPr="00F24057" w:rsidRDefault="001F2D06" w:rsidP="00D70B34">
      <w:pPr>
        <w:rPr>
          <w:szCs w:val="22"/>
          <w:lang w:val="sr-Latn-ME"/>
        </w:rPr>
      </w:pPr>
    </w:p>
    <w:p w14:paraId="1D16A792" w14:textId="77777777" w:rsidR="001F2D06" w:rsidRPr="00F24057" w:rsidRDefault="00631C85" w:rsidP="00D70B34">
      <w:pPr>
        <w:rPr>
          <w:szCs w:val="22"/>
          <w:u w:val="single"/>
          <w:lang w:val="sr-Latn-ME"/>
        </w:rPr>
      </w:pPr>
      <w:r w:rsidRPr="00F24057">
        <w:rPr>
          <w:szCs w:val="22"/>
          <w:u w:val="single"/>
          <w:lang w:val="sr-Latn-ME"/>
        </w:rPr>
        <w:t xml:space="preserve">Autoimunski procesi </w:t>
      </w:r>
    </w:p>
    <w:p w14:paraId="41DC1B34" w14:textId="77777777" w:rsidR="001F2D06" w:rsidRPr="00F24057" w:rsidRDefault="001F2D06" w:rsidP="00D70B34">
      <w:pPr>
        <w:rPr>
          <w:szCs w:val="22"/>
          <w:lang w:val="sr-Latn-ME"/>
        </w:rPr>
      </w:pPr>
    </w:p>
    <w:p w14:paraId="5BA40B68" w14:textId="56F82304" w:rsidR="001F2D06" w:rsidRPr="00F24057" w:rsidRDefault="00631C85" w:rsidP="00D70B34">
      <w:pPr>
        <w:rPr>
          <w:szCs w:val="22"/>
          <w:lang w:val="sr-Latn-ME"/>
        </w:rPr>
      </w:pPr>
      <w:r w:rsidRPr="00F24057">
        <w:rPr>
          <w:szCs w:val="22"/>
          <w:lang w:val="sr-Latn-ME"/>
        </w:rPr>
        <w:t xml:space="preserve">Za </w:t>
      </w:r>
      <w:r w:rsidR="009811CA" w:rsidRPr="00F24057">
        <w:rPr>
          <w:szCs w:val="22"/>
          <w:lang w:val="sr-Latn-ME"/>
        </w:rPr>
        <w:t>vr</w:t>
      </w:r>
      <w:r w:rsidR="00D02388" w:rsidRPr="00F24057">
        <w:rPr>
          <w:szCs w:val="22"/>
          <w:lang w:val="sr-Latn-ME"/>
        </w:rPr>
        <w:t>ij</w:t>
      </w:r>
      <w:r w:rsidR="009811CA" w:rsidRPr="00F24057">
        <w:rPr>
          <w:szCs w:val="22"/>
          <w:lang w:val="sr-Latn-ME"/>
        </w:rPr>
        <w:t>eme</w:t>
      </w:r>
      <w:r w:rsidR="007E5568" w:rsidRPr="00F24057">
        <w:rPr>
          <w:szCs w:val="22"/>
          <w:lang w:val="sr-Latn-ME"/>
        </w:rPr>
        <w:t xml:space="preserve"> </w:t>
      </w:r>
      <w:r w:rsidR="0030064A" w:rsidRPr="00F24057">
        <w:rPr>
          <w:szCs w:val="22"/>
          <w:lang w:val="sr-Latn-ME"/>
        </w:rPr>
        <w:t>primjen</w:t>
      </w:r>
      <w:r w:rsidRPr="00F24057">
        <w:rPr>
          <w:szCs w:val="22"/>
          <w:lang w:val="sr-Latn-ME"/>
        </w:rPr>
        <w:t xml:space="preserve">e </w:t>
      </w:r>
      <w:r w:rsidR="00885A78" w:rsidRPr="00F24057">
        <w:rPr>
          <w:szCs w:val="22"/>
          <w:lang w:val="sr-Latn-ME"/>
        </w:rPr>
        <w:t xml:space="preserve">lijeka </w:t>
      </w:r>
      <w:r w:rsidR="001F2D06" w:rsidRPr="00F24057">
        <w:rPr>
          <w:szCs w:val="22"/>
          <w:lang w:val="sr-Latn-ME"/>
        </w:rPr>
        <w:t>Hukyndra</w:t>
      </w:r>
      <w:r w:rsidRPr="00F24057">
        <w:rPr>
          <w:szCs w:val="22"/>
          <w:lang w:val="sr-Latn-ME"/>
        </w:rPr>
        <w:t xml:space="preserve"> mogu da se razviju autoimunska </w:t>
      </w:r>
      <w:r w:rsidR="00AA29FD" w:rsidRPr="00F24057">
        <w:rPr>
          <w:szCs w:val="22"/>
          <w:lang w:val="sr-Latn-ME"/>
        </w:rPr>
        <w:t>antitijel</w:t>
      </w:r>
      <w:r w:rsidRPr="00F24057">
        <w:rPr>
          <w:szCs w:val="22"/>
          <w:lang w:val="sr-Latn-ME"/>
        </w:rPr>
        <w:t xml:space="preserve">a. Uticaj dugotrajnog </w:t>
      </w:r>
      <w:r w:rsidR="00885A78" w:rsidRPr="00F24057">
        <w:rPr>
          <w:szCs w:val="22"/>
          <w:lang w:val="sr-Latn-ME"/>
        </w:rPr>
        <w:t>liječenj</w:t>
      </w:r>
      <w:r w:rsidRPr="00F24057">
        <w:rPr>
          <w:szCs w:val="22"/>
          <w:lang w:val="sr-Latn-ME"/>
        </w:rPr>
        <w:t xml:space="preserve">a adalimumabom na razvoj autoimunskih bolesti nije poznat. Ako pacijent nakon </w:t>
      </w:r>
      <w:r w:rsidR="0030064A" w:rsidRPr="00F24057">
        <w:rPr>
          <w:szCs w:val="22"/>
          <w:lang w:val="sr-Latn-ME"/>
        </w:rPr>
        <w:t>primjen</w:t>
      </w:r>
      <w:r w:rsidRPr="00F24057">
        <w:rPr>
          <w:szCs w:val="22"/>
          <w:lang w:val="sr-Latn-ME"/>
        </w:rPr>
        <w:t xml:space="preserve">e </w:t>
      </w:r>
      <w:r w:rsidR="00885A78" w:rsidRPr="00F24057">
        <w:rPr>
          <w:szCs w:val="22"/>
          <w:lang w:val="sr-Latn-ME"/>
        </w:rPr>
        <w:t xml:space="preserve">lijeka </w:t>
      </w:r>
      <w:r w:rsidR="001F2D06" w:rsidRPr="00F24057">
        <w:rPr>
          <w:szCs w:val="22"/>
          <w:lang w:val="sr-Latn-ME"/>
        </w:rPr>
        <w:t>Hukyndra</w:t>
      </w:r>
      <w:r w:rsidRPr="00F24057">
        <w:rPr>
          <w:szCs w:val="22"/>
          <w:lang w:val="sr-Latn-ME"/>
        </w:rPr>
        <w:t xml:space="preserve"> razvije simptome koji ukazuju na sindrom sličan lupusu i pozitivan je na </w:t>
      </w:r>
      <w:r w:rsidR="00AA29FD" w:rsidRPr="00F24057">
        <w:rPr>
          <w:szCs w:val="22"/>
          <w:lang w:val="sr-Latn-ME"/>
        </w:rPr>
        <w:t>antitijel</w:t>
      </w:r>
      <w:r w:rsidRPr="00F24057">
        <w:rPr>
          <w:szCs w:val="22"/>
          <w:lang w:val="sr-Latn-ME"/>
        </w:rPr>
        <w:t>a us</w:t>
      </w:r>
      <w:r w:rsidR="0030064A" w:rsidRPr="00F24057">
        <w:rPr>
          <w:szCs w:val="22"/>
          <w:lang w:val="sr-Latn-ME"/>
        </w:rPr>
        <w:t>mjeren</w:t>
      </w:r>
      <w:r w:rsidRPr="00F24057">
        <w:rPr>
          <w:szCs w:val="22"/>
          <w:lang w:val="sr-Latn-ME"/>
        </w:rPr>
        <w:t xml:space="preserve">a protiv dvolančane DNK, terapija </w:t>
      </w:r>
      <w:r w:rsidR="00885A78" w:rsidRPr="00F24057">
        <w:rPr>
          <w:szCs w:val="22"/>
          <w:lang w:val="sr-Latn-ME"/>
        </w:rPr>
        <w:t>lijekom</w:t>
      </w:r>
      <w:r w:rsidRPr="00F24057">
        <w:rPr>
          <w:szCs w:val="22"/>
          <w:lang w:val="sr-Latn-ME"/>
        </w:rPr>
        <w:t xml:space="preserve"> </w:t>
      </w:r>
      <w:r w:rsidR="001F2D06" w:rsidRPr="00F24057">
        <w:rPr>
          <w:szCs w:val="22"/>
          <w:lang w:val="sr-Latn-ME"/>
        </w:rPr>
        <w:t>Hukyndra</w:t>
      </w:r>
      <w:r w:rsidRPr="00F24057">
        <w:rPr>
          <w:szCs w:val="22"/>
          <w:lang w:val="sr-Latn-ME"/>
        </w:rPr>
        <w:t xml:space="preserve"> se ne </w:t>
      </w:r>
      <w:r w:rsidR="00885A78" w:rsidRPr="00F24057">
        <w:rPr>
          <w:szCs w:val="22"/>
          <w:lang w:val="sr-Latn-ME"/>
        </w:rPr>
        <w:t xml:space="preserve">smije </w:t>
      </w:r>
      <w:r w:rsidRPr="00F24057">
        <w:rPr>
          <w:szCs w:val="22"/>
          <w:lang w:val="sr-Latn-ME"/>
        </w:rPr>
        <w:t>nastaviti (</w:t>
      </w:r>
      <w:r w:rsidR="007B39D0" w:rsidRPr="00F24057">
        <w:rPr>
          <w:szCs w:val="22"/>
          <w:lang w:val="sr-Latn-ME"/>
        </w:rPr>
        <w:t xml:space="preserve">pogledati dio </w:t>
      </w:r>
      <w:r w:rsidRPr="00F24057">
        <w:rPr>
          <w:szCs w:val="22"/>
          <w:lang w:val="sr-Latn-ME"/>
        </w:rPr>
        <w:t xml:space="preserve">4.8) </w:t>
      </w:r>
    </w:p>
    <w:p w14:paraId="7573922D" w14:textId="77777777" w:rsidR="001F2D06" w:rsidRPr="00F24057" w:rsidRDefault="001F2D06" w:rsidP="00D70B34">
      <w:pPr>
        <w:rPr>
          <w:szCs w:val="22"/>
          <w:lang w:val="sr-Latn-ME"/>
        </w:rPr>
      </w:pPr>
    </w:p>
    <w:p w14:paraId="566E8D63" w14:textId="4433C81A" w:rsidR="001F2D06" w:rsidRPr="00F24057" w:rsidRDefault="00631C85" w:rsidP="00D70B34">
      <w:pPr>
        <w:rPr>
          <w:szCs w:val="22"/>
          <w:u w:val="single"/>
          <w:lang w:val="sr-Latn-ME"/>
        </w:rPr>
      </w:pPr>
      <w:r w:rsidRPr="00F24057">
        <w:rPr>
          <w:szCs w:val="22"/>
          <w:u w:val="single"/>
          <w:lang w:val="sr-Latn-ME"/>
        </w:rPr>
        <w:t xml:space="preserve">Istovremena </w:t>
      </w:r>
      <w:r w:rsidR="0030064A" w:rsidRPr="00F24057">
        <w:rPr>
          <w:szCs w:val="22"/>
          <w:u w:val="single"/>
          <w:lang w:val="sr-Latn-ME"/>
        </w:rPr>
        <w:t>primjen</w:t>
      </w:r>
      <w:r w:rsidRPr="00F24057">
        <w:rPr>
          <w:szCs w:val="22"/>
          <w:u w:val="single"/>
          <w:lang w:val="sr-Latn-ME"/>
        </w:rPr>
        <w:t>a bioloških antireumat</w:t>
      </w:r>
      <w:r w:rsidR="00510684" w:rsidRPr="00F24057">
        <w:rPr>
          <w:szCs w:val="22"/>
          <w:u w:val="single"/>
          <w:lang w:val="sr-Latn-ME"/>
        </w:rPr>
        <w:t xml:space="preserve">skih </w:t>
      </w:r>
      <w:r w:rsidR="0030064A" w:rsidRPr="00F24057">
        <w:rPr>
          <w:szCs w:val="22"/>
          <w:u w:val="single"/>
          <w:lang w:val="sr-Latn-ME"/>
        </w:rPr>
        <w:t>ljekov</w:t>
      </w:r>
      <w:r w:rsidR="00510684" w:rsidRPr="00F24057">
        <w:rPr>
          <w:szCs w:val="22"/>
          <w:u w:val="single"/>
          <w:lang w:val="sr-Latn-ME"/>
        </w:rPr>
        <w:t>a</w:t>
      </w:r>
      <w:r w:rsidRPr="00F24057">
        <w:rPr>
          <w:szCs w:val="22"/>
          <w:u w:val="single"/>
          <w:lang w:val="sr-Latn-ME"/>
        </w:rPr>
        <w:t xml:space="preserve"> koji modifikuju tok bolesti (DMARD) ili TNF-antagonista </w:t>
      </w:r>
    </w:p>
    <w:p w14:paraId="401F613B" w14:textId="77777777" w:rsidR="001F2D06" w:rsidRPr="00F24057" w:rsidRDefault="001F2D06" w:rsidP="00D70B34">
      <w:pPr>
        <w:rPr>
          <w:szCs w:val="22"/>
          <w:lang w:val="sr-Latn-ME"/>
        </w:rPr>
      </w:pPr>
    </w:p>
    <w:p w14:paraId="2165AC32" w14:textId="619297E9" w:rsidR="00E55C51" w:rsidRPr="00F24057" w:rsidRDefault="00631C85" w:rsidP="00D70B34">
      <w:pPr>
        <w:rPr>
          <w:szCs w:val="22"/>
          <w:lang w:val="sr-Latn-ME"/>
        </w:rPr>
      </w:pPr>
      <w:r w:rsidRPr="00F24057">
        <w:rPr>
          <w:szCs w:val="22"/>
          <w:lang w:val="sr-Latn-ME"/>
        </w:rPr>
        <w:t xml:space="preserve">U kliničkim ispitivanjima istovremene </w:t>
      </w:r>
      <w:r w:rsidR="0030064A" w:rsidRPr="00F24057">
        <w:rPr>
          <w:szCs w:val="22"/>
          <w:lang w:val="sr-Latn-ME"/>
        </w:rPr>
        <w:t>primjen</w:t>
      </w:r>
      <w:r w:rsidRPr="00F24057">
        <w:rPr>
          <w:szCs w:val="22"/>
          <w:lang w:val="sr-Latn-ME"/>
        </w:rPr>
        <w:t>e anakinre i drugog TNF-antagonista, etanercepta, za</w:t>
      </w:r>
      <w:r w:rsidR="004F2520" w:rsidRPr="00F24057">
        <w:rPr>
          <w:szCs w:val="22"/>
          <w:lang w:val="sr-Latn-ME"/>
        </w:rPr>
        <w:t>biljež</w:t>
      </w:r>
      <w:r w:rsidRPr="00F24057">
        <w:rPr>
          <w:szCs w:val="22"/>
          <w:lang w:val="sr-Latn-ME"/>
        </w:rPr>
        <w:t xml:space="preserve">ene su ozbiljne infekcije, a pritom nije bilo dodatne kliničke koristi u odnosu na monoterapiju etanerceptom. S obzirom na prirodu neželjenih događaja </w:t>
      </w:r>
      <w:r w:rsidR="00FF3128" w:rsidRPr="00F24057">
        <w:rPr>
          <w:szCs w:val="22"/>
          <w:lang w:val="sr-Latn-ME"/>
        </w:rPr>
        <w:t>prim</w:t>
      </w:r>
      <w:r w:rsidR="006F763A" w:rsidRPr="00F24057">
        <w:rPr>
          <w:szCs w:val="22"/>
          <w:lang w:val="sr-Latn-ME"/>
        </w:rPr>
        <w:t>ijećenih</w:t>
      </w:r>
      <w:r w:rsidRPr="00F24057">
        <w:rPr>
          <w:szCs w:val="22"/>
          <w:lang w:val="sr-Latn-ME"/>
        </w:rPr>
        <w:t xml:space="preserve"> pri istovremenoj </w:t>
      </w:r>
      <w:r w:rsidR="0030064A" w:rsidRPr="00F24057">
        <w:rPr>
          <w:szCs w:val="22"/>
          <w:lang w:val="sr-Latn-ME"/>
        </w:rPr>
        <w:t>primjen</w:t>
      </w:r>
      <w:r w:rsidRPr="00F24057">
        <w:rPr>
          <w:szCs w:val="22"/>
          <w:lang w:val="sr-Latn-ME"/>
        </w:rPr>
        <w:t xml:space="preserve">i anakinre i etanercepta, slične toksičnosti se takođe mogu pojaviti i za </w:t>
      </w:r>
      <w:r w:rsidR="009811CA" w:rsidRPr="00F24057">
        <w:rPr>
          <w:szCs w:val="22"/>
          <w:lang w:val="sr-Latn-ME"/>
        </w:rPr>
        <w:t>vr</w:t>
      </w:r>
      <w:r w:rsidR="006F763A" w:rsidRPr="00F24057">
        <w:rPr>
          <w:szCs w:val="22"/>
          <w:lang w:val="sr-Latn-ME"/>
        </w:rPr>
        <w:t>ijeme</w:t>
      </w:r>
      <w:r w:rsidR="007E5568" w:rsidRPr="00F24057">
        <w:rPr>
          <w:szCs w:val="22"/>
          <w:lang w:val="sr-Latn-ME"/>
        </w:rPr>
        <w:t xml:space="preserve"> </w:t>
      </w:r>
      <w:r w:rsidR="00885A78" w:rsidRPr="00F24057">
        <w:rPr>
          <w:szCs w:val="22"/>
          <w:lang w:val="sr-Latn-ME"/>
        </w:rPr>
        <w:t>liječenj</w:t>
      </w:r>
      <w:r w:rsidRPr="00F24057">
        <w:rPr>
          <w:szCs w:val="22"/>
          <w:lang w:val="sr-Latn-ME"/>
        </w:rPr>
        <w:t>a anakinrom u kombinaciji sa drugim TNF</w:t>
      </w:r>
      <w:r w:rsidR="00E55C51" w:rsidRPr="00F24057">
        <w:rPr>
          <w:szCs w:val="22"/>
          <w:lang w:val="sr-Latn-ME"/>
        </w:rPr>
        <w:t>-</w:t>
      </w:r>
      <w:r w:rsidRPr="00F24057">
        <w:rPr>
          <w:szCs w:val="22"/>
          <w:lang w:val="sr-Latn-ME"/>
        </w:rPr>
        <w:t xml:space="preserve">antagonistima. Stoga se istovremena </w:t>
      </w:r>
      <w:r w:rsidR="0030064A" w:rsidRPr="00F24057">
        <w:rPr>
          <w:szCs w:val="22"/>
          <w:lang w:val="sr-Latn-ME"/>
        </w:rPr>
        <w:t>primjen</w:t>
      </w:r>
      <w:r w:rsidRPr="00F24057">
        <w:rPr>
          <w:szCs w:val="22"/>
          <w:lang w:val="sr-Latn-ME"/>
        </w:rPr>
        <w:t>a adalimumaba i anakinre ne preporučuje (</w:t>
      </w:r>
      <w:r w:rsidR="007B39D0" w:rsidRPr="00F24057">
        <w:rPr>
          <w:szCs w:val="22"/>
          <w:lang w:val="sr-Latn-ME"/>
        </w:rPr>
        <w:t xml:space="preserve">pogledati dio </w:t>
      </w:r>
      <w:r w:rsidRPr="00F24057">
        <w:rPr>
          <w:szCs w:val="22"/>
          <w:lang w:val="sr-Latn-ME"/>
        </w:rPr>
        <w:t xml:space="preserve">4.5). </w:t>
      </w:r>
    </w:p>
    <w:p w14:paraId="0FA7E633" w14:textId="77777777" w:rsidR="00E55C51" w:rsidRPr="00F24057" w:rsidRDefault="00E55C51" w:rsidP="00D70B34">
      <w:pPr>
        <w:rPr>
          <w:szCs w:val="22"/>
          <w:lang w:val="sr-Latn-ME"/>
        </w:rPr>
      </w:pPr>
    </w:p>
    <w:p w14:paraId="0A7F1C20" w14:textId="6C420672" w:rsidR="001F2D06" w:rsidRPr="00F24057" w:rsidRDefault="00631C85" w:rsidP="00D70B34">
      <w:pPr>
        <w:rPr>
          <w:szCs w:val="22"/>
          <w:lang w:val="sr-Latn-ME"/>
        </w:rPr>
      </w:pPr>
      <w:r w:rsidRPr="00F24057">
        <w:rPr>
          <w:szCs w:val="22"/>
          <w:lang w:val="sr-Latn-ME"/>
        </w:rPr>
        <w:t xml:space="preserve">Istovremena </w:t>
      </w:r>
      <w:r w:rsidR="0030064A" w:rsidRPr="00F24057">
        <w:rPr>
          <w:szCs w:val="22"/>
          <w:lang w:val="sr-Latn-ME"/>
        </w:rPr>
        <w:t>primjen</w:t>
      </w:r>
      <w:r w:rsidRPr="00F24057">
        <w:rPr>
          <w:szCs w:val="22"/>
          <w:lang w:val="sr-Latn-ME"/>
        </w:rPr>
        <w:t>a adalimumaba i drugih bioloških antireumat</w:t>
      </w:r>
      <w:r w:rsidR="009B3A12" w:rsidRPr="00F24057">
        <w:rPr>
          <w:szCs w:val="22"/>
          <w:lang w:val="sr-Latn-ME"/>
        </w:rPr>
        <w:t xml:space="preserve">skih </w:t>
      </w:r>
      <w:r w:rsidR="0030064A" w:rsidRPr="00F24057">
        <w:rPr>
          <w:szCs w:val="22"/>
          <w:lang w:val="sr-Latn-ME"/>
        </w:rPr>
        <w:t>ljekov</w:t>
      </w:r>
      <w:r w:rsidR="009B3A12" w:rsidRPr="00F24057">
        <w:rPr>
          <w:szCs w:val="22"/>
          <w:lang w:val="sr-Latn-ME"/>
        </w:rPr>
        <w:t>a</w:t>
      </w:r>
      <w:r w:rsidRPr="00F24057">
        <w:rPr>
          <w:szCs w:val="22"/>
          <w:lang w:val="sr-Latn-ME"/>
        </w:rPr>
        <w:t xml:space="preserve"> koji modifikuju tok bolesti (npr. anakinra i abatacept) ili drugih TNF-antagonista se ne preporučuje zbog mogućeg povećanog rizika od razvoja infekcija, uključujući ozbiljne infekcije, i drugih potencijalnih farmakoloških interakcija (</w:t>
      </w:r>
      <w:r w:rsidR="007B39D0" w:rsidRPr="00F24057">
        <w:rPr>
          <w:szCs w:val="22"/>
          <w:lang w:val="sr-Latn-ME"/>
        </w:rPr>
        <w:t xml:space="preserve">pogledati dio </w:t>
      </w:r>
      <w:r w:rsidRPr="00F24057">
        <w:rPr>
          <w:szCs w:val="22"/>
          <w:lang w:val="sr-Latn-ME"/>
        </w:rPr>
        <w:t xml:space="preserve">4.5). </w:t>
      </w:r>
    </w:p>
    <w:p w14:paraId="035FCEE1" w14:textId="77777777" w:rsidR="001F2D06" w:rsidRPr="00F24057" w:rsidRDefault="001F2D06" w:rsidP="00D70B34">
      <w:pPr>
        <w:rPr>
          <w:szCs w:val="22"/>
          <w:lang w:val="sr-Latn-ME"/>
        </w:rPr>
      </w:pPr>
    </w:p>
    <w:p w14:paraId="71FA6E76" w14:textId="77777777" w:rsidR="001F2D06" w:rsidRPr="00F24057" w:rsidRDefault="00631C85" w:rsidP="00D70B34">
      <w:pPr>
        <w:rPr>
          <w:szCs w:val="22"/>
          <w:u w:val="single"/>
          <w:lang w:val="sr-Latn-ME"/>
        </w:rPr>
      </w:pPr>
      <w:r w:rsidRPr="00F24057">
        <w:rPr>
          <w:szCs w:val="22"/>
          <w:u w:val="single"/>
          <w:lang w:val="sr-Latn-ME"/>
        </w:rPr>
        <w:t xml:space="preserve">Hirurške intervencije </w:t>
      </w:r>
    </w:p>
    <w:p w14:paraId="731A16E8" w14:textId="77777777" w:rsidR="001F2D06" w:rsidRPr="00F24057" w:rsidRDefault="001F2D06" w:rsidP="00D70B34">
      <w:pPr>
        <w:rPr>
          <w:szCs w:val="22"/>
          <w:lang w:val="sr-Latn-ME"/>
        </w:rPr>
      </w:pPr>
    </w:p>
    <w:p w14:paraId="2ED9FFEA" w14:textId="1A8A86EB" w:rsidR="00CE5838" w:rsidRPr="00F24057" w:rsidRDefault="00631C85" w:rsidP="00D70B34">
      <w:pPr>
        <w:rPr>
          <w:szCs w:val="22"/>
          <w:lang w:val="sr-Latn-ME"/>
        </w:rPr>
      </w:pPr>
      <w:r w:rsidRPr="00F24057">
        <w:rPr>
          <w:szCs w:val="22"/>
          <w:lang w:val="sr-Latn-ME"/>
        </w:rPr>
        <w:t xml:space="preserve">Raspoloživi podaci o </w:t>
      </w:r>
      <w:r w:rsidR="0030064A" w:rsidRPr="00F24057">
        <w:rPr>
          <w:szCs w:val="22"/>
          <w:lang w:val="sr-Latn-ME"/>
        </w:rPr>
        <w:t>bezbjedno</w:t>
      </w:r>
      <w:r w:rsidRPr="00F24057">
        <w:rPr>
          <w:szCs w:val="22"/>
          <w:lang w:val="sr-Latn-ME"/>
        </w:rPr>
        <w:t xml:space="preserve">sti hirurških zahvata kod pacijenata </w:t>
      </w:r>
      <w:r w:rsidR="00885A78" w:rsidRPr="00F24057">
        <w:rPr>
          <w:szCs w:val="22"/>
          <w:lang w:val="sr-Latn-ME"/>
        </w:rPr>
        <w:t>liječe</w:t>
      </w:r>
      <w:r w:rsidRPr="00F24057">
        <w:rPr>
          <w:szCs w:val="22"/>
          <w:lang w:val="sr-Latn-ME"/>
        </w:rPr>
        <w:t xml:space="preserve">nih adalimumabom su ograničeni. Pri planiranju operacije treba voditi računa o dugom poluvremenu eliminacije adalimumaba. Pacijenta kome je za </w:t>
      </w:r>
      <w:r w:rsidR="009811CA" w:rsidRPr="00F24057">
        <w:rPr>
          <w:szCs w:val="22"/>
          <w:lang w:val="sr-Latn-ME"/>
        </w:rPr>
        <w:t>vr</w:t>
      </w:r>
      <w:r w:rsidR="00C70CF6" w:rsidRPr="00F24057">
        <w:rPr>
          <w:szCs w:val="22"/>
          <w:lang w:val="sr-Latn-ME"/>
        </w:rPr>
        <w:t>ije</w:t>
      </w:r>
      <w:r w:rsidR="009811CA" w:rsidRPr="00F24057">
        <w:rPr>
          <w:szCs w:val="22"/>
          <w:lang w:val="sr-Latn-ME"/>
        </w:rPr>
        <w:t>me</w:t>
      </w:r>
      <w:r w:rsidR="007E5568" w:rsidRPr="00F24057">
        <w:rPr>
          <w:szCs w:val="22"/>
          <w:lang w:val="sr-Latn-ME"/>
        </w:rPr>
        <w:t xml:space="preserve"> </w:t>
      </w:r>
      <w:r w:rsidRPr="00F24057">
        <w:rPr>
          <w:szCs w:val="22"/>
          <w:lang w:val="sr-Latn-ME"/>
        </w:rPr>
        <w:t xml:space="preserve">terapije </w:t>
      </w:r>
      <w:r w:rsidR="00885A78" w:rsidRPr="00F24057">
        <w:rPr>
          <w:szCs w:val="22"/>
          <w:lang w:val="sr-Latn-ME"/>
        </w:rPr>
        <w:t>lijekom</w:t>
      </w:r>
      <w:r w:rsidRPr="00F24057">
        <w:rPr>
          <w:szCs w:val="22"/>
          <w:lang w:val="sr-Latn-ME"/>
        </w:rPr>
        <w:t xml:space="preserve"> </w:t>
      </w:r>
      <w:r w:rsidR="001F2D06" w:rsidRPr="00F24057">
        <w:rPr>
          <w:szCs w:val="22"/>
          <w:lang w:val="sr-Latn-ME"/>
        </w:rPr>
        <w:t>Hukyndra</w:t>
      </w:r>
      <w:r w:rsidRPr="00F24057">
        <w:rPr>
          <w:szCs w:val="22"/>
          <w:lang w:val="sr-Latn-ME"/>
        </w:rPr>
        <w:t xml:space="preserve"> potreban operativni zahvat potrebno je pažljivo pratiti zbog moguće pojave infekcija i preduzeti odgovarajuće </w:t>
      </w:r>
      <w:r w:rsidR="00AA29FD" w:rsidRPr="00F24057">
        <w:rPr>
          <w:szCs w:val="22"/>
          <w:lang w:val="sr-Latn-ME"/>
        </w:rPr>
        <w:t>mjere</w:t>
      </w:r>
      <w:r w:rsidRPr="00F24057">
        <w:rPr>
          <w:szCs w:val="22"/>
          <w:lang w:val="sr-Latn-ME"/>
        </w:rPr>
        <w:t xml:space="preserve">. Raspoloživi podaci o </w:t>
      </w:r>
      <w:r w:rsidR="0030064A" w:rsidRPr="00F24057">
        <w:rPr>
          <w:szCs w:val="22"/>
          <w:lang w:val="sr-Latn-ME"/>
        </w:rPr>
        <w:t>bezbjedno</w:t>
      </w:r>
      <w:r w:rsidRPr="00F24057">
        <w:rPr>
          <w:szCs w:val="22"/>
          <w:lang w:val="sr-Latn-ME"/>
        </w:rPr>
        <w:t xml:space="preserve">sti pacijenata koji se podvrgnu artroplastici </w:t>
      </w:r>
      <w:r w:rsidR="00885A78" w:rsidRPr="00F24057">
        <w:rPr>
          <w:szCs w:val="22"/>
          <w:lang w:val="sr-Latn-ME"/>
        </w:rPr>
        <w:t>liječe</w:t>
      </w:r>
      <w:r w:rsidRPr="00F24057">
        <w:rPr>
          <w:szCs w:val="22"/>
          <w:lang w:val="sr-Latn-ME"/>
        </w:rPr>
        <w:t>nih adalimumabom su ograničeni.</w:t>
      </w:r>
    </w:p>
    <w:p w14:paraId="79F4C26D" w14:textId="3DD3D9FE" w:rsidR="00E55C51" w:rsidRPr="00F24057" w:rsidRDefault="00E55C51" w:rsidP="00D70B34">
      <w:pPr>
        <w:rPr>
          <w:szCs w:val="22"/>
          <w:lang w:val="sr-Latn-ME"/>
        </w:rPr>
      </w:pPr>
    </w:p>
    <w:p w14:paraId="5EB3CFA0" w14:textId="77A6EC51" w:rsidR="00E55C51" w:rsidRPr="00F24057" w:rsidRDefault="00E55C51" w:rsidP="00D70B34">
      <w:pPr>
        <w:rPr>
          <w:szCs w:val="22"/>
          <w:u w:val="single"/>
          <w:lang w:val="sr-Latn-ME"/>
        </w:rPr>
      </w:pPr>
      <w:r w:rsidRPr="00F24057">
        <w:rPr>
          <w:szCs w:val="22"/>
          <w:u w:val="single"/>
          <w:lang w:val="sr-Latn-ME"/>
        </w:rPr>
        <w:t xml:space="preserve">Opstrukcija tankog </w:t>
      </w:r>
      <w:r w:rsidR="004F2520" w:rsidRPr="00F24057">
        <w:rPr>
          <w:szCs w:val="22"/>
          <w:u w:val="single"/>
          <w:lang w:val="sr-Latn-ME"/>
        </w:rPr>
        <w:t>crijev</w:t>
      </w:r>
      <w:r w:rsidRPr="00F24057">
        <w:rPr>
          <w:szCs w:val="22"/>
          <w:u w:val="single"/>
          <w:lang w:val="sr-Latn-ME"/>
        </w:rPr>
        <w:t xml:space="preserve">a </w:t>
      </w:r>
    </w:p>
    <w:p w14:paraId="7ABCC536" w14:textId="77777777" w:rsidR="00E55C51" w:rsidRPr="00F24057" w:rsidRDefault="00E55C51" w:rsidP="00D70B34">
      <w:pPr>
        <w:rPr>
          <w:szCs w:val="22"/>
          <w:lang w:val="sr-Latn-ME"/>
        </w:rPr>
      </w:pPr>
    </w:p>
    <w:p w14:paraId="46FBF3A9" w14:textId="3FA424A0" w:rsidR="00E55C51" w:rsidRPr="00F24057" w:rsidRDefault="00E55C51" w:rsidP="00D70B34">
      <w:pPr>
        <w:rPr>
          <w:szCs w:val="22"/>
          <w:lang w:val="sr-Latn-ME"/>
        </w:rPr>
      </w:pPr>
      <w:r w:rsidRPr="00F24057">
        <w:rPr>
          <w:szCs w:val="22"/>
          <w:lang w:val="sr-Latn-ME"/>
        </w:rPr>
        <w:t>Neusp</w:t>
      </w:r>
      <w:r w:rsidR="004F2520" w:rsidRPr="00F24057">
        <w:rPr>
          <w:szCs w:val="22"/>
          <w:lang w:val="sr-Latn-ME"/>
        </w:rPr>
        <w:t>j</w:t>
      </w:r>
      <w:r w:rsidRPr="00F24057">
        <w:rPr>
          <w:szCs w:val="22"/>
          <w:lang w:val="sr-Latn-ME"/>
        </w:rPr>
        <w:t xml:space="preserve">ešan odgovor na terapiju za </w:t>
      </w:r>
      <w:r w:rsidR="00DA2306" w:rsidRPr="00F24057">
        <w:rPr>
          <w:i/>
          <w:iCs/>
          <w:szCs w:val="22"/>
          <w:lang w:val="sr-Latn-ME"/>
        </w:rPr>
        <w:t>Crohn</w:t>
      </w:r>
      <w:r w:rsidRPr="00F24057">
        <w:rPr>
          <w:szCs w:val="22"/>
          <w:lang w:val="sr-Latn-ME"/>
        </w:rPr>
        <w:t>-ovu bolest može biti znak fiksne fibrozne strikture koju je možda potrebno hirurški l</w:t>
      </w:r>
      <w:r w:rsidR="009A3407" w:rsidRPr="00F24057">
        <w:rPr>
          <w:szCs w:val="22"/>
          <w:lang w:val="sr-Latn-ME"/>
        </w:rPr>
        <w:t>ij</w:t>
      </w:r>
      <w:r w:rsidRPr="00F24057">
        <w:rPr>
          <w:szCs w:val="22"/>
          <w:lang w:val="sr-Latn-ME"/>
        </w:rPr>
        <w:t xml:space="preserve">ečiti. Dostupni podaci pokazuju da adalimumab ne uzrokuje i ne pogoršava strikture. </w:t>
      </w:r>
    </w:p>
    <w:p w14:paraId="2E6D8CE0" w14:textId="77777777" w:rsidR="00E55C51" w:rsidRPr="00F24057" w:rsidRDefault="00E55C51" w:rsidP="00D70B34">
      <w:pPr>
        <w:rPr>
          <w:szCs w:val="22"/>
          <w:lang w:val="sr-Latn-ME"/>
        </w:rPr>
      </w:pPr>
    </w:p>
    <w:p w14:paraId="24615B1D" w14:textId="4A240693" w:rsidR="00E55C51" w:rsidRPr="00F24057" w:rsidRDefault="00E55C51" w:rsidP="00D70B34">
      <w:pPr>
        <w:rPr>
          <w:szCs w:val="22"/>
          <w:u w:val="single"/>
          <w:lang w:val="sr-Latn-ME"/>
        </w:rPr>
      </w:pPr>
      <w:r w:rsidRPr="00F24057">
        <w:rPr>
          <w:szCs w:val="22"/>
          <w:u w:val="single"/>
          <w:lang w:val="sr-Latn-ME"/>
        </w:rPr>
        <w:t>Starije os</w:t>
      </w:r>
      <w:r w:rsidR="00671751" w:rsidRPr="00F24057">
        <w:rPr>
          <w:szCs w:val="22"/>
          <w:u w:val="single"/>
          <w:lang w:val="sr-Latn-ME"/>
        </w:rPr>
        <w:t>obe</w:t>
      </w:r>
      <w:r w:rsidRPr="00F24057">
        <w:rPr>
          <w:szCs w:val="22"/>
          <w:u w:val="single"/>
          <w:lang w:val="sr-Latn-ME"/>
        </w:rPr>
        <w:t xml:space="preserve"> </w:t>
      </w:r>
    </w:p>
    <w:p w14:paraId="531DF4C7" w14:textId="77777777" w:rsidR="00E55C51" w:rsidRPr="00F24057" w:rsidRDefault="00E55C51" w:rsidP="00D70B34">
      <w:pPr>
        <w:rPr>
          <w:szCs w:val="22"/>
          <w:lang w:val="sr-Latn-ME"/>
        </w:rPr>
      </w:pPr>
    </w:p>
    <w:p w14:paraId="3EA2AD68" w14:textId="68100098" w:rsidR="00E55C51" w:rsidRPr="00F24057" w:rsidRDefault="00E55C51" w:rsidP="00D70B34">
      <w:pPr>
        <w:rPr>
          <w:szCs w:val="22"/>
          <w:lang w:val="sr-Latn-ME"/>
        </w:rPr>
      </w:pPr>
      <w:r w:rsidRPr="00F24057">
        <w:rPr>
          <w:szCs w:val="22"/>
          <w:lang w:val="sr-Latn-ME"/>
        </w:rPr>
        <w:lastRenderedPageBreak/>
        <w:t xml:space="preserve">Učestalost ozbiljnih infekcija među pacijentima </w:t>
      </w:r>
      <w:r w:rsidR="00885A78" w:rsidRPr="00F24057">
        <w:rPr>
          <w:szCs w:val="22"/>
          <w:lang w:val="sr-Latn-ME"/>
        </w:rPr>
        <w:t>liječe</w:t>
      </w:r>
      <w:r w:rsidRPr="00F24057">
        <w:rPr>
          <w:szCs w:val="22"/>
          <w:lang w:val="sr-Latn-ME"/>
        </w:rPr>
        <w:t xml:space="preserve">nim adalimumabom veća je kod osoba starijih od 65 godina (3,7%) nego kod osoba mlađih od 65 godina (1,5%). Neke od tih infekcija imale su smrtni ishod. Stoga se tokom </w:t>
      </w:r>
      <w:r w:rsidR="00885A78" w:rsidRPr="00F24057">
        <w:rPr>
          <w:szCs w:val="22"/>
          <w:lang w:val="sr-Latn-ME"/>
        </w:rPr>
        <w:t>liječenj</w:t>
      </w:r>
      <w:r w:rsidRPr="00F24057">
        <w:rPr>
          <w:szCs w:val="22"/>
          <w:lang w:val="sr-Latn-ME"/>
        </w:rPr>
        <w:t xml:space="preserve">a starijih osoba mora obratiti posebna pažnja na mogući rizik od infekcije. </w:t>
      </w:r>
    </w:p>
    <w:p w14:paraId="06FB7239" w14:textId="77777777" w:rsidR="00E55C51" w:rsidRPr="00F24057" w:rsidRDefault="00E55C51" w:rsidP="00D70B34">
      <w:pPr>
        <w:rPr>
          <w:szCs w:val="22"/>
          <w:lang w:val="sr-Latn-ME"/>
        </w:rPr>
      </w:pPr>
    </w:p>
    <w:p w14:paraId="455F5E32" w14:textId="77777777" w:rsidR="00E55C51" w:rsidRPr="00F24057" w:rsidRDefault="00E55C51" w:rsidP="00D70B34">
      <w:pPr>
        <w:rPr>
          <w:szCs w:val="22"/>
          <w:u w:val="single"/>
          <w:lang w:val="sr-Latn-ME"/>
        </w:rPr>
      </w:pPr>
      <w:r w:rsidRPr="00F24057">
        <w:rPr>
          <w:szCs w:val="22"/>
          <w:u w:val="single"/>
          <w:lang w:val="sr-Latn-ME"/>
        </w:rPr>
        <w:t xml:space="preserve">Pedijatrijska populacija </w:t>
      </w:r>
    </w:p>
    <w:p w14:paraId="7B1223A6" w14:textId="77777777" w:rsidR="00E55C51" w:rsidRPr="00F24057" w:rsidRDefault="00E55C51" w:rsidP="00D70B34">
      <w:pPr>
        <w:rPr>
          <w:szCs w:val="22"/>
          <w:lang w:val="sr-Latn-ME"/>
        </w:rPr>
      </w:pPr>
    </w:p>
    <w:p w14:paraId="39AA22CD" w14:textId="6FB9D5FF" w:rsidR="00E55C51" w:rsidRPr="00F24057" w:rsidRDefault="0030064A" w:rsidP="00D70B34">
      <w:pPr>
        <w:rPr>
          <w:szCs w:val="22"/>
          <w:lang w:val="sr-Latn-ME"/>
        </w:rPr>
      </w:pPr>
      <w:r w:rsidRPr="00F24057">
        <w:rPr>
          <w:szCs w:val="22"/>
          <w:lang w:val="sr-Latn-ME"/>
        </w:rPr>
        <w:t>Vidjeti</w:t>
      </w:r>
      <w:r w:rsidR="00E55C51" w:rsidRPr="00F24057">
        <w:rPr>
          <w:szCs w:val="22"/>
          <w:lang w:val="sr-Latn-ME"/>
        </w:rPr>
        <w:t xml:space="preserve"> prethodno naveden d</w:t>
      </w:r>
      <w:r w:rsidR="009A3407" w:rsidRPr="00F24057">
        <w:rPr>
          <w:szCs w:val="22"/>
          <w:lang w:val="sr-Latn-ME"/>
        </w:rPr>
        <w:t>i</w:t>
      </w:r>
      <w:r w:rsidR="00E55C51" w:rsidRPr="00F24057">
        <w:rPr>
          <w:szCs w:val="22"/>
          <w:lang w:val="sr-Latn-ME"/>
        </w:rPr>
        <w:t xml:space="preserve">o „Vakcinacije“. </w:t>
      </w:r>
    </w:p>
    <w:p w14:paraId="308CCA25" w14:textId="77777777" w:rsidR="00E55C51" w:rsidRPr="00F24057" w:rsidRDefault="00E55C51" w:rsidP="00D70B34">
      <w:pPr>
        <w:rPr>
          <w:szCs w:val="22"/>
          <w:lang w:val="sr-Latn-ME"/>
        </w:rPr>
      </w:pPr>
    </w:p>
    <w:p w14:paraId="6FE9F86A" w14:textId="77777777" w:rsidR="00E55C51" w:rsidRPr="00F24057" w:rsidRDefault="00E55C51" w:rsidP="00D70B34">
      <w:pPr>
        <w:rPr>
          <w:szCs w:val="22"/>
          <w:u w:val="single"/>
          <w:lang w:val="sr-Latn-ME"/>
        </w:rPr>
      </w:pPr>
      <w:r w:rsidRPr="00F24057">
        <w:rPr>
          <w:szCs w:val="22"/>
          <w:u w:val="single"/>
          <w:lang w:val="sr-Latn-ME"/>
        </w:rPr>
        <w:t xml:space="preserve">Sadržaj natrijuma </w:t>
      </w:r>
    </w:p>
    <w:p w14:paraId="5EADC481" w14:textId="77777777" w:rsidR="00E55C51" w:rsidRPr="00F24057" w:rsidRDefault="00E55C51" w:rsidP="00D70B34">
      <w:pPr>
        <w:rPr>
          <w:szCs w:val="22"/>
          <w:lang w:val="sr-Latn-ME"/>
        </w:rPr>
      </w:pPr>
    </w:p>
    <w:p w14:paraId="3997B1F1" w14:textId="631D1CCD" w:rsidR="008336EF" w:rsidRPr="00F24057" w:rsidRDefault="00E55C51" w:rsidP="008336EF">
      <w:pPr>
        <w:rPr>
          <w:szCs w:val="22"/>
          <w:lang w:val="sr-Latn-ME"/>
        </w:rPr>
      </w:pPr>
      <w:r w:rsidRPr="00F24057">
        <w:rPr>
          <w:szCs w:val="22"/>
          <w:lang w:val="sr-Latn-ME"/>
        </w:rPr>
        <w:t xml:space="preserve">Ovaj </w:t>
      </w:r>
      <w:r w:rsidR="0030064A" w:rsidRPr="00F24057">
        <w:rPr>
          <w:szCs w:val="22"/>
          <w:lang w:val="sr-Latn-ME"/>
        </w:rPr>
        <w:t xml:space="preserve">lijek </w:t>
      </w:r>
      <w:r w:rsidRPr="00F24057">
        <w:rPr>
          <w:szCs w:val="22"/>
          <w:lang w:val="sr-Latn-ME"/>
        </w:rPr>
        <w:t xml:space="preserve">sadrži manje od 1 mmol (23 mg) natrijuma po dozi od </w:t>
      </w:r>
      <w:r w:rsidR="004F4D1C" w:rsidRPr="00F24057">
        <w:rPr>
          <w:szCs w:val="22"/>
          <w:lang w:val="sr-Latn-ME"/>
        </w:rPr>
        <w:t>0,4</w:t>
      </w:r>
      <w:r w:rsidRPr="00F24057">
        <w:rPr>
          <w:szCs w:val="22"/>
          <w:lang w:val="sr-Latn-ME"/>
        </w:rPr>
        <w:t xml:space="preserve"> m</w:t>
      </w:r>
      <w:r w:rsidR="005374FB" w:rsidRPr="00F24057">
        <w:rPr>
          <w:szCs w:val="22"/>
          <w:lang w:val="sr-Latn-ME"/>
        </w:rPr>
        <w:t>l</w:t>
      </w:r>
      <w:r w:rsidRPr="00F24057">
        <w:rPr>
          <w:szCs w:val="22"/>
          <w:lang w:val="sr-Latn-ME"/>
        </w:rPr>
        <w:t xml:space="preserve">, </w:t>
      </w:r>
      <w:r w:rsidR="008336EF" w:rsidRPr="00F24057">
        <w:rPr>
          <w:szCs w:val="22"/>
          <w:lang w:val="sr-Latn-ME"/>
        </w:rPr>
        <w:t>tj. suštinski je „bez natrijuma“.</w:t>
      </w:r>
    </w:p>
    <w:p w14:paraId="16707813" w14:textId="77777777" w:rsidR="00E55C51" w:rsidRPr="00F24057" w:rsidRDefault="00E55C51" w:rsidP="00D70B34">
      <w:pPr>
        <w:rPr>
          <w:szCs w:val="22"/>
          <w:lang w:val="sr-Latn-ME"/>
        </w:rPr>
      </w:pPr>
    </w:p>
    <w:p w14:paraId="072D43C8" w14:textId="04CBBA84" w:rsidR="00CE09F3" w:rsidRPr="00F24057" w:rsidRDefault="00CE09F3" w:rsidP="00D70B34">
      <w:pPr>
        <w:rPr>
          <w:b/>
          <w:bCs/>
          <w:szCs w:val="22"/>
          <w:lang w:val="sr-Latn-ME"/>
        </w:rPr>
      </w:pPr>
      <w:r w:rsidRPr="00F24057">
        <w:rPr>
          <w:b/>
          <w:bCs/>
          <w:szCs w:val="22"/>
          <w:lang w:val="sr-Latn-ME"/>
        </w:rPr>
        <w:t xml:space="preserve">4.5. Interakcije sa drugim </w:t>
      </w:r>
      <w:r w:rsidR="0030064A" w:rsidRPr="00F24057">
        <w:rPr>
          <w:b/>
          <w:bCs/>
          <w:szCs w:val="22"/>
          <w:lang w:val="sr-Latn-ME"/>
        </w:rPr>
        <w:t>ljekov</w:t>
      </w:r>
      <w:r w:rsidRPr="00F24057">
        <w:rPr>
          <w:b/>
          <w:bCs/>
          <w:szCs w:val="22"/>
          <w:lang w:val="sr-Latn-ME"/>
        </w:rPr>
        <w:t>ima i druge vrste interakcija</w:t>
      </w:r>
    </w:p>
    <w:p w14:paraId="072D43C9" w14:textId="77777777" w:rsidR="00CE09F3" w:rsidRPr="00F24057" w:rsidRDefault="00CE09F3" w:rsidP="00D70B34">
      <w:pPr>
        <w:rPr>
          <w:szCs w:val="22"/>
          <w:lang w:val="sr-Latn-ME"/>
        </w:rPr>
      </w:pPr>
    </w:p>
    <w:p w14:paraId="37F4E7C5" w14:textId="21BA610A" w:rsidR="00E55C51" w:rsidRPr="00F24057" w:rsidRDefault="00E55C51" w:rsidP="00D70B34">
      <w:pPr>
        <w:rPr>
          <w:szCs w:val="22"/>
          <w:lang w:val="sr-Latn-ME"/>
        </w:rPr>
      </w:pPr>
      <w:r w:rsidRPr="00F24057">
        <w:rPr>
          <w:szCs w:val="22"/>
          <w:lang w:val="sr-Latn-ME"/>
        </w:rPr>
        <w:t xml:space="preserve">Adalimumab je ispitivan kod pacijenata sa reumatoidnim artritisom, poliartikularnim juvenilnim idiopatskim artritisom i psorijaznim artritisom koji su dobijali adalimumab kao monoterapiju i kod onih koji su istovremeno uzimali i metotreksat. Stvaranje </w:t>
      </w:r>
      <w:r w:rsidR="00AA29FD" w:rsidRPr="00F24057">
        <w:rPr>
          <w:szCs w:val="22"/>
          <w:lang w:val="sr-Latn-ME"/>
        </w:rPr>
        <w:t>antitijel</w:t>
      </w:r>
      <w:r w:rsidRPr="00F24057">
        <w:rPr>
          <w:szCs w:val="22"/>
          <w:lang w:val="sr-Latn-ME"/>
        </w:rPr>
        <w:t xml:space="preserve">a bilo je manje kada se adalimumab davao zajedno sa metotreksatom nego kada se </w:t>
      </w:r>
      <w:r w:rsidR="0030064A" w:rsidRPr="00F24057">
        <w:rPr>
          <w:szCs w:val="22"/>
          <w:lang w:val="sr-Latn-ME"/>
        </w:rPr>
        <w:t>primjen</w:t>
      </w:r>
      <w:r w:rsidRPr="00F24057">
        <w:rPr>
          <w:szCs w:val="22"/>
          <w:lang w:val="sr-Latn-ME"/>
        </w:rPr>
        <w:t xml:space="preserve">jivao kao monoterapija. </w:t>
      </w:r>
      <w:r w:rsidR="0030064A" w:rsidRPr="00F24057">
        <w:rPr>
          <w:szCs w:val="22"/>
          <w:lang w:val="sr-Latn-ME"/>
        </w:rPr>
        <w:t>Primjen</w:t>
      </w:r>
      <w:r w:rsidRPr="00F24057">
        <w:rPr>
          <w:szCs w:val="22"/>
          <w:lang w:val="sr-Latn-ME"/>
        </w:rPr>
        <w:t xml:space="preserve">a adalimumaba bez metotreksata rezultirala je povećanim stvaranjem </w:t>
      </w:r>
      <w:r w:rsidR="00AA29FD" w:rsidRPr="00F24057">
        <w:rPr>
          <w:szCs w:val="22"/>
          <w:lang w:val="sr-Latn-ME"/>
        </w:rPr>
        <w:t>antitijel</w:t>
      </w:r>
      <w:r w:rsidRPr="00F24057">
        <w:rPr>
          <w:szCs w:val="22"/>
          <w:lang w:val="sr-Latn-ME"/>
        </w:rPr>
        <w:t>a, povećanim klirensom i smanjenom efikasnošću adalimumaba (</w:t>
      </w:r>
      <w:r w:rsidR="007B39D0" w:rsidRPr="00F24057">
        <w:rPr>
          <w:szCs w:val="22"/>
          <w:lang w:val="sr-Latn-ME"/>
        </w:rPr>
        <w:t xml:space="preserve">pogledati dio </w:t>
      </w:r>
      <w:r w:rsidRPr="00F24057">
        <w:rPr>
          <w:szCs w:val="22"/>
          <w:lang w:val="sr-Latn-ME"/>
        </w:rPr>
        <w:t xml:space="preserve">5.1). </w:t>
      </w:r>
    </w:p>
    <w:p w14:paraId="584A4227" w14:textId="77777777" w:rsidR="00E55C51" w:rsidRPr="00F24057" w:rsidRDefault="00E55C51" w:rsidP="00D70B34">
      <w:pPr>
        <w:rPr>
          <w:szCs w:val="22"/>
          <w:lang w:val="sr-Latn-ME"/>
        </w:rPr>
      </w:pPr>
    </w:p>
    <w:p w14:paraId="1D3418E8" w14:textId="7F1D8F93" w:rsidR="00E55C51" w:rsidRPr="00F24057" w:rsidRDefault="00E55C51" w:rsidP="00D70B34">
      <w:pPr>
        <w:rPr>
          <w:szCs w:val="22"/>
          <w:lang w:val="sr-Latn-ME"/>
        </w:rPr>
      </w:pPr>
      <w:r w:rsidRPr="00F24057">
        <w:rPr>
          <w:szCs w:val="22"/>
          <w:lang w:val="sr-Latn-ME"/>
        </w:rPr>
        <w:t>Kombinovana terapija adalimumabom i anakinrom se ne preporučuje (</w:t>
      </w:r>
      <w:r w:rsidR="007B39D0" w:rsidRPr="00F24057">
        <w:rPr>
          <w:szCs w:val="22"/>
          <w:lang w:val="sr-Latn-ME"/>
        </w:rPr>
        <w:t xml:space="preserve">pogledati dio </w:t>
      </w:r>
      <w:r w:rsidRPr="00F24057">
        <w:rPr>
          <w:szCs w:val="22"/>
          <w:lang w:val="sr-Latn-ME"/>
        </w:rPr>
        <w:t>4.4 „</w:t>
      </w:r>
      <w:r w:rsidR="000358D9" w:rsidRPr="00F24057">
        <w:rPr>
          <w:szCs w:val="22"/>
          <w:lang w:val="sr-Latn-ME"/>
        </w:rPr>
        <w:t xml:space="preserve">Istovremena </w:t>
      </w:r>
      <w:r w:rsidR="0030064A" w:rsidRPr="00F24057">
        <w:rPr>
          <w:szCs w:val="22"/>
          <w:lang w:val="sr-Latn-ME"/>
        </w:rPr>
        <w:t>primjen</w:t>
      </w:r>
      <w:r w:rsidR="000358D9" w:rsidRPr="00F24057">
        <w:rPr>
          <w:szCs w:val="22"/>
          <w:lang w:val="sr-Latn-ME"/>
        </w:rPr>
        <w:t xml:space="preserve">a bioloških antireumatskih </w:t>
      </w:r>
      <w:r w:rsidR="0030064A" w:rsidRPr="00F24057">
        <w:rPr>
          <w:szCs w:val="22"/>
          <w:lang w:val="sr-Latn-ME"/>
        </w:rPr>
        <w:t>ljekov</w:t>
      </w:r>
      <w:r w:rsidR="000358D9" w:rsidRPr="00F24057">
        <w:rPr>
          <w:szCs w:val="22"/>
          <w:lang w:val="sr-Latn-ME"/>
        </w:rPr>
        <w:t>a koji modifikuju tok bolesti (DMARD) ili TNF-antagonista</w:t>
      </w:r>
      <w:r w:rsidRPr="00F24057">
        <w:rPr>
          <w:szCs w:val="22"/>
          <w:lang w:val="sr-Latn-ME"/>
        </w:rPr>
        <w:t xml:space="preserve">“). </w:t>
      </w:r>
    </w:p>
    <w:p w14:paraId="53A54C28" w14:textId="77777777" w:rsidR="00E55C51" w:rsidRPr="00F24057" w:rsidRDefault="00E55C51" w:rsidP="00D70B34">
      <w:pPr>
        <w:rPr>
          <w:szCs w:val="22"/>
          <w:lang w:val="sr-Latn-ME"/>
        </w:rPr>
      </w:pPr>
    </w:p>
    <w:p w14:paraId="072D43CA" w14:textId="787CA2FC" w:rsidR="00CE09F3" w:rsidRPr="00F24057" w:rsidRDefault="00E55C51" w:rsidP="00D70B34">
      <w:pPr>
        <w:rPr>
          <w:szCs w:val="22"/>
          <w:lang w:val="sr-Latn-ME"/>
        </w:rPr>
      </w:pPr>
      <w:r w:rsidRPr="00F24057">
        <w:rPr>
          <w:szCs w:val="22"/>
          <w:lang w:val="sr-Latn-ME"/>
        </w:rPr>
        <w:t>Kombinovana terapija adalimumabom i abataceptom se ne preporučuje (</w:t>
      </w:r>
      <w:r w:rsidR="007B39D0" w:rsidRPr="00F24057">
        <w:rPr>
          <w:szCs w:val="22"/>
          <w:lang w:val="sr-Latn-ME"/>
        </w:rPr>
        <w:t xml:space="preserve">pogledati dio </w:t>
      </w:r>
      <w:r w:rsidRPr="00F24057">
        <w:rPr>
          <w:szCs w:val="22"/>
          <w:lang w:val="sr-Latn-ME"/>
        </w:rPr>
        <w:t>4.4 „</w:t>
      </w:r>
      <w:r w:rsidR="000358D9" w:rsidRPr="00F24057">
        <w:rPr>
          <w:szCs w:val="22"/>
          <w:lang w:val="sr-Latn-ME"/>
        </w:rPr>
        <w:t xml:space="preserve">Istovremena </w:t>
      </w:r>
      <w:r w:rsidR="0030064A" w:rsidRPr="00F24057">
        <w:rPr>
          <w:szCs w:val="22"/>
          <w:lang w:val="sr-Latn-ME"/>
        </w:rPr>
        <w:t>primjen</w:t>
      </w:r>
      <w:r w:rsidR="000358D9" w:rsidRPr="00F24057">
        <w:rPr>
          <w:szCs w:val="22"/>
          <w:lang w:val="sr-Latn-ME"/>
        </w:rPr>
        <w:t xml:space="preserve">a bioloških antireumatskih </w:t>
      </w:r>
      <w:r w:rsidR="0030064A" w:rsidRPr="00F24057">
        <w:rPr>
          <w:szCs w:val="22"/>
          <w:lang w:val="sr-Latn-ME"/>
        </w:rPr>
        <w:t>ljekov</w:t>
      </w:r>
      <w:r w:rsidR="000358D9" w:rsidRPr="00F24057">
        <w:rPr>
          <w:szCs w:val="22"/>
          <w:lang w:val="sr-Latn-ME"/>
        </w:rPr>
        <w:t>a koji modifikuju tok bolesti (DMARD) ili TNF-antagonista</w:t>
      </w:r>
      <w:r w:rsidRPr="00F24057">
        <w:rPr>
          <w:szCs w:val="22"/>
          <w:lang w:val="sr-Latn-ME"/>
        </w:rPr>
        <w:t>“).</w:t>
      </w:r>
    </w:p>
    <w:p w14:paraId="05582D9D" w14:textId="77777777" w:rsidR="00E55C51" w:rsidRPr="00F24057" w:rsidRDefault="00E55C51" w:rsidP="00D70B34">
      <w:pPr>
        <w:rPr>
          <w:szCs w:val="22"/>
          <w:lang w:val="sr-Latn-ME"/>
        </w:rPr>
      </w:pPr>
    </w:p>
    <w:p w14:paraId="072D43CB" w14:textId="77777777" w:rsidR="00CE09F3" w:rsidRPr="00F24057" w:rsidRDefault="00CE09F3" w:rsidP="00D70B34">
      <w:pPr>
        <w:rPr>
          <w:b/>
          <w:bCs/>
          <w:szCs w:val="22"/>
          <w:lang w:val="sr-Latn-ME"/>
        </w:rPr>
      </w:pPr>
      <w:r w:rsidRPr="00F24057">
        <w:rPr>
          <w:b/>
          <w:bCs/>
          <w:szCs w:val="22"/>
          <w:lang w:val="sr-Latn-ME"/>
        </w:rPr>
        <w:t>4.6. Plodnost, trudnoća i dojenje</w:t>
      </w:r>
    </w:p>
    <w:p w14:paraId="072D43CC" w14:textId="7EFF8A66" w:rsidR="00CE09F3" w:rsidRPr="00F24057" w:rsidRDefault="00CE09F3" w:rsidP="00D70B34">
      <w:pPr>
        <w:rPr>
          <w:szCs w:val="22"/>
          <w:lang w:val="sr-Latn-ME"/>
        </w:rPr>
      </w:pPr>
    </w:p>
    <w:p w14:paraId="7FE93A4B" w14:textId="5C2D4F4D" w:rsidR="00BF0C67" w:rsidRPr="00F24057" w:rsidRDefault="00BF0C67" w:rsidP="00D70B34">
      <w:pPr>
        <w:rPr>
          <w:szCs w:val="22"/>
          <w:u w:val="single"/>
          <w:lang w:val="sr-Latn-ME"/>
        </w:rPr>
      </w:pPr>
      <w:r w:rsidRPr="00F24057">
        <w:rPr>
          <w:szCs w:val="22"/>
          <w:u w:val="single"/>
          <w:lang w:val="sr-Latn-ME"/>
        </w:rPr>
        <w:t>Žene u reproduktivnom period</w:t>
      </w:r>
      <w:r w:rsidR="00C0141C" w:rsidRPr="00F24057">
        <w:rPr>
          <w:szCs w:val="22"/>
          <w:u w:val="single"/>
          <w:lang w:val="sr-Latn-ME"/>
        </w:rPr>
        <w:t>u</w:t>
      </w:r>
    </w:p>
    <w:p w14:paraId="16211AD8" w14:textId="77777777" w:rsidR="00BF0C67" w:rsidRPr="00F24057" w:rsidRDefault="00BF0C67" w:rsidP="00D70B34">
      <w:pPr>
        <w:rPr>
          <w:szCs w:val="22"/>
          <w:lang w:val="sr-Latn-ME"/>
        </w:rPr>
      </w:pPr>
    </w:p>
    <w:p w14:paraId="150AD547" w14:textId="459B4B46" w:rsidR="00BF0C67" w:rsidRPr="00F24057" w:rsidRDefault="00BF0C67" w:rsidP="00D70B34">
      <w:pPr>
        <w:rPr>
          <w:szCs w:val="22"/>
          <w:lang w:val="sr-Latn-ME"/>
        </w:rPr>
      </w:pPr>
      <w:r w:rsidRPr="00F24057">
        <w:rPr>
          <w:szCs w:val="22"/>
          <w:lang w:val="sr-Latn-ME"/>
        </w:rPr>
        <w:t>Žene u reproduktivnom periodu treba da razmotre korišćenje odgovarajuće kontracepcije kako bi spr</w:t>
      </w:r>
      <w:r w:rsidR="00B3051B" w:rsidRPr="00F24057">
        <w:rPr>
          <w:szCs w:val="22"/>
          <w:lang w:val="sr-Latn-ME"/>
        </w:rPr>
        <w:t>iječ</w:t>
      </w:r>
      <w:r w:rsidRPr="00F24057">
        <w:rPr>
          <w:szCs w:val="22"/>
          <w:lang w:val="sr-Latn-ME"/>
        </w:rPr>
        <w:t xml:space="preserve">ile trudnoću i trebalo bi da nastave da je koriste još najmanje pet </w:t>
      </w:r>
      <w:r w:rsidR="00885A78" w:rsidRPr="00F24057">
        <w:rPr>
          <w:szCs w:val="22"/>
          <w:lang w:val="sr-Latn-ME"/>
        </w:rPr>
        <w:t>mjesec</w:t>
      </w:r>
      <w:r w:rsidRPr="00F24057">
        <w:rPr>
          <w:szCs w:val="22"/>
          <w:lang w:val="sr-Latn-ME"/>
        </w:rPr>
        <w:t>i nakon posl</w:t>
      </w:r>
      <w:r w:rsidR="00972894" w:rsidRPr="00F24057">
        <w:rPr>
          <w:szCs w:val="22"/>
          <w:lang w:val="sr-Latn-ME"/>
        </w:rPr>
        <w:t>j</w:t>
      </w:r>
      <w:r w:rsidRPr="00F24057">
        <w:rPr>
          <w:szCs w:val="22"/>
          <w:lang w:val="sr-Latn-ME"/>
        </w:rPr>
        <w:t xml:space="preserve">ednje doze </w:t>
      </w:r>
      <w:r w:rsidR="00885A78" w:rsidRPr="00F24057">
        <w:rPr>
          <w:szCs w:val="22"/>
          <w:lang w:val="sr-Latn-ME"/>
        </w:rPr>
        <w:t xml:space="preserve">lijeka </w:t>
      </w:r>
      <w:r w:rsidRPr="00F24057">
        <w:rPr>
          <w:szCs w:val="22"/>
          <w:lang w:val="sr-Latn-ME"/>
        </w:rPr>
        <w:t xml:space="preserve">Hukyndra. </w:t>
      </w:r>
    </w:p>
    <w:p w14:paraId="5AD34E81" w14:textId="77777777" w:rsidR="00BF0C67" w:rsidRPr="00F24057" w:rsidRDefault="00BF0C67" w:rsidP="00D70B34">
      <w:pPr>
        <w:rPr>
          <w:szCs w:val="22"/>
          <w:lang w:val="sr-Latn-ME"/>
        </w:rPr>
      </w:pPr>
    </w:p>
    <w:p w14:paraId="3E41E98A" w14:textId="77777777" w:rsidR="00BF0C67" w:rsidRPr="00F24057" w:rsidRDefault="00BF0C67" w:rsidP="00D70B34">
      <w:pPr>
        <w:rPr>
          <w:szCs w:val="22"/>
          <w:u w:val="single"/>
          <w:lang w:val="sr-Latn-ME"/>
        </w:rPr>
      </w:pPr>
      <w:r w:rsidRPr="00F24057">
        <w:rPr>
          <w:szCs w:val="22"/>
          <w:u w:val="single"/>
          <w:lang w:val="sr-Latn-ME"/>
        </w:rPr>
        <w:t xml:space="preserve">Trudnoća </w:t>
      </w:r>
    </w:p>
    <w:p w14:paraId="5068F290" w14:textId="77777777" w:rsidR="00BF0C67" w:rsidRPr="00F24057" w:rsidRDefault="00BF0C67" w:rsidP="00D70B34">
      <w:pPr>
        <w:rPr>
          <w:szCs w:val="22"/>
          <w:lang w:val="sr-Latn-ME"/>
        </w:rPr>
      </w:pPr>
    </w:p>
    <w:p w14:paraId="0C58A9D7" w14:textId="537F51CB" w:rsidR="00BF0C67" w:rsidRPr="00F24057" w:rsidRDefault="00BF0C67" w:rsidP="00D70B34">
      <w:pPr>
        <w:rPr>
          <w:szCs w:val="22"/>
          <w:lang w:val="sr-Latn-ME"/>
        </w:rPr>
      </w:pPr>
      <w:r w:rsidRPr="00F24057">
        <w:rPr>
          <w:szCs w:val="22"/>
          <w:lang w:val="sr-Latn-ME"/>
        </w:rPr>
        <w:t>Prospektivno prikupljeni podaci o velikom broju trudnoća izloženih adalimumabu (približno 2100) sa živorođenom d</w:t>
      </w:r>
      <w:r w:rsidR="002B1E62" w:rsidRPr="00F24057">
        <w:rPr>
          <w:szCs w:val="22"/>
          <w:lang w:val="sr-Latn-ME"/>
        </w:rPr>
        <w:t>j</w:t>
      </w:r>
      <w:r w:rsidRPr="00F24057">
        <w:rPr>
          <w:szCs w:val="22"/>
          <w:lang w:val="sr-Latn-ME"/>
        </w:rPr>
        <w:t>ecom sa poznatim ishodom, uključujući više od 1500 trudnoća izloženih tokom prvog trom</w:t>
      </w:r>
      <w:r w:rsidR="009A3407" w:rsidRPr="00F24057">
        <w:rPr>
          <w:szCs w:val="22"/>
          <w:lang w:val="sr-Latn-ME"/>
        </w:rPr>
        <w:t>j</w:t>
      </w:r>
      <w:r w:rsidRPr="00F24057">
        <w:rPr>
          <w:szCs w:val="22"/>
          <w:lang w:val="sr-Latn-ME"/>
        </w:rPr>
        <w:t xml:space="preserve">esečja, ne ukazuju na povećanu stopu malformacija kod novorođenčeta. </w:t>
      </w:r>
    </w:p>
    <w:p w14:paraId="6475C1C1" w14:textId="77777777" w:rsidR="00BF0C67" w:rsidRPr="00F24057" w:rsidRDefault="00BF0C67" w:rsidP="00D70B34">
      <w:pPr>
        <w:rPr>
          <w:szCs w:val="22"/>
          <w:lang w:val="sr-Latn-ME"/>
        </w:rPr>
      </w:pPr>
    </w:p>
    <w:p w14:paraId="2BB7BD87" w14:textId="2085CCC0" w:rsidR="00BF0C67" w:rsidRPr="00F24057" w:rsidRDefault="00BF0C67" w:rsidP="00D70B34">
      <w:pPr>
        <w:rPr>
          <w:szCs w:val="22"/>
          <w:lang w:val="sr-Latn-ME"/>
        </w:rPr>
      </w:pPr>
      <w:r w:rsidRPr="00F24057">
        <w:rPr>
          <w:szCs w:val="22"/>
          <w:lang w:val="sr-Latn-ME"/>
        </w:rPr>
        <w:t xml:space="preserve">U prospektivan kohortni registar uključeno je 257 žena sa reumatoidnim artritisom ili </w:t>
      </w:r>
      <w:r w:rsidR="00DA2306" w:rsidRPr="00F24057">
        <w:rPr>
          <w:i/>
          <w:iCs/>
          <w:szCs w:val="22"/>
          <w:lang w:val="sr-Latn-ME"/>
        </w:rPr>
        <w:t>Crohn</w:t>
      </w:r>
      <w:r w:rsidRPr="00F24057">
        <w:rPr>
          <w:szCs w:val="22"/>
          <w:lang w:val="sr-Latn-ME"/>
        </w:rPr>
        <w:t>-ovom bolešću koje su se l</w:t>
      </w:r>
      <w:r w:rsidR="009A3407" w:rsidRPr="00F24057">
        <w:rPr>
          <w:szCs w:val="22"/>
          <w:lang w:val="sr-Latn-ME"/>
        </w:rPr>
        <w:t>ij</w:t>
      </w:r>
      <w:r w:rsidRPr="00F24057">
        <w:rPr>
          <w:szCs w:val="22"/>
          <w:lang w:val="sr-Latn-ME"/>
        </w:rPr>
        <w:t>ečile adalimumabom najmanje tokom prvog trom</w:t>
      </w:r>
      <w:r w:rsidR="009A3407" w:rsidRPr="00F24057">
        <w:rPr>
          <w:szCs w:val="22"/>
          <w:lang w:val="sr-Latn-ME"/>
        </w:rPr>
        <w:t>j</w:t>
      </w:r>
      <w:r w:rsidRPr="00F24057">
        <w:rPr>
          <w:szCs w:val="22"/>
          <w:lang w:val="sr-Latn-ME"/>
        </w:rPr>
        <w:t xml:space="preserve">esečja, kao i 120 žena sa reumatoidnim artritisom ili </w:t>
      </w:r>
      <w:r w:rsidR="00DA2306" w:rsidRPr="00F24057">
        <w:rPr>
          <w:i/>
          <w:iCs/>
          <w:szCs w:val="22"/>
          <w:lang w:val="sr-Latn-ME"/>
        </w:rPr>
        <w:t>Crohn</w:t>
      </w:r>
      <w:r w:rsidRPr="00F24057">
        <w:rPr>
          <w:szCs w:val="22"/>
          <w:lang w:val="sr-Latn-ME"/>
        </w:rPr>
        <w:t>-ovom bolešću koje se nisu l</w:t>
      </w:r>
      <w:r w:rsidR="009A3407" w:rsidRPr="00F24057">
        <w:rPr>
          <w:szCs w:val="22"/>
          <w:lang w:val="sr-Latn-ME"/>
        </w:rPr>
        <w:t>ij</w:t>
      </w:r>
      <w:r w:rsidRPr="00F24057">
        <w:rPr>
          <w:szCs w:val="22"/>
          <w:lang w:val="sr-Latn-ME"/>
        </w:rPr>
        <w:t>ečile adalimumabom. Primarni parametar praćenja bio je prevalenca velikih (major) urođenih mana pri porođaju. Stopa trudnoća koje su završile najmanje jednim živorođenim d</w:t>
      </w:r>
      <w:r w:rsidR="009A3407" w:rsidRPr="00F24057">
        <w:rPr>
          <w:szCs w:val="22"/>
          <w:lang w:val="sr-Latn-ME"/>
        </w:rPr>
        <w:t>j</w:t>
      </w:r>
      <w:r w:rsidRPr="00F24057">
        <w:rPr>
          <w:szCs w:val="22"/>
          <w:lang w:val="sr-Latn-ME"/>
        </w:rPr>
        <w:t xml:space="preserve">etetom sa velikom urođenom manom iznosila je 6/69 (8,7%) među ženama </w:t>
      </w:r>
      <w:r w:rsidR="00885A78" w:rsidRPr="00F24057">
        <w:rPr>
          <w:szCs w:val="22"/>
          <w:lang w:val="sr-Latn-ME"/>
        </w:rPr>
        <w:t>liječe</w:t>
      </w:r>
      <w:r w:rsidRPr="00F24057">
        <w:rPr>
          <w:szCs w:val="22"/>
          <w:lang w:val="sr-Latn-ME"/>
        </w:rPr>
        <w:t xml:space="preserve">nim adalimumabom koje su imale reumatoidni artritis i 5/74 (6,8%) među ženama sa reumatoidnim artritisom koje nisu primale terapiju (neprilagođen OR: 1,31; 95% CI: 0,38 - 4,52) i 16/152 (10,5%) među ženama </w:t>
      </w:r>
      <w:r w:rsidR="00885A78" w:rsidRPr="00F24057">
        <w:rPr>
          <w:szCs w:val="22"/>
          <w:lang w:val="sr-Latn-ME"/>
        </w:rPr>
        <w:t>liječe</w:t>
      </w:r>
      <w:r w:rsidRPr="00F24057">
        <w:rPr>
          <w:szCs w:val="22"/>
          <w:lang w:val="sr-Latn-ME"/>
        </w:rPr>
        <w:t xml:space="preserve">nim adalimumabom koje su imale </w:t>
      </w:r>
      <w:r w:rsidR="00DA2306" w:rsidRPr="00F24057">
        <w:rPr>
          <w:i/>
          <w:iCs/>
          <w:szCs w:val="22"/>
          <w:lang w:val="sr-Latn-ME"/>
        </w:rPr>
        <w:t>Crohn</w:t>
      </w:r>
      <w:r w:rsidRPr="00F24057">
        <w:rPr>
          <w:szCs w:val="22"/>
          <w:lang w:val="sr-Latn-ME"/>
        </w:rPr>
        <w:t xml:space="preserve">-ovu bolest i 3/32 (9,4%) među ženama sa </w:t>
      </w:r>
      <w:r w:rsidR="00DA2306" w:rsidRPr="00F24057">
        <w:rPr>
          <w:i/>
          <w:iCs/>
          <w:szCs w:val="22"/>
          <w:lang w:val="sr-Latn-ME"/>
        </w:rPr>
        <w:t>Crohn</w:t>
      </w:r>
      <w:r w:rsidRPr="00F24057">
        <w:rPr>
          <w:szCs w:val="22"/>
          <w:lang w:val="sr-Latn-ME"/>
        </w:rPr>
        <w:t xml:space="preserve">-ovom bolešću koje nisu primale terapiju (neprilagođen OR: 1,14; 95% CI: 0,31 - 4,16). Prilagođen OR (kod kojeg su uzete u obzir početne razlike) iznosio je 1,10 (95% CI: 0,45 - 2,73) za reumatoidni artritis i </w:t>
      </w:r>
      <w:r w:rsidR="00DA2306" w:rsidRPr="00F24057">
        <w:rPr>
          <w:i/>
          <w:iCs/>
          <w:szCs w:val="22"/>
          <w:lang w:val="sr-Latn-ME"/>
        </w:rPr>
        <w:t>Crohn</w:t>
      </w:r>
      <w:r w:rsidRPr="00F24057">
        <w:rPr>
          <w:szCs w:val="22"/>
          <w:lang w:val="sr-Latn-ME"/>
        </w:rPr>
        <w:t xml:space="preserve">-ovu bolest zajedno. Nije bilo velikih razlika između žena </w:t>
      </w:r>
      <w:r w:rsidR="00885A78" w:rsidRPr="00F24057">
        <w:rPr>
          <w:szCs w:val="22"/>
          <w:lang w:val="sr-Latn-ME"/>
        </w:rPr>
        <w:t>liječe</w:t>
      </w:r>
      <w:r w:rsidRPr="00F24057">
        <w:rPr>
          <w:szCs w:val="22"/>
          <w:lang w:val="sr-Latn-ME"/>
        </w:rPr>
        <w:t xml:space="preserve">nih adalimumabom i onih koje ga nisu primale s obzirom na sekundarne </w:t>
      </w:r>
      <w:r w:rsidR="00AA29FD" w:rsidRPr="00F24057">
        <w:rPr>
          <w:szCs w:val="22"/>
          <w:lang w:val="sr-Latn-ME"/>
        </w:rPr>
        <w:t>mjere</w:t>
      </w:r>
      <w:r w:rsidRPr="00F24057">
        <w:rPr>
          <w:szCs w:val="22"/>
          <w:lang w:val="sr-Latn-ME"/>
        </w:rPr>
        <w:t xml:space="preserve"> ishoda – spontane pobačaje, male urođene mane, pr</w:t>
      </w:r>
      <w:r w:rsidR="00311B6E" w:rsidRPr="00F24057">
        <w:rPr>
          <w:szCs w:val="22"/>
          <w:lang w:val="sr-Latn-ME"/>
        </w:rPr>
        <w:t>ij</w:t>
      </w:r>
      <w:r w:rsidRPr="00F24057">
        <w:rPr>
          <w:szCs w:val="22"/>
          <w:lang w:val="sr-Latn-ME"/>
        </w:rPr>
        <w:t>evremeni porođaj, porođajnu veličinu i ozbiljne ili oportunističke infekcije, a nije prijavljeno nijedno mrtvorođeno d</w:t>
      </w:r>
      <w:r w:rsidR="0002502E" w:rsidRPr="00F24057">
        <w:rPr>
          <w:szCs w:val="22"/>
          <w:lang w:val="sr-Latn-ME"/>
        </w:rPr>
        <w:t>ijet</w:t>
      </w:r>
      <w:r w:rsidRPr="00F24057">
        <w:rPr>
          <w:szCs w:val="22"/>
          <w:lang w:val="sr-Latn-ME"/>
        </w:rPr>
        <w:t xml:space="preserve">e ni maligna bolest. Na interpretaciju podataka mogu uticati </w:t>
      </w:r>
      <w:r w:rsidRPr="00F24057">
        <w:rPr>
          <w:szCs w:val="22"/>
          <w:lang w:val="sr-Latn-ME"/>
        </w:rPr>
        <w:lastRenderedPageBreak/>
        <w:t xml:space="preserve">metodološka ograničenja ispitivanja, uključujući malu veličinu uzorka i dizajn koji nije uključivao randomizaciju. </w:t>
      </w:r>
    </w:p>
    <w:p w14:paraId="5BEBD94A" w14:textId="77777777" w:rsidR="00BF0C67" w:rsidRPr="00F24057" w:rsidRDefault="00BF0C67" w:rsidP="00D70B34">
      <w:pPr>
        <w:rPr>
          <w:szCs w:val="22"/>
          <w:lang w:val="sr-Latn-ME"/>
        </w:rPr>
      </w:pPr>
    </w:p>
    <w:p w14:paraId="35444034" w14:textId="1E8D0353" w:rsidR="00BF0C67" w:rsidRPr="00F24057" w:rsidRDefault="00BF0C67" w:rsidP="00D70B34">
      <w:pPr>
        <w:rPr>
          <w:szCs w:val="22"/>
          <w:lang w:val="sr-Latn-ME"/>
        </w:rPr>
      </w:pPr>
      <w:r w:rsidRPr="00F24057">
        <w:rPr>
          <w:szCs w:val="22"/>
          <w:lang w:val="sr-Latn-ME"/>
        </w:rPr>
        <w:t>U studiji razvojne toksičnosti sprovedenoj kod majmuna nisu za</w:t>
      </w:r>
      <w:r w:rsidR="004F2520" w:rsidRPr="00F24057">
        <w:rPr>
          <w:szCs w:val="22"/>
          <w:lang w:val="sr-Latn-ME"/>
        </w:rPr>
        <w:t>biljež</w:t>
      </w:r>
      <w:r w:rsidRPr="00F24057">
        <w:rPr>
          <w:szCs w:val="22"/>
          <w:lang w:val="sr-Latn-ME"/>
        </w:rPr>
        <w:t>eni znakovi toksičnosti za majku, embriotoksičnosti ni teratogenosti. Nisu dostupni p</w:t>
      </w:r>
      <w:r w:rsidR="004F2520" w:rsidRPr="00F24057">
        <w:rPr>
          <w:szCs w:val="22"/>
          <w:lang w:val="sr-Latn-ME"/>
        </w:rPr>
        <w:t>r</w:t>
      </w:r>
      <w:r w:rsidR="00D268F6" w:rsidRPr="00F24057">
        <w:rPr>
          <w:szCs w:val="22"/>
          <w:lang w:val="sr-Latn-ME"/>
        </w:rPr>
        <w:t>etklinički</w:t>
      </w:r>
      <w:r w:rsidRPr="00F24057">
        <w:rPr>
          <w:szCs w:val="22"/>
          <w:lang w:val="sr-Latn-ME"/>
        </w:rPr>
        <w:t xml:space="preserve"> podaci o postnatalnoj toksičnosti adalimumaba (</w:t>
      </w:r>
      <w:r w:rsidR="007B39D0" w:rsidRPr="00F24057">
        <w:rPr>
          <w:szCs w:val="22"/>
          <w:lang w:val="sr-Latn-ME"/>
        </w:rPr>
        <w:t xml:space="preserve">pogledati dio </w:t>
      </w:r>
      <w:r w:rsidRPr="00F24057">
        <w:rPr>
          <w:szCs w:val="22"/>
          <w:lang w:val="sr-Latn-ME"/>
        </w:rPr>
        <w:t xml:space="preserve">5.3). </w:t>
      </w:r>
    </w:p>
    <w:p w14:paraId="77D6C29B" w14:textId="77777777" w:rsidR="00BF0C67" w:rsidRPr="00F24057" w:rsidRDefault="00BF0C67" w:rsidP="00D70B34">
      <w:pPr>
        <w:rPr>
          <w:szCs w:val="22"/>
          <w:lang w:val="sr-Latn-ME"/>
        </w:rPr>
      </w:pPr>
    </w:p>
    <w:p w14:paraId="3950C7B0" w14:textId="7EADA83D" w:rsidR="00BF0C67" w:rsidRPr="00F24057" w:rsidRDefault="00BF0C67" w:rsidP="00D70B34">
      <w:pPr>
        <w:rPr>
          <w:szCs w:val="22"/>
          <w:lang w:val="sr-Latn-ME"/>
        </w:rPr>
      </w:pPr>
      <w:r w:rsidRPr="00F24057">
        <w:rPr>
          <w:szCs w:val="22"/>
          <w:lang w:val="sr-Latn-ME"/>
        </w:rPr>
        <w:t xml:space="preserve">Zbog inhibicije faktora tumorske nekroze α (TNFα), adalimumab </w:t>
      </w:r>
      <w:r w:rsidR="009811CA" w:rsidRPr="00F24057">
        <w:rPr>
          <w:szCs w:val="22"/>
          <w:lang w:val="sr-Latn-ME"/>
        </w:rPr>
        <w:t>primijenje</w:t>
      </w:r>
      <w:r w:rsidRPr="00F24057">
        <w:rPr>
          <w:szCs w:val="22"/>
          <w:lang w:val="sr-Latn-ME"/>
        </w:rPr>
        <w:t xml:space="preserve">n u trudnoći mogao bi da utiče na normalne imune odgovore novorođenčeta. Adalimumab se tokom trudnoće </w:t>
      </w:r>
      <w:r w:rsidR="00885A78" w:rsidRPr="00F24057">
        <w:rPr>
          <w:szCs w:val="22"/>
          <w:lang w:val="sr-Latn-ME"/>
        </w:rPr>
        <w:t xml:space="preserve">smije </w:t>
      </w:r>
      <w:r w:rsidR="0030064A" w:rsidRPr="00F24057">
        <w:rPr>
          <w:szCs w:val="22"/>
          <w:lang w:val="sr-Latn-ME"/>
        </w:rPr>
        <w:t>primjen</w:t>
      </w:r>
      <w:r w:rsidRPr="00F24057">
        <w:rPr>
          <w:szCs w:val="22"/>
          <w:lang w:val="sr-Latn-ME"/>
        </w:rPr>
        <w:t xml:space="preserve">jivati samo ako je to zaista neophodno. </w:t>
      </w:r>
    </w:p>
    <w:p w14:paraId="65185068" w14:textId="77777777" w:rsidR="00BF0C67" w:rsidRPr="00F24057" w:rsidRDefault="00BF0C67" w:rsidP="00D70B34">
      <w:pPr>
        <w:rPr>
          <w:szCs w:val="22"/>
          <w:lang w:val="sr-Latn-ME"/>
        </w:rPr>
      </w:pPr>
    </w:p>
    <w:p w14:paraId="31C8F509" w14:textId="55769C37" w:rsidR="00BF0C67" w:rsidRPr="00F24057" w:rsidRDefault="00BF0C67" w:rsidP="00D70B34">
      <w:pPr>
        <w:rPr>
          <w:szCs w:val="22"/>
          <w:lang w:val="sr-Latn-ME"/>
        </w:rPr>
      </w:pPr>
      <w:r w:rsidRPr="00F24057">
        <w:rPr>
          <w:szCs w:val="22"/>
          <w:lang w:val="sr-Latn-ME"/>
        </w:rPr>
        <w:t xml:space="preserve">Adalimumab može preći preko posteljice u serum </w:t>
      </w:r>
      <w:r w:rsidR="0030064A" w:rsidRPr="00F24057">
        <w:rPr>
          <w:szCs w:val="22"/>
          <w:lang w:val="sr-Latn-ME"/>
        </w:rPr>
        <w:t>djece</w:t>
      </w:r>
      <w:r w:rsidRPr="00F24057">
        <w:rPr>
          <w:szCs w:val="22"/>
          <w:lang w:val="sr-Latn-ME"/>
        </w:rPr>
        <w:t xml:space="preserve"> čije su majke tokom trudnoće </w:t>
      </w:r>
      <w:r w:rsidR="00885A78" w:rsidRPr="00F24057">
        <w:rPr>
          <w:szCs w:val="22"/>
          <w:lang w:val="sr-Latn-ME"/>
        </w:rPr>
        <w:t>liječe</w:t>
      </w:r>
      <w:r w:rsidRPr="00F24057">
        <w:rPr>
          <w:szCs w:val="22"/>
          <w:lang w:val="sr-Latn-ME"/>
        </w:rPr>
        <w:t>ne adalimumabom. Zbog toga ta d</w:t>
      </w:r>
      <w:r w:rsidR="002567CB" w:rsidRPr="00F24057">
        <w:rPr>
          <w:szCs w:val="22"/>
          <w:lang w:val="sr-Latn-ME"/>
        </w:rPr>
        <w:t>j</w:t>
      </w:r>
      <w:r w:rsidRPr="00F24057">
        <w:rPr>
          <w:szCs w:val="22"/>
          <w:lang w:val="sr-Latn-ME"/>
        </w:rPr>
        <w:t xml:space="preserve">eca mogu imati povećan rizik od infekcija. </w:t>
      </w:r>
      <w:r w:rsidR="00303FB4" w:rsidRPr="00F24057">
        <w:rPr>
          <w:szCs w:val="22"/>
          <w:lang w:val="sr-Latn-ME"/>
        </w:rPr>
        <w:t>Dje</w:t>
      </w:r>
      <w:r w:rsidRPr="00F24057">
        <w:rPr>
          <w:szCs w:val="22"/>
          <w:lang w:val="sr-Latn-ME"/>
        </w:rPr>
        <w:t xml:space="preserve">ci koja su </w:t>
      </w:r>
      <w:r w:rsidRPr="00F24057">
        <w:rPr>
          <w:i/>
          <w:iCs/>
          <w:szCs w:val="22"/>
          <w:lang w:val="sr-Latn-ME"/>
        </w:rPr>
        <w:t>in utero</w:t>
      </w:r>
      <w:r w:rsidRPr="00F24057">
        <w:rPr>
          <w:szCs w:val="22"/>
          <w:lang w:val="sr-Latn-ME"/>
        </w:rPr>
        <w:t xml:space="preserve"> bila izložena adalimumabu ne preporučuje se davanje živih vakcina (npr. vakcina BCG) najmanje 5 </w:t>
      </w:r>
      <w:r w:rsidR="00885A78" w:rsidRPr="00F24057">
        <w:rPr>
          <w:szCs w:val="22"/>
          <w:lang w:val="sr-Latn-ME"/>
        </w:rPr>
        <w:t>mjesec</w:t>
      </w:r>
      <w:r w:rsidRPr="00F24057">
        <w:rPr>
          <w:szCs w:val="22"/>
          <w:lang w:val="sr-Latn-ME"/>
        </w:rPr>
        <w:t>i otkad je majka u trudnoći primila posl</w:t>
      </w:r>
      <w:r w:rsidR="00972894" w:rsidRPr="00F24057">
        <w:rPr>
          <w:szCs w:val="22"/>
          <w:lang w:val="sr-Latn-ME"/>
        </w:rPr>
        <w:t>j</w:t>
      </w:r>
      <w:r w:rsidRPr="00F24057">
        <w:rPr>
          <w:szCs w:val="22"/>
          <w:lang w:val="sr-Latn-ME"/>
        </w:rPr>
        <w:t xml:space="preserve">ednju injekciju adalimumaba. </w:t>
      </w:r>
    </w:p>
    <w:p w14:paraId="48BCF01F" w14:textId="77777777" w:rsidR="00BF0C67" w:rsidRPr="00F24057" w:rsidRDefault="00BF0C67" w:rsidP="00D70B34">
      <w:pPr>
        <w:rPr>
          <w:szCs w:val="22"/>
          <w:lang w:val="sr-Latn-ME"/>
        </w:rPr>
      </w:pPr>
    </w:p>
    <w:p w14:paraId="3205132C" w14:textId="77777777" w:rsidR="00BF0C67" w:rsidRPr="00F24057" w:rsidRDefault="00BF0C67" w:rsidP="00D70B34">
      <w:pPr>
        <w:rPr>
          <w:szCs w:val="22"/>
          <w:u w:val="single"/>
          <w:lang w:val="sr-Latn-ME"/>
        </w:rPr>
      </w:pPr>
      <w:r w:rsidRPr="00F24057">
        <w:rPr>
          <w:szCs w:val="22"/>
          <w:u w:val="single"/>
          <w:lang w:val="sr-Latn-ME"/>
        </w:rPr>
        <w:t xml:space="preserve">Dojenje </w:t>
      </w:r>
    </w:p>
    <w:p w14:paraId="033108EB" w14:textId="77777777" w:rsidR="00BF0C67" w:rsidRPr="00F24057" w:rsidRDefault="00BF0C67" w:rsidP="00D70B34">
      <w:pPr>
        <w:rPr>
          <w:szCs w:val="22"/>
          <w:lang w:val="sr-Latn-ME"/>
        </w:rPr>
      </w:pPr>
    </w:p>
    <w:p w14:paraId="450EDCA0" w14:textId="033EA622" w:rsidR="00BF0C67" w:rsidRPr="00F24057" w:rsidRDefault="00BF0C67" w:rsidP="00D70B34">
      <w:pPr>
        <w:rPr>
          <w:szCs w:val="22"/>
          <w:lang w:val="sr-Latn-ME"/>
        </w:rPr>
      </w:pPr>
      <w:r w:rsidRPr="00F24057">
        <w:rPr>
          <w:szCs w:val="22"/>
          <w:lang w:val="sr-Latn-ME"/>
        </w:rPr>
        <w:t>Ograničeni podaci iz objavljene literature ukazuju na to da se adalimumab izlučuje u majčino ml</w:t>
      </w:r>
      <w:r w:rsidR="00972894" w:rsidRPr="00F24057">
        <w:rPr>
          <w:szCs w:val="22"/>
          <w:lang w:val="sr-Latn-ME"/>
        </w:rPr>
        <w:t>ij</w:t>
      </w:r>
      <w:r w:rsidRPr="00F24057">
        <w:rPr>
          <w:szCs w:val="22"/>
          <w:lang w:val="sr-Latn-ME"/>
        </w:rPr>
        <w:t>eko u vrlo maloj koncentraciji, kao i da koncentracije adalimumaba u majčinom ml</w:t>
      </w:r>
      <w:r w:rsidR="00972894" w:rsidRPr="00F24057">
        <w:rPr>
          <w:szCs w:val="22"/>
          <w:lang w:val="sr-Latn-ME"/>
        </w:rPr>
        <w:t>ij</w:t>
      </w:r>
      <w:r w:rsidRPr="00F24057">
        <w:rPr>
          <w:szCs w:val="22"/>
          <w:lang w:val="sr-Latn-ME"/>
        </w:rPr>
        <w:t xml:space="preserve">eku iznose 0,1% do 1% nivoa u serumu majke. Kada se </w:t>
      </w:r>
      <w:r w:rsidR="0030064A" w:rsidRPr="00F24057">
        <w:rPr>
          <w:szCs w:val="22"/>
          <w:lang w:val="sr-Latn-ME"/>
        </w:rPr>
        <w:t>primjen</w:t>
      </w:r>
      <w:r w:rsidRPr="00F24057">
        <w:rPr>
          <w:szCs w:val="22"/>
          <w:lang w:val="sr-Latn-ME"/>
        </w:rPr>
        <w:t xml:space="preserve">juju peroralno, imunoglobulin G proteini prolaze proteolizu u </w:t>
      </w:r>
      <w:r w:rsidR="004F2520" w:rsidRPr="00F24057">
        <w:rPr>
          <w:szCs w:val="22"/>
          <w:lang w:val="sr-Latn-ME"/>
        </w:rPr>
        <w:t>crijev</w:t>
      </w:r>
      <w:r w:rsidRPr="00F24057">
        <w:rPr>
          <w:szCs w:val="22"/>
          <w:lang w:val="sr-Latn-ME"/>
        </w:rPr>
        <w:t xml:space="preserve">ima pa imaju malu bioraspoloživost. Ne očekuju se efekti na dojenu novorođenčad/dojenčad. Zato se </w:t>
      </w:r>
      <w:r w:rsidR="0030064A" w:rsidRPr="00F24057">
        <w:rPr>
          <w:szCs w:val="22"/>
          <w:lang w:val="sr-Latn-ME"/>
        </w:rPr>
        <w:t xml:space="preserve">lijek </w:t>
      </w:r>
      <w:r w:rsidRPr="00F24057">
        <w:rPr>
          <w:szCs w:val="22"/>
          <w:lang w:val="sr-Latn-ME"/>
        </w:rPr>
        <w:t xml:space="preserve">Hukyndra može </w:t>
      </w:r>
      <w:r w:rsidR="0030064A" w:rsidRPr="00F24057">
        <w:rPr>
          <w:szCs w:val="22"/>
          <w:lang w:val="sr-Latn-ME"/>
        </w:rPr>
        <w:t>primjen</w:t>
      </w:r>
      <w:r w:rsidRPr="00F24057">
        <w:rPr>
          <w:szCs w:val="22"/>
          <w:lang w:val="sr-Latn-ME"/>
        </w:rPr>
        <w:t xml:space="preserve">jivati tokom dojenja. </w:t>
      </w:r>
    </w:p>
    <w:p w14:paraId="46146435" w14:textId="77777777" w:rsidR="00BF0C67" w:rsidRPr="00F24057" w:rsidRDefault="00BF0C67" w:rsidP="00D70B34">
      <w:pPr>
        <w:rPr>
          <w:szCs w:val="22"/>
          <w:lang w:val="sr-Latn-ME"/>
        </w:rPr>
      </w:pPr>
    </w:p>
    <w:p w14:paraId="36B3979C" w14:textId="77777777" w:rsidR="00BF0C67" w:rsidRPr="00F24057" w:rsidRDefault="00BF0C67" w:rsidP="00D70B34">
      <w:pPr>
        <w:rPr>
          <w:szCs w:val="22"/>
          <w:u w:val="single"/>
          <w:lang w:val="sr-Latn-ME"/>
        </w:rPr>
      </w:pPr>
      <w:r w:rsidRPr="00F24057">
        <w:rPr>
          <w:szCs w:val="22"/>
          <w:u w:val="single"/>
          <w:lang w:val="sr-Latn-ME"/>
        </w:rPr>
        <w:t xml:space="preserve">Plodnost </w:t>
      </w:r>
    </w:p>
    <w:p w14:paraId="075CD70E" w14:textId="77777777" w:rsidR="00BF0C67" w:rsidRPr="00F24057" w:rsidRDefault="00BF0C67" w:rsidP="00D70B34">
      <w:pPr>
        <w:rPr>
          <w:szCs w:val="22"/>
          <w:lang w:val="sr-Latn-ME"/>
        </w:rPr>
      </w:pPr>
    </w:p>
    <w:p w14:paraId="2C6D67BD" w14:textId="2D6376BB" w:rsidR="00BF0C67" w:rsidRPr="00F24057" w:rsidRDefault="00BF0C67" w:rsidP="00D70B34">
      <w:pPr>
        <w:rPr>
          <w:szCs w:val="22"/>
          <w:lang w:val="sr-Latn-ME"/>
        </w:rPr>
      </w:pPr>
      <w:r w:rsidRPr="00F24057">
        <w:rPr>
          <w:szCs w:val="22"/>
          <w:lang w:val="sr-Latn-ME"/>
        </w:rPr>
        <w:t>Nisu dostupni p</w:t>
      </w:r>
      <w:r w:rsidR="004F2520" w:rsidRPr="00F24057">
        <w:rPr>
          <w:szCs w:val="22"/>
          <w:lang w:val="sr-Latn-ME"/>
        </w:rPr>
        <w:t>retk</w:t>
      </w:r>
      <w:r w:rsidRPr="00F24057">
        <w:rPr>
          <w:szCs w:val="22"/>
          <w:lang w:val="sr-Latn-ME"/>
        </w:rPr>
        <w:t>linički podaci o uticaju adalimumaba na plodnost.</w:t>
      </w:r>
    </w:p>
    <w:p w14:paraId="072D43CD" w14:textId="77777777" w:rsidR="00CE09F3" w:rsidRPr="00F24057" w:rsidRDefault="00CE09F3" w:rsidP="00D70B34">
      <w:pPr>
        <w:rPr>
          <w:szCs w:val="22"/>
          <w:lang w:val="sr-Latn-ME"/>
        </w:rPr>
      </w:pPr>
    </w:p>
    <w:p w14:paraId="072D43CE" w14:textId="28F128C4" w:rsidR="00CE09F3" w:rsidRPr="00F24057" w:rsidRDefault="00CE09F3" w:rsidP="00D70B34">
      <w:pPr>
        <w:rPr>
          <w:b/>
          <w:bCs/>
          <w:spacing w:val="-8"/>
          <w:szCs w:val="22"/>
          <w:lang w:val="sr-Latn-ME"/>
        </w:rPr>
      </w:pPr>
      <w:r w:rsidRPr="00F24057">
        <w:rPr>
          <w:b/>
          <w:bCs/>
          <w:spacing w:val="-8"/>
          <w:szCs w:val="22"/>
          <w:lang w:val="sr-Latn-ME"/>
        </w:rPr>
        <w:t>4.7. Uticaj na sposobnost upravljanja vozilima i rukovanj</w:t>
      </w:r>
      <w:r w:rsidR="008D1F4F" w:rsidRPr="00F24057">
        <w:rPr>
          <w:b/>
          <w:bCs/>
          <w:spacing w:val="-8"/>
          <w:szCs w:val="22"/>
          <w:lang w:val="sr-Latn-ME"/>
        </w:rPr>
        <w:t>e</w:t>
      </w:r>
      <w:r w:rsidRPr="00F24057">
        <w:rPr>
          <w:b/>
          <w:bCs/>
          <w:spacing w:val="-8"/>
          <w:szCs w:val="22"/>
          <w:lang w:val="sr-Latn-ME"/>
        </w:rPr>
        <w:t xml:space="preserve"> mašinama</w:t>
      </w:r>
    </w:p>
    <w:p w14:paraId="072D43CF" w14:textId="5357ED33" w:rsidR="00CE09F3" w:rsidRPr="00F24057" w:rsidRDefault="00CE09F3" w:rsidP="00D70B34">
      <w:pPr>
        <w:rPr>
          <w:szCs w:val="22"/>
          <w:lang w:val="sr-Latn-ME"/>
        </w:rPr>
      </w:pPr>
    </w:p>
    <w:p w14:paraId="6F33A1DB" w14:textId="45C2D0B0" w:rsidR="000A3B36" w:rsidRPr="00F24057" w:rsidRDefault="0030064A" w:rsidP="00D70B34">
      <w:pPr>
        <w:rPr>
          <w:szCs w:val="22"/>
          <w:lang w:val="sr-Latn-ME"/>
        </w:rPr>
      </w:pPr>
      <w:r w:rsidRPr="00F24057">
        <w:rPr>
          <w:szCs w:val="22"/>
          <w:lang w:val="sr-Latn-ME"/>
        </w:rPr>
        <w:t xml:space="preserve">Lijek </w:t>
      </w:r>
      <w:r w:rsidR="000A3B36" w:rsidRPr="00F24057">
        <w:rPr>
          <w:szCs w:val="22"/>
          <w:lang w:val="sr-Latn-ME"/>
        </w:rPr>
        <w:t xml:space="preserve">Hukyndra može da ima mali uticaj na sposobnost upravljanja vozilima i rukovanja mašinama. Nakon </w:t>
      </w:r>
      <w:r w:rsidRPr="00F24057">
        <w:rPr>
          <w:szCs w:val="22"/>
          <w:lang w:val="sr-Latn-ME"/>
        </w:rPr>
        <w:t>primjen</w:t>
      </w:r>
      <w:r w:rsidR="000A3B36" w:rsidRPr="00F24057">
        <w:rPr>
          <w:szCs w:val="22"/>
          <w:lang w:val="sr-Latn-ME"/>
        </w:rPr>
        <w:t xml:space="preserve">e </w:t>
      </w:r>
      <w:r w:rsidR="00885A78" w:rsidRPr="00F24057">
        <w:rPr>
          <w:szCs w:val="22"/>
          <w:lang w:val="sr-Latn-ME"/>
        </w:rPr>
        <w:t xml:space="preserve">lijeka </w:t>
      </w:r>
      <w:r w:rsidR="000A3B36" w:rsidRPr="00F24057">
        <w:rPr>
          <w:szCs w:val="22"/>
          <w:lang w:val="sr-Latn-ME"/>
        </w:rPr>
        <w:t>Hukyndra mogu da se pojave vertigo i poremećaji vida (</w:t>
      </w:r>
      <w:r w:rsidR="007B39D0" w:rsidRPr="00F24057">
        <w:rPr>
          <w:szCs w:val="22"/>
          <w:lang w:val="sr-Latn-ME"/>
        </w:rPr>
        <w:t xml:space="preserve">pogledati dio </w:t>
      </w:r>
      <w:r w:rsidR="000A3B36" w:rsidRPr="00F24057">
        <w:rPr>
          <w:szCs w:val="22"/>
          <w:lang w:val="sr-Latn-ME"/>
        </w:rPr>
        <w:t>4.8).</w:t>
      </w:r>
    </w:p>
    <w:p w14:paraId="072D43D0" w14:textId="77777777" w:rsidR="00CE09F3" w:rsidRPr="00F24057" w:rsidRDefault="00CE09F3" w:rsidP="00D70B34">
      <w:pPr>
        <w:rPr>
          <w:szCs w:val="22"/>
          <w:lang w:val="sr-Latn-ME"/>
        </w:rPr>
      </w:pPr>
    </w:p>
    <w:p w14:paraId="072D43D1" w14:textId="77777777" w:rsidR="00CE09F3" w:rsidRPr="00F24057" w:rsidRDefault="00CE09F3" w:rsidP="00D70B34">
      <w:pPr>
        <w:rPr>
          <w:b/>
          <w:bCs/>
          <w:szCs w:val="22"/>
          <w:lang w:val="sr-Latn-ME"/>
        </w:rPr>
      </w:pPr>
      <w:r w:rsidRPr="00F24057">
        <w:rPr>
          <w:b/>
          <w:bCs/>
          <w:szCs w:val="22"/>
          <w:lang w:val="sr-Latn-ME"/>
        </w:rPr>
        <w:t>4.8. Neželjena dejstva</w:t>
      </w:r>
    </w:p>
    <w:p w14:paraId="072D43D2" w14:textId="1A3FDD90" w:rsidR="00CE09F3" w:rsidRPr="00F24057" w:rsidRDefault="00CE09F3" w:rsidP="00D70B34">
      <w:pPr>
        <w:rPr>
          <w:szCs w:val="22"/>
          <w:u w:val="single"/>
          <w:lang w:val="sr-Latn-ME"/>
        </w:rPr>
      </w:pPr>
    </w:p>
    <w:p w14:paraId="3C478EC5" w14:textId="654608C5" w:rsidR="000A3B36" w:rsidRPr="00F24057" w:rsidRDefault="000A3B36" w:rsidP="00D70B34">
      <w:pPr>
        <w:rPr>
          <w:szCs w:val="22"/>
          <w:u w:val="single"/>
          <w:lang w:val="sr-Latn-ME"/>
        </w:rPr>
      </w:pPr>
      <w:r w:rsidRPr="00F24057">
        <w:rPr>
          <w:szCs w:val="22"/>
          <w:u w:val="single"/>
          <w:lang w:val="sr-Latn-ME"/>
        </w:rPr>
        <w:t xml:space="preserve">Sažetak </w:t>
      </w:r>
      <w:r w:rsidR="0030064A" w:rsidRPr="00F24057">
        <w:rPr>
          <w:szCs w:val="22"/>
          <w:u w:val="single"/>
          <w:lang w:val="sr-Latn-ME"/>
        </w:rPr>
        <w:t>bezbjedno</w:t>
      </w:r>
      <w:r w:rsidRPr="00F24057">
        <w:rPr>
          <w:szCs w:val="22"/>
          <w:u w:val="single"/>
          <w:lang w:val="sr-Latn-ME"/>
        </w:rPr>
        <w:t xml:space="preserve">snog profila </w:t>
      </w:r>
    </w:p>
    <w:p w14:paraId="5ED5DA7C" w14:textId="77777777" w:rsidR="000A3B36" w:rsidRPr="00F24057" w:rsidRDefault="000A3B36" w:rsidP="00D70B34">
      <w:pPr>
        <w:rPr>
          <w:szCs w:val="22"/>
          <w:lang w:val="sr-Latn-ME"/>
        </w:rPr>
      </w:pPr>
    </w:p>
    <w:p w14:paraId="20011C88" w14:textId="511CBA80" w:rsidR="000A3B36" w:rsidRPr="00F24057" w:rsidRDefault="000A3B36" w:rsidP="00D70B34">
      <w:pPr>
        <w:rPr>
          <w:szCs w:val="22"/>
          <w:lang w:val="sr-Latn-ME"/>
        </w:rPr>
      </w:pPr>
      <w:r w:rsidRPr="00F24057">
        <w:rPr>
          <w:szCs w:val="22"/>
          <w:lang w:val="sr-Latn-ME"/>
        </w:rPr>
        <w:t xml:space="preserve">Adalimumab je ispitivan kod 9506 pacijenata u pivotalnim kontrolisanim i otvorenim ispitivanjima tokom perioda do 60 </w:t>
      </w:r>
      <w:r w:rsidR="00885A78" w:rsidRPr="00F24057">
        <w:rPr>
          <w:szCs w:val="22"/>
          <w:lang w:val="sr-Latn-ME"/>
        </w:rPr>
        <w:t>mjesec</w:t>
      </w:r>
      <w:r w:rsidRPr="00F24057">
        <w:rPr>
          <w:szCs w:val="22"/>
          <w:lang w:val="sr-Latn-ME"/>
        </w:rPr>
        <w:t>i ili duže. Ispitivanjima su obuhvaćeni pacijenti sa nedavnom pojavom reumatoidnog artritisa i oni sa dugotrajnom bolešću, kao i pacijenti sa juvenilnim idiopatskim artritisom (poliartikularnim juvenilnim idiopatskim artritisom i artritisom povezanim s</w:t>
      </w:r>
      <w:r w:rsidR="0034362C" w:rsidRPr="00F24057">
        <w:rPr>
          <w:szCs w:val="22"/>
          <w:lang w:val="sr-Latn-ME"/>
        </w:rPr>
        <w:t>a</w:t>
      </w:r>
      <w:r w:rsidRPr="00F24057">
        <w:rPr>
          <w:szCs w:val="22"/>
          <w:lang w:val="sr-Latn-ME"/>
        </w:rPr>
        <w:t xml:space="preserve"> entezitisom), kao i oni sa aksijalnim spondiloartritisom (ankilozirajućim spondilitisom i aksijalnim spondiloartritisom bez radiografskog dokaza AS-a), psorijaznim artritisom, </w:t>
      </w:r>
      <w:r w:rsidR="00DA2306" w:rsidRPr="00F24057">
        <w:rPr>
          <w:i/>
          <w:iCs/>
          <w:szCs w:val="22"/>
          <w:lang w:val="sr-Latn-ME"/>
        </w:rPr>
        <w:t>Crohn</w:t>
      </w:r>
      <w:r w:rsidRPr="00F24057">
        <w:rPr>
          <w:szCs w:val="22"/>
          <w:lang w:val="sr-Latn-ME"/>
        </w:rPr>
        <w:t xml:space="preserve">-ovom bolešću, ulceroznim kolitisom, psorijazom, gnojnim zapaljenjem znojnih </w:t>
      </w:r>
      <w:r w:rsidR="009A3407" w:rsidRPr="00F24057">
        <w:rPr>
          <w:szCs w:val="22"/>
          <w:lang w:val="sr-Latn-ME"/>
        </w:rPr>
        <w:t>žlijezd</w:t>
      </w:r>
      <w:r w:rsidRPr="00F24057">
        <w:rPr>
          <w:szCs w:val="22"/>
          <w:lang w:val="sr-Latn-ME"/>
        </w:rPr>
        <w:t xml:space="preserve">a i uveitisom. Pivotalna kontrolisana ispitivanja uključivala su 6089 pacijenata </w:t>
      </w:r>
      <w:r w:rsidR="00885A78" w:rsidRPr="00F24057">
        <w:rPr>
          <w:szCs w:val="22"/>
          <w:lang w:val="sr-Latn-ME"/>
        </w:rPr>
        <w:t>liječe</w:t>
      </w:r>
      <w:r w:rsidRPr="00F24057">
        <w:rPr>
          <w:szCs w:val="22"/>
          <w:lang w:val="sr-Latn-ME"/>
        </w:rPr>
        <w:t xml:space="preserve">nih adalimumabom i 3801 pacijenta koji je primao placebo ili neki aktivni uporedni </w:t>
      </w:r>
      <w:r w:rsidR="0030064A" w:rsidRPr="00F24057">
        <w:rPr>
          <w:szCs w:val="22"/>
          <w:lang w:val="sr-Latn-ME"/>
        </w:rPr>
        <w:t xml:space="preserve">lijek </w:t>
      </w:r>
      <w:r w:rsidRPr="00F24057">
        <w:rPr>
          <w:szCs w:val="22"/>
          <w:lang w:val="sr-Latn-ME"/>
        </w:rPr>
        <w:t xml:space="preserve">tokom kontrolisanog perioda. </w:t>
      </w:r>
    </w:p>
    <w:p w14:paraId="39D7C02F" w14:textId="77777777" w:rsidR="000A3B36" w:rsidRPr="00F24057" w:rsidRDefault="000A3B36" w:rsidP="00D70B34">
      <w:pPr>
        <w:rPr>
          <w:szCs w:val="22"/>
          <w:lang w:val="sr-Latn-ME"/>
        </w:rPr>
      </w:pPr>
    </w:p>
    <w:p w14:paraId="55485AA2" w14:textId="42F73319" w:rsidR="000A3B36" w:rsidRPr="00F24057" w:rsidRDefault="000A3B36" w:rsidP="00D70B34">
      <w:pPr>
        <w:rPr>
          <w:szCs w:val="22"/>
          <w:lang w:val="sr-Latn-ME"/>
        </w:rPr>
      </w:pPr>
      <w:r w:rsidRPr="00F24057">
        <w:rPr>
          <w:szCs w:val="22"/>
          <w:lang w:val="sr-Latn-ME"/>
        </w:rPr>
        <w:t>U dvostruko sl</w:t>
      </w:r>
      <w:r w:rsidR="00972894" w:rsidRPr="00F24057">
        <w:rPr>
          <w:szCs w:val="22"/>
          <w:lang w:val="sr-Latn-ME"/>
        </w:rPr>
        <w:t>ij</w:t>
      </w:r>
      <w:r w:rsidRPr="00F24057">
        <w:rPr>
          <w:szCs w:val="22"/>
          <w:lang w:val="sr-Latn-ME"/>
        </w:rPr>
        <w:t xml:space="preserve">epim, kontrolisanim </w:t>
      </w:r>
      <w:r w:rsidR="00B76FE1" w:rsidRPr="00F24057">
        <w:rPr>
          <w:szCs w:val="22"/>
          <w:lang w:val="sr-Latn-ME"/>
        </w:rPr>
        <w:t>djelovima</w:t>
      </w:r>
      <w:r w:rsidRPr="00F24057">
        <w:rPr>
          <w:szCs w:val="22"/>
          <w:lang w:val="sr-Latn-ME"/>
        </w:rPr>
        <w:t xml:space="preserve"> pivotalnih ispitivanja, </w:t>
      </w:r>
      <w:r w:rsidR="0030064A" w:rsidRPr="00F24057">
        <w:rPr>
          <w:szCs w:val="22"/>
          <w:lang w:val="sr-Latn-ME"/>
        </w:rPr>
        <w:t>liječenje</w:t>
      </w:r>
      <w:r w:rsidRPr="00F24057">
        <w:rPr>
          <w:szCs w:val="22"/>
          <w:lang w:val="sr-Latn-ME"/>
        </w:rPr>
        <w:t xml:space="preserve"> je zbog neželjenih događaja prekinuto kod 5,9% pacijenata koji su dobijali adalimumab, odnosno 5,4% pacijenata iz kontrolne grupe. </w:t>
      </w:r>
    </w:p>
    <w:p w14:paraId="7FCA2BCC" w14:textId="77777777" w:rsidR="000A3B36" w:rsidRPr="00F24057" w:rsidRDefault="000A3B36" w:rsidP="00D70B34">
      <w:pPr>
        <w:rPr>
          <w:szCs w:val="22"/>
          <w:lang w:val="sr-Latn-ME"/>
        </w:rPr>
      </w:pPr>
    </w:p>
    <w:p w14:paraId="1F2397D5" w14:textId="12CADC87" w:rsidR="000A3B36" w:rsidRPr="00F24057" w:rsidRDefault="000A3B36" w:rsidP="00D70B34">
      <w:pPr>
        <w:rPr>
          <w:szCs w:val="22"/>
          <w:u w:val="single"/>
          <w:lang w:val="sr-Latn-ME"/>
        </w:rPr>
      </w:pPr>
      <w:r w:rsidRPr="00F24057">
        <w:rPr>
          <w:szCs w:val="22"/>
          <w:lang w:val="sr-Latn-ME"/>
        </w:rPr>
        <w:t xml:space="preserve">Najčešće prijavljena neželjena dejstva su infekcije (kao nazofaringitis, infekcija gornjih disajnih puteva i </w:t>
      </w:r>
      <w:r w:rsidR="00DE0BF3" w:rsidRPr="00F24057">
        <w:rPr>
          <w:szCs w:val="22"/>
          <w:lang w:val="sr-Latn-ME"/>
        </w:rPr>
        <w:t>sinuzitis</w:t>
      </w:r>
      <w:r w:rsidRPr="00F24057">
        <w:rPr>
          <w:szCs w:val="22"/>
          <w:lang w:val="sr-Latn-ME"/>
        </w:rPr>
        <w:t xml:space="preserve">), reakcije na </w:t>
      </w:r>
      <w:r w:rsidR="00972894" w:rsidRPr="00F24057">
        <w:rPr>
          <w:szCs w:val="22"/>
          <w:lang w:val="sr-Latn-ME"/>
        </w:rPr>
        <w:t>mjest</w:t>
      </w:r>
      <w:r w:rsidRPr="00F24057">
        <w:rPr>
          <w:szCs w:val="22"/>
          <w:lang w:val="sr-Latn-ME"/>
        </w:rPr>
        <w:t xml:space="preserve">u </w:t>
      </w:r>
      <w:r w:rsidR="0030064A" w:rsidRPr="00F24057">
        <w:rPr>
          <w:szCs w:val="22"/>
          <w:lang w:val="sr-Latn-ME"/>
        </w:rPr>
        <w:t>primjen</w:t>
      </w:r>
      <w:r w:rsidRPr="00F24057">
        <w:rPr>
          <w:szCs w:val="22"/>
          <w:lang w:val="sr-Latn-ME"/>
        </w:rPr>
        <w:t>e injekcije (eritem, svrab, krvarenje, bol ili oticanje), glavobolja i mišićno-skeletni bol.</w:t>
      </w:r>
    </w:p>
    <w:p w14:paraId="01373F34" w14:textId="3F80529B" w:rsidR="000A3B36" w:rsidRPr="00F24057" w:rsidRDefault="000A3B36" w:rsidP="00D70B34">
      <w:pPr>
        <w:rPr>
          <w:szCs w:val="22"/>
          <w:u w:val="single"/>
          <w:lang w:val="sr-Latn-ME"/>
        </w:rPr>
      </w:pPr>
    </w:p>
    <w:p w14:paraId="3F1E5F9B" w14:textId="2649851C" w:rsidR="000A3B36" w:rsidRPr="00F24057" w:rsidRDefault="000A3B36" w:rsidP="00D70B34">
      <w:pPr>
        <w:rPr>
          <w:szCs w:val="22"/>
          <w:lang w:val="sr-Latn-ME"/>
        </w:rPr>
      </w:pPr>
      <w:r w:rsidRPr="00F24057">
        <w:rPr>
          <w:szCs w:val="22"/>
          <w:lang w:val="sr-Latn-ME"/>
        </w:rPr>
        <w:lastRenderedPageBreak/>
        <w:t xml:space="preserve">Uz adalimumab su prijavljena ozbiljna neželjena dejstva. Antagonisti TNF-a, kao što je adalimumab, deluju na imunski sistem pa njihova </w:t>
      </w:r>
      <w:r w:rsidR="0030064A" w:rsidRPr="00F24057">
        <w:rPr>
          <w:szCs w:val="22"/>
          <w:lang w:val="sr-Latn-ME"/>
        </w:rPr>
        <w:t>primjen</w:t>
      </w:r>
      <w:r w:rsidRPr="00F24057">
        <w:rPr>
          <w:szCs w:val="22"/>
          <w:lang w:val="sr-Latn-ME"/>
        </w:rPr>
        <w:t>a može da utiče na odbranu t</w:t>
      </w:r>
      <w:r w:rsidR="00AA29FD" w:rsidRPr="00F24057">
        <w:rPr>
          <w:szCs w:val="22"/>
          <w:lang w:val="sr-Latn-ME"/>
        </w:rPr>
        <w:t>ij</w:t>
      </w:r>
      <w:r w:rsidRPr="00F24057">
        <w:rPr>
          <w:szCs w:val="22"/>
          <w:lang w:val="sr-Latn-ME"/>
        </w:rPr>
        <w:t xml:space="preserve">ela od infekcija i raka. </w:t>
      </w:r>
    </w:p>
    <w:p w14:paraId="37746AA0" w14:textId="5648B889" w:rsidR="000A3B36" w:rsidRPr="00F24057" w:rsidRDefault="000A3B36" w:rsidP="00D70B34">
      <w:pPr>
        <w:rPr>
          <w:szCs w:val="22"/>
          <w:lang w:val="sr-Latn-ME"/>
        </w:rPr>
      </w:pPr>
      <w:r w:rsidRPr="00F24057">
        <w:rPr>
          <w:szCs w:val="22"/>
          <w:lang w:val="sr-Latn-ME"/>
        </w:rPr>
        <w:t xml:space="preserve">Prilikom </w:t>
      </w:r>
      <w:r w:rsidR="0030064A" w:rsidRPr="00F24057">
        <w:rPr>
          <w:szCs w:val="22"/>
          <w:lang w:val="sr-Latn-ME"/>
        </w:rPr>
        <w:t>primjen</w:t>
      </w:r>
      <w:r w:rsidRPr="00F24057">
        <w:rPr>
          <w:szCs w:val="22"/>
          <w:lang w:val="sr-Latn-ME"/>
        </w:rPr>
        <w:t xml:space="preserve">e adalimumaba takođe su prijavljene infekcije sa smrtnim ishodom i po život opasne infekcije (uključujući sepsu, oportunističke infekcije i tuberkulozu), reaktivacija HBV-a i razne maligne bolesti (uključujući leukemiju, limfom i hepatosplenični T-ćelijski limfom). </w:t>
      </w:r>
    </w:p>
    <w:p w14:paraId="7EADD782" w14:textId="77777777" w:rsidR="000A3B36" w:rsidRPr="00F24057" w:rsidRDefault="000A3B36" w:rsidP="00D70B34">
      <w:pPr>
        <w:rPr>
          <w:szCs w:val="22"/>
          <w:lang w:val="sr-Latn-ME"/>
        </w:rPr>
      </w:pPr>
    </w:p>
    <w:p w14:paraId="7C73AD96" w14:textId="2B4093C2" w:rsidR="000A3B36" w:rsidRPr="00F24057" w:rsidRDefault="000A3B36" w:rsidP="00D70B34">
      <w:pPr>
        <w:rPr>
          <w:szCs w:val="22"/>
          <w:lang w:val="sr-Latn-ME"/>
        </w:rPr>
      </w:pPr>
      <w:r w:rsidRPr="00F24057">
        <w:rPr>
          <w:szCs w:val="22"/>
          <w:lang w:val="sr-Latn-ME"/>
        </w:rPr>
        <w:t xml:space="preserve">Takođe su prijavljene ozbiljne hematološke, neurološke i autoimunske reakcije. One uključuju </w:t>
      </w:r>
      <w:r w:rsidR="004F2520" w:rsidRPr="00F24057">
        <w:rPr>
          <w:szCs w:val="22"/>
          <w:lang w:val="sr-Latn-ME"/>
        </w:rPr>
        <w:t>rijetk</w:t>
      </w:r>
      <w:r w:rsidRPr="00F24057">
        <w:rPr>
          <w:szCs w:val="22"/>
          <w:lang w:val="sr-Latn-ME"/>
        </w:rPr>
        <w:t xml:space="preserve">e prijave pancitopenije, aplastične anemije, demijelinizirajućih događaja u centralnom i perifernom nervnom sistemu, kao i prijave lupusa, stanja povezanih sa lupusom i </w:t>
      </w:r>
      <w:r w:rsidRPr="00F24057">
        <w:rPr>
          <w:i/>
          <w:iCs/>
          <w:szCs w:val="22"/>
          <w:lang w:val="sr-Latn-ME"/>
        </w:rPr>
        <w:t>Stevens-Johnson</w:t>
      </w:r>
      <w:r w:rsidRPr="00F24057">
        <w:rPr>
          <w:szCs w:val="22"/>
          <w:lang w:val="sr-Latn-ME"/>
        </w:rPr>
        <w:t xml:space="preserve">-ovog sindroma. </w:t>
      </w:r>
    </w:p>
    <w:p w14:paraId="6D845075" w14:textId="77777777" w:rsidR="000A3B36" w:rsidRPr="00F24057" w:rsidRDefault="000A3B36" w:rsidP="00D70B34">
      <w:pPr>
        <w:rPr>
          <w:szCs w:val="22"/>
          <w:lang w:val="sr-Latn-ME"/>
        </w:rPr>
      </w:pPr>
    </w:p>
    <w:p w14:paraId="580EF8C3" w14:textId="77777777" w:rsidR="000A3B36" w:rsidRPr="00F24057" w:rsidRDefault="000A3B36" w:rsidP="00D70B34">
      <w:pPr>
        <w:rPr>
          <w:szCs w:val="22"/>
          <w:u w:val="single"/>
          <w:lang w:val="sr-Latn-ME"/>
        </w:rPr>
      </w:pPr>
      <w:r w:rsidRPr="00F24057">
        <w:rPr>
          <w:szCs w:val="22"/>
          <w:u w:val="single"/>
          <w:lang w:val="sr-Latn-ME"/>
        </w:rPr>
        <w:t xml:space="preserve">Pedijatrijska populacija </w:t>
      </w:r>
    </w:p>
    <w:p w14:paraId="70111119" w14:textId="77777777" w:rsidR="000A3B36" w:rsidRPr="00F24057" w:rsidRDefault="000A3B36" w:rsidP="00D70B34">
      <w:pPr>
        <w:rPr>
          <w:szCs w:val="22"/>
          <w:lang w:val="sr-Latn-ME"/>
        </w:rPr>
      </w:pPr>
    </w:p>
    <w:p w14:paraId="2F754122" w14:textId="77777777" w:rsidR="000A3B36" w:rsidRPr="00F24057" w:rsidRDefault="000A3B36" w:rsidP="00D70B34">
      <w:pPr>
        <w:rPr>
          <w:szCs w:val="22"/>
          <w:lang w:val="sr-Latn-ME"/>
        </w:rPr>
      </w:pPr>
      <w:r w:rsidRPr="00F24057">
        <w:rPr>
          <w:szCs w:val="22"/>
          <w:lang w:val="sr-Latn-ME"/>
        </w:rPr>
        <w:t xml:space="preserve">Generalno su neželjeni događaji kod pedijatrijskih pacijenata prema učestalosti i tipu bili slični onima kod odraslih pacijenata. </w:t>
      </w:r>
    </w:p>
    <w:p w14:paraId="693F6E43" w14:textId="77777777" w:rsidR="000A3B36" w:rsidRPr="00F24057" w:rsidRDefault="000A3B36" w:rsidP="00D70B34">
      <w:pPr>
        <w:rPr>
          <w:szCs w:val="22"/>
          <w:lang w:val="sr-Latn-ME"/>
        </w:rPr>
      </w:pPr>
    </w:p>
    <w:p w14:paraId="633CB17E" w14:textId="77777777" w:rsidR="000A3B36" w:rsidRPr="00F24057" w:rsidRDefault="000A3B36" w:rsidP="00D70B34">
      <w:pPr>
        <w:rPr>
          <w:szCs w:val="22"/>
          <w:u w:val="single"/>
          <w:lang w:val="sr-Latn-ME"/>
        </w:rPr>
      </w:pPr>
      <w:r w:rsidRPr="00F24057">
        <w:rPr>
          <w:szCs w:val="22"/>
          <w:u w:val="single"/>
          <w:lang w:val="sr-Latn-ME"/>
        </w:rPr>
        <w:t xml:space="preserve">Tabelarni prikaz neželjenih reakcija </w:t>
      </w:r>
    </w:p>
    <w:p w14:paraId="739BE263" w14:textId="77777777" w:rsidR="000A3B36" w:rsidRPr="00F24057" w:rsidRDefault="000A3B36" w:rsidP="00D70B34">
      <w:pPr>
        <w:rPr>
          <w:szCs w:val="22"/>
          <w:lang w:val="sr-Latn-ME"/>
        </w:rPr>
      </w:pPr>
    </w:p>
    <w:p w14:paraId="38EDDE4D" w14:textId="52ECC9E0" w:rsidR="000A3B36" w:rsidRPr="00F24057" w:rsidRDefault="009811CA" w:rsidP="00D70B34">
      <w:pPr>
        <w:rPr>
          <w:szCs w:val="22"/>
          <w:lang w:val="sr-Latn-ME"/>
        </w:rPr>
      </w:pPr>
      <w:r w:rsidRPr="00F24057">
        <w:rPr>
          <w:szCs w:val="22"/>
          <w:lang w:val="sr-Latn-ME"/>
        </w:rPr>
        <w:t>Sljedeć</w:t>
      </w:r>
      <w:r w:rsidR="000A3B36" w:rsidRPr="00F24057">
        <w:rPr>
          <w:szCs w:val="22"/>
          <w:lang w:val="sr-Latn-ME"/>
        </w:rPr>
        <w:t xml:space="preserve">a lista neželjenih reakcija bazirana je na iskustvu iz kliničkih studija i na postmarketinškom iskustvu, a prikazane su u tabeli 7 po klasi sistema organa i učestalosti: veoma često (≥1/10); često (≥1/100 do &lt;1/10); povremeno (≥1/1000 do &lt;1/100); </w:t>
      </w:r>
      <w:r w:rsidR="004F2520" w:rsidRPr="00F24057">
        <w:rPr>
          <w:szCs w:val="22"/>
          <w:lang w:val="sr-Latn-ME"/>
        </w:rPr>
        <w:t>rijetk</w:t>
      </w:r>
      <w:r w:rsidR="000A3B36" w:rsidRPr="00F24057">
        <w:rPr>
          <w:szCs w:val="22"/>
          <w:lang w:val="sr-Latn-ME"/>
        </w:rPr>
        <w:t xml:space="preserve">o (≥1/10000 do &lt;1/1000); i nepoznate učestalosti (ne može se </w:t>
      </w:r>
      <w:r w:rsidR="00506CC0" w:rsidRPr="00F24057">
        <w:rPr>
          <w:szCs w:val="22"/>
          <w:lang w:val="sr-Latn-ME"/>
        </w:rPr>
        <w:t>procijeniti</w:t>
      </w:r>
      <w:r w:rsidR="000A3B36" w:rsidRPr="00F24057">
        <w:rPr>
          <w:szCs w:val="22"/>
          <w:lang w:val="sr-Latn-ME"/>
        </w:rPr>
        <w:t xml:space="preserve"> na osnovu dostupnih podataka). Unutar svake grupe za određenu učestalost, neželjena dejstva su navedena prema opadajućoj ozbiljnosti.</w:t>
      </w:r>
    </w:p>
    <w:p w14:paraId="176436C7" w14:textId="07B95B98" w:rsidR="003950DE" w:rsidRPr="00F24057" w:rsidRDefault="000A3B36" w:rsidP="00D70B34">
      <w:pPr>
        <w:rPr>
          <w:szCs w:val="22"/>
          <w:u w:val="single"/>
          <w:lang w:val="sr-Latn-ME"/>
        </w:rPr>
      </w:pPr>
      <w:r w:rsidRPr="00F24057">
        <w:rPr>
          <w:szCs w:val="22"/>
          <w:lang w:val="sr-Latn-ME"/>
        </w:rPr>
        <w:t xml:space="preserve">Obuhvaćena su neželjena dejstva koja su se najčešće javljala prilikom terapije različitih indikacija. </w:t>
      </w:r>
      <w:r w:rsidR="00972894" w:rsidRPr="00F24057">
        <w:rPr>
          <w:szCs w:val="22"/>
          <w:lang w:val="sr-Latn-ME"/>
        </w:rPr>
        <w:t>Zvjezd</w:t>
      </w:r>
      <w:r w:rsidRPr="00F24057">
        <w:rPr>
          <w:szCs w:val="22"/>
          <w:lang w:val="sr-Latn-ME"/>
        </w:rPr>
        <w:t xml:space="preserve">ica (*) se pojavljuje u koloni „Klasa sistema organa“ ukoliko se dodatne informacije nalaze u </w:t>
      </w:r>
      <w:r w:rsidR="00B76FE1" w:rsidRPr="00F24057">
        <w:rPr>
          <w:szCs w:val="22"/>
          <w:lang w:val="sr-Latn-ME"/>
        </w:rPr>
        <w:t>djelovima</w:t>
      </w:r>
      <w:r w:rsidRPr="00F24057">
        <w:rPr>
          <w:szCs w:val="22"/>
          <w:lang w:val="sr-Latn-ME"/>
        </w:rPr>
        <w:t xml:space="preserve"> 4.3, 4.4 i 4.8.</w:t>
      </w:r>
    </w:p>
    <w:p w14:paraId="779E62D1" w14:textId="61944F21" w:rsidR="006E01AA" w:rsidRPr="00F24057" w:rsidRDefault="006E01AA" w:rsidP="00D70B34">
      <w:pPr>
        <w:rPr>
          <w:szCs w:val="22"/>
          <w:u w:val="single"/>
          <w:lang w:val="sr-Latn-ME"/>
        </w:rPr>
      </w:pPr>
    </w:p>
    <w:p w14:paraId="11AC954F" w14:textId="0745B31C" w:rsidR="0040657C" w:rsidRPr="00F24057" w:rsidRDefault="0040657C" w:rsidP="00D70B34">
      <w:pPr>
        <w:rPr>
          <w:b/>
          <w:bCs/>
          <w:szCs w:val="22"/>
          <w:lang w:val="sr-Latn-ME"/>
        </w:rPr>
      </w:pPr>
      <w:r w:rsidRPr="00F24057">
        <w:rPr>
          <w:b/>
          <w:bCs/>
          <w:szCs w:val="22"/>
          <w:lang w:val="sr-Latn-ME"/>
        </w:rPr>
        <w:t>Tabela 7: Neželjena dejstva</w:t>
      </w:r>
    </w:p>
    <w:p w14:paraId="49033753" w14:textId="77777777" w:rsidR="00DA2306" w:rsidRPr="00F24057" w:rsidRDefault="00DA2306"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169"/>
        <w:gridCol w:w="1389"/>
        <w:gridCol w:w="5459"/>
      </w:tblGrid>
      <w:tr w:rsidR="000A3B36" w:rsidRPr="00F24057" w14:paraId="4D6C3832" w14:textId="77777777" w:rsidTr="00DA2306">
        <w:trPr>
          <w:trHeight w:val="20"/>
        </w:trPr>
        <w:tc>
          <w:tcPr>
            <w:tcW w:w="1203" w:type="pct"/>
            <w:vAlign w:val="center"/>
          </w:tcPr>
          <w:p w14:paraId="2FAAFFFF" w14:textId="3018C39C" w:rsidR="000A3B36" w:rsidRPr="00F24057" w:rsidRDefault="006E01AA" w:rsidP="00D70B34">
            <w:pPr>
              <w:jc w:val="left"/>
              <w:rPr>
                <w:b/>
                <w:bCs/>
                <w:szCs w:val="22"/>
                <w:u w:val="single"/>
                <w:lang w:val="sr-Latn-ME"/>
              </w:rPr>
            </w:pPr>
            <w:r w:rsidRPr="00F24057">
              <w:rPr>
                <w:b/>
                <w:bCs/>
                <w:szCs w:val="22"/>
                <w:lang w:val="sr-Latn-ME"/>
              </w:rPr>
              <w:t xml:space="preserve">Klasa sistema organa </w:t>
            </w:r>
          </w:p>
        </w:tc>
        <w:tc>
          <w:tcPr>
            <w:tcW w:w="770" w:type="pct"/>
            <w:vAlign w:val="center"/>
          </w:tcPr>
          <w:p w14:paraId="4E2BB739" w14:textId="46D698C4" w:rsidR="000A3B36" w:rsidRPr="00F24057" w:rsidRDefault="006E01AA" w:rsidP="00D70B34">
            <w:pPr>
              <w:jc w:val="left"/>
              <w:rPr>
                <w:b/>
                <w:bCs/>
                <w:szCs w:val="22"/>
                <w:u w:val="single"/>
                <w:lang w:val="sr-Latn-ME"/>
              </w:rPr>
            </w:pPr>
            <w:r w:rsidRPr="00F24057">
              <w:rPr>
                <w:b/>
                <w:bCs/>
                <w:szCs w:val="22"/>
                <w:lang w:val="sr-Latn-ME"/>
              </w:rPr>
              <w:t>Učestalost</w:t>
            </w:r>
          </w:p>
        </w:tc>
        <w:tc>
          <w:tcPr>
            <w:tcW w:w="3027" w:type="pct"/>
            <w:vAlign w:val="center"/>
          </w:tcPr>
          <w:p w14:paraId="7E20DA86" w14:textId="4114F3C4" w:rsidR="000A3B36" w:rsidRPr="00F24057" w:rsidRDefault="006E01AA" w:rsidP="00D70B34">
            <w:pPr>
              <w:jc w:val="left"/>
              <w:rPr>
                <w:b/>
                <w:bCs/>
                <w:szCs w:val="22"/>
                <w:u w:val="single"/>
                <w:lang w:val="sr-Latn-ME"/>
              </w:rPr>
            </w:pPr>
            <w:r w:rsidRPr="00F24057">
              <w:rPr>
                <w:b/>
                <w:bCs/>
                <w:szCs w:val="22"/>
                <w:lang w:val="sr-Latn-ME"/>
              </w:rPr>
              <w:t>Neželjena reakcija</w:t>
            </w:r>
          </w:p>
        </w:tc>
      </w:tr>
      <w:tr w:rsidR="006E01AA" w:rsidRPr="00F24057" w14:paraId="53A68729" w14:textId="77777777" w:rsidTr="00DA2306">
        <w:trPr>
          <w:trHeight w:val="20"/>
        </w:trPr>
        <w:tc>
          <w:tcPr>
            <w:tcW w:w="1203" w:type="pct"/>
            <w:vMerge w:val="restart"/>
            <w:vAlign w:val="center"/>
          </w:tcPr>
          <w:p w14:paraId="4BB4B732" w14:textId="0642DFAF" w:rsidR="006E01AA" w:rsidRPr="00F24057" w:rsidRDefault="006E01AA" w:rsidP="00D70B34">
            <w:pPr>
              <w:jc w:val="left"/>
              <w:rPr>
                <w:szCs w:val="22"/>
                <w:u w:val="single"/>
                <w:lang w:val="sr-Latn-ME"/>
              </w:rPr>
            </w:pPr>
            <w:r w:rsidRPr="00F24057">
              <w:rPr>
                <w:szCs w:val="22"/>
                <w:lang w:val="sr-Latn-ME"/>
              </w:rPr>
              <w:t>Infekcije i infestacije*</w:t>
            </w:r>
          </w:p>
        </w:tc>
        <w:tc>
          <w:tcPr>
            <w:tcW w:w="770" w:type="pct"/>
            <w:vAlign w:val="center"/>
          </w:tcPr>
          <w:p w14:paraId="6EE4DB9E" w14:textId="35BD30C5" w:rsidR="006E01AA" w:rsidRPr="00F24057" w:rsidRDefault="006E01AA" w:rsidP="00D70B34">
            <w:pPr>
              <w:jc w:val="left"/>
              <w:rPr>
                <w:szCs w:val="22"/>
                <w:u w:val="single"/>
                <w:lang w:val="sr-Latn-ME"/>
              </w:rPr>
            </w:pPr>
            <w:r w:rsidRPr="00F24057">
              <w:rPr>
                <w:szCs w:val="22"/>
                <w:lang w:val="sr-Latn-ME"/>
              </w:rPr>
              <w:t>Veoma često</w:t>
            </w:r>
          </w:p>
        </w:tc>
        <w:tc>
          <w:tcPr>
            <w:tcW w:w="3027" w:type="pct"/>
            <w:vAlign w:val="center"/>
          </w:tcPr>
          <w:p w14:paraId="5CCA3029" w14:textId="24E7D117" w:rsidR="006E01AA" w:rsidRPr="00F24057" w:rsidRDefault="006E01AA" w:rsidP="00D70B34">
            <w:pPr>
              <w:jc w:val="left"/>
              <w:rPr>
                <w:szCs w:val="22"/>
                <w:u w:val="single"/>
                <w:lang w:val="sr-Latn-ME"/>
              </w:rPr>
            </w:pPr>
            <w:r w:rsidRPr="00F24057">
              <w:rPr>
                <w:szCs w:val="22"/>
                <w:lang w:val="sr-Latn-ME"/>
              </w:rPr>
              <w:t>Infekcije respiratornog trakta (uključujući infekcije donjeg i gornjeg respiratornog trakta, pneumoniju, sinuzitis, faringitis, nazofaringitis i pneumoniju uzrokovanu herpes virusom)</w:t>
            </w:r>
          </w:p>
        </w:tc>
      </w:tr>
      <w:tr w:rsidR="006E01AA" w:rsidRPr="00F24057" w14:paraId="28149C7A" w14:textId="77777777" w:rsidTr="00DA2306">
        <w:trPr>
          <w:trHeight w:val="20"/>
        </w:trPr>
        <w:tc>
          <w:tcPr>
            <w:tcW w:w="1203" w:type="pct"/>
            <w:vMerge/>
            <w:vAlign w:val="center"/>
          </w:tcPr>
          <w:p w14:paraId="369C09CF" w14:textId="77777777" w:rsidR="006E01AA" w:rsidRPr="00F24057" w:rsidRDefault="006E01AA" w:rsidP="00D70B34">
            <w:pPr>
              <w:jc w:val="left"/>
              <w:rPr>
                <w:szCs w:val="22"/>
                <w:u w:val="single"/>
                <w:lang w:val="sr-Latn-ME"/>
              </w:rPr>
            </w:pPr>
          </w:p>
        </w:tc>
        <w:tc>
          <w:tcPr>
            <w:tcW w:w="770" w:type="pct"/>
            <w:vAlign w:val="center"/>
          </w:tcPr>
          <w:p w14:paraId="1B3122D8" w14:textId="56DE4D75" w:rsidR="006E01AA" w:rsidRPr="00F24057" w:rsidRDefault="006E01AA" w:rsidP="00D70B34">
            <w:pPr>
              <w:jc w:val="left"/>
              <w:rPr>
                <w:szCs w:val="22"/>
                <w:u w:val="single"/>
                <w:lang w:val="sr-Latn-ME"/>
              </w:rPr>
            </w:pPr>
            <w:r w:rsidRPr="00F24057">
              <w:rPr>
                <w:szCs w:val="22"/>
                <w:lang w:val="sr-Latn-ME"/>
              </w:rPr>
              <w:t>Često</w:t>
            </w:r>
          </w:p>
        </w:tc>
        <w:tc>
          <w:tcPr>
            <w:tcW w:w="3027" w:type="pct"/>
            <w:vAlign w:val="center"/>
          </w:tcPr>
          <w:p w14:paraId="3BDDF06F" w14:textId="77777777" w:rsidR="006E01AA" w:rsidRPr="00F24057" w:rsidRDefault="006E01AA" w:rsidP="00D70B34">
            <w:pPr>
              <w:jc w:val="left"/>
              <w:rPr>
                <w:szCs w:val="22"/>
                <w:lang w:val="sr-Latn-ME"/>
              </w:rPr>
            </w:pPr>
            <w:r w:rsidRPr="00F24057">
              <w:rPr>
                <w:szCs w:val="22"/>
                <w:lang w:val="sr-Latn-ME"/>
              </w:rPr>
              <w:t xml:space="preserve">Sistemske infekcije (uključujući sepsu, kandidijazu i influencu), </w:t>
            </w:r>
          </w:p>
          <w:p w14:paraId="3FC822C2" w14:textId="77777777" w:rsidR="006E01AA" w:rsidRPr="00F24057" w:rsidRDefault="006E01AA" w:rsidP="00D70B34">
            <w:pPr>
              <w:jc w:val="left"/>
              <w:rPr>
                <w:szCs w:val="22"/>
                <w:lang w:val="sr-Latn-ME"/>
              </w:rPr>
            </w:pPr>
            <w:r w:rsidRPr="00F24057">
              <w:rPr>
                <w:szCs w:val="22"/>
                <w:lang w:val="sr-Latn-ME"/>
              </w:rPr>
              <w:t xml:space="preserve">intestinalne infekcije (uključujući virusni gastroenteritis), </w:t>
            </w:r>
          </w:p>
          <w:p w14:paraId="66789902" w14:textId="77777777" w:rsidR="006E01AA" w:rsidRPr="00F24057" w:rsidRDefault="006E01AA" w:rsidP="00D70B34">
            <w:pPr>
              <w:jc w:val="left"/>
              <w:rPr>
                <w:szCs w:val="22"/>
                <w:lang w:val="sr-Latn-ME"/>
              </w:rPr>
            </w:pPr>
            <w:r w:rsidRPr="00F24057">
              <w:rPr>
                <w:szCs w:val="22"/>
                <w:lang w:val="sr-Latn-ME"/>
              </w:rPr>
              <w:t xml:space="preserve">infekcije kože i mekih tkiva (uključujući paronihiju, celulitis, impetigo, nekrotizirajući fasciitis i herpes zoster), </w:t>
            </w:r>
          </w:p>
          <w:p w14:paraId="0AB35300" w14:textId="77777777" w:rsidR="006E01AA" w:rsidRPr="00F24057" w:rsidRDefault="006E01AA" w:rsidP="00D70B34">
            <w:pPr>
              <w:jc w:val="left"/>
              <w:rPr>
                <w:szCs w:val="22"/>
                <w:lang w:val="sr-Latn-ME"/>
              </w:rPr>
            </w:pPr>
            <w:r w:rsidRPr="00F24057">
              <w:rPr>
                <w:szCs w:val="22"/>
                <w:lang w:val="sr-Latn-ME"/>
              </w:rPr>
              <w:t xml:space="preserve">infekcije uha, </w:t>
            </w:r>
          </w:p>
          <w:p w14:paraId="0C18ECB3" w14:textId="77777777" w:rsidR="006E01AA" w:rsidRPr="00F24057" w:rsidRDefault="006E01AA" w:rsidP="00D70B34">
            <w:pPr>
              <w:jc w:val="left"/>
              <w:rPr>
                <w:szCs w:val="22"/>
                <w:lang w:val="sr-Latn-ME"/>
              </w:rPr>
            </w:pPr>
            <w:r w:rsidRPr="00F24057">
              <w:rPr>
                <w:szCs w:val="22"/>
                <w:lang w:val="sr-Latn-ME"/>
              </w:rPr>
              <w:t xml:space="preserve">oralne infekcije (uključujući herpes simplex, oralni herpes i infekcije zuba), </w:t>
            </w:r>
          </w:p>
          <w:p w14:paraId="5021A10D" w14:textId="77777777" w:rsidR="006E01AA" w:rsidRPr="00F24057" w:rsidRDefault="006E01AA" w:rsidP="00D70B34">
            <w:pPr>
              <w:jc w:val="left"/>
              <w:rPr>
                <w:szCs w:val="22"/>
                <w:lang w:val="sr-Latn-ME"/>
              </w:rPr>
            </w:pPr>
            <w:r w:rsidRPr="00F24057">
              <w:rPr>
                <w:szCs w:val="22"/>
                <w:lang w:val="sr-Latn-ME"/>
              </w:rPr>
              <w:t xml:space="preserve">infekcije reproduktivnog trakta (uključujući vulvovaginalne mikotične infekcije), </w:t>
            </w:r>
          </w:p>
          <w:p w14:paraId="01760F50" w14:textId="77777777" w:rsidR="006E01AA" w:rsidRPr="00F24057" w:rsidRDefault="006E01AA" w:rsidP="00D70B34">
            <w:pPr>
              <w:jc w:val="left"/>
              <w:rPr>
                <w:szCs w:val="22"/>
                <w:lang w:val="sr-Latn-ME"/>
              </w:rPr>
            </w:pPr>
            <w:r w:rsidRPr="00F24057">
              <w:rPr>
                <w:szCs w:val="22"/>
                <w:lang w:val="sr-Latn-ME"/>
              </w:rPr>
              <w:t xml:space="preserve">infekcije urinarnog trakta (uključujući pijelonefritis), </w:t>
            </w:r>
          </w:p>
          <w:p w14:paraId="1CFE36CF" w14:textId="77777777" w:rsidR="006E01AA" w:rsidRPr="00F24057" w:rsidRDefault="006E01AA" w:rsidP="00D70B34">
            <w:pPr>
              <w:jc w:val="left"/>
              <w:rPr>
                <w:szCs w:val="22"/>
                <w:lang w:val="sr-Latn-ME"/>
              </w:rPr>
            </w:pPr>
            <w:r w:rsidRPr="00F24057">
              <w:rPr>
                <w:szCs w:val="22"/>
                <w:lang w:val="sr-Latn-ME"/>
              </w:rPr>
              <w:t xml:space="preserve">gljivične infekcije, </w:t>
            </w:r>
          </w:p>
          <w:p w14:paraId="47126760" w14:textId="2936238A" w:rsidR="006E01AA" w:rsidRPr="00F24057" w:rsidRDefault="006E01AA" w:rsidP="00D70B34">
            <w:pPr>
              <w:jc w:val="left"/>
              <w:rPr>
                <w:szCs w:val="22"/>
                <w:u w:val="single"/>
                <w:lang w:val="sr-Latn-ME"/>
              </w:rPr>
            </w:pPr>
            <w:r w:rsidRPr="00F24057">
              <w:rPr>
                <w:szCs w:val="22"/>
                <w:lang w:val="sr-Latn-ME"/>
              </w:rPr>
              <w:t>infekcije zglobova</w:t>
            </w:r>
          </w:p>
        </w:tc>
      </w:tr>
      <w:tr w:rsidR="006E01AA" w:rsidRPr="00F24057" w14:paraId="40CDAAC0" w14:textId="77777777" w:rsidTr="00DA2306">
        <w:trPr>
          <w:trHeight w:val="20"/>
        </w:trPr>
        <w:tc>
          <w:tcPr>
            <w:tcW w:w="1203" w:type="pct"/>
            <w:vMerge/>
            <w:vAlign w:val="center"/>
          </w:tcPr>
          <w:p w14:paraId="39C3BC8D" w14:textId="77777777" w:rsidR="006E01AA" w:rsidRPr="00F24057" w:rsidRDefault="006E01AA" w:rsidP="00D70B34">
            <w:pPr>
              <w:jc w:val="left"/>
              <w:rPr>
                <w:szCs w:val="22"/>
                <w:u w:val="single"/>
                <w:lang w:val="sr-Latn-ME"/>
              </w:rPr>
            </w:pPr>
          </w:p>
        </w:tc>
        <w:tc>
          <w:tcPr>
            <w:tcW w:w="770" w:type="pct"/>
            <w:vAlign w:val="center"/>
          </w:tcPr>
          <w:p w14:paraId="25254AF6" w14:textId="64471FF5" w:rsidR="006E01AA" w:rsidRPr="00F24057" w:rsidRDefault="006E01AA" w:rsidP="00D70B34">
            <w:pPr>
              <w:jc w:val="left"/>
              <w:rPr>
                <w:szCs w:val="22"/>
                <w:u w:val="single"/>
                <w:lang w:val="sr-Latn-ME"/>
              </w:rPr>
            </w:pPr>
            <w:r w:rsidRPr="00F24057">
              <w:rPr>
                <w:szCs w:val="22"/>
                <w:lang w:val="sr-Latn-ME"/>
              </w:rPr>
              <w:t>Povremeno</w:t>
            </w:r>
          </w:p>
        </w:tc>
        <w:tc>
          <w:tcPr>
            <w:tcW w:w="3027" w:type="pct"/>
            <w:vAlign w:val="center"/>
          </w:tcPr>
          <w:p w14:paraId="32A0DAF4" w14:textId="77777777" w:rsidR="006E01AA" w:rsidRPr="00F24057" w:rsidRDefault="006E01AA" w:rsidP="00D70B34">
            <w:pPr>
              <w:jc w:val="left"/>
              <w:rPr>
                <w:szCs w:val="22"/>
                <w:lang w:val="sr-Latn-ME"/>
              </w:rPr>
            </w:pPr>
            <w:r w:rsidRPr="00F24057">
              <w:rPr>
                <w:szCs w:val="22"/>
                <w:lang w:val="sr-Latn-ME"/>
              </w:rPr>
              <w:t>Neurološke infekcije (uključujući virusni meningitis),</w:t>
            </w:r>
          </w:p>
          <w:p w14:paraId="7703A3C3" w14:textId="77777777" w:rsidR="006E01AA" w:rsidRPr="00F24057" w:rsidRDefault="006E01AA" w:rsidP="00D70B34">
            <w:pPr>
              <w:jc w:val="left"/>
              <w:rPr>
                <w:szCs w:val="22"/>
                <w:lang w:val="sr-Latn-ME"/>
              </w:rPr>
            </w:pPr>
            <w:r w:rsidRPr="00F24057">
              <w:rPr>
                <w:szCs w:val="22"/>
                <w:lang w:val="sr-Latn-ME"/>
              </w:rPr>
              <w:t xml:space="preserve">oportunističke infekcije i tuberkuloza (uključujući kokcidioidomikozu, histoplazmozu i infekciju kompleksom </w:t>
            </w:r>
            <w:r w:rsidRPr="00F24057">
              <w:rPr>
                <w:i/>
                <w:iCs/>
                <w:szCs w:val="22"/>
                <w:lang w:val="sr-Latn-ME"/>
              </w:rPr>
              <w:t>mycobacterium avium</w:t>
            </w:r>
            <w:r w:rsidRPr="00F24057">
              <w:rPr>
                <w:szCs w:val="22"/>
                <w:lang w:val="sr-Latn-ME"/>
              </w:rPr>
              <w:t xml:space="preserve">), </w:t>
            </w:r>
          </w:p>
          <w:p w14:paraId="78C8AD4C" w14:textId="77777777" w:rsidR="006E01AA" w:rsidRPr="00F24057" w:rsidRDefault="006E01AA" w:rsidP="00D70B34">
            <w:pPr>
              <w:jc w:val="left"/>
              <w:rPr>
                <w:szCs w:val="22"/>
                <w:lang w:val="sr-Latn-ME"/>
              </w:rPr>
            </w:pPr>
            <w:r w:rsidRPr="00F24057">
              <w:rPr>
                <w:szCs w:val="22"/>
                <w:lang w:val="sr-Latn-ME"/>
              </w:rPr>
              <w:t xml:space="preserve">bakterijske infekcije, </w:t>
            </w:r>
          </w:p>
          <w:p w14:paraId="236FD8F6" w14:textId="77777777" w:rsidR="006E01AA" w:rsidRPr="00F24057" w:rsidRDefault="006E01AA" w:rsidP="00D70B34">
            <w:pPr>
              <w:jc w:val="left"/>
              <w:rPr>
                <w:szCs w:val="22"/>
                <w:lang w:val="sr-Latn-ME"/>
              </w:rPr>
            </w:pPr>
            <w:r w:rsidRPr="00F24057">
              <w:rPr>
                <w:szCs w:val="22"/>
                <w:lang w:val="sr-Latn-ME"/>
              </w:rPr>
              <w:t xml:space="preserve">infekcije oka, </w:t>
            </w:r>
          </w:p>
          <w:p w14:paraId="22B97BC3" w14:textId="45AD4654" w:rsidR="006E01AA" w:rsidRPr="00F24057" w:rsidRDefault="006E01AA" w:rsidP="00D70B34">
            <w:pPr>
              <w:jc w:val="left"/>
              <w:rPr>
                <w:szCs w:val="22"/>
                <w:u w:val="single"/>
                <w:lang w:val="sr-Latn-ME"/>
              </w:rPr>
            </w:pPr>
            <w:r w:rsidRPr="00F24057">
              <w:rPr>
                <w:szCs w:val="22"/>
                <w:lang w:val="sr-Latn-ME"/>
              </w:rPr>
              <w:t>divertikulitis</w:t>
            </w:r>
            <w:r w:rsidRPr="00F24057">
              <w:rPr>
                <w:szCs w:val="22"/>
                <w:vertAlign w:val="superscript"/>
                <w:lang w:val="sr-Latn-ME"/>
              </w:rPr>
              <w:t>1)</w:t>
            </w:r>
          </w:p>
        </w:tc>
      </w:tr>
      <w:tr w:rsidR="006E01AA" w:rsidRPr="00F24057" w14:paraId="41BB00D7" w14:textId="77777777" w:rsidTr="00DA2306">
        <w:trPr>
          <w:trHeight w:val="20"/>
        </w:trPr>
        <w:tc>
          <w:tcPr>
            <w:tcW w:w="1203" w:type="pct"/>
            <w:vMerge w:val="restart"/>
            <w:vAlign w:val="center"/>
          </w:tcPr>
          <w:p w14:paraId="2D1C6975" w14:textId="4672D56B" w:rsidR="006E01AA" w:rsidRPr="00F24057" w:rsidRDefault="006E01AA" w:rsidP="00D70B34">
            <w:pPr>
              <w:jc w:val="left"/>
              <w:rPr>
                <w:szCs w:val="22"/>
                <w:u w:val="single"/>
                <w:lang w:val="sr-Latn-ME"/>
              </w:rPr>
            </w:pPr>
            <w:r w:rsidRPr="00F24057">
              <w:rPr>
                <w:szCs w:val="22"/>
                <w:lang w:val="sr-Latn-ME"/>
              </w:rPr>
              <w:lastRenderedPageBreak/>
              <w:t>Neoplazme-benigne, maligne i neodređene (uključujući ciste i polipe)*</w:t>
            </w:r>
          </w:p>
        </w:tc>
        <w:tc>
          <w:tcPr>
            <w:tcW w:w="770" w:type="pct"/>
            <w:vAlign w:val="center"/>
          </w:tcPr>
          <w:p w14:paraId="360681F3" w14:textId="313DCEA8" w:rsidR="006E01AA" w:rsidRPr="00F24057" w:rsidRDefault="006E01AA" w:rsidP="00D70B34">
            <w:pPr>
              <w:jc w:val="left"/>
              <w:rPr>
                <w:szCs w:val="22"/>
                <w:u w:val="single"/>
                <w:lang w:val="sr-Latn-ME"/>
              </w:rPr>
            </w:pPr>
            <w:r w:rsidRPr="00F24057">
              <w:rPr>
                <w:szCs w:val="22"/>
                <w:lang w:val="sr-Latn-ME"/>
              </w:rPr>
              <w:t>Često</w:t>
            </w:r>
          </w:p>
        </w:tc>
        <w:tc>
          <w:tcPr>
            <w:tcW w:w="3027" w:type="pct"/>
            <w:vAlign w:val="center"/>
          </w:tcPr>
          <w:p w14:paraId="7A3709AD" w14:textId="220D514F" w:rsidR="006E01AA" w:rsidRPr="00F24057" w:rsidRDefault="006E01AA" w:rsidP="00D70B34">
            <w:pPr>
              <w:jc w:val="left"/>
              <w:rPr>
                <w:szCs w:val="22"/>
                <w:lang w:val="sr-Latn-ME"/>
              </w:rPr>
            </w:pPr>
            <w:r w:rsidRPr="00F24057">
              <w:rPr>
                <w:szCs w:val="22"/>
                <w:lang w:val="sr-Latn-ME"/>
              </w:rPr>
              <w:t xml:space="preserve">Kancer kože izuzimajući </w:t>
            </w:r>
            <w:r w:rsidR="005E6EAE" w:rsidRPr="00F24057">
              <w:rPr>
                <w:szCs w:val="22"/>
                <w:lang w:val="sr-Latn-ME"/>
              </w:rPr>
              <w:t>melanom</w:t>
            </w:r>
            <w:r w:rsidRPr="00F24057">
              <w:rPr>
                <w:szCs w:val="22"/>
                <w:lang w:val="sr-Latn-ME"/>
              </w:rPr>
              <w:t xml:space="preserve"> (uključujući karcinom bazalnih ćelija i karcinom skvamoznih ćelija), </w:t>
            </w:r>
          </w:p>
          <w:p w14:paraId="32B415F4" w14:textId="69DA63E4" w:rsidR="006E01AA" w:rsidRPr="00F24057" w:rsidRDefault="006E01AA" w:rsidP="00D70B34">
            <w:pPr>
              <w:jc w:val="left"/>
              <w:rPr>
                <w:szCs w:val="22"/>
                <w:u w:val="single"/>
                <w:lang w:val="sr-Latn-ME"/>
              </w:rPr>
            </w:pPr>
            <w:r w:rsidRPr="00F24057">
              <w:rPr>
                <w:szCs w:val="22"/>
                <w:lang w:val="sr-Latn-ME"/>
              </w:rPr>
              <w:t>benigne neoplazme</w:t>
            </w:r>
          </w:p>
        </w:tc>
      </w:tr>
      <w:tr w:rsidR="006E01AA" w:rsidRPr="00F24057" w14:paraId="134FB4B9" w14:textId="77777777" w:rsidTr="00DA2306">
        <w:trPr>
          <w:trHeight w:val="20"/>
        </w:trPr>
        <w:tc>
          <w:tcPr>
            <w:tcW w:w="1203" w:type="pct"/>
            <w:vMerge/>
            <w:vAlign w:val="center"/>
          </w:tcPr>
          <w:p w14:paraId="3E1C11B8" w14:textId="77777777" w:rsidR="006E01AA" w:rsidRPr="00F24057" w:rsidRDefault="006E01AA" w:rsidP="00D70B34">
            <w:pPr>
              <w:jc w:val="left"/>
              <w:rPr>
                <w:szCs w:val="22"/>
                <w:u w:val="single"/>
                <w:lang w:val="sr-Latn-ME"/>
              </w:rPr>
            </w:pPr>
          </w:p>
        </w:tc>
        <w:tc>
          <w:tcPr>
            <w:tcW w:w="770" w:type="pct"/>
            <w:vAlign w:val="center"/>
          </w:tcPr>
          <w:p w14:paraId="55E0A2F9" w14:textId="0CF777E9" w:rsidR="006E01AA" w:rsidRPr="00F24057" w:rsidRDefault="006E01AA" w:rsidP="00D70B34">
            <w:pPr>
              <w:jc w:val="left"/>
              <w:rPr>
                <w:szCs w:val="22"/>
                <w:u w:val="single"/>
                <w:lang w:val="sr-Latn-ME"/>
              </w:rPr>
            </w:pPr>
            <w:r w:rsidRPr="00F24057">
              <w:rPr>
                <w:szCs w:val="22"/>
                <w:lang w:val="sr-Latn-ME"/>
              </w:rPr>
              <w:t>Povremeno</w:t>
            </w:r>
          </w:p>
        </w:tc>
        <w:tc>
          <w:tcPr>
            <w:tcW w:w="3027" w:type="pct"/>
            <w:vAlign w:val="center"/>
          </w:tcPr>
          <w:p w14:paraId="0BD1BEC5" w14:textId="77777777" w:rsidR="006E01AA" w:rsidRPr="00F24057" w:rsidRDefault="006E01AA" w:rsidP="00D70B34">
            <w:pPr>
              <w:jc w:val="left"/>
              <w:rPr>
                <w:szCs w:val="22"/>
                <w:lang w:val="sr-Latn-ME"/>
              </w:rPr>
            </w:pPr>
            <w:r w:rsidRPr="00F24057">
              <w:rPr>
                <w:szCs w:val="22"/>
                <w:lang w:val="sr-Latn-ME"/>
              </w:rPr>
              <w:t xml:space="preserve">Limfom**, </w:t>
            </w:r>
          </w:p>
          <w:p w14:paraId="1F1D4E33" w14:textId="62A183B5" w:rsidR="006E01AA" w:rsidRPr="00F24057" w:rsidRDefault="006E01AA" w:rsidP="00D70B34">
            <w:pPr>
              <w:jc w:val="left"/>
              <w:rPr>
                <w:szCs w:val="22"/>
                <w:lang w:val="sr-Latn-ME"/>
              </w:rPr>
            </w:pPr>
            <w:r w:rsidRPr="00F24057">
              <w:rPr>
                <w:szCs w:val="22"/>
                <w:lang w:val="sr-Latn-ME"/>
              </w:rPr>
              <w:t xml:space="preserve">tumori solidnih organa (uključujući kancere dojke, maligne neoplazme pluća i štitaste </w:t>
            </w:r>
            <w:r w:rsidR="009A3407" w:rsidRPr="00F24057">
              <w:rPr>
                <w:szCs w:val="22"/>
                <w:lang w:val="sr-Latn-ME"/>
              </w:rPr>
              <w:t>žlijezd</w:t>
            </w:r>
            <w:r w:rsidRPr="00F24057">
              <w:rPr>
                <w:szCs w:val="22"/>
                <w:lang w:val="sr-Latn-ME"/>
              </w:rPr>
              <w:t xml:space="preserve">e), </w:t>
            </w:r>
          </w:p>
          <w:p w14:paraId="25D91036" w14:textId="089033BB" w:rsidR="006E01AA" w:rsidRPr="00F24057" w:rsidRDefault="006E01AA" w:rsidP="00D70B34">
            <w:pPr>
              <w:jc w:val="left"/>
              <w:rPr>
                <w:szCs w:val="22"/>
                <w:u w:val="single"/>
                <w:lang w:val="sr-Latn-ME"/>
              </w:rPr>
            </w:pPr>
            <w:r w:rsidRPr="00F24057">
              <w:rPr>
                <w:szCs w:val="22"/>
                <w:lang w:val="sr-Latn-ME"/>
              </w:rPr>
              <w:t>melanom**</w:t>
            </w:r>
          </w:p>
        </w:tc>
      </w:tr>
      <w:tr w:rsidR="006E01AA" w:rsidRPr="00F24057" w14:paraId="759B2D5B" w14:textId="77777777" w:rsidTr="00DA2306">
        <w:trPr>
          <w:trHeight w:val="20"/>
        </w:trPr>
        <w:tc>
          <w:tcPr>
            <w:tcW w:w="1203" w:type="pct"/>
            <w:vMerge/>
            <w:vAlign w:val="center"/>
          </w:tcPr>
          <w:p w14:paraId="73D4CD29" w14:textId="77777777" w:rsidR="006E01AA" w:rsidRPr="00F24057" w:rsidRDefault="006E01AA" w:rsidP="00D70B34">
            <w:pPr>
              <w:jc w:val="left"/>
              <w:rPr>
                <w:szCs w:val="22"/>
                <w:u w:val="single"/>
                <w:lang w:val="sr-Latn-ME"/>
              </w:rPr>
            </w:pPr>
          </w:p>
        </w:tc>
        <w:tc>
          <w:tcPr>
            <w:tcW w:w="770" w:type="pct"/>
            <w:vAlign w:val="center"/>
          </w:tcPr>
          <w:p w14:paraId="45CF8153" w14:textId="699A9DBB" w:rsidR="006E01AA" w:rsidRPr="00F24057" w:rsidRDefault="004F2520" w:rsidP="00D70B34">
            <w:pPr>
              <w:jc w:val="left"/>
              <w:rPr>
                <w:szCs w:val="22"/>
                <w:u w:val="single"/>
                <w:lang w:val="sr-Latn-ME"/>
              </w:rPr>
            </w:pPr>
            <w:r w:rsidRPr="00F24057">
              <w:rPr>
                <w:szCs w:val="22"/>
                <w:lang w:val="sr-Latn-ME"/>
              </w:rPr>
              <w:t>Rijetk</w:t>
            </w:r>
            <w:r w:rsidR="006E01AA" w:rsidRPr="00F24057">
              <w:rPr>
                <w:szCs w:val="22"/>
                <w:lang w:val="sr-Latn-ME"/>
              </w:rPr>
              <w:t>o</w:t>
            </w:r>
          </w:p>
        </w:tc>
        <w:tc>
          <w:tcPr>
            <w:tcW w:w="3027" w:type="pct"/>
            <w:vAlign w:val="center"/>
          </w:tcPr>
          <w:p w14:paraId="44A1287D" w14:textId="13ECAC51" w:rsidR="006E01AA" w:rsidRPr="00F24057" w:rsidRDefault="006E01AA" w:rsidP="00D70B34">
            <w:pPr>
              <w:jc w:val="left"/>
              <w:rPr>
                <w:szCs w:val="22"/>
                <w:u w:val="single"/>
                <w:lang w:val="sr-Latn-ME"/>
              </w:rPr>
            </w:pPr>
            <w:r w:rsidRPr="00F24057">
              <w:rPr>
                <w:szCs w:val="22"/>
                <w:lang w:val="sr-Latn-ME"/>
              </w:rPr>
              <w:t>Leukemija</w:t>
            </w:r>
            <w:r w:rsidRPr="00F24057">
              <w:rPr>
                <w:szCs w:val="22"/>
                <w:vertAlign w:val="superscript"/>
                <w:lang w:val="sr-Latn-ME"/>
              </w:rPr>
              <w:t>1)</w:t>
            </w:r>
          </w:p>
        </w:tc>
      </w:tr>
      <w:tr w:rsidR="006E01AA" w:rsidRPr="00F24057" w14:paraId="54173A2C" w14:textId="77777777" w:rsidTr="00DA2306">
        <w:trPr>
          <w:trHeight w:val="20"/>
        </w:trPr>
        <w:tc>
          <w:tcPr>
            <w:tcW w:w="1203" w:type="pct"/>
            <w:vMerge/>
            <w:vAlign w:val="center"/>
          </w:tcPr>
          <w:p w14:paraId="5D27F61E" w14:textId="77777777" w:rsidR="006E01AA" w:rsidRPr="00F24057" w:rsidRDefault="006E01AA" w:rsidP="00D70B34">
            <w:pPr>
              <w:jc w:val="left"/>
              <w:rPr>
                <w:szCs w:val="22"/>
                <w:u w:val="single"/>
                <w:lang w:val="sr-Latn-ME"/>
              </w:rPr>
            </w:pPr>
          </w:p>
        </w:tc>
        <w:tc>
          <w:tcPr>
            <w:tcW w:w="770" w:type="pct"/>
            <w:vAlign w:val="center"/>
          </w:tcPr>
          <w:p w14:paraId="6119B2B1" w14:textId="0E8A2CBB" w:rsidR="006E01AA" w:rsidRPr="00F24057" w:rsidRDefault="006E01AA" w:rsidP="00D70B34">
            <w:pPr>
              <w:jc w:val="left"/>
              <w:rPr>
                <w:szCs w:val="22"/>
                <w:u w:val="single"/>
                <w:lang w:val="sr-Latn-ME"/>
              </w:rPr>
            </w:pPr>
            <w:r w:rsidRPr="00F24057">
              <w:rPr>
                <w:szCs w:val="22"/>
                <w:lang w:val="sr-Latn-ME"/>
              </w:rPr>
              <w:t>Nepoznato</w:t>
            </w:r>
          </w:p>
        </w:tc>
        <w:tc>
          <w:tcPr>
            <w:tcW w:w="3027" w:type="pct"/>
            <w:vAlign w:val="center"/>
          </w:tcPr>
          <w:p w14:paraId="3A4CC033" w14:textId="77777777" w:rsidR="006E01AA" w:rsidRPr="00F24057" w:rsidRDefault="006E01AA" w:rsidP="00D70B34">
            <w:pPr>
              <w:jc w:val="left"/>
              <w:rPr>
                <w:szCs w:val="22"/>
                <w:lang w:val="sr-Latn-ME"/>
              </w:rPr>
            </w:pPr>
            <w:r w:rsidRPr="00F24057">
              <w:rPr>
                <w:szCs w:val="22"/>
                <w:lang w:val="sr-Latn-ME"/>
              </w:rPr>
              <w:t>Hepatosplenični T-ćelijski limfom</w:t>
            </w:r>
            <w:r w:rsidRPr="00F24057">
              <w:rPr>
                <w:szCs w:val="22"/>
                <w:vertAlign w:val="superscript"/>
                <w:lang w:val="sr-Latn-ME"/>
              </w:rPr>
              <w:t>1)</w:t>
            </w:r>
            <w:r w:rsidRPr="00F24057">
              <w:rPr>
                <w:szCs w:val="22"/>
                <w:lang w:val="sr-Latn-ME"/>
              </w:rPr>
              <w:t xml:space="preserve"> , </w:t>
            </w:r>
          </w:p>
          <w:p w14:paraId="295AEF51" w14:textId="77777777" w:rsidR="006E01AA" w:rsidRPr="00F24057" w:rsidRDefault="006E01AA" w:rsidP="00D70B34">
            <w:pPr>
              <w:jc w:val="left"/>
              <w:rPr>
                <w:szCs w:val="22"/>
                <w:vertAlign w:val="superscript"/>
                <w:lang w:val="sr-Latn-ME"/>
              </w:rPr>
            </w:pPr>
            <w:r w:rsidRPr="00F24057">
              <w:rPr>
                <w:szCs w:val="22"/>
                <w:lang w:val="sr-Latn-ME"/>
              </w:rPr>
              <w:t>karcinom Merkelovih ćelija (neuroendokrini karcinom kože)</w:t>
            </w:r>
            <w:r w:rsidRPr="00F24057">
              <w:rPr>
                <w:szCs w:val="22"/>
                <w:vertAlign w:val="superscript"/>
                <w:lang w:val="sr-Latn-ME"/>
              </w:rPr>
              <w:t>1)</w:t>
            </w:r>
          </w:p>
          <w:p w14:paraId="31E90951" w14:textId="233B73D2" w:rsidR="006E01AA" w:rsidRPr="00F24057" w:rsidRDefault="006E01AA" w:rsidP="00D70B34">
            <w:pPr>
              <w:jc w:val="left"/>
              <w:rPr>
                <w:szCs w:val="22"/>
                <w:lang w:val="sr-Latn-ME"/>
              </w:rPr>
            </w:pPr>
            <w:r w:rsidRPr="00F24057">
              <w:rPr>
                <w:szCs w:val="22"/>
                <w:lang w:val="sr-Latn-ME"/>
              </w:rPr>
              <w:t>Kapoši sarkom</w:t>
            </w:r>
          </w:p>
        </w:tc>
      </w:tr>
      <w:tr w:rsidR="006E01AA" w:rsidRPr="00F24057" w14:paraId="219FE85D" w14:textId="77777777" w:rsidTr="00DA2306">
        <w:trPr>
          <w:trHeight w:val="20"/>
        </w:trPr>
        <w:tc>
          <w:tcPr>
            <w:tcW w:w="1203" w:type="pct"/>
            <w:vMerge w:val="restart"/>
            <w:vAlign w:val="center"/>
          </w:tcPr>
          <w:p w14:paraId="1A1F8A58" w14:textId="7190CA56" w:rsidR="006E01AA" w:rsidRPr="00F24057" w:rsidRDefault="006E01AA" w:rsidP="00D70B34">
            <w:pPr>
              <w:jc w:val="left"/>
              <w:rPr>
                <w:szCs w:val="22"/>
                <w:u w:val="single"/>
                <w:lang w:val="sr-Latn-ME"/>
              </w:rPr>
            </w:pPr>
            <w:r w:rsidRPr="00F24057">
              <w:rPr>
                <w:szCs w:val="22"/>
                <w:lang w:val="sr-Latn-ME"/>
              </w:rPr>
              <w:t>Poremećaji krvi i limfnog sistema*</w:t>
            </w:r>
          </w:p>
        </w:tc>
        <w:tc>
          <w:tcPr>
            <w:tcW w:w="770" w:type="pct"/>
            <w:vAlign w:val="center"/>
          </w:tcPr>
          <w:p w14:paraId="470B1C13" w14:textId="48595026" w:rsidR="006E01AA" w:rsidRPr="00F24057" w:rsidRDefault="006E01AA" w:rsidP="00D70B34">
            <w:pPr>
              <w:jc w:val="left"/>
              <w:rPr>
                <w:szCs w:val="22"/>
                <w:u w:val="single"/>
                <w:lang w:val="sr-Latn-ME"/>
              </w:rPr>
            </w:pPr>
            <w:r w:rsidRPr="00F24057">
              <w:rPr>
                <w:szCs w:val="22"/>
                <w:lang w:val="sr-Latn-ME"/>
              </w:rPr>
              <w:t>Veoma često</w:t>
            </w:r>
          </w:p>
        </w:tc>
        <w:tc>
          <w:tcPr>
            <w:tcW w:w="3027" w:type="pct"/>
            <w:vAlign w:val="center"/>
          </w:tcPr>
          <w:p w14:paraId="4D2EAA1D" w14:textId="77777777" w:rsidR="006E01AA" w:rsidRPr="00F24057" w:rsidRDefault="006E01AA" w:rsidP="00D70B34">
            <w:pPr>
              <w:jc w:val="left"/>
              <w:rPr>
                <w:szCs w:val="22"/>
                <w:lang w:val="sr-Latn-ME"/>
              </w:rPr>
            </w:pPr>
            <w:r w:rsidRPr="00F24057">
              <w:rPr>
                <w:szCs w:val="22"/>
                <w:lang w:val="sr-Latn-ME"/>
              </w:rPr>
              <w:t xml:space="preserve">Leukopenija (uključujući neutropeniju i agranulocitozu), </w:t>
            </w:r>
          </w:p>
          <w:p w14:paraId="1040D108" w14:textId="577FD046" w:rsidR="006E01AA" w:rsidRPr="00F24057" w:rsidRDefault="00E21005" w:rsidP="00D70B34">
            <w:pPr>
              <w:jc w:val="left"/>
              <w:rPr>
                <w:szCs w:val="22"/>
                <w:u w:val="single"/>
                <w:lang w:val="sr-Latn-ME"/>
              </w:rPr>
            </w:pPr>
            <w:r w:rsidRPr="00F24057">
              <w:rPr>
                <w:szCs w:val="22"/>
                <w:lang w:val="sr-Latn-ME"/>
              </w:rPr>
              <w:t>a</w:t>
            </w:r>
            <w:r w:rsidR="006E01AA" w:rsidRPr="00F24057">
              <w:rPr>
                <w:szCs w:val="22"/>
                <w:lang w:val="sr-Latn-ME"/>
              </w:rPr>
              <w:t>nemija</w:t>
            </w:r>
          </w:p>
        </w:tc>
      </w:tr>
      <w:tr w:rsidR="006E01AA" w:rsidRPr="00F24057" w14:paraId="6F07DF06" w14:textId="77777777" w:rsidTr="00DA2306">
        <w:trPr>
          <w:trHeight w:val="20"/>
        </w:trPr>
        <w:tc>
          <w:tcPr>
            <w:tcW w:w="1203" w:type="pct"/>
            <w:vMerge/>
            <w:vAlign w:val="center"/>
          </w:tcPr>
          <w:p w14:paraId="0EA20411" w14:textId="77777777" w:rsidR="006E01AA" w:rsidRPr="00F24057" w:rsidRDefault="006E01AA" w:rsidP="00D70B34">
            <w:pPr>
              <w:jc w:val="left"/>
              <w:rPr>
                <w:szCs w:val="22"/>
                <w:u w:val="single"/>
                <w:lang w:val="sr-Latn-ME"/>
              </w:rPr>
            </w:pPr>
          </w:p>
        </w:tc>
        <w:tc>
          <w:tcPr>
            <w:tcW w:w="770" w:type="pct"/>
            <w:vAlign w:val="center"/>
          </w:tcPr>
          <w:p w14:paraId="7882B034" w14:textId="055DC4FF" w:rsidR="006E01AA" w:rsidRPr="00F24057" w:rsidRDefault="006E01AA" w:rsidP="00D70B34">
            <w:pPr>
              <w:jc w:val="left"/>
              <w:rPr>
                <w:szCs w:val="22"/>
                <w:u w:val="single"/>
                <w:lang w:val="sr-Latn-ME"/>
              </w:rPr>
            </w:pPr>
            <w:r w:rsidRPr="00F24057">
              <w:rPr>
                <w:szCs w:val="22"/>
                <w:lang w:val="sr-Latn-ME"/>
              </w:rPr>
              <w:t>Često</w:t>
            </w:r>
          </w:p>
        </w:tc>
        <w:tc>
          <w:tcPr>
            <w:tcW w:w="3027" w:type="pct"/>
            <w:vAlign w:val="center"/>
          </w:tcPr>
          <w:p w14:paraId="622DCA10" w14:textId="77777777" w:rsidR="006E01AA" w:rsidRPr="00F24057" w:rsidRDefault="006E01AA" w:rsidP="00D70B34">
            <w:pPr>
              <w:jc w:val="left"/>
              <w:rPr>
                <w:szCs w:val="22"/>
                <w:lang w:val="sr-Latn-ME"/>
              </w:rPr>
            </w:pPr>
            <w:r w:rsidRPr="00F24057">
              <w:rPr>
                <w:szCs w:val="22"/>
                <w:lang w:val="sr-Latn-ME"/>
              </w:rPr>
              <w:t xml:space="preserve">Leukocitoza, </w:t>
            </w:r>
          </w:p>
          <w:p w14:paraId="48AEA54A" w14:textId="2BD2F7CE" w:rsidR="006E01AA" w:rsidRPr="00F24057" w:rsidRDefault="00E21005" w:rsidP="00D70B34">
            <w:pPr>
              <w:jc w:val="left"/>
              <w:rPr>
                <w:szCs w:val="22"/>
                <w:u w:val="single"/>
                <w:lang w:val="sr-Latn-ME"/>
              </w:rPr>
            </w:pPr>
            <w:r w:rsidRPr="00F24057">
              <w:rPr>
                <w:szCs w:val="22"/>
                <w:lang w:val="sr-Latn-ME"/>
              </w:rPr>
              <w:t>t</w:t>
            </w:r>
            <w:r w:rsidR="006E01AA" w:rsidRPr="00F24057">
              <w:rPr>
                <w:szCs w:val="22"/>
                <w:lang w:val="sr-Latn-ME"/>
              </w:rPr>
              <w:t>rombocitopenija</w:t>
            </w:r>
          </w:p>
        </w:tc>
      </w:tr>
      <w:tr w:rsidR="006E01AA" w:rsidRPr="00F24057" w14:paraId="4B23903B" w14:textId="77777777" w:rsidTr="00DA2306">
        <w:trPr>
          <w:trHeight w:val="20"/>
        </w:trPr>
        <w:tc>
          <w:tcPr>
            <w:tcW w:w="1203" w:type="pct"/>
            <w:vMerge/>
            <w:vAlign w:val="center"/>
          </w:tcPr>
          <w:p w14:paraId="1C03CC8A" w14:textId="77777777" w:rsidR="006E01AA" w:rsidRPr="00F24057" w:rsidRDefault="006E01AA" w:rsidP="00D70B34">
            <w:pPr>
              <w:jc w:val="left"/>
              <w:rPr>
                <w:szCs w:val="22"/>
                <w:u w:val="single"/>
                <w:lang w:val="sr-Latn-ME"/>
              </w:rPr>
            </w:pPr>
          </w:p>
        </w:tc>
        <w:tc>
          <w:tcPr>
            <w:tcW w:w="770" w:type="pct"/>
            <w:vAlign w:val="center"/>
          </w:tcPr>
          <w:p w14:paraId="58CA7836" w14:textId="3699C0E0" w:rsidR="006E01AA" w:rsidRPr="00F24057" w:rsidRDefault="006E01AA" w:rsidP="00D70B34">
            <w:pPr>
              <w:jc w:val="left"/>
              <w:rPr>
                <w:szCs w:val="22"/>
                <w:u w:val="single"/>
                <w:lang w:val="sr-Latn-ME"/>
              </w:rPr>
            </w:pPr>
            <w:r w:rsidRPr="00F24057">
              <w:rPr>
                <w:szCs w:val="22"/>
                <w:lang w:val="sr-Latn-ME"/>
              </w:rPr>
              <w:t>Povremeno</w:t>
            </w:r>
          </w:p>
        </w:tc>
        <w:tc>
          <w:tcPr>
            <w:tcW w:w="3027" w:type="pct"/>
            <w:vAlign w:val="center"/>
          </w:tcPr>
          <w:p w14:paraId="6A72A4A7" w14:textId="62CBA1A1" w:rsidR="006E01AA" w:rsidRPr="00F24057" w:rsidRDefault="006E01AA" w:rsidP="00D70B34">
            <w:pPr>
              <w:jc w:val="left"/>
              <w:rPr>
                <w:szCs w:val="22"/>
                <w:u w:val="single"/>
                <w:lang w:val="sr-Latn-ME"/>
              </w:rPr>
            </w:pPr>
            <w:r w:rsidRPr="00F24057">
              <w:rPr>
                <w:szCs w:val="22"/>
                <w:lang w:val="sr-Latn-ME"/>
              </w:rPr>
              <w:t>Idiopatska trombocitopenijska purpura</w:t>
            </w:r>
          </w:p>
        </w:tc>
      </w:tr>
      <w:tr w:rsidR="006E01AA" w:rsidRPr="00F24057" w14:paraId="51DE015C" w14:textId="77777777" w:rsidTr="00DA2306">
        <w:trPr>
          <w:trHeight w:val="20"/>
        </w:trPr>
        <w:tc>
          <w:tcPr>
            <w:tcW w:w="1203" w:type="pct"/>
            <w:vMerge/>
            <w:vAlign w:val="center"/>
          </w:tcPr>
          <w:p w14:paraId="2E61010D" w14:textId="77777777" w:rsidR="006E01AA" w:rsidRPr="00F24057" w:rsidRDefault="006E01AA" w:rsidP="00D70B34">
            <w:pPr>
              <w:jc w:val="left"/>
              <w:rPr>
                <w:szCs w:val="22"/>
                <w:u w:val="single"/>
                <w:lang w:val="sr-Latn-ME"/>
              </w:rPr>
            </w:pPr>
          </w:p>
        </w:tc>
        <w:tc>
          <w:tcPr>
            <w:tcW w:w="770" w:type="pct"/>
            <w:vAlign w:val="center"/>
          </w:tcPr>
          <w:p w14:paraId="5A720C7D" w14:textId="3EE454A9" w:rsidR="006E01AA" w:rsidRPr="00F24057" w:rsidRDefault="004F2520" w:rsidP="00D70B34">
            <w:pPr>
              <w:jc w:val="left"/>
              <w:rPr>
                <w:szCs w:val="22"/>
                <w:u w:val="single"/>
                <w:lang w:val="sr-Latn-ME"/>
              </w:rPr>
            </w:pPr>
            <w:r w:rsidRPr="00F24057">
              <w:rPr>
                <w:szCs w:val="22"/>
                <w:lang w:val="sr-Latn-ME"/>
              </w:rPr>
              <w:t>Rijetk</w:t>
            </w:r>
            <w:r w:rsidR="006E01AA" w:rsidRPr="00F24057">
              <w:rPr>
                <w:szCs w:val="22"/>
                <w:lang w:val="sr-Latn-ME"/>
              </w:rPr>
              <w:t>o</w:t>
            </w:r>
          </w:p>
        </w:tc>
        <w:tc>
          <w:tcPr>
            <w:tcW w:w="3027" w:type="pct"/>
            <w:vAlign w:val="center"/>
          </w:tcPr>
          <w:p w14:paraId="6455FD29" w14:textId="310B7292" w:rsidR="006E01AA" w:rsidRPr="00F24057" w:rsidRDefault="006E01AA" w:rsidP="00D70B34">
            <w:pPr>
              <w:jc w:val="left"/>
              <w:rPr>
                <w:szCs w:val="22"/>
                <w:u w:val="single"/>
                <w:lang w:val="sr-Latn-ME"/>
              </w:rPr>
            </w:pPr>
            <w:r w:rsidRPr="00F24057">
              <w:rPr>
                <w:szCs w:val="22"/>
                <w:lang w:val="sr-Latn-ME"/>
              </w:rPr>
              <w:t>Pancitopenija</w:t>
            </w:r>
          </w:p>
        </w:tc>
      </w:tr>
      <w:tr w:rsidR="006E01AA" w:rsidRPr="00F24057" w14:paraId="0F1ADB62" w14:textId="77777777" w:rsidTr="00DA2306">
        <w:trPr>
          <w:trHeight w:val="20"/>
        </w:trPr>
        <w:tc>
          <w:tcPr>
            <w:tcW w:w="1203" w:type="pct"/>
            <w:vMerge w:val="restart"/>
            <w:vAlign w:val="center"/>
          </w:tcPr>
          <w:p w14:paraId="4CE6FCBD" w14:textId="1874C6FC" w:rsidR="006E01AA" w:rsidRPr="00F24057" w:rsidRDefault="006E01AA" w:rsidP="00D70B34">
            <w:pPr>
              <w:jc w:val="left"/>
              <w:rPr>
                <w:szCs w:val="22"/>
                <w:u w:val="single"/>
                <w:lang w:val="sr-Latn-ME"/>
              </w:rPr>
            </w:pPr>
            <w:r w:rsidRPr="00F24057">
              <w:rPr>
                <w:szCs w:val="22"/>
                <w:lang w:val="sr-Latn-ME"/>
              </w:rPr>
              <w:t>Poremećaji imunskog sistema*</w:t>
            </w:r>
          </w:p>
        </w:tc>
        <w:tc>
          <w:tcPr>
            <w:tcW w:w="770" w:type="pct"/>
            <w:vAlign w:val="center"/>
          </w:tcPr>
          <w:p w14:paraId="547AC217" w14:textId="1C48018A" w:rsidR="006E01AA" w:rsidRPr="00F24057" w:rsidRDefault="006E01AA" w:rsidP="00D70B34">
            <w:pPr>
              <w:jc w:val="left"/>
              <w:rPr>
                <w:szCs w:val="22"/>
                <w:u w:val="single"/>
                <w:lang w:val="sr-Latn-ME"/>
              </w:rPr>
            </w:pPr>
            <w:r w:rsidRPr="00F24057">
              <w:rPr>
                <w:szCs w:val="22"/>
                <w:lang w:val="sr-Latn-ME"/>
              </w:rPr>
              <w:t>Često</w:t>
            </w:r>
          </w:p>
        </w:tc>
        <w:tc>
          <w:tcPr>
            <w:tcW w:w="3027" w:type="pct"/>
            <w:vAlign w:val="center"/>
          </w:tcPr>
          <w:p w14:paraId="67854017" w14:textId="77777777" w:rsidR="003950DE" w:rsidRPr="00F24057" w:rsidRDefault="006E01AA" w:rsidP="00D70B34">
            <w:pPr>
              <w:jc w:val="left"/>
              <w:rPr>
                <w:szCs w:val="22"/>
                <w:lang w:val="sr-Latn-ME"/>
              </w:rPr>
            </w:pPr>
            <w:r w:rsidRPr="00F24057">
              <w:rPr>
                <w:szCs w:val="22"/>
                <w:lang w:val="sr-Latn-ME"/>
              </w:rPr>
              <w:t xml:space="preserve">Hipersenzitivnost, </w:t>
            </w:r>
          </w:p>
          <w:p w14:paraId="0474C79F" w14:textId="0F19B018" w:rsidR="006E01AA" w:rsidRPr="00F24057" w:rsidRDefault="006E01AA" w:rsidP="00D70B34">
            <w:pPr>
              <w:jc w:val="left"/>
              <w:rPr>
                <w:szCs w:val="22"/>
                <w:u w:val="single"/>
                <w:lang w:val="sr-Latn-ME"/>
              </w:rPr>
            </w:pPr>
            <w:r w:rsidRPr="00F24057">
              <w:rPr>
                <w:szCs w:val="22"/>
                <w:lang w:val="sr-Latn-ME"/>
              </w:rPr>
              <w:t>alergije (uključujući sezonsku alergiju)</w:t>
            </w:r>
          </w:p>
        </w:tc>
      </w:tr>
      <w:tr w:rsidR="006E01AA" w:rsidRPr="00F24057" w14:paraId="06972085" w14:textId="77777777" w:rsidTr="00DA2306">
        <w:trPr>
          <w:trHeight w:val="20"/>
        </w:trPr>
        <w:tc>
          <w:tcPr>
            <w:tcW w:w="1203" w:type="pct"/>
            <w:vMerge/>
            <w:vAlign w:val="center"/>
          </w:tcPr>
          <w:p w14:paraId="145EF00F" w14:textId="77777777" w:rsidR="006E01AA" w:rsidRPr="00F24057" w:rsidRDefault="006E01AA" w:rsidP="00D70B34">
            <w:pPr>
              <w:jc w:val="left"/>
              <w:rPr>
                <w:szCs w:val="22"/>
                <w:u w:val="single"/>
                <w:lang w:val="sr-Latn-ME"/>
              </w:rPr>
            </w:pPr>
          </w:p>
        </w:tc>
        <w:tc>
          <w:tcPr>
            <w:tcW w:w="770" w:type="pct"/>
            <w:vAlign w:val="center"/>
          </w:tcPr>
          <w:p w14:paraId="192C1E6F" w14:textId="243FFF0A" w:rsidR="006E01AA" w:rsidRPr="00F24057" w:rsidRDefault="006E01AA" w:rsidP="00D70B34">
            <w:pPr>
              <w:jc w:val="left"/>
              <w:rPr>
                <w:szCs w:val="22"/>
                <w:u w:val="single"/>
                <w:lang w:val="sr-Latn-ME"/>
              </w:rPr>
            </w:pPr>
            <w:r w:rsidRPr="00F24057">
              <w:rPr>
                <w:szCs w:val="22"/>
                <w:lang w:val="sr-Latn-ME"/>
              </w:rPr>
              <w:t>Povremeno</w:t>
            </w:r>
          </w:p>
        </w:tc>
        <w:tc>
          <w:tcPr>
            <w:tcW w:w="3027" w:type="pct"/>
            <w:vAlign w:val="center"/>
          </w:tcPr>
          <w:p w14:paraId="6E02A73E" w14:textId="57796B6F" w:rsidR="006E01AA" w:rsidRPr="00F24057" w:rsidRDefault="006E01AA" w:rsidP="00D70B34">
            <w:pPr>
              <w:jc w:val="left"/>
              <w:rPr>
                <w:szCs w:val="22"/>
                <w:lang w:val="sr-Latn-ME"/>
              </w:rPr>
            </w:pPr>
            <w:r w:rsidRPr="00F24057">
              <w:rPr>
                <w:szCs w:val="22"/>
                <w:lang w:val="sr-Latn-ME"/>
              </w:rPr>
              <w:t>Sarkoidoza</w:t>
            </w:r>
            <w:r w:rsidRPr="00F24057">
              <w:rPr>
                <w:szCs w:val="22"/>
                <w:vertAlign w:val="superscript"/>
                <w:lang w:val="sr-Latn-ME"/>
              </w:rPr>
              <w:t>1)</w:t>
            </w:r>
            <w:r w:rsidRPr="00F24057">
              <w:rPr>
                <w:szCs w:val="22"/>
                <w:lang w:val="sr-Latn-ME"/>
              </w:rPr>
              <w:t xml:space="preserve">, </w:t>
            </w:r>
          </w:p>
          <w:p w14:paraId="4C983787" w14:textId="7B6898BB" w:rsidR="006E01AA" w:rsidRPr="00F24057" w:rsidRDefault="00E21005" w:rsidP="00D70B34">
            <w:pPr>
              <w:jc w:val="left"/>
              <w:rPr>
                <w:szCs w:val="22"/>
                <w:u w:val="single"/>
                <w:lang w:val="sr-Latn-ME"/>
              </w:rPr>
            </w:pPr>
            <w:r w:rsidRPr="00F24057">
              <w:rPr>
                <w:szCs w:val="22"/>
                <w:lang w:val="sr-Latn-ME"/>
              </w:rPr>
              <w:t>v</w:t>
            </w:r>
            <w:r w:rsidR="006E01AA" w:rsidRPr="00F24057">
              <w:rPr>
                <w:szCs w:val="22"/>
                <w:lang w:val="sr-Latn-ME"/>
              </w:rPr>
              <w:t>askulitis</w:t>
            </w:r>
          </w:p>
        </w:tc>
      </w:tr>
      <w:tr w:rsidR="006E01AA" w:rsidRPr="00F24057" w14:paraId="25C9D812" w14:textId="77777777" w:rsidTr="00DA2306">
        <w:trPr>
          <w:trHeight w:val="20"/>
        </w:trPr>
        <w:tc>
          <w:tcPr>
            <w:tcW w:w="1203" w:type="pct"/>
            <w:vMerge/>
            <w:vAlign w:val="center"/>
          </w:tcPr>
          <w:p w14:paraId="6EC7460F" w14:textId="77777777" w:rsidR="006E01AA" w:rsidRPr="00F24057" w:rsidRDefault="006E01AA" w:rsidP="00D70B34">
            <w:pPr>
              <w:jc w:val="left"/>
              <w:rPr>
                <w:szCs w:val="22"/>
                <w:u w:val="single"/>
                <w:lang w:val="sr-Latn-ME"/>
              </w:rPr>
            </w:pPr>
          </w:p>
        </w:tc>
        <w:tc>
          <w:tcPr>
            <w:tcW w:w="770" w:type="pct"/>
            <w:vAlign w:val="center"/>
          </w:tcPr>
          <w:p w14:paraId="6DD7B30B" w14:textId="417361E7" w:rsidR="006E01AA" w:rsidRPr="00F24057" w:rsidRDefault="004F2520" w:rsidP="00D70B34">
            <w:pPr>
              <w:jc w:val="left"/>
              <w:rPr>
                <w:szCs w:val="22"/>
                <w:u w:val="single"/>
                <w:lang w:val="sr-Latn-ME"/>
              </w:rPr>
            </w:pPr>
            <w:r w:rsidRPr="00F24057">
              <w:rPr>
                <w:szCs w:val="22"/>
                <w:lang w:val="sr-Latn-ME"/>
              </w:rPr>
              <w:t>Rijetk</w:t>
            </w:r>
            <w:r w:rsidR="006E01AA" w:rsidRPr="00F24057">
              <w:rPr>
                <w:szCs w:val="22"/>
                <w:lang w:val="sr-Latn-ME"/>
              </w:rPr>
              <w:t>o</w:t>
            </w:r>
          </w:p>
        </w:tc>
        <w:tc>
          <w:tcPr>
            <w:tcW w:w="3027" w:type="pct"/>
            <w:vAlign w:val="center"/>
          </w:tcPr>
          <w:p w14:paraId="06FCA81B" w14:textId="08012AE6" w:rsidR="006E01AA" w:rsidRPr="00F24057" w:rsidRDefault="006E01AA" w:rsidP="00D70B34">
            <w:pPr>
              <w:jc w:val="left"/>
              <w:rPr>
                <w:szCs w:val="22"/>
                <w:u w:val="single"/>
                <w:lang w:val="sr-Latn-ME"/>
              </w:rPr>
            </w:pPr>
            <w:r w:rsidRPr="00F24057">
              <w:rPr>
                <w:szCs w:val="22"/>
                <w:lang w:val="sr-Latn-ME"/>
              </w:rPr>
              <w:t>Anafilaksa</w:t>
            </w:r>
            <w:r w:rsidRPr="00F24057">
              <w:rPr>
                <w:szCs w:val="22"/>
                <w:vertAlign w:val="superscript"/>
                <w:lang w:val="sr-Latn-ME"/>
              </w:rPr>
              <w:t>1)</w:t>
            </w:r>
          </w:p>
        </w:tc>
      </w:tr>
      <w:tr w:rsidR="003950DE" w:rsidRPr="00F24057" w14:paraId="5B9AD2F3" w14:textId="77777777" w:rsidTr="00DA2306">
        <w:trPr>
          <w:trHeight w:val="20"/>
        </w:trPr>
        <w:tc>
          <w:tcPr>
            <w:tcW w:w="1203" w:type="pct"/>
            <w:vMerge w:val="restart"/>
            <w:vAlign w:val="center"/>
          </w:tcPr>
          <w:p w14:paraId="4B72F039" w14:textId="24CAA6EC" w:rsidR="003950DE" w:rsidRPr="00F24057" w:rsidRDefault="003950DE" w:rsidP="00D70B34">
            <w:pPr>
              <w:jc w:val="left"/>
              <w:rPr>
                <w:szCs w:val="22"/>
                <w:u w:val="single"/>
                <w:lang w:val="sr-Latn-ME"/>
              </w:rPr>
            </w:pPr>
            <w:r w:rsidRPr="00F24057">
              <w:rPr>
                <w:szCs w:val="22"/>
                <w:lang w:val="sr-Latn-ME"/>
              </w:rPr>
              <w:t>Poremećaji metabolizma i ishrane</w:t>
            </w:r>
          </w:p>
        </w:tc>
        <w:tc>
          <w:tcPr>
            <w:tcW w:w="770" w:type="pct"/>
            <w:vAlign w:val="center"/>
          </w:tcPr>
          <w:p w14:paraId="137691B4" w14:textId="5548D50E" w:rsidR="003950DE" w:rsidRPr="00F24057" w:rsidRDefault="003950DE" w:rsidP="00D70B34">
            <w:pPr>
              <w:jc w:val="left"/>
              <w:rPr>
                <w:szCs w:val="22"/>
                <w:u w:val="single"/>
                <w:lang w:val="sr-Latn-ME"/>
              </w:rPr>
            </w:pPr>
            <w:r w:rsidRPr="00F24057">
              <w:rPr>
                <w:szCs w:val="22"/>
                <w:lang w:val="sr-Latn-ME"/>
              </w:rPr>
              <w:t>Veoma često</w:t>
            </w:r>
          </w:p>
        </w:tc>
        <w:tc>
          <w:tcPr>
            <w:tcW w:w="3027" w:type="pct"/>
            <w:vAlign w:val="center"/>
          </w:tcPr>
          <w:p w14:paraId="46C05572" w14:textId="564182E0" w:rsidR="003950DE" w:rsidRPr="00F24057" w:rsidRDefault="003950DE" w:rsidP="00D70B34">
            <w:pPr>
              <w:jc w:val="left"/>
              <w:rPr>
                <w:szCs w:val="22"/>
                <w:u w:val="single"/>
                <w:lang w:val="sr-Latn-ME"/>
              </w:rPr>
            </w:pPr>
            <w:r w:rsidRPr="00F24057">
              <w:rPr>
                <w:szCs w:val="22"/>
                <w:lang w:val="sr-Latn-ME"/>
              </w:rPr>
              <w:t>Povećan nivo lipida</w:t>
            </w:r>
          </w:p>
        </w:tc>
      </w:tr>
      <w:tr w:rsidR="003950DE" w:rsidRPr="00F24057" w14:paraId="62C0C40C" w14:textId="77777777" w:rsidTr="00DA2306">
        <w:trPr>
          <w:trHeight w:val="20"/>
        </w:trPr>
        <w:tc>
          <w:tcPr>
            <w:tcW w:w="1203" w:type="pct"/>
            <w:vMerge/>
            <w:vAlign w:val="center"/>
          </w:tcPr>
          <w:p w14:paraId="5D9B9AA1" w14:textId="77777777" w:rsidR="003950DE" w:rsidRPr="00F24057" w:rsidRDefault="003950DE" w:rsidP="00D70B34">
            <w:pPr>
              <w:jc w:val="left"/>
              <w:rPr>
                <w:szCs w:val="22"/>
                <w:u w:val="single"/>
                <w:lang w:val="sr-Latn-ME"/>
              </w:rPr>
            </w:pPr>
          </w:p>
        </w:tc>
        <w:tc>
          <w:tcPr>
            <w:tcW w:w="770" w:type="pct"/>
            <w:vAlign w:val="center"/>
          </w:tcPr>
          <w:p w14:paraId="3587F0F9" w14:textId="3E7B5599" w:rsidR="003950DE" w:rsidRPr="00F24057" w:rsidRDefault="003950DE" w:rsidP="00D70B34">
            <w:pPr>
              <w:jc w:val="left"/>
              <w:rPr>
                <w:szCs w:val="22"/>
                <w:u w:val="single"/>
                <w:lang w:val="sr-Latn-ME"/>
              </w:rPr>
            </w:pPr>
            <w:r w:rsidRPr="00F24057">
              <w:rPr>
                <w:szCs w:val="22"/>
                <w:lang w:val="sr-Latn-ME"/>
              </w:rPr>
              <w:t>Često</w:t>
            </w:r>
          </w:p>
        </w:tc>
        <w:tc>
          <w:tcPr>
            <w:tcW w:w="3027" w:type="pct"/>
            <w:vAlign w:val="center"/>
          </w:tcPr>
          <w:p w14:paraId="573FF4B0" w14:textId="77777777" w:rsidR="003950DE" w:rsidRPr="00F24057" w:rsidRDefault="003950DE" w:rsidP="00D70B34">
            <w:pPr>
              <w:jc w:val="left"/>
              <w:rPr>
                <w:szCs w:val="22"/>
                <w:lang w:val="sr-Latn-ME"/>
              </w:rPr>
            </w:pPr>
            <w:r w:rsidRPr="00F24057">
              <w:rPr>
                <w:szCs w:val="22"/>
                <w:lang w:val="sr-Latn-ME"/>
              </w:rPr>
              <w:t xml:space="preserve">Hipokalemija, </w:t>
            </w:r>
          </w:p>
          <w:p w14:paraId="13068141" w14:textId="635FE1A0" w:rsidR="003950DE" w:rsidRPr="00F24057" w:rsidRDefault="003950DE" w:rsidP="00D70B34">
            <w:pPr>
              <w:jc w:val="left"/>
              <w:rPr>
                <w:szCs w:val="22"/>
                <w:lang w:val="sr-Latn-ME"/>
              </w:rPr>
            </w:pPr>
            <w:r w:rsidRPr="00F24057">
              <w:rPr>
                <w:szCs w:val="22"/>
                <w:lang w:val="sr-Latn-ME"/>
              </w:rPr>
              <w:t xml:space="preserve">povećane </w:t>
            </w:r>
            <w:r w:rsidR="00972894" w:rsidRPr="00F24057">
              <w:rPr>
                <w:szCs w:val="22"/>
                <w:lang w:val="sr-Latn-ME"/>
              </w:rPr>
              <w:t>vrijedno</w:t>
            </w:r>
            <w:r w:rsidRPr="00F24057">
              <w:rPr>
                <w:szCs w:val="22"/>
                <w:lang w:val="sr-Latn-ME"/>
              </w:rPr>
              <w:t xml:space="preserve">sti mokraćne kiseline, </w:t>
            </w:r>
          </w:p>
          <w:p w14:paraId="473DED06" w14:textId="77777777" w:rsidR="003950DE" w:rsidRPr="00F24057" w:rsidRDefault="003950DE" w:rsidP="00D70B34">
            <w:pPr>
              <w:jc w:val="left"/>
              <w:rPr>
                <w:szCs w:val="22"/>
                <w:lang w:val="sr-Latn-ME"/>
              </w:rPr>
            </w:pPr>
            <w:r w:rsidRPr="00F24057">
              <w:rPr>
                <w:szCs w:val="22"/>
                <w:lang w:val="sr-Latn-ME"/>
              </w:rPr>
              <w:t xml:space="preserve">poremećaj koncentracije natrijuma u krvi, </w:t>
            </w:r>
          </w:p>
          <w:p w14:paraId="71E5805A" w14:textId="77777777" w:rsidR="003950DE" w:rsidRPr="00F24057" w:rsidRDefault="003950DE" w:rsidP="00D70B34">
            <w:pPr>
              <w:jc w:val="left"/>
              <w:rPr>
                <w:szCs w:val="22"/>
                <w:lang w:val="sr-Latn-ME"/>
              </w:rPr>
            </w:pPr>
            <w:r w:rsidRPr="00F24057">
              <w:rPr>
                <w:szCs w:val="22"/>
                <w:lang w:val="sr-Latn-ME"/>
              </w:rPr>
              <w:t xml:space="preserve">hipokalcemija, </w:t>
            </w:r>
          </w:p>
          <w:p w14:paraId="3BDFB838" w14:textId="77777777" w:rsidR="003950DE" w:rsidRPr="00F24057" w:rsidRDefault="003950DE" w:rsidP="00D70B34">
            <w:pPr>
              <w:jc w:val="left"/>
              <w:rPr>
                <w:szCs w:val="22"/>
                <w:lang w:val="sr-Latn-ME"/>
              </w:rPr>
            </w:pPr>
            <w:r w:rsidRPr="00F24057">
              <w:rPr>
                <w:szCs w:val="22"/>
                <w:lang w:val="sr-Latn-ME"/>
              </w:rPr>
              <w:t xml:space="preserve">hiperglikemija, </w:t>
            </w:r>
          </w:p>
          <w:p w14:paraId="0F7EAF3D" w14:textId="77777777" w:rsidR="003950DE" w:rsidRPr="00F24057" w:rsidRDefault="003950DE" w:rsidP="00D70B34">
            <w:pPr>
              <w:jc w:val="left"/>
              <w:rPr>
                <w:szCs w:val="22"/>
                <w:lang w:val="sr-Latn-ME"/>
              </w:rPr>
            </w:pPr>
            <w:r w:rsidRPr="00F24057">
              <w:rPr>
                <w:szCs w:val="22"/>
                <w:lang w:val="sr-Latn-ME"/>
              </w:rPr>
              <w:t xml:space="preserve">hipofosfatemija, </w:t>
            </w:r>
          </w:p>
          <w:p w14:paraId="3B345C2B" w14:textId="10AB1CDB" w:rsidR="003950DE" w:rsidRPr="00F24057" w:rsidRDefault="003950DE" w:rsidP="00D70B34">
            <w:pPr>
              <w:jc w:val="left"/>
              <w:rPr>
                <w:szCs w:val="22"/>
                <w:u w:val="single"/>
                <w:lang w:val="sr-Latn-ME"/>
              </w:rPr>
            </w:pPr>
            <w:r w:rsidRPr="00F24057">
              <w:rPr>
                <w:szCs w:val="22"/>
                <w:lang w:val="sr-Latn-ME"/>
              </w:rPr>
              <w:t>dehidratacija</w:t>
            </w:r>
          </w:p>
        </w:tc>
      </w:tr>
      <w:tr w:rsidR="000A3B36" w:rsidRPr="00F24057" w14:paraId="5CC7E606" w14:textId="77777777" w:rsidTr="00DA2306">
        <w:trPr>
          <w:trHeight w:val="20"/>
        </w:trPr>
        <w:tc>
          <w:tcPr>
            <w:tcW w:w="1203" w:type="pct"/>
            <w:vAlign w:val="center"/>
          </w:tcPr>
          <w:p w14:paraId="182DE5D1" w14:textId="325FA4DB" w:rsidR="000A3B36" w:rsidRPr="00F24057" w:rsidRDefault="003950DE" w:rsidP="00D70B34">
            <w:pPr>
              <w:jc w:val="left"/>
              <w:rPr>
                <w:szCs w:val="22"/>
                <w:u w:val="single"/>
                <w:lang w:val="sr-Latn-ME"/>
              </w:rPr>
            </w:pPr>
            <w:r w:rsidRPr="00F24057">
              <w:rPr>
                <w:szCs w:val="22"/>
                <w:lang w:val="sr-Latn-ME"/>
              </w:rPr>
              <w:t>Psihijatrijski poremećaji</w:t>
            </w:r>
          </w:p>
        </w:tc>
        <w:tc>
          <w:tcPr>
            <w:tcW w:w="770" w:type="pct"/>
            <w:vAlign w:val="center"/>
          </w:tcPr>
          <w:p w14:paraId="33D63428" w14:textId="71D0AC37" w:rsidR="000A3B36" w:rsidRPr="00F24057" w:rsidRDefault="003950DE" w:rsidP="00D70B34">
            <w:pPr>
              <w:jc w:val="left"/>
              <w:rPr>
                <w:szCs w:val="22"/>
                <w:u w:val="single"/>
                <w:lang w:val="sr-Latn-ME"/>
              </w:rPr>
            </w:pPr>
            <w:r w:rsidRPr="00F24057">
              <w:rPr>
                <w:szCs w:val="22"/>
                <w:lang w:val="sr-Latn-ME"/>
              </w:rPr>
              <w:t>Često</w:t>
            </w:r>
          </w:p>
        </w:tc>
        <w:tc>
          <w:tcPr>
            <w:tcW w:w="3027" w:type="pct"/>
            <w:vAlign w:val="center"/>
          </w:tcPr>
          <w:p w14:paraId="2A310674" w14:textId="77777777" w:rsidR="003950DE" w:rsidRPr="00F24057" w:rsidRDefault="003950DE" w:rsidP="00D70B34">
            <w:pPr>
              <w:jc w:val="left"/>
              <w:rPr>
                <w:szCs w:val="22"/>
                <w:lang w:val="sr-Latn-ME"/>
              </w:rPr>
            </w:pPr>
            <w:r w:rsidRPr="00F24057">
              <w:rPr>
                <w:szCs w:val="22"/>
                <w:lang w:val="sr-Latn-ME"/>
              </w:rPr>
              <w:t xml:space="preserve">Poremećaji raspoloženja (uključujući depresiju), </w:t>
            </w:r>
          </w:p>
          <w:p w14:paraId="3DC494E4" w14:textId="77777777" w:rsidR="003950DE" w:rsidRPr="00F24057" w:rsidRDefault="003950DE" w:rsidP="00D70B34">
            <w:pPr>
              <w:jc w:val="left"/>
              <w:rPr>
                <w:szCs w:val="22"/>
                <w:lang w:val="sr-Latn-ME"/>
              </w:rPr>
            </w:pPr>
            <w:r w:rsidRPr="00F24057">
              <w:rPr>
                <w:szCs w:val="22"/>
                <w:lang w:val="sr-Latn-ME"/>
              </w:rPr>
              <w:t xml:space="preserve">anksioznost, </w:t>
            </w:r>
          </w:p>
          <w:p w14:paraId="3B9BA2F8" w14:textId="35D16962" w:rsidR="000A3B36" w:rsidRPr="00F24057" w:rsidRDefault="003950DE" w:rsidP="00D70B34">
            <w:pPr>
              <w:jc w:val="left"/>
              <w:rPr>
                <w:szCs w:val="22"/>
                <w:u w:val="single"/>
                <w:lang w:val="sr-Latn-ME"/>
              </w:rPr>
            </w:pPr>
            <w:r w:rsidRPr="00F24057">
              <w:rPr>
                <w:szCs w:val="22"/>
                <w:lang w:val="sr-Latn-ME"/>
              </w:rPr>
              <w:t>insomnija</w:t>
            </w:r>
          </w:p>
        </w:tc>
      </w:tr>
      <w:tr w:rsidR="003950DE" w:rsidRPr="00F24057" w14:paraId="3309638B" w14:textId="77777777" w:rsidTr="00DA2306">
        <w:trPr>
          <w:trHeight w:val="20"/>
        </w:trPr>
        <w:tc>
          <w:tcPr>
            <w:tcW w:w="1203" w:type="pct"/>
            <w:vMerge w:val="restart"/>
            <w:vAlign w:val="center"/>
          </w:tcPr>
          <w:p w14:paraId="7BD05D87" w14:textId="762EE2C6" w:rsidR="003950DE" w:rsidRPr="00F24057" w:rsidRDefault="003950DE" w:rsidP="00D70B34">
            <w:pPr>
              <w:jc w:val="left"/>
              <w:rPr>
                <w:szCs w:val="22"/>
                <w:u w:val="single"/>
                <w:lang w:val="sr-Latn-ME"/>
              </w:rPr>
            </w:pPr>
            <w:r w:rsidRPr="00F24057">
              <w:rPr>
                <w:szCs w:val="22"/>
                <w:lang w:val="sr-Latn-ME"/>
              </w:rPr>
              <w:t>Poremećaji nervnog sistema*</w:t>
            </w:r>
          </w:p>
        </w:tc>
        <w:tc>
          <w:tcPr>
            <w:tcW w:w="770" w:type="pct"/>
            <w:vAlign w:val="center"/>
          </w:tcPr>
          <w:p w14:paraId="03A0ECB9" w14:textId="4ACF8150" w:rsidR="003950DE" w:rsidRPr="00F24057" w:rsidRDefault="003950DE" w:rsidP="00D70B34">
            <w:pPr>
              <w:jc w:val="left"/>
              <w:rPr>
                <w:szCs w:val="22"/>
                <w:u w:val="single"/>
                <w:lang w:val="sr-Latn-ME"/>
              </w:rPr>
            </w:pPr>
            <w:r w:rsidRPr="00F24057">
              <w:rPr>
                <w:szCs w:val="22"/>
                <w:lang w:val="sr-Latn-ME"/>
              </w:rPr>
              <w:t>Veoma često</w:t>
            </w:r>
          </w:p>
        </w:tc>
        <w:tc>
          <w:tcPr>
            <w:tcW w:w="3027" w:type="pct"/>
            <w:vAlign w:val="center"/>
          </w:tcPr>
          <w:p w14:paraId="4FA61F3E" w14:textId="52271B00" w:rsidR="003950DE" w:rsidRPr="00F24057" w:rsidRDefault="003950DE" w:rsidP="00D70B34">
            <w:pPr>
              <w:jc w:val="left"/>
              <w:rPr>
                <w:szCs w:val="22"/>
                <w:u w:val="single"/>
                <w:lang w:val="sr-Latn-ME"/>
              </w:rPr>
            </w:pPr>
            <w:r w:rsidRPr="00F24057">
              <w:rPr>
                <w:szCs w:val="22"/>
                <w:lang w:val="sr-Latn-ME"/>
              </w:rPr>
              <w:t>Glavobolja</w:t>
            </w:r>
          </w:p>
        </w:tc>
      </w:tr>
      <w:tr w:rsidR="003950DE" w:rsidRPr="00F24057" w14:paraId="13AD34CF" w14:textId="77777777" w:rsidTr="00DA2306">
        <w:trPr>
          <w:trHeight w:val="20"/>
        </w:trPr>
        <w:tc>
          <w:tcPr>
            <w:tcW w:w="1203" w:type="pct"/>
            <w:vMerge/>
            <w:vAlign w:val="center"/>
          </w:tcPr>
          <w:p w14:paraId="0A3C930E" w14:textId="77777777" w:rsidR="003950DE" w:rsidRPr="00F24057" w:rsidRDefault="003950DE" w:rsidP="00D70B34">
            <w:pPr>
              <w:jc w:val="left"/>
              <w:rPr>
                <w:szCs w:val="22"/>
                <w:u w:val="single"/>
                <w:lang w:val="sr-Latn-ME"/>
              </w:rPr>
            </w:pPr>
          </w:p>
        </w:tc>
        <w:tc>
          <w:tcPr>
            <w:tcW w:w="770" w:type="pct"/>
            <w:vAlign w:val="center"/>
          </w:tcPr>
          <w:p w14:paraId="50E24578" w14:textId="038419AD" w:rsidR="003950DE" w:rsidRPr="00F24057" w:rsidRDefault="003950DE" w:rsidP="00D70B34">
            <w:pPr>
              <w:jc w:val="left"/>
              <w:rPr>
                <w:szCs w:val="22"/>
                <w:u w:val="single"/>
                <w:lang w:val="sr-Latn-ME"/>
              </w:rPr>
            </w:pPr>
            <w:r w:rsidRPr="00F24057">
              <w:rPr>
                <w:szCs w:val="22"/>
                <w:lang w:val="sr-Latn-ME"/>
              </w:rPr>
              <w:t>Često</w:t>
            </w:r>
          </w:p>
        </w:tc>
        <w:tc>
          <w:tcPr>
            <w:tcW w:w="3027" w:type="pct"/>
            <w:vAlign w:val="center"/>
          </w:tcPr>
          <w:p w14:paraId="423A4F75" w14:textId="77777777" w:rsidR="003950DE" w:rsidRPr="00F24057" w:rsidRDefault="003950DE" w:rsidP="00D70B34">
            <w:pPr>
              <w:jc w:val="left"/>
              <w:rPr>
                <w:szCs w:val="22"/>
                <w:lang w:val="sr-Latn-ME"/>
              </w:rPr>
            </w:pPr>
            <w:r w:rsidRPr="00F24057">
              <w:rPr>
                <w:szCs w:val="22"/>
                <w:lang w:val="sr-Latn-ME"/>
              </w:rPr>
              <w:t xml:space="preserve">Parestezije (uključujući hipoestezije), </w:t>
            </w:r>
          </w:p>
          <w:p w14:paraId="7504200D" w14:textId="77777777" w:rsidR="003950DE" w:rsidRPr="00F24057" w:rsidRDefault="003950DE" w:rsidP="00D70B34">
            <w:pPr>
              <w:jc w:val="left"/>
              <w:rPr>
                <w:szCs w:val="22"/>
                <w:lang w:val="sr-Latn-ME"/>
              </w:rPr>
            </w:pPr>
            <w:r w:rsidRPr="00F24057">
              <w:rPr>
                <w:szCs w:val="22"/>
                <w:lang w:val="sr-Latn-ME"/>
              </w:rPr>
              <w:t xml:space="preserve">migrena, </w:t>
            </w:r>
          </w:p>
          <w:p w14:paraId="138FEE14" w14:textId="520716D7" w:rsidR="003950DE" w:rsidRPr="00F24057" w:rsidRDefault="003950DE" w:rsidP="00D70B34">
            <w:pPr>
              <w:jc w:val="left"/>
              <w:rPr>
                <w:szCs w:val="22"/>
                <w:u w:val="single"/>
                <w:lang w:val="sr-Latn-ME"/>
              </w:rPr>
            </w:pPr>
            <w:r w:rsidRPr="00F24057">
              <w:rPr>
                <w:szCs w:val="22"/>
                <w:lang w:val="sr-Latn-ME"/>
              </w:rPr>
              <w:t>pritisak na koren nerva</w:t>
            </w:r>
          </w:p>
        </w:tc>
      </w:tr>
      <w:tr w:rsidR="003950DE" w:rsidRPr="00F24057" w14:paraId="4E0435F7" w14:textId="77777777" w:rsidTr="00DA2306">
        <w:trPr>
          <w:trHeight w:val="20"/>
        </w:trPr>
        <w:tc>
          <w:tcPr>
            <w:tcW w:w="1203" w:type="pct"/>
            <w:vMerge/>
            <w:vAlign w:val="center"/>
          </w:tcPr>
          <w:p w14:paraId="76CF9DDF" w14:textId="77777777" w:rsidR="003950DE" w:rsidRPr="00F24057" w:rsidRDefault="003950DE" w:rsidP="00D70B34">
            <w:pPr>
              <w:jc w:val="left"/>
              <w:rPr>
                <w:szCs w:val="22"/>
                <w:u w:val="single"/>
                <w:lang w:val="sr-Latn-ME"/>
              </w:rPr>
            </w:pPr>
          </w:p>
        </w:tc>
        <w:tc>
          <w:tcPr>
            <w:tcW w:w="770" w:type="pct"/>
            <w:vAlign w:val="center"/>
          </w:tcPr>
          <w:p w14:paraId="15E86874" w14:textId="441F42FE" w:rsidR="003950DE" w:rsidRPr="00F24057" w:rsidRDefault="003950DE" w:rsidP="00D70B34">
            <w:pPr>
              <w:jc w:val="left"/>
              <w:rPr>
                <w:szCs w:val="22"/>
                <w:u w:val="single"/>
                <w:lang w:val="sr-Latn-ME"/>
              </w:rPr>
            </w:pPr>
            <w:r w:rsidRPr="00F24057">
              <w:rPr>
                <w:szCs w:val="22"/>
                <w:lang w:val="sr-Latn-ME"/>
              </w:rPr>
              <w:t>Povremeno</w:t>
            </w:r>
          </w:p>
        </w:tc>
        <w:tc>
          <w:tcPr>
            <w:tcW w:w="3027" w:type="pct"/>
            <w:vAlign w:val="center"/>
          </w:tcPr>
          <w:p w14:paraId="727BAA72" w14:textId="477EF122" w:rsidR="003950DE" w:rsidRPr="00F24057" w:rsidRDefault="003950DE" w:rsidP="00D70B34">
            <w:pPr>
              <w:jc w:val="left"/>
              <w:rPr>
                <w:szCs w:val="22"/>
                <w:lang w:val="sr-Latn-ME"/>
              </w:rPr>
            </w:pPr>
            <w:r w:rsidRPr="00F24057">
              <w:rPr>
                <w:szCs w:val="22"/>
                <w:lang w:val="sr-Latn-ME"/>
              </w:rPr>
              <w:t>Cerebrovaskularni događaj</w:t>
            </w:r>
            <w:r w:rsidRPr="00F24057">
              <w:rPr>
                <w:szCs w:val="22"/>
                <w:vertAlign w:val="superscript"/>
                <w:lang w:val="sr-Latn-ME"/>
              </w:rPr>
              <w:t>1)</w:t>
            </w:r>
            <w:r w:rsidRPr="00F24057">
              <w:rPr>
                <w:szCs w:val="22"/>
                <w:lang w:val="sr-Latn-ME"/>
              </w:rPr>
              <w:t xml:space="preserve">, </w:t>
            </w:r>
          </w:p>
          <w:p w14:paraId="71AAFB7D" w14:textId="1812C3F5" w:rsidR="003950DE" w:rsidRPr="00F24057" w:rsidRDefault="003950DE" w:rsidP="00D70B34">
            <w:pPr>
              <w:jc w:val="left"/>
              <w:rPr>
                <w:szCs w:val="22"/>
                <w:lang w:val="sr-Latn-ME"/>
              </w:rPr>
            </w:pPr>
            <w:r w:rsidRPr="00F24057">
              <w:rPr>
                <w:szCs w:val="22"/>
                <w:lang w:val="sr-Latn-ME"/>
              </w:rPr>
              <w:t xml:space="preserve">tremor, </w:t>
            </w:r>
          </w:p>
          <w:p w14:paraId="0FFBE81C" w14:textId="0D46D6CC" w:rsidR="003950DE" w:rsidRPr="00F24057" w:rsidRDefault="003950DE" w:rsidP="00D70B34">
            <w:pPr>
              <w:jc w:val="left"/>
              <w:rPr>
                <w:szCs w:val="22"/>
                <w:u w:val="single"/>
                <w:lang w:val="sr-Latn-ME"/>
              </w:rPr>
            </w:pPr>
            <w:r w:rsidRPr="00F24057">
              <w:rPr>
                <w:szCs w:val="22"/>
                <w:lang w:val="sr-Latn-ME"/>
              </w:rPr>
              <w:t>neuropatija</w:t>
            </w:r>
          </w:p>
        </w:tc>
      </w:tr>
      <w:tr w:rsidR="003950DE" w:rsidRPr="00F24057" w14:paraId="7798BF2D" w14:textId="77777777" w:rsidTr="00DA2306">
        <w:trPr>
          <w:trHeight w:val="20"/>
        </w:trPr>
        <w:tc>
          <w:tcPr>
            <w:tcW w:w="1203" w:type="pct"/>
            <w:vMerge/>
            <w:vAlign w:val="center"/>
          </w:tcPr>
          <w:p w14:paraId="12971CA0" w14:textId="77777777" w:rsidR="003950DE" w:rsidRPr="00F24057" w:rsidRDefault="003950DE" w:rsidP="00D70B34">
            <w:pPr>
              <w:jc w:val="left"/>
              <w:rPr>
                <w:szCs w:val="22"/>
                <w:u w:val="single"/>
                <w:lang w:val="sr-Latn-ME"/>
              </w:rPr>
            </w:pPr>
          </w:p>
        </w:tc>
        <w:tc>
          <w:tcPr>
            <w:tcW w:w="770" w:type="pct"/>
            <w:vAlign w:val="center"/>
          </w:tcPr>
          <w:p w14:paraId="4A31DC13" w14:textId="75666941" w:rsidR="003950DE" w:rsidRPr="00F24057" w:rsidRDefault="004F2520" w:rsidP="00D70B34">
            <w:pPr>
              <w:jc w:val="left"/>
              <w:rPr>
                <w:szCs w:val="22"/>
                <w:u w:val="single"/>
                <w:lang w:val="sr-Latn-ME"/>
              </w:rPr>
            </w:pPr>
            <w:r w:rsidRPr="00F24057">
              <w:rPr>
                <w:szCs w:val="22"/>
                <w:lang w:val="sr-Latn-ME"/>
              </w:rPr>
              <w:t>Rijetk</w:t>
            </w:r>
            <w:r w:rsidR="003950DE" w:rsidRPr="00F24057">
              <w:rPr>
                <w:szCs w:val="22"/>
                <w:lang w:val="sr-Latn-ME"/>
              </w:rPr>
              <w:t>o</w:t>
            </w:r>
          </w:p>
        </w:tc>
        <w:tc>
          <w:tcPr>
            <w:tcW w:w="3027" w:type="pct"/>
            <w:vAlign w:val="center"/>
          </w:tcPr>
          <w:p w14:paraId="41C7675F" w14:textId="77777777" w:rsidR="003950DE" w:rsidRPr="00F24057" w:rsidRDefault="003950DE" w:rsidP="00D70B34">
            <w:pPr>
              <w:jc w:val="left"/>
              <w:rPr>
                <w:szCs w:val="22"/>
                <w:lang w:val="sr-Latn-ME"/>
              </w:rPr>
            </w:pPr>
            <w:r w:rsidRPr="00F24057">
              <w:rPr>
                <w:szCs w:val="22"/>
                <w:lang w:val="sr-Latn-ME"/>
              </w:rPr>
              <w:t xml:space="preserve">Multipla skleroza, </w:t>
            </w:r>
          </w:p>
          <w:p w14:paraId="75D49659" w14:textId="6BF56F9A" w:rsidR="003950DE" w:rsidRPr="00F24057" w:rsidRDefault="003950DE" w:rsidP="00D70B34">
            <w:pPr>
              <w:jc w:val="left"/>
              <w:rPr>
                <w:szCs w:val="22"/>
                <w:u w:val="single"/>
                <w:lang w:val="sr-Latn-ME"/>
              </w:rPr>
            </w:pPr>
            <w:r w:rsidRPr="00F24057">
              <w:rPr>
                <w:szCs w:val="22"/>
                <w:lang w:val="sr-Latn-ME"/>
              </w:rPr>
              <w:t xml:space="preserve">demijelinizirajući poremećaji (npr. optički neuritis, </w:t>
            </w:r>
            <w:r w:rsidRPr="00F24057">
              <w:rPr>
                <w:i/>
                <w:iCs/>
                <w:szCs w:val="22"/>
                <w:lang w:val="sr-Latn-ME"/>
              </w:rPr>
              <w:t>Gullian-Barré</w:t>
            </w:r>
            <w:r w:rsidRPr="00F24057">
              <w:rPr>
                <w:szCs w:val="22"/>
                <w:lang w:val="sr-Latn-ME"/>
              </w:rPr>
              <w:t>-ov sindrom)</w:t>
            </w:r>
            <w:r w:rsidRPr="00F24057">
              <w:rPr>
                <w:szCs w:val="22"/>
                <w:vertAlign w:val="superscript"/>
                <w:lang w:val="sr-Latn-ME"/>
              </w:rPr>
              <w:t>1)</w:t>
            </w:r>
          </w:p>
        </w:tc>
      </w:tr>
      <w:tr w:rsidR="003950DE" w:rsidRPr="00F24057" w14:paraId="030C37AF" w14:textId="77777777" w:rsidTr="00DA2306">
        <w:trPr>
          <w:trHeight w:val="20"/>
        </w:trPr>
        <w:tc>
          <w:tcPr>
            <w:tcW w:w="1203" w:type="pct"/>
            <w:vMerge w:val="restart"/>
            <w:vAlign w:val="center"/>
          </w:tcPr>
          <w:p w14:paraId="39EB2273" w14:textId="4878E49A" w:rsidR="003950DE" w:rsidRPr="00F24057" w:rsidRDefault="003950DE" w:rsidP="00D70B34">
            <w:pPr>
              <w:jc w:val="left"/>
              <w:rPr>
                <w:szCs w:val="22"/>
                <w:u w:val="single"/>
                <w:lang w:val="sr-Latn-ME"/>
              </w:rPr>
            </w:pPr>
            <w:r w:rsidRPr="00F24057">
              <w:rPr>
                <w:szCs w:val="22"/>
                <w:lang w:val="sr-Latn-ME"/>
              </w:rPr>
              <w:t>Poremećaji oka</w:t>
            </w:r>
          </w:p>
        </w:tc>
        <w:tc>
          <w:tcPr>
            <w:tcW w:w="770" w:type="pct"/>
            <w:vAlign w:val="center"/>
          </w:tcPr>
          <w:p w14:paraId="0C956E6C" w14:textId="7AE0E673" w:rsidR="003950DE" w:rsidRPr="00F24057" w:rsidRDefault="003950DE" w:rsidP="00D70B34">
            <w:pPr>
              <w:jc w:val="left"/>
              <w:rPr>
                <w:szCs w:val="22"/>
                <w:u w:val="single"/>
                <w:lang w:val="sr-Latn-ME"/>
              </w:rPr>
            </w:pPr>
            <w:r w:rsidRPr="00F24057">
              <w:rPr>
                <w:szCs w:val="22"/>
                <w:lang w:val="sr-Latn-ME"/>
              </w:rPr>
              <w:t>Često</w:t>
            </w:r>
          </w:p>
        </w:tc>
        <w:tc>
          <w:tcPr>
            <w:tcW w:w="3027" w:type="pct"/>
            <w:vAlign w:val="center"/>
          </w:tcPr>
          <w:p w14:paraId="60D18A4B" w14:textId="77777777" w:rsidR="003950DE" w:rsidRPr="00F24057" w:rsidRDefault="003950DE" w:rsidP="00D70B34">
            <w:pPr>
              <w:jc w:val="left"/>
              <w:rPr>
                <w:szCs w:val="22"/>
                <w:lang w:val="sr-Latn-ME"/>
              </w:rPr>
            </w:pPr>
            <w:r w:rsidRPr="00F24057">
              <w:rPr>
                <w:szCs w:val="22"/>
                <w:lang w:val="sr-Latn-ME"/>
              </w:rPr>
              <w:t>Poremećaj vida,</w:t>
            </w:r>
          </w:p>
          <w:p w14:paraId="33F24F0B" w14:textId="71CF3215" w:rsidR="003950DE" w:rsidRPr="00F24057" w:rsidRDefault="003950DE" w:rsidP="00D70B34">
            <w:pPr>
              <w:jc w:val="left"/>
              <w:rPr>
                <w:szCs w:val="22"/>
                <w:lang w:val="sr-Latn-ME"/>
              </w:rPr>
            </w:pPr>
            <w:r w:rsidRPr="00F24057">
              <w:rPr>
                <w:szCs w:val="22"/>
                <w:lang w:val="sr-Latn-ME"/>
              </w:rPr>
              <w:t xml:space="preserve">konjunktivitis, </w:t>
            </w:r>
          </w:p>
          <w:p w14:paraId="76F551FD" w14:textId="77777777" w:rsidR="003950DE" w:rsidRPr="00F24057" w:rsidRDefault="003950DE" w:rsidP="00D70B34">
            <w:pPr>
              <w:jc w:val="left"/>
              <w:rPr>
                <w:szCs w:val="22"/>
                <w:lang w:val="sr-Latn-ME"/>
              </w:rPr>
            </w:pPr>
            <w:r w:rsidRPr="00F24057">
              <w:rPr>
                <w:szCs w:val="22"/>
                <w:lang w:val="sr-Latn-ME"/>
              </w:rPr>
              <w:t xml:space="preserve">blefaritis, </w:t>
            </w:r>
          </w:p>
          <w:p w14:paraId="5BB9D423" w14:textId="34C14EB5" w:rsidR="003950DE" w:rsidRPr="00F24057" w:rsidRDefault="003950DE" w:rsidP="00D70B34">
            <w:pPr>
              <w:jc w:val="left"/>
              <w:rPr>
                <w:szCs w:val="22"/>
                <w:u w:val="single"/>
                <w:lang w:val="sr-Latn-ME"/>
              </w:rPr>
            </w:pPr>
            <w:r w:rsidRPr="00F24057">
              <w:rPr>
                <w:szCs w:val="22"/>
                <w:lang w:val="sr-Latn-ME"/>
              </w:rPr>
              <w:t>otok oka</w:t>
            </w:r>
          </w:p>
        </w:tc>
      </w:tr>
      <w:tr w:rsidR="003950DE" w:rsidRPr="00F24057" w14:paraId="08576888" w14:textId="77777777" w:rsidTr="00DA2306">
        <w:trPr>
          <w:trHeight w:val="20"/>
        </w:trPr>
        <w:tc>
          <w:tcPr>
            <w:tcW w:w="1203" w:type="pct"/>
            <w:vMerge/>
            <w:vAlign w:val="center"/>
          </w:tcPr>
          <w:p w14:paraId="06C0D672" w14:textId="77777777" w:rsidR="003950DE" w:rsidRPr="00F24057" w:rsidRDefault="003950DE" w:rsidP="00D70B34">
            <w:pPr>
              <w:jc w:val="left"/>
              <w:rPr>
                <w:szCs w:val="22"/>
                <w:u w:val="single"/>
                <w:lang w:val="sr-Latn-ME"/>
              </w:rPr>
            </w:pPr>
          </w:p>
        </w:tc>
        <w:tc>
          <w:tcPr>
            <w:tcW w:w="770" w:type="pct"/>
            <w:vAlign w:val="center"/>
          </w:tcPr>
          <w:p w14:paraId="2EEF8ACA" w14:textId="49B89CA5" w:rsidR="003950DE" w:rsidRPr="00F24057" w:rsidRDefault="003950DE" w:rsidP="00D70B34">
            <w:pPr>
              <w:jc w:val="left"/>
              <w:rPr>
                <w:szCs w:val="22"/>
                <w:u w:val="single"/>
                <w:lang w:val="sr-Latn-ME"/>
              </w:rPr>
            </w:pPr>
            <w:r w:rsidRPr="00F24057">
              <w:rPr>
                <w:szCs w:val="22"/>
                <w:lang w:val="sr-Latn-ME"/>
              </w:rPr>
              <w:t>Povremeno</w:t>
            </w:r>
          </w:p>
        </w:tc>
        <w:tc>
          <w:tcPr>
            <w:tcW w:w="3027" w:type="pct"/>
            <w:vAlign w:val="center"/>
          </w:tcPr>
          <w:p w14:paraId="36AC3AC5" w14:textId="09876160" w:rsidR="003950DE" w:rsidRPr="00F24057" w:rsidRDefault="003950DE" w:rsidP="00D70B34">
            <w:pPr>
              <w:jc w:val="left"/>
              <w:rPr>
                <w:szCs w:val="22"/>
                <w:u w:val="single"/>
                <w:lang w:val="sr-Latn-ME"/>
              </w:rPr>
            </w:pPr>
            <w:r w:rsidRPr="00F24057">
              <w:rPr>
                <w:szCs w:val="22"/>
                <w:lang w:val="sr-Latn-ME"/>
              </w:rPr>
              <w:t>Diplopija</w:t>
            </w:r>
          </w:p>
        </w:tc>
      </w:tr>
      <w:tr w:rsidR="003950DE" w:rsidRPr="00F24057" w14:paraId="6F8B337A" w14:textId="77777777" w:rsidTr="00DA2306">
        <w:trPr>
          <w:trHeight w:val="20"/>
        </w:trPr>
        <w:tc>
          <w:tcPr>
            <w:tcW w:w="1203" w:type="pct"/>
            <w:vMerge w:val="restart"/>
            <w:vAlign w:val="center"/>
          </w:tcPr>
          <w:p w14:paraId="1C51D3D1" w14:textId="5B40CA86" w:rsidR="003950DE" w:rsidRPr="00F24057" w:rsidRDefault="003950DE" w:rsidP="00D70B34">
            <w:pPr>
              <w:jc w:val="left"/>
              <w:rPr>
                <w:szCs w:val="22"/>
                <w:u w:val="single"/>
                <w:lang w:val="sr-Latn-ME"/>
              </w:rPr>
            </w:pPr>
            <w:r w:rsidRPr="00F24057">
              <w:rPr>
                <w:szCs w:val="22"/>
                <w:lang w:val="sr-Latn-ME"/>
              </w:rPr>
              <w:t>Poremećaji uha i labirinta</w:t>
            </w:r>
          </w:p>
        </w:tc>
        <w:tc>
          <w:tcPr>
            <w:tcW w:w="770" w:type="pct"/>
            <w:vAlign w:val="center"/>
          </w:tcPr>
          <w:p w14:paraId="0A37CB6D" w14:textId="026532E2" w:rsidR="003950DE" w:rsidRPr="00F24057" w:rsidRDefault="003950DE" w:rsidP="00D70B34">
            <w:pPr>
              <w:jc w:val="left"/>
              <w:rPr>
                <w:szCs w:val="22"/>
                <w:u w:val="single"/>
                <w:lang w:val="sr-Latn-ME"/>
              </w:rPr>
            </w:pPr>
            <w:r w:rsidRPr="00F24057">
              <w:rPr>
                <w:szCs w:val="22"/>
                <w:lang w:val="sr-Latn-ME"/>
              </w:rPr>
              <w:t>Često</w:t>
            </w:r>
          </w:p>
        </w:tc>
        <w:tc>
          <w:tcPr>
            <w:tcW w:w="3027" w:type="pct"/>
            <w:vAlign w:val="center"/>
          </w:tcPr>
          <w:p w14:paraId="1983C78D" w14:textId="03F412CF" w:rsidR="003950DE" w:rsidRPr="00F24057" w:rsidRDefault="003950DE" w:rsidP="00D70B34">
            <w:pPr>
              <w:jc w:val="left"/>
              <w:rPr>
                <w:szCs w:val="22"/>
                <w:u w:val="single"/>
                <w:lang w:val="sr-Latn-ME"/>
              </w:rPr>
            </w:pPr>
            <w:r w:rsidRPr="00F24057">
              <w:rPr>
                <w:szCs w:val="22"/>
                <w:lang w:val="sr-Latn-ME"/>
              </w:rPr>
              <w:t>Vertigo</w:t>
            </w:r>
          </w:p>
        </w:tc>
      </w:tr>
      <w:tr w:rsidR="003950DE" w:rsidRPr="00F24057" w14:paraId="74F5222D" w14:textId="77777777" w:rsidTr="00DA2306">
        <w:trPr>
          <w:trHeight w:val="20"/>
        </w:trPr>
        <w:tc>
          <w:tcPr>
            <w:tcW w:w="1203" w:type="pct"/>
            <w:vMerge/>
            <w:vAlign w:val="center"/>
          </w:tcPr>
          <w:p w14:paraId="4A42C58F" w14:textId="77777777" w:rsidR="003950DE" w:rsidRPr="00F24057" w:rsidRDefault="003950DE" w:rsidP="00D70B34">
            <w:pPr>
              <w:jc w:val="left"/>
              <w:rPr>
                <w:szCs w:val="22"/>
                <w:u w:val="single"/>
                <w:lang w:val="sr-Latn-ME"/>
              </w:rPr>
            </w:pPr>
          </w:p>
        </w:tc>
        <w:tc>
          <w:tcPr>
            <w:tcW w:w="770" w:type="pct"/>
            <w:vAlign w:val="center"/>
          </w:tcPr>
          <w:p w14:paraId="7EA1CAB3" w14:textId="10E97504" w:rsidR="003950DE" w:rsidRPr="00F24057" w:rsidRDefault="003950DE" w:rsidP="00D70B34">
            <w:pPr>
              <w:jc w:val="left"/>
              <w:rPr>
                <w:szCs w:val="22"/>
                <w:u w:val="single"/>
                <w:lang w:val="sr-Latn-ME"/>
              </w:rPr>
            </w:pPr>
            <w:r w:rsidRPr="00F24057">
              <w:rPr>
                <w:szCs w:val="22"/>
                <w:lang w:val="sr-Latn-ME"/>
              </w:rPr>
              <w:t>Povremeno</w:t>
            </w:r>
          </w:p>
        </w:tc>
        <w:tc>
          <w:tcPr>
            <w:tcW w:w="3027" w:type="pct"/>
            <w:vAlign w:val="center"/>
          </w:tcPr>
          <w:p w14:paraId="052C51D8" w14:textId="77777777" w:rsidR="003950DE" w:rsidRPr="00F24057" w:rsidRDefault="003950DE" w:rsidP="00D70B34">
            <w:pPr>
              <w:jc w:val="left"/>
              <w:rPr>
                <w:szCs w:val="22"/>
                <w:lang w:val="sr-Latn-ME"/>
              </w:rPr>
            </w:pPr>
            <w:r w:rsidRPr="00F24057">
              <w:rPr>
                <w:szCs w:val="22"/>
                <w:lang w:val="sr-Latn-ME"/>
              </w:rPr>
              <w:t xml:space="preserve">Gubitak sluha, </w:t>
            </w:r>
          </w:p>
          <w:p w14:paraId="1FEA275F" w14:textId="1309CF80" w:rsidR="003950DE" w:rsidRPr="00F24057" w:rsidRDefault="00E21005" w:rsidP="00D70B34">
            <w:pPr>
              <w:jc w:val="left"/>
              <w:rPr>
                <w:szCs w:val="22"/>
                <w:u w:val="single"/>
                <w:lang w:val="sr-Latn-ME"/>
              </w:rPr>
            </w:pPr>
            <w:r w:rsidRPr="00F24057">
              <w:rPr>
                <w:szCs w:val="22"/>
                <w:lang w:val="sr-Latn-ME"/>
              </w:rPr>
              <w:t>t</w:t>
            </w:r>
            <w:r w:rsidR="003950DE" w:rsidRPr="00F24057">
              <w:rPr>
                <w:szCs w:val="22"/>
                <w:lang w:val="sr-Latn-ME"/>
              </w:rPr>
              <w:t>initus</w:t>
            </w:r>
          </w:p>
        </w:tc>
      </w:tr>
      <w:tr w:rsidR="003950DE" w:rsidRPr="00F24057" w14:paraId="294B9953" w14:textId="77777777" w:rsidTr="00DA2306">
        <w:trPr>
          <w:trHeight w:val="20"/>
        </w:trPr>
        <w:tc>
          <w:tcPr>
            <w:tcW w:w="1203" w:type="pct"/>
            <w:vMerge w:val="restart"/>
            <w:vAlign w:val="center"/>
          </w:tcPr>
          <w:p w14:paraId="7B2D212A" w14:textId="62F8E091" w:rsidR="003950DE" w:rsidRPr="00F24057" w:rsidRDefault="003950DE" w:rsidP="00D70B34">
            <w:pPr>
              <w:jc w:val="left"/>
              <w:rPr>
                <w:szCs w:val="22"/>
                <w:u w:val="single"/>
                <w:lang w:val="sr-Latn-ME"/>
              </w:rPr>
            </w:pPr>
            <w:r w:rsidRPr="00F24057">
              <w:rPr>
                <w:szCs w:val="22"/>
                <w:lang w:val="sr-Latn-ME"/>
              </w:rPr>
              <w:t>Kardiološki poremećaji*</w:t>
            </w:r>
          </w:p>
        </w:tc>
        <w:tc>
          <w:tcPr>
            <w:tcW w:w="770" w:type="pct"/>
            <w:vAlign w:val="center"/>
          </w:tcPr>
          <w:p w14:paraId="0D5E3C2D" w14:textId="7DB835AC" w:rsidR="003950DE" w:rsidRPr="00F24057" w:rsidRDefault="003950DE" w:rsidP="00D70B34">
            <w:pPr>
              <w:jc w:val="left"/>
              <w:rPr>
                <w:szCs w:val="22"/>
                <w:u w:val="single"/>
                <w:lang w:val="sr-Latn-ME"/>
              </w:rPr>
            </w:pPr>
            <w:r w:rsidRPr="00F24057">
              <w:rPr>
                <w:szCs w:val="22"/>
                <w:lang w:val="sr-Latn-ME"/>
              </w:rPr>
              <w:t>Često</w:t>
            </w:r>
          </w:p>
        </w:tc>
        <w:tc>
          <w:tcPr>
            <w:tcW w:w="3027" w:type="pct"/>
            <w:vAlign w:val="center"/>
          </w:tcPr>
          <w:p w14:paraId="73373DD2" w14:textId="00EDD714" w:rsidR="003950DE" w:rsidRPr="00F24057" w:rsidRDefault="003950DE" w:rsidP="00D70B34">
            <w:pPr>
              <w:jc w:val="left"/>
              <w:rPr>
                <w:szCs w:val="22"/>
                <w:u w:val="single"/>
                <w:lang w:val="sr-Latn-ME"/>
              </w:rPr>
            </w:pPr>
            <w:r w:rsidRPr="00F24057">
              <w:rPr>
                <w:szCs w:val="22"/>
                <w:lang w:val="sr-Latn-ME"/>
              </w:rPr>
              <w:t>Tahikardija</w:t>
            </w:r>
          </w:p>
        </w:tc>
      </w:tr>
      <w:tr w:rsidR="003950DE" w:rsidRPr="00F24057" w14:paraId="37E9C5C0" w14:textId="77777777" w:rsidTr="00DA2306">
        <w:trPr>
          <w:trHeight w:val="20"/>
        </w:trPr>
        <w:tc>
          <w:tcPr>
            <w:tcW w:w="1203" w:type="pct"/>
            <w:vMerge/>
            <w:vAlign w:val="center"/>
          </w:tcPr>
          <w:p w14:paraId="5445DEB1" w14:textId="77777777" w:rsidR="003950DE" w:rsidRPr="00F24057" w:rsidRDefault="003950DE" w:rsidP="00D70B34">
            <w:pPr>
              <w:jc w:val="left"/>
              <w:rPr>
                <w:szCs w:val="22"/>
                <w:u w:val="single"/>
                <w:lang w:val="sr-Latn-ME"/>
              </w:rPr>
            </w:pPr>
          </w:p>
        </w:tc>
        <w:tc>
          <w:tcPr>
            <w:tcW w:w="770" w:type="pct"/>
            <w:vAlign w:val="center"/>
          </w:tcPr>
          <w:p w14:paraId="177D0877" w14:textId="3567816C" w:rsidR="003950DE" w:rsidRPr="00F24057" w:rsidRDefault="003950DE" w:rsidP="00D70B34">
            <w:pPr>
              <w:jc w:val="left"/>
              <w:rPr>
                <w:szCs w:val="22"/>
                <w:u w:val="single"/>
                <w:lang w:val="sr-Latn-ME"/>
              </w:rPr>
            </w:pPr>
            <w:r w:rsidRPr="00F24057">
              <w:rPr>
                <w:szCs w:val="22"/>
                <w:lang w:val="sr-Latn-ME"/>
              </w:rPr>
              <w:t>Povremeno</w:t>
            </w:r>
          </w:p>
        </w:tc>
        <w:tc>
          <w:tcPr>
            <w:tcW w:w="3027" w:type="pct"/>
            <w:vAlign w:val="center"/>
          </w:tcPr>
          <w:p w14:paraId="642A3136" w14:textId="77777777" w:rsidR="003950DE" w:rsidRPr="00F24057" w:rsidRDefault="003950DE" w:rsidP="00D70B34">
            <w:pPr>
              <w:jc w:val="left"/>
              <w:rPr>
                <w:szCs w:val="22"/>
                <w:lang w:val="sr-Latn-ME"/>
              </w:rPr>
            </w:pPr>
            <w:r w:rsidRPr="00F24057">
              <w:rPr>
                <w:szCs w:val="22"/>
                <w:lang w:val="sr-Latn-ME"/>
              </w:rPr>
              <w:t>Infarkt miokarda</w:t>
            </w:r>
            <w:r w:rsidRPr="00F24057">
              <w:rPr>
                <w:szCs w:val="22"/>
                <w:vertAlign w:val="superscript"/>
                <w:lang w:val="sr-Latn-ME"/>
              </w:rPr>
              <w:t>1)</w:t>
            </w:r>
            <w:r w:rsidRPr="00F24057">
              <w:rPr>
                <w:szCs w:val="22"/>
                <w:lang w:val="sr-Latn-ME"/>
              </w:rPr>
              <w:t xml:space="preserve">, </w:t>
            </w:r>
          </w:p>
          <w:p w14:paraId="6B5F770C" w14:textId="77777777" w:rsidR="003950DE" w:rsidRPr="00F24057" w:rsidRDefault="003950DE" w:rsidP="00D70B34">
            <w:pPr>
              <w:jc w:val="left"/>
              <w:rPr>
                <w:szCs w:val="22"/>
                <w:lang w:val="sr-Latn-ME"/>
              </w:rPr>
            </w:pPr>
            <w:r w:rsidRPr="00F24057">
              <w:rPr>
                <w:szCs w:val="22"/>
                <w:lang w:val="sr-Latn-ME"/>
              </w:rPr>
              <w:lastRenderedPageBreak/>
              <w:t xml:space="preserve">aritmija, </w:t>
            </w:r>
          </w:p>
          <w:p w14:paraId="32BA80BE" w14:textId="41AED649" w:rsidR="003950DE" w:rsidRPr="00F24057" w:rsidRDefault="003950DE" w:rsidP="00D70B34">
            <w:pPr>
              <w:jc w:val="left"/>
              <w:rPr>
                <w:szCs w:val="22"/>
                <w:u w:val="single"/>
                <w:lang w:val="sr-Latn-ME"/>
              </w:rPr>
            </w:pPr>
            <w:r w:rsidRPr="00F24057">
              <w:rPr>
                <w:szCs w:val="22"/>
                <w:lang w:val="sr-Latn-ME"/>
              </w:rPr>
              <w:t>kongestivna srčana insuficijencija</w:t>
            </w:r>
          </w:p>
        </w:tc>
      </w:tr>
      <w:tr w:rsidR="003950DE" w:rsidRPr="00F24057" w14:paraId="543D268C" w14:textId="77777777" w:rsidTr="00DA2306">
        <w:trPr>
          <w:trHeight w:val="20"/>
        </w:trPr>
        <w:tc>
          <w:tcPr>
            <w:tcW w:w="1203" w:type="pct"/>
            <w:vMerge/>
            <w:vAlign w:val="center"/>
          </w:tcPr>
          <w:p w14:paraId="1E543097" w14:textId="77777777" w:rsidR="003950DE" w:rsidRPr="00F24057" w:rsidRDefault="003950DE" w:rsidP="00D70B34">
            <w:pPr>
              <w:jc w:val="left"/>
              <w:rPr>
                <w:szCs w:val="22"/>
                <w:u w:val="single"/>
                <w:lang w:val="sr-Latn-ME"/>
              </w:rPr>
            </w:pPr>
          </w:p>
        </w:tc>
        <w:tc>
          <w:tcPr>
            <w:tcW w:w="770" w:type="pct"/>
            <w:vAlign w:val="center"/>
          </w:tcPr>
          <w:p w14:paraId="1ED8E288" w14:textId="6F79367B" w:rsidR="003950DE" w:rsidRPr="00F24057" w:rsidRDefault="004F2520" w:rsidP="00D70B34">
            <w:pPr>
              <w:jc w:val="left"/>
              <w:rPr>
                <w:szCs w:val="22"/>
                <w:u w:val="single"/>
                <w:lang w:val="sr-Latn-ME"/>
              </w:rPr>
            </w:pPr>
            <w:r w:rsidRPr="00F24057">
              <w:rPr>
                <w:szCs w:val="22"/>
                <w:lang w:val="sr-Latn-ME"/>
              </w:rPr>
              <w:t>Rijetk</w:t>
            </w:r>
            <w:r w:rsidR="003950DE" w:rsidRPr="00F24057">
              <w:rPr>
                <w:szCs w:val="22"/>
                <w:lang w:val="sr-Latn-ME"/>
              </w:rPr>
              <w:t>o</w:t>
            </w:r>
          </w:p>
        </w:tc>
        <w:tc>
          <w:tcPr>
            <w:tcW w:w="3027" w:type="pct"/>
            <w:vAlign w:val="center"/>
          </w:tcPr>
          <w:p w14:paraId="01772E70" w14:textId="421184BB" w:rsidR="003950DE" w:rsidRPr="00F24057" w:rsidRDefault="003950DE" w:rsidP="00D70B34">
            <w:pPr>
              <w:jc w:val="left"/>
              <w:rPr>
                <w:szCs w:val="22"/>
                <w:u w:val="single"/>
                <w:lang w:val="sr-Latn-ME"/>
              </w:rPr>
            </w:pPr>
            <w:r w:rsidRPr="00F24057">
              <w:rPr>
                <w:szCs w:val="22"/>
                <w:lang w:val="sr-Latn-ME"/>
              </w:rPr>
              <w:t>Srčani zastoj</w:t>
            </w:r>
          </w:p>
        </w:tc>
      </w:tr>
      <w:tr w:rsidR="003950DE" w:rsidRPr="00F24057" w14:paraId="346C0C11" w14:textId="77777777" w:rsidTr="00DA2306">
        <w:trPr>
          <w:trHeight w:val="20"/>
        </w:trPr>
        <w:tc>
          <w:tcPr>
            <w:tcW w:w="1203" w:type="pct"/>
            <w:vMerge w:val="restart"/>
            <w:vAlign w:val="center"/>
          </w:tcPr>
          <w:p w14:paraId="48FCBAFA" w14:textId="4C508908" w:rsidR="003950DE" w:rsidRPr="00F24057" w:rsidRDefault="003950DE" w:rsidP="00D70B34">
            <w:pPr>
              <w:jc w:val="left"/>
              <w:rPr>
                <w:szCs w:val="22"/>
                <w:u w:val="single"/>
                <w:lang w:val="sr-Latn-ME"/>
              </w:rPr>
            </w:pPr>
            <w:r w:rsidRPr="00F24057">
              <w:rPr>
                <w:szCs w:val="22"/>
                <w:lang w:val="sr-Latn-ME"/>
              </w:rPr>
              <w:t>Vaskularni poremećaji</w:t>
            </w:r>
          </w:p>
        </w:tc>
        <w:tc>
          <w:tcPr>
            <w:tcW w:w="770" w:type="pct"/>
            <w:vAlign w:val="center"/>
          </w:tcPr>
          <w:p w14:paraId="229DE044" w14:textId="37D37408" w:rsidR="003950DE" w:rsidRPr="00F24057" w:rsidRDefault="003950DE" w:rsidP="00D70B34">
            <w:pPr>
              <w:jc w:val="left"/>
              <w:rPr>
                <w:szCs w:val="22"/>
                <w:u w:val="single"/>
                <w:lang w:val="sr-Latn-ME"/>
              </w:rPr>
            </w:pPr>
            <w:r w:rsidRPr="00F24057">
              <w:rPr>
                <w:szCs w:val="22"/>
                <w:lang w:val="sr-Latn-ME"/>
              </w:rPr>
              <w:t>Često</w:t>
            </w:r>
          </w:p>
        </w:tc>
        <w:tc>
          <w:tcPr>
            <w:tcW w:w="3027" w:type="pct"/>
            <w:vAlign w:val="center"/>
          </w:tcPr>
          <w:p w14:paraId="273F6042" w14:textId="77777777" w:rsidR="003950DE" w:rsidRPr="00F24057" w:rsidRDefault="003950DE" w:rsidP="00D70B34">
            <w:pPr>
              <w:jc w:val="left"/>
              <w:rPr>
                <w:szCs w:val="22"/>
                <w:lang w:val="sr-Latn-ME"/>
              </w:rPr>
            </w:pPr>
            <w:r w:rsidRPr="00F24057">
              <w:rPr>
                <w:szCs w:val="22"/>
                <w:lang w:val="sr-Latn-ME"/>
              </w:rPr>
              <w:t xml:space="preserve">Hipertenzija, </w:t>
            </w:r>
          </w:p>
          <w:p w14:paraId="0C2DB777" w14:textId="77777777" w:rsidR="003950DE" w:rsidRPr="00F24057" w:rsidRDefault="003950DE" w:rsidP="00D70B34">
            <w:pPr>
              <w:jc w:val="left"/>
              <w:rPr>
                <w:szCs w:val="22"/>
                <w:lang w:val="sr-Latn-ME"/>
              </w:rPr>
            </w:pPr>
            <w:r w:rsidRPr="00F24057">
              <w:rPr>
                <w:szCs w:val="22"/>
                <w:lang w:val="sr-Latn-ME"/>
              </w:rPr>
              <w:t xml:space="preserve">navala crvenila, </w:t>
            </w:r>
          </w:p>
          <w:p w14:paraId="1DB14335" w14:textId="455C9786" w:rsidR="003950DE" w:rsidRPr="00F24057" w:rsidRDefault="003950DE" w:rsidP="00D70B34">
            <w:pPr>
              <w:jc w:val="left"/>
              <w:rPr>
                <w:szCs w:val="22"/>
                <w:u w:val="single"/>
                <w:lang w:val="sr-Latn-ME"/>
              </w:rPr>
            </w:pPr>
            <w:r w:rsidRPr="00F24057">
              <w:rPr>
                <w:szCs w:val="22"/>
                <w:lang w:val="sr-Latn-ME"/>
              </w:rPr>
              <w:t>hematom</w:t>
            </w:r>
          </w:p>
        </w:tc>
      </w:tr>
      <w:tr w:rsidR="003950DE" w:rsidRPr="00F24057" w14:paraId="609C75CE" w14:textId="77777777" w:rsidTr="00DA2306">
        <w:trPr>
          <w:trHeight w:val="20"/>
        </w:trPr>
        <w:tc>
          <w:tcPr>
            <w:tcW w:w="1203" w:type="pct"/>
            <w:vMerge/>
            <w:vAlign w:val="center"/>
          </w:tcPr>
          <w:p w14:paraId="3017AA6A" w14:textId="77777777" w:rsidR="003950DE" w:rsidRPr="00F24057" w:rsidRDefault="003950DE" w:rsidP="00D70B34">
            <w:pPr>
              <w:jc w:val="left"/>
              <w:rPr>
                <w:szCs w:val="22"/>
                <w:u w:val="single"/>
                <w:lang w:val="sr-Latn-ME"/>
              </w:rPr>
            </w:pPr>
          </w:p>
        </w:tc>
        <w:tc>
          <w:tcPr>
            <w:tcW w:w="770" w:type="pct"/>
            <w:vAlign w:val="center"/>
          </w:tcPr>
          <w:p w14:paraId="16F16DDE" w14:textId="492608A0" w:rsidR="003950DE" w:rsidRPr="00F24057" w:rsidRDefault="003950DE" w:rsidP="00D70B34">
            <w:pPr>
              <w:jc w:val="left"/>
              <w:rPr>
                <w:szCs w:val="22"/>
                <w:u w:val="single"/>
                <w:lang w:val="sr-Latn-ME"/>
              </w:rPr>
            </w:pPr>
            <w:r w:rsidRPr="00F24057">
              <w:rPr>
                <w:szCs w:val="22"/>
                <w:lang w:val="sr-Latn-ME"/>
              </w:rPr>
              <w:t>Povremeno</w:t>
            </w:r>
          </w:p>
        </w:tc>
        <w:tc>
          <w:tcPr>
            <w:tcW w:w="3027" w:type="pct"/>
            <w:vAlign w:val="center"/>
          </w:tcPr>
          <w:p w14:paraId="568047A6" w14:textId="77777777" w:rsidR="003950DE" w:rsidRPr="00F24057" w:rsidRDefault="003950DE" w:rsidP="00D70B34">
            <w:pPr>
              <w:jc w:val="left"/>
              <w:rPr>
                <w:szCs w:val="22"/>
                <w:lang w:val="sr-Latn-ME"/>
              </w:rPr>
            </w:pPr>
            <w:r w:rsidRPr="00F24057">
              <w:rPr>
                <w:szCs w:val="22"/>
                <w:lang w:val="sr-Latn-ME"/>
              </w:rPr>
              <w:t xml:space="preserve">Aortna aneurizma, </w:t>
            </w:r>
          </w:p>
          <w:p w14:paraId="2B7F975A" w14:textId="77777777" w:rsidR="003950DE" w:rsidRPr="00F24057" w:rsidRDefault="003950DE" w:rsidP="00D70B34">
            <w:pPr>
              <w:jc w:val="left"/>
              <w:rPr>
                <w:szCs w:val="22"/>
                <w:lang w:val="sr-Latn-ME"/>
              </w:rPr>
            </w:pPr>
            <w:r w:rsidRPr="00F24057">
              <w:rPr>
                <w:szCs w:val="22"/>
                <w:lang w:val="sr-Latn-ME"/>
              </w:rPr>
              <w:t xml:space="preserve">vaskularna arterijalna okluzija, </w:t>
            </w:r>
          </w:p>
          <w:p w14:paraId="47108A75" w14:textId="12499256" w:rsidR="003950DE" w:rsidRPr="00F24057" w:rsidRDefault="003950DE" w:rsidP="00D70B34">
            <w:pPr>
              <w:jc w:val="left"/>
              <w:rPr>
                <w:szCs w:val="22"/>
                <w:u w:val="single"/>
                <w:lang w:val="sr-Latn-ME"/>
              </w:rPr>
            </w:pPr>
            <w:r w:rsidRPr="00F24057">
              <w:rPr>
                <w:szCs w:val="22"/>
                <w:lang w:val="sr-Latn-ME"/>
              </w:rPr>
              <w:t>tromboflebitis</w:t>
            </w:r>
          </w:p>
        </w:tc>
      </w:tr>
      <w:tr w:rsidR="003950DE" w:rsidRPr="00F24057" w14:paraId="6A7B6CD3" w14:textId="77777777" w:rsidTr="00DA2306">
        <w:trPr>
          <w:trHeight w:val="20"/>
        </w:trPr>
        <w:tc>
          <w:tcPr>
            <w:tcW w:w="1203" w:type="pct"/>
            <w:vMerge w:val="restart"/>
            <w:vAlign w:val="center"/>
          </w:tcPr>
          <w:p w14:paraId="6D604EBA" w14:textId="4E965B90" w:rsidR="003950DE" w:rsidRPr="00F24057" w:rsidRDefault="003950DE" w:rsidP="00D70B34">
            <w:pPr>
              <w:jc w:val="left"/>
              <w:rPr>
                <w:szCs w:val="22"/>
                <w:u w:val="single"/>
                <w:lang w:val="sr-Latn-ME"/>
              </w:rPr>
            </w:pPr>
            <w:r w:rsidRPr="00F24057">
              <w:rPr>
                <w:szCs w:val="22"/>
                <w:lang w:val="sr-Latn-ME"/>
              </w:rPr>
              <w:t>Respiratorni, torakalni i medijastinalni poremećaji*</w:t>
            </w:r>
          </w:p>
        </w:tc>
        <w:tc>
          <w:tcPr>
            <w:tcW w:w="770" w:type="pct"/>
            <w:vAlign w:val="center"/>
          </w:tcPr>
          <w:p w14:paraId="22B92F2E" w14:textId="28B069DD" w:rsidR="003950DE" w:rsidRPr="00F24057" w:rsidRDefault="003950DE" w:rsidP="00D70B34">
            <w:pPr>
              <w:jc w:val="left"/>
              <w:rPr>
                <w:szCs w:val="22"/>
                <w:u w:val="single"/>
                <w:lang w:val="sr-Latn-ME"/>
              </w:rPr>
            </w:pPr>
            <w:r w:rsidRPr="00F24057">
              <w:rPr>
                <w:szCs w:val="22"/>
                <w:lang w:val="sr-Latn-ME"/>
              </w:rPr>
              <w:t>Često</w:t>
            </w:r>
          </w:p>
        </w:tc>
        <w:tc>
          <w:tcPr>
            <w:tcW w:w="3027" w:type="pct"/>
            <w:vAlign w:val="center"/>
          </w:tcPr>
          <w:p w14:paraId="7B35774C" w14:textId="77777777" w:rsidR="003950DE" w:rsidRPr="00F24057" w:rsidRDefault="003950DE" w:rsidP="00D70B34">
            <w:pPr>
              <w:jc w:val="left"/>
              <w:rPr>
                <w:szCs w:val="22"/>
                <w:lang w:val="sr-Latn-ME"/>
              </w:rPr>
            </w:pPr>
            <w:r w:rsidRPr="00F24057">
              <w:rPr>
                <w:szCs w:val="22"/>
                <w:lang w:val="sr-Latn-ME"/>
              </w:rPr>
              <w:t xml:space="preserve">Astma, </w:t>
            </w:r>
          </w:p>
          <w:p w14:paraId="0E815AE8" w14:textId="61A039EB" w:rsidR="003950DE" w:rsidRPr="00F24057" w:rsidRDefault="003950DE" w:rsidP="00D70B34">
            <w:pPr>
              <w:jc w:val="left"/>
              <w:rPr>
                <w:szCs w:val="22"/>
                <w:lang w:val="sr-Latn-ME"/>
              </w:rPr>
            </w:pPr>
            <w:r w:rsidRPr="00F24057">
              <w:rPr>
                <w:szCs w:val="22"/>
                <w:lang w:val="sr-Latn-ME"/>
              </w:rPr>
              <w:t>dispne</w:t>
            </w:r>
            <w:r w:rsidR="00F572D3" w:rsidRPr="00F24057">
              <w:rPr>
                <w:szCs w:val="22"/>
                <w:lang w:val="sr-Latn-ME"/>
              </w:rPr>
              <w:t>j</w:t>
            </w:r>
            <w:r w:rsidRPr="00F24057">
              <w:rPr>
                <w:szCs w:val="22"/>
                <w:lang w:val="sr-Latn-ME"/>
              </w:rPr>
              <w:t xml:space="preserve">a, </w:t>
            </w:r>
          </w:p>
          <w:p w14:paraId="3553CA0F" w14:textId="4D2E9119" w:rsidR="003950DE" w:rsidRPr="00F24057" w:rsidRDefault="003950DE" w:rsidP="00D70B34">
            <w:pPr>
              <w:jc w:val="left"/>
              <w:rPr>
                <w:szCs w:val="22"/>
                <w:u w:val="single"/>
                <w:lang w:val="sr-Latn-ME"/>
              </w:rPr>
            </w:pPr>
            <w:r w:rsidRPr="00F24057">
              <w:rPr>
                <w:szCs w:val="22"/>
                <w:lang w:val="sr-Latn-ME"/>
              </w:rPr>
              <w:t>kašalj</w:t>
            </w:r>
          </w:p>
        </w:tc>
      </w:tr>
      <w:tr w:rsidR="003950DE" w:rsidRPr="00F24057" w14:paraId="3CBC5DE5" w14:textId="77777777" w:rsidTr="00DA2306">
        <w:trPr>
          <w:trHeight w:val="20"/>
        </w:trPr>
        <w:tc>
          <w:tcPr>
            <w:tcW w:w="1203" w:type="pct"/>
            <w:vMerge/>
            <w:vAlign w:val="center"/>
          </w:tcPr>
          <w:p w14:paraId="1C0AD084" w14:textId="77777777" w:rsidR="003950DE" w:rsidRPr="00F24057" w:rsidRDefault="003950DE" w:rsidP="00D70B34">
            <w:pPr>
              <w:jc w:val="left"/>
              <w:rPr>
                <w:szCs w:val="22"/>
                <w:u w:val="single"/>
                <w:lang w:val="sr-Latn-ME"/>
              </w:rPr>
            </w:pPr>
          </w:p>
        </w:tc>
        <w:tc>
          <w:tcPr>
            <w:tcW w:w="770" w:type="pct"/>
            <w:vAlign w:val="center"/>
          </w:tcPr>
          <w:p w14:paraId="65EE2713" w14:textId="361B523E" w:rsidR="003950DE" w:rsidRPr="00F24057" w:rsidRDefault="003950DE" w:rsidP="00D70B34">
            <w:pPr>
              <w:jc w:val="left"/>
              <w:rPr>
                <w:szCs w:val="22"/>
                <w:u w:val="single"/>
                <w:lang w:val="sr-Latn-ME"/>
              </w:rPr>
            </w:pPr>
            <w:r w:rsidRPr="00F24057">
              <w:rPr>
                <w:szCs w:val="22"/>
                <w:lang w:val="sr-Latn-ME"/>
              </w:rPr>
              <w:t>Povremeno</w:t>
            </w:r>
          </w:p>
        </w:tc>
        <w:tc>
          <w:tcPr>
            <w:tcW w:w="3027" w:type="pct"/>
            <w:vAlign w:val="center"/>
          </w:tcPr>
          <w:p w14:paraId="0E0B808F" w14:textId="77777777" w:rsidR="003950DE" w:rsidRPr="00F24057" w:rsidRDefault="003950DE" w:rsidP="00D70B34">
            <w:pPr>
              <w:jc w:val="left"/>
              <w:rPr>
                <w:szCs w:val="22"/>
                <w:lang w:val="sr-Latn-ME"/>
              </w:rPr>
            </w:pPr>
            <w:r w:rsidRPr="00F24057">
              <w:rPr>
                <w:szCs w:val="22"/>
                <w:lang w:val="sr-Latn-ME"/>
              </w:rPr>
              <w:t>Plućna embolija</w:t>
            </w:r>
            <w:r w:rsidRPr="00F24057">
              <w:rPr>
                <w:szCs w:val="22"/>
                <w:vertAlign w:val="superscript"/>
                <w:lang w:val="sr-Latn-ME"/>
              </w:rPr>
              <w:t>1)</w:t>
            </w:r>
            <w:r w:rsidRPr="00F24057">
              <w:rPr>
                <w:szCs w:val="22"/>
                <w:lang w:val="sr-Latn-ME"/>
              </w:rPr>
              <w:t xml:space="preserve"> , </w:t>
            </w:r>
          </w:p>
          <w:p w14:paraId="0E6BE7B1" w14:textId="77777777" w:rsidR="003950DE" w:rsidRPr="00F24057" w:rsidRDefault="003950DE" w:rsidP="00D70B34">
            <w:pPr>
              <w:jc w:val="left"/>
              <w:rPr>
                <w:szCs w:val="22"/>
                <w:lang w:val="sr-Latn-ME"/>
              </w:rPr>
            </w:pPr>
            <w:r w:rsidRPr="00F24057">
              <w:rPr>
                <w:szCs w:val="22"/>
                <w:lang w:val="sr-Latn-ME"/>
              </w:rPr>
              <w:t xml:space="preserve">intersticijalna bolest pluća, </w:t>
            </w:r>
          </w:p>
          <w:p w14:paraId="2190C78B" w14:textId="77777777" w:rsidR="003950DE" w:rsidRPr="00F24057" w:rsidRDefault="003950DE" w:rsidP="00D70B34">
            <w:pPr>
              <w:jc w:val="left"/>
              <w:rPr>
                <w:szCs w:val="22"/>
                <w:lang w:val="sr-Latn-ME"/>
              </w:rPr>
            </w:pPr>
            <w:r w:rsidRPr="00F24057">
              <w:rPr>
                <w:szCs w:val="22"/>
                <w:lang w:val="sr-Latn-ME"/>
              </w:rPr>
              <w:t xml:space="preserve">hronična opstruktivna bolest pluća, </w:t>
            </w:r>
          </w:p>
          <w:p w14:paraId="28FE353D" w14:textId="77777777" w:rsidR="003950DE" w:rsidRPr="00F24057" w:rsidRDefault="003950DE" w:rsidP="00D70B34">
            <w:pPr>
              <w:jc w:val="left"/>
              <w:rPr>
                <w:szCs w:val="22"/>
                <w:lang w:val="sr-Latn-ME"/>
              </w:rPr>
            </w:pPr>
            <w:r w:rsidRPr="00F24057">
              <w:rPr>
                <w:szCs w:val="22"/>
                <w:lang w:val="sr-Latn-ME"/>
              </w:rPr>
              <w:t xml:space="preserve">pneumonitis, </w:t>
            </w:r>
          </w:p>
          <w:p w14:paraId="7C5DFCE8" w14:textId="4A43E03C" w:rsidR="003950DE" w:rsidRPr="00F24057" w:rsidRDefault="003950DE" w:rsidP="00D70B34">
            <w:pPr>
              <w:jc w:val="left"/>
              <w:rPr>
                <w:szCs w:val="22"/>
                <w:u w:val="single"/>
                <w:lang w:val="sr-Latn-ME"/>
              </w:rPr>
            </w:pPr>
            <w:r w:rsidRPr="00F24057">
              <w:rPr>
                <w:szCs w:val="22"/>
                <w:lang w:val="sr-Latn-ME"/>
              </w:rPr>
              <w:t>pleuralni izliv</w:t>
            </w:r>
            <w:r w:rsidRPr="00F24057">
              <w:rPr>
                <w:szCs w:val="22"/>
                <w:vertAlign w:val="superscript"/>
                <w:lang w:val="sr-Latn-ME"/>
              </w:rPr>
              <w:t>1)</w:t>
            </w:r>
          </w:p>
        </w:tc>
      </w:tr>
      <w:tr w:rsidR="003950DE" w:rsidRPr="00F24057" w14:paraId="11031F64" w14:textId="77777777" w:rsidTr="00DA2306">
        <w:trPr>
          <w:trHeight w:val="20"/>
        </w:trPr>
        <w:tc>
          <w:tcPr>
            <w:tcW w:w="1203" w:type="pct"/>
            <w:vMerge/>
            <w:vAlign w:val="center"/>
          </w:tcPr>
          <w:p w14:paraId="216AFFB9" w14:textId="77777777" w:rsidR="003950DE" w:rsidRPr="00F24057" w:rsidRDefault="003950DE" w:rsidP="00D70B34">
            <w:pPr>
              <w:jc w:val="left"/>
              <w:rPr>
                <w:szCs w:val="22"/>
                <w:u w:val="single"/>
                <w:lang w:val="sr-Latn-ME"/>
              </w:rPr>
            </w:pPr>
          </w:p>
        </w:tc>
        <w:tc>
          <w:tcPr>
            <w:tcW w:w="770" w:type="pct"/>
            <w:vAlign w:val="center"/>
          </w:tcPr>
          <w:p w14:paraId="20E11468" w14:textId="6C61B8EF" w:rsidR="003950DE" w:rsidRPr="00F24057" w:rsidRDefault="004F2520" w:rsidP="00D70B34">
            <w:pPr>
              <w:jc w:val="left"/>
              <w:rPr>
                <w:szCs w:val="22"/>
                <w:u w:val="single"/>
                <w:lang w:val="sr-Latn-ME"/>
              </w:rPr>
            </w:pPr>
            <w:r w:rsidRPr="00F24057">
              <w:rPr>
                <w:szCs w:val="22"/>
                <w:lang w:val="sr-Latn-ME"/>
              </w:rPr>
              <w:t>Rijetk</w:t>
            </w:r>
            <w:r w:rsidR="003950DE" w:rsidRPr="00F24057">
              <w:rPr>
                <w:szCs w:val="22"/>
                <w:lang w:val="sr-Latn-ME"/>
              </w:rPr>
              <w:t>o</w:t>
            </w:r>
          </w:p>
        </w:tc>
        <w:tc>
          <w:tcPr>
            <w:tcW w:w="3027" w:type="pct"/>
            <w:vAlign w:val="center"/>
          </w:tcPr>
          <w:p w14:paraId="75D89618" w14:textId="70B52E54" w:rsidR="003950DE" w:rsidRPr="00F24057" w:rsidRDefault="003950DE" w:rsidP="00D70B34">
            <w:pPr>
              <w:jc w:val="left"/>
              <w:rPr>
                <w:szCs w:val="22"/>
                <w:u w:val="single"/>
                <w:lang w:val="sr-Latn-ME"/>
              </w:rPr>
            </w:pPr>
            <w:r w:rsidRPr="00F24057">
              <w:rPr>
                <w:szCs w:val="22"/>
                <w:lang w:val="sr-Latn-ME"/>
              </w:rPr>
              <w:t>Plućna fibroza</w:t>
            </w:r>
            <w:r w:rsidRPr="00F24057">
              <w:rPr>
                <w:szCs w:val="22"/>
                <w:vertAlign w:val="superscript"/>
                <w:lang w:val="sr-Latn-ME"/>
              </w:rPr>
              <w:t>1)</w:t>
            </w:r>
          </w:p>
        </w:tc>
      </w:tr>
      <w:tr w:rsidR="009222F1" w:rsidRPr="00F24057" w14:paraId="22920A11" w14:textId="77777777" w:rsidTr="00DA2306">
        <w:trPr>
          <w:trHeight w:val="20"/>
        </w:trPr>
        <w:tc>
          <w:tcPr>
            <w:tcW w:w="1203" w:type="pct"/>
            <w:vMerge w:val="restart"/>
            <w:vAlign w:val="center"/>
          </w:tcPr>
          <w:p w14:paraId="3FD7FECB" w14:textId="7233C04F" w:rsidR="009222F1" w:rsidRPr="00F24057" w:rsidRDefault="009222F1" w:rsidP="00D70B34">
            <w:pPr>
              <w:jc w:val="left"/>
              <w:rPr>
                <w:szCs w:val="22"/>
                <w:u w:val="single"/>
                <w:lang w:val="sr-Latn-ME"/>
              </w:rPr>
            </w:pPr>
            <w:r w:rsidRPr="00F24057">
              <w:rPr>
                <w:szCs w:val="22"/>
                <w:lang w:val="sr-Latn-ME"/>
              </w:rPr>
              <w:t>Gastrointestinalni poremećaji</w:t>
            </w:r>
          </w:p>
        </w:tc>
        <w:tc>
          <w:tcPr>
            <w:tcW w:w="770" w:type="pct"/>
            <w:vAlign w:val="center"/>
          </w:tcPr>
          <w:p w14:paraId="5C5685D0" w14:textId="4563588C" w:rsidR="009222F1" w:rsidRPr="00F24057" w:rsidRDefault="009222F1" w:rsidP="00D70B34">
            <w:pPr>
              <w:jc w:val="left"/>
              <w:rPr>
                <w:szCs w:val="22"/>
                <w:u w:val="single"/>
                <w:lang w:val="sr-Latn-ME"/>
              </w:rPr>
            </w:pPr>
            <w:r w:rsidRPr="00F24057">
              <w:rPr>
                <w:szCs w:val="22"/>
                <w:lang w:val="sr-Latn-ME"/>
              </w:rPr>
              <w:t>Veoma često</w:t>
            </w:r>
          </w:p>
        </w:tc>
        <w:tc>
          <w:tcPr>
            <w:tcW w:w="3027" w:type="pct"/>
            <w:vAlign w:val="center"/>
          </w:tcPr>
          <w:p w14:paraId="069F381F" w14:textId="77777777" w:rsidR="009222F1" w:rsidRPr="00F24057" w:rsidRDefault="009222F1" w:rsidP="00D70B34">
            <w:pPr>
              <w:jc w:val="left"/>
              <w:rPr>
                <w:szCs w:val="22"/>
                <w:lang w:val="sr-Latn-ME"/>
              </w:rPr>
            </w:pPr>
            <w:r w:rsidRPr="00F24057">
              <w:rPr>
                <w:szCs w:val="22"/>
                <w:lang w:val="sr-Latn-ME"/>
              </w:rPr>
              <w:t xml:space="preserve">Abdominalni bol, </w:t>
            </w:r>
          </w:p>
          <w:p w14:paraId="7E58751E" w14:textId="3DF8A358" w:rsidR="009222F1" w:rsidRPr="00F24057" w:rsidRDefault="009222F1" w:rsidP="00D70B34">
            <w:pPr>
              <w:jc w:val="left"/>
              <w:rPr>
                <w:szCs w:val="22"/>
                <w:u w:val="single"/>
                <w:lang w:val="sr-Latn-ME"/>
              </w:rPr>
            </w:pPr>
            <w:r w:rsidRPr="00F24057">
              <w:rPr>
                <w:szCs w:val="22"/>
                <w:lang w:val="sr-Latn-ME"/>
              </w:rPr>
              <w:t>mučnina i povraćanje</w:t>
            </w:r>
          </w:p>
        </w:tc>
      </w:tr>
      <w:tr w:rsidR="009222F1" w:rsidRPr="00F24057" w14:paraId="0960BE01" w14:textId="77777777" w:rsidTr="00DA2306">
        <w:trPr>
          <w:trHeight w:val="20"/>
        </w:trPr>
        <w:tc>
          <w:tcPr>
            <w:tcW w:w="1203" w:type="pct"/>
            <w:vMerge/>
            <w:vAlign w:val="center"/>
          </w:tcPr>
          <w:p w14:paraId="579905EA" w14:textId="77777777" w:rsidR="009222F1" w:rsidRPr="00F24057" w:rsidRDefault="009222F1" w:rsidP="00D70B34">
            <w:pPr>
              <w:jc w:val="left"/>
              <w:rPr>
                <w:szCs w:val="22"/>
                <w:u w:val="single"/>
                <w:lang w:val="sr-Latn-ME"/>
              </w:rPr>
            </w:pPr>
          </w:p>
        </w:tc>
        <w:tc>
          <w:tcPr>
            <w:tcW w:w="770" w:type="pct"/>
            <w:vAlign w:val="center"/>
          </w:tcPr>
          <w:p w14:paraId="2484D6C0" w14:textId="2EFBB574" w:rsidR="009222F1" w:rsidRPr="00F24057" w:rsidRDefault="009222F1" w:rsidP="00D70B34">
            <w:pPr>
              <w:jc w:val="left"/>
              <w:rPr>
                <w:szCs w:val="22"/>
                <w:u w:val="single"/>
                <w:lang w:val="sr-Latn-ME"/>
              </w:rPr>
            </w:pPr>
            <w:r w:rsidRPr="00F24057">
              <w:rPr>
                <w:szCs w:val="22"/>
                <w:lang w:val="sr-Latn-ME"/>
              </w:rPr>
              <w:t>Često</w:t>
            </w:r>
          </w:p>
        </w:tc>
        <w:tc>
          <w:tcPr>
            <w:tcW w:w="3027" w:type="pct"/>
            <w:vAlign w:val="center"/>
          </w:tcPr>
          <w:p w14:paraId="79B41674" w14:textId="77777777" w:rsidR="009222F1" w:rsidRPr="00F24057" w:rsidRDefault="009222F1" w:rsidP="00D70B34">
            <w:pPr>
              <w:jc w:val="left"/>
              <w:rPr>
                <w:szCs w:val="22"/>
                <w:lang w:val="sr-Latn-ME"/>
              </w:rPr>
            </w:pPr>
            <w:r w:rsidRPr="00F24057">
              <w:rPr>
                <w:szCs w:val="22"/>
                <w:lang w:val="sr-Latn-ME"/>
              </w:rPr>
              <w:t xml:space="preserve">GI hemoragija, </w:t>
            </w:r>
          </w:p>
          <w:p w14:paraId="6386CAD2" w14:textId="77777777" w:rsidR="009222F1" w:rsidRPr="00F24057" w:rsidRDefault="009222F1" w:rsidP="00D70B34">
            <w:pPr>
              <w:jc w:val="left"/>
              <w:rPr>
                <w:szCs w:val="22"/>
                <w:lang w:val="sr-Latn-ME"/>
              </w:rPr>
            </w:pPr>
            <w:r w:rsidRPr="00F24057">
              <w:rPr>
                <w:szCs w:val="22"/>
                <w:lang w:val="sr-Latn-ME"/>
              </w:rPr>
              <w:t xml:space="preserve">dispepsija, </w:t>
            </w:r>
          </w:p>
          <w:p w14:paraId="6FD79EEB" w14:textId="77777777" w:rsidR="009222F1" w:rsidRPr="00F24057" w:rsidRDefault="009222F1" w:rsidP="00D70B34">
            <w:pPr>
              <w:jc w:val="left"/>
              <w:rPr>
                <w:szCs w:val="22"/>
                <w:lang w:val="sr-Latn-ME"/>
              </w:rPr>
            </w:pPr>
            <w:r w:rsidRPr="00F24057">
              <w:rPr>
                <w:szCs w:val="22"/>
                <w:lang w:val="sr-Latn-ME"/>
              </w:rPr>
              <w:t xml:space="preserve">gastroezofagealna refluksna bolest, </w:t>
            </w:r>
          </w:p>
          <w:p w14:paraId="172F3714" w14:textId="451FCBBB" w:rsidR="009222F1" w:rsidRPr="00F24057" w:rsidRDefault="009222F1" w:rsidP="00D70B34">
            <w:pPr>
              <w:jc w:val="left"/>
              <w:rPr>
                <w:szCs w:val="22"/>
                <w:u w:val="single"/>
                <w:lang w:val="sr-Latn-ME"/>
              </w:rPr>
            </w:pPr>
            <w:r w:rsidRPr="00F24057">
              <w:rPr>
                <w:i/>
                <w:iCs/>
                <w:szCs w:val="22"/>
                <w:lang w:val="sr-Latn-ME"/>
              </w:rPr>
              <w:t>sicca</w:t>
            </w:r>
            <w:r w:rsidRPr="00F24057">
              <w:rPr>
                <w:szCs w:val="22"/>
                <w:lang w:val="sr-Latn-ME"/>
              </w:rPr>
              <w:t xml:space="preserve"> sindrom</w:t>
            </w:r>
          </w:p>
        </w:tc>
      </w:tr>
      <w:tr w:rsidR="009222F1" w:rsidRPr="00F24057" w14:paraId="334027E3" w14:textId="77777777" w:rsidTr="00DA2306">
        <w:trPr>
          <w:trHeight w:val="20"/>
        </w:trPr>
        <w:tc>
          <w:tcPr>
            <w:tcW w:w="1203" w:type="pct"/>
            <w:vMerge/>
            <w:vAlign w:val="center"/>
          </w:tcPr>
          <w:p w14:paraId="5F65E7A1" w14:textId="77777777" w:rsidR="009222F1" w:rsidRPr="00F24057" w:rsidRDefault="009222F1" w:rsidP="00D70B34">
            <w:pPr>
              <w:jc w:val="left"/>
              <w:rPr>
                <w:szCs w:val="22"/>
                <w:u w:val="single"/>
                <w:lang w:val="sr-Latn-ME"/>
              </w:rPr>
            </w:pPr>
          </w:p>
        </w:tc>
        <w:tc>
          <w:tcPr>
            <w:tcW w:w="770" w:type="pct"/>
            <w:vAlign w:val="center"/>
          </w:tcPr>
          <w:p w14:paraId="6373FF53" w14:textId="26F49B60" w:rsidR="009222F1" w:rsidRPr="00F24057" w:rsidRDefault="009222F1" w:rsidP="00D70B34">
            <w:pPr>
              <w:jc w:val="left"/>
              <w:rPr>
                <w:szCs w:val="22"/>
                <w:u w:val="single"/>
                <w:lang w:val="sr-Latn-ME"/>
              </w:rPr>
            </w:pPr>
            <w:r w:rsidRPr="00F24057">
              <w:rPr>
                <w:szCs w:val="22"/>
                <w:lang w:val="sr-Latn-ME"/>
              </w:rPr>
              <w:t>Povremeno</w:t>
            </w:r>
          </w:p>
        </w:tc>
        <w:tc>
          <w:tcPr>
            <w:tcW w:w="3027" w:type="pct"/>
            <w:vAlign w:val="center"/>
          </w:tcPr>
          <w:p w14:paraId="03E9E9E5" w14:textId="77777777" w:rsidR="009222F1" w:rsidRPr="00F24057" w:rsidRDefault="009222F1" w:rsidP="00D70B34">
            <w:pPr>
              <w:jc w:val="left"/>
              <w:rPr>
                <w:szCs w:val="22"/>
                <w:lang w:val="sr-Latn-ME"/>
              </w:rPr>
            </w:pPr>
            <w:r w:rsidRPr="00F24057">
              <w:rPr>
                <w:szCs w:val="22"/>
                <w:lang w:val="sr-Latn-ME"/>
              </w:rPr>
              <w:t xml:space="preserve">Pankreatitis, </w:t>
            </w:r>
          </w:p>
          <w:p w14:paraId="09404717" w14:textId="01F3E020" w:rsidR="009222F1" w:rsidRPr="00F24057" w:rsidRDefault="009222F1" w:rsidP="00D70B34">
            <w:pPr>
              <w:jc w:val="left"/>
              <w:rPr>
                <w:szCs w:val="22"/>
                <w:lang w:val="sr-Latn-ME"/>
              </w:rPr>
            </w:pPr>
            <w:r w:rsidRPr="00F24057">
              <w:rPr>
                <w:szCs w:val="22"/>
                <w:lang w:val="sr-Latn-ME"/>
              </w:rPr>
              <w:t xml:space="preserve">disfagija, </w:t>
            </w:r>
          </w:p>
          <w:p w14:paraId="74170C4F" w14:textId="2538A5E0" w:rsidR="009222F1" w:rsidRPr="00F24057" w:rsidRDefault="009222F1" w:rsidP="00D70B34">
            <w:pPr>
              <w:jc w:val="left"/>
              <w:rPr>
                <w:szCs w:val="22"/>
                <w:u w:val="single"/>
                <w:lang w:val="sr-Latn-ME"/>
              </w:rPr>
            </w:pPr>
            <w:r w:rsidRPr="00F24057">
              <w:rPr>
                <w:szCs w:val="22"/>
                <w:lang w:val="sr-Latn-ME"/>
              </w:rPr>
              <w:t>edem lica</w:t>
            </w:r>
          </w:p>
        </w:tc>
      </w:tr>
      <w:tr w:rsidR="009222F1" w:rsidRPr="00F24057" w14:paraId="763D230B" w14:textId="77777777" w:rsidTr="00DA2306">
        <w:trPr>
          <w:trHeight w:val="20"/>
        </w:trPr>
        <w:tc>
          <w:tcPr>
            <w:tcW w:w="1203" w:type="pct"/>
            <w:vMerge/>
            <w:vAlign w:val="center"/>
          </w:tcPr>
          <w:p w14:paraId="3F470C9A" w14:textId="77777777" w:rsidR="009222F1" w:rsidRPr="00F24057" w:rsidRDefault="009222F1" w:rsidP="00D70B34">
            <w:pPr>
              <w:jc w:val="left"/>
              <w:rPr>
                <w:szCs w:val="22"/>
                <w:u w:val="single"/>
                <w:lang w:val="sr-Latn-ME"/>
              </w:rPr>
            </w:pPr>
          </w:p>
        </w:tc>
        <w:tc>
          <w:tcPr>
            <w:tcW w:w="770" w:type="pct"/>
            <w:vAlign w:val="center"/>
          </w:tcPr>
          <w:p w14:paraId="23BB4152" w14:textId="3EF9F388" w:rsidR="009222F1" w:rsidRPr="00F24057" w:rsidRDefault="004F2520" w:rsidP="00D70B34">
            <w:pPr>
              <w:jc w:val="left"/>
              <w:rPr>
                <w:szCs w:val="22"/>
                <w:u w:val="single"/>
                <w:lang w:val="sr-Latn-ME"/>
              </w:rPr>
            </w:pPr>
            <w:r w:rsidRPr="00F24057">
              <w:rPr>
                <w:szCs w:val="22"/>
                <w:lang w:val="sr-Latn-ME"/>
              </w:rPr>
              <w:t>Rijetk</w:t>
            </w:r>
            <w:r w:rsidR="009222F1" w:rsidRPr="00F24057">
              <w:rPr>
                <w:szCs w:val="22"/>
                <w:lang w:val="sr-Latn-ME"/>
              </w:rPr>
              <w:t>o</w:t>
            </w:r>
          </w:p>
        </w:tc>
        <w:tc>
          <w:tcPr>
            <w:tcW w:w="3027" w:type="pct"/>
            <w:vAlign w:val="center"/>
          </w:tcPr>
          <w:p w14:paraId="61C5A44E" w14:textId="54095B35" w:rsidR="009222F1" w:rsidRPr="00F24057" w:rsidRDefault="009222F1" w:rsidP="00D70B34">
            <w:pPr>
              <w:jc w:val="left"/>
              <w:rPr>
                <w:szCs w:val="22"/>
                <w:u w:val="single"/>
                <w:lang w:val="sr-Latn-ME"/>
              </w:rPr>
            </w:pPr>
            <w:r w:rsidRPr="00F24057">
              <w:rPr>
                <w:szCs w:val="22"/>
                <w:lang w:val="sr-Latn-ME"/>
              </w:rPr>
              <w:t>Intestinalna perforacija</w:t>
            </w:r>
            <w:r w:rsidRPr="00F24057">
              <w:rPr>
                <w:szCs w:val="22"/>
                <w:vertAlign w:val="superscript"/>
                <w:lang w:val="sr-Latn-ME"/>
              </w:rPr>
              <w:t>1)</w:t>
            </w:r>
          </w:p>
        </w:tc>
      </w:tr>
      <w:tr w:rsidR="009222F1" w:rsidRPr="00F24057" w14:paraId="709B254F" w14:textId="77777777" w:rsidTr="00DA2306">
        <w:trPr>
          <w:trHeight w:val="20"/>
        </w:trPr>
        <w:tc>
          <w:tcPr>
            <w:tcW w:w="1203" w:type="pct"/>
            <w:vMerge w:val="restart"/>
            <w:vAlign w:val="center"/>
          </w:tcPr>
          <w:p w14:paraId="22764D9E" w14:textId="3AC6AEE2" w:rsidR="009222F1" w:rsidRPr="00F24057" w:rsidRDefault="009222F1" w:rsidP="00D70B34">
            <w:pPr>
              <w:jc w:val="left"/>
              <w:rPr>
                <w:szCs w:val="22"/>
                <w:u w:val="single"/>
                <w:lang w:val="sr-Latn-ME"/>
              </w:rPr>
            </w:pPr>
            <w:r w:rsidRPr="00F24057">
              <w:rPr>
                <w:szCs w:val="22"/>
                <w:lang w:val="sr-Latn-ME"/>
              </w:rPr>
              <w:t>Hepatobilijarni poremećaji*</w:t>
            </w:r>
          </w:p>
        </w:tc>
        <w:tc>
          <w:tcPr>
            <w:tcW w:w="770" w:type="pct"/>
            <w:vAlign w:val="center"/>
          </w:tcPr>
          <w:p w14:paraId="2F8C5A2D" w14:textId="78B9383F" w:rsidR="009222F1" w:rsidRPr="00F24057" w:rsidRDefault="009222F1" w:rsidP="00D70B34">
            <w:pPr>
              <w:jc w:val="left"/>
              <w:rPr>
                <w:szCs w:val="22"/>
                <w:u w:val="single"/>
                <w:lang w:val="sr-Latn-ME"/>
              </w:rPr>
            </w:pPr>
            <w:r w:rsidRPr="00F24057">
              <w:rPr>
                <w:szCs w:val="22"/>
                <w:lang w:val="sr-Latn-ME"/>
              </w:rPr>
              <w:t>Veoma često</w:t>
            </w:r>
          </w:p>
        </w:tc>
        <w:tc>
          <w:tcPr>
            <w:tcW w:w="3027" w:type="pct"/>
            <w:vAlign w:val="center"/>
          </w:tcPr>
          <w:p w14:paraId="366C3788" w14:textId="115E1D1C" w:rsidR="009222F1" w:rsidRPr="00F24057" w:rsidRDefault="009222F1" w:rsidP="00D70B34">
            <w:pPr>
              <w:jc w:val="left"/>
              <w:rPr>
                <w:szCs w:val="22"/>
                <w:u w:val="single"/>
                <w:lang w:val="sr-Latn-ME"/>
              </w:rPr>
            </w:pPr>
            <w:r w:rsidRPr="00F24057">
              <w:rPr>
                <w:szCs w:val="22"/>
                <w:lang w:val="sr-Latn-ME"/>
              </w:rPr>
              <w:t>Povećani enzimi jetre</w:t>
            </w:r>
          </w:p>
        </w:tc>
      </w:tr>
      <w:tr w:rsidR="009222F1" w:rsidRPr="00F24057" w14:paraId="7740CFBC" w14:textId="77777777" w:rsidTr="00DA2306">
        <w:trPr>
          <w:trHeight w:val="20"/>
        </w:trPr>
        <w:tc>
          <w:tcPr>
            <w:tcW w:w="1203" w:type="pct"/>
            <w:vMerge/>
            <w:vAlign w:val="center"/>
          </w:tcPr>
          <w:p w14:paraId="0AF33DCA" w14:textId="77777777" w:rsidR="009222F1" w:rsidRPr="00F24057" w:rsidRDefault="009222F1" w:rsidP="00D70B34">
            <w:pPr>
              <w:jc w:val="left"/>
              <w:rPr>
                <w:szCs w:val="22"/>
                <w:u w:val="single"/>
                <w:lang w:val="sr-Latn-ME"/>
              </w:rPr>
            </w:pPr>
          </w:p>
        </w:tc>
        <w:tc>
          <w:tcPr>
            <w:tcW w:w="770" w:type="pct"/>
            <w:vAlign w:val="center"/>
          </w:tcPr>
          <w:p w14:paraId="30962C0D" w14:textId="23531AB4" w:rsidR="009222F1" w:rsidRPr="00F24057" w:rsidRDefault="009222F1" w:rsidP="00D70B34">
            <w:pPr>
              <w:jc w:val="left"/>
              <w:rPr>
                <w:szCs w:val="22"/>
                <w:u w:val="single"/>
                <w:lang w:val="sr-Latn-ME"/>
              </w:rPr>
            </w:pPr>
            <w:r w:rsidRPr="00F24057">
              <w:rPr>
                <w:szCs w:val="22"/>
                <w:lang w:val="sr-Latn-ME"/>
              </w:rPr>
              <w:t>Povremeno</w:t>
            </w:r>
          </w:p>
        </w:tc>
        <w:tc>
          <w:tcPr>
            <w:tcW w:w="3027" w:type="pct"/>
            <w:vAlign w:val="center"/>
          </w:tcPr>
          <w:p w14:paraId="7368C57F" w14:textId="77777777" w:rsidR="009222F1" w:rsidRPr="00F24057" w:rsidRDefault="009222F1" w:rsidP="00D70B34">
            <w:pPr>
              <w:jc w:val="left"/>
              <w:rPr>
                <w:szCs w:val="22"/>
                <w:lang w:val="sr-Latn-ME"/>
              </w:rPr>
            </w:pPr>
            <w:r w:rsidRPr="00F24057">
              <w:rPr>
                <w:szCs w:val="22"/>
                <w:lang w:val="sr-Latn-ME"/>
              </w:rPr>
              <w:t xml:space="preserve">Holecistitis i holelitijaza, </w:t>
            </w:r>
          </w:p>
          <w:p w14:paraId="2431035D" w14:textId="77777777" w:rsidR="009222F1" w:rsidRPr="00F24057" w:rsidRDefault="009222F1" w:rsidP="00D70B34">
            <w:pPr>
              <w:jc w:val="left"/>
              <w:rPr>
                <w:szCs w:val="22"/>
                <w:lang w:val="sr-Latn-ME"/>
              </w:rPr>
            </w:pPr>
            <w:r w:rsidRPr="00F24057">
              <w:rPr>
                <w:szCs w:val="22"/>
                <w:lang w:val="sr-Latn-ME"/>
              </w:rPr>
              <w:t xml:space="preserve">hepatička steatoza, </w:t>
            </w:r>
          </w:p>
          <w:p w14:paraId="0C24B502" w14:textId="21DB10C5" w:rsidR="009222F1" w:rsidRPr="00F24057" w:rsidRDefault="009222F1" w:rsidP="00D70B34">
            <w:pPr>
              <w:jc w:val="left"/>
              <w:rPr>
                <w:szCs w:val="22"/>
                <w:u w:val="single"/>
                <w:lang w:val="sr-Latn-ME"/>
              </w:rPr>
            </w:pPr>
            <w:r w:rsidRPr="00F24057">
              <w:rPr>
                <w:szCs w:val="22"/>
                <w:lang w:val="sr-Latn-ME"/>
              </w:rPr>
              <w:t xml:space="preserve">povećane </w:t>
            </w:r>
            <w:r w:rsidR="00972894" w:rsidRPr="00F24057">
              <w:rPr>
                <w:szCs w:val="22"/>
                <w:lang w:val="sr-Latn-ME"/>
              </w:rPr>
              <w:t>vrijedno</w:t>
            </w:r>
            <w:r w:rsidRPr="00F24057">
              <w:rPr>
                <w:szCs w:val="22"/>
                <w:lang w:val="sr-Latn-ME"/>
              </w:rPr>
              <w:t>sti bilirubina</w:t>
            </w:r>
          </w:p>
        </w:tc>
      </w:tr>
      <w:tr w:rsidR="009222F1" w:rsidRPr="00F24057" w14:paraId="30512BBD" w14:textId="77777777" w:rsidTr="00DA2306">
        <w:trPr>
          <w:trHeight w:val="20"/>
        </w:trPr>
        <w:tc>
          <w:tcPr>
            <w:tcW w:w="1203" w:type="pct"/>
            <w:vMerge/>
            <w:vAlign w:val="center"/>
          </w:tcPr>
          <w:p w14:paraId="0C6E607A" w14:textId="77777777" w:rsidR="009222F1" w:rsidRPr="00F24057" w:rsidRDefault="009222F1" w:rsidP="00D70B34">
            <w:pPr>
              <w:jc w:val="left"/>
              <w:rPr>
                <w:szCs w:val="22"/>
                <w:u w:val="single"/>
                <w:lang w:val="sr-Latn-ME"/>
              </w:rPr>
            </w:pPr>
          </w:p>
        </w:tc>
        <w:tc>
          <w:tcPr>
            <w:tcW w:w="770" w:type="pct"/>
            <w:vAlign w:val="center"/>
          </w:tcPr>
          <w:p w14:paraId="0177E17F" w14:textId="2B4F8B0B" w:rsidR="009222F1" w:rsidRPr="00F24057" w:rsidRDefault="004F2520" w:rsidP="00D70B34">
            <w:pPr>
              <w:jc w:val="left"/>
              <w:rPr>
                <w:szCs w:val="22"/>
                <w:u w:val="single"/>
                <w:lang w:val="sr-Latn-ME"/>
              </w:rPr>
            </w:pPr>
            <w:r w:rsidRPr="00F24057">
              <w:rPr>
                <w:szCs w:val="22"/>
                <w:lang w:val="sr-Latn-ME"/>
              </w:rPr>
              <w:t>Rijetk</w:t>
            </w:r>
            <w:r w:rsidR="009222F1" w:rsidRPr="00F24057">
              <w:rPr>
                <w:szCs w:val="22"/>
                <w:lang w:val="sr-Latn-ME"/>
              </w:rPr>
              <w:t>o</w:t>
            </w:r>
          </w:p>
        </w:tc>
        <w:tc>
          <w:tcPr>
            <w:tcW w:w="3027" w:type="pct"/>
            <w:vAlign w:val="center"/>
          </w:tcPr>
          <w:p w14:paraId="41127235" w14:textId="77777777" w:rsidR="009222F1" w:rsidRPr="00F24057" w:rsidRDefault="009222F1" w:rsidP="00D70B34">
            <w:pPr>
              <w:jc w:val="left"/>
              <w:rPr>
                <w:szCs w:val="22"/>
                <w:lang w:val="sr-Latn-ME"/>
              </w:rPr>
            </w:pPr>
            <w:r w:rsidRPr="00F24057">
              <w:rPr>
                <w:szCs w:val="22"/>
                <w:lang w:val="sr-Latn-ME"/>
              </w:rPr>
              <w:t xml:space="preserve">Hepatitis, </w:t>
            </w:r>
          </w:p>
          <w:p w14:paraId="4AC79281" w14:textId="3252D8B1" w:rsidR="009222F1" w:rsidRPr="00F24057" w:rsidRDefault="009222F1" w:rsidP="00D70B34">
            <w:pPr>
              <w:jc w:val="left"/>
              <w:rPr>
                <w:szCs w:val="22"/>
                <w:lang w:val="sr-Latn-ME"/>
              </w:rPr>
            </w:pPr>
            <w:r w:rsidRPr="00F24057">
              <w:rPr>
                <w:szCs w:val="22"/>
                <w:lang w:val="sr-Latn-ME"/>
              </w:rPr>
              <w:t>reaktivacija hepatitisa B</w:t>
            </w:r>
            <w:r w:rsidRPr="00F24057">
              <w:rPr>
                <w:szCs w:val="22"/>
                <w:vertAlign w:val="superscript"/>
                <w:lang w:val="sr-Latn-ME"/>
              </w:rPr>
              <w:t>1)</w:t>
            </w:r>
            <w:r w:rsidRPr="00F24057">
              <w:rPr>
                <w:szCs w:val="22"/>
                <w:lang w:val="sr-Latn-ME"/>
              </w:rPr>
              <w:t xml:space="preserve">, </w:t>
            </w:r>
          </w:p>
          <w:p w14:paraId="6F1268F3" w14:textId="7BB430F8" w:rsidR="009222F1" w:rsidRPr="00F24057" w:rsidRDefault="009222F1" w:rsidP="00D70B34">
            <w:pPr>
              <w:jc w:val="left"/>
              <w:rPr>
                <w:szCs w:val="22"/>
                <w:u w:val="single"/>
                <w:lang w:val="sr-Latn-ME"/>
              </w:rPr>
            </w:pPr>
            <w:r w:rsidRPr="00F24057">
              <w:rPr>
                <w:szCs w:val="22"/>
                <w:lang w:val="sr-Latn-ME"/>
              </w:rPr>
              <w:t>autoimunski hepatitis</w:t>
            </w:r>
            <w:r w:rsidRPr="00F24057">
              <w:rPr>
                <w:szCs w:val="22"/>
                <w:vertAlign w:val="superscript"/>
                <w:lang w:val="sr-Latn-ME"/>
              </w:rPr>
              <w:t>1)</w:t>
            </w:r>
          </w:p>
        </w:tc>
      </w:tr>
      <w:tr w:rsidR="009222F1" w:rsidRPr="00F24057" w14:paraId="7D76DA55" w14:textId="77777777" w:rsidTr="00DA2306">
        <w:trPr>
          <w:trHeight w:val="20"/>
        </w:trPr>
        <w:tc>
          <w:tcPr>
            <w:tcW w:w="1203" w:type="pct"/>
            <w:vMerge/>
            <w:vAlign w:val="center"/>
          </w:tcPr>
          <w:p w14:paraId="3507C19C" w14:textId="77777777" w:rsidR="009222F1" w:rsidRPr="00F24057" w:rsidRDefault="009222F1" w:rsidP="00D70B34">
            <w:pPr>
              <w:jc w:val="left"/>
              <w:rPr>
                <w:szCs w:val="22"/>
                <w:u w:val="single"/>
                <w:lang w:val="sr-Latn-ME"/>
              </w:rPr>
            </w:pPr>
          </w:p>
        </w:tc>
        <w:tc>
          <w:tcPr>
            <w:tcW w:w="770" w:type="pct"/>
            <w:vAlign w:val="center"/>
          </w:tcPr>
          <w:p w14:paraId="059B503F" w14:textId="63934DE5" w:rsidR="009222F1" w:rsidRPr="00F24057" w:rsidRDefault="009222F1" w:rsidP="00D70B34">
            <w:pPr>
              <w:jc w:val="left"/>
              <w:rPr>
                <w:szCs w:val="22"/>
                <w:u w:val="single"/>
                <w:lang w:val="sr-Latn-ME"/>
              </w:rPr>
            </w:pPr>
            <w:r w:rsidRPr="00F24057">
              <w:rPr>
                <w:szCs w:val="22"/>
                <w:lang w:val="sr-Latn-ME"/>
              </w:rPr>
              <w:t>Nepoznato</w:t>
            </w:r>
          </w:p>
        </w:tc>
        <w:tc>
          <w:tcPr>
            <w:tcW w:w="3027" w:type="pct"/>
            <w:vAlign w:val="center"/>
          </w:tcPr>
          <w:p w14:paraId="32623ACF" w14:textId="7D4B5894" w:rsidR="009222F1" w:rsidRPr="00F24057" w:rsidRDefault="009222F1" w:rsidP="00D70B34">
            <w:pPr>
              <w:jc w:val="left"/>
              <w:rPr>
                <w:szCs w:val="22"/>
                <w:u w:val="single"/>
                <w:lang w:val="sr-Latn-ME"/>
              </w:rPr>
            </w:pPr>
            <w:r w:rsidRPr="00F24057">
              <w:rPr>
                <w:szCs w:val="22"/>
                <w:lang w:val="sr-Latn-ME"/>
              </w:rPr>
              <w:t>Insuficijencija jetre</w:t>
            </w:r>
            <w:r w:rsidRPr="00F24057">
              <w:rPr>
                <w:szCs w:val="22"/>
                <w:vertAlign w:val="superscript"/>
                <w:lang w:val="sr-Latn-ME"/>
              </w:rPr>
              <w:t>1)</w:t>
            </w:r>
          </w:p>
        </w:tc>
      </w:tr>
      <w:tr w:rsidR="009222F1" w:rsidRPr="00F24057" w14:paraId="15919EF3" w14:textId="77777777" w:rsidTr="00DA2306">
        <w:trPr>
          <w:trHeight w:val="20"/>
        </w:trPr>
        <w:tc>
          <w:tcPr>
            <w:tcW w:w="1203" w:type="pct"/>
            <w:vMerge w:val="restart"/>
            <w:vAlign w:val="center"/>
          </w:tcPr>
          <w:p w14:paraId="53A2E57D" w14:textId="63A3C9F1" w:rsidR="009222F1" w:rsidRPr="00F24057" w:rsidRDefault="009222F1" w:rsidP="00D70B34">
            <w:pPr>
              <w:jc w:val="left"/>
              <w:rPr>
                <w:szCs w:val="22"/>
                <w:u w:val="single"/>
                <w:lang w:val="sr-Latn-ME"/>
              </w:rPr>
            </w:pPr>
            <w:r w:rsidRPr="00F24057">
              <w:rPr>
                <w:szCs w:val="22"/>
                <w:lang w:val="sr-Latn-ME"/>
              </w:rPr>
              <w:t>Poremećaji kože i potkožnog tkiva</w:t>
            </w:r>
          </w:p>
        </w:tc>
        <w:tc>
          <w:tcPr>
            <w:tcW w:w="770" w:type="pct"/>
            <w:vAlign w:val="center"/>
          </w:tcPr>
          <w:p w14:paraId="2B4ADAEE" w14:textId="38B60FD0" w:rsidR="009222F1" w:rsidRPr="00F24057" w:rsidRDefault="009222F1" w:rsidP="00D70B34">
            <w:pPr>
              <w:jc w:val="left"/>
              <w:rPr>
                <w:szCs w:val="22"/>
                <w:u w:val="single"/>
                <w:lang w:val="sr-Latn-ME"/>
              </w:rPr>
            </w:pPr>
            <w:r w:rsidRPr="00F24057">
              <w:rPr>
                <w:szCs w:val="22"/>
                <w:lang w:val="sr-Latn-ME"/>
              </w:rPr>
              <w:t>Veoma često</w:t>
            </w:r>
          </w:p>
        </w:tc>
        <w:tc>
          <w:tcPr>
            <w:tcW w:w="3027" w:type="pct"/>
            <w:vAlign w:val="center"/>
          </w:tcPr>
          <w:p w14:paraId="71BDB33A" w14:textId="248D3472" w:rsidR="009222F1" w:rsidRPr="00F24057" w:rsidRDefault="009222F1" w:rsidP="00D70B34">
            <w:pPr>
              <w:jc w:val="left"/>
              <w:rPr>
                <w:szCs w:val="22"/>
                <w:u w:val="single"/>
                <w:lang w:val="sr-Latn-ME"/>
              </w:rPr>
            </w:pPr>
            <w:r w:rsidRPr="00F24057">
              <w:rPr>
                <w:szCs w:val="22"/>
                <w:lang w:val="sr-Latn-ME"/>
              </w:rPr>
              <w:t>Osip (uključujući eksfolijativni osip)</w:t>
            </w:r>
          </w:p>
        </w:tc>
      </w:tr>
      <w:tr w:rsidR="009222F1" w:rsidRPr="00F24057" w14:paraId="5C1FDF54" w14:textId="77777777" w:rsidTr="00DA2306">
        <w:trPr>
          <w:trHeight w:val="20"/>
        </w:trPr>
        <w:tc>
          <w:tcPr>
            <w:tcW w:w="1203" w:type="pct"/>
            <w:vMerge/>
            <w:vAlign w:val="center"/>
          </w:tcPr>
          <w:p w14:paraId="0E8B92E4" w14:textId="77777777" w:rsidR="009222F1" w:rsidRPr="00F24057" w:rsidRDefault="009222F1" w:rsidP="00D70B34">
            <w:pPr>
              <w:jc w:val="left"/>
              <w:rPr>
                <w:szCs w:val="22"/>
                <w:u w:val="single"/>
                <w:lang w:val="sr-Latn-ME"/>
              </w:rPr>
            </w:pPr>
          </w:p>
        </w:tc>
        <w:tc>
          <w:tcPr>
            <w:tcW w:w="770" w:type="pct"/>
            <w:vAlign w:val="center"/>
          </w:tcPr>
          <w:p w14:paraId="1B8EFAAA" w14:textId="435089E2" w:rsidR="009222F1" w:rsidRPr="00F24057" w:rsidRDefault="009222F1" w:rsidP="00D70B34">
            <w:pPr>
              <w:jc w:val="left"/>
              <w:rPr>
                <w:szCs w:val="22"/>
                <w:u w:val="single"/>
                <w:lang w:val="sr-Latn-ME"/>
              </w:rPr>
            </w:pPr>
            <w:r w:rsidRPr="00F24057">
              <w:rPr>
                <w:szCs w:val="22"/>
                <w:lang w:val="sr-Latn-ME"/>
              </w:rPr>
              <w:t>Često</w:t>
            </w:r>
          </w:p>
        </w:tc>
        <w:tc>
          <w:tcPr>
            <w:tcW w:w="3027" w:type="pct"/>
            <w:vAlign w:val="center"/>
          </w:tcPr>
          <w:p w14:paraId="07D8A6D1" w14:textId="56B2876E" w:rsidR="009222F1" w:rsidRPr="00F24057" w:rsidRDefault="009222F1" w:rsidP="00D70B34">
            <w:pPr>
              <w:jc w:val="left"/>
              <w:rPr>
                <w:szCs w:val="22"/>
                <w:lang w:val="sr-Latn-ME"/>
              </w:rPr>
            </w:pPr>
            <w:r w:rsidRPr="00F24057">
              <w:rPr>
                <w:szCs w:val="22"/>
                <w:lang w:val="sr-Latn-ME"/>
              </w:rPr>
              <w:t>Pogoršanje i nova pojava psorijaze (uključujući palmoplantarnu pustularnu psorijazu)</w:t>
            </w:r>
            <w:r w:rsidRPr="00F24057">
              <w:rPr>
                <w:szCs w:val="22"/>
                <w:vertAlign w:val="superscript"/>
                <w:lang w:val="sr-Latn-ME"/>
              </w:rPr>
              <w:t>1)</w:t>
            </w:r>
            <w:r w:rsidRPr="00F24057">
              <w:rPr>
                <w:szCs w:val="22"/>
                <w:lang w:val="sr-Latn-ME"/>
              </w:rPr>
              <w:t xml:space="preserve">, </w:t>
            </w:r>
          </w:p>
          <w:p w14:paraId="7AC7EDD5" w14:textId="77777777" w:rsidR="009222F1" w:rsidRPr="00F24057" w:rsidRDefault="009222F1" w:rsidP="00D70B34">
            <w:pPr>
              <w:jc w:val="left"/>
              <w:rPr>
                <w:szCs w:val="22"/>
                <w:lang w:val="sr-Latn-ME"/>
              </w:rPr>
            </w:pPr>
            <w:r w:rsidRPr="00F24057">
              <w:rPr>
                <w:szCs w:val="22"/>
                <w:lang w:val="sr-Latn-ME"/>
              </w:rPr>
              <w:t xml:space="preserve">urtikarija, </w:t>
            </w:r>
          </w:p>
          <w:p w14:paraId="7A53EDC5" w14:textId="77777777" w:rsidR="009222F1" w:rsidRPr="00F24057" w:rsidRDefault="009222F1" w:rsidP="00D70B34">
            <w:pPr>
              <w:jc w:val="left"/>
              <w:rPr>
                <w:szCs w:val="22"/>
                <w:lang w:val="sr-Latn-ME"/>
              </w:rPr>
            </w:pPr>
            <w:r w:rsidRPr="00F24057">
              <w:rPr>
                <w:szCs w:val="22"/>
                <w:lang w:val="sr-Latn-ME"/>
              </w:rPr>
              <w:t xml:space="preserve">povećano stvaranje modrica (uključujući purpuru), </w:t>
            </w:r>
          </w:p>
          <w:p w14:paraId="1E35DD85" w14:textId="77777777" w:rsidR="009222F1" w:rsidRPr="00F24057" w:rsidRDefault="009222F1" w:rsidP="00D70B34">
            <w:pPr>
              <w:jc w:val="left"/>
              <w:rPr>
                <w:szCs w:val="22"/>
                <w:lang w:val="sr-Latn-ME"/>
              </w:rPr>
            </w:pPr>
            <w:r w:rsidRPr="00F24057">
              <w:rPr>
                <w:szCs w:val="22"/>
                <w:lang w:val="sr-Latn-ME"/>
              </w:rPr>
              <w:t xml:space="preserve">dermatitis (uključujući ekcem), </w:t>
            </w:r>
          </w:p>
          <w:p w14:paraId="6866E230" w14:textId="77777777" w:rsidR="009222F1" w:rsidRPr="00F24057" w:rsidRDefault="009222F1" w:rsidP="00D70B34">
            <w:pPr>
              <w:jc w:val="left"/>
              <w:rPr>
                <w:szCs w:val="22"/>
                <w:lang w:val="sr-Latn-ME"/>
              </w:rPr>
            </w:pPr>
            <w:r w:rsidRPr="00F24057">
              <w:rPr>
                <w:szCs w:val="22"/>
                <w:lang w:val="sr-Latn-ME"/>
              </w:rPr>
              <w:t xml:space="preserve">onihoklazija, </w:t>
            </w:r>
          </w:p>
          <w:p w14:paraId="7A96B8F0" w14:textId="77777777" w:rsidR="009222F1" w:rsidRPr="00F24057" w:rsidRDefault="009222F1" w:rsidP="00D70B34">
            <w:pPr>
              <w:jc w:val="left"/>
              <w:rPr>
                <w:szCs w:val="22"/>
                <w:lang w:val="sr-Latn-ME"/>
              </w:rPr>
            </w:pPr>
            <w:r w:rsidRPr="00F24057">
              <w:rPr>
                <w:szCs w:val="22"/>
                <w:lang w:val="sr-Latn-ME"/>
              </w:rPr>
              <w:t xml:space="preserve">hiperhidroza, </w:t>
            </w:r>
          </w:p>
          <w:p w14:paraId="3002CC87" w14:textId="4E003FA7" w:rsidR="009222F1" w:rsidRPr="00F24057" w:rsidRDefault="009222F1" w:rsidP="00D70B34">
            <w:pPr>
              <w:jc w:val="left"/>
              <w:rPr>
                <w:szCs w:val="22"/>
                <w:lang w:val="sr-Latn-ME"/>
              </w:rPr>
            </w:pPr>
            <w:r w:rsidRPr="00F24057">
              <w:rPr>
                <w:szCs w:val="22"/>
                <w:lang w:val="sr-Latn-ME"/>
              </w:rPr>
              <w:t>alopecija</w:t>
            </w:r>
            <w:r w:rsidRPr="00F24057">
              <w:rPr>
                <w:szCs w:val="22"/>
                <w:vertAlign w:val="superscript"/>
                <w:lang w:val="sr-Latn-ME"/>
              </w:rPr>
              <w:t>1)</w:t>
            </w:r>
            <w:r w:rsidRPr="00F24057">
              <w:rPr>
                <w:szCs w:val="22"/>
                <w:lang w:val="sr-Latn-ME"/>
              </w:rPr>
              <w:t xml:space="preserve">, </w:t>
            </w:r>
          </w:p>
          <w:p w14:paraId="57330A52" w14:textId="137FFC68" w:rsidR="009222F1" w:rsidRPr="00F24057" w:rsidRDefault="009222F1" w:rsidP="00D70B34">
            <w:pPr>
              <w:jc w:val="left"/>
              <w:rPr>
                <w:szCs w:val="22"/>
                <w:u w:val="single"/>
                <w:lang w:val="sr-Latn-ME"/>
              </w:rPr>
            </w:pPr>
            <w:r w:rsidRPr="00F24057">
              <w:rPr>
                <w:szCs w:val="22"/>
                <w:lang w:val="sr-Latn-ME"/>
              </w:rPr>
              <w:t>pruritis</w:t>
            </w:r>
          </w:p>
        </w:tc>
      </w:tr>
      <w:tr w:rsidR="009222F1" w:rsidRPr="00F24057" w14:paraId="1CE8FDC8" w14:textId="77777777" w:rsidTr="00DA2306">
        <w:trPr>
          <w:trHeight w:val="20"/>
        </w:trPr>
        <w:tc>
          <w:tcPr>
            <w:tcW w:w="1203" w:type="pct"/>
            <w:vMerge/>
            <w:vAlign w:val="center"/>
          </w:tcPr>
          <w:p w14:paraId="4DC776CD" w14:textId="77777777" w:rsidR="009222F1" w:rsidRPr="00F24057" w:rsidRDefault="009222F1" w:rsidP="00D70B34">
            <w:pPr>
              <w:jc w:val="left"/>
              <w:rPr>
                <w:szCs w:val="22"/>
                <w:u w:val="single"/>
                <w:lang w:val="sr-Latn-ME"/>
              </w:rPr>
            </w:pPr>
          </w:p>
        </w:tc>
        <w:tc>
          <w:tcPr>
            <w:tcW w:w="770" w:type="pct"/>
            <w:vAlign w:val="center"/>
          </w:tcPr>
          <w:p w14:paraId="782575C7" w14:textId="75AAE50F" w:rsidR="009222F1" w:rsidRPr="00F24057" w:rsidRDefault="009222F1" w:rsidP="00D70B34">
            <w:pPr>
              <w:jc w:val="left"/>
              <w:rPr>
                <w:szCs w:val="22"/>
                <w:u w:val="single"/>
                <w:lang w:val="sr-Latn-ME"/>
              </w:rPr>
            </w:pPr>
            <w:r w:rsidRPr="00F24057">
              <w:rPr>
                <w:szCs w:val="22"/>
                <w:lang w:val="sr-Latn-ME"/>
              </w:rPr>
              <w:t>Povremeno</w:t>
            </w:r>
          </w:p>
        </w:tc>
        <w:tc>
          <w:tcPr>
            <w:tcW w:w="3027" w:type="pct"/>
            <w:vAlign w:val="center"/>
          </w:tcPr>
          <w:p w14:paraId="6B8444E5" w14:textId="77777777" w:rsidR="009222F1" w:rsidRPr="00F24057" w:rsidRDefault="009222F1" w:rsidP="00D70B34">
            <w:pPr>
              <w:jc w:val="left"/>
              <w:rPr>
                <w:szCs w:val="22"/>
                <w:lang w:val="sr-Latn-ME"/>
              </w:rPr>
            </w:pPr>
            <w:r w:rsidRPr="00F24057">
              <w:rPr>
                <w:szCs w:val="22"/>
                <w:lang w:val="sr-Latn-ME"/>
              </w:rPr>
              <w:t xml:space="preserve">Noćno znojenje, </w:t>
            </w:r>
          </w:p>
          <w:p w14:paraId="5024554B" w14:textId="2C8144D9" w:rsidR="009222F1" w:rsidRPr="00F24057" w:rsidRDefault="005309C2" w:rsidP="00D70B34">
            <w:pPr>
              <w:jc w:val="left"/>
              <w:rPr>
                <w:szCs w:val="22"/>
                <w:u w:val="single"/>
                <w:lang w:val="sr-Latn-ME"/>
              </w:rPr>
            </w:pPr>
            <w:r w:rsidRPr="00F24057">
              <w:rPr>
                <w:szCs w:val="22"/>
                <w:lang w:val="sr-Latn-ME"/>
              </w:rPr>
              <w:t>o</w:t>
            </w:r>
            <w:r w:rsidR="009222F1" w:rsidRPr="00F24057">
              <w:rPr>
                <w:szCs w:val="22"/>
                <w:lang w:val="sr-Latn-ME"/>
              </w:rPr>
              <w:t>žiljci</w:t>
            </w:r>
          </w:p>
        </w:tc>
      </w:tr>
      <w:tr w:rsidR="009222F1" w:rsidRPr="00F24057" w14:paraId="0BD7A2B5" w14:textId="77777777" w:rsidTr="00DA2306">
        <w:trPr>
          <w:trHeight w:val="20"/>
        </w:trPr>
        <w:tc>
          <w:tcPr>
            <w:tcW w:w="1203" w:type="pct"/>
            <w:vMerge/>
            <w:vAlign w:val="center"/>
          </w:tcPr>
          <w:p w14:paraId="315CABD6" w14:textId="77777777" w:rsidR="009222F1" w:rsidRPr="00F24057" w:rsidRDefault="009222F1" w:rsidP="00D70B34">
            <w:pPr>
              <w:jc w:val="left"/>
              <w:rPr>
                <w:szCs w:val="22"/>
                <w:u w:val="single"/>
                <w:lang w:val="sr-Latn-ME"/>
              </w:rPr>
            </w:pPr>
          </w:p>
        </w:tc>
        <w:tc>
          <w:tcPr>
            <w:tcW w:w="770" w:type="pct"/>
            <w:vAlign w:val="center"/>
          </w:tcPr>
          <w:p w14:paraId="4B3903D6" w14:textId="067AE820" w:rsidR="009222F1" w:rsidRPr="00F24057" w:rsidRDefault="004F2520" w:rsidP="00D70B34">
            <w:pPr>
              <w:jc w:val="left"/>
              <w:rPr>
                <w:szCs w:val="22"/>
                <w:u w:val="single"/>
                <w:lang w:val="sr-Latn-ME"/>
              </w:rPr>
            </w:pPr>
            <w:r w:rsidRPr="00F24057">
              <w:rPr>
                <w:szCs w:val="22"/>
                <w:lang w:val="sr-Latn-ME"/>
              </w:rPr>
              <w:t>Rijetk</w:t>
            </w:r>
            <w:r w:rsidR="009222F1" w:rsidRPr="00F24057">
              <w:rPr>
                <w:szCs w:val="22"/>
                <w:lang w:val="sr-Latn-ME"/>
              </w:rPr>
              <w:t>o</w:t>
            </w:r>
          </w:p>
        </w:tc>
        <w:tc>
          <w:tcPr>
            <w:tcW w:w="3027" w:type="pct"/>
            <w:vAlign w:val="center"/>
          </w:tcPr>
          <w:p w14:paraId="4EAA8213" w14:textId="003201BC" w:rsidR="009222F1" w:rsidRPr="00F24057" w:rsidRDefault="009222F1" w:rsidP="00D70B34">
            <w:pPr>
              <w:jc w:val="left"/>
              <w:rPr>
                <w:szCs w:val="22"/>
                <w:lang w:val="sr-Latn-ME"/>
              </w:rPr>
            </w:pPr>
            <w:r w:rsidRPr="00F24057">
              <w:rPr>
                <w:szCs w:val="22"/>
                <w:lang w:val="sr-Latn-ME"/>
              </w:rPr>
              <w:t>Multiformni eritem</w:t>
            </w:r>
            <w:r w:rsidRPr="00F24057">
              <w:rPr>
                <w:szCs w:val="22"/>
                <w:vertAlign w:val="superscript"/>
                <w:lang w:val="sr-Latn-ME"/>
              </w:rPr>
              <w:t>1)</w:t>
            </w:r>
            <w:r w:rsidRPr="00F24057">
              <w:rPr>
                <w:szCs w:val="22"/>
                <w:lang w:val="sr-Latn-ME"/>
              </w:rPr>
              <w:t xml:space="preserve">, </w:t>
            </w:r>
          </w:p>
          <w:p w14:paraId="6BC7A250" w14:textId="19793F8C" w:rsidR="009222F1" w:rsidRPr="00F24057" w:rsidRDefault="009222F1" w:rsidP="00D70B34">
            <w:pPr>
              <w:jc w:val="left"/>
              <w:rPr>
                <w:szCs w:val="22"/>
                <w:lang w:val="sr-Latn-ME"/>
              </w:rPr>
            </w:pPr>
            <w:r w:rsidRPr="00F24057">
              <w:rPr>
                <w:i/>
                <w:iCs/>
                <w:szCs w:val="22"/>
                <w:lang w:val="sr-Latn-ME"/>
              </w:rPr>
              <w:t>Stevens-Johnson</w:t>
            </w:r>
            <w:r w:rsidRPr="00F24057">
              <w:rPr>
                <w:szCs w:val="22"/>
                <w:lang w:val="sr-Latn-ME"/>
              </w:rPr>
              <w:t>-ov sindrom</w:t>
            </w:r>
            <w:r w:rsidRPr="00F24057">
              <w:rPr>
                <w:szCs w:val="22"/>
                <w:vertAlign w:val="superscript"/>
                <w:lang w:val="sr-Latn-ME"/>
              </w:rPr>
              <w:t>1)</w:t>
            </w:r>
            <w:r w:rsidRPr="00F24057">
              <w:rPr>
                <w:szCs w:val="22"/>
                <w:lang w:val="sr-Latn-ME"/>
              </w:rPr>
              <w:t>,</w:t>
            </w:r>
          </w:p>
          <w:p w14:paraId="0DCC45F4" w14:textId="5B87A4D1" w:rsidR="009222F1" w:rsidRPr="00F24057" w:rsidRDefault="009222F1" w:rsidP="00D70B34">
            <w:pPr>
              <w:jc w:val="left"/>
              <w:rPr>
                <w:szCs w:val="22"/>
                <w:lang w:val="sr-Latn-ME"/>
              </w:rPr>
            </w:pPr>
            <w:r w:rsidRPr="00F24057">
              <w:rPr>
                <w:szCs w:val="22"/>
                <w:lang w:val="sr-Latn-ME"/>
              </w:rPr>
              <w:t>angioedem</w:t>
            </w:r>
            <w:r w:rsidRPr="00F24057">
              <w:rPr>
                <w:szCs w:val="22"/>
                <w:vertAlign w:val="superscript"/>
                <w:lang w:val="sr-Latn-ME"/>
              </w:rPr>
              <w:t>1)</w:t>
            </w:r>
            <w:r w:rsidRPr="00F24057">
              <w:rPr>
                <w:szCs w:val="22"/>
                <w:lang w:val="sr-Latn-ME"/>
              </w:rPr>
              <w:t xml:space="preserve">, </w:t>
            </w:r>
          </w:p>
          <w:p w14:paraId="694E697E" w14:textId="77777777" w:rsidR="009222F1" w:rsidRPr="00F24057" w:rsidRDefault="009222F1" w:rsidP="00D70B34">
            <w:pPr>
              <w:jc w:val="left"/>
              <w:rPr>
                <w:szCs w:val="22"/>
                <w:lang w:val="sr-Latn-ME"/>
              </w:rPr>
            </w:pPr>
            <w:r w:rsidRPr="00F24057">
              <w:rPr>
                <w:szCs w:val="22"/>
                <w:lang w:val="sr-Latn-ME"/>
              </w:rPr>
              <w:t>kožni vaskulitis</w:t>
            </w:r>
            <w:r w:rsidRPr="00F24057">
              <w:rPr>
                <w:szCs w:val="22"/>
                <w:vertAlign w:val="superscript"/>
                <w:lang w:val="sr-Latn-ME"/>
              </w:rPr>
              <w:t>1)</w:t>
            </w:r>
            <w:r w:rsidRPr="00F24057">
              <w:rPr>
                <w:szCs w:val="22"/>
                <w:lang w:val="sr-Latn-ME"/>
              </w:rPr>
              <w:t xml:space="preserve"> </w:t>
            </w:r>
          </w:p>
          <w:p w14:paraId="65551370" w14:textId="70A44741" w:rsidR="009222F1" w:rsidRPr="00F24057" w:rsidRDefault="009222F1" w:rsidP="00D70B34">
            <w:pPr>
              <w:jc w:val="left"/>
              <w:rPr>
                <w:szCs w:val="22"/>
                <w:u w:val="single"/>
                <w:lang w:val="sr-Latn-ME"/>
              </w:rPr>
            </w:pPr>
            <w:r w:rsidRPr="00F24057">
              <w:rPr>
                <w:szCs w:val="22"/>
                <w:lang w:val="sr-Latn-ME"/>
              </w:rPr>
              <w:t>lihenoidna kožna reakcija</w:t>
            </w:r>
            <w:r w:rsidRPr="00F24057">
              <w:rPr>
                <w:szCs w:val="22"/>
                <w:vertAlign w:val="superscript"/>
                <w:lang w:val="sr-Latn-ME"/>
              </w:rPr>
              <w:t>1)</w:t>
            </w:r>
          </w:p>
        </w:tc>
      </w:tr>
      <w:tr w:rsidR="009222F1" w:rsidRPr="00F24057" w14:paraId="531B92E5" w14:textId="77777777" w:rsidTr="00DA2306">
        <w:trPr>
          <w:trHeight w:val="20"/>
        </w:trPr>
        <w:tc>
          <w:tcPr>
            <w:tcW w:w="1203" w:type="pct"/>
            <w:vMerge/>
            <w:vAlign w:val="center"/>
          </w:tcPr>
          <w:p w14:paraId="6A89A642" w14:textId="77777777" w:rsidR="009222F1" w:rsidRPr="00F24057" w:rsidRDefault="009222F1" w:rsidP="00D70B34">
            <w:pPr>
              <w:jc w:val="left"/>
              <w:rPr>
                <w:szCs w:val="22"/>
                <w:u w:val="single"/>
                <w:lang w:val="sr-Latn-ME"/>
              </w:rPr>
            </w:pPr>
          </w:p>
        </w:tc>
        <w:tc>
          <w:tcPr>
            <w:tcW w:w="770" w:type="pct"/>
            <w:vAlign w:val="center"/>
          </w:tcPr>
          <w:p w14:paraId="3DBC2E22" w14:textId="30F4792A" w:rsidR="009222F1" w:rsidRPr="00F24057" w:rsidRDefault="009222F1" w:rsidP="00D70B34">
            <w:pPr>
              <w:jc w:val="left"/>
              <w:rPr>
                <w:szCs w:val="22"/>
                <w:u w:val="single"/>
                <w:lang w:val="sr-Latn-ME"/>
              </w:rPr>
            </w:pPr>
            <w:r w:rsidRPr="00F24057">
              <w:rPr>
                <w:szCs w:val="22"/>
                <w:lang w:val="sr-Latn-ME"/>
              </w:rPr>
              <w:t>Nepoznato</w:t>
            </w:r>
          </w:p>
        </w:tc>
        <w:tc>
          <w:tcPr>
            <w:tcW w:w="3027" w:type="pct"/>
            <w:vAlign w:val="center"/>
          </w:tcPr>
          <w:p w14:paraId="7742A75D" w14:textId="586B3560" w:rsidR="009222F1" w:rsidRPr="00F24057" w:rsidRDefault="009222F1" w:rsidP="00D70B34">
            <w:pPr>
              <w:jc w:val="left"/>
              <w:rPr>
                <w:szCs w:val="22"/>
                <w:u w:val="single"/>
                <w:lang w:val="sr-Latn-ME"/>
              </w:rPr>
            </w:pPr>
            <w:r w:rsidRPr="00F24057">
              <w:rPr>
                <w:szCs w:val="22"/>
                <w:lang w:val="sr-Latn-ME"/>
              </w:rPr>
              <w:t>Pogoršanje simptoma dermatomiozitisa¹</w:t>
            </w:r>
            <w:r w:rsidRPr="00F24057">
              <w:rPr>
                <w:szCs w:val="22"/>
                <w:vertAlign w:val="superscript"/>
                <w:lang w:val="sr-Latn-ME"/>
              </w:rPr>
              <w:t>)</w:t>
            </w:r>
          </w:p>
        </w:tc>
      </w:tr>
      <w:tr w:rsidR="0040462B" w:rsidRPr="00F24057" w14:paraId="62CB1699" w14:textId="77777777" w:rsidTr="00DA2306">
        <w:trPr>
          <w:trHeight w:val="20"/>
        </w:trPr>
        <w:tc>
          <w:tcPr>
            <w:tcW w:w="1203" w:type="pct"/>
            <w:vMerge w:val="restart"/>
            <w:vAlign w:val="center"/>
          </w:tcPr>
          <w:p w14:paraId="63DF3B9F" w14:textId="2FBF1D87" w:rsidR="0040462B" w:rsidRPr="00F24057" w:rsidRDefault="0040462B" w:rsidP="00D70B34">
            <w:pPr>
              <w:jc w:val="left"/>
              <w:rPr>
                <w:szCs w:val="22"/>
                <w:u w:val="single"/>
                <w:lang w:val="sr-Latn-ME"/>
              </w:rPr>
            </w:pPr>
            <w:r w:rsidRPr="00F24057">
              <w:rPr>
                <w:szCs w:val="22"/>
                <w:lang w:val="sr-Latn-ME"/>
              </w:rPr>
              <w:lastRenderedPageBreak/>
              <w:t>Poremećaji mišićno-koštanog sistema i vezivnog tkiva</w:t>
            </w:r>
          </w:p>
        </w:tc>
        <w:tc>
          <w:tcPr>
            <w:tcW w:w="770" w:type="pct"/>
            <w:vAlign w:val="center"/>
          </w:tcPr>
          <w:p w14:paraId="05FF3A34" w14:textId="7F5517A3" w:rsidR="0040462B" w:rsidRPr="00F24057" w:rsidRDefault="0040462B" w:rsidP="00D70B34">
            <w:pPr>
              <w:jc w:val="left"/>
              <w:rPr>
                <w:szCs w:val="22"/>
                <w:u w:val="single"/>
                <w:lang w:val="sr-Latn-ME"/>
              </w:rPr>
            </w:pPr>
            <w:r w:rsidRPr="00F24057">
              <w:rPr>
                <w:szCs w:val="22"/>
                <w:lang w:val="sr-Latn-ME"/>
              </w:rPr>
              <w:t>Veoma često</w:t>
            </w:r>
          </w:p>
        </w:tc>
        <w:tc>
          <w:tcPr>
            <w:tcW w:w="3027" w:type="pct"/>
            <w:vAlign w:val="center"/>
          </w:tcPr>
          <w:p w14:paraId="2B687E89" w14:textId="12CF7532" w:rsidR="0040462B" w:rsidRPr="00F24057" w:rsidRDefault="0040462B" w:rsidP="00D70B34">
            <w:pPr>
              <w:jc w:val="left"/>
              <w:rPr>
                <w:szCs w:val="22"/>
                <w:u w:val="single"/>
                <w:lang w:val="sr-Latn-ME"/>
              </w:rPr>
            </w:pPr>
            <w:r w:rsidRPr="00F24057">
              <w:rPr>
                <w:szCs w:val="22"/>
                <w:lang w:val="sr-Latn-ME"/>
              </w:rPr>
              <w:t>Mišićno-skeletni bol</w:t>
            </w:r>
          </w:p>
        </w:tc>
      </w:tr>
      <w:tr w:rsidR="0040462B" w:rsidRPr="00F24057" w14:paraId="0600704D" w14:textId="77777777" w:rsidTr="00DA2306">
        <w:trPr>
          <w:trHeight w:val="20"/>
        </w:trPr>
        <w:tc>
          <w:tcPr>
            <w:tcW w:w="1203" w:type="pct"/>
            <w:vMerge/>
            <w:vAlign w:val="center"/>
          </w:tcPr>
          <w:p w14:paraId="242EDAB4" w14:textId="77777777" w:rsidR="0040462B" w:rsidRPr="00F24057" w:rsidRDefault="0040462B" w:rsidP="00D70B34">
            <w:pPr>
              <w:jc w:val="left"/>
              <w:rPr>
                <w:szCs w:val="22"/>
                <w:u w:val="single"/>
                <w:lang w:val="sr-Latn-ME"/>
              </w:rPr>
            </w:pPr>
          </w:p>
        </w:tc>
        <w:tc>
          <w:tcPr>
            <w:tcW w:w="770" w:type="pct"/>
            <w:vAlign w:val="center"/>
          </w:tcPr>
          <w:p w14:paraId="3488ED2E" w14:textId="4732383F" w:rsidR="0040462B" w:rsidRPr="00F24057" w:rsidRDefault="0040462B" w:rsidP="00D70B34">
            <w:pPr>
              <w:jc w:val="left"/>
              <w:rPr>
                <w:szCs w:val="22"/>
                <w:u w:val="single"/>
                <w:lang w:val="sr-Latn-ME"/>
              </w:rPr>
            </w:pPr>
            <w:r w:rsidRPr="00F24057">
              <w:rPr>
                <w:szCs w:val="22"/>
                <w:lang w:val="sr-Latn-ME"/>
              </w:rPr>
              <w:t>Često</w:t>
            </w:r>
          </w:p>
        </w:tc>
        <w:tc>
          <w:tcPr>
            <w:tcW w:w="3027" w:type="pct"/>
            <w:vAlign w:val="center"/>
          </w:tcPr>
          <w:p w14:paraId="03FFC39F" w14:textId="7B3CF633" w:rsidR="0040462B" w:rsidRPr="00F24057" w:rsidRDefault="0040462B" w:rsidP="00D70B34">
            <w:pPr>
              <w:jc w:val="left"/>
              <w:rPr>
                <w:szCs w:val="22"/>
                <w:u w:val="single"/>
                <w:lang w:val="sr-Latn-ME"/>
              </w:rPr>
            </w:pPr>
            <w:r w:rsidRPr="00F24057">
              <w:rPr>
                <w:szCs w:val="22"/>
                <w:lang w:val="sr-Latn-ME"/>
              </w:rPr>
              <w:t>Spazmi mišića (uključujući povećanje koncentracije kreatin fosfokinaze u krvi)</w:t>
            </w:r>
          </w:p>
        </w:tc>
      </w:tr>
      <w:tr w:rsidR="0040462B" w:rsidRPr="00F24057" w14:paraId="0816896E" w14:textId="77777777" w:rsidTr="00DA2306">
        <w:trPr>
          <w:trHeight w:val="20"/>
        </w:trPr>
        <w:tc>
          <w:tcPr>
            <w:tcW w:w="1203" w:type="pct"/>
            <w:vMerge/>
            <w:vAlign w:val="center"/>
          </w:tcPr>
          <w:p w14:paraId="59E0DCAA" w14:textId="77777777" w:rsidR="0040462B" w:rsidRPr="00F24057" w:rsidRDefault="0040462B" w:rsidP="00D70B34">
            <w:pPr>
              <w:jc w:val="left"/>
              <w:rPr>
                <w:szCs w:val="22"/>
                <w:u w:val="single"/>
                <w:lang w:val="sr-Latn-ME"/>
              </w:rPr>
            </w:pPr>
          </w:p>
        </w:tc>
        <w:tc>
          <w:tcPr>
            <w:tcW w:w="770" w:type="pct"/>
            <w:vAlign w:val="center"/>
          </w:tcPr>
          <w:p w14:paraId="227E436C" w14:textId="02A7BB55" w:rsidR="0040462B" w:rsidRPr="00F24057" w:rsidRDefault="0040462B" w:rsidP="00D70B34">
            <w:pPr>
              <w:jc w:val="left"/>
              <w:rPr>
                <w:szCs w:val="22"/>
                <w:u w:val="single"/>
                <w:lang w:val="sr-Latn-ME"/>
              </w:rPr>
            </w:pPr>
            <w:r w:rsidRPr="00F24057">
              <w:rPr>
                <w:szCs w:val="22"/>
                <w:lang w:val="sr-Latn-ME"/>
              </w:rPr>
              <w:t>Povremeno</w:t>
            </w:r>
          </w:p>
        </w:tc>
        <w:tc>
          <w:tcPr>
            <w:tcW w:w="3027" w:type="pct"/>
            <w:vAlign w:val="center"/>
          </w:tcPr>
          <w:p w14:paraId="34433BBB" w14:textId="77777777" w:rsidR="0040462B" w:rsidRPr="00F24057" w:rsidRDefault="0040462B" w:rsidP="00D70B34">
            <w:pPr>
              <w:jc w:val="left"/>
              <w:rPr>
                <w:szCs w:val="22"/>
                <w:lang w:val="sr-Latn-ME"/>
              </w:rPr>
            </w:pPr>
            <w:r w:rsidRPr="00F24057">
              <w:rPr>
                <w:szCs w:val="22"/>
                <w:lang w:val="sr-Latn-ME"/>
              </w:rPr>
              <w:t xml:space="preserve">Rabdomioliza, </w:t>
            </w:r>
          </w:p>
          <w:p w14:paraId="60ED3BA8" w14:textId="4F658C97" w:rsidR="0040462B" w:rsidRPr="00F24057" w:rsidRDefault="0040462B" w:rsidP="00D70B34">
            <w:pPr>
              <w:jc w:val="left"/>
              <w:rPr>
                <w:szCs w:val="22"/>
                <w:u w:val="single"/>
                <w:lang w:val="sr-Latn-ME"/>
              </w:rPr>
            </w:pPr>
            <w:r w:rsidRPr="00F24057">
              <w:rPr>
                <w:szCs w:val="22"/>
                <w:lang w:val="sr-Latn-ME"/>
              </w:rPr>
              <w:t xml:space="preserve">sistemski </w:t>
            </w:r>
            <w:r w:rsidR="00AC1E3A" w:rsidRPr="00F24057">
              <w:rPr>
                <w:szCs w:val="22"/>
                <w:lang w:val="sr-Latn-ME"/>
              </w:rPr>
              <w:t xml:space="preserve">eritemski </w:t>
            </w:r>
            <w:r w:rsidRPr="00F24057">
              <w:rPr>
                <w:szCs w:val="22"/>
                <w:lang w:val="sr-Latn-ME"/>
              </w:rPr>
              <w:t>lupus</w:t>
            </w:r>
          </w:p>
        </w:tc>
      </w:tr>
      <w:tr w:rsidR="0040462B" w:rsidRPr="00F24057" w14:paraId="1972D624" w14:textId="77777777" w:rsidTr="00DA2306">
        <w:trPr>
          <w:trHeight w:val="20"/>
        </w:trPr>
        <w:tc>
          <w:tcPr>
            <w:tcW w:w="1203" w:type="pct"/>
            <w:vMerge/>
            <w:vAlign w:val="center"/>
          </w:tcPr>
          <w:p w14:paraId="63A2FBED" w14:textId="77777777" w:rsidR="0040462B" w:rsidRPr="00F24057" w:rsidRDefault="0040462B" w:rsidP="00D70B34">
            <w:pPr>
              <w:jc w:val="left"/>
              <w:rPr>
                <w:szCs w:val="22"/>
                <w:u w:val="single"/>
                <w:lang w:val="sr-Latn-ME"/>
              </w:rPr>
            </w:pPr>
          </w:p>
        </w:tc>
        <w:tc>
          <w:tcPr>
            <w:tcW w:w="770" w:type="pct"/>
            <w:vAlign w:val="center"/>
          </w:tcPr>
          <w:p w14:paraId="7EA7B16C" w14:textId="748F87CE" w:rsidR="0040462B" w:rsidRPr="00F24057" w:rsidRDefault="004F2520" w:rsidP="00D70B34">
            <w:pPr>
              <w:jc w:val="left"/>
              <w:rPr>
                <w:szCs w:val="22"/>
                <w:u w:val="single"/>
                <w:lang w:val="sr-Latn-ME"/>
              </w:rPr>
            </w:pPr>
            <w:r w:rsidRPr="00F24057">
              <w:rPr>
                <w:szCs w:val="22"/>
                <w:lang w:val="sr-Latn-ME"/>
              </w:rPr>
              <w:t>Rijetk</w:t>
            </w:r>
            <w:r w:rsidR="0040462B" w:rsidRPr="00F24057">
              <w:rPr>
                <w:szCs w:val="22"/>
                <w:lang w:val="sr-Latn-ME"/>
              </w:rPr>
              <w:t>o</w:t>
            </w:r>
          </w:p>
        </w:tc>
        <w:tc>
          <w:tcPr>
            <w:tcW w:w="3027" w:type="pct"/>
            <w:vAlign w:val="center"/>
          </w:tcPr>
          <w:p w14:paraId="024E85E2" w14:textId="12D14E11" w:rsidR="0040462B" w:rsidRPr="00F24057" w:rsidRDefault="0040462B" w:rsidP="00D70B34">
            <w:pPr>
              <w:jc w:val="left"/>
              <w:rPr>
                <w:szCs w:val="22"/>
                <w:u w:val="single"/>
                <w:lang w:val="sr-Latn-ME"/>
              </w:rPr>
            </w:pPr>
            <w:r w:rsidRPr="00F24057">
              <w:rPr>
                <w:szCs w:val="22"/>
                <w:lang w:val="sr-Latn-ME"/>
              </w:rPr>
              <w:t>Sindrom sličan lupusu</w:t>
            </w:r>
            <w:r w:rsidRPr="00F24057">
              <w:rPr>
                <w:szCs w:val="22"/>
                <w:vertAlign w:val="superscript"/>
                <w:lang w:val="sr-Latn-ME"/>
              </w:rPr>
              <w:t>1)</w:t>
            </w:r>
          </w:p>
        </w:tc>
      </w:tr>
      <w:tr w:rsidR="0040462B" w:rsidRPr="00F24057" w14:paraId="0EEE2AB6" w14:textId="77777777" w:rsidTr="00DA2306">
        <w:trPr>
          <w:trHeight w:val="20"/>
        </w:trPr>
        <w:tc>
          <w:tcPr>
            <w:tcW w:w="1203" w:type="pct"/>
            <w:vMerge w:val="restart"/>
            <w:vAlign w:val="center"/>
          </w:tcPr>
          <w:p w14:paraId="658DEEE8" w14:textId="21983EFF" w:rsidR="0040462B" w:rsidRPr="00F24057" w:rsidRDefault="0040462B" w:rsidP="00D70B34">
            <w:pPr>
              <w:jc w:val="left"/>
              <w:rPr>
                <w:szCs w:val="22"/>
                <w:u w:val="single"/>
                <w:lang w:val="sr-Latn-ME"/>
              </w:rPr>
            </w:pPr>
            <w:r w:rsidRPr="00F24057">
              <w:rPr>
                <w:szCs w:val="22"/>
                <w:lang w:val="sr-Latn-ME"/>
              </w:rPr>
              <w:t>Poremećaji bubrega i urinarnog sistema</w:t>
            </w:r>
          </w:p>
        </w:tc>
        <w:tc>
          <w:tcPr>
            <w:tcW w:w="770" w:type="pct"/>
            <w:vAlign w:val="center"/>
          </w:tcPr>
          <w:p w14:paraId="1113243C" w14:textId="1F9D95C4" w:rsidR="0040462B" w:rsidRPr="00F24057" w:rsidRDefault="0040462B" w:rsidP="00D70B34">
            <w:pPr>
              <w:jc w:val="left"/>
              <w:rPr>
                <w:szCs w:val="22"/>
                <w:u w:val="single"/>
                <w:lang w:val="sr-Latn-ME"/>
              </w:rPr>
            </w:pPr>
            <w:r w:rsidRPr="00F24057">
              <w:rPr>
                <w:szCs w:val="22"/>
                <w:lang w:val="sr-Latn-ME"/>
              </w:rPr>
              <w:t>Često</w:t>
            </w:r>
          </w:p>
        </w:tc>
        <w:tc>
          <w:tcPr>
            <w:tcW w:w="3027" w:type="pct"/>
            <w:vAlign w:val="center"/>
          </w:tcPr>
          <w:p w14:paraId="544E1E06" w14:textId="77777777" w:rsidR="0040462B" w:rsidRPr="00F24057" w:rsidRDefault="0040462B" w:rsidP="00D70B34">
            <w:pPr>
              <w:jc w:val="left"/>
              <w:rPr>
                <w:szCs w:val="22"/>
                <w:lang w:val="sr-Latn-ME"/>
              </w:rPr>
            </w:pPr>
            <w:r w:rsidRPr="00F24057">
              <w:rPr>
                <w:szCs w:val="22"/>
                <w:lang w:val="sr-Latn-ME"/>
              </w:rPr>
              <w:t xml:space="preserve">Oslabljena funkcija bubrega, </w:t>
            </w:r>
          </w:p>
          <w:p w14:paraId="2661BF21" w14:textId="4378CCDD" w:rsidR="0040462B" w:rsidRPr="00F24057" w:rsidRDefault="005309C2" w:rsidP="00D70B34">
            <w:pPr>
              <w:jc w:val="left"/>
              <w:rPr>
                <w:szCs w:val="22"/>
                <w:u w:val="single"/>
                <w:lang w:val="sr-Latn-ME"/>
              </w:rPr>
            </w:pPr>
            <w:r w:rsidRPr="00F24057">
              <w:rPr>
                <w:szCs w:val="22"/>
                <w:lang w:val="sr-Latn-ME"/>
              </w:rPr>
              <w:t>h</w:t>
            </w:r>
            <w:r w:rsidR="0040462B" w:rsidRPr="00F24057">
              <w:rPr>
                <w:szCs w:val="22"/>
                <w:lang w:val="sr-Latn-ME"/>
              </w:rPr>
              <w:t>ematurija</w:t>
            </w:r>
          </w:p>
        </w:tc>
      </w:tr>
      <w:tr w:rsidR="0040462B" w:rsidRPr="00F24057" w14:paraId="5D91907B" w14:textId="77777777" w:rsidTr="00DA2306">
        <w:trPr>
          <w:trHeight w:val="20"/>
        </w:trPr>
        <w:tc>
          <w:tcPr>
            <w:tcW w:w="1203" w:type="pct"/>
            <w:vMerge/>
            <w:vAlign w:val="center"/>
          </w:tcPr>
          <w:p w14:paraId="61E933CC" w14:textId="77777777" w:rsidR="0040462B" w:rsidRPr="00F24057" w:rsidRDefault="0040462B" w:rsidP="00D70B34">
            <w:pPr>
              <w:jc w:val="left"/>
              <w:rPr>
                <w:szCs w:val="22"/>
                <w:u w:val="single"/>
                <w:lang w:val="sr-Latn-ME"/>
              </w:rPr>
            </w:pPr>
          </w:p>
        </w:tc>
        <w:tc>
          <w:tcPr>
            <w:tcW w:w="770" w:type="pct"/>
            <w:vAlign w:val="center"/>
          </w:tcPr>
          <w:p w14:paraId="4A751557" w14:textId="169D02E4" w:rsidR="0040462B" w:rsidRPr="00F24057" w:rsidRDefault="0040462B" w:rsidP="00D70B34">
            <w:pPr>
              <w:jc w:val="left"/>
              <w:rPr>
                <w:szCs w:val="22"/>
                <w:u w:val="single"/>
                <w:lang w:val="sr-Latn-ME"/>
              </w:rPr>
            </w:pPr>
            <w:r w:rsidRPr="00F24057">
              <w:rPr>
                <w:szCs w:val="22"/>
                <w:lang w:val="sr-Latn-ME"/>
              </w:rPr>
              <w:t>Povremeno</w:t>
            </w:r>
          </w:p>
        </w:tc>
        <w:tc>
          <w:tcPr>
            <w:tcW w:w="3027" w:type="pct"/>
            <w:vAlign w:val="center"/>
          </w:tcPr>
          <w:p w14:paraId="08C08A98" w14:textId="1DE80BCD" w:rsidR="0040462B" w:rsidRPr="00F24057" w:rsidRDefault="0040462B" w:rsidP="00D70B34">
            <w:pPr>
              <w:jc w:val="left"/>
              <w:rPr>
                <w:szCs w:val="22"/>
                <w:u w:val="single"/>
                <w:lang w:val="sr-Latn-ME"/>
              </w:rPr>
            </w:pPr>
            <w:r w:rsidRPr="00F24057">
              <w:rPr>
                <w:szCs w:val="22"/>
                <w:lang w:val="sr-Latn-ME"/>
              </w:rPr>
              <w:t>Nokturija</w:t>
            </w:r>
          </w:p>
        </w:tc>
      </w:tr>
      <w:tr w:rsidR="000A3B36" w:rsidRPr="00F24057" w14:paraId="0117B8F3" w14:textId="77777777" w:rsidTr="00DA2306">
        <w:trPr>
          <w:trHeight w:val="20"/>
        </w:trPr>
        <w:tc>
          <w:tcPr>
            <w:tcW w:w="1203" w:type="pct"/>
            <w:vAlign w:val="center"/>
          </w:tcPr>
          <w:p w14:paraId="34609F6B" w14:textId="3C853699" w:rsidR="000A3B36" w:rsidRPr="00F24057" w:rsidRDefault="0040462B" w:rsidP="00D70B34">
            <w:pPr>
              <w:jc w:val="left"/>
              <w:rPr>
                <w:szCs w:val="22"/>
                <w:u w:val="single"/>
                <w:lang w:val="sr-Latn-ME"/>
              </w:rPr>
            </w:pPr>
            <w:r w:rsidRPr="00F24057">
              <w:rPr>
                <w:szCs w:val="22"/>
                <w:lang w:val="sr-Latn-ME"/>
              </w:rPr>
              <w:t>Poremećaji reproduktivnog sistema i dojki</w:t>
            </w:r>
          </w:p>
        </w:tc>
        <w:tc>
          <w:tcPr>
            <w:tcW w:w="770" w:type="pct"/>
            <w:vAlign w:val="center"/>
          </w:tcPr>
          <w:p w14:paraId="79D09273" w14:textId="5AB08FF8" w:rsidR="000A3B36" w:rsidRPr="00F24057" w:rsidRDefault="0040462B" w:rsidP="00D70B34">
            <w:pPr>
              <w:jc w:val="left"/>
              <w:rPr>
                <w:szCs w:val="22"/>
                <w:u w:val="single"/>
                <w:lang w:val="sr-Latn-ME"/>
              </w:rPr>
            </w:pPr>
            <w:r w:rsidRPr="00F24057">
              <w:rPr>
                <w:szCs w:val="22"/>
                <w:lang w:val="sr-Latn-ME"/>
              </w:rPr>
              <w:t>Povremeno</w:t>
            </w:r>
          </w:p>
        </w:tc>
        <w:tc>
          <w:tcPr>
            <w:tcW w:w="3027" w:type="pct"/>
            <w:vAlign w:val="center"/>
          </w:tcPr>
          <w:p w14:paraId="518F4A06" w14:textId="11E12FC5" w:rsidR="000A3B36" w:rsidRPr="00F24057" w:rsidRDefault="0040462B" w:rsidP="00D70B34">
            <w:pPr>
              <w:jc w:val="left"/>
              <w:rPr>
                <w:szCs w:val="22"/>
                <w:u w:val="single"/>
                <w:lang w:val="sr-Latn-ME"/>
              </w:rPr>
            </w:pPr>
            <w:r w:rsidRPr="00F24057">
              <w:rPr>
                <w:szCs w:val="22"/>
                <w:lang w:val="sr-Latn-ME"/>
              </w:rPr>
              <w:t>Erektilna disfunkcija</w:t>
            </w:r>
          </w:p>
        </w:tc>
      </w:tr>
      <w:tr w:rsidR="0040462B" w:rsidRPr="00F24057" w14:paraId="2FEA14E0" w14:textId="77777777" w:rsidTr="00DA2306">
        <w:trPr>
          <w:trHeight w:val="20"/>
        </w:trPr>
        <w:tc>
          <w:tcPr>
            <w:tcW w:w="1203" w:type="pct"/>
            <w:vMerge w:val="restart"/>
            <w:vAlign w:val="center"/>
          </w:tcPr>
          <w:p w14:paraId="061F03EB" w14:textId="058AD60F" w:rsidR="0040462B" w:rsidRPr="00F24057" w:rsidRDefault="0040462B" w:rsidP="00D70B34">
            <w:pPr>
              <w:jc w:val="left"/>
              <w:rPr>
                <w:szCs w:val="22"/>
                <w:u w:val="single"/>
                <w:lang w:val="sr-Latn-ME"/>
              </w:rPr>
            </w:pPr>
            <w:r w:rsidRPr="00F24057">
              <w:rPr>
                <w:szCs w:val="22"/>
                <w:lang w:val="sr-Latn-ME"/>
              </w:rPr>
              <w:t xml:space="preserve">Opšti poremećaji i reakcije na </w:t>
            </w:r>
            <w:r w:rsidR="00972894" w:rsidRPr="00F24057">
              <w:rPr>
                <w:szCs w:val="22"/>
                <w:lang w:val="sr-Latn-ME"/>
              </w:rPr>
              <w:t>mjest</w:t>
            </w:r>
            <w:r w:rsidRPr="00F24057">
              <w:rPr>
                <w:szCs w:val="22"/>
                <w:lang w:val="sr-Latn-ME"/>
              </w:rPr>
              <w:t xml:space="preserve">u </w:t>
            </w:r>
            <w:r w:rsidR="0030064A" w:rsidRPr="00F24057">
              <w:rPr>
                <w:szCs w:val="22"/>
                <w:lang w:val="sr-Latn-ME"/>
              </w:rPr>
              <w:t>primjen</w:t>
            </w:r>
            <w:r w:rsidRPr="00F24057">
              <w:rPr>
                <w:szCs w:val="22"/>
                <w:lang w:val="sr-Latn-ME"/>
              </w:rPr>
              <w:t>e*</w:t>
            </w:r>
          </w:p>
        </w:tc>
        <w:tc>
          <w:tcPr>
            <w:tcW w:w="770" w:type="pct"/>
            <w:vAlign w:val="center"/>
          </w:tcPr>
          <w:p w14:paraId="6EE60657" w14:textId="2DB7A156" w:rsidR="0040462B" w:rsidRPr="00F24057" w:rsidRDefault="0040462B" w:rsidP="00D70B34">
            <w:pPr>
              <w:jc w:val="left"/>
              <w:rPr>
                <w:szCs w:val="22"/>
                <w:u w:val="single"/>
                <w:lang w:val="sr-Latn-ME"/>
              </w:rPr>
            </w:pPr>
            <w:r w:rsidRPr="00F24057">
              <w:rPr>
                <w:szCs w:val="22"/>
                <w:lang w:val="sr-Latn-ME"/>
              </w:rPr>
              <w:t>Veoma često</w:t>
            </w:r>
          </w:p>
        </w:tc>
        <w:tc>
          <w:tcPr>
            <w:tcW w:w="3027" w:type="pct"/>
            <w:vAlign w:val="center"/>
          </w:tcPr>
          <w:p w14:paraId="098E373F" w14:textId="184061ED" w:rsidR="0040462B" w:rsidRPr="00F24057" w:rsidRDefault="0040462B" w:rsidP="00D70B34">
            <w:pPr>
              <w:jc w:val="left"/>
              <w:rPr>
                <w:szCs w:val="22"/>
                <w:u w:val="single"/>
                <w:lang w:val="sr-Latn-ME"/>
              </w:rPr>
            </w:pPr>
            <w:r w:rsidRPr="00F24057">
              <w:rPr>
                <w:szCs w:val="22"/>
                <w:lang w:val="sr-Latn-ME"/>
              </w:rPr>
              <w:t xml:space="preserve">Reakcije na </w:t>
            </w:r>
            <w:r w:rsidR="00972894" w:rsidRPr="00F24057">
              <w:rPr>
                <w:szCs w:val="22"/>
                <w:lang w:val="sr-Latn-ME"/>
              </w:rPr>
              <w:t>mjest</w:t>
            </w:r>
            <w:r w:rsidRPr="00F24057">
              <w:rPr>
                <w:szCs w:val="22"/>
                <w:lang w:val="sr-Latn-ME"/>
              </w:rPr>
              <w:t xml:space="preserve">u </w:t>
            </w:r>
            <w:r w:rsidR="0030064A" w:rsidRPr="00F24057">
              <w:rPr>
                <w:szCs w:val="22"/>
                <w:lang w:val="sr-Latn-ME"/>
              </w:rPr>
              <w:t>primjen</w:t>
            </w:r>
            <w:r w:rsidRPr="00F24057">
              <w:rPr>
                <w:szCs w:val="22"/>
                <w:lang w:val="sr-Latn-ME"/>
              </w:rPr>
              <w:t xml:space="preserve">e injekcije (uključujući eritem na </w:t>
            </w:r>
            <w:r w:rsidR="00972894" w:rsidRPr="00F24057">
              <w:rPr>
                <w:szCs w:val="22"/>
                <w:lang w:val="sr-Latn-ME"/>
              </w:rPr>
              <w:t>mjest</w:t>
            </w:r>
            <w:r w:rsidRPr="00F24057">
              <w:rPr>
                <w:szCs w:val="22"/>
                <w:lang w:val="sr-Latn-ME"/>
              </w:rPr>
              <w:t xml:space="preserve">u </w:t>
            </w:r>
            <w:r w:rsidR="0030064A" w:rsidRPr="00F24057">
              <w:rPr>
                <w:szCs w:val="22"/>
                <w:lang w:val="sr-Latn-ME"/>
              </w:rPr>
              <w:t>primjen</w:t>
            </w:r>
            <w:r w:rsidRPr="00F24057">
              <w:rPr>
                <w:szCs w:val="22"/>
                <w:lang w:val="sr-Latn-ME"/>
              </w:rPr>
              <w:t>e injekcije)</w:t>
            </w:r>
          </w:p>
        </w:tc>
      </w:tr>
      <w:tr w:rsidR="0040462B" w:rsidRPr="00F24057" w14:paraId="72492A16" w14:textId="77777777" w:rsidTr="00DA2306">
        <w:trPr>
          <w:trHeight w:val="20"/>
        </w:trPr>
        <w:tc>
          <w:tcPr>
            <w:tcW w:w="1203" w:type="pct"/>
            <w:vMerge/>
            <w:vAlign w:val="center"/>
          </w:tcPr>
          <w:p w14:paraId="7E6CB332" w14:textId="77777777" w:rsidR="0040462B" w:rsidRPr="00F24057" w:rsidRDefault="0040462B" w:rsidP="00D70B34">
            <w:pPr>
              <w:jc w:val="left"/>
              <w:rPr>
                <w:szCs w:val="22"/>
                <w:u w:val="single"/>
                <w:lang w:val="sr-Latn-ME"/>
              </w:rPr>
            </w:pPr>
          </w:p>
        </w:tc>
        <w:tc>
          <w:tcPr>
            <w:tcW w:w="770" w:type="pct"/>
            <w:vAlign w:val="center"/>
          </w:tcPr>
          <w:p w14:paraId="2B2392B5" w14:textId="6AFF6096" w:rsidR="0040462B" w:rsidRPr="00F24057" w:rsidRDefault="0040462B" w:rsidP="00D70B34">
            <w:pPr>
              <w:jc w:val="left"/>
              <w:rPr>
                <w:szCs w:val="22"/>
                <w:u w:val="single"/>
                <w:lang w:val="sr-Latn-ME"/>
              </w:rPr>
            </w:pPr>
            <w:r w:rsidRPr="00F24057">
              <w:rPr>
                <w:szCs w:val="22"/>
                <w:lang w:val="sr-Latn-ME"/>
              </w:rPr>
              <w:t>Često</w:t>
            </w:r>
          </w:p>
        </w:tc>
        <w:tc>
          <w:tcPr>
            <w:tcW w:w="3027" w:type="pct"/>
            <w:vAlign w:val="center"/>
          </w:tcPr>
          <w:p w14:paraId="11A4A07A" w14:textId="77777777" w:rsidR="0040462B" w:rsidRPr="00F24057" w:rsidRDefault="0040462B" w:rsidP="00D70B34">
            <w:pPr>
              <w:jc w:val="left"/>
              <w:rPr>
                <w:szCs w:val="22"/>
                <w:lang w:val="sr-Latn-ME"/>
              </w:rPr>
            </w:pPr>
            <w:r w:rsidRPr="00F24057">
              <w:rPr>
                <w:szCs w:val="22"/>
                <w:lang w:val="sr-Latn-ME"/>
              </w:rPr>
              <w:t xml:space="preserve">Bol u grudnom košu, </w:t>
            </w:r>
          </w:p>
          <w:p w14:paraId="55A2752A" w14:textId="77777777" w:rsidR="0040462B" w:rsidRPr="00F24057" w:rsidRDefault="0040462B" w:rsidP="00D70B34">
            <w:pPr>
              <w:jc w:val="left"/>
              <w:rPr>
                <w:szCs w:val="22"/>
                <w:lang w:val="sr-Latn-ME"/>
              </w:rPr>
            </w:pPr>
            <w:r w:rsidRPr="00F24057">
              <w:rPr>
                <w:szCs w:val="22"/>
                <w:lang w:val="sr-Latn-ME"/>
              </w:rPr>
              <w:t xml:space="preserve">edem, </w:t>
            </w:r>
          </w:p>
          <w:p w14:paraId="0EBFE1E1" w14:textId="73AD2CF4" w:rsidR="0040462B" w:rsidRPr="00F24057" w:rsidRDefault="0040462B" w:rsidP="00D70B34">
            <w:pPr>
              <w:jc w:val="left"/>
              <w:rPr>
                <w:szCs w:val="22"/>
                <w:u w:val="single"/>
                <w:lang w:val="sr-Latn-ME"/>
              </w:rPr>
            </w:pPr>
            <w:r w:rsidRPr="00F24057">
              <w:rPr>
                <w:szCs w:val="22"/>
                <w:lang w:val="sr-Latn-ME"/>
              </w:rPr>
              <w:t>pireksija</w:t>
            </w:r>
            <w:r w:rsidRPr="00F24057">
              <w:rPr>
                <w:szCs w:val="22"/>
                <w:vertAlign w:val="superscript"/>
                <w:lang w:val="sr-Latn-ME"/>
              </w:rPr>
              <w:t>1)</w:t>
            </w:r>
          </w:p>
        </w:tc>
      </w:tr>
      <w:tr w:rsidR="0040462B" w:rsidRPr="00F24057" w14:paraId="3B9A96A9" w14:textId="77777777" w:rsidTr="00DA2306">
        <w:trPr>
          <w:trHeight w:val="20"/>
        </w:trPr>
        <w:tc>
          <w:tcPr>
            <w:tcW w:w="1203" w:type="pct"/>
            <w:vMerge/>
            <w:vAlign w:val="center"/>
          </w:tcPr>
          <w:p w14:paraId="7BE0746A" w14:textId="77777777" w:rsidR="0040462B" w:rsidRPr="00F24057" w:rsidRDefault="0040462B" w:rsidP="00D70B34">
            <w:pPr>
              <w:jc w:val="left"/>
              <w:rPr>
                <w:szCs w:val="22"/>
                <w:u w:val="single"/>
                <w:lang w:val="sr-Latn-ME"/>
              </w:rPr>
            </w:pPr>
          </w:p>
        </w:tc>
        <w:tc>
          <w:tcPr>
            <w:tcW w:w="770" w:type="pct"/>
            <w:vAlign w:val="center"/>
          </w:tcPr>
          <w:p w14:paraId="6CDF1266" w14:textId="4281177D" w:rsidR="0040462B" w:rsidRPr="00F24057" w:rsidRDefault="0040462B" w:rsidP="00D70B34">
            <w:pPr>
              <w:jc w:val="left"/>
              <w:rPr>
                <w:szCs w:val="22"/>
                <w:u w:val="single"/>
                <w:lang w:val="sr-Latn-ME"/>
              </w:rPr>
            </w:pPr>
            <w:r w:rsidRPr="00F24057">
              <w:rPr>
                <w:szCs w:val="22"/>
                <w:lang w:val="sr-Latn-ME"/>
              </w:rPr>
              <w:t>Povremeno</w:t>
            </w:r>
          </w:p>
        </w:tc>
        <w:tc>
          <w:tcPr>
            <w:tcW w:w="3027" w:type="pct"/>
            <w:vAlign w:val="center"/>
          </w:tcPr>
          <w:p w14:paraId="44D1B1B0" w14:textId="4F74DAAA" w:rsidR="0040462B" w:rsidRPr="00F24057" w:rsidRDefault="0040462B" w:rsidP="00D70B34">
            <w:pPr>
              <w:jc w:val="left"/>
              <w:rPr>
                <w:szCs w:val="22"/>
                <w:u w:val="single"/>
                <w:lang w:val="sr-Latn-ME"/>
              </w:rPr>
            </w:pPr>
            <w:r w:rsidRPr="00F24057">
              <w:rPr>
                <w:szCs w:val="22"/>
                <w:lang w:val="sr-Latn-ME"/>
              </w:rPr>
              <w:t>Inflamacija</w:t>
            </w:r>
          </w:p>
        </w:tc>
      </w:tr>
      <w:tr w:rsidR="009273DC" w:rsidRPr="00F24057" w14:paraId="5748C263" w14:textId="77777777" w:rsidTr="00DA2306">
        <w:trPr>
          <w:trHeight w:val="20"/>
        </w:trPr>
        <w:tc>
          <w:tcPr>
            <w:tcW w:w="1203" w:type="pct"/>
            <w:vMerge w:val="restart"/>
            <w:vAlign w:val="center"/>
          </w:tcPr>
          <w:p w14:paraId="3492B68C" w14:textId="4F9AFB95" w:rsidR="009273DC" w:rsidRPr="00F24057" w:rsidRDefault="009273DC" w:rsidP="00D70B34">
            <w:pPr>
              <w:jc w:val="left"/>
              <w:rPr>
                <w:szCs w:val="22"/>
                <w:u w:val="single"/>
                <w:lang w:val="sr-Latn-ME"/>
              </w:rPr>
            </w:pPr>
            <w:r w:rsidRPr="00F24057">
              <w:rPr>
                <w:szCs w:val="22"/>
                <w:lang w:val="sr-Latn-ME"/>
              </w:rPr>
              <w:t>Ispitivanja*</w:t>
            </w:r>
          </w:p>
        </w:tc>
        <w:tc>
          <w:tcPr>
            <w:tcW w:w="770" w:type="pct"/>
            <w:vAlign w:val="center"/>
          </w:tcPr>
          <w:p w14:paraId="7B71FAF0" w14:textId="40E7A4BE" w:rsidR="009273DC" w:rsidRPr="00F24057" w:rsidRDefault="009273DC" w:rsidP="00D70B34">
            <w:pPr>
              <w:jc w:val="left"/>
              <w:rPr>
                <w:szCs w:val="22"/>
                <w:u w:val="single"/>
                <w:lang w:val="sr-Latn-ME"/>
              </w:rPr>
            </w:pPr>
            <w:r w:rsidRPr="00F24057">
              <w:rPr>
                <w:szCs w:val="22"/>
                <w:lang w:val="sr-Latn-ME"/>
              </w:rPr>
              <w:t>Često</w:t>
            </w:r>
          </w:p>
        </w:tc>
        <w:tc>
          <w:tcPr>
            <w:tcW w:w="3027" w:type="pct"/>
            <w:vAlign w:val="center"/>
          </w:tcPr>
          <w:p w14:paraId="20A16426" w14:textId="2A307489" w:rsidR="009273DC" w:rsidRPr="00F24057" w:rsidRDefault="009273DC" w:rsidP="00D70B34">
            <w:pPr>
              <w:jc w:val="left"/>
              <w:rPr>
                <w:szCs w:val="22"/>
                <w:lang w:val="sr-Latn-ME"/>
              </w:rPr>
            </w:pPr>
            <w:r w:rsidRPr="00F24057">
              <w:rPr>
                <w:szCs w:val="22"/>
                <w:lang w:val="sr-Latn-ME"/>
              </w:rPr>
              <w:t>Poremećaji koagulacije i krvarenja (uključujući produženo aktivirano parcijalno tromboplastinsko vr</w:t>
            </w:r>
            <w:r w:rsidR="0019674B" w:rsidRPr="00F24057">
              <w:rPr>
                <w:szCs w:val="22"/>
                <w:lang w:val="sr-Latn-ME"/>
              </w:rPr>
              <w:t>ijeme),</w:t>
            </w:r>
          </w:p>
          <w:p w14:paraId="1085EBD8" w14:textId="575024A0" w:rsidR="009273DC" w:rsidRPr="00F24057" w:rsidRDefault="009273DC" w:rsidP="00D70B34">
            <w:pPr>
              <w:jc w:val="left"/>
              <w:rPr>
                <w:szCs w:val="22"/>
                <w:lang w:val="sr-Latn-ME"/>
              </w:rPr>
            </w:pPr>
            <w:r w:rsidRPr="00F24057">
              <w:rPr>
                <w:szCs w:val="22"/>
                <w:lang w:val="sr-Latn-ME"/>
              </w:rPr>
              <w:t>pozitivan test na auto</w:t>
            </w:r>
            <w:r w:rsidR="00AA29FD" w:rsidRPr="00F24057">
              <w:rPr>
                <w:szCs w:val="22"/>
                <w:lang w:val="sr-Latn-ME"/>
              </w:rPr>
              <w:t>antitijel</w:t>
            </w:r>
            <w:r w:rsidRPr="00F24057">
              <w:rPr>
                <w:szCs w:val="22"/>
                <w:lang w:val="sr-Latn-ME"/>
              </w:rPr>
              <w:t xml:space="preserve">a (uključujući pozitivna anti-DNK </w:t>
            </w:r>
            <w:r w:rsidR="00AA29FD" w:rsidRPr="00F24057">
              <w:rPr>
                <w:szCs w:val="22"/>
                <w:lang w:val="sr-Latn-ME"/>
              </w:rPr>
              <w:t>antitijel</w:t>
            </w:r>
            <w:r w:rsidRPr="00F24057">
              <w:rPr>
                <w:szCs w:val="22"/>
                <w:lang w:val="sr-Latn-ME"/>
              </w:rPr>
              <w:t xml:space="preserve">a), </w:t>
            </w:r>
          </w:p>
          <w:p w14:paraId="5EB4C079" w14:textId="6A8BCEB5" w:rsidR="009273DC" w:rsidRPr="00F24057" w:rsidRDefault="009273DC" w:rsidP="00D70B34">
            <w:pPr>
              <w:jc w:val="left"/>
              <w:rPr>
                <w:szCs w:val="22"/>
                <w:u w:val="single"/>
                <w:lang w:val="sr-Latn-ME"/>
              </w:rPr>
            </w:pPr>
            <w:r w:rsidRPr="00F24057">
              <w:rPr>
                <w:szCs w:val="22"/>
                <w:lang w:val="sr-Latn-ME"/>
              </w:rPr>
              <w:t>povećanje koncentracije laktat dehidrogenaze u krvi</w:t>
            </w:r>
          </w:p>
        </w:tc>
      </w:tr>
      <w:tr w:rsidR="009273DC" w:rsidRPr="00F24057" w14:paraId="279776B3" w14:textId="77777777" w:rsidTr="00DA2306">
        <w:trPr>
          <w:trHeight w:val="20"/>
        </w:trPr>
        <w:tc>
          <w:tcPr>
            <w:tcW w:w="1203" w:type="pct"/>
            <w:vMerge/>
            <w:vAlign w:val="center"/>
          </w:tcPr>
          <w:p w14:paraId="610BF4C7" w14:textId="77777777" w:rsidR="009273DC" w:rsidRPr="00F24057" w:rsidRDefault="009273DC" w:rsidP="00D70B34">
            <w:pPr>
              <w:jc w:val="left"/>
              <w:rPr>
                <w:szCs w:val="22"/>
                <w:lang w:val="sr-Latn-ME"/>
              </w:rPr>
            </w:pPr>
          </w:p>
        </w:tc>
        <w:tc>
          <w:tcPr>
            <w:tcW w:w="770" w:type="pct"/>
            <w:vAlign w:val="center"/>
          </w:tcPr>
          <w:p w14:paraId="22BA71A1" w14:textId="1278A23C" w:rsidR="009273DC" w:rsidRPr="00F24057" w:rsidRDefault="009273DC" w:rsidP="00D70B34">
            <w:pPr>
              <w:jc w:val="left"/>
              <w:rPr>
                <w:szCs w:val="22"/>
                <w:lang w:val="sr-Latn-ME"/>
              </w:rPr>
            </w:pPr>
            <w:r w:rsidRPr="00F24057">
              <w:rPr>
                <w:szCs w:val="22"/>
                <w:lang w:val="sr-Latn-ME"/>
              </w:rPr>
              <w:t>Nepoznato</w:t>
            </w:r>
          </w:p>
        </w:tc>
        <w:tc>
          <w:tcPr>
            <w:tcW w:w="3027" w:type="pct"/>
            <w:vAlign w:val="center"/>
          </w:tcPr>
          <w:p w14:paraId="65A5E036" w14:textId="47EB2952" w:rsidR="009273DC" w:rsidRPr="00F24057" w:rsidRDefault="009273DC">
            <w:pPr>
              <w:jc w:val="left"/>
              <w:rPr>
                <w:szCs w:val="22"/>
                <w:lang w:val="sr-Latn-ME"/>
              </w:rPr>
            </w:pPr>
            <w:r w:rsidRPr="00F24057">
              <w:rPr>
                <w:szCs w:val="22"/>
                <w:lang w:val="sr-Latn-ME"/>
              </w:rPr>
              <w:t>Povećan</w:t>
            </w:r>
            <w:r w:rsidR="00FA668A" w:rsidRPr="00F24057">
              <w:rPr>
                <w:szCs w:val="22"/>
                <w:lang w:val="sr-Latn-ME"/>
              </w:rPr>
              <w:t>j</w:t>
            </w:r>
            <w:r w:rsidRPr="00F24057">
              <w:rPr>
                <w:szCs w:val="22"/>
                <w:lang w:val="sr-Latn-ME"/>
              </w:rPr>
              <w:t xml:space="preserve">e </w:t>
            </w:r>
            <w:r w:rsidR="007E5568" w:rsidRPr="00F24057">
              <w:rPr>
                <w:szCs w:val="22"/>
                <w:lang w:val="sr-Latn-ME"/>
              </w:rPr>
              <w:t>tjeles</w:t>
            </w:r>
            <w:r w:rsidR="008C1DC3" w:rsidRPr="00F24057">
              <w:rPr>
                <w:szCs w:val="22"/>
                <w:lang w:val="sr-Latn-ME"/>
              </w:rPr>
              <w:t>ne mase</w:t>
            </w:r>
            <w:r w:rsidR="008C1DC3" w:rsidRPr="00F24057">
              <w:rPr>
                <w:szCs w:val="22"/>
                <w:vertAlign w:val="superscript"/>
                <w:lang w:val="sr-Latn-ME"/>
              </w:rPr>
              <w:t>2</w:t>
            </w:r>
            <w:r w:rsidRPr="00F24057">
              <w:rPr>
                <w:szCs w:val="22"/>
                <w:vertAlign w:val="superscript"/>
                <w:lang w:val="sr-Latn-ME"/>
              </w:rPr>
              <w:t>)</w:t>
            </w:r>
          </w:p>
        </w:tc>
      </w:tr>
      <w:tr w:rsidR="000A3B36" w:rsidRPr="00F24057" w14:paraId="6D0EBCB7" w14:textId="77777777" w:rsidTr="00DA2306">
        <w:trPr>
          <w:trHeight w:val="20"/>
        </w:trPr>
        <w:tc>
          <w:tcPr>
            <w:tcW w:w="1203" w:type="pct"/>
            <w:vAlign w:val="center"/>
          </w:tcPr>
          <w:p w14:paraId="1D564767" w14:textId="45747572" w:rsidR="000A3B36" w:rsidRPr="00F24057" w:rsidRDefault="0040462B" w:rsidP="00D70B34">
            <w:pPr>
              <w:jc w:val="left"/>
              <w:rPr>
                <w:szCs w:val="22"/>
                <w:u w:val="single"/>
                <w:lang w:val="sr-Latn-ME"/>
              </w:rPr>
            </w:pPr>
            <w:r w:rsidRPr="00F24057">
              <w:rPr>
                <w:szCs w:val="22"/>
                <w:lang w:val="sr-Latn-ME"/>
              </w:rPr>
              <w:t>Povrede, trovanja i proceduralne komplikacije</w:t>
            </w:r>
          </w:p>
        </w:tc>
        <w:tc>
          <w:tcPr>
            <w:tcW w:w="770" w:type="pct"/>
            <w:vAlign w:val="center"/>
          </w:tcPr>
          <w:p w14:paraId="11FE026D" w14:textId="25B7DBA2" w:rsidR="000A3B36" w:rsidRPr="00F24057" w:rsidRDefault="0040462B" w:rsidP="00D70B34">
            <w:pPr>
              <w:jc w:val="left"/>
              <w:rPr>
                <w:szCs w:val="22"/>
                <w:u w:val="single"/>
                <w:lang w:val="sr-Latn-ME"/>
              </w:rPr>
            </w:pPr>
            <w:r w:rsidRPr="00F24057">
              <w:rPr>
                <w:szCs w:val="22"/>
                <w:lang w:val="sr-Latn-ME"/>
              </w:rPr>
              <w:t>Često</w:t>
            </w:r>
          </w:p>
        </w:tc>
        <w:tc>
          <w:tcPr>
            <w:tcW w:w="3027" w:type="pct"/>
            <w:vAlign w:val="center"/>
          </w:tcPr>
          <w:p w14:paraId="58AFD86D" w14:textId="4308E58B" w:rsidR="000A3B36" w:rsidRPr="00F24057" w:rsidRDefault="0040462B" w:rsidP="00D70B34">
            <w:pPr>
              <w:jc w:val="left"/>
              <w:rPr>
                <w:szCs w:val="22"/>
                <w:u w:val="single"/>
                <w:lang w:val="sr-Latn-ME"/>
              </w:rPr>
            </w:pPr>
            <w:r w:rsidRPr="00F24057">
              <w:rPr>
                <w:szCs w:val="22"/>
                <w:lang w:val="sr-Latn-ME"/>
              </w:rPr>
              <w:t>Otežano zarastanje rana</w:t>
            </w:r>
          </w:p>
        </w:tc>
      </w:tr>
    </w:tbl>
    <w:p w14:paraId="2AB99092" w14:textId="1F6214EA" w:rsidR="0040462B" w:rsidRPr="00F24057" w:rsidRDefault="0040462B" w:rsidP="00D70B34">
      <w:pPr>
        <w:rPr>
          <w:szCs w:val="22"/>
          <w:lang w:val="sr-Latn-ME"/>
        </w:rPr>
      </w:pPr>
      <w:r w:rsidRPr="00F24057">
        <w:rPr>
          <w:szCs w:val="22"/>
          <w:lang w:val="sr-Latn-ME"/>
        </w:rPr>
        <w:t xml:space="preserve">* dodatne informacije se nalaze u daljem tekstu, u </w:t>
      </w:r>
      <w:r w:rsidR="00B76FE1" w:rsidRPr="00F24057">
        <w:rPr>
          <w:szCs w:val="22"/>
          <w:lang w:val="sr-Latn-ME"/>
        </w:rPr>
        <w:t>djelovima</w:t>
      </w:r>
      <w:r w:rsidRPr="00F24057">
        <w:rPr>
          <w:szCs w:val="22"/>
          <w:lang w:val="sr-Latn-ME"/>
        </w:rPr>
        <w:t xml:space="preserve"> 4.3, 4.4 i 4.8 </w:t>
      </w:r>
    </w:p>
    <w:p w14:paraId="18DD51C0" w14:textId="77777777" w:rsidR="0040462B" w:rsidRPr="00F24057" w:rsidRDefault="0040462B" w:rsidP="00D70B34">
      <w:pPr>
        <w:rPr>
          <w:szCs w:val="22"/>
          <w:lang w:val="sr-Latn-ME"/>
        </w:rPr>
      </w:pPr>
      <w:r w:rsidRPr="00F24057">
        <w:rPr>
          <w:szCs w:val="22"/>
          <w:lang w:val="sr-Latn-ME"/>
        </w:rPr>
        <w:t xml:space="preserve">** uključujući otvorene produžene studije </w:t>
      </w:r>
    </w:p>
    <w:p w14:paraId="6B0B7FA7" w14:textId="0B23FF25" w:rsidR="000A3B36" w:rsidRPr="00F24057" w:rsidRDefault="0040462B" w:rsidP="00D70B34">
      <w:pPr>
        <w:rPr>
          <w:szCs w:val="22"/>
          <w:lang w:val="sr-Latn-ME"/>
        </w:rPr>
      </w:pPr>
      <w:r w:rsidRPr="00F24057">
        <w:rPr>
          <w:szCs w:val="22"/>
          <w:vertAlign w:val="superscript"/>
          <w:lang w:val="sr-Latn-ME"/>
        </w:rPr>
        <w:t>1)</w:t>
      </w:r>
      <w:r w:rsidRPr="00F24057">
        <w:rPr>
          <w:szCs w:val="22"/>
          <w:lang w:val="sr-Latn-ME"/>
        </w:rPr>
        <w:t xml:space="preserve"> uključujući spontane izv</w:t>
      </w:r>
      <w:r w:rsidR="00972894" w:rsidRPr="00F24057">
        <w:rPr>
          <w:szCs w:val="22"/>
          <w:lang w:val="sr-Latn-ME"/>
        </w:rPr>
        <w:t>j</w:t>
      </w:r>
      <w:r w:rsidRPr="00F24057">
        <w:rPr>
          <w:szCs w:val="22"/>
          <w:lang w:val="sr-Latn-ME"/>
        </w:rPr>
        <w:t>eštaje</w:t>
      </w:r>
    </w:p>
    <w:p w14:paraId="4F2D271E" w14:textId="36F6676A" w:rsidR="0040462B" w:rsidRPr="00F24057" w:rsidRDefault="0040462B" w:rsidP="00D70B34">
      <w:pPr>
        <w:rPr>
          <w:szCs w:val="22"/>
          <w:lang w:val="sr-Latn-ME"/>
        </w:rPr>
      </w:pPr>
      <w:r w:rsidRPr="00F24057">
        <w:rPr>
          <w:szCs w:val="22"/>
          <w:vertAlign w:val="superscript"/>
          <w:lang w:val="sr-Latn-ME"/>
        </w:rPr>
        <w:t>2)</w:t>
      </w:r>
      <w:r w:rsidRPr="00F24057">
        <w:rPr>
          <w:szCs w:val="22"/>
          <w:lang w:val="sr-Latn-ME"/>
        </w:rPr>
        <w:t xml:space="preserve"> pros</w:t>
      </w:r>
      <w:r w:rsidR="00AA29FD" w:rsidRPr="00F24057">
        <w:rPr>
          <w:szCs w:val="22"/>
          <w:lang w:val="sr-Latn-ME"/>
        </w:rPr>
        <w:t>j</w:t>
      </w:r>
      <w:r w:rsidRPr="00F24057">
        <w:rPr>
          <w:szCs w:val="22"/>
          <w:lang w:val="sr-Latn-ME"/>
        </w:rPr>
        <w:t xml:space="preserve">ečna </w:t>
      </w:r>
      <w:r w:rsidR="004F2520" w:rsidRPr="00F24057">
        <w:rPr>
          <w:szCs w:val="22"/>
          <w:lang w:val="sr-Latn-ME"/>
        </w:rPr>
        <w:t>promjen</w:t>
      </w:r>
      <w:r w:rsidRPr="00F24057">
        <w:rPr>
          <w:szCs w:val="22"/>
          <w:lang w:val="sr-Latn-ME"/>
        </w:rPr>
        <w:t xml:space="preserve">a </w:t>
      </w:r>
      <w:r w:rsidR="007E5568" w:rsidRPr="00F24057">
        <w:rPr>
          <w:szCs w:val="22"/>
          <w:lang w:val="sr-Latn-ME"/>
        </w:rPr>
        <w:t>tjeles</w:t>
      </w:r>
      <w:r w:rsidR="009359ED" w:rsidRPr="00F24057">
        <w:rPr>
          <w:szCs w:val="22"/>
          <w:lang w:val="sr-Latn-ME"/>
        </w:rPr>
        <w:t xml:space="preserve">ne </w:t>
      </w:r>
      <w:r w:rsidR="008C1DC3" w:rsidRPr="00F24057">
        <w:rPr>
          <w:szCs w:val="22"/>
          <w:lang w:val="sr-Latn-ME"/>
        </w:rPr>
        <w:t xml:space="preserve">mase </w:t>
      </w:r>
      <w:r w:rsidRPr="00F24057">
        <w:rPr>
          <w:szCs w:val="22"/>
          <w:lang w:val="sr-Latn-ME"/>
        </w:rPr>
        <w:t xml:space="preserve">u odnosu na početnu </w:t>
      </w:r>
      <w:r w:rsidR="00972894" w:rsidRPr="00F24057">
        <w:rPr>
          <w:szCs w:val="22"/>
          <w:lang w:val="sr-Latn-ME"/>
        </w:rPr>
        <w:t>vrijedno</w:t>
      </w:r>
      <w:r w:rsidRPr="00F24057">
        <w:rPr>
          <w:szCs w:val="22"/>
          <w:lang w:val="sr-Latn-ME"/>
        </w:rPr>
        <w:t xml:space="preserve">st za adalimumab kretala se od 0,3 kg do 1,0 kg za indikacije kod odraslih u poređenju sa (minus) -0,4 kg do 0,4 kg za placebo tokom perioda </w:t>
      </w:r>
      <w:r w:rsidR="00885A78" w:rsidRPr="00F24057">
        <w:rPr>
          <w:szCs w:val="22"/>
          <w:lang w:val="sr-Latn-ME"/>
        </w:rPr>
        <w:t>liječenj</w:t>
      </w:r>
      <w:r w:rsidRPr="00F24057">
        <w:rPr>
          <w:szCs w:val="22"/>
          <w:lang w:val="sr-Latn-ME"/>
        </w:rPr>
        <w:t xml:space="preserve">a od 4-6 </w:t>
      </w:r>
      <w:r w:rsidR="00885A78" w:rsidRPr="00F24057">
        <w:rPr>
          <w:szCs w:val="22"/>
          <w:lang w:val="sr-Latn-ME"/>
        </w:rPr>
        <w:t>mjesec</w:t>
      </w:r>
      <w:r w:rsidRPr="00F24057">
        <w:rPr>
          <w:szCs w:val="22"/>
          <w:lang w:val="sr-Latn-ME"/>
        </w:rPr>
        <w:t xml:space="preserve">i. Povećanje </w:t>
      </w:r>
      <w:r w:rsidR="007E5568" w:rsidRPr="00F24057">
        <w:rPr>
          <w:szCs w:val="22"/>
          <w:lang w:val="sr-Latn-ME"/>
        </w:rPr>
        <w:t>tjeles</w:t>
      </w:r>
      <w:r w:rsidR="00024B8E" w:rsidRPr="00F24057">
        <w:rPr>
          <w:szCs w:val="22"/>
          <w:lang w:val="sr-Latn-ME"/>
        </w:rPr>
        <w:t xml:space="preserve">ne </w:t>
      </w:r>
      <w:r w:rsidR="008C1DC3" w:rsidRPr="00F24057">
        <w:rPr>
          <w:szCs w:val="22"/>
          <w:lang w:val="sr-Latn-ME"/>
        </w:rPr>
        <w:t xml:space="preserve">mase </w:t>
      </w:r>
      <w:r w:rsidRPr="00F24057">
        <w:rPr>
          <w:szCs w:val="22"/>
          <w:lang w:val="sr-Latn-ME"/>
        </w:rPr>
        <w:t>od 5-6 kg je takođe p</w:t>
      </w:r>
      <w:r w:rsidR="00CB199C" w:rsidRPr="00F24057">
        <w:rPr>
          <w:szCs w:val="22"/>
          <w:lang w:val="sr-Latn-ME"/>
        </w:rPr>
        <w:t>rimijećeno</w:t>
      </w:r>
      <w:r w:rsidRPr="00F24057">
        <w:rPr>
          <w:szCs w:val="22"/>
          <w:lang w:val="sr-Latn-ME"/>
        </w:rPr>
        <w:t xml:space="preserve"> u dugoročnim produženim studijama sa srednjom izloženošću od približno 1-2 godine bez kontrolne grupe, posebno kod pacijenata sa </w:t>
      </w:r>
      <w:r w:rsidR="00DA2306" w:rsidRPr="00F24057">
        <w:rPr>
          <w:i/>
          <w:iCs/>
          <w:szCs w:val="22"/>
          <w:lang w:val="sr-Latn-ME"/>
        </w:rPr>
        <w:t>Crohn</w:t>
      </w:r>
      <w:r w:rsidR="00024B8E" w:rsidRPr="00F24057">
        <w:rPr>
          <w:szCs w:val="22"/>
          <w:lang w:val="sr-Latn-ME"/>
        </w:rPr>
        <w:t>-</w:t>
      </w:r>
      <w:r w:rsidRPr="00F24057">
        <w:rPr>
          <w:szCs w:val="22"/>
          <w:lang w:val="sr-Latn-ME"/>
        </w:rPr>
        <w:t>ovom bolešću i ulceroznim kolitisom. Mehanizam iza ovog efekta je nejasan, ali bi mogao biti povezan sa antiinflamatornim efektom adalimumaba.</w:t>
      </w:r>
    </w:p>
    <w:p w14:paraId="1F3A3F03" w14:textId="18901B54" w:rsidR="0040462B" w:rsidRPr="00F24057" w:rsidRDefault="0040462B" w:rsidP="00D70B34">
      <w:pPr>
        <w:rPr>
          <w:szCs w:val="22"/>
          <w:u w:val="single"/>
          <w:lang w:val="sr-Latn-ME"/>
        </w:rPr>
      </w:pPr>
    </w:p>
    <w:p w14:paraId="3671EB43" w14:textId="535F664E" w:rsidR="000839CB" w:rsidRPr="00F24057" w:rsidRDefault="000839CB" w:rsidP="00D70B34">
      <w:pPr>
        <w:rPr>
          <w:szCs w:val="22"/>
          <w:u w:val="single"/>
          <w:lang w:val="sr-Latn-ME"/>
        </w:rPr>
      </w:pPr>
      <w:r w:rsidRPr="00F24057">
        <w:rPr>
          <w:szCs w:val="22"/>
          <w:u w:val="single"/>
          <w:lang w:val="sr-Latn-ME"/>
        </w:rPr>
        <w:t xml:space="preserve">Gnojno zapaljenje znojnih </w:t>
      </w:r>
      <w:r w:rsidR="009A3407" w:rsidRPr="00F24057">
        <w:rPr>
          <w:szCs w:val="22"/>
          <w:u w:val="single"/>
          <w:lang w:val="sr-Latn-ME"/>
        </w:rPr>
        <w:t>žlijezd</w:t>
      </w:r>
      <w:r w:rsidRPr="00F24057">
        <w:rPr>
          <w:szCs w:val="22"/>
          <w:u w:val="single"/>
          <w:lang w:val="sr-Latn-ME"/>
        </w:rPr>
        <w:t>a (</w:t>
      </w:r>
      <w:r w:rsidRPr="00F24057">
        <w:rPr>
          <w:i/>
          <w:iCs/>
          <w:szCs w:val="22"/>
          <w:u w:val="single"/>
          <w:lang w:val="sr-Latn-ME"/>
        </w:rPr>
        <w:t>Hidradenitis suppurativa</w:t>
      </w:r>
      <w:r w:rsidRPr="00F24057">
        <w:rPr>
          <w:szCs w:val="22"/>
          <w:u w:val="single"/>
          <w:lang w:val="sr-Latn-ME"/>
        </w:rPr>
        <w:t xml:space="preserve">) </w:t>
      </w:r>
    </w:p>
    <w:p w14:paraId="0797689A" w14:textId="77777777" w:rsidR="000839CB" w:rsidRPr="00F24057" w:rsidRDefault="000839CB" w:rsidP="00D70B34">
      <w:pPr>
        <w:rPr>
          <w:szCs w:val="22"/>
          <w:lang w:val="sr-Latn-ME"/>
        </w:rPr>
      </w:pPr>
    </w:p>
    <w:p w14:paraId="1C631301" w14:textId="14C312A1" w:rsidR="000839CB" w:rsidRPr="00F24057" w:rsidRDefault="0030064A" w:rsidP="00D70B34">
      <w:pPr>
        <w:rPr>
          <w:szCs w:val="22"/>
          <w:lang w:val="sr-Latn-ME"/>
        </w:rPr>
      </w:pPr>
      <w:r w:rsidRPr="00F24057">
        <w:rPr>
          <w:szCs w:val="22"/>
          <w:lang w:val="sr-Latn-ME"/>
        </w:rPr>
        <w:t>Bezbjedno</w:t>
      </w:r>
      <w:r w:rsidR="000839CB" w:rsidRPr="00F24057">
        <w:rPr>
          <w:szCs w:val="22"/>
          <w:lang w:val="sr-Latn-ME"/>
        </w:rPr>
        <w:t xml:space="preserve">sni profil adalimumaba kod pacijenata sa gnojnim zapaljenjem znojnih </w:t>
      </w:r>
      <w:r w:rsidR="009A3407" w:rsidRPr="00F24057">
        <w:rPr>
          <w:szCs w:val="22"/>
          <w:lang w:val="sr-Latn-ME"/>
        </w:rPr>
        <w:t>žlijezd</w:t>
      </w:r>
      <w:r w:rsidR="000839CB" w:rsidRPr="00F24057">
        <w:rPr>
          <w:szCs w:val="22"/>
          <w:lang w:val="sr-Latn-ME"/>
        </w:rPr>
        <w:t xml:space="preserve">a </w:t>
      </w:r>
      <w:r w:rsidR="00885A78" w:rsidRPr="00F24057">
        <w:rPr>
          <w:szCs w:val="22"/>
          <w:lang w:val="sr-Latn-ME"/>
        </w:rPr>
        <w:t>liječe</w:t>
      </w:r>
      <w:r w:rsidR="000839CB" w:rsidRPr="00F24057">
        <w:rPr>
          <w:szCs w:val="22"/>
          <w:lang w:val="sr-Latn-ME"/>
        </w:rPr>
        <w:t xml:space="preserve">nih jednom </w:t>
      </w:r>
      <w:r w:rsidR="00885A78" w:rsidRPr="00F24057">
        <w:rPr>
          <w:szCs w:val="22"/>
          <w:lang w:val="sr-Latn-ME"/>
        </w:rPr>
        <w:t>nedjelj</w:t>
      </w:r>
      <w:r w:rsidR="000839CB" w:rsidRPr="00F24057">
        <w:rPr>
          <w:szCs w:val="22"/>
          <w:lang w:val="sr-Latn-ME"/>
        </w:rPr>
        <w:t xml:space="preserve">no bio je u skladu sa poznatim </w:t>
      </w:r>
      <w:r w:rsidRPr="00F24057">
        <w:rPr>
          <w:szCs w:val="22"/>
          <w:lang w:val="sr-Latn-ME"/>
        </w:rPr>
        <w:t>bezbjedno</w:t>
      </w:r>
      <w:r w:rsidR="000839CB" w:rsidRPr="00F24057">
        <w:rPr>
          <w:szCs w:val="22"/>
          <w:lang w:val="sr-Latn-ME"/>
        </w:rPr>
        <w:t xml:space="preserve">snim profilom adalimumaba. </w:t>
      </w:r>
    </w:p>
    <w:p w14:paraId="743A9A20" w14:textId="77777777" w:rsidR="000839CB" w:rsidRPr="00F24057" w:rsidRDefault="000839CB" w:rsidP="00D70B34">
      <w:pPr>
        <w:rPr>
          <w:szCs w:val="22"/>
          <w:lang w:val="sr-Latn-ME"/>
        </w:rPr>
      </w:pPr>
    </w:p>
    <w:p w14:paraId="006BE07D" w14:textId="77777777" w:rsidR="000839CB" w:rsidRPr="00F24057" w:rsidRDefault="000839CB" w:rsidP="00D70B34">
      <w:pPr>
        <w:rPr>
          <w:szCs w:val="22"/>
          <w:u w:val="single"/>
          <w:lang w:val="sr-Latn-ME"/>
        </w:rPr>
      </w:pPr>
      <w:r w:rsidRPr="00F24057">
        <w:rPr>
          <w:szCs w:val="22"/>
          <w:u w:val="single"/>
          <w:lang w:val="sr-Latn-ME"/>
        </w:rPr>
        <w:t xml:space="preserve">Uveitis </w:t>
      </w:r>
    </w:p>
    <w:p w14:paraId="385CD383" w14:textId="77777777" w:rsidR="000839CB" w:rsidRPr="00F24057" w:rsidRDefault="000839CB" w:rsidP="00D70B34">
      <w:pPr>
        <w:rPr>
          <w:szCs w:val="22"/>
          <w:lang w:val="sr-Latn-ME"/>
        </w:rPr>
      </w:pPr>
    </w:p>
    <w:p w14:paraId="7A708EB0" w14:textId="39759BB9" w:rsidR="000839CB" w:rsidRPr="00F24057" w:rsidRDefault="0030064A" w:rsidP="00D70B34">
      <w:pPr>
        <w:rPr>
          <w:szCs w:val="22"/>
          <w:lang w:val="sr-Latn-ME"/>
        </w:rPr>
      </w:pPr>
      <w:r w:rsidRPr="00F24057">
        <w:rPr>
          <w:szCs w:val="22"/>
          <w:lang w:val="sr-Latn-ME"/>
        </w:rPr>
        <w:t>Bezbjedno</w:t>
      </w:r>
      <w:r w:rsidR="000839CB" w:rsidRPr="00F24057">
        <w:rPr>
          <w:szCs w:val="22"/>
          <w:lang w:val="sr-Latn-ME"/>
        </w:rPr>
        <w:t xml:space="preserve">sni profil adalimumaba kod pacijenata sa uveitisom </w:t>
      </w:r>
      <w:r w:rsidR="00885A78" w:rsidRPr="00F24057">
        <w:rPr>
          <w:szCs w:val="22"/>
          <w:lang w:val="sr-Latn-ME"/>
        </w:rPr>
        <w:t>liječe</w:t>
      </w:r>
      <w:r w:rsidR="000839CB" w:rsidRPr="00F24057">
        <w:rPr>
          <w:szCs w:val="22"/>
          <w:lang w:val="sr-Latn-ME"/>
        </w:rPr>
        <w:t xml:space="preserve">nih svake druge </w:t>
      </w:r>
      <w:r w:rsidR="00885A78" w:rsidRPr="00F24057">
        <w:rPr>
          <w:szCs w:val="22"/>
          <w:lang w:val="sr-Latn-ME"/>
        </w:rPr>
        <w:t>nedjelj</w:t>
      </w:r>
      <w:r w:rsidR="000839CB" w:rsidRPr="00F24057">
        <w:rPr>
          <w:szCs w:val="22"/>
          <w:lang w:val="sr-Latn-ME"/>
        </w:rPr>
        <w:t xml:space="preserve">e bio je u skladu sa poznatim </w:t>
      </w:r>
      <w:r w:rsidRPr="00F24057">
        <w:rPr>
          <w:szCs w:val="22"/>
          <w:lang w:val="sr-Latn-ME"/>
        </w:rPr>
        <w:t>bezbjedno</w:t>
      </w:r>
      <w:r w:rsidR="000839CB" w:rsidRPr="00F24057">
        <w:rPr>
          <w:szCs w:val="22"/>
          <w:lang w:val="sr-Latn-ME"/>
        </w:rPr>
        <w:t xml:space="preserve">snim profilom adalimumaba. </w:t>
      </w:r>
    </w:p>
    <w:p w14:paraId="7A8E3A96" w14:textId="77777777" w:rsidR="000839CB" w:rsidRPr="00F24057" w:rsidRDefault="000839CB" w:rsidP="00D70B34">
      <w:pPr>
        <w:rPr>
          <w:szCs w:val="22"/>
          <w:lang w:val="sr-Latn-ME"/>
        </w:rPr>
      </w:pPr>
    </w:p>
    <w:p w14:paraId="38FB1923" w14:textId="77777777" w:rsidR="000839CB" w:rsidRPr="00F24057" w:rsidRDefault="000839CB" w:rsidP="00D70B34">
      <w:pPr>
        <w:rPr>
          <w:szCs w:val="22"/>
          <w:u w:val="single"/>
          <w:lang w:val="sr-Latn-ME"/>
        </w:rPr>
      </w:pPr>
      <w:r w:rsidRPr="00F24057">
        <w:rPr>
          <w:szCs w:val="22"/>
          <w:u w:val="single"/>
          <w:lang w:val="sr-Latn-ME"/>
        </w:rPr>
        <w:t xml:space="preserve">Opis odabranih neželjenih reakcija </w:t>
      </w:r>
    </w:p>
    <w:p w14:paraId="64C99ECD" w14:textId="77777777" w:rsidR="000839CB" w:rsidRPr="00F24057" w:rsidRDefault="000839CB" w:rsidP="00D70B34">
      <w:pPr>
        <w:rPr>
          <w:szCs w:val="22"/>
          <w:lang w:val="sr-Latn-ME"/>
        </w:rPr>
      </w:pPr>
    </w:p>
    <w:p w14:paraId="51E4ABB4" w14:textId="192D0CB6" w:rsidR="000839CB" w:rsidRPr="00F24057" w:rsidRDefault="000839CB" w:rsidP="00D70B34">
      <w:pPr>
        <w:rPr>
          <w:i/>
          <w:iCs/>
          <w:szCs w:val="22"/>
          <w:lang w:val="sr-Latn-ME"/>
        </w:rPr>
      </w:pPr>
      <w:r w:rsidRPr="00F24057">
        <w:rPr>
          <w:i/>
          <w:iCs/>
          <w:szCs w:val="22"/>
          <w:lang w:val="sr-Latn-ME"/>
        </w:rPr>
        <w:t xml:space="preserve">Reakcije na </w:t>
      </w:r>
      <w:r w:rsidR="00972894" w:rsidRPr="00F24057">
        <w:rPr>
          <w:i/>
          <w:iCs/>
          <w:szCs w:val="22"/>
          <w:lang w:val="sr-Latn-ME"/>
        </w:rPr>
        <w:t>mjest</w:t>
      </w:r>
      <w:r w:rsidRPr="00F24057">
        <w:rPr>
          <w:i/>
          <w:iCs/>
          <w:szCs w:val="22"/>
          <w:lang w:val="sr-Latn-ME"/>
        </w:rPr>
        <w:t xml:space="preserve">u </w:t>
      </w:r>
      <w:r w:rsidR="0030064A" w:rsidRPr="00F24057">
        <w:rPr>
          <w:i/>
          <w:iCs/>
          <w:szCs w:val="22"/>
          <w:lang w:val="sr-Latn-ME"/>
        </w:rPr>
        <w:t>primjen</w:t>
      </w:r>
      <w:r w:rsidRPr="00F24057">
        <w:rPr>
          <w:i/>
          <w:iCs/>
          <w:szCs w:val="22"/>
          <w:lang w:val="sr-Latn-ME"/>
        </w:rPr>
        <w:t xml:space="preserve">e injekcije </w:t>
      </w:r>
    </w:p>
    <w:p w14:paraId="31C887EF" w14:textId="60C5864E" w:rsidR="000839CB" w:rsidRPr="00F24057" w:rsidRDefault="000839CB" w:rsidP="00D70B34">
      <w:pPr>
        <w:rPr>
          <w:szCs w:val="22"/>
          <w:lang w:val="sr-Latn-ME"/>
        </w:rPr>
      </w:pPr>
      <w:r w:rsidRPr="00F24057">
        <w:rPr>
          <w:szCs w:val="22"/>
          <w:lang w:val="sr-Latn-ME"/>
        </w:rPr>
        <w:t xml:space="preserve">U pivotalnim kontrolisanim studijama kod odraslih pacijenata i </w:t>
      </w:r>
      <w:r w:rsidR="0030064A" w:rsidRPr="00F24057">
        <w:rPr>
          <w:szCs w:val="22"/>
          <w:lang w:val="sr-Latn-ME"/>
        </w:rPr>
        <w:t>djece</w:t>
      </w:r>
      <w:r w:rsidRPr="00F24057">
        <w:rPr>
          <w:szCs w:val="22"/>
          <w:lang w:val="sr-Latn-ME"/>
        </w:rPr>
        <w:t xml:space="preserve"> </w:t>
      </w:r>
      <w:r w:rsidR="00885A78" w:rsidRPr="00F24057">
        <w:rPr>
          <w:szCs w:val="22"/>
          <w:lang w:val="sr-Latn-ME"/>
        </w:rPr>
        <w:t>liječe</w:t>
      </w:r>
      <w:r w:rsidRPr="00F24057">
        <w:rPr>
          <w:szCs w:val="22"/>
          <w:lang w:val="sr-Latn-ME"/>
        </w:rPr>
        <w:t>nih adalimumabom pojavile su se reakcije na m</w:t>
      </w:r>
      <w:r w:rsidR="00AA29FD" w:rsidRPr="00F24057">
        <w:rPr>
          <w:szCs w:val="22"/>
          <w:lang w:val="sr-Latn-ME"/>
        </w:rPr>
        <w:t>j</w:t>
      </w:r>
      <w:r w:rsidRPr="00F24057">
        <w:rPr>
          <w:szCs w:val="22"/>
          <w:lang w:val="sr-Latn-ME"/>
        </w:rPr>
        <w:t xml:space="preserve">estu </w:t>
      </w:r>
      <w:r w:rsidR="0030064A" w:rsidRPr="00F24057">
        <w:rPr>
          <w:szCs w:val="22"/>
          <w:lang w:val="sr-Latn-ME"/>
        </w:rPr>
        <w:t>primjen</w:t>
      </w:r>
      <w:r w:rsidRPr="00F24057">
        <w:rPr>
          <w:szCs w:val="22"/>
          <w:lang w:val="sr-Latn-ME"/>
        </w:rPr>
        <w:t xml:space="preserve">e injekcije kod 12,9% pacijenata (eritem i/ili svrab, krvarenje, bol ili otok), u poređenju sa 7,2% pacijenata koji su primali placebo ili aktivnu kontrolu. Obično nije bilo potrebno da se obustavi davanje </w:t>
      </w:r>
      <w:r w:rsidR="00885A78" w:rsidRPr="00F24057">
        <w:rPr>
          <w:szCs w:val="22"/>
          <w:lang w:val="sr-Latn-ME"/>
        </w:rPr>
        <w:t xml:space="preserve">lijeka </w:t>
      </w:r>
      <w:r w:rsidRPr="00F24057">
        <w:rPr>
          <w:szCs w:val="22"/>
          <w:lang w:val="sr-Latn-ME"/>
        </w:rPr>
        <w:t xml:space="preserve">zbog reakcije na </w:t>
      </w:r>
      <w:r w:rsidR="00972894" w:rsidRPr="00F24057">
        <w:rPr>
          <w:szCs w:val="22"/>
          <w:lang w:val="sr-Latn-ME"/>
        </w:rPr>
        <w:t>mjest</w:t>
      </w:r>
      <w:r w:rsidRPr="00F24057">
        <w:rPr>
          <w:szCs w:val="22"/>
          <w:lang w:val="sr-Latn-ME"/>
        </w:rPr>
        <w:t xml:space="preserve">u </w:t>
      </w:r>
      <w:r w:rsidR="0030064A" w:rsidRPr="00F24057">
        <w:rPr>
          <w:szCs w:val="22"/>
          <w:lang w:val="sr-Latn-ME"/>
        </w:rPr>
        <w:t>primjen</w:t>
      </w:r>
      <w:r w:rsidRPr="00F24057">
        <w:rPr>
          <w:szCs w:val="22"/>
          <w:lang w:val="sr-Latn-ME"/>
        </w:rPr>
        <w:t xml:space="preserve">e injekcije. </w:t>
      </w:r>
    </w:p>
    <w:p w14:paraId="0D476DCD" w14:textId="77777777" w:rsidR="000839CB" w:rsidRPr="00F24057" w:rsidRDefault="000839CB" w:rsidP="00D70B34">
      <w:pPr>
        <w:rPr>
          <w:szCs w:val="22"/>
          <w:lang w:val="sr-Latn-ME"/>
        </w:rPr>
      </w:pPr>
    </w:p>
    <w:p w14:paraId="65B1C39B" w14:textId="77777777" w:rsidR="000839CB" w:rsidRPr="00F24057" w:rsidRDefault="000839CB" w:rsidP="00D70B34">
      <w:pPr>
        <w:rPr>
          <w:i/>
          <w:iCs/>
          <w:szCs w:val="22"/>
          <w:lang w:val="sr-Latn-ME"/>
        </w:rPr>
      </w:pPr>
      <w:r w:rsidRPr="00F24057">
        <w:rPr>
          <w:i/>
          <w:iCs/>
          <w:szCs w:val="22"/>
          <w:lang w:val="sr-Latn-ME"/>
        </w:rPr>
        <w:t xml:space="preserve">Infekcije </w:t>
      </w:r>
    </w:p>
    <w:p w14:paraId="6B7512B2" w14:textId="0A5A2848" w:rsidR="0040462B" w:rsidRPr="00F24057" w:rsidRDefault="000839CB" w:rsidP="00D70B34">
      <w:pPr>
        <w:rPr>
          <w:szCs w:val="22"/>
          <w:u w:val="single"/>
          <w:lang w:val="sr-Latn-ME"/>
        </w:rPr>
      </w:pPr>
      <w:r w:rsidRPr="00F24057">
        <w:rPr>
          <w:szCs w:val="22"/>
          <w:lang w:val="sr-Latn-ME"/>
        </w:rPr>
        <w:t xml:space="preserve">U pivotalnim kontrolisanim studijama, kod odraslih i </w:t>
      </w:r>
      <w:r w:rsidR="0030064A" w:rsidRPr="00F24057">
        <w:rPr>
          <w:szCs w:val="22"/>
          <w:lang w:val="sr-Latn-ME"/>
        </w:rPr>
        <w:t>djece</w:t>
      </w:r>
      <w:r w:rsidRPr="00F24057">
        <w:rPr>
          <w:szCs w:val="22"/>
          <w:lang w:val="sr-Latn-ME"/>
        </w:rPr>
        <w:t xml:space="preserve">, stopa infekcija je bila 1,51 po pacijent-godini kod pacijenata </w:t>
      </w:r>
      <w:r w:rsidR="00885A78" w:rsidRPr="00F24057">
        <w:rPr>
          <w:szCs w:val="22"/>
          <w:lang w:val="sr-Latn-ME"/>
        </w:rPr>
        <w:t>liječe</w:t>
      </w:r>
      <w:r w:rsidRPr="00F24057">
        <w:rPr>
          <w:szCs w:val="22"/>
          <w:lang w:val="sr-Latn-ME"/>
        </w:rPr>
        <w:t xml:space="preserve">nih adalimumabom i 1,46 po pacijent-godini kod pacijenata koji su primali placebo ili aktivnu kontrolu. Najčešće infekcije su bile nazofaringitis, infekcije gornjeg respiratornog trakta i sinuzitis. Nakon saniranja infekcije većina pacijenata je nastavila </w:t>
      </w:r>
      <w:r w:rsidR="0030064A" w:rsidRPr="00F24057">
        <w:rPr>
          <w:szCs w:val="22"/>
          <w:lang w:val="sr-Latn-ME"/>
        </w:rPr>
        <w:t>liječenje</w:t>
      </w:r>
      <w:r w:rsidRPr="00F24057">
        <w:rPr>
          <w:szCs w:val="22"/>
          <w:lang w:val="sr-Latn-ME"/>
        </w:rPr>
        <w:t xml:space="preserve"> adalimumabom.</w:t>
      </w:r>
    </w:p>
    <w:p w14:paraId="343155E9" w14:textId="77777777" w:rsidR="000839CB" w:rsidRPr="00F24057" w:rsidRDefault="000839CB" w:rsidP="00D70B34">
      <w:pPr>
        <w:rPr>
          <w:szCs w:val="22"/>
          <w:lang w:val="sr-Latn-ME"/>
        </w:rPr>
      </w:pPr>
    </w:p>
    <w:p w14:paraId="611A59BB" w14:textId="7AC5E467" w:rsidR="000839CB" w:rsidRPr="00F24057" w:rsidRDefault="000839CB" w:rsidP="00D70B34">
      <w:pPr>
        <w:rPr>
          <w:szCs w:val="22"/>
          <w:lang w:val="sr-Latn-ME"/>
        </w:rPr>
      </w:pPr>
      <w:r w:rsidRPr="00F24057">
        <w:rPr>
          <w:szCs w:val="22"/>
          <w:lang w:val="sr-Latn-ME"/>
        </w:rPr>
        <w:t xml:space="preserve">Učestalost ozbiljnih infekcija je bila 0,04 po pacijent-godini kod pacijenata </w:t>
      </w:r>
      <w:r w:rsidR="00885A78" w:rsidRPr="00F24057">
        <w:rPr>
          <w:szCs w:val="22"/>
          <w:lang w:val="sr-Latn-ME"/>
        </w:rPr>
        <w:t>liječe</w:t>
      </w:r>
      <w:r w:rsidRPr="00F24057">
        <w:rPr>
          <w:szCs w:val="22"/>
          <w:lang w:val="sr-Latn-ME"/>
        </w:rPr>
        <w:t xml:space="preserve">nih adalimumabom i 0,03 po pacijent-godini kod pacijenata koji su primali placebo ili aktivnu kontrolu. </w:t>
      </w:r>
    </w:p>
    <w:p w14:paraId="23E3F1B2" w14:textId="77777777" w:rsidR="000839CB" w:rsidRPr="00F24057" w:rsidRDefault="000839CB" w:rsidP="00D70B34">
      <w:pPr>
        <w:rPr>
          <w:szCs w:val="22"/>
          <w:lang w:val="sr-Latn-ME"/>
        </w:rPr>
      </w:pPr>
    </w:p>
    <w:p w14:paraId="1AFA7C69" w14:textId="7EFFF62F" w:rsidR="000839CB" w:rsidRPr="00F24057" w:rsidRDefault="000839CB" w:rsidP="00D70B34">
      <w:pPr>
        <w:rPr>
          <w:szCs w:val="22"/>
          <w:lang w:val="sr-Latn-ME"/>
        </w:rPr>
      </w:pPr>
      <w:r w:rsidRPr="00F24057">
        <w:rPr>
          <w:szCs w:val="22"/>
          <w:lang w:val="sr-Latn-ME"/>
        </w:rPr>
        <w:t xml:space="preserve">U kontrolisanim, otvorenim studijama sa adalimumabom kod odraslih i </w:t>
      </w:r>
      <w:r w:rsidR="0030064A" w:rsidRPr="00F24057">
        <w:rPr>
          <w:szCs w:val="22"/>
          <w:lang w:val="sr-Latn-ME"/>
        </w:rPr>
        <w:t>djece</w:t>
      </w:r>
      <w:r w:rsidRPr="00F24057">
        <w:rPr>
          <w:szCs w:val="22"/>
          <w:lang w:val="sr-Latn-ME"/>
        </w:rPr>
        <w:t xml:space="preserve">, prijavljivane su ozbiljne infekcije (uključujući infekcije sa smrtnim ishodom, koje su se </w:t>
      </w:r>
      <w:r w:rsidR="004F2520" w:rsidRPr="00F24057">
        <w:rPr>
          <w:szCs w:val="22"/>
          <w:lang w:val="sr-Latn-ME"/>
        </w:rPr>
        <w:t>rijetk</w:t>
      </w:r>
      <w:r w:rsidRPr="00F24057">
        <w:rPr>
          <w:szCs w:val="22"/>
          <w:lang w:val="sr-Latn-ME"/>
        </w:rPr>
        <w:t>o javljale), uključujući izv</w:t>
      </w:r>
      <w:r w:rsidR="00972894" w:rsidRPr="00F24057">
        <w:rPr>
          <w:szCs w:val="22"/>
          <w:lang w:val="sr-Latn-ME"/>
        </w:rPr>
        <w:t>j</w:t>
      </w:r>
      <w:r w:rsidRPr="00F24057">
        <w:rPr>
          <w:szCs w:val="22"/>
          <w:lang w:val="sr-Latn-ME"/>
        </w:rPr>
        <w:t>eštaje o tuberk</w:t>
      </w:r>
      <w:r w:rsidR="005A7C87" w:rsidRPr="00F24057">
        <w:rPr>
          <w:szCs w:val="22"/>
          <w:lang w:val="sr-Latn-ME"/>
        </w:rPr>
        <w:t>u</w:t>
      </w:r>
      <w:r w:rsidRPr="00F24057">
        <w:rPr>
          <w:szCs w:val="22"/>
          <w:lang w:val="sr-Latn-ME"/>
        </w:rPr>
        <w:t xml:space="preserve">lozi (uključujući milijarnu i ekstra-pulmonalnu lokalizaciju) i invazivne oportunističke infekcije (npr. diseminovana ili ekstrapulmonarna histoplazmoza, blastomikoza, kokcidioidomikoza, pneumocistis, kandidijaza, aspergiloza i listerioza). Većina slučajeva tuberkuloze se javila u prvih osam </w:t>
      </w:r>
      <w:r w:rsidR="00885A78" w:rsidRPr="00F24057">
        <w:rPr>
          <w:szCs w:val="22"/>
          <w:lang w:val="sr-Latn-ME"/>
        </w:rPr>
        <w:t>mjesec</w:t>
      </w:r>
      <w:r w:rsidRPr="00F24057">
        <w:rPr>
          <w:szCs w:val="22"/>
          <w:lang w:val="sr-Latn-ME"/>
        </w:rPr>
        <w:t xml:space="preserve">i od započete terapije i može predstavljati aktiviranje latentne bolesti. </w:t>
      </w:r>
    </w:p>
    <w:p w14:paraId="4F243DAC" w14:textId="77777777" w:rsidR="000839CB" w:rsidRPr="00F24057" w:rsidRDefault="000839CB" w:rsidP="00D70B34">
      <w:pPr>
        <w:rPr>
          <w:szCs w:val="22"/>
          <w:lang w:val="sr-Latn-ME"/>
        </w:rPr>
      </w:pPr>
    </w:p>
    <w:p w14:paraId="1BD70165" w14:textId="77777777" w:rsidR="000839CB" w:rsidRPr="00F24057" w:rsidRDefault="000839CB" w:rsidP="00D70B34">
      <w:pPr>
        <w:rPr>
          <w:i/>
          <w:iCs/>
          <w:szCs w:val="22"/>
          <w:lang w:val="sr-Latn-ME"/>
        </w:rPr>
      </w:pPr>
      <w:r w:rsidRPr="00F24057">
        <w:rPr>
          <w:i/>
          <w:iCs/>
          <w:szCs w:val="22"/>
          <w:lang w:val="sr-Latn-ME"/>
        </w:rPr>
        <w:t xml:space="preserve">Maligne i limfoproliferativne bolesti </w:t>
      </w:r>
    </w:p>
    <w:p w14:paraId="272644FE" w14:textId="5072F112" w:rsidR="000839CB" w:rsidRPr="00F24057" w:rsidRDefault="000839CB" w:rsidP="00D70B34">
      <w:pPr>
        <w:rPr>
          <w:szCs w:val="22"/>
          <w:lang w:val="sr-Latn-ME"/>
        </w:rPr>
      </w:pPr>
      <w:r w:rsidRPr="00F24057">
        <w:rPr>
          <w:szCs w:val="22"/>
          <w:lang w:val="sr-Latn-ME"/>
        </w:rPr>
        <w:t xml:space="preserve">U </w:t>
      </w:r>
      <w:r w:rsidR="00C35057" w:rsidRPr="00F24057">
        <w:rPr>
          <w:szCs w:val="22"/>
          <w:lang w:val="sr-Latn-ME"/>
        </w:rPr>
        <w:t>studijama</w:t>
      </w:r>
      <w:r w:rsidRPr="00F24057">
        <w:rPr>
          <w:szCs w:val="22"/>
          <w:lang w:val="sr-Latn-ME"/>
        </w:rPr>
        <w:t xml:space="preserve"> sa adalimumabom kod 249 pedijatrijskih pacijenata, sa juvenilnim idiopatskim artritisom (poliartikularnim juvenilnim idiopatskim artritisom i artritisom povezanim sa entezitisom), nisu prijavljivani maligniteti tokom 655,6 pacijent-godina. Takođe, nisu prijavljivani maligniteti u studiji sa adalimumabom sa 192 pedijatrijska pacijenta sa </w:t>
      </w:r>
      <w:r w:rsidR="00DA2306" w:rsidRPr="00F24057">
        <w:rPr>
          <w:i/>
          <w:iCs/>
          <w:szCs w:val="22"/>
          <w:lang w:val="sr-Latn-ME"/>
        </w:rPr>
        <w:t>Crohn</w:t>
      </w:r>
      <w:r w:rsidRPr="00F24057">
        <w:rPr>
          <w:szCs w:val="22"/>
          <w:lang w:val="sr-Latn-ME"/>
        </w:rPr>
        <w:t xml:space="preserve">-ovom bolešću, tokom 498,1 pacijent-godina. Maligne bolesti nisu </w:t>
      </w:r>
      <w:r w:rsidR="00911D74" w:rsidRPr="00F24057">
        <w:rPr>
          <w:szCs w:val="22"/>
          <w:lang w:val="sr-Latn-ME"/>
        </w:rPr>
        <w:t>primijećene</w:t>
      </w:r>
      <w:r w:rsidRPr="00F24057">
        <w:rPr>
          <w:szCs w:val="22"/>
          <w:lang w:val="sr-Latn-ME"/>
        </w:rPr>
        <w:t xml:space="preserve"> ni kod 77 pedijatrijskih pacijenata sa izloženošću od 80,0 pacijent-godina u ispitivanju adalimumaba sprovedenim na pedijatrijskim pacijentima sa hroničnom plak psorijazom. </w:t>
      </w:r>
      <w:r w:rsidR="00E8103B" w:rsidRPr="00F24057">
        <w:rPr>
          <w:szCs w:val="22"/>
          <w:lang w:val="sr-Latn-ME"/>
        </w:rPr>
        <w:t xml:space="preserve">Maligne bolesti nisu </w:t>
      </w:r>
      <w:r w:rsidR="00911D74" w:rsidRPr="00F24057">
        <w:rPr>
          <w:szCs w:val="22"/>
          <w:lang w:val="sr-Latn-ME"/>
        </w:rPr>
        <w:t>primijećene</w:t>
      </w:r>
      <w:r w:rsidR="00E8103B" w:rsidRPr="00F24057">
        <w:rPr>
          <w:szCs w:val="22"/>
          <w:lang w:val="sr-Latn-ME"/>
        </w:rPr>
        <w:t xml:space="preserve"> ni kod 93 </w:t>
      </w:r>
      <w:r w:rsidR="008C1DC3" w:rsidRPr="00F24057">
        <w:rPr>
          <w:szCs w:val="22"/>
          <w:lang w:val="sr-Latn-ME"/>
        </w:rPr>
        <w:t xml:space="preserve">pedijatrijska </w:t>
      </w:r>
      <w:r w:rsidR="00E8103B" w:rsidRPr="00F24057">
        <w:rPr>
          <w:szCs w:val="22"/>
          <w:lang w:val="sr-Latn-ME"/>
        </w:rPr>
        <w:t xml:space="preserve">pacijenta sa izloženošću od 65,3 pacijent-godina u ispitivanju adalimumaba sprovedenim na pedijatrijskim pacijentima sa ulceroznim kolitisom. </w:t>
      </w:r>
      <w:r w:rsidRPr="00F24057">
        <w:rPr>
          <w:szCs w:val="22"/>
          <w:lang w:val="sr-Latn-ME"/>
        </w:rPr>
        <w:t xml:space="preserve">Nije </w:t>
      </w:r>
      <w:r w:rsidR="00456A69" w:rsidRPr="00F24057">
        <w:rPr>
          <w:szCs w:val="22"/>
          <w:lang w:val="sr-Latn-ME"/>
        </w:rPr>
        <w:t>primijećena</w:t>
      </w:r>
      <w:r w:rsidRPr="00F24057">
        <w:rPr>
          <w:szCs w:val="22"/>
          <w:lang w:val="sr-Latn-ME"/>
        </w:rPr>
        <w:t xml:space="preserve"> pojava malignih bolesti kod 60 pedijatrijskih pacijenata sa izloženošću od 58,4 pacijent-godina u ispitivanju adalimumaba sprovedenom kod pedijatrijskih pacijenata sa uveitisom. </w:t>
      </w:r>
    </w:p>
    <w:p w14:paraId="413016E0" w14:textId="77777777" w:rsidR="000839CB" w:rsidRPr="00F24057" w:rsidRDefault="000839CB" w:rsidP="00D70B34">
      <w:pPr>
        <w:rPr>
          <w:szCs w:val="22"/>
          <w:lang w:val="sr-Latn-ME"/>
        </w:rPr>
      </w:pPr>
    </w:p>
    <w:p w14:paraId="7871648A" w14:textId="5C404095" w:rsidR="000839CB" w:rsidRPr="00F24057" w:rsidRDefault="000839CB" w:rsidP="00D70B34">
      <w:pPr>
        <w:rPr>
          <w:szCs w:val="22"/>
          <w:lang w:val="sr-Latn-ME"/>
        </w:rPr>
      </w:pPr>
      <w:r w:rsidRPr="00F24057">
        <w:rPr>
          <w:szCs w:val="22"/>
          <w:lang w:val="sr-Latn-ME"/>
        </w:rPr>
        <w:t xml:space="preserve">U kontrolisanim </w:t>
      </w:r>
      <w:r w:rsidR="00B76FE1" w:rsidRPr="00F24057">
        <w:rPr>
          <w:szCs w:val="22"/>
          <w:lang w:val="sr-Latn-ME"/>
        </w:rPr>
        <w:t>djelovima</w:t>
      </w:r>
      <w:r w:rsidRPr="00F24057">
        <w:rPr>
          <w:szCs w:val="22"/>
          <w:lang w:val="sr-Latn-ME"/>
        </w:rPr>
        <w:t xml:space="preserve"> pivotalnih ispitivanja, kod odraslih, koje su trajale bar 12 </w:t>
      </w:r>
      <w:r w:rsidR="00885A78" w:rsidRPr="00F24057">
        <w:rPr>
          <w:szCs w:val="22"/>
          <w:lang w:val="sr-Latn-ME"/>
        </w:rPr>
        <w:t>nedjelj</w:t>
      </w:r>
      <w:r w:rsidRPr="00F24057">
        <w:rPr>
          <w:szCs w:val="22"/>
          <w:lang w:val="sr-Latn-ME"/>
        </w:rPr>
        <w:t>a kod pacijenata sa u</w:t>
      </w:r>
      <w:r w:rsidR="0030064A" w:rsidRPr="00F24057">
        <w:rPr>
          <w:szCs w:val="22"/>
          <w:lang w:val="sr-Latn-ME"/>
        </w:rPr>
        <w:t>mjeren</w:t>
      </w:r>
      <w:r w:rsidRPr="00F24057">
        <w:rPr>
          <w:szCs w:val="22"/>
          <w:lang w:val="sr-Latn-ME"/>
        </w:rPr>
        <w:t xml:space="preserve">im do teškim aktivnim reumatoidnim artritisom, ankilozirajućim spondilitisom, aksijalnim spondiloartritisom bez radiografskog dokaza AS, psorijaznim artritisom, psorijazom, gnojnim zapaljenjem znojnih </w:t>
      </w:r>
      <w:r w:rsidR="009A3407" w:rsidRPr="00F24057">
        <w:rPr>
          <w:szCs w:val="22"/>
          <w:lang w:val="sr-Latn-ME"/>
        </w:rPr>
        <w:t>žlijezd</w:t>
      </w:r>
      <w:r w:rsidRPr="00F24057">
        <w:rPr>
          <w:szCs w:val="22"/>
          <w:lang w:val="sr-Latn-ME"/>
        </w:rPr>
        <w:t>a (</w:t>
      </w:r>
      <w:r w:rsidRPr="00F24057">
        <w:rPr>
          <w:i/>
          <w:iCs/>
          <w:szCs w:val="22"/>
          <w:lang w:val="sr-Latn-ME"/>
        </w:rPr>
        <w:t>hidradenitis suppurativa</w:t>
      </w:r>
      <w:r w:rsidRPr="00F24057">
        <w:rPr>
          <w:szCs w:val="22"/>
          <w:lang w:val="sr-Latn-ME"/>
        </w:rPr>
        <w:t xml:space="preserve">), </w:t>
      </w:r>
      <w:r w:rsidR="00DA2306" w:rsidRPr="00F24057">
        <w:rPr>
          <w:i/>
          <w:iCs/>
          <w:szCs w:val="22"/>
          <w:lang w:val="sr-Latn-ME"/>
        </w:rPr>
        <w:t>Crohn</w:t>
      </w:r>
      <w:r w:rsidRPr="00F24057">
        <w:rPr>
          <w:szCs w:val="22"/>
          <w:lang w:val="sr-Latn-ME"/>
        </w:rPr>
        <w:t xml:space="preserve">-ovom bolešću, ulceroznim kolitisom i uveitisom, </w:t>
      </w:r>
      <w:r w:rsidR="00456A69" w:rsidRPr="00F24057">
        <w:rPr>
          <w:szCs w:val="22"/>
          <w:lang w:val="sr-Latn-ME"/>
        </w:rPr>
        <w:t>primijećena</w:t>
      </w:r>
      <w:r w:rsidRPr="00F24057">
        <w:rPr>
          <w:szCs w:val="22"/>
          <w:lang w:val="sr-Latn-ME"/>
        </w:rPr>
        <w:t xml:space="preserve"> je pojava malignih bolesti, isključujući limfome i nemelanomske kancere kože, u učestalosti (interval pouzdanosti 95%) od 6,8 (4,4; 10,5) na 1000 pacijent-godina terapije među 5291 pacijenta </w:t>
      </w:r>
      <w:r w:rsidR="00885A78" w:rsidRPr="00F24057">
        <w:rPr>
          <w:szCs w:val="22"/>
          <w:lang w:val="sr-Latn-ME"/>
        </w:rPr>
        <w:t>liječe</w:t>
      </w:r>
      <w:r w:rsidRPr="00F24057">
        <w:rPr>
          <w:szCs w:val="22"/>
          <w:lang w:val="sr-Latn-ME"/>
        </w:rPr>
        <w:t xml:space="preserve">nih adalimumabom, odnosno 6,3 (3,4; 11,8) na 1000 pacijent-godina među 3444 pacijenta iz kontrolne grupe (medijana trajanja terapije je bila 4,0 </w:t>
      </w:r>
      <w:r w:rsidR="00885A78" w:rsidRPr="00F24057">
        <w:rPr>
          <w:szCs w:val="22"/>
          <w:lang w:val="sr-Latn-ME"/>
        </w:rPr>
        <w:t>mjesec</w:t>
      </w:r>
      <w:r w:rsidRPr="00F24057">
        <w:rPr>
          <w:szCs w:val="22"/>
          <w:lang w:val="sr-Latn-ME"/>
        </w:rPr>
        <w:t xml:space="preserve">a kod pacijenata koji su primali adalimumab i 3,8 </w:t>
      </w:r>
      <w:r w:rsidR="00885A78" w:rsidRPr="00F24057">
        <w:rPr>
          <w:szCs w:val="22"/>
          <w:lang w:val="sr-Latn-ME"/>
        </w:rPr>
        <w:t>mjesec</w:t>
      </w:r>
      <w:r w:rsidRPr="00F24057">
        <w:rPr>
          <w:szCs w:val="22"/>
          <w:lang w:val="sr-Latn-ME"/>
        </w:rPr>
        <w:t xml:space="preserve">i u kontrolnoj grupi). Učestalost (interval pouzdanosti 95%) nemelanomskog kancera kože je bila 8,8 (6,0; 13,0) na 1000 pacijent godina među pacijentima </w:t>
      </w:r>
      <w:r w:rsidR="00885A78" w:rsidRPr="00F24057">
        <w:rPr>
          <w:szCs w:val="22"/>
          <w:lang w:val="sr-Latn-ME"/>
        </w:rPr>
        <w:t>liječe</w:t>
      </w:r>
      <w:r w:rsidRPr="00F24057">
        <w:rPr>
          <w:szCs w:val="22"/>
          <w:lang w:val="sr-Latn-ME"/>
        </w:rPr>
        <w:t xml:space="preserve">nim adalimumabom i 3,2 (1,3; 7,6) na 1000 pacijent-godina među kontrolnim pacijentima. Od ovih kancera kože, karcinom skvamoznih ćelija je bio prisutan u učestalosti (interval pouzdanosti 95%) od 2,7 (1,4; 5,4) na 1000 pacijent-godina kod pacijenata </w:t>
      </w:r>
      <w:r w:rsidR="00885A78" w:rsidRPr="00F24057">
        <w:rPr>
          <w:szCs w:val="22"/>
          <w:lang w:val="sr-Latn-ME"/>
        </w:rPr>
        <w:t>liječe</w:t>
      </w:r>
      <w:r w:rsidRPr="00F24057">
        <w:rPr>
          <w:szCs w:val="22"/>
          <w:lang w:val="sr-Latn-ME"/>
        </w:rPr>
        <w:t xml:space="preserve">nih adalimumabom i kod 0,6 (0,1; 4,5) na 1000 pacijent-godina kod kontrolnih pacijenata. Učestalost (interval pouzdanosti 95%) limfoma je bila 0,7 (0,2; 2,7) na 1000 pacijent-godina među pacijentima </w:t>
      </w:r>
      <w:r w:rsidR="00885A78" w:rsidRPr="00F24057">
        <w:rPr>
          <w:szCs w:val="22"/>
          <w:lang w:val="sr-Latn-ME"/>
        </w:rPr>
        <w:t>liječe</w:t>
      </w:r>
      <w:r w:rsidRPr="00F24057">
        <w:rPr>
          <w:szCs w:val="22"/>
          <w:lang w:val="sr-Latn-ME"/>
        </w:rPr>
        <w:t xml:space="preserve">nim adalimumabom i 0,6 (0,1; 4,5) na 1000 pacijent-godina među kontrolnim pacijentima. </w:t>
      </w:r>
    </w:p>
    <w:p w14:paraId="591F7955" w14:textId="77777777" w:rsidR="000839CB" w:rsidRPr="00F24057" w:rsidRDefault="000839CB" w:rsidP="00D70B34">
      <w:pPr>
        <w:rPr>
          <w:szCs w:val="22"/>
          <w:lang w:val="sr-Latn-ME"/>
        </w:rPr>
      </w:pPr>
    </w:p>
    <w:p w14:paraId="4126D0F3" w14:textId="14DBD845" w:rsidR="000839CB" w:rsidRPr="00F24057" w:rsidRDefault="000839CB" w:rsidP="00D70B34">
      <w:pPr>
        <w:rPr>
          <w:szCs w:val="22"/>
          <w:lang w:val="sr-Latn-ME"/>
        </w:rPr>
      </w:pPr>
      <w:r w:rsidRPr="00F24057">
        <w:rPr>
          <w:szCs w:val="22"/>
          <w:lang w:val="sr-Latn-ME"/>
        </w:rPr>
        <w:t xml:space="preserve">Kada se kombinuju kontrolisani </w:t>
      </w:r>
      <w:r w:rsidR="00B43518" w:rsidRPr="00F24057">
        <w:rPr>
          <w:szCs w:val="22"/>
          <w:lang w:val="sr-Latn-ME"/>
        </w:rPr>
        <w:t>djelovi</w:t>
      </w:r>
      <w:r w:rsidRPr="00F24057">
        <w:rPr>
          <w:szCs w:val="22"/>
          <w:lang w:val="sr-Latn-ME"/>
        </w:rPr>
        <w:t xml:space="preserve"> tih studija i tekućih i završenih produženih studija otvorenog tipa sa medijanom trajanja od približno 3,3 godine na 6427 pacijenata i preko 26439 pacijent-godina terapije, za</w:t>
      </w:r>
      <w:r w:rsidR="004F2520" w:rsidRPr="00F24057">
        <w:rPr>
          <w:szCs w:val="22"/>
          <w:lang w:val="sr-Latn-ME"/>
        </w:rPr>
        <w:t>biljež</w:t>
      </w:r>
      <w:r w:rsidRPr="00F24057">
        <w:rPr>
          <w:szCs w:val="22"/>
          <w:lang w:val="sr-Latn-ME"/>
        </w:rPr>
        <w:t>ena stopa malignih bolesti, isključujući limfome i nemelanomski kancer kože, je približno 8,5 na 1000 pacijent-godina. Za</w:t>
      </w:r>
      <w:r w:rsidR="004F2520" w:rsidRPr="00F24057">
        <w:rPr>
          <w:szCs w:val="22"/>
          <w:lang w:val="sr-Latn-ME"/>
        </w:rPr>
        <w:t>biljež</w:t>
      </w:r>
      <w:r w:rsidRPr="00F24057">
        <w:rPr>
          <w:szCs w:val="22"/>
          <w:lang w:val="sr-Latn-ME"/>
        </w:rPr>
        <w:t>ena stopa nemelanomskih kancera kože je približno 9,6 na 1000 pacijent</w:t>
      </w:r>
      <w:r w:rsidR="00E8103B" w:rsidRPr="00F24057">
        <w:rPr>
          <w:szCs w:val="22"/>
          <w:lang w:val="sr-Latn-ME"/>
        </w:rPr>
        <w:t>-</w:t>
      </w:r>
      <w:r w:rsidRPr="00F24057">
        <w:rPr>
          <w:szCs w:val="22"/>
          <w:lang w:val="sr-Latn-ME"/>
        </w:rPr>
        <w:t xml:space="preserve">godina, a limfoma 1,3 na 1000 pacijent-godina. </w:t>
      </w:r>
    </w:p>
    <w:p w14:paraId="4B04357A" w14:textId="77777777" w:rsidR="000839CB" w:rsidRPr="00F24057" w:rsidRDefault="000839CB" w:rsidP="00D70B34">
      <w:pPr>
        <w:rPr>
          <w:szCs w:val="22"/>
          <w:lang w:val="sr-Latn-ME"/>
        </w:rPr>
      </w:pPr>
    </w:p>
    <w:p w14:paraId="1F5E9EC5" w14:textId="42ADB7D8" w:rsidR="000839CB" w:rsidRPr="00F24057" w:rsidRDefault="000839CB" w:rsidP="00D70B34">
      <w:pPr>
        <w:rPr>
          <w:szCs w:val="22"/>
          <w:lang w:val="sr-Latn-ME"/>
        </w:rPr>
      </w:pPr>
      <w:r w:rsidRPr="00F24057">
        <w:rPr>
          <w:szCs w:val="22"/>
          <w:lang w:val="sr-Latn-ME"/>
        </w:rPr>
        <w:t xml:space="preserve">U postmarketinškim iskustvima od januara 2003. godine do </w:t>
      </w:r>
      <w:r w:rsidR="0030064A" w:rsidRPr="00F24057">
        <w:rPr>
          <w:szCs w:val="22"/>
          <w:lang w:val="sr-Latn-ME"/>
        </w:rPr>
        <w:t>dece</w:t>
      </w:r>
      <w:r w:rsidRPr="00F24057">
        <w:rPr>
          <w:szCs w:val="22"/>
          <w:lang w:val="sr-Latn-ME"/>
        </w:rPr>
        <w:t xml:space="preserve">mbra 2010. godine, prevashodno kod pacijenata sa reumatoidnim artritisom, </w:t>
      </w:r>
      <w:r w:rsidR="006466C0" w:rsidRPr="00F24057">
        <w:rPr>
          <w:szCs w:val="22"/>
          <w:lang w:val="sr-Latn-ME"/>
        </w:rPr>
        <w:t xml:space="preserve">spontano prijavljena </w:t>
      </w:r>
      <w:r w:rsidRPr="00F24057">
        <w:rPr>
          <w:szCs w:val="22"/>
          <w:lang w:val="sr-Latn-ME"/>
        </w:rPr>
        <w:t xml:space="preserve">stopa maligniteta je približno 2,7 na 1000 </w:t>
      </w:r>
      <w:r w:rsidRPr="00F24057">
        <w:rPr>
          <w:szCs w:val="22"/>
          <w:lang w:val="sr-Latn-ME"/>
        </w:rPr>
        <w:lastRenderedPageBreak/>
        <w:t>pacijent</w:t>
      </w:r>
      <w:r w:rsidR="00E8103B" w:rsidRPr="00F24057">
        <w:rPr>
          <w:szCs w:val="22"/>
          <w:lang w:val="sr-Latn-ME"/>
        </w:rPr>
        <w:t>-</w:t>
      </w:r>
      <w:r w:rsidRPr="00F24057">
        <w:rPr>
          <w:szCs w:val="22"/>
          <w:lang w:val="sr-Latn-ME"/>
        </w:rPr>
        <w:t xml:space="preserve">godina terapije. </w:t>
      </w:r>
      <w:r w:rsidR="006466C0" w:rsidRPr="00F24057">
        <w:rPr>
          <w:szCs w:val="22"/>
          <w:lang w:val="sr-Latn-ME"/>
        </w:rPr>
        <w:t>Spontano p</w:t>
      </w:r>
      <w:r w:rsidRPr="00F24057">
        <w:rPr>
          <w:szCs w:val="22"/>
          <w:lang w:val="sr-Latn-ME"/>
        </w:rPr>
        <w:t>rijavljene stope nemelanomskih kancera kože i limfoma bile su približno 0,2 odnosno 0,3 na 1000 pacijent-godina terapije (</w:t>
      </w:r>
      <w:r w:rsidR="007B39D0" w:rsidRPr="00F24057">
        <w:rPr>
          <w:szCs w:val="22"/>
          <w:lang w:val="sr-Latn-ME"/>
        </w:rPr>
        <w:t xml:space="preserve">pogledati dio </w:t>
      </w:r>
      <w:r w:rsidRPr="00F24057">
        <w:rPr>
          <w:szCs w:val="22"/>
          <w:lang w:val="sr-Latn-ME"/>
        </w:rPr>
        <w:t xml:space="preserve">4.4). </w:t>
      </w:r>
    </w:p>
    <w:p w14:paraId="1D63684E" w14:textId="77777777" w:rsidR="000839CB" w:rsidRPr="00F24057" w:rsidRDefault="000839CB" w:rsidP="00D70B34">
      <w:pPr>
        <w:rPr>
          <w:szCs w:val="22"/>
          <w:lang w:val="sr-Latn-ME"/>
        </w:rPr>
      </w:pPr>
    </w:p>
    <w:p w14:paraId="24C76B9C" w14:textId="134F51CC" w:rsidR="000839CB" w:rsidRPr="00F24057" w:rsidRDefault="004F2520" w:rsidP="00D70B34">
      <w:pPr>
        <w:rPr>
          <w:szCs w:val="22"/>
          <w:lang w:val="sr-Latn-ME"/>
        </w:rPr>
      </w:pPr>
      <w:r w:rsidRPr="00F24057">
        <w:rPr>
          <w:szCs w:val="22"/>
          <w:lang w:val="sr-Latn-ME"/>
        </w:rPr>
        <w:t>Rijetk</w:t>
      </w:r>
      <w:r w:rsidR="000839CB" w:rsidRPr="00F24057">
        <w:rPr>
          <w:szCs w:val="22"/>
          <w:lang w:val="sr-Latn-ME"/>
        </w:rPr>
        <w:t xml:space="preserve">i postmarketinški slučajevi hepatospleničnog T-ćelijskog limfoma su prijavljivani kod pacijenata </w:t>
      </w:r>
      <w:r w:rsidR="00885A78" w:rsidRPr="00F24057">
        <w:rPr>
          <w:szCs w:val="22"/>
          <w:lang w:val="sr-Latn-ME"/>
        </w:rPr>
        <w:t>liječe</w:t>
      </w:r>
      <w:r w:rsidR="000839CB" w:rsidRPr="00F24057">
        <w:rPr>
          <w:szCs w:val="22"/>
          <w:lang w:val="sr-Latn-ME"/>
        </w:rPr>
        <w:t>nih adalimumabom (</w:t>
      </w:r>
      <w:r w:rsidR="007B39D0" w:rsidRPr="00F24057">
        <w:rPr>
          <w:szCs w:val="22"/>
          <w:lang w:val="sr-Latn-ME"/>
        </w:rPr>
        <w:t xml:space="preserve">pogledati dio </w:t>
      </w:r>
      <w:r w:rsidR="000839CB" w:rsidRPr="00F24057">
        <w:rPr>
          <w:szCs w:val="22"/>
          <w:lang w:val="sr-Latn-ME"/>
        </w:rPr>
        <w:t xml:space="preserve">4.4). </w:t>
      </w:r>
    </w:p>
    <w:p w14:paraId="452762E7" w14:textId="77777777" w:rsidR="000839CB" w:rsidRPr="00F24057" w:rsidRDefault="000839CB" w:rsidP="00D70B34">
      <w:pPr>
        <w:rPr>
          <w:szCs w:val="22"/>
          <w:lang w:val="sr-Latn-ME"/>
        </w:rPr>
      </w:pPr>
    </w:p>
    <w:p w14:paraId="05048965" w14:textId="66F68426" w:rsidR="000839CB" w:rsidRPr="00F24057" w:rsidRDefault="000839CB" w:rsidP="00D70B34">
      <w:pPr>
        <w:rPr>
          <w:i/>
          <w:iCs/>
          <w:szCs w:val="22"/>
          <w:lang w:val="sr-Latn-ME"/>
        </w:rPr>
      </w:pPr>
      <w:r w:rsidRPr="00F24057">
        <w:rPr>
          <w:i/>
          <w:iCs/>
          <w:szCs w:val="22"/>
          <w:lang w:val="sr-Latn-ME"/>
        </w:rPr>
        <w:t>Autoantit</w:t>
      </w:r>
      <w:r w:rsidR="00AA29FD" w:rsidRPr="00F24057">
        <w:rPr>
          <w:i/>
          <w:iCs/>
          <w:szCs w:val="22"/>
          <w:lang w:val="sr-Latn-ME"/>
        </w:rPr>
        <w:t>ij</w:t>
      </w:r>
      <w:r w:rsidRPr="00F24057">
        <w:rPr>
          <w:i/>
          <w:iCs/>
          <w:szCs w:val="22"/>
          <w:lang w:val="sr-Latn-ME"/>
        </w:rPr>
        <w:t xml:space="preserve">ela </w:t>
      </w:r>
    </w:p>
    <w:p w14:paraId="725D4A69" w14:textId="24A54CCB" w:rsidR="000839CB" w:rsidRPr="00F24057" w:rsidRDefault="000839CB" w:rsidP="00D70B34">
      <w:pPr>
        <w:rPr>
          <w:szCs w:val="22"/>
          <w:lang w:val="sr-Latn-ME"/>
        </w:rPr>
      </w:pPr>
      <w:r w:rsidRPr="00F24057">
        <w:rPr>
          <w:szCs w:val="22"/>
          <w:lang w:val="sr-Latn-ME"/>
        </w:rPr>
        <w:t>U studijama I-V reumatoidnog artritisa u više navrata su uzimani uzorci seruma pacijenata za testiranje autoantit</w:t>
      </w:r>
      <w:r w:rsidR="00AA29FD" w:rsidRPr="00F24057">
        <w:rPr>
          <w:szCs w:val="22"/>
          <w:lang w:val="sr-Latn-ME"/>
        </w:rPr>
        <w:t>ij</w:t>
      </w:r>
      <w:r w:rsidRPr="00F24057">
        <w:rPr>
          <w:szCs w:val="22"/>
          <w:lang w:val="sr-Latn-ME"/>
        </w:rPr>
        <w:t xml:space="preserve">ela. U ovim studijama, 11,9% pacijenata </w:t>
      </w:r>
      <w:r w:rsidR="00885A78" w:rsidRPr="00F24057">
        <w:rPr>
          <w:szCs w:val="22"/>
          <w:lang w:val="sr-Latn-ME"/>
        </w:rPr>
        <w:t>liječe</w:t>
      </w:r>
      <w:r w:rsidRPr="00F24057">
        <w:rPr>
          <w:szCs w:val="22"/>
          <w:lang w:val="sr-Latn-ME"/>
        </w:rPr>
        <w:t xml:space="preserve">nih adalimumabom i 8,1% pacijenata koji su primali placebo ili aktivnu kontrolu, koji su imali negativna antinuklearna </w:t>
      </w:r>
      <w:r w:rsidR="00AA29FD" w:rsidRPr="00F24057">
        <w:rPr>
          <w:szCs w:val="22"/>
          <w:lang w:val="sr-Latn-ME"/>
        </w:rPr>
        <w:t>antitijel</w:t>
      </w:r>
      <w:r w:rsidRPr="00F24057">
        <w:rPr>
          <w:szCs w:val="22"/>
          <w:lang w:val="sr-Latn-ME"/>
        </w:rPr>
        <w:t xml:space="preserve">a na početku, u 24. </w:t>
      </w:r>
      <w:r w:rsidR="00885A78" w:rsidRPr="00F24057">
        <w:rPr>
          <w:szCs w:val="22"/>
          <w:lang w:val="sr-Latn-ME"/>
        </w:rPr>
        <w:t>nedjelj</w:t>
      </w:r>
      <w:r w:rsidRPr="00F24057">
        <w:rPr>
          <w:szCs w:val="22"/>
          <w:lang w:val="sr-Latn-ME"/>
        </w:rPr>
        <w:t xml:space="preserve">i pokazali su pozitivan titar. Dva pacijenta od 3441 </w:t>
      </w:r>
      <w:r w:rsidR="00885A78" w:rsidRPr="00F24057">
        <w:rPr>
          <w:szCs w:val="22"/>
          <w:lang w:val="sr-Latn-ME"/>
        </w:rPr>
        <w:t>liječe</w:t>
      </w:r>
      <w:r w:rsidRPr="00F24057">
        <w:rPr>
          <w:szCs w:val="22"/>
          <w:lang w:val="sr-Latn-ME"/>
        </w:rPr>
        <w:t xml:space="preserve">nih adalimumabom u svim studijama sa reumatoidnim artritisom i psorijaznim artritisom razvili su kliničke znake koji ukazuju na novonastali sindrom sličan lupusu. Stanje pacijenata se poboljšalo nakon prekida terapije. Nijedan pacijent nije razvio lupusni nefritis ili simptome centralnog nervnog sistema. </w:t>
      </w:r>
    </w:p>
    <w:p w14:paraId="17624488" w14:textId="77777777" w:rsidR="000839CB" w:rsidRPr="00F24057" w:rsidRDefault="000839CB" w:rsidP="00D70B34">
      <w:pPr>
        <w:rPr>
          <w:szCs w:val="22"/>
          <w:lang w:val="sr-Latn-ME"/>
        </w:rPr>
      </w:pPr>
    </w:p>
    <w:p w14:paraId="032A5BEA" w14:textId="77777777" w:rsidR="000839CB" w:rsidRPr="00F24057" w:rsidRDefault="000839CB" w:rsidP="00D70B34">
      <w:pPr>
        <w:rPr>
          <w:i/>
          <w:iCs/>
          <w:szCs w:val="22"/>
          <w:lang w:val="sr-Latn-ME"/>
        </w:rPr>
      </w:pPr>
      <w:r w:rsidRPr="00F24057">
        <w:rPr>
          <w:i/>
          <w:iCs/>
          <w:szCs w:val="22"/>
          <w:lang w:val="sr-Latn-ME"/>
        </w:rPr>
        <w:t>Hepatobilijarni događaji</w:t>
      </w:r>
    </w:p>
    <w:p w14:paraId="4470A583" w14:textId="770E36DD" w:rsidR="000839CB" w:rsidRPr="00F24057" w:rsidRDefault="000839CB" w:rsidP="00D70B34">
      <w:pPr>
        <w:rPr>
          <w:szCs w:val="22"/>
          <w:lang w:val="sr-Latn-ME"/>
        </w:rPr>
      </w:pPr>
      <w:r w:rsidRPr="00F24057">
        <w:rPr>
          <w:szCs w:val="22"/>
          <w:lang w:val="sr-Latn-ME"/>
        </w:rPr>
        <w:t xml:space="preserve">U kontrolisanim ispitivanjima faze 3 adalimumaba u kojima su učestvovali pacijenti sa reumatoidnim artritisom i psorijaznim artritisom, tokom kontrolisanog perioda trajanja ispitivanja od 4 do 104 </w:t>
      </w:r>
      <w:r w:rsidR="00885A78" w:rsidRPr="00F24057">
        <w:rPr>
          <w:szCs w:val="22"/>
          <w:lang w:val="sr-Latn-ME"/>
        </w:rPr>
        <w:t>nedjelj</w:t>
      </w:r>
      <w:r w:rsidRPr="00F24057">
        <w:rPr>
          <w:szCs w:val="22"/>
          <w:lang w:val="sr-Latn-ME"/>
        </w:rPr>
        <w:t xml:space="preserve">e, povećanje </w:t>
      </w:r>
      <w:r w:rsidR="00972894" w:rsidRPr="00F24057">
        <w:rPr>
          <w:szCs w:val="22"/>
          <w:lang w:val="sr-Latn-ME"/>
        </w:rPr>
        <w:t>vrijedno</w:t>
      </w:r>
      <w:r w:rsidRPr="00F24057">
        <w:rPr>
          <w:szCs w:val="22"/>
          <w:lang w:val="sr-Latn-ME"/>
        </w:rPr>
        <w:t xml:space="preserve">sti ALT ≥ 3 x GGN (gornja granica normalnog raspona) javilo se kod 3,7% pacijenata koji su primali adalimumab i kod 1,6% pacijenata iz kontrolne grupe. </w:t>
      </w:r>
    </w:p>
    <w:p w14:paraId="471004EC" w14:textId="77777777" w:rsidR="000839CB" w:rsidRPr="00F24057" w:rsidRDefault="000839CB" w:rsidP="00D70B34">
      <w:pPr>
        <w:rPr>
          <w:szCs w:val="22"/>
          <w:lang w:val="sr-Latn-ME"/>
        </w:rPr>
      </w:pPr>
    </w:p>
    <w:p w14:paraId="3C5B2EF7" w14:textId="216D6498" w:rsidR="000839CB" w:rsidRPr="00F24057" w:rsidRDefault="000839CB" w:rsidP="00D70B34">
      <w:pPr>
        <w:rPr>
          <w:szCs w:val="22"/>
          <w:lang w:val="sr-Latn-ME"/>
        </w:rPr>
      </w:pPr>
      <w:r w:rsidRPr="00F24057">
        <w:rPr>
          <w:szCs w:val="22"/>
          <w:lang w:val="sr-Latn-ME"/>
        </w:rPr>
        <w:t xml:space="preserve">U kontrolisanoj studiji faze 3 u kojima se adalimumab </w:t>
      </w:r>
      <w:r w:rsidR="0030064A" w:rsidRPr="00F24057">
        <w:rPr>
          <w:szCs w:val="22"/>
          <w:lang w:val="sr-Latn-ME"/>
        </w:rPr>
        <w:t>primjen</w:t>
      </w:r>
      <w:r w:rsidRPr="00F24057">
        <w:rPr>
          <w:szCs w:val="22"/>
          <w:lang w:val="sr-Latn-ME"/>
        </w:rPr>
        <w:t xml:space="preserve">jivao kod pacijenata sa poliartikularnim juvenilnim idiopatskim artritisom, uzrasta od 4 do 17 godina, i artritisom povezanim sa entezitisom, uzrasta od 6 do 17 godina, povećanje </w:t>
      </w:r>
      <w:r w:rsidR="00972894" w:rsidRPr="00F24057">
        <w:rPr>
          <w:szCs w:val="22"/>
          <w:lang w:val="sr-Latn-ME"/>
        </w:rPr>
        <w:t>vrijedno</w:t>
      </w:r>
      <w:r w:rsidRPr="00F24057">
        <w:rPr>
          <w:szCs w:val="22"/>
          <w:lang w:val="sr-Latn-ME"/>
        </w:rPr>
        <w:t xml:space="preserve">sti ALT ≥ 3 x GGN je </w:t>
      </w:r>
      <w:r w:rsidR="00CB199C" w:rsidRPr="00F24057">
        <w:rPr>
          <w:szCs w:val="22"/>
          <w:lang w:val="sr-Latn-ME"/>
        </w:rPr>
        <w:t>primijećeno</w:t>
      </w:r>
      <w:r w:rsidRPr="00F24057">
        <w:rPr>
          <w:szCs w:val="22"/>
          <w:lang w:val="sr-Latn-ME"/>
        </w:rPr>
        <w:t xml:space="preserve"> kod 6,1% pacijenata </w:t>
      </w:r>
      <w:r w:rsidR="00885A78" w:rsidRPr="00F24057">
        <w:rPr>
          <w:szCs w:val="22"/>
          <w:lang w:val="sr-Latn-ME"/>
        </w:rPr>
        <w:t>liječe</w:t>
      </w:r>
      <w:r w:rsidRPr="00F24057">
        <w:rPr>
          <w:szCs w:val="22"/>
          <w:lang w:val="sr-Latn-ME"/>
        </w:rPr>
        <w:t xml:space="preserve">nih adalimumabom i 1,3% pacijenata iz kontrolne grupe. U najvećem broju slučajeva povećanje </w:t>
      </w:r>
      <w:r w:rsidR="00972894" w:rsidRPr="00F24057">
        <w:rPr>
          <w:szCs w:val="22"/>
          <w:lang w:val="sr-Latn-ME"/>
        </w:rPr>
        <w:t>vrijedno</w:t>
      </w:r>
      <w:r w:rsidRPr="00F24057">
        <w:rPr>
          <w:szCs w:val="22"/>
          <w:lang w:val="sr-Latn-ME"/>
        </w:rPr>
        <w:t>sti ALT</w:t>
      </w:r>
      <w:r w:rsidR="00460E9D" w:rsidRPr="00F24057">
        <w:rPr>
          <w:szCs w:val="22"/>
          <w:lang w:val="sr-Latn-ME"/>
        </w:rPr>
        <w:t>-</w:t>
      </w:r>
      <w:r w:rsidRPr="00F24057">
        <w:rPr>
          <w:szCs w:val="22"/>
          <w:lang w:val="sr-Latn-ME"/>
        </w:rPr>
        <w:t xml:space="preserve">a se desilo prilikom istovremene upotrebe metotreksata. Nije se javilo povećanje </w:t>
      </w:r>
      <w:r w:rsidR="00972894" w:rsidRPr="00F24057">
        <w:rPr>
          <w:szCs w:val="22"/>
          <w:lang w:val="sr-Latn-ME"/>
        </w:rPr>
        <w:t>vrijedno</w:t>
      </w:r>
      <w:r w:rsidRPr="00F24057">
        <w:rPr>
          <w:szCs w:val="22"/>
          <w:lang w:val="sr-Latn-ME"/>
        </w:rPr>
        <w:t xml:space="preserve">sti ALT ≥ 3 x GGN kod pacijenata u studiji faze 3 sa adalimumabom, sprovedenoj kod pacijenata sa poliartikularnim juvenilnim idiopatskim artritisom uzrasta od 2 do &lt; 4 godine. </w:t>
      </w:r>
    </w:p>
    <w:p w14:paraId="699DF994" w14:textId="77777777" w:rsidR="000839CB" w:rsidRPr="00F24057" w:rsidRDefault="000839CB" w:rsidP="00D70B34">
      <w:pPr>
        <w:rPr>
          <w:szCs w:val="22"/>
          <w:lang w:val="sr-Latn-ME"/>
        </w:rPr>
      </w:pPr>
    </w:p>
    <w:p w14:paraId="03D57DA9" w14:textId="46AEFED5" w:rsidR="000839CB" w:rsidRPr="00F24057" w:rsidRDefault="000839CB" w:rsidP="00D70B34">
      <w:pPr>
        <w:rPr>
          <w:szCs w:val="22"/>
          <w:lang w:val="sr-Latn-ME"/>
        </w:rPr>
      </w:pPr>
      <w:r w:rsidRPr="00F24057">
        <w:rPr>
          <w:szCs w:val="22"/>
          <w:lang w:val="sr-Latn-ME"/>
        </w:rPr>
        <w:t xml:space="preserve">U kontrolisanim ispitivanjima faze 3 u kojima se adalimumab </w:t>
      </w:r>
      <w:r w:rsidR="0030064A" w:rsidRPr="00F24057">
        <w:rPr>
          <w:szCs w:val="22"/>
          <w:lang w:val="sr-Latn-ME"/>
        </w:rPr>
        <w:t>primjen</w:t>
      </w:r>
      <w:r w:rsidRPr="00F24057">
        <w:rPr>
          <w:szCs w:val="22"/>
          <w:lang w:val="sr-Latn-ME"/>
        </w:rPr>
        <w:t xml:space="preserve">jivao kod pacijenata sa </w:t>
      </w:r>
      <w:r w:rsidR="00DA2306" w:rsidRPr="00F24057">
        <w:rPr>
          <w:i/>
          <w:iCs/>
          <w:szCs w:val="22"/>
          <w:lang w:val="sr-Latn-ME"/>
        </w:rPr>
        <w:t>Crohn</w:t>
      </w:r>
      <w:r w:rsidRPr="00F24057">
        <w:rPr>
          <w:szCs w:val="22"/>
          <w:lang w:val="sr-Latn-ME"/>
        </w:rPr>
        <w:t xml:space="preserve">-ovom bolešću i ulceroznim kolitisom, tokom kontrolisanog perioda trajanja ispitivanja od 4 do 52 </w:t>
      </w:r>
      <w:r w:rsidR="00885A78" w:rsidRPr="00F24057">
        <w:rPr>
          <w:szCs w:val="22"/>
          <w:lang w:val="sr-Latn-ME"/>
        </w:rPr>
        <w:t>nedjelj</w:t>
      </w:r>
      <w:r w:rsidRPr="00F24057">
        <w:rPr>
          <w:szCs w:val="22"/>
          <w:lang w:val="sr-Latn-ME"/>
        </w:rPr>
        <w:t xml:space="preserve">e, povećanje </w:t>
      </w:r>
      <w:r w:rsidR="00972894" w:rsidRPr="00F24057">
        <w:rPr>
          <w:szCs w:val="22"/>
          <w:lang w:val="sr-Latn-ME"/>
        </w:rPr>
        <w:t>vrijedno</w:t>
      </w:r>
      <w:r w:rsidRPr="00F24057">
        <w:rPr>
          <w:szCs w:val="22"/>
          <w:lang w:val="sr-Latn-ME"/>
        </w:rPr>
        <w:t xml:space="preserve">sti ALT ≥ 3 x GGN javilo se kod 0,9% pacijenata koji su primali adalimumab i kod 0,9% pacijenata iz kontrolne grupe. </w:t>
      </w:r>
    </w:p>
    <w:p w14:paraId="7D29EDF1" w14:textId="77777777" w:rsidR="000839CB" w:rsidRPr="00F24057" w:rsidRDefault="000839CB" w:rsidP="00D70B34">
      <w:pPr>
        <w:rPr>
          <w:szCs w:val="22"/>
          <w:lang w:val="sr-Latn-ME"/>
        </w:rPr>
      </w:pPr>
    </w:p>
    <w:p w14:paraId="53EB5395" w14:textId="40BC0F56" w:rsidR="000839CB" w:rsidRPr="00F24057" w:rsidRDefault="000839CB" w:rsidP="00D70B34">
      <w:pPr>
        <w:rPr>
          <w:szCs w:val="22"/>
          <w:lang w:val="sr-Latn-ME"/>
        </w:rPr>
      </w:pPr>
      <w:r w:rsidRPr="00F24057">
        <w:rPr>
          <w:szCs w:val="22"/>
          <w:lang w:val="sr-Latn-ME"/>
        </w:rPr>
        <w:t xml:space="preserve">U studijama faze 3 u kojima se adalimumab </w:t>
      </w:r>
      <w:r w:rsidR="0030064A" w:rsidRPr="00F24057">
        <w:rPr>
          <w:szCs w:val="22"/>
          <w:lang w:val="sr-Latn-ME"/>
        </w:rPr>
        <w:t>primjen</w:t>
      </w:r>
      <w:r w:rsidRPr="00F24057">
        <w:rPr>
          <w:szCs w:val="22"/>
          <w:lang w:val="sr-Latn-ME"/>
        </w:rPr>
        <w:t xml:space="preserve">jivao kod pedijatrijskih pacijenata sa </w:t>
      </w:r>
      <w:r w:rsidR="00DA2306" w:rsidRPr="00F24057">
        <w:rPr>
          <w:i/>
          <w:iCs/>
          <w:szCs w:val="22"/>
          <w:lang w:val="sr-Latn-ME"/>
        </w:rPr>
        <w:t>Crohn</w:t>
      </w:r>
      <w:r w:rsidRPr="00F24057">
        <w:rPr>
          <w:szCs w:val="22"/>
          <w:lang w:val="sr-Latn-ME"/>
        </w:rPr>
        <w:t xml:space="preserve">-ovom bolešću, u kojima su </w:t>
      </w:r>
      <w:r w:rsidR="004F2520" w:rsidRPr="00F24057">
        <w:rPr>
          <w:szCs w:val="22"/>
          <w:lang w:val="sr-Latn-ME"/>
        </w:rPr>
        <w:t>procjen</w:t>
      </w:r>
      <w:r w:rsidRPr="00F24057">
        <w:rPr>
          <w:szCs w:val="22"/>
          <w:lang w:val="sr-Latn-ME"/>
        </w:rPr>
        <w:t xml:space="preserve">jivani efikasnost i </w:t>
      </w:r>
      <w:r w:rsidR="0030064A" w:rsidRPr="00F24057">
        <w:rPr>
          <w:szCs w:val="22"/>
          <w:lang w:val="sr-Latn-ME"/>
        </w:rPr>
        <w:t>bezbjedno</w:t>
      </w:r>
      <w:r w:rsidRPr="00F24057">
        <w:rPr>
          <w:szCs w:val="22"/>
          <w:lang w:val="sr-Latn-ME"/>
        </w:rPr>
        <w:t xml:space="preserve">st dva režima doze održavanja prilagođenih </w:t>
      </w:r>
      <w:r w:rsidR="007E5568" w:rsidRPr="00F24057">
        <w:rPr>
          <w:szCs w:val="22"/>
          <w:lang w:val="sr-Latn-ME"/>
        </w:rPr>
        <w:t>tjeles</w:t>
      </w:r>
      <w:r w:rsidRPr="00F24057">
        <w:rPr>
          <w:szCs w:val="22"/>
          <w:lang w:val="sr-Latn-ME"/>
        </w:rPr>
        <w:t xml:space="preserve">noj masi posle indukcione terapije prilagođene </w:t>
      </w:r>
      <w:r w:rsidR="007E5568" w:rsidRPr="00F24057">
        <w:rPr>
          <w:szCs w:val="22"/>
          <w:lang w:val="sr-Latn-ME"/>
        </w:rPr>
        <w:t>tjeles</w:t>
      </w:r>
      <w:r w:rsidRPr="00F24057">
        <w:rPr>
          <w:szCs w:val="22"/>
          <w:lang w:val="sr-Latn-ME"/>
        </w:rPr>
        <w:t xml:space="preserve">noj masi tokom 52 </w:t>
      </w:r>
      <w:r w:rsidR="00885A78" w:rsidRPr="00F24057">
        <w:rPr>
          <w:szCs w:val="22"/>
          <w:lang w:val="sr-Latn-ME"/>
        </w:rPr>
        <w:t>nedjelj</w:t>
      </w:r>
      <w:r w:rsidRPr="00F24057">
        <w:rPr>
          <w:szCs w:val="22"/>
          <w:lang w:val="sr-Latn-ME"/>
        </w:rPr>
        <w:t xml:space="preserve">e </w:t>
      </w:r>
      <w:r w:rsidR="00885A78" w:rsidRPr="00F24057">
        <w:rPr>
          <w:szCs w:val="22"/>
          <w:lang w:val="sr-Latn-ME"/>
        </w:rPr>
        <w:t>liječenj</w:t>
      </w:r>
      <w:r w:rsidRPr="00F24057">
        <w:rPr>
          <w:szCs w:val="22"/>
          <w:lang w:val="sr-Latn-ME"/>
        </w:rPr>
        <w:t xml:space="preserve">a, povećane </w:t>
      </w:r>
      <w:r w:rsidR="00972894" w:rsidRPr="00F24057">
        <w:rPr>
          <w:szCs w:val="22"/>
          <w:lang w:val="sr-Latn-ME"/>
        </w:rPr>
        <w:t>vrijedno</w:t>
      </w:r>
      <w:r w:rsidRPr="00F24057">
        <w:rPr>
          <w:szCs w:val="22"/>
          <w:lang w:val="sr-Latn-ME"/>
        </w:rPr>
        <w:t xml:space="preserve">sti ALT ≥ 3 x GGN su </w:t>
      </w:r>
      <w:r w:rsidR="00911D74" w:rsidRPr="00F24057">
        <w:rPr>
          <w:szCs w:val="22"/>
          <w:lang w:val="sr-Latn-ME"/>
        </w:rPr>
        <w:t>primijećene</w:t>
      </w:r>
      <w:r w:rsidRPr="00F24057">
        <w:rPr>
          <w:szCs w:val="22"/>
          <w:lang w:val="sr-Latn-ME"/>
        </w:rPr>
        <w:t xml:space="preserve"> kod 2,6% (5/192) pacijenata od kojih su 4 pacijenta bila na početku terapije izložena istovremenoj terapiji imunosupresivima. </w:t>
      </w:r>
    </w:p>
    <w:p w14:paraId="5F9DC898" w14:textId="77777777" w:rsidR="000839CB" w:rsidRPr="00F24057" w:rsidRDefault="000839CB" w:rsidP="00D70B34">
      <w:pPr>
        <w:rPr>
          <w:szCs w:val="22"/>
          <w:lang w:val="sr-Latn-ME"/>
        </w:rPr>
      </w:pPr>
    </w:p>
    <w:p w14:paraId="3732AD8F" w14:textId="75AD15AA" w:rsidR="000839CB" w:rsidRPr="00F24057" w:rsidRDefault="000839CB" w:rsidP="00D70B34">
      <w:pPr>
        <w:rPr>
          <w:szCs w:val="22"/>
          <w:lang w:val="sr-Latn-ME"/>
        </w:rPr>
      </w:pPr>
      <w:r w:rsidRPr="00F24057">
        <w:rPr>
          <w:szCs w:val="22"/>
          <w:lang w:val="sr-Latn-ME"/>
        </w:rPr>
        <w:t xml:space="preserve">U kontrolisanim ispitivanjima faze 3 u kojima se adalimumab </w:t>
      </w:r>
      <w:r w:rsidR="0030064A" w:rsidRPr="00F24057">
        <w:rPr>
          <w:szCs w:val="22"/>
          <w:lang w:val="sr-Latn-ME"/>
        </w:rPr>
        <w:t>primjen</w:t>
      </w:r>
      <w:r w:rsidRPr="00F24057">
        <w:rPr>
          <w:szCs w:val="22"/>
          <w:lang w:val="sr-Latn-ME"/>
        </w:rPr>
        <w:t xml:space="preserve">jivao kod pacijenata sa plak psorijazom, tokom kontrolisanog perioda trajanja ispitivanja od 12 do 24 </w:t>
      </w:r>
      <w:r w:rsidR="00885A78" w:rsidRPr="00F24057">
        <w:rPr>
          <w:szCs w:val="22"/>
          <w:lang w:val="sr-Latn-ME"/>
        </w:rPr>
        <w:t>nedjelj</w:t>
      </w:r>
      <w:r w:rsidRPr="00F24057">
        <w:rPr>
          <w:szCs w:val="22"/>
          <w:lang w:val="sr-Latn-ME"/>
        </w:rPr>
        <w:t xml:space="preserve">e, povećanje </w:t>
      </w:r>
      <w:r w:rsidR="00972894" w:rsidRPr="00F24057">
        <w:rPr>
          <w:szCs w:val="22"/>
          <w:lang w:val="sr-Latn-ME"/>
        </w:rPr>
        <w:t>vrijedno</w:t>
      </w:r>
      <w:r w:rsidRPr="00F24057">
        <w:rPr>
          <w:szCs w:val="22"/>
          <w:lang w:val="sr-Latn-ME"/>
        </w:rPr>
        <w:t xml:space="preserve">sti ALT ≥ 3 x GGN javilo se kod 1,8% pacijenata koji su primali adalimumab i kod 1,8% pacijenata u kontrolnoj grupi. </w:t>
      </w:r>
    </w:p>
    <w:p w14:paraId="5DA0BA1A" w14:textId="77777777" w:rsidR="000839CB" w:rsidRPr="00F24057" w:rsidRDefault="000839CB" w:rsidP="00D70B34">
      <w:pPr>
        <w:rPr>
          <w:szCs w:val="22"/>
          <w:lang w:val="sr-Latn-ME"/>
        </w:rPr>
      </w:pPr>
    </w:p>
    <w:p w14:paraId="3E648C3D" w14:textId="5C4DECC3" w:rsidR="000839CB" w:rsidRPr="00F24057" w:rsidRDefault="000839CB" w:rsidP="00D70B34">
      <w:pPr>
        <w:rPr>
          <w:szCs w:val="22"/>
          <w:lang w:val="sr-Latn-ME"/>
        </w:rPr>
      </w:pPr>
      <w:r w:rsidRPr="00F24057">
        <w:rPr>
          <w:szCs w:val="22"/>
          <w:lang w:val="sr-Latn-ME"/>
        </w:rPr>
        <w:t xml:space="preserve">U ispitivanju faze 3 u kojem se adalimumab </w:t>
      </w:r>
      <w:r w:rsidR="0030064A" w:rsidRPr="00F24057">
        <w:rPr>
          <w:szCs w:val="22"/>
          <w:lang w:val="sr-Latn-ME"/>
        </w:rPr>
        <w:t>primjen</w:t>
      </w:r>
      <w:r w:rsidRPr="00F24057">
        <w:rPr>
          <w:szCs w:val="22"/>
          <w:lang w:val="sr-Latn-ME"/>
        </w:rPr>
        <w:t xml:space="preserve">jivao kod pedijatrijskih pacijenata sa plak psorijazom, nije </w:t>
      </w:r>
      <w:r w:rsidR="00CB199C" w:rsidRPr="00F24057">
        <w:rPr>
          <w:szCs w:val="22"/>
          <w:lang w:val="sr-Latn-ME"/>
        </w:rPr>
        <w:t>primijećeno</w:t>
      </w:r>
      <w:r w:rsidRPr="00F24057">
        <w:rPr>
          <w:szCs w:val="22"/>
          <w:lang w:val="sr-Latn-ME"/>
        </w:rPr>
        <w:t xml:space="preserve"> povećanje </w:t>
      </w:r>
      <w:r w:rsidR="00972894" w:rsidRPr="00F24057">
        <w:rPr>
          <w:szCs w:val="22"/>
          <w:lang w:val="sr-Latn-ME"/>
        </w:rPr>
        <w:t>vrijedno</w:t>
      </w:r>
      <w:r w:rsidRPr="00F24057">
        <w:rPr>
          <w:szCs w:val="22"/>
          <w:lang w:val="sr-Latn-ME"/>
        </w:rPr>
        <w:t xml:space="preserve">sti ALT-a ≥ 3 x GGN. </w:t>
      </w:r>
    </w:p>
    <w:p w14:paraId="60B5F30F" w14:textId="77777777" w:rsidR="000839CB" w:rsidRPr="00F24057" w:rsidRDefault="000839CB" w:rsidP="00D70B34">
      <w:pPr>
        <w:rPr>
          <w:szCs w:val="22"/>
          <w:lang w:val="sr-Latn-ME"/>
        </w:rPr>
      </w:pPr>
    </w:p>
    <w:p w14:paraId="5FA1533C" w14:textId="52F00B74" w:rsidR="00082D95" w:rsidRPr="00F24057" w:rsidRDefault="00082D95" w:rsidP="00082D95">
      <w:pPr>
        <w:rPr>
          <w:szCs w:val="22"/>
          <w:lang w:val="sr-Latn-ME"/>
        </w:rPr>
      </w:pPr>
      <w:r w:rsidRPr="00F24057">
        <w:rPr>
          <w:szCs w:val="22"/>
          <w:lang w:val="sr-Latn-ME"/>
        </w:rPr>
        <w:t xml:space="preserve">U kontrolisanim ispitivanjima adalimumaba (početne doze od 160 mg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t>
      </w:r>
      <w:r w:rsidR="00080447" w:rsidRPr="00F24057">
        <w:rPr>
          <w:i/>
          <w:iCs/>
          <w:szCs w:val="22"/>
          <w:lang w:val="sr-Latn-ME"/>
        </w:rPr>
        <w:t>Week 0</w:t>
      </w:r>
      <w:r w:rsidRPr="00F24057">
        <w:rPr>
          <w:szCs w:val="22"/>
          <w:lang w:val="sr-Latn-ME"/>
        </w:rPr>
        <w:t xml:space="preserve">), praćena dozom od 80 mg nakon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a zatim dozama od 40 mg svake </w:t>
      </w:r>
      <w:r w:rsidR="00885A78" w:rsidRPr="00F24057">
        <w:rPr>
          <w:szCs w:val="22"/>
          <w:lang w:val="sr-Latn-ME"/>
        </w:rPr>
        <w:t>nedjelj</w:t>
      </w:r>
      <w:r w:rsidRPr="00F24057">
        <w:rPr>
          <w:szCs w:val="22"/>
          <w:lang w:val="sr-Latn-ME"/>
        </w:rPr>
        <w:t xml:space="preserve">e, počevši od 4. </w:t>
      </w:r>
      <w:r w:rsidR="00885A78" w:rsidRPr="00F24057">
        <w:rPr>
          <w:szCs w:val="22"/>
          <w:lang w:val="sr-Latn-ME"/>
        </w:rPr>
        <w:t>nedjelj</w:t>
      </w:r>
      <w:r w:rsidRPr="00F24057">
        <w:rPr>
          <w:szCs w:val="22"/>
          <w:lang w:val="sr-Latn-ME"/>
        </w:rPr>
        <w:t xml:space="preserve">e) kod pacijenata sa gnojnim zapaljenjem znojnih </w:t>
      </w:r>
      <w:r w:rsidR="009A3407" w:rsidRPr="00F24057">
        <w:rPr>
          <w:szCs w:val="22"/>
          <w:lang w:val="sr-Latn-ME"/>
        </w:rPr>
        <w:t>žlijezd</w:t>
      </w:r>
      <w:r w:rsidRPr="00F24057">
        <w:rPr>
          <w:szCs w:val="22"/>
          <w:lang w:val="sr-Latn-ME"/>
        </w:rPr>
        <w:t>a (</w:t>
      </w:r>
      <w:r w:rsidRPr="00F24057">
        <w:rPr>
          <w:i/>
          <w:iCs/>
          <w:szCs w:val="22"/>
          <w:lang w:val="sr-Latn-ME"/>
        </w:rPr>
        <w:t>hidradenitis suppurativa</w:t>
      </w:r>
      <w:r w:rsidRPr="00F24057">
        <w:rPr>
          <w:szCs w:val="22"/>
          <w:lang w:val="sr-Latn-ME"/>
        </w:rPr>
        <w:t xml:space="preserve">), uz kontrolni period u trajanju od 12 do 16 </w:t>
      </w:r>
      <w:r w:rsidR="00885A78" w:rsidRPr="00F24057">
        <w:rPr>
          <w:szCs w:val="22"/>
          <w:lang w:val="sr-Latn-ME"/>
        </w:rPr>
        <w:t>nedjelj</w:t>
      </w:r>
      <w:r w:rsidRPr="00F24057">
        <w:rPr>
          <w:szCs w:val="22"/>
          <w:lang w:val="sr-Latn-ME"/>
        </w:rPr>
        <w:t xml:space="preserve">a, povećane </w:t>
      </w:r>
      <w:r w:rsidR="00972894" w:rsidRPr="00F24057">
        <w:rPr>
          <w:szCs w:val="22"/>
          <w:lang w:val="sr-Latn-ME"/>
        </w:rPr>
        <w:t>vrijedno</w:t>
      </w:r>
      <w:r w:rsidRPr="00F24057">
        <w:rPr>
          <w:szCs w:val="22"/>
          <w:lang w:val="sr-Latn-ME"/>
        </w:rPr>
        <w:t>sti ALT-a ≥ 3 x GGN za</w:t>
      </w:r>
      <w:r w:rsidR="004F2520" w:rsidRPr="00F24057">
        <w:rPr>
          <w:szCs w:val="22"/>
          <w:lang w:val="sr-Latn-ME"/>
        </w:rPr>
        <w:t>biljež</w:t>
      </w:r>
      <w:r w:rsidRPr="00F24057">
        <w:rPr>
          <w:szCs w:val="22"/>
          <w:lang w:val="sr-Latn-ME"/>
        </w:rPr>
        <w:t xml:space="preserve">eni su kod 0,3% pacijenata </w:t>
      </w:r>
      <w:r w:rsidR="00885A78" w:rsidRPr="00F24057">
        <w:rPr>
          <w:szCs w:val="22"/>
          <w:lang w:val="sr-Latn-ME"/>
        </w:rPr>
        <w:t>liječe</w:t>
      </w:r>
      <w:r w:rsidRPr="00F24057">
        <w:rPr>
          <w:szCs w:val="22"/>
          <w:lang w:val="sr-Latn-ME"/>
        </w:rPr>
        <w:t xml:space="preserve">nih adalimumabom i 0,6% pacijenata iz kontrolne grupe. </w:t>
      </w:r>
    </w:p>
    <w:p w14:paraId="4B031184" w14:textId="77777777" w:rsidR="00082D95" w:rsidRPr="00F24057" w:rsidRDefault="00082D95" w:rsidP="00082D95">
      <w:pPr>
        <w:rPr>
          <w:szCs w:val="22"/>
          <w:lang w:val="sr-Latn-ME"/>
        </w:rPr>
      </w:pPr>
    </w:p>
    <w:p w14:paraId="4FC3E44C" w14:textId="5C747D49" w:rsidR="00082D95" w:rsidRPr="00F24057" w:rsidRDefault="00082D95" w:rsidP="00082D95">
      <w:pPr>
        <w:rPr>
          <w:szCs w:val="22"/>
          <w:lang w:val="sr-Latn-ME"/>
        </w:rPr>
      </w:pPr>
      <w:r w:rsidRPr="00F24057">
        <w:rPr>
          <w:szCs w:val="22"/>
          <w:lang w:val="sr-Latn-ME"/>
        </w:rPr>
        <w:lastRenderedPageBreak/>
        <w:t xml:space="preserve">U kontrolisanim ispitivanjima adalimumaba (početne doze od 80 mg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t>
      </w:r>
      <w:r w:rsidR="00080447" w:rsidRPr="00F24057">
        <w:rPr>
          <w:i/>
          <w:iCs/>
          <w:szCs w:val="22"/>
          <w:lang w:val="sr-Latn-ME"/>
        </w:rPr>
        <w:t>Week 0</w:t>
      </w:r>
      <w:r w:rsidRPr="00F24057">
        <w:rPr>
          <w:szCs w:val="22"/>
          <w:lang w:val="sr-Latn-ME"/>
        </w:rPr>
        <w:t>), nakon kojih sl</w:t>
      </w:r>
      <w:r w:rsidR="00EA1171" w:rsidRPr="00F24057">
        <w:rPr>
          <w:szCs w:val="22"/>
          <w:lang w:val="sr-Latn-ME"/>
        </w:rPr>
        <w:t>ij</w:t>
      </w:r>
      <w:r w:rsidRPr="00F24057">
        <w:rPr>
          <w:szCs w:val="22"/>
          <w:lang w:val="sr-Latn-ME"/>
        </w:rPr>
        <w:t xml:space="preserve">ede doze od 40 mg svake druge </w:t>
      </w:r>
      <w:r w:rsidR="00885A78" w:rsidRPr="00F24057">
        <w:rPr>
          <w:szCs w:val="22"/>
          <w:lang w:val="sr-Latn-ME"/>
        </w:rPr>
        <w:t>nedjelj</w:t>
      </w:r>
      <w:r w:rsidRPr="00F24057">
        <w:rPr>
          <w:szCs w:val="22"/>
          <w:lang w:val="sr-Latn-ME"/>
        </w:rPr>
        <w:t xml:space="preserve">e, počevši od 1. </w:t>
      </w:r>
      <w:r w:rsidR="00885A78" w:rsidRPr="00F24057">
        <w:rPr>
          <w:szCs w:val="22"/>
          <w:lang w:val="sr-Latn-ME"/>
        </w:rPr>
        <w:t>nedjelj</w:t>
      </w:r>
      <w:r w:rsidRPr="00F24057">
        <w:rPr>
          <w:szCs w:val="22"/>
          <w:lang w:val="sr-Latn-ME"/>
        </w:rPr>
        <w:t xml:space="preserve">e) kod odraslih pacijenata sa uveitisom u trajanju do 80 </w:t>
      </w:r>
      <w:r w:rsidR="00885A78" w:rsidRPr="00F24057">
        <w:rPr>
          <w:szCs w:val="22"/>
          <w:lang w:val="sr-Latn-ME"/>
        </w:rPr>
        <w:t>nedjelj</w:t>
      </w:r>
      <w:r w:rsidRPr="00F24057">
        <w:rPr>
          <w:szCs w:val="22"/>
          <w:lang w:val="sr-Latn-ME"/>
        </w:rPr>
        <w:t xml:space="preserve">a, sa medijanom izloženosti od 166,5 dana kod pacijenata </w:t>
      </w:r>
      <w:r w:rsidR="00885A78" w:rsidRPr="00F24057">
        <w:rPr>
          <w:szCs w:val="22"/>
          <w:lang w:val="sr-Latn-ME"/>
        </w:rPr>
        <w:t>liječe</w:t>
      </w:r>
      <w:r w:rsidRPr="00F24057">
        <w:rPr>
          <w:szCs w:val="22"/>
          <w:lang w:val="sr-Latn-ME"/>
        </w:rPr>
        <w:t xml:space="preserve">nih adalimumabom i 105,0 dana kod pacijenata iz kontrolne grupe, povećanje </w:t>
      </w:r>
      <w:r w:rsidR="00972894" w:rsidRPr="00F24057">
        <w:rPr>
          <w:szCs w:val="22"/>
          <w:lang w:val="sr-Latn-ME"/>
        </w:rPr>
        <w:t>vrijedno</w:t>
      </w:r>
      <w:r w:rsidRPr="00F24057">
        <w:rPr>
          <w:szCs w:val="22"/>
          <w:lang w:val="sr-Latn-ME"/>
        </w:rPr>
        <w:t>sti ALT-a ≥ 3 x GGN za</w:t>
      </w:r>
      <w:r w:rsidR="004F2520" w:rsidRPr="00F24057">
        <w:rPr>
          <w:szCs w:val="22"/>
          <w:lang w:val="sr-Latn-ME"/>
        </w:rPr>
        <w:t>biljež</w:t>
      </w:r>
      <w:r w:rsidRPr="00F24057">
        <w:rPr>
          <w:szCs w:val="22"/>
          <w:lang w:val="sr-Latn-ME"/>
        </w:rPr>
        <w:t xml:space="preserve">ene su kod 2,4% pacijenata </w:t>
      </w:r>
      <w:r w:rsidR="00885A78" w:rsidRPr="00F24057">
        <w:rPr>
          <w:szCs w:val="22"/>
          <w:lang w:val="sr-Latn-ME"/>
        </w:rPr>
        <w:t>liječe</w:t>
      </w:r>
      <w:r w:rsidRPr="00F24057">
        <w:rPr>
          <w:szCs w:val="22"/>
          <w:lang w:val="sr-Latn-ME"/>
        </w:rPr>
        <w:t xml:space="preserve">nih adalimumabom i 2,4% pacijenata iz kontrolne grupe. </w:t>
      </w:r>
    </w:p>
    <w:p w14:paraId="3416BA57" w14:textId="66F75B38" w:rsidR="00460E9D" w:rsidRPr="00F24057" w:rsidRDefault="00460E9D" w:rsidP="00D70B34">
      <w:pPr>
        <w:rPr>
          <w:szCs w:val="22"/>
          <w:lang w:val="sr-Latn-ME"/>
        </w:rPr>
      </w:pPr>
    </w:p>
    <w:p w14:paraId="1D08D858" w14:textId="3B018FA1" w:rsidR="00460E9D" w:rsidRPr="00F24057" w:rsidRDefault="00460E9D" w:rsidP="00D70B34">
      <w:pPr>
        <w:rPr>
          <w:szCs w:val="22"/>
          <w:lang w:val="sr-Latn-ME"/>
        </w:rPr>
      </w:pPr>
      <w:r w:rsidRPr="00F24057">
        <w:rPr>
          <w:szCs w:val="22"/>
          <w:lang w:val="sr-Latn-ME"/>
        </w:rPr>
        <w:t>U kontrolisan</w:t>
      </w:r>
      <w:r w:rsidR="00505B90" w:rsidRPr="00F24057">
        <w:rPr>
          <w:szCs w:val="22"/>
          <w:lang w:val="sr-Latn-ME"/>
        </w:rPr>
        <w:t>o</w:t>
      </w:r>
      <w:r w:rsidRPr="00F24057">
        <w:rPr>
          <w:szCs w:val="22"/>
          <w:lang w:val="sr-Latn-ME"/>
        </w:rPr>
        <w:t>m ispitivanj</w:t>
      </w:r>
      <w:r w:rsidR="00505B90" w:rsidRPr="00F24057">
        <w:rPr>
          <w:szCs w:val="22"/>
          <w:lang w:val="sr-Latn-ME"/>
        </w:rPr>
        <w:t>u</w:t>
      </w:r>
      <w:r w:rsidRPr="00F24057">
        <w:rPr>
          <w:szCs w:val="22"/>
          <w:lang w:val="sr-Latn-ME"/>
        </w:rPr>
        <w:t xml:space="preserve"> faze 3 adalimumaba kod pacijenata sa pedijatrijskim ulceroznim kolitisom (N=93) </w:t>
      </w:r>
      <w:r w:rsidR="005A68D2" w:rsidRPr="00F24057">
        <w:rPr>
          <w:szCs w:val="22"/>
          <w:lang w:val="sr-Latn-ME"/>
        </w:rPr>
        <w:t xml:space="preserve">u kojima su </w:t>
      </w:r>
      <w:r w:rsidR="004F2520" w:rsidRPr="00F24057">
        <w:rPr>
          <w:szCs w:val="22"/>
          <w:lang w:val="sr-Latn-ME"/>
        </w:rPr>
        <w:t>procjen</w:t>
      </w:r>
      <w:r w:rsidR="005A68D2" w:rsidRPr="00F24057">
        <w:rPr>
          <w:szCs w:val="22"/>
          <w:lang w:val="sr-Latn-ME"/>
        </w:rPr>
        <w:t xml:space="preserve">jivani efikasnost i </w:t>
      </w:r>
      <w:r w:rsidR="0030064A" w:rsidRPr="00F24057">
        <w:rPr>
          <w:szCs w:val="22"/>
          <w:lang w:val="sr-Latn-ME"/>
        </w:rPr>
        <w:t>bezbjedno</w:t>
      </w:r>
      <w:r w:rsidR="005A68D2" w:rsidRPr="00F24057">
        <w:rPr>
          <w:szCs w:val="22"/>
          <w:lang w:val="sr-Latn-ME"/>
        </w:rPr>
        <w:t xml:space="preserve">st </w:t>
      </w:r>
      <w:r w:rsidRPr="00F24057">
        <w:rPr>
          <w:szCs w:val="22"/>
          <w:lang w:val="sr-Latn-ME"/>
        </w:rPr>
        <w:t xml:space="preserve">doze održavanja od 0,6 mg/kg (maksimalno 40 mg) svake druge </w:t>
      </w:r>
      <w:r w:rsidR="00885A78" w:rsidRPr="00F24057">
        <w:rPr>
          <w:szCs w:val="22"/>
          <w:lang w:val="sr-Latn-ME"/>
        </w:rPr>
        <w:t>nedjelj</w:t>
      </w:r>
      <w:r w:rsidRPr="00F24057">
        <w:rPr>
          <w:szCs w:val="22"/>
          <w:lang w:val="sr-Latn-ME"/>
        </w:rPr>
        <w:t xml:space="preserve">e (N=31) i </w:t>
      </w:r>
      <w:r w:rsidR="005A68D2" w:rsidRPr="00F24057">
        <w:rPr>
          <w:szCs w:val="22"/>
          <w:lang w:val="sr-Latn-ME"/>
        </w:rPr>
        <w:t xml:space="preserve">doze </w:t>
      </w:r>
      <w:r w:rsidRPr="00F24057">
        <w:rPr>
          <w:szCs w:val="22"/>
          <w:lang w:val="sr-Latn-ME"/>
        </w:rPr>
        <w:t xml:space="preserve">održavanja od 0,6 mg/kg (maksimalno 40 mg) svake </w:t>
      </w:r>
      <w:r w:rsidR="00885A78" w:rsidRPr="00F24057">
        <w:rPr>
          <w:szCs w:val="22"/>
          <w:lang w:val="sr-Latn-ME"/>
        </w:rPr>
        <w:t>nedjelj</w:t>
      </w:r>
      <w:r w:rsidRPr="00F24057">
        <w:rPr>
          <w:szCs w:val="22"/>
          <w:lang w:val="sr-Latn-ME"/>
        </w:rPr>
        <w:t xml:space="preserve">e (N=32), nakon indukcione doze prilagođene </w:t>
      </w:r>
      <w:r w:rsidR="007E5568" w:rsidRPr="00F24057">
        <w:rPr>
          <w:szCs w:val="22"/>
          <w:lang w:val="sr-Latn-ME"/>
        </w:rPr>
        <w:t>tjeles</w:t>
      </w:r>
      <w:r w:rsidRPr="00F24057">
        <w:rPr>
          <w:szCs w:val="22"/>
          <w:lang w:val="sr-Latn-ME"/>
        </w:rPr>
        <w:t xml:space="preserve">noj </w:t>
      </w:r>
      <w:r w:rsidR="008C1DC3" w:rsidRPr="00F24057">
        <w:rPr>
          <w:szCs w:val="22"/>
          <w:lang w:val="sr-Latn-ME"/>
        </w:rPr>
        <w:t xml:space="preserve">masi </w:t>
      </w:r>
      <w:r w:rsidRPr="00F24057">
        <w:rPr>
          <w:szCs w:val="22"/>
          <w:lang w:val="sr-Latn-ME"/>
        </w:rPr>
        <w:t xml:space="preserve">od 2,4 mg/kg (maksimalno 160 mg) u </w:t>
      </w:r>
      <w:r w:rsidR="00106FD2" w:rsidRPr="00F24057">
        <w:rPr>
          <w:szCs w:val="22"/>
          <w:lang w:val="sr-Latn-ME"/>
        </w:rPr>
        <w:t>po</w:t>
      </w:r>
      <w:r w:rsidR="007A1D2C" w:rsidRPr="00F24057">
        <w:rPr>
          <w:szCs w:val="22"/>
          <w:lang w:val="sr-Latn-ME"/>
        </w:rPr>
        <w:t xml:space="preserve">četnoj </w:t>
      </w:r>
      <w:r w:rsidR="00885A78" w:rsidRPr="00F24057">
        <w:rPr>
          <w:szCs w:val="22"/>
          <w:lang w:val="sr-Latn-ME"/>
        </w:rPr>
        <w:t>nedjelj</w:t>
      </w:r>
      <w:r w:rsidR="007A1D2C" w:rsidRPr="00F24057">
        <w:rPr>
          <w:szCs w:val="22"/>
          <w:lang w:val="sr-Latn-ME"/>
        </w:rPr>
        <w:t xml:space="preserve">i (označena kao nulta </w:t>
      </w:r>
      <w:r w:rsidR="00885A78" w:rsidRPr="00F24057">
        <w:rPr>
          <w:szCs w:val="22"/>
          <w:lang w:val="sr-Latn-ME"/>
        </w:rPr>
        <w:t>nedjelj</w:t>
      </w:r>
      <w:r w:rsidR="007A1D2C" w:rsidRPr="00F24057">
        <w:rPr>
          <w:szCs w:val="22"/>
          <w:lang w:val="sr-Latn-ME"/>
        </w:rPr>
        <w:t>a</w:t>
      </w:r>
      <w:r w:rsidR="00C77FAE" w:rsidRPr="00F24057">
        <w:rPr>
          <w:szCs w:val="22"/>
          <w:lang w:val="sr-Latn-ME"/>
        </w:rPr>
        <w:t xml:space="preserve">, </w:t>
      </w:r>
      <w:r w:rsidR="00C77FAE" w:rsidRPr="00F24057">
        <w:rPr>
          <w:i/>
          <w:iCs/>
          <w:szCs w:val="22"/>
          <w:lang w:val="sr-Latn-ME"/>
        </w:rPr>
        <w:t>Week</w:t>
      </w:r>
      <w:r w:rsidR="00C77FAE" w:rsidRPr="00F24057">
        <w:rPr>
          <w:szCs w:val="22"/>
          <w:lang w:val="sr-Latn-ME"/>
        </w:rPr>
        <w:t xml:space="preserve"> 0)</w:t>
      </w:r>
      <w:r w:rsidR="005A68D2" w:rsidRPr="00F24057">
        <w:rPr>
          <w:szCs w:val="22"/>
          <w:lang w:val="sr-Latn-ME"/>
        </w:rPr>
        <w:t xml:space="preserve"> i 1. </w:t>
      </w:r>
      <w:r w:rsidR="00885A78" w:rsidRPr="00F24057">
        <w:rPr>
          <w:szCs w:val="22"/>
          <w:lang w:val="sr-Latn-ME"/>
        </w:rPr>
        <w:t>nedjelj</w:t>
      </w:r>
      <w:r w:rsidRPr="00F24057">
        <w:rPr>
          <w:szCs w:val="22"/>
          <w:lang w:val="sr-Latn-ME"/>
        </w:rPr>
        <w:t>i</w:t>
      </w:r>
      <w:r w:rsidR="005A68D2" w:rsidRPr="00F24057">
        <w:rPr>
          <w:szCs w:val="22"/>
          <w:lang w:val="sr-Latn-ME"/>
        </w:rPr>
        <w:t>,</w:t>
      </w:r>
      <w:r w:rsidRPr="00F24057">
        <w:rPr>
          <w:szCs w:val="22"/>
          <w:lang w:val="sr-Latn-ME"/>
        </w:rPr>
        <w:t xml:space="preserve"> i 1,2 mg/kg (maksimalno 80 mg) u 2. </w:t>
      </w:r>
      <w:r w:rsidR="00885A78" w:rsidRPr="00F24057">
        <w:rPr>
          <w:szCs w:val="22"/>
          <w:lang w:val="sr-Latn-ME"/>
        </w:rPr>
        <w:t>nedjelj</w:t>
      </w:r>
      <w:r w:rsidRPr="00F24057">
        <w:rPr>
          <w:szCs w:val="22"/>
          <w:lang w:val="sr-Latn-ME"/>
        </w:rPr>
        <w:t xml:space="preserve">i (N=63), ili </w:t>
      </w:r>
      <w:r w:rsidR="0014289C" w:rsidRPr="00F24057">
        <w:rPr>
          <w:szCs w:val="22"/>
          <w:lang w:val="sr-Latn-ME"/>
        </w:rPr>
        <w:t xml:space="preserve">nakon </w:t>
      </w:r>
      <w:r w:rsidRPr="00F24057">
        <w:rPr>
          <w:szCs w:val="22"/>
          <w:lang w:val="sr-Latn-ME"/>
        </w:rPr>
        <w:t>indukcion</w:t>
      </w:r>
      <w:r w:rsidR="0014289C" w:rsidRPr="00F24057">
        <w:rPr>
          <w:szCs w:val="22"/>
          <w:lang w:val="sr-Latn-ME"/>
        </w:rPr>
        <w:t>e</w:t>
      </w:r>
      <w:r w:rsidRPr="00F24057">
        <w:rPr>
          <w:szCs w:val="22"/>
          <w:lang w:val="sr-Latn-ME"/>
        </w:rPr>
        <w:t xml:space="preserve"> doz</w:t>
      </w:r>
      <w:r w:rsidR="0014289C" w:rsidRPr="00F24057">
        <w:rPr>
          <w:szCs w:val="22"/>
          <w:lang w:val="sr-Latn-ME"/>
        </w:rPr>
        <w:t>e</w:t>
      </w:r>
      <w:r w:rsidRPr="00F24057">
        <w:rPr>
          <w:szCs w:val="22"/>
          <w:lang w:val="sr-Latn-ME"/>
        </w:rPr>
        <w:t xml:space="preserve"> od 2,4 mg/kg (maksimalno 160 mg) u 0. </w:t>
      </w:r>
      <w:r w:rsidR="00885A78" w:rsidRPr="00F24057">
        <w:rPr>
          <w:szCs w:val="22"/>
          <w:lang w:val="sr-Latn-ME"/>
        </w:rPr>
        <w:t>nedjelj</w:t>
      </w:r>
      <w:r w:rsidRPr="00F24057">
        <w:rPr>
          <w:szCs w:val="22"/>
          <w:lang w:val="sr-Latn-ME"/>
        </w:rPr>
        <w:t xml:space="preserve">i, placebo u 1. </w:t>
      </w:r>
      <w:r w:rsidR="00885A78" w:rsidRPr="00F24057">
        <w:rPr>
          <w:szCs w:val="22"/>
          <w:lang w:val="sr-Latn-ME"/>
        </w:rPr>
        <w:t>nedjelj</w:t>
      </w:r>
      <w:r w:rsidRPr="00F24057">
        <w:rPr>
          <w:szCs w:val="22"/>
          <w:lang w:val="sr-Latn-ME"/>
        </w:rPr>
        <w:t xml:space="preserve">i i 1,2 mg/kg (maksimalno 80 mg) u </w:t>
      </w:r>
      <w:r w:rsidR="005A68D2" w:rsidRPr="00F24057">
        <w:rPr>
          <w:szCs w:val="22"/>
          <w:lang w:val="sr-Latn-ME"/>
        </w:rPr>
        <w:t xml:space="preserve">2. </w:t>
      </w:r>
      <w:r w:rsidR="00885A78" w:rsidRPr="00F24057">
        <w:rPr>
          <w:szCs w:val="22"/>
          <w:lang w:val="sr-Latn-ME"/>
        </w:rPr>
        <w:t>nedjelj</w:t>
      </w:r>
      <w:r w:rsidR="005A68D2" w:rsidRPr="00F24057">
        <w:rPr>
          <w:szCs w:val="22"/>
          <w:lang w:val="sr-Latn-ME"/>
        </w:rPr>
        <w:t>i</w:t>
      </w:r>
      <w:r w:rsidRPr="00F24057">
        <w:rPr>
          <w:szCs w:val="22"/>
          <w:lang w:val="sr-Latn-ME"/>
        </w:rPr>
        <w:t xml:space="preserve"> (N=30), pov</w:t>
      </w:r>
      <w:r w:rsidR="005A68D2" w:rsidRPr="00F24057">
        <w:rPr>
          <w:szCs w:val="22"/>
          <w:lang w:val="sr-Latn-ME"/>
        </w:rPr>
        <w:t xml:space="preserve">ećanje </w:t>
      </w:r>
      <w:r w:rsidR="00972894" w:rsidRPr="00F24057">
        <w:rPr>
          <w:szCs w:val="22"/>
          <w:lang w:val="sr-Latn-ME"/>
        </w:rPr>
        <w:t>vrijedno</w:t>
      </w:r>
      <w:r w:rsidR="005A68D2" w:rsidRPr="00F24057">
        <w:rPr>
          <w:szCs w:val="22"/>
          <w:lang w:val="sr-Latn-ME"/>
        </w:rPr>
        <w:t>sti</w:t>
      </w:r>
      <w:r w:rsidR="003E5C78" w:rsidRPr="00F24057">
        <w:rPr>
          <w:szCs w:val="22"/>
          <w:lang w:val="sr-Latn-ME"/>
        </w:rPr>
        <w:t xml:space="preserve"> </w:t>
      </w:r>
      <w:r w:rsidRPr="00F24057">
        <w:rPr>
          <w:szCs w:val="22"/>
          <w:lang w:val="sr-Latn-ME"/>
        </w:rPr>
        <w:t xml:space="preserve">ALT ≥ 3 </w:t>
      </w:r>
      <w:r w:rsidR="005A68D2" w:rsidRPr="00F24057">
        <w:rPr>
          <w:szCs w:val="22"/>
          <w:lang w:val="sr-Latn-ME"/>
        </w:rPr>
        <w:t>x</w:t>
      </w:r>
      <w:r w:rsidRPr="00F24057">
        <w:rPr>
          <w:szCs w:val="22"/>
          <w:lang w:val="sr-Latn-ME"/>
        </w:rPr>
        <w:t xml:space="preserve"> </w:t>
      </w:r>
      <w:r w:rsidR="005A68D2" w:rsidRPr="00F24057">
        <w:rPr>
          <w:szCs w:val="22"/>
          <w:lang w:val="sr-Latn-ME"/>
        </w:rPr>
        <w:t>GGN</w:t>
      </w:r>
      <w:r w:rsidRPr="00F24057">
        <w:rPr>
          <w:szCs w:val="22"/>
          <w:lang w:val="sr-Latn-ME"/>
        </w:rPr>
        <w:t xml:space="preserve"> javilo se kod 1,1% (1/93) pacijenata.</w:t>
      </w:r>
    </w:p>
    <w:p w14:paraId="764DEB72" w14:textId="77777777" w:rsidR="005A68D2" w:rsidRPr="00F24057" w:rsidRDefault="005A68D2" w:rsidP="00D70B34">
      <w:pPr>
        <w:rPr>
          <w:szCs w:val="22"/>
          <w:lang w:val="sr-Latn-ME"/>
        </w:rPr>
      </w:pPr>
    </w:p>
    <w:p w14:paraId="149FF3A4" w14:textId="2E844BD8" w:rsidR="0040462B" w:rsidRPr="00F24057" w:rsidRDefault="000839CB" w:rsidP="00D70B34">
      <w:pPr>
        <w:rPr>
          <w:szCs w:val="22"/>
          <w:u w:val="single"/>
          <w:lang w:val="sr-Latn-ME"/>
        </w:rPr>
      </w:pPr>
      <w:r w:rsidRPr="00F24057">
        <w:rPr>
          <w:szCs w:val="22"/>
          <w:lang w:val="sr-Latn-ME"/>
        </w:rPr>
        <w:t xml:space="preserve">U svim ispitivanjima, u svim indikacijama, pacijenti sa povećanim </w:t>
      </w:r>
      <w:r w:rsidR="00972894" w:rsidRPr="00F24057">
        <w:rPr>
          <w:szCs w:val="22"/>
          <w:lang w:val="sr-Latn-ME"/>
        </w:rPr>
        <w:t>vrijedno</w:t>
      </w:r>
      <w:r w:rsidRPr="00F24057">
        <w:rPr>
          <w:szCs w:val="22"/>
          <w:lang w:val="sr-Latn-ME"/>
        </w:rPr>
        <w:t xml:space="preserve">stima ALT su bili asimptomatični i u većini slučajeva povećanje </w:t>
      </w:r>
      <w:r w:rsidR="00972894" w:rsidRPr="00F24057">
        <w:rPr>
          <w:szCs w:val="22"/>
          <w:lang w:val="sr-Latn-ME"/>
        </w:rPr>
        <w:t>vrijedno</w:t>
      </w:r>
      <w:r w:rsidRPr="00F24057">
        <w:rPr>
          <w:szCs w:val="22"/>
          <w:lang w:val="sr-Latn-ME"/>
        </w:rPr>
        <w:t>sti je bilo prolazno i r</w:t>
      </w:r>
      <w:r w:rsidR="00972894" w:rsidRPr="00F24057">
        <w:rPr>
          <w:szCs w:val="22"/>
          <w:lang w:val="sr-Latn-ME"/>
        </w:rPr>
        <w:t>ij</w:t>
      </w:r>
      <w:r w:rsidRPr="00F24057">
        <w:rPr>
          <w:szCs w:val="22"/>
          <w:lang w:val="sr-Latn-ME"/>
        </w:rPr>
        <w:t xml:space="preserve">ešilo se tokom samog </w:t>
      </w:r>
      <w:r w:rsidR="00885A78" w:rsidRPr="00F24057">
        <w:rPr>
          <w:szCs w:val="22"/>
          <w:lang w:val="sr-Latn-ME"/>
        </w:rPr>
        <w:t>liječenj</w:t>
      </w:r>
      <w:r w:rsidRPr="00F24057">
        <w:rPr>
          <w:szCs w:val="22"/>
          <w:lang w:val="sr-Latn-ME"/>
        </w:rPr>
        <w:t>a. Međutim, postoje postmarketinški izv</w:t>
      </w:r>
      <w:r w:rsidR="00972894" w:rsidRPr="00F24057">
        <w:rPr>
          <w:szCs w:val="22"/>
          <w:lang w:val="sr-Latn-ME"/>
        </w:rPr>
        <w:t>j</w:t>
      </w:r>
      <w:r w:rsidRPr="00F24057">
        <w:rPr>
          <w:szCs w:val="22"/>
          <w:lang w:val="sr-Latn-ME"/>
        </w:rPr>
        <w:t>eštaji insuficijencije jetre, kao i manje ozbiljnih reakcija koje mogu prethoditi otkazivanju funkcije jetre kao što su hepatitis, uključujući autoimunski hepatitis, kod pacijenata koji su primali adalimumab.</w:t>
      </w:r>
    </w:p>
    <w:p w14:paraId="20123684" w14:textId="75C22869" w:rsidR="000839CB" w:rsidRPr="00F24057" w:rsidRDefault="000839CB" w:rsidP="00D70B34">
      <w:pPr>
        <w:rPr>
          <w:szCs w:val="22"/>
          <w:u w:val="single"/>
          <w:lang w:val="sr-Latn-ME"/>
        </w:rPr>
      </w:pPr>
    </w:p>
    <w:p w14:paraId="2358063F" w14:textId="0A87447B" w:rsidR="000839CB" w:rsidRPr="00F24057" w:rsidRDefault="000839CB" w:rsidP="00D70B34">
      <w:pPr>
        <w:rPr>
          <w:szCs w:val="22"/>
          <w:u w:val="single"/>
          <w:lang w:val="sr-Latn-ME"/>
        </w:rPr>
      </w:pPr>
      <w:r w:rsidRPr="00F24057">
        <w:rPr>
          <w:szCs w:val="22"/>
          <w:u w:val="single"/>
          <w:lang w:val="sr-Latn-ME"/>
        </w:rPr>
        <w:t xml:space="preserve">Istovremena </w:t>
      </w:r>
      <w:r w:rsidR="0030064A" w:rsidRPr="00F24057">
        <w:rPr>
          <w:szCs w:val="22"/>
          <w:u w:val="single"/>
          <w:lang w:val="sr-Latn-ME"/>
        </w:rPr>
        <w:t>primjen</w:t>
      </w:r>
      <w:r w:rsidRPr="00F24057">
        <w:rPr>
          <w:szCs w:val="22"/>
          <w:u w:val="single"/>
          <w:lang w:val="sr-Latn-ME"/>
        </w:rPr>
        <w:t xml:space="preserve">a sa azatioprinom ili 6-merkaptopurinom </w:t>
      </w:r>
    </w:p>
    <w:p w14:paraId="768C1777" w14:textId="77777777" w:rsidR="000839CB" w:rsidRPr="00F24057" w:rsidRDefault="000839CB" w:rsidP="00D70B34">
      <w:pPr>
        <w:rPr>
          <w:szCs w:val="22"/>
          <w:lang w:val="sr-Latn-ME"/>
        </w:rPr>
      </w:pPr>
    </w:p>
    <w:p w14:paraId="7824130A" w14:textId="345AA837" w:rsidR="000839CB" w:rsidRPr="00F24057" w:rsidRDefault="000839CB" w:rsidP="00D70B34">
      <w:pPr>
        <w:rPr>
          <w:szCs w:val="22"/>
          <w:u w:val="single"/>
          <w:lang w:val="sr-Latn-ME"/>
        </w:rPr>
      </w:pPr>
      <w:r w:rsidRPr="00F24057">
        <w:rPr>
          <w:szCs w:val="22"/>
          <w:lang w:val="sr-Latn-ME"/>
        </w:rPr>
        <w:t xml:space="preserve">U ispitivanjima kod odraslih pacijenata sa </w:t>
      </w:r>
      <w:r w:rsidR="00DA2306" w:rsidRPr="00F24057">
        <w:rPr>
          <w:i/>
          <w:iCs/>
          <w:szCs w:val="22"/>
          <w:lang w:val="sr-Latn-ME"/>
        </w:rPr>
        <w:t>Crohn</w:t>
      </w:r>
      <w:r w:rsidRPr="00F24057">
        <w:rPr>
          <w:szCs w:val="22"/>
          <w:lang w:val="sr-Latn-ME"/>
        </w:rPr>
        <w:t>-ovom bolešću, uočena je veća učestalost malignih i ozbiljnih neželjenih događaja povezanih sa infekcijama prilikom istovremene upotrebe adalimumaba i azatioprina/6-merkaptopurina u poređenju sa monoterapijom adalimumabom.</w:t>
      </w:r>
    </w:p>
    <w:p w14:paraId="072D43D4" w14:textId="77777777" w:rsidR="00CE09F3" w:rsidRPr="00F24057" w:rsidRDefault="00CE09F3" w:rsidP="00D70B34">
      <w:pPr>
        <w:rPr>
          <w:szCs w:val="22"/>
          <w:u w:val="single"/>
          <w:lang w:val="sr-Latn-ME"/>
        </w:rPr>
      </w:pPr>
    </w:p>
    <w:p w14:paraId="072D43D5" w14:textId="558661A9" w:rsidR="00CE09F3" w:rsidRPr="00F24057" w:rsidRDefault="00CE09F3" w:rsidP="00D70B34">
      <w:pPr>
        <w:rPr>
          <w:szCs w:val="22"/>
          <w:u w:val="single"/>
          <w:lang w:val="sr-Latn-ME"/>
        </w:rPr>
      </w:pPr>
      <w:r w:rsidRPr="00F24057">
        <w:rPr>
          <w:szCs w:val="22"/>
          <w:u w:val="single"/>
          <w:lang w:val="sr-Latn-ME"/>
        </w:rPr>
        <w:t xml:space="preserve">Prijavljivanje </w:t>
      </w:r>
      <w:r w:rsidR="00A73FDA" w:rsidRPr="00F24057">
        <w:rPr>
          <w:szCs w:val="22"/>
          <w:u w:val="single"/>
          <w:lang w:val="sr-Latn-ME"/>
        </w:rPr>
        <w:t xml:space="preserve">sumnji na </w:t>
      </w:r>
      <w:r w:rsidRPr="00F24057">
        <w:rPr>
          <w:szCs w:val="22"/>
          <w:u w:val="single"/>
          <w:lang w:val="sr-Latn-ME"/>
        </w:rPr>
        <w:t>neželjen</w:t>
      </w:r>
      <w:r w:rsidR="00A73FDA" w:rsidRPr="00F24057">
        <w:rPr>
          <w:szCs w:val="22"/>
          <w:u w:val="single"/>
          <w:lang w:val="sr-Latn-ME"/>
        </w:rPr>
        <w:t>a</w:t>
      </w:r>
      <w:r w:rsidRPr="00F24057">
        <w:rPr>
          <w:szCs w:val="22"/>
          <w:u w:val="single"/>
          <w:lang w:val="sr-Latn-ME"/>
        </w:rPr>
        <w:t xml:space="preserve"> </w:t>
      </w:r>
      <w:r w:rsidR="00A73FDA" w:rsidRPr="00F24057">
        <w:rPr>
          <w:szCs w:val="22"/>
          <w:u w:val="single"/>
          <w:lang w:val="sr-Latn-ME"/>
        </w:rPr>
        <w:t>de</w:t>
      </w:r>
      <w:r w:rsidRPr="00F24057">
        <w:rPr>
          <w:szCs w:val="22"/>
          <w:u w:val="single"/>
          <w:lang w:val="sr-Latn-ME"/>
        </w:rPr>
        <w:t>j</w:t>
      </w:r>
      <w:r w:rsidR="00A73FDA" w:rsidRPr="00F24057">
        <w:rPr>
          <w:szCs w:val="22"/>
          <w:u w:val="single"/>
          <w:lang w:val="sr-Latn-ME"/>
        </w:rPr>
        <w:t>stv</w:t>
      </w:r>
      <w:r w:rsidRPr="00F24057">
        <w:rPr>
          <w:szCs w:val="22"/>
          <w:u w:val="single"/>
          <w:lang w:val="sr-Latn-ME"/>
        </w:rPr>
        <w:t>a</w:t>
      </w:r>
    </w:p>
    <w:p w14:paraId="072D43D6" w14:textId="77777777" w:rsidR="00CE09F3" w:rsidRPr="00F24057" w:rsidRDefault="00CE09F3" w:rsidP="00D70B34">
      <w:pPr>
        <w:rPr>
          <w:szCs w:val="22"/>
          <w:u w:val="single"/>
          <w:lang w:val="sr-Latn-ME"/>
        </w:rPr>
      </w:pPr>
    </w:p>
    <w:p w14:paraId="0F473341" w14:textId="1F5D8150" w:rsidR="007A20AA" w:rsidRPr="00F24057" w:rsidRDefault="007A20AA" w:rsidP="007A20AA">
      <w:pPr>
        <w:spacing w:after="200"/>
        <w:rPr>
          <w:rFonts w:eastAsia="Calibri"/>
          <w:szCs w:val="22"/>
          <w:lang w:val="sr-Latn-ME"/>
        </w:rPr>
      </w:pPr>
      <w:r w:rsidRPr="00F24057">
        <w:rPr>
          <w:rFonts w:eastAsia="Calibri"/>
          <w:szCs w:val="22"/>
          <w:lang w:val="sr-Latn-ME"/>
        </w:rPr>
        <w:t>Prijavljivanje neželjenih dejstava nakon dobijanja dozvole je od velikog značaja jer </w:t>
      </w:r>
      <w:r w:rsidR="00671751" w:rsidRPr="00F24057">
        <w:rPr>
          <w:rFonts w:eastAsia="Calibri"/>
          <w:szCs w:val="22"/>
          <w:lang w:val="sr-Latn-ME"/>
        </w:rPr>
        <w:t>obje</w:t>
      </w:r>
      <w:r w:rsidRPr="00F24057">
        <w:rPr>
          <w:rFonts w:eastAsia="Calibri"/>
          <w:szCs w:val="22"/>
          <w:lang w:val="sr-Latn-ME"/>
        </w:rPr>
        <w:t>zbjeđuje kontinuirano praćenje odnosa korist/rizik primjene lijeka. Zdravstveni radnici treba da prijave svaku sumnju na neželjeno dejstvo ovog lijeka Institutu za ljekove i medicinska sredstva (CInMED):</w:t>
      </w:r>
    </w:p>
    <w:p w14:paraId="39860979" w14:textId="77777777" w:rsidR="007A20AA" w:rsidRPr="00F24057" w:rsidRDefault="007A20AA" w:rsidP="007A20AA">
      <w:pPr>
        <w:pStyle w:val="NoSpacing"/>
        <w:jc w:val="both"/>
        <w:rPr>
          <w:rFonts w:eastAsia="Calibri"/>
          <w:sz w:val="22"/>
          <w:szCs w:val="22"/>
          <w:lang w:val="sr-Latn-ME"/>
        </w:rPr>
      </w:pPr>
      <w:r w:rsidRPr="00F24057">
        <w:rPr>
          <w:rFonts w:eastAsia="Calibri"/>
          <w:sz w:val="22"/>
          <w:szCs w:val="22"/>
          <w:lang w:val="sr-Latn-ME"/>
        </w:rPr>
        <w:t xml:space="preserve">Institut za ljekove i medicinska sredstva </w:t>
      </w:r>
    </w:p>
    <w:p w14:paraId="66263E06" w14:textId="77777777" w:rsidR="007A20AA" w:rsidRPr="00F24057" w:rsidRDefault="007A20AA" w:rsidP="007A20AA">
      <w:pPr>
        <w:pStyle w:val="NoSpacing"/>
        <w:jc w:val="both"/>
        <w:rPr>
          <w:rFonts w:eastAsia="Calibri"/>
          <w:sz w:val="22"/>
          <w:szCs w:val="22"/>
          <w:lang w:val="sr-Latn-ME"/>
        </w:rPr>
      </w:pPr>
      <w:r w:rsidRPr="00F24057">
        <w:rPr>
          <w:rFonts w:eastAsia="Calibri"/>
          <w:sz w:val="22"/>
          <w:szCs w:val="22"/>
          <w:lang w:val="sr-Latn-ME"/>
        </w:rPr>
        <w:t>Odjeljenje za farmakovigilancu</w:t>
      </w:r>
    </w:p>
    <w:p w14:paraId="64264890" w14:textId="77777777" w:rsidR="007A20AA" w:rsidRPr="00F24057" w:rsidRDefault="007A20AA" w:rsidP="007A20AA">
      <w:pPr>
        <w:pStyle w:val="NoSpacing"/>
        <w:jc w:val="both"/>
        <w:rPr>
          <w:rFonts w:eastAsia="Calibri"/>
          <w:sz w:val="22"/>
          <w:szCs w:val="22"/>
          <w:lang w:val="sr-Latn-ME"/>
        </w:rPr>
      </w:pPr>
      <w:r w:rsidRPr="00F24057">
        <w:rPr>
          <w:rFonts w:eastAsia="Calibri"/>
          <w:sz w:val="22"/>
          <w:szCs w:val="22"/>
          <w:lang w:val="sr-Latn-ME"/>
        </w:rPr>
        <w:t>Bulevar Ivana Crnojevića 64a, 81000 Podgorica</w:t>
      </w:r>
    </w:p>
    <w:p w14:paraId="2BBABB18" w14:textId="77777777" w:rsidR="007A20AA" w:rsidRPr="00F24057" w:rsidRDefault="007A20AA" w:rsidP="007A20AA">
      <w:pPr>
        <w:pStyle w:val="NoSpacing"/>
        <w:rPr>
          <w:rFonts w:eastAsia="Calibri"/>
          <w:sz w:val="22"/>
          <w:szCs w:val="22"/>
          <w:lang w:val="sr-Latn-ME"/>
        </w:rPr>
      </w:pPr>
    </w:p>
    <w:p w14:paraId="35A84815" w14:textId="77777777" w:rsidR="007A20AA" w:rsidRPr="00F24057" w:rsidRDefault="007A20AA" w:rsidP="007A20AA">
      <w:pPr>
        <w:pStyle w:val="NoSpacing"/>
        <w:jc w:val="both"/>
        <w:rPr>
          <w:rFonts w:eastAsia="Calibri"/>
          <w:sz w:val="22"/>
          <w:szCs w:val="22"/>
          <w:lang w:val="sr-Latn-ME"/>
        </w:rPr>
      </w:pPr>
      <w:r w:rsidRPr="00F24057">
        <w:rPr>
          <w:rFonts w:eastAsia="Calibri"/>
          <w:sz w:val="22"/>
          <w:szCs w:val="22"/>
          <w:lang w:val="sr-Latn-ME"/>
        </w:rPr>
        <w:t>tel: +382 (0) 20 310 280</w:t>
      </w:r>
    </w:p>
    <w:p w14:paraId="13E22898" w14:textId="77777777" w:rsidR="007A20AA" w:rsidRPr="00F24057" w:rsidRDefault="007A20AA" w:rsidP="007A20AA">
      <w:pPr>
        <w:pStyle w:val="NoSpacing"/>
        <w:tabs>
          <w:tab w:val="left" w:pos="6720"/>
        </w:tabs>
        <w:jc w:val="both"/>
        <w:rPr>
          <w:rFonts w:eastAsia="Calibri"/>
          <w:sz w:val="22"/>
          <w:szCs w:val="22"/>
          <w:lang w:val="sr-Latn-ME"/>
        </w:rPr>
      </w:pPr>
      <w:r w:rsidRPr="00F24057">
        <w:rPr>
          <w:rFonts w:eastAsia="Calibri"/>
          <w:sz w:val="22"/>
          <w:szCs w:val="22"/>
          <w:lang w:val="sr-Latn-ME"/>
        </w:rPr>
        <w:t>fax: +382 (0) 20 310 581</w:t>
      </w:r>
      <w:r w:rsidRPr="00F24057">
        <w:rPr>
          <w:rFonts w:eastAsia="Calibri"/>
          <w:sz w:val="22"/>
          <w:szCs w:val="22"/>
          <w:lang w:val="sr-Latn-ME"/>
        </w:rPr>
        <w:tab/>
      </w:r>
    </w:p>
    <w:p w14:paraId="663C1653" w14:textId="77777777" w:rsidR="007A20AA" w:rsidRPr="00F24057" w:rsidRDefault="0011161E" w:rsidP="007A20AA">
      <w:pPr>
        <w:pStyle w:val="NoSpacing"/>
        <w:jc w:val="both"/>
        <w:rPr>
          <w:rFonts w:eastAsia="Calibri"/>
          <w:sz w:val="22"/>
          <w:szCs w:val="22"/>
          <w:lang w:val="sr-Latn-ME"/>
        </w:rPr>
      </w:pPr>
      <w:hyperlink r:id="rId12" w:history="1">
        <w:r w:rsidR="007A20AA" w:rsidRPr="00F24057">
          <w:rPr>
            <w:rStyle w:val="Hyperlink"/>
            <w:rFonts w:eastAsia="Calibri"/>
            <w:sz w:val="22"/>
            <w:szCs w:val="22"/>
            <w:lang w:val="sr-Latn-ME"/>
          </w:rPr>
          <w:t>www.cinmed.me</w:t>
        </w:r>
      </w:hyperlink>
    </w:p>
    <w:p w14:paraId="2A315674" w14:textId="77777777" w:rsidR="007A20AA" w:rsidRPr="00F24057" w:rsidRDefault="0011161E" w:rsidP="007A20AA">
      <w:pPr>
        <w:pStyle w:val="NoSpacing"/>
        <w:jc w:val="both"/>
        <w:rPr>
          <w:rFonts w:eastAsia="Calibri"/>
          <w:color w:val="0000FF"/>
          <w:sz w:val="22"/>
          <w:szCs w:val="22"/>
          <w:u w:val="single"/>
          <w:lang w:val="sr-Latn-ME"/>
        </w:rPr>
      </w:pPr>
      <w:hyperlink r:id="rId13" w:history="1">
        <w:r w:rsidR="007A20AA" w:rsidRPr="00F24057">
          <w:rPr>
            <w:rStyle w:val="Hyperlink"/>
            <w:rFonts w:eastAsia="Calibri"/>
            <w:sz w:val="22"/>
            <w:szCs w:val="22"/>
            <w:lang w:val="sr-Latn-ME"/>
          </w:rPr>
          <w:t>nezeljenadejstva@cinmed.me</w:t>
        </w:r>
      </w:hyperlink>
    </w:p>
    <w:p w14:paraId="41CE73FC" w14:textId="77777777" w:rsidR="007A20AA" w:rsidRPr="00F24057" w:rsidRDefault="007A20AA" w:rsidP="007A20AA">
      <w:pPr>
        <w:pStyle w:val="NoSpacing"/>
        <w:jc w:val="both"/>
        <w:rPr>
          <w:rFonts w:eastAsia="Calibri"/>
          <w:sz w:val="22"/>
          <w:szCs w:val="22"/>
          <w:lang w:val="sr-Latn-ME"/>
        </w:rPr>
      </w:pPr>
      <w:r w:rsidRPr="00F24057">
        <w:rPr>
          <w:rFonts w:eastAsia="Calibri"/>
          <w:sz w:val="22"/>
          <w:szCs w:val="22"/>
          <w:lang w:val="sr-Latn-ME"/>
        </w:rPr>
        <w:t>putem IS zdravstvene zaštite</w:t>
      </w:r>
    </w:p>
    <w:p w14:paraId="28446E34" w14:textId="77777777" w:rsidR="007A20AA" w:rsidRPr="00F24057" w:rsidRDefault="007A20AA" w:rsidP="007A20AA">
      <w:pPr>
        <w:pStyle w:val="NoSpacing"/>
        <w:jc w:val="both"/>
        <w:rPr>
          <w:rFonts w:eastAsia="Calibri"/>
          <w:sz w:val="22"/>
          <w:szCs w:val="22"/>
          <w:lang w:val="sr-Latn-ME"/>
        </w:rPr>
      </w:pPr>
      <w:r w:rsidRPr="00F24057">
        <w:rPr>
          <w:rFonts w:eastAsia="Calibri"/>
          <w:sz w:val="22"/>
          <w:szCs w:val="22"/>
          <w:lang w:val="sr-Latn-ME"/>
        </w:rPr>
        <w:t>QR kod za online prijavu sumnje na neželjeno dejstvo lijeka:</w:t>
      </w:r>
    </w:p>
    <w:p w14:paraId="64448AB1" w14:textId="77777777" w:rsidR="007A20AA" w:rsidRPr="00F24057" w:rsidRDefault="007A20AA" w:rsidP="007A20AA">
      <w:pPr>
        <w:pStyle w:val="NoSpacing"/>
        <w:jc w:val="both"/>
        <w:rPr>
          <w:rFonts w:eastAsia="Calibri"/>
          <w:sz w:val="22"/>
          <w:szCs w:val="22"/>
          <w:lang w:val="sr-Latn-ME"/>
        </w:rPr>
      </w:pPr>
    </w:p>
    <w:p w14:paraId="3489A548" w14:textId="4543AD39" w:rsidR="007A20AA" w:rsidRPr="00F24057" w:rsidRDefault="007D7758" w:rsidP="007A20AA">
      <w:pPr>
        <w:pStyle w:val="NoSpacing"/>
        <w:rPr>
          <w:rFonts w:eastAsia="Calibri"/>
          <w:sz w:val="22"/>
          <w:szCs w:val="22"/>
          <w:lang w:val="sr-Latn-ME"/>
        </w:rPr>
      </w:pPr>
      <w:r w:rsidRPr="00F24057">
        <w:rPr>
          <w:noProof/>
          <w:sz w:val="22"/>
          <w:szCs w:val="22"/>
        </w:rPr>
        <w:drawing>
          <wp:inline distT="0" distB="0" distL="0" distR="0" wp14:anchorId="5C829DB5" wp14:editId="5A20BD26">
            <wp:extent cx="982980" cy="975360"/>
            <wp:effectExtent l="0" t="0" r="7620" b="0"/>
            <wp:docPr id="544051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2980" cy="975360"/>
                    </a:xfrm>
                    <a:prstGeom prst="rect">
                      <a:avLst/>
                    </a:prstGeom>
                    <a:noFill/>
                    <a:ln>
                      <a:noFill/>
                    </a:ln>
                  </pic:spPr>
                </pic:pic>
              </a:graphicData>
            </a:graphic>
          </wp:inline>
        </w:drawing>
      </w:r>
      <w:r w:rsidRPr="00F24057">
        <w:rPr>
          <w:noProof/>
          <w:sz w:val="22"/>
          <w:szCs w:val="22"/>
        </w:rPr>
        <w:t xml:space="preserve"> </w:t>
      </w:r>
    </w:p>
    <w:p w14:paraId="072D43E0" w14:textId="77777777" w:rsidR="00CE09F3" w:rsidRPr="00F24057" w:rsidRDefault="00CE09F3" w:rsidP="00D70B34">
      <w:pPr>
        <w:rPr>
          <w:szCs w:val="22"/>
          <w:lang w:val="sr-Latn-ME"/>
        </w:rPr>
      </w:pPr>
    </w:p>
    <w:p w14:paraId="072D43E1" w14:textId="77777777" w:rsidR="00CE09F3" w:rsidRPr="00F24057" w:rsidRDefault="00CE09F3" w:rsidP="00D70B34">
      <w:pPr>
        <w:rPr>
          <w:b/>
          <w:bCs/>
          <w:szCs w:val="22"/>
          <w:lang w:val="sr-Latn-ME"/>
        </w:rPr>
      </w:pPr>
      <w:r w:rsidRPr="00F24057">
        <w:rPr>
          <w:b/>
          <w:bCs/>
          <w:szCs w:val="22"/>
          <w:lang w:val="sr-Latn-ME"/>
        </w:rPr>
        <w:t>4.9. Predoziranje</w:t>
      </w:r>
    </w:p>
    <w:p w14:paraId="072D43E2" w14:textId="77777777" w:rsidR="00CE09F3" w:rsidRPr="00F24057" w:rsidRDefault="00CE09F3" w:rsidP="00D70B34">
      <w:pPr>
        <w:rPr>
          <w:szCs w:val="22"/>
          <w:lang w:val="sr-Latn-ME"/>
        </w:rPr>
      </w:pPr>
    </w:p>
    <w:p w14:paraId="072D43E3" w14:textId="1E106B63" w:rsidR="00CE09F3" w:rsidRPr="00F24057" w:rsidRDefault="005A68D2" w:rsidP="00D70B34">
      <w:pPr>
        <w:rPr>
          <w:szCs w:val="22"/>
          <w:lang w:val="sr-Latn-ME"/>
        </w:rPr>
      </w:pPr>
      <w:r w:rsidRPr="00F24057">
        <w:rPr>
          <w:szCs w:val="22"/>
          <w:lang w:val="sr-Latn-ME"/>
        </w:rPr>
        <w:lastRenderedPageBreak/>
        <w:t xml:space="preserve">U kliničkim ispitivanjima nisu </w:t>
      </w:r>
      <w:r w:rsidR="00911D74" w:rsidRPr="00F24057">
        <w:rPr>
          <w:szCs w:val="22"/>
          <w:lang w:val="sr-Latn-ME"/>
        </w:rPr>
        <w:t>primijećene</w:t>
      </w:r>
      <w:r w:rsidRPr="00F24057">
        <w:rPr>
          <w:szCs w:val="22"/>
          <w:lang w:val="sr-Latn-ME"/>
        </w:rPr>
        <w:t xml:space="preserve"> toksične reakcije koje bi ograničavale dozu. Najveća ispitivana doza bila je višestruka intravenska doza od 10 mg/kg, koja je oko 15 puta veća od preporučene doze.</w:t>
      </w:r>
    </w:p>
    <w:p w14:paraId="30192621" w14:textId="77777777" w:rsidR="0011242F" w:rsidRPr="00F24057" w:rsidRDefault="0011242F" w:rsidP="00D70B34">
      <w:pPr>
        <w:pStyle w:val="NASLOV123"/>
        <w:spacing w:before="0" w:after="0"/>
        <w:rPr>
          <w:lang w:val="sr-Latn-ME"/>
        </w:rPr>
      </w:pPr>
    </w:p>
    <w:p w14:paraId="4153458E" w14:textId="77777777" w:rsidR="0011242F" w:rsidRPr="00F24057" w:rsidRDefault="0011242F" w:rsidP="00D70B34">
      <w:pPr>
        <w:pStyle w:val="NASLOV123"/>
        <w:spacing w:before="0" w:after="0"/>
        <w:rPr>
          <w:lang w:val="sr-Latn-ME"/>
        </w:rPr>
      </w:pPr>
    </w:p>
    <w:p w14:paraId="072D43E4" w14:textId="4FD88AD7" w:rsidR="00CE09F3" w:rsidRPr="00F24057" w:rsidRDefault="00CE09F3" w:rsidP="00D70B34">
      <w:pPr>
        <w:pStyle w:val="NASLOV123"/>
        <w:spacing w:before="0" w:after="0"/>
        <w:rPr>
          <w:lang w:val="sr-Latn-ME"/>
        </w:rPr>
      </w:pPr>
      <w:r w:rsidRPr="00F24057">
        <w:rPr>
          <w:lang w:val="sr-Latn-ME"/>
        </w:rPr>
        <w:t>5. FARMAKOLOŠKI PODACI</w:t>
      </w:r>
    </w:p>
    <w:p w14:paraId="43B33430" w14:textId="77777777" w:rsidR="0011242F" w:rsidRPr="00F24057" w:rsidRDefault="0011242F" w:rsidP="00D70B34">
      <w:pPr>
        <w:rPr>
          <w:b/>
          <w:bCs/>
          <w:szCs w:val="22"/>
          <w:lang w:val="sr-Latn-ME"/>
        </w:rPr>
      </w:pPr>
    </w:p>
    <w:p w14:paraId="072D43E5" w14:textId="32A01E32" w:rsidR="00CE09F3" w:rsidRPr="00F24057" w:rsidRDefault="00CE09F3" w:rsidP="00D70B34">
      <w:pPr>
        <w:rPr>
          <w:b/>
          <w:bCs/>
          <w:szCs w:val="22"/>
          <w:lang w:val="sr-Latn-ME"/>
        </w:rPr>
      </w:pPr>
      <w:r w:rsidRPr="00F24057">
        <w:rPr>
          <w:b/>
          <w:bCs/>
          <w:szCs w:val="22"/>
          <w:lang w:val="sr-Latn-ME"/>
        </w:rPr>
        <w:t>5.1. Farmakodinamski podaci</w:t>
      </w:r>
    </w:p>
    <w:p w14:paraId="2C0DC8FC" w14:textId="77777777" w:rsidR="0011242F" w:rsidRPr="00F24057" w:rsidRDefault="0011242F" w:rsidP="00D70B34">
      <w:pPr>
        <w:rPr>
          <w:b/>
          <w:bCs/>
          <w:szCs w:val="22"/>
          <w:lang w:val="sr-Latn-ME"/>
        </w:rPr>
      </w:pPr>
    </w:p>
    <w:p w14:paraId="072D43E6" w14:textId="4CE5EEFA" w:rsidR="00CE09F3" w:rsidRPr="00F24057" w:rsidRDefault="00CE09F3" w:rsidP="00D70B34">
      <w:pPr>
        <w:rPr>
          <w:b/>
          <w:bCs/>
          <w:szCs w:val="22"/>
          <w:lang w:val="sr-Latn-ME"/>
        </w:rPr>
      </w:pPr>
      <w:r w:rsidRPr="00F24057">
        <w:rPr>
          <w:b/>
          <w:bCs/>
          <w:szCs w:val="22"/>
          <w:lang w:val="sr-Latn-ME"/>
        </w:rPr>
        <w:t>Farmakoterapijska grupa:</w:t>
      </w:r>
      <w:r w:rsidR="00641378" w:rsidRPr="00F24057">
        <w:rPr>
          <w:szCs w:val="22"/>
          <w:lang w:val="sr-Latn-ME"/>
        </w:rPr>
        <w:t xml:space="preserve"> imunosupresivna sredstva; inhibitori faktora nekroze tumora alfa (TNF-α).</w:t>
      </w:r>
    </w:p>
    <w:p w14:paraId="072D43E8" w14:textId="1DE63347" w:rsidR="00CE09F3" w:rsidRPr="00F24057" w:rsidRDefault="00CE09F3" w:rsidP="00D70B34">
      <w:pPr>
        <w:rPr>
          <w:b/>
          <w:bCs/>
          <w:szCs w:val="22"/>
          <w:lang w:val="sr-Latn-ME"/>
        </w:rPr>
      </w:pPr>
      <w:r w:rsidRPr="00F24057">
        <w:rPr>
          <w:b/>
          <w:bCs/>
          <w:szCs w:val="22"/>
          <w:lang w:val="sr-Latn-ME"/>
        </w:rPr>
        <w:t xml:space="preserve">ATC </w:t>
      </w:r>
      <w:r w:rsidR="00FF3128" w:rsidRPr="00F24057">
        <w:rPr>
          <w:b/>
          <w:bCs/>
          <w:szCs w:val="22"/>
          <w:lang w:val="sr-Latn-ME"/>
        </w:rPr>
        <w:t>kod</w:t>
      </w:r>
      <w:r w:rsidRPr="00F24057">
        <w:rPr>
          <w:b/>
          <w:bCs/>
          <w:szCs w:val="22"/>
          <w:lang w:val="sr-Latn-ME"/>
        </w:rPr>
        <w:t>:</w:t>
      </w:r>
      <w:r w:rsidR="00641378" w:rsidRPr="00F24057">
        <w:rPr>
          <w:b/>
          <w:bCs/>
          <w:szCs w:val="22"/>
          <w:lang w:val="sr-Latn-ME"/>
        </w:rPr>
        <w:t xml:space="preserve"> </w:t>
      </w:r>
      <w:r w:rsidR="00641378" w:rsidRPr="00F24057">
        <w:rPr>
          <w:szCs w:val="22"/>
          <w:lang w:val="sr-Latn-ME"/>
        </w:rPr>
        <w:t>L04AB04</w:t>
      </w:r>
    </w:p>
    <w:p w14:paraId="072D43E9" w14:textId="1B054F6A" w:rsidR="00CE09F3" w:rsidRPr="00F24057" w:rsidRDefault="00CE09F3" w:rsidP="00D70B34">
      <w:pPr>
        <w:rPr>
          <w:szCs w:val="22"/>
          <w:lang w:val="sr-Latn-ME"/>
        </w:rPr>
      </w:pPr>
    </w:p>
    <w:p w14:paraId="35C446E3" w14:textId="54EE2AB9" w:rsidR="00641378" w:rsidRPr="00F24057" w:rsidRDefault="0030064A" w:rsidP="00D70B34">
      <w:pPr>
        <w:rPr>
          <w:szCs w:val="22"/>
          <w:lang w:val="sr-Latn-ME"/>
        </w:rPr>
      </w:pPr>
      <w:r w:rsidRPr="00F24057">
        <w:rPr>
          <w:szCs w:val="22"/>
          <w:lang w:val="sr-Latn-ME"/>
        </w:rPr>
        <w:t xml:space="preserve">Lijek </w:t>
      </w:r>
      <w:r w:rsidR="00641378" w:rsidRPr="00F24057">
        <w:rPr>
          <w:szCs w:val="22"/>
          <w:lang w:val="sr-Latn-ME"/>
        </w:rPr>
        <w:t>Hukyndra je biološki sličan l</w:t>
      </w:r>
      <w:r w:rsidR="009A3407" w:rsidRPr="00F24057">
        <w:rPr>
          <w:szCs w:val="22"/>
          <w:lang w:val="sr-Latn-ME"/>
        </w:rPr>
        <w:t>ij</w:t>
      </w:r>
      <w:r w:rsidR="00641378" w:rsidRPr="00F24057">
        <w:rPr>
          <w:szCs w:val="22"/>
          <w:lang w:val="sr-Latn-ME"/>
        </w:rPr>
        <w:t xml:space="preserve">ek. Detaljne informacije dostupne su na veb stranici Evropske agencije za </w:t>
      </w:r>
      <w:r w:rsidRPr="00F24057">
        <w:rPr>
          <w:szCs w:val="22"/>
          <w:lang w:val="sr-Latn-ME"/>
        </w:rPr>
        <w:t>ljekov</w:t>
      </w:r>
      <w:r w:rsidR="00641378" w:rsidRPr="00F24057">
        <w:rPr>
          <w:szCs w:val="22"/>
          <w:lang w:val="sr-Latn-ME"/>
        </w:rPr>
        <w:t xml:space="preserve">e </w:t>
      </w:r>
      <w:hyperlink r:id="rId15" w:history="1">
        <w:r w:rsidR="00641378" w:rsidRPr="00F24057">
          <w:rPr>
            <w:rStyle w:val="Hyperlink"/>
            <w:szCs w:val="22"/>
            <w:lang w:val="sr-Latn-ME"/>
          </w:rPr>
          <w:t>http://www.ema.europa.eu</w:t>
        </w:r>
      </w:hyperlink>
      <w:r w:rsidR="00641378" w:rsidRPr="00F24057">
        <w:rPr>
          <w:szCs w:val="22"/>
          <w:lang w:val="sr-Latn-ME"/>
        </w:rPr>
        <w:t xml:space="preserve"> </w:t>
      </w:r>
    </w:p>
    <w:p w14:paraId="472451CB" w14:textId="77777777" w:rsidR="00641378" w:rsidRPr="00F24057" w:rsidRDefault="00641378" w:rsidP="00D70B34">
      <w:pPr>
        <w:rPr>
          <w:szCs w:val="22"/>
          <w:lang w:val="sr-Latn-ME"/>
        </w:rPr>
      </w:pPr>
    </w:p>
    <w:p w14:paraId="6C1AC99A" w14:textId="77777777" w:rsidR="00641378" w:rsidRPr="00F24057" w:rsidRDefault="00641378" w:rsidP="00D70B34">
      <w:pPr>
        <w:rPr>
          <w:szCs w:val="22"/>
          <w:u w:val="single"/>
          <w:lang w:val="sr-Latn-ME"/>
        </w:rPr>
      </w:pPr>
      <w:r w:rsidRPr="00F24057">
        <w:rPr>
          <w:szCs w:val="22"/>
          <w:u w:val="single"/>
          <w:lang w:val="sr-Latn-ME"/>
        </w:rPr>
        <w:t xml:space="preserve">Mehanizam dejstva </w:t>
      </w:r>
    </w:p>
    <w:p w14:paraId="6BB030BB" w14:textId="77777777" w:rsidR="00641378" w:rsidRPr="00F24057" w:rsidRDefault="00641378" w:rsidP="00D70B34">
      <w:pPr>
        <w:rPr>
          <w:szCs w:val="22"/>
          <w:lang w:val="sr-Latn-ME"/>
        </w:rPr>
      </w:pPr>
    </w:p>
    <w:p w14:paraId="4BC7A1CA" w14:textId="7E111EDC" w:rsidR="00641378" w:rsidRPr="00F24057" w:rsidRDefault="00641378" w:rsidP="00D70B34">
      <w:pPr>
        <w:rPr>
          <w:szCs w:val="22"/>
          <w:lang w:val="sr-Latn-ME"/>
        </w:rPr>
      </w:pPr>
      <w:r w:rsidRPr="00F24057">
        <w:rPr>
          <w:szCs w:val="22"/>
          <w:lang w:val="sr-Latn-ME"/>
        </w:rPr>
        <w:t xml:space="preserve">Adalimumab se specifično vezuje za TNF i neutrališe biološke funkcije TNF-a blokirajući njegovu interakciju sa p55 i p75 površinskim ćelijskim TNF receptorima. </w:t>
      </w:r>
    </w:p>
    <w:p w14:paraId="71D9E8D6" w14:textId="77777777" w:rsidR="0023241F" w:rsidRPr="00F24057" w:rsidRDefault="0023241F" w:rsidP="00D70B34">
      <w:pPr>
        <w:rPr>
          <w:szCs w:val="22"/>
          <w:lang w:val="sr-Latn-ME"/>
        </w:rPr>
      </w:pPr>
    </w:p>
    <w:p w14:paraId="7F022149" w14:textId="57E2DA0F" w:rsidR="00641378" w:rsidRPr="00F24057" w:rsidRDefault="00641378" w:rsidP="00D70B34">
      <w:pPr>
        <w:rPr>
          <w:szCs w:val="22"/>
          <w:lang w:val="sr-Latn-ME"/>
        </w:rPr>
      </w:pPr>
      <w:r w:rsidRPr="00F24057">
        <w:rPr>
          <w:szCs w:val="22"/>
          <w:lang w:val="sr-Latn-ME"/>
        </w:rPr>
        <w:t>Adalimumab, takođe, m</w:t>
      </w:r>
      <w:r w:rsidR="00972894" w:rsidRPr="00F24057">
        <w:rPr>
          <w:szCs w:val="22"/>
          <w:lang w:val="sr-Latn-ME"/>
        </w:rPr>
        <w:t>ij</w:t>
      </w:r>
      <w:r w:rsidRPr="00F24057">
        <w:rPr>
          <w:szCs w:val="22"/>
          <w:lang w:val="sr-Latn-ME"/>
        </w:rPr>
        <w:t xml:space="preserve">enja biološke odgovore koje indukuje ili reguliše TNF, uključujući </w:t>
      </w:r>
      <w:r w:rsidR="004F2520" w:rsidRPr="00F24057">
        <w:rPr>
          <w:szCs w:val="22"/>
          <w:lang w:val="sr-Latn-ME"/>
        </w:rPr>
        <w:t>promjen</w:t>
      </w:r>
      <w:r w:rsidRPr="00F24057">
        <w:rPr>
          <w:szCs w:val="22"/>
          <w:lang w:val="sr-Latn-ME"/>
        </w:rPr>
        <w:t>e u nivou adhezije molekula odgovornih za migraciju leukocita (ELAM-1, VCAM-1 i ICAM-1 sa IC</w:t>
      </w:r>
      <w:r w:rsidRPr="00F24057">
        <w:rPr>
          <w:szCs w:val="22"/>
          <w:vertAlign w:val="subscript"/>
          <w:lang w:val="sr-Latn-ME"/>
        </w:rPr>
        <w:t>50</w:t>
      </w:r>
      <w:r w:rsidRPr="00F24057">
        <w:rPr>
          <w:szCs w:val="22"/>
          <w:lang w:val="sr-Latn-ME"/>
        </w:rPr>
        <w:t xml:space="preserve"> od 0,1-0,2 nM). </w:t>
      </w:r>
    </w:p>
    <w:p w14:paraId="6A1948D0" w14:textId="77777777" w:rsidR="00641378" w:rsidRPr="00F24057" w:rsidRDefault="00641378" w:rsidP="00D70B34">
      <w:pPr>
        <w:rPr>
          <w:szCs w:val="22"/>
          <w:lang w:val="sr-Latn-ME"/>
        </w:rPr>
      </w:pPr>
    </w:p>
    <w:p w14:paraId="34B9A47E" w14:textId="77777777" w:rsidR="00641378" w:rsidRPr="00F24057" w:rsidRDefault="00641378" w:rsidP="00D70B34">
      <w:pPr>
        <w:rPr>
          <w:szCs w:val="22"/>
          <w:u w:val="single"/>
          <w:lang w:val="sr-Latn-ME"/>
        </w:rPr>
      </w:pPr>
      <w:r w:rsidRPr="00F24057">
        <w:rPr>
          <w:szCs w:val="22"/>
          <w:u w:val="single"/>
          <w:lang w:val="sr-Latn-ME"/>
        </w:rPr>
        <w:t xml:space="preserve">Farmakodinamsko dejstvo </w:t>
      </w:r>
    </w:p>
    <w:p w14:paraId="7B8AE878" w14:textId="77777777" w:rsidR="00641378" w:rsidRPr="00F24057" w:rsidRDefault="00641378" w:rsidP="00D70B34">
      <w:pPr>
        <w:rPr>
          <w:szCs w:val="22"/>
          <w:lang w:val="sr-Latn-ME"/>
        </w:rPr>
      </w:pPr>
    </w:p>
    <w:p w14:paraId="32609C7D" w14:textId="6935BFDB" w:rsidR="003C3C53" w:rsidRPr="00F24057" w:rsidRDefault="00641378" w:rsidP="00D70B34">
      <w:pPr>
        <w:rPr>
          <w:szCs w:val="22"/>
          <w:lang w:val="sr-Latn-ME"/>
        </w:rPr>
      </w:pPr>
      <w:r w:rsidRPr="00F24057">
        <w:rPr>
          <w:szCs w:val="22"/>
          <w:lang w:val="sr-Latn-ME"/>
        </w:rPr>
        <w:t xml:space="preserve">Nakon </w:t>
      </w:r>
      <w:r w:rsidR="00885A78" w:rsidRPr="00F24057">
        <w:rPr>
          <w:szCs w:val="22"/>
          <w:lang w:val="sr-Latn-ME"/>
        </w:rPr>
        <w:t>liječenj</w:t>
      </w:r>
      <w:r w:rsidRPr="00F24057">
        <w:rPr>
          <w:szCs w:val="22"/>
          <w:lang w:val="sr-Latn-ME"/>
        </w:rPr>
        <w:t xml:space="preserve">a adalimumabom brz pad u </w:t>
      </w:r>
      <w:r w:rsidR="00972894" w:rsidRPr="00F24057">
        <w:rPr>
          <w:szCs w:val="22"/>
          <w:lang w:val="sr-Latn-ME"/>
        </w:rPr>
        <w:t>vrijedno</w:t>
      </w:r>
      <w:r w:rsidRPr="00F24057">
        <w:rPr>
          <w:szCs w:val="22"/>
          <w:lang w:val="sr-Latn-ME"/>
        </w:rPr>
        <w:t xml:space="preserve">stima reaktanata akutne faze zapaljenja (C-reaktivni protein (CRP) i brzina sedimentacije eritrocita (ESR)) i serumskih citokina (IL-6) je </w:t>
      </w:r>
      <w:r w:rsidR="00FF3128" w:rsidRPr="00F24057">
        <w:rPr>
          <w:szCs w:val="22"/>
          <w:lang w:val="sr-Latn-ME"/>
        </w:rPr>
        <w:t>primjeć</w:t>
      </w:r>
      <w:r w:rsidRPr="00F24057">
        <w:rPr>
          <w:szCs w:val="22"/>
          <w:lang w:val="sr-Latn-ME"/>
        </w:rPr>
        <w:t xml:space="preserve">en kod pacijenata sa reumatoidnim artritisom u poređenju sa početnim </w:t>
      </w:r>
      <w:r w:rsidR="00972894" w:rsidRPr="00F24057">
        <w:rPr>
          <w:szCs w:val="22"/>
          <w:lang w:val="sr-Latn-ME"/>
        </w:rPr>
        <w:t>vrijedno</w:t>
      </w:r>
      <w:r w:rsidRPr="00F24057">
        <w:rPr>
          <w:szCs w:val="22"/>
          <w:lang w:val="sr-Latn-ME"/>
        </w:rPr>
        <w:t xml:space="preserve">stima. Serumske </w:t>
      </w:r>
      <w:r w:rsidR="00972894" w:rsidRPr="00F24057">
        <w:rPr>
          <w:szCs w:val="22"/>
          <w:lang w:val="sr-Latn-ME"/>
        </w:rPr>
        <w:t>vrijedno</w:t>
      </w:r>
      <w:r w:rsidRPr="00F24057">
        <w:rPr>
          <w:szCs w:val="22"/>
          <w:lang w:val="sr-Latn-ME"/>
        </w:rPr>
        <w:t xml:space="preserve">sti matriksnih metaloproteinaza (MMP-1 i MMP-3) koje uzrokuju preoblikovanje tkiva odgovorno za uništenje hrskavice takođe su se smanjili nakon </w:t>
      </w:r>
      <w:r w:rsidR="0030064A" w:rsidRPr="00F24057">
        <w:rPr>
          <w:szCs w:val="22"/>
          <w:lang w:val="sr-Latn-ME"/>
        </w:rPr>
        <w:t>primjen</w:t>
      </w:r>
      <w:r w:rsidRPr="00F24057">
        <w:rPr>
          <w:szCs w:val="22"/>
          <w:lang w:val="sr-Latn-ME"/>
        </w:rPr>
        <w:t xml:space="preserve">e adalimumaba. Pacijenti </w:t>
      </w:r>
      <w:r w:rsidR="00885A78" w:rsidRPr="00F24057">
        <w:rPr>
          <w:szCs w:val="22"/>
          <w:lang w:val="sr-Latn-ME"/>
        </w:rPr>
        <w:t>liječe</w:t>
      </w:r>
      <w:r w:rsidRPr="00F24057">
        <w:rPr>
          <w:szCs w:val="22"/>
          <w:lang w:val="sr-Latn-ME"/>
        </w:rPr>
        <w:t xml:space="preserve">ni adalimumabom obično ispoljavaju poboljšanje hematoloških znakova hronične inflamacije. </w:t>
      </w:r>
    </w:p>
    <w:p w14:paraId="6B18A165" w14:textId="77777777" w:rsidR="003C3C53" w:rsidRPr="00F24057" w:rsidRDefault="003C3C53" w:rsidP="00D70B34">
      <w:pPr>
        <w:rPr>
          <w:szCs w:val="22"/>
          <w:lang w:val="sr-Latn-ME"/>
        </w:rPr>
      </w:pPr>
    </w:p>
    <w:p w14:paraId="09CCACFE" w14:textId="4576012A" w:rsidR="00641378" w:rsidRPr="00F24057" w:rsidRDefault="00641378" w:rsidP="00D70B34">
      <w:pPr>
        <w:rPr>
          <w:szCs w:val="22"/>
          <w:lang w:val="sr-Latn-ME"/>
        </w:rPr>
      </w:pPr>
      <w:r w:rsidRPr="00F24057">
        <w:rPr>
          <w:szCs w:val="22"/>
          <w:lang w:val="sr-Latn-ME"/>
        </w:rPr>
        <w:t xml:space="preserve">Kod pacijenata sa poliartikularnim juvenilnim idiopatskim artritisom, </w:t>
      </w:r>
      <w:r w:rsidR="00DA2306" w:rsidRPr="00F24057">
        <w:rPr>
          <w:i/>
          <w:iCs/>
          <w:szCs w:val="22"/>
          <w:lang w:val="sr-Latn-ME"/>
        </w:rPr>
        <w:t>Crohn</w:t>
      </w:r>
      <w:r w:rsidRPr="00F24057">
        <w:rPr>
          <w:szCs w:val="22"/>
          <w:lang w:val="sr-Latn-ME"/>
        </w:rPr>
        <w:t xml:space="preserve">-ovom bolešću, ulceroznim kolitisom i gnojnim zapaljenjem znojnih </w:t>
      </w:r>
      <w:r w:rsidR="009A3407" w:rsidRPr="00F24057">
        <w:rPr>
          <w:szCs w:val="22"/>
          <w:lang w:val="sr-Latn-ME"/>
        </w:rPr>
        <w:t>žlijezd</w:t>
      </w:r>
      <w:r w:rsidRPr="00F24057">
        <w:rPr>
          <w:szCs w:val="22"/>
          <w:lang w:val="sr-Latn-ME"/>
        </w:rPr>
        <w:t xml:space="preserve">a </w:t>
      </w:r>
      <w:r w:rsidR="00CB199C" w:rsidRPr="00F24057">
        <w:rPr>
          <w:szCs w:val="22"/>
          <w:lang w:val="sr-Latn-ME"/>
        </w:rPr>
        <w:t>primijećeno</w:t>
      </w:r>
      <w:r w:rsidRPr="00F24057">
        <w:rPr>
          <w:szCs w:val="22"/>
          <w:lang w:val="sr-Latn-ME"/>
        </w:rPr>
        <w:t xml:space="preserve"> je naglo smanjenje </w:t>
      </w:r>
      <w:r w:rsidR="00972894" w:rsidRPr="00F24057">
        <w:rPr>
          <w:szCs w:val="22"/>
          <w:lang w:val="sr-Latn-ME"/>
        </w:rPr>
        <w:t>vrijedno</w:t>
      </w:r>
      <w:r w:rsidRPr="00F24057">
        <w:rPr>
          <w:szCs w:val="22"/>
          <w:lang w:val="sr-Latn-ME"/>
        </w:rPr>
        <w:t xml:space="preserve">sti CRP-a nakon </w:t>
      </w:r>
      <w:r w:rsidR="00885A78" w:rsidRPr="00F24057">
        <w:rPr>
          <w:szCs w:val="22"/>
          <w:lang w:val="sr-Latn-ME"/>
        </w:rPr>
        <w:t>liječenj</w:t>
      </w:r>
      <w:r w:rsidRPr="00F24057">
        <w:rPr>
          <w:szCs w:val="22"/>
          <w:lang w:val="sr-Latn-ME"/>
        </w:rPr>
        <w:t xml:space="preserve">a adalimumabom. Kod pacijenata sa </w:t>
      </w:r>
      <w:r w:rsidR="00DA2306" w:rsidRPr="00F24057">
        <w:rPr>
          <w:i/>
          <w:iCs/>
          <w:szCs w:val="22"/>
          <w:lang w:val="sr-Latn-ME"/>
        </w:rPr>
        <w:t>Crohn</w:t>
      </w:r>
      <w:r w:rsidRPr="00F24057">
        <w:rPr>
          <w:szCs w:val="22"/>
          <w:lang w:val="sr-Latn-ME"/>
        </w:rPr>
        <w:t xml:space="preserve">-ovom bolešću </w:t>
      </w:r>
      <w:r w:rsidR="00CB199C" w:rsidRPr="00F24057">
        <w:rPr>
          <w:szCs w:val="22"/>
          <w:lang w:val="sr-Latn-ME"/>
        </w:rPr>
        <w:t>primijećeno</w:t>
      </w:r>
      <w:r w:rsidRPr="00F24057">
        <w:rPr>
          <w:szCs w:val="22"/>
          <w:lang w:val="sr-Latn-ME"/>
        </w:rPr>
        <w:t xml:space="preserve"> je smanjenje broja ćelija u debelom </w:t>
      </w:r>
      <w:r w:rsidR="004F2520" w:rsidRPr="00F24057">
        <w:rPr>
          <w:szCs w:val="22"/>
          <w:lang w:val="sr-Latn-ME"/>
        </w:rPr>
        <w:t>crijev</w:t>
      </w:r>
      <w:r w:rsidRPr="00F24057">
        <w:rPr>
          <w:szCs w:val="22"/>
          <w:lang w:val="sr-Latn-ME"/>
        </w:rPr>
        <w:t xml:space="preserve">u koji eksprimiraju markere zapaljenja uključujući i značajno sniženje ekspresije TNFα. Endoskopska ispitivanja intestinalne mukoze pokazala su znakove zaceljivanja sluzokože kod pacijenata koji su </w:t>
      </w:r>
      <w:r w:rsidR="00885A78" w:rsidRPr="00F24057">
        <w:rPr>
          <w:szCs w:val="22"/>
          <w:lang w:val="sr-Latn-ME"/>
        </w:rPr>
        <w:t>liječe</w:t>
      </w:r>
      <w:r w:rsidRPr="00F24057">
        <w:rPr>
          <w:szCs w:val="22"/>
          <w:lang w:val="sr-Latn-ME"/>
        </w:rPr>
        <w:t>ni adalimumabom.</w:t>
      </w:r>
    </w:p>
    <w:p w14:paraId="072D43EA" w14:textId="2AF4824C" w:rsidR="00CE09F3" w:rsidRPr="00F24057" w:rsidRDefault="00CE09F3" w:rsidP="00D70B34">
      <w:pPr>
        <w:rPr>
          <w:szCs w:val="22"/>
          <w:lang w:val="sr-Latn-ME"/>
        </w:rPr>
      </w:pPr>
    </w:p>
    <w:p w14:paraId="1A37AAE7" w14:textId="557530FB" w:rsidR="003C3C53" w:rsidRPr="00F24057" w:rsidRDefault="003C3C53" w:rsidP="00D70B34">
      <w:pPr>
        <w:rPr>
          <w:szCs w:val="22"/>
          <w:u w:val="single"/>
          <w:lang w:val="sr-Latn-ME"/>
        </w:rPr>
      </w:pPr>
      <w:r w:rsidRPr="00F24057">
        <w:rPr>
          <w:szCs w:val="22"/>
          <w:u w:val="single"/>
          <w:lang w:val="sr-Latn-ME"/>
        </w:rPr>
        <w:t xml:space="preserve">Klinička efikasnost i </w:t>
      </w:r>
      <w:r w:rsidR="0030064A" w:rsidRPr="00F24057">
        <w:rPr>
          <w:szCs w:val="22"/>
          <w:u w:val="single"/>
          <w:lang w:val="sr-Latn-ME"/>
        </w:rPr>
        <w:t>bezbjedno</w:t>
      </w:r>
      <w:r w:rsidRPr="00F24057">
        <w:rPr>
          <w:szCs w:val="22"/>
          <w:u w:val="single"/>
          <w:lang w:val="sr-Latn-ME"/>
        </w:rPr>
        <w:t xml:space="preserve">st </w:t>
      </w:r>
    </w:p>
    <w:p w14:paraId="06DEEBFA" w14:textId="77777777" w:rsidR="003C3C53" w:rsidRPr="00F24057" w:rsidRDefault="003C3C53" w:rsidP="00D70B34">
      <w:pPr>
        <w:rPr>
          <w:szCs w:val="22"/>
          <w:lang w:val="sr-Latn-ME"/>
        </w:rPr>
      </w:pPr>
    </w:p>
    <w:p w14:paraId="3D40CCB4" w14:textId="77777777" w:rsidR="003C3C53" w:rsidRPr="00F24057" w:rsidRDefault="003C3C53" w:rsidP="00D70B34">
      <w:pPr>
        <w:rPr>
          <w:i/>
          <w:iCs/>
          <w:szCs w:val="22"/>
          <w:lang w:val="sr-Latn-ME"/>
        </w:rPr>
      </w:pPr>
      <w:r w:rsidRPr="00F24057">
        <w:rPr>
          <w:i/>
          <w:iCs/>
          <w:szCs w:val="22"/>
          <w:lang w:val="sr-Latn-ME"/>
        </w:rPr>
        <w:t xml:space="preserve">Reumatoidni artritis </w:t>
      </w:r>
    </w:p>
    <w:p w14:paraId="012E316B" w14:textId="386657AE" w:rsidR="003C3C53" w:rsidRPr="00F24057" w:rsidRDefault="003C3C53" w:rsidP="00D70B34">
      <w:pPr>
        <w:rPr>
          <w:szCs w:val="22"/>
          <w:lang w:val="sr-Latn-ME"/>
        </w:rPr>
      </w:pPr>
      <w:r w:rsidRPr="00F24057">
        <w:rPr>
          <w:szCs w:val="22"/>
          <w:lang w:val="sr-Latn-ME"/>
        </w:rPr>
        <w:t xml:space="preserve">Adalimumab je ispitivan u preko 3000 pacijenata u svim kliničkim istraživanjima reumatoidnog artritisa. Efikasnost i </w:t>
      </w:r>
      <w:r w:rsidR="0030064A" w:rsidRPr="00F24057">
        <w:rPr>
          <w:szCs w:val="22"/>
          <w:lang w:val="sr-Latn-ME"/>
        </w:rPr>
        <w:t>bezbjedno</w:t>
      </w:r>
      <w:r w:rsidRPr="00F24057">
        <w:rPr>
          <w:szCs w:val="22"/>
          <w:lang w:val="sr-Latn-ME"/>
        </w:rPr>
        <w:t xml:space="preserve">st adalimumaba u </w:t>
      </w:r>
      <w:r w:rsidR="00885A78" w:rsidRPr="00F24057">
        <w:rPr>
          <w:szCs w:val="22"/>
          <w:lang w:val="sr-Latn-ME"/>
        </w:rPr>
        <w:t>liječenj</w:t>
      </w:r>
      <w:r w:rsidRPr="00F24057">
        <w:rPr>
          <w:szCs w:val="22"/>
          <w:lang w:val="sr-Latn-ME"/>
        </w:rPr>
        <w:t xml:space="preserve">u reumatoidnog artritisa je </w:t>
      </w:r>
      <w:r w:rsidR="00897E85" w:rsidRPr="00F24057">
        <w:rPr>
          <w:szCs w:val="22"/>
          <w:lang w:val="sr-Latn-ME"/>
        </w:rPr>
        <w:t>procijenjen</w:t>
      </w:r>
      <w:r w:rsidRPr="00F24057">
        <w:rPr>
          <w:szCs w:val="22"/>
          <w:lang w:val="sr-Latn-ME"/>
        </w:rPr>
        <w:t>a u pet randomizovanih, dvostruko sl</w:t>
      </w:r>
      <w:r w:rsidR="00972894" w:rsidRPr="00F24057">
        <w:rPr>
          <w:szCs w:val="22"/>
          <w:lang w:val="sr-Latn-ME"/>
        </w:rPr>
        <w:t>ij</w:t>
      </w:r>
      <w:r w:rsidRPr="00F24057">
        <w:rPr>
          <w:szCs w:val="22"/>
          <w:lang w:val="sr-Latn-ME"/>
        </w:rPr>
        <w:t xml:space="preserve">epih i dobro kontrolisanih studija. Neki pacijenti su </w:t>
      </w:r>
      <w:r w:rsidR="00885A78" w:rsidRPr="00F24057">
        <w:rPr>
          <w:szCs w:val="22"/>
          <w:lang w:val="sr-Latn-ME"/>
        </w:rPr>
        <w:t>liječe</w:t>
      </w:r>
      <w:r w:rsidRPr="00F24057">
        <w:rPr>
          <w:szCs w:val="22"/>
          <w:lang w:val="sr-Latn-ME"/>
        </w:rPr>
        <w:t xml:space="preserve">ni u periodu i do 120 </w:t>
      </w:r>
      <w:r w:rsidR="00885A78" w:rsidRPr="00F24057">
        <w:rPr>
          <w:szCs w:val="22"/>
          <w:lang w:val="sr-Latn-ME"/>
        </w:rPr>
        <w:t>mjesec</w:t>
      </w:r>
      <w:r w:rsidRPr="00F24057">
        <w:rPr>
          <w:szCs w:val="22"/>
          <w:lang w:val="sr-Latn-ME"/>
        </w:rPr>
        <w:t xml:space="preserve">i. </w:t>
      </w:r>
      <w:r w:rsidR="00BF2950" w:rsidRPr="00F24057">
        <w:rPr>
          <w:szCs w:val="22"/>
          <w:lang w:val="sr-Latn-ME"/>
        </w:rPr>
        <w:t xml:space="preserve">Bol na </w:t>
      </w:r>
      <w:r w:rsidR="00972894" w:rsidRPr="00F24057">
        <w:rPr>
          <w:szCs w:val="22"/>
          <w:lang w:val="sr-Latn-ME"/>
        </w:rPr>
        <w:t>mjest</w:t>
      </w:r>
      <w:r w:rsidR="00BF2950" w:rsidRPr="00F24057">
        <w:rPr>
          <w:szCs w:val="22"/>
          <w:lang w:val="sr-Latn-ME"/>
        </w:rPr>
        <w:t xml:space="preserve">u </w:t>
      </w:r>
      <w:r w:rsidR="0030064A" w:rsidRPr="00F24057">
        <w:rPr>
          <w:szCs w:val="22"/>
          <w:lang w:val="sr-Latn-ME"/>
        </w:rPr>
        <w:t>primjen</w:t>
      </w:r>
      <w:r w:rsidR="00BF2950" w:rsidRPr="00F24057">
        <w:rPr>
          <w:szCs w:val="22"/>
          <w:lang w:val="sr-Latn-ME"/>
        </w:rPr>
        <w:t xml:space="preserve">e nakon injekcije </w:t>
      </w:r>
      <w:r w:rsidR="005B1907" w:rsidRPr="00F24057">
        <w:rPr>
          <w:szCs w:val="22"/>
          <w:lang w:val="sr-Latn-ME"/>
        </w:rPr>
        <w:t xml:space="preserve">adalimumaba u dozi od </w:t>
      </w:r>
      <w:r w:rsidR="00BF2950" w:rsidRPr="00F24057">
        <w:rPr>
          <w:szCs w:val="22"/>
          <w:lang w:val="sr-Latn-ME"/>
        </w:rPr>
        <w:t xml:space="preserve">40 mg/0,4 </w:t>
      </w:r>
      <w:r w:rsidR="006E2502" w:rsidRPr="00F24057">
        <w:rPr>
          <w:szCs w:val="22"/>
          <w:lang w:val="sr-Latn-ME"/>
        </w:rPr>
        <w:t>m</w:t>
      </w:r>
      <w:r w:rsidR="005374FB" w:rsidRPr="00F24057">
        <w:rPr>
          <w:szCs w:val="22"/>
          <w:lang w:val="sr-Latn-ME"/>
        </w:rPr>
        <w:t>l</w:t>
      </w:r>
      <w:r w:rsidR="006E2502" w:rsidRPr="00F24057">
        <w:rPr>
          <w:szCs w:val="22"/>
          <w:lang w:val="sr-Latn-ME"/>
        </w:rPr>
        <w:t xml:space="preserve"> </w:t>
      </w:r>
      <w:r w:rsidR="00BF2950" w:rsidRPr="00F24057">
        <w:rPr>
          <w:szCs w:val="22"/>
          <w:lang w:val="sr-Latn-ME"/>
        </w:rPr>
        <w:t xml:space="preserve">je </w:t>
      </w:r>
      <w:r w:rsidR="00897E85" w:rsidRPr="00F24057">
        <w:rPr>
          <w:szCs w:val="22"/>
          <w:lang w:val="sr-Latn-ME"/>
        </w:rPr>
        <w:t>procijenjen</w:t>
      </w:r>
      <w:r w:rsidR="00BF2950" w:rsidRPr="00F24057">
        <w:rPr>
          <w:szCs w:val="22"/>
          <w:lang w:val="sr-Latn-ME"/>
        </w:rPr>
        <w:t xml:space="preserve"> u </w:t>
      </w:r>
      <w:r w:rsidR="009A3407" w:rsidRPr="00F24057">
        <w:rPr>
          <w:szCs w:val="22"/>
          <w:lang w:val="sr-Latn-ME"/>
        </w:rPr>
        <w:t xml:space="preserve">dvije </w:t>
      </w:r>
      <w:r w:rsidR="00BF2950" w:rsidRPr="00F24057">
        <w:rPr>
          <w:szCs w:val="22"/>
          <w:lang w:val="sr-Latn-ME"/>
        </w:rPr>
        <w:t>randomizovane, aktivne, kontro</w:t>
      </w:r>
      <w:r w:rsidR="00786534" w:rsidRPr="00F24057">
        <w:rPr>
          <w:szCs w:val="22"/>
          <w:lang w:val="sr-Latn-ME"/>
        </w:rPr>
        <w:t>lisane</w:t>
      </w:r>
      <w:r w:rsidR="00BF2950" w:rsidRPr="00F24057">
        <w:rPr>
          <w:szCs w:val="22"/>
          <w:lang w:val="sr-Latn-ME"/>
        </w:rPr>
        <w:t>, jednostruko sl</w:t>
      </w:r>
      <w:r w:rsidR="00972894" w:rsidRPr="00F24057">
        <w:rPr>
          <w:szCs w:val="22"/>
          <w:lang w:val="sr-Latn-ME"/>
        </w:rPr>
        <w:t>ij</w:t>
      </w:r>
      <w:r w:rsidR="00BF2950" w:rsidRPr="00F24057">
        <w:rPr>
          <w:szCs w:val="22"/>
          <w:lang w:val="sr-Latn-ME"/>
        </w:rPr>
        <w:t>epe, dvoperiodične unakrsne studije</w:t>
      </w:r>
      <w:r w:rsidR="00737303" w:rsidRPr="00F24057">
        <w:rPr>
          <w:szCs w:val="22"/>
          <w:lang w:val="sr-Latn-ME"/>
        </w:rPr>
        <w:t>.</w:t>
      </w:r>
    </w:p>
    <w:p w14:paraId="4DC19A11" w14:textId="77777777" w:rsidR="003C3C53" w:rsidRPr="00F24057" w:rsidRDefault="003C3C53" w:rsidP="00D70B34">
      <w:pPr>
        <w:rPr>
          <w:szCs w:val="22"/>
          <w:lang w:val="sr-Latn-ME"/>
        </w:rPr>
      </w:pPr>
    </w:p>
    <w:p w14:paraId="1B469A13" w14:textId="2CE8EFAD" w:rsidR="003C3C53" w:rsidRPr="00F24057" w:rsidRDefault="003C3C53" w:rsidP="00D70B34">
      <w:pPr>
        <w:rPr>
          <w:szCs w:val="22"/>
          <w:lang w:val="sr-Latn-ME"/>
        </w:rPr>
      </w:pPr>
      <w:r w:rsidRPr="00F24057">
        <w:rPr>
          <w:szCs w:val="22"/>
          <w:lang w:val="sr-Latn-ME"/>
        </w:rPr>
        <w:t>RA studija I je ispitivala 271 pacijenta sa u</w:t>
      </w:r>
      <w:r w:rsidR="0030064A" w:rsidRPr="00F24057">
        <w:rPr>
          <w:szCs w:val="22"/>
          <w:lang w:val="sr-Latn-ME"/>
        </w:rPr>
        <w:t>mjeren</w:t>
      </w:r>
      <w:r w:rsidRPr="00F24057">
        <w:rPr>
          <w:szCs w:val="22"/>
          <w:lang w:val="sr-Latn-ME"/>
        </w:rPr>
        <w:t xml:space="preserve">im do teškim aktivnim reumatoidnim artritisom, uzrasta ≥18 godina, koji nisu odgovorili na terapiju bar jednim antireumatskim </w:t>
      </w:r>
      <w:r w:rsidR="00885A78" w:rsidRPr="00F24057">
        <w:rPr>
          <w:szCs w:val="22"/>
          <w:lang w:val="sr-Latn-ME"/>
        </w:rPr>
        <w:t>lijekom</w:t>
      </w:r>
      <w:r w:rsidRPr="00F24057">
        <w:rPr>
          <w:szCs w:val="22"/>
          <w:lang w:val="sr-Latn-ME"/>
        </w:rPr>
        <w:t xml:space="preserve"> koji modifikuje tok bolesti i koji su imali nedovoljan odgovor na metotreksat u dozi 12,5 do 25 mg (10 mg ukoliko postoji intolerancija na metotreksat) svake </w:t>
      </w:r>
      <w:r w:rsidR="00885A78" w:rsidRPr="00F24057">
        <w:rPr>
          <w:szCs w:val="22"/>
          <w:lang w:val="sr-Latn-ME"/>
        </w:rPr>
        <w:t>nedjelj</w:t>
      </w:r>
      <w:r w:rsidRPr="00F24057">
        <w:rPr>
          <w:szCs w:val="22"/>
          <w:lang w:val="sr-Latn-ME"/>
        </w:rPr>
        <w:t xml:space="preserve">e i kojima je doza metotreksata ostala konstantna od </w:t>
      </w:r>
      <w:r w:rsidRPr="00F24057">
        <w:rPr>
          <w:szCs w:val="22"/>
          <w:lang w:val="sr-Latn-ME"/>
        </w:rPr>
        <w:lastRenderedPageBreak/>
        <w:t xml:space="preserve">10 do 25 mg, svake </w:t>
      </w:r>
      <w:r w:rsidR="00885A78" w:rsidRPr="00F24057">
        <w:rPr>
          <w:szCs w:val="22"/>
          <w:lang w:val="sr-Latn-ME"/>
        </w:rPr>
        <w:t>nedjelj</w:t>
      </w:r>
      <w:r w:rsidRPr="00F24057">
        <w:rPr>
          <w:szCs w:val="22"/>
          <w:lang w:val="sr-Latn-ME"/>
        </w:rPr>
        <w:t xml:space="preserve">e. Doze adalimumaba od 20, 40 ili 80 mg ili placebo su davani svake druge </w:t>
      </w:r>
      <w:r w:rsidR="00885A78" w:rsidRPr="00F24057">
        <w:rPr>
          <w:szCs w:val="22"/>
          <w:lang w:val="sr-Latn-ME"/>
        </w:rPr>
        <w:t>nedjelj</w:t>
      </w:r>
      <w:r w:rsidRPr="00F24057">
        <w:rPr>
          <w:szCs w:val="22"/>
          <w:lang w:val="sr-Latn-ME"/>
        </w:rPr>
        <w:t xml:space="preserve">e tokom 24 </w:t>
      </w:r>
      <w:r w:rsidR="00885A78" w:rsidRPr="00F24057">
        <w:rPr>
          <w:szCs w:val="22"/>
          <w:lang w:val="sr-Latn-ME"/>
        </w:rPr>
        <w:t>nedjelj</w:t>
      </w:r>
      <w:r w:rsidRPr="00F24057">
        <w:rPr>
          <w:szCs w:val="22"/>
          <w:lang w:val="sr-Latn-ME"/>
        </w:rPr>
        <w:t xml:space="preserve">e. </w:t>
      </w:r>
    </w:p>
    <w:p w14:paraId="315C01E0" w14:textId="77777777" w:rsidR="003C3C53" w:rsidRPr="00F24057" w:rsidRDefault="003C3C53" w:rsidP="00D70B34">
      <w:pPr>
        <w:rPr>
          <w:szCs w:val="22"/>
          <w:lang w:val="sr-Latn-ME"/>
        </w:rPr>
      </w:pPr>
    </w:p>
    <w:p w14:paraId="47446BE6" w14:textId="7C0DADE3" w:rsidR="003C3C53" w:rsidRPr="00F24057" w:rsidRDefault="003C3C53" w:rsidP="00D70B34">
      <w:pPr>
        <w:rPr>
          <w:szCs w:val="22"/>
          <w:lang w:val="sr-Latn-ME"/>
        </w:rPr>
      </w:pPr>
      <w:r w:rsidRPr="00F24057">
        <w:rPr>
          <w:szCs w:val="22"/>
          <w:lang w:val="sr-Latn-ME"/>
        </w:rPr>
        <w:t>RA studija II je ispitivala 544 pacijenta sa u</w:t>
      </w:r>
      <w:r w:rsidR="0030064A" w:rsidRPr="00F24057">
        <w:rPr>
          <w:szCs w:val="22"/>
          <w:lang w:val="sr-Latn-ME"/>
        </w:rPr>
        <w:t>mjeren</w:t>
      </w:r>
      <w:r w:rsidRPr="00F24057">
        <w:rPr>
          <w:szCs w:val="22"/>
          <w:lang w:val="sr-Latn-ME"/>
        </w:rPr>
        <w:t xml:space="preserve">im do teškim aktivnim reumatoidnim artritisom, uzrasta ≥18 godina, koji nisu odgovorili na terapiju bar jednim antireumatskim </w:t>
      </w:r>
      <w:r w:rsidR="00885A78" w:rsidRPr="00F24057">
        <w:rPr>
          <w:szCs w:val="22"/>
          <w:lang w:val="sr-Latn-ME"/>
        </w:rPr>
        <w:t>lijekom</w:t>
      </w:r>
      <w:r w:rsidRPr="00F24057">
        <w:rPr>
          <w:szCs w:val="22"/>
          <w:lang w:val="sr-Latn-ME"/>
        </w:rPr>
        <w:t xml:space="preserve"> koji modifikuje tok bolesti. Doze od 20 ili 40 mg adalimumaba su date u vidu supkutanih injekcija </w:t>
      </w:r>
      <w:r w:rsidR="00E45B89" w:rsidRPr="00F24057">
        <w:rPr>
          <w:szCs w:val="22"/>
          <w:lang w:val="sr-Latn-ME"/>
        </w:rPr>
        <w:t xml:space="preserve">ili </w:t>
      </w:r>
      <w:r w:rsidRPr="00F24057">
        <w:rPr>
          <w:szCs w:val="22"/>
          <w:lang w:val="sr-Latn-ME"/>
        </w:rPr>
        <w:t xml:space="preserve">svake druge </w:t>
      </w:r>
      <w:r w:rsidR="00885A78" w:rsidRPr="00F24057">
        <w:rPr>
          <w:szCs w:val="22"/>
          <w:lang w:val="sr-Latn-ME"/>
        </w:rPr>
        <w:t>nedjelj</w:t>
      </w:r>
      <w:r w:rsidRPr="00F24057">
        <w:rPr>
          <w:szCs w:val="22"/>
          <w:lang w:val="sr-Latn-ME"/>
        </w:rPr>
        <w:t xml:space="preserve">e </w:t>
      </w:r>
      <w:r w:rsidR="00E45B89" w:rsidRPr="00F24057">
        <w:rPr>
          <w:szCs w:val="22"/>
          <w:lang w:val="sr-Latn-ME"/>
        </w:rPr>
        <w:t xml:space="preserve">naizmjenično </w:t>
      </w:r>
      <w:r w:rsidRPr="00F24057">
        <w:rPr>
          <w:szCs w:val="22"/>
          <w:lang w:val="sr-Latn-ME"/>
        </w:rPr>
        <w:t>sa placebom</w:t>
      </w:r>
      <w:r w:rsidR="00E45B89" w:rsidRPr="00F24057">
        <w:rPr>
          <w:szCs w:val="22"/>
          <w:lang w:val="sr-Latn-ME"/>
        </w:rPr>
        <w:t xml:space="preserve"> (jedne </w:t>
      </w:r>
      <w:r w:rsidR="00F31AEA" w:rsidRPr="00F24057">
        <w:rPr>
          <w:szCs w:val="22"/>
          <w:lang w:val="sr-Latn-ME"/>
        </w:rPr>
        <w:t>nedjelj</w:t>
      </w:r>
      <w:r w:rsidR="00E45B89" w:rsidRPr="00F24057">
        <w:rPr>
          <w:szCs w:val="22"/>
          <w:lang w:val="sr-Latn-ME"/>
        </w:rPr>
        <w:t xml:space="preserve">e adalimumab, druge </w:t>
      </w:r>
      <w:r w:rsidR="00F31AEA" w:rsidRPr="00F24057">
        <w:rPr>
          <w:szCs w:val="22"/>
          <w:lang w:val="sr-Latn-ME"/>
        </w:rPr>
        <w:t>nedjelj</w:t>
      </w:r>
      <w:r w:rsidR="00E45B89" w:rsidRPr="00F24057">
        <w:rPr>
          <w:szCs w:val="22"/>
          <w:lang w:val="sr-Latn-ME"/>
        </w:rPr>
        <w:t>e placebo) ili</w:t>
      </w:r>
      <w:r w:rsidRPr="00F24057">
        <w:rPr>
          <w:szCs w:val="22"/>
          <w:lang w:val="sr-Latn-ME"/>
        </w:rPr>
        <w:t xml:space="preserve"> svake druge </w:t>
      </w:r>
      <w:r w:rsidR="00885A78" w:rsidRPr="00F24057">
        <w:rPr>
          <w:szCs w:val="22"/>
          <w:lang w:val="sr-Latn-ME"/>
        </w:rPr>
        <w:t>nedjelj</w:t>
      </w:r>
      <w:r w:rsidRPr="00F24057">
        <w:rPr>
          <w:szCs w:val="22"/>
          <w:lang w:val="sr-Latn-ME"/>
        </w:rPr>
        <w:t xml:space="preserve">e ili svake </w:t>
      </w:r>
      <w:r w:rsidR="00885A78" w:rsidRPr="00F24057">
        <w:rPr>
          <w:szCs w:val="22"/>
          <w:lang w:val="sr-Latn-ME"/>
        </w:rPr>
        <w:t>nedjelj</w:t>
      </w:r>
      <w:r w:rsidRPr="00F24057">
        <w:rPr>
          <w:szCs w:val="22"/>
          <w:lang w:val="sr-Latn-ME"/>
        </w:rPr>
        <w:t xml:space="preserve">e tokom 26 </w:t>
      </w:r>
      <w:r w:rsidR="00885A78" w:rsidRPr="00F24057">
        <w:rPr>
          <w:szCs w:val="22"/>
          <w:lang w:val="sr-Latn-ME"/>
        </w:rPr>
        <w:t>nedjelj</w:t>
      </w:r>
      <w:r w:rsidRPr="00F24057">
        <w:rPr>
          <w:szCs w:val="22"/>
          <w:lang w:val="sr-Latn-ME"/>
        </w:rPr>
        <w:t xml:space="preserve">a; placebo je </w:t>
      </w:r>
      <w:r w:rsidR="0030064A" w:rsidRPr="00F24057">
        <w:rPr>
          <w:szCs w:val="22"/>
          <w:lang w:val="sr-Latn-ME"/>
        </w:rPr>
        <w:t>primjen</w:t>
      </w:r>
      <w:r w:rsidRPr="00F24057">
        <w:rPr>
          <w:szCs w:val="22"/>
          <w:lang w:val="sr-Latn-ME"/>
        </w:rPr>
        <w:t xml:space="preserve">jivan svake </w:t>
      </w:r>
      <w:r w:rsidR="00885A78" w:rsidRPr="00F24057">
        <w:rPr>
          <w:szCs w:val="22"/>
          <w:lang w:val="sr-Latn-ME"/>
        </w:rPr>
        <w:t>nedjelj</w:t>
      </w:r>
      <w:r w:rsidRPr="00F24057">
        <w:rPr>
          <w:szCs w:val="22"/>
          <w:lang w:val="sr-Latn-ME"/>
        </w:rPr>
        <w:t xml:space="preserve">e u istom trajanju. Nije bila dozvoljena upotreba drugih antireumatskih </w:t>
      </w:r>
      <w:r w:rsidR="0030064A" w:rsidRPr="00F24057">
        <w:rPr>
          <w:szCs w:val="22"/>
          <w:lang w:val="sr-Latn-ME"/>
        </w:rPr>
        <w:t>ljekov</w:t>
      </w:r>
      <w:r w:rsidRPr="00F24057">
        <w:rPr>
          <w:szCs w:val="22"/>
          <w:lang w:val="sr-Latn-ME"/>
        </w:rPr>
        <w:t xml:space="preserve">a koji modifikuju tok bolesti. </w:t>
      </w:r>
    </w:p>
    <w:p w14:paraId="50428AC2" w14:textId="77777777" w:rsidR="003C3C53" w:rsidRPr="00F24057" w:rsidRDefault="003C3C53" w:rsidP="00D70B34">
      <w:pPr>
        <w:rPr>
          <w:szCs w:val="22"/>
          <w:lang w:val="sr-Latn-ME"/>
        </w:rPr>
      </w:pPr>
    </w:p>
    <w:p w14:paraId="4ADE1DB8" w14:textId="3F5504C1" w:rsidR="003C3C53" w:rsidRPr="00F24057" w:rsidRDefault="003C3C53" w:rsidP="00D70B34">
      <w:pPr>
        <w:rPr>
          <w:szCs w:val="22"/>
          <w:lang w:val="sr-Latn-ME"/>
        </w:rPr>
      </w:pPr>
      <w:r w:rsidRPr="00F24057">
        <w:rPr>
          <w:szCs w:val="22"/>
          <w:lang w:val="sr-Latn-ME"/>
        </w:rPr>
        <w:t>RA studija III je ispitivala 619 pacijenata sa u</w:t>
      </w:r>
      <w:r w:rsidR="0030064A" w:rsidRPr="00F24057">
        <w:rPr>
          <w:szCs w:val="22"/>
          <w:lang w:val="sr-Latn-ME"/>
        </w:rPr>
        <w:t>mjeren</w:t>
      </w:r>
      <w:r w:rsidRPr="00F24057">
        <w:rPr>
          <w:szCs w:val="22"/>
          <w:lang w:val="sr-Latn-ME"/>
        </w:rPr>
        <w:t xml:space="preserve">im do teškim aktivnim reumatoidnim artritisom, uzrasta ≥18 godina, koji su imali nedovoljan odgovor na metotreksat u dozi 12,5 do 25 mg ili je postojala netolerancija na 10 mg metotreksata svake </w:t>
      </w:r>
      <w:r w:rsidR="00885A78" w:rsidRPr="00F24057">
        <w:rPr>
          <w:szCs w:val="22"/>
          <w:lang w:val="sr-Latn-ME"/>
        </w:rPr>
        <w:t>nedjelj</w:t>
      </w:r>
      <w:r w:rsidRPr="00F24057">
        <w:rPr>
          <w:szCs w:val="22"/>
          <w:lang w:val="sr-Latn-ME"/>
        </w:rPr>
        <w:t xml:space="preserve">e. U studiji su postojale tri grupe. Prva grupa je primala placebo injekcije svake </w:t>
      </w:r>
      <w:r w:rsidR="00885A78" w:rsidRPr="00F24057">
        <w:rPr>
          <w:szCs w:val="22"/>
          <w:lang w:val="sr-Latn-ME"/>
        </w:rPr>
        <w:t>nedjelj</w:t>
      </w:r>
      <w:r w:rsidRPr="00F24057">
        <w:rPr>
          <w:szCs w:val="22"/>
          <w:lang w:val="sr-Latn-ME"/>
        </w:rPr>
        <w:t xml:space="preserve">e tokom 52 </w:t>
      </w:r>
      <w:r w:rsidR="00885A78" w:rsidRPr="00F24057">
        <w:rPr>
          <w:szCs w:val="22"/>
          <w:lang w:val="sr-Latn-ME"/>
        </w:rPr>
        <w:t>nedjelj</w:t>
      </w:r>
      <w:r w:rsidRPr="00F24057">
        <w:rPr>
          <w:szCs w:val="22"/>
          <w:lang w:val="sr-Latn-ME"/>
        </w:rPr>
        <w:t xml:space="preserve">e. Druga grupa je primala 20 mg </w:t>
      </w:r>
      <w:r w:rsidR="00C16FF2" w:rsidRPr="00F24057">
        <w:rPr>
          <w:szCs w:val="22"/>
          <w:lang w:val="sr-Latn-ME"/>
        </w:rPr>
        <w:t>adalimumaba</w:t>
      </w:r>
      <w:r w:rsidRPr="00F24057">
        <w:rPr>
          <w:szCs w:val="22"/>
          <w:lang w:val="sr-Latn-ME"/>
        </w:rPr>
        <w:t xml:space="preserve"> svake </w:t>
      </w:r>
      <w:r w:rsidR="00885A78" w:rsidRPr="00F24057">
        <w:rPr>
          <w:szCs w:val="22"/>
          <w:lang w:val="sr-Latn-ME"/>
        </w:rPr>
        <w:t>nedjelj</w:t>
      </w:r>
      <w:r w:rsidRPr="00F24057">
        <w:rPr>
          <w:szCs w:val="22"/>
          <w:lang w:val="sr-Latn-ME"/>
        </w:rPr>
        <w:t xml:space="preserve">e tokom 52 </w:t>
      </w:r>
      <w:r w:rsidR="00885A78" w:rsidRPr="00F24057">
        <w:rPr>
          <w:szCs w:val="22"/>
          <w:lang w:val="sr-Latn-ME"/>
        </w:rPr>
        <w:t>nedjelj</w:t>
      </w:r>
      <w:r w:rsidRPr="00F24057">
        <w:rPr>
          <w:szCs w:val="22"/>
          <w:lang w:val="sr-Latn-ME"/>
        </w:rPr>
        <w:t xml:space="preserve">e. Treća grupa je primala 40 mg adalimumaba svake druge </w:t>
      </w:r>
      <w:r w:rsidR="00885A78" w:rsidRPr="00F24057">
        <w:rPr>
          <w:szCs w:val="22"/>
          <w:lang w:val="sr-Latn-ME"/>
        </w:rPr>
        <w:t>nedjelj</w:t>
      </w:r>
      <w:r w:rsidRPr="00F24057">
        <w:rPr>
          <w:szCs w:val="22"/>
          <w:lang w:val="sr-Latn-ME"/>
        </w:rPr>
        <w:t xml:space="preserve">e sa placebo injekcijama svake druge </w:t>
      </w:r>
      <w:r w:rsidR="00885A78" w:rsidRPr="00F24057">
        <w:rPr>
          <w:szCs w:val="22"/>
          <w:lang w:val="sr-Latn-ME"/>
        </w:rPr>
        <w:t>nedjelj</w:t>
      </w:r>
      <w:r w:rsidRPr="00F24057">
        <w:rPr>
          <w:szCs w:val="22"/>
          <w:lang w:val="sr-Latn-ME"/>
        </w:rPr>
        <w:t>e, naizm</w:t>
      </w:r>
      <w:r w:rsidR="0087286E" w:rsidRPr="00F24057">
        <w:rPr>
          <w:szCs w:val="22"/>
          <w:lang w:val="sr-Latn-ME"/>
        </w:rPr>
        <w:t>j</w:t>
      </w:r>
      <w:r w:rsidRPr="00F24057">
        <w:rPr>
          <w:szCs w:val="22"/>
          <w:lang w:val="sr-Latn-ME"/>
        </w:rPr>
        <w:t xml:space="preserve">enično. Po završetku prve 52 </w:t>
      </w:r>
      <w:r w:rsidR="00885A78" w:rsidRPr="00F24057">
        <w:rPr>
          <w:szCs w:val="22"/>
          <w:lang w:val="sr-Latn-ME"/>
        </w:rPr>
        <w:t>nedjelj</w:t>
      </w:r>
      <w:r w:rsidRPr="00F24057">
        <w:rPr>
          <w:szCs w:val="22"/>
          <w:lang w:val="sr-Latn-ME"/>
        </w:rPr>
        <w:t>e terapije, 457 pacijenata je uključeno u otvorenu, produženu fazu u kojoj su 40 mg adalimumaba/</w:t>
      </w:r>
      <w:r w:rsidR="00813885" w:rsidRPr="00F24057">
        <w:rPr>
          <w:szCs w:val="22"/>
          <w:lang w:val="sr-Latn-ME"/>
        </w:rPr>
        <w:t>metotreksat</w:t>
      </w:r>
      <w:r w:rsidR="00EF308E" w:rsidRPr="00F24057">
        <w:rPr>
          <w:szCs w:val="22"/>
          <w:lang w:val="sr-Latn-ME"/>
        </w:rPr>
        <w:t xml:space="preserve"> (MTX)</w:t>
      </w:r>
      <w:r w:rsidRPr="00F24057">
        <w:rPr>
          <w:szCs w:val="22"/>
          <w:lang w:val="sr-Latn-ME"/>
        </w:rPr>
        <w:t xml:space="preserve"> primali svake druge </w:t>
      </w:r>
      <w:r w:rsidR="00885A78" w:rsidRPr="00F24057">
        <w:rPr>
          <w:szCs w:val="22"/>
          <w:lang w:val="sr-Latn-ME"/>
        </w:rPr>
        <w:t>nedjelj</w:t>
      </w:r>
      <w:r w:rsidRPr="00F24057">
        <w:rPr>
          <w:szCs w:val="22"/>
          <w:lang w:val="sr-Latn-ME"/>
        </w:rPr>
        <w:t xml:space="preserve">e tokom 10 godina. </w:t>
      </w:r>
    </w:p>
    <w:p w14:paraId="624CADFB" w14:textId="77777777" w:rsidR="003C3C53" w:rsidRPr="00F24057" w:rsidRDefault="003C3C53" w:rsidP="00D70B34">
      <w:pPr>
        <w:rPr>
          <w:szCs w:val="22"/>
          <w:lang w:val="sr-Latn-ME"/>
        </w:rPr>
      </w:pPr>
    </w:p>
    <w:p w14:paraId="5BDF0F77" w14:textId="3BA43216" w:rsidR="003C3C53" w:rsidRPr="00F24057" w:rsidRDefault="003C3C53" w:rsidP="00D70B34">
      <w:pPr>
        <w:rPr>
          <w:szCs w:val="22"/>
          <w:lang w:val="sr-Latn-ME"/>
        </w:rPr>
      </w:pPr>
      <w:r w:rsidRPr="00F24057">
        <w:rPr>
          <w:szCs w:val="22"/>
          <w:lang w:val="sr-Latn-ME"/>
        </w:rPr>
        <w:t xml:space="preserve">RA studija IV je primarno </w:t>
      </w:r>
      <w:r w:rsidR="00885A78" w:rsidRPr="00F24057">
        <w:rPr>
          <w:szCs w:val="22"/>
          <w:lang w:val="sr-Latn-ME"/>
        </w:rPr>
        <w:t>proc</w:t>
      </w:r>
      <w:r w:rsidR="0087286E" w:rsidRPr="00F24057">
        <w:rPr>
          <w:szCs w:val="22"/>
          <w:lang w:val="sr-Latn-ME"/>
        </w:rPr>
        <w:t>i</w:t>
      </w:r>
      <w:r w:rsidR="00885A78" w:rsidRPr="00F24057">
        <w:rPr>
          <w:szCs w:val="22"/>
          <w:lang w:val="sr-Latn-ME"/>
        </w:rPr>
        <w:t>jeni</w:t>
      </w:r>
      <w:r w:rsidRPr="00F24057">
        <w:rPr>
          <w:szCs w:val="22"/>
          <w:lang w:val="sr-Latn-ME"/>
        </w:rPr>
        <w:t xml:space="preserve">la </w:t>
      </w:r>
      <w:r w:rsidR="0030064A" w:rsidRPr="00F24057">
        <w:rPr>
          <w:szCs w:val="22"/>
          <w:lang w:val="sr-Latn-ME"/>
        </w:rPr>
        <w:t>bezbjedno</w:t>
      </w:r>
      <w:r w:rsidRPr="00F24057">
        <w:rPr>
          <w:szCs w:val="22"/>
          <w:lang w:val="sr-Latn-ME"/>
        </w:rPr>
        <w:t>st kod 636 pacijenata sa u</w:t>
      </w:r>
      <w:r w:rsidR="0030064A" w:rsidRPr="00F24057">
        <w:rPr>
          <w:szCs w:val="22"/>
          <w:lang w:val="sr-Latn-ME"/>
        </w:rPr>
        <w:t>mjeren</w:t>
      </w:r>
      <w:r w:rsidRPr="00F24057">
        <w:rPr>
          <w:szCs w:val="22"/>
          <w:lang w:val="sr-Latn-ME"/>
        </w:rPr>
        <w:t xml:space="preserve">im do teškim aktivnim reumatoidnim artritisom, uzrasta ≥18 godina. Pacijentima je bilo dozvoljeno da budu ili na antireumatskoj terapiji koja modifikuje tok bolesti, koju primaju prvi put ili da ostanu na prethodnoj antireumatskoj terapiji, pod uslovom da je ta terapija stabilna najmanje 28 dana. Ova terapija uključuje metotreksat, leflunomid, hidroksihlorohin, sulfasalazin i/ili soli zlata. Pacijenti su randomizovani na 40 mg adalimumaba ili placeba svake druge </w:t>
      </w:r>
      <w:r w:rsidR="00885A78" w:rsidRPr="00F24057">
        <w:rPr>
          <w:szCs w:val="22"/>
          <w:lang w:val="sr-Latn-ME"/>
        </w:rPr>
        <w:t>nedjelj</w:t>
      </w:r>
      <w:r w:rsidRPr="00F24057">
        <w:rPr>
          <w:szCs w:val="22"/>
          <w:lang w:val="sr-Latn-ME"/>
        </w:rPr>
        <w:t xml:space="preserve">e tokom 24 </w:t>
      </w:r>
      <w:r w:rsidR="00885A78" w:rsidRPr="00F24057">
        <w:rPr>
          <w:szCs w:val="22"/>
          <w:lang w:val="sr-Latn-ME"/>
        </w:rPr>
        <w:t>nedjelj</w:t>
      </w:r>
      <w:r w:rsidRPr="00F24057">
        <w:rPr>
          <w:szCs w:val="22"/>
          <w:lang w:val="sr-Latn-ME"/>
        </w:rPr>
        <w:t xml:space="preserve">e. </w:t>
      </w:r>
    </w:p>
    <w:p w14:paraId="05451421" w14:textId="77777777" w:rsidR="003C3C53" w:rsidRPr="00F24057" w:rsidRDefault="003C3C53" w:rsidP="00D70B34">
      <w:pPr>
        <w:rPr>
          <w:szCs w:val="22"/>
          <w:lang w:val="sr-Latn-ME"/>
        </w:rPr>
      </w:pPr>
    </w:p>
    <w:p w14:paraId="69565E4B" w14:textId="34D45508" w:rsidR="00B33289" w:rsidRPr="00F24057" w:rsidRDefault="003C3C53" w:rsidP="00D70B34">
      <w:pPr>
        <w:rPr>
          <w:szCs w:val="22"/>
          <w:lang w:val="sr-Latn-ME"/>
        </w:rPr>
      </w:pPr>
      <w:r w:rsidRPr="00F24057">
        <w:rPr>
          <w:szCs w:val="22"/>
          <w:lang w:val="sr-Latn-ME"/>
        </w:rPr>
        <w:t>RA studija V je ispitivala 799 odraslih pacijenata koji prvi put primaju metotreksat, sa u</w:t>
      </w:r>
      <w:r w:rsidR="0030064A" w:rsidRPr="00F24057">
        <w:rPr>
          <w:szCs w:val="22"/>
          <w:lang w:val="sr-Latn-ME"/>
        </w:rPr>
        <w:t>mjeren</w:t>
      </w:r>
      <w:r w:rsidRPr="00F24057">
        <w:rPr>
          <w:szCs w:val="22"/>
          <w:lang w:val="sr-Latn-ME"/>
        </w:rPr>
        <w:t>im do teškim aktivnim ranim reumatoidnim artritisom (pros</w:t>
      </w:r>
      <w:r w:rsidR="00972894" w:rsidRPr="00F24057">
        <w:rPr>
          <w:szCs w:val="22"/>
          <w:lang w:val="sr-Latn-ME"/>
        </w:rPr>
        <w:t>j</w:t>
      </w:r>
      <w:r w:rsidRPr="00F24057">
        <w:rPr>
          <w:szCs w:val="22"/>
          <w:lang w:val="sr-Latn-ME"/>
        </w:rPr>
        <w:t xml:space="preserve">ečno trajanje bolesti manje od 9 </w:t>
      </w:r>
      <w:r w:rsidR="00885A78" w:rsidRPr="00F24057">
        <w:rPr>
          <w:szCs w:val="22"/>
          <w:lang w:val="sr-Latn-ME"/>
        </w:rPr>
        <w:t>mjesec</w:t>
      </w:r>
      <w:r w:rsidRPr="00F24057">
        <w:rPr>
          <w:szCs w:val="22"/>
          <w:lang w:val="sr-Latn-ME"/>
        </w:rPr>
        <w:t xml:space="preserve">i). Studija </w:t>
      </w:r>
      <w:r w:rsidR="004F2520" w:rsidRPr="00F24057">
        <w:rPr>
          <w:szCs w:val="22"/>
          <w:lang w:val="sr-Latn-ME"/>
        </w:rPr>
        <w:t>procjen</w:t>
      </w:r>
      <w:r w:rsidRPr="00F24057">
        <w:rPr>
          <w:szCs w:val="22"/>
          <w:lang w:val="sr-Latn-ME"/>
        </w:rPr>
        <w:t xml:space="preserve">juje efikasnost kombinovane terapije adalimumab u dozi od 40 mg svake druge </w:t>
      </w:r>
      <w:r w:rsidR="00885A78" w:rsidRPr="00F24057">
        <w:rPr>
          <w:szCs w:val="22"/>
          <w:lang w:val="sr-Latn-ME"/>
        </w:rPr>
        <w:t>nedjelj</w:t>
      </w:r>
      <w:r w:rsidRPr="00F24057">
        <w:rPr>
          <w:szCs w:val="22"/>
          <w:lang w:val="sr-Latn-ME"/>
        </w:rPr>
        <w:t xml:space="preserve">e/metotreksat, monoterapije adalimumabom u dozi od 40 mg svake druge </w:t>
      </w:r>
      <w:r w:rsidR="00885A78" w:rsidRPr="00F24057">
        <w:rPr>
          <w:szCs w:val="22"/>
          <w:lang w:val="sr-Latn-ME"/>
        </w:rPr>
        <w:t>nedjelj</w:t>
      </w:r>
      <w:r w:rsidRPr="00F24057">
        <w:rPr>
          <w:szCs w:val="22"/>
          <w:lang w:val="sr-Latn-ME"/>
        </w:rPr>
        <w:t xml:space="preserve">e, i monoterapije metotreksatom, u smanjenju znakova, simptoma i brzine progresije oštećenja zglobova u reumatoidnom artritisu tokom 104 </w:t>
      </w:r>
      <w:r w:rsidR="00885A78" w:rsidRPr="00F24057">
        <w:rPr>
          <w:szCs w:val="22"/>
          <w:lang w:val="sr-Latn-ME"/>
        </w:rPr>
        <w:t>nedjelj</w:t>
      </w:r>
      <w:r w:rsidRPr="00F24057">
        <w:rPr>
          <w:szCs w:val="22"/>
          <w:lang w:val="sr-Latn-ME"/>
        </w:rPr>
        <w:t xml:space="preserve">e. Po završetku prve 104 </w:t>
      </w:r>
      <w:r w:rsidR="00885A78" w:rsidRPr="00F24057">
        <w:rPr>
          <w:szCs w:val="22"/>
          <w:lang w:val="sr-Latn-ME"/>
        </w:rPr>
        <w:t>nedjelj</w:t>
      </w:r>
      <w:r w:rsidRPr="00F24057">
        <w:rPr>
          <w:szCs w:val="22"/>
          <w:lang w:val="sr-Latn-ME"/>
        </w:rPr>
        <w:t xml:space="preserve">e, 497 pacijenata uključeno je u otvoreni produžetak studije, u kojem se adalimumab u dozi od 40 mg </w:t>
      </w:r>
      <w:r w:rsidR="0030064A" w:rsidRPr="00F24057">
        <w:rPr>
          <w:szCs w:val="22"/>
          <w:lang w:val="sr-Latn-ME"/>
        </w:rPr>
        <w:t>primjen</w:t>
      </w:r>
      <w:r w:rsidRPr="00F24057">
        <w:rPr>
          <w:szCs w:val="22"/>
          <w:lang w:val="sr-Latn-ME"/>
        </w:rPr>
        <w:t xml:space="preserve">jivao svake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tokom perioda do 10 godina. </w:t>
      </w:r>
    </w:p>
    <w:p w14:paraId="20EBE11B" w14:textId="265A5AF9" w:rsidR="00B33289" w:rsidRPr="00F24057" w:rsidRDefault="00B33289" w:rsidP="00D70B34">
      <w:pPr>
        <w:rPr>
          <w:szCs w:val="22"/>
          <w:lang w:val="sr-Latn-ME"/>
        </w:rPr>
      </w:pPr>
    </w:p>
    <w:p w14:paraId="7360C9B6" w14:textId="7B16980D" w:rsidR="009C26C2" w:rsidRPr="00F24057" w:rsidRDefault="009C26C2" w:rsidP="00D70B34">
      <w:pPr>
        <w:rPr>
          <w:szCs w:val="22"/>
          <w:lang w:val="sr-Latn-ME"/>
        </w:rPr>
      </w:pPr>
      <w:r w:rsidRPr="00F24057">
        <w:rPr>
          <w:szCs w:val="22"/>
          <w:lang w:val="sr-Latn-ME"/>
        </w:rPr>
        <w:t xml:space="preserve">RA studije VI i VII su </w:t>
      </w:r>
      <w:r w:rsidR="004F2520" w:rsidRPr="00F24057">
        <w:rPr>
          <w:szCs w:val="22"/>
          <w:lang w:val="sr-Latn-ME"/>
        </w:rPr>
        <w:t>procjen</w:t>
      </w:r>
      <w:r w:rsidRPr="00F24057">
        <w:rPr>
          <w:szCs w:val="22"/>
          <w:lang w:val="sr-Latn-ME"/>
        </w:rPr>
        <w:t>jivale 60 pacijenata sa u</w:t>
      </w:r>
      <w:r w:rsidR="0030064A" w:rsidRPr="00F24057">
        <w:rPr>
          <w:szCs w:val="22"/>
          <w:lang w:val="sr-Latn-ME"/>
        </w:rPr>
        <w:t>mjeren</w:t>
      </w:r>
      <w:r w:rsidRPr="00F24057">
        <w:rPr>
          <w:szCs w:val="22"/>
          <w:lang w:val="sr-Latn-ME"/>
        </w:rPr>
        <w:t>im do tešk</w:t>
      </w:r>
      <w:r w:rsidR="003E698B" w:rsidRPr="00F24057">
        <w:rPr>
          <w:szCs w:val="22"/>
          <w:lang w:val="sr-Latn-ME"/>
        </w:rPr>
        <w:t>im</w:t>
      </w:r>
      <w:r w:rsidRPr="00F24057">
        <w:rPr>
          <w:szCs w:val="22"/>
          <w:lang w:val="sr-Latn-ME"/>
        </w:rPr>
        <w:t xml:space="preserve"> aktivnim reumatoidnim artritisom uzrasta ≥ 18 godina. Uključeni pacijenti su bili ili trenutni korisnici adalimumaba </w:t>
      </w:r>
      <w:r w:rsidR="00A5294A" w:rsidRPr="00F24057">
        <w:rPr>
          <w:szCs w:val="22"/>
          <w:lang w:val="sr-Latn-ME"/>
        </w:rPr>
        <w:t xml:space="preserve">u dozi od </w:t>
      </w:r>
      <w:r w:rsidRPr="00F24057">
        <w:rPr>
          <w:szCs w:val="22"/>
          <w:lang w:val="sr-Latn-ME"/>
        </w:rPr>
        <w:t xml:space="preserve">40 mg/0,8 </w:t>
      </w:r>
      <w:r w:rsidR="006E2502" w:rsidRPr="00F24057">
        <w:rPr>
          <w:szCs w:val="22"/>
          <w:lang w:val="sr-Latn-ME"/>
        </w:rPr>
        <w:t>m</w:t>
      </w:r>
      <w:r w:rsidR="005374FB" w:rsidRPr="00F24057">
        <w:rPr>
          <w:szCs w:val="22"/>
          <w:lang w:val="sr-Latn-ME"/>
        </w:rPr>
        <w:t>l</w:t>
      </w:r>
      <w:r w:rsidR="006E2502" w:rsidRPr="00F24057">
        <w:rPr>
          <w:szCs w:val="22"/>
          <w:lang w:val="sr-Latn-ME"/>
        </w:rPr>
        <w:t xml:space="preserve"> </w:t>
      </w:r>
      <w:r w:rsidR="009E56E9" w:rsidRPr="00F24057">
        <w:rPr>
          <w:szCs w:val="22"/>
          <w:lang w:val="sr-Latn-ME"/>
        </w:rPr>
        <w:t>koji su</w:t>
      </w:r>
      <w:r w:rsidRPr="00F24057">
        <w:rPr>
          <w:szCs w:val="22"/>
          <w:lang w:val="sr-Latn-ME"/>
        </w:rPr>
        <w:t xml:space="preserve"> oc</w:t>
      </w:r>
      <w:r w:rsidR="009A3407" w:rsidRPr="00F24057">
        <w:rPr>
          <w:szCs w:val="22"/>
          <w:lang w:val="sr-Latn-ME"/>
        </w:rPr>
        <w:t>j</w:t>
      </w:r>
      <w:r w:rsidRPr="00F24057">
        <w:rPr>
          <w:szCs w:val="22"/>
          <w:lang w:val="sr-Latn-ME"/>
        </w:rPr>
        <w:t xml:space="preserve">enili svoj </w:t>
      </w:r>
      <w:r w:rsidR="00972894" w:rsidRPr="00F24057">
        <w:rPr>
          <w:szCs w:val="22"/>
          <w:lang w:val="sr-Latn-ME"/>
        </w:rPr>
        <w:t>prosje</w:t>
      </w:r>
      <w:r w:rsidRPr="00F24057">
        <w:rPr>
          <w:szCs w:val="22"/>
          <w:lang w:val="sr-Latn-ME"/>
        </w:rPr>
        <w:t xml:space="preserve">čni bol na </w:t>
      </w:r>
      <w:r w:rsidR="00972894" w:rsidRPr="00F24057">
        <w:rPr>
          <w:szCs w:val="22"/>
          <w:lang w:val="sr-Latn-ME"/>
        </w:rPr>
        <w:t>mjest</w:t>
      </w:r>
      <w:r w:rsidRPr="00F24057">
        <w:rPr>
          <w:szCs w:val="22"/>
          <w:lang w:val="sr-Latn-ME"/>
        </w:rPr>
        <w:t>u</w:t>
      </w:r>
      <w:r w:rsidR="00B10BDA" w:rsidRPr="00F24057">
        <w:rPr>
          <w:szCs w:val="22"/>
          <w:lang w:val="sr-Latn-ME"/>
        </w:rPr>
        <w:t xml:space="preserve"> </w:t>
      </w:r>
      <w:r w:rsidR="0030064A" w:rsidRPr="00F24057">
        <w:rPr>
          <w:szCs w:val="22"/>
          <w:lang w:val="sr-Latn-ME"/>
        </w:rPr>
        <w:t>primjen</w:t>
      </w:r>
      <w:r w:rsidR="00B10BDA" w:rsidRPr="00F24057">
        <w:rPr>
          <w:szCs w:val="22"/>
          <w:lang w:val="sr-Latn-ME"/>
        </w:rPr>
        <w:t>e</w:t>
      </w:r>
      <w:r w:rsidRPr="00F24057">
        <w:rPr>
          <w:szCs w:val="22"/>
          <w:lang w:val="sr-Latn-ME"/>
        </w:rPr>
        <w:t xml:space="preserve"> injekcije kao najmanje 3 cm (na </w:t>
      </w:r>
      <w:r w:rsidR="00CC09E2" w:rsidRPr="00F24057">
        <w:rPr>
          <w:szCs w:val="22"/>
          <w:lang w:val="sr-Latn-ME"/>
        </w:rPr>
        <w:t>vizuelno analognoj skali (</w:t>
      </w:r>
      <w:r w:rsidRPr="00F24057">
        <w:rPr>
          <w:szCs w:val="22"/>
          <w:lang w:val="sr-Latn-ME"/>
        </w:rPr>
        <w:t>VAS</w:t>
      </w:r>
      <w:r w:rsidR="00CC09E2" w:rsidRPr="00F24057">
        <w:rPr>
          <w:szCs w:val="22"/>
          <w:lang w:val="sr-Latn-ME"/>
        </w:rPr>
        <w:t>)</w:t>
      </w:r>
      <w:r w:rsidRPr="00F24057">
        <w:rPr>
          <w:szCs w:val="22"/>
          <w:lang w:val="sr-Latn-ME"/>
        </w:rPr>
        <w:t xml:space="preserve"> od 0-10 cm) ili su bili subjekti koji su prvi put uzimali adalimumab </w:t>
      </w:r>
      <w:r w:rsidR="002150AD" w:rsidRPr="00F24057">
        <w:rPr>
          <w:szCs w:val="22"/>
          <w:lang w:val="sr-Latn-ME"/>
        </w:rPr>
        <w:t xml:space="preserve">u dozi od </w:t>
      </w:r>
      <w:r w:rsidRPr="00F24057">
        <w:rPr>
          <w:szCs w:val="22"/>
          <w:lang w:val="sr-Latn-ME"/>
        </w:rPr>
        <w:t>40 mg/0,8 m</w:t>
      </w:r>
      <w:r w:rsidR="005374FB" w:rsidRPr="00F24057">
        <w:rPr>
          <w:szCs w:val="22"/>
          <w:lang w:val="sr-Latn-ME"/>
        </w:rPr>
        <w:t>l</w:t>
      </w:r>
      <w:r w:rsidRPr="00F24057">
        <w:rPr>
          <w:szCs w:val="22"/>
          <w:lang w:val="sr-Latn-ME"/>
        </w:rPr>
        <w:t xml:space="preserve">. Pacijenti su </w:t>
      </w:r>
      <w:r w:rsidR="00E62568" w:rsidRPr="00F24057">
        <w:rPr>
          <w:szCs w:val="22"/>
          <w:lang w:val="sr-Latn-ME"/>
        </w:rPr>
        <w:t xml:space="preserve">randomizovani </w:t>
      </w:r>
      <w:r w:rsidRPr="00F24057">
        <w:rPr>
          <w:szCs w:val="22"/>
          <w:lang w:val="sr-Latn-ME"/>
        </w:rPr>
        <w:t>da primaju jednu dozu adalimumaba</w:t>
      </w:r>
      <w:r w:rsidR="00A5294A" w:rsidRPr="00F24057">
        <w:rPr>
          <w:szCs w:val="22"/>
          <w:lang w:val="sr-Latn-ME"/>
        </w:rPr>
        <w:t xml:space="preserve"> u dozi od</w:t>
      </w:r>
      <w:r w:rsidRPr="00F24057">
        <w:rPr>
          <w:szCs w:val="22"/>
          <w:lang w:val="sr-Latn-ME"/>
        </w:rPr>
        <w:t xml:space="preserve"> 40 mg/0,8 </w:t>
      </w:r>
      <w:r w:rsidR="006E2502" w:rsidRPr="00F24057">
        <w:rPr>
          <w:szCs w:val="22"/>
          <w:lang w:val="sr-Latn-ME"/>
        </w:rPr>
        <w:t>m</w:t>
      </w:r>
      <w:r w:rsidR="005374FB" w:rsidRPr="00F24057">
        <w:rPr>
          <w:szCs w:val="22"/>
          <w:lang w:val="sr-Latn-ME"/>
        </w:rPr>
        <w:t>l</w:t>
      </w:r>
      <w:r w:rsidR="006E2502" w:rsidRPr="00F24057">
        <w:rPr>
          <w:szCs w:val="22"/>
          <w:lang w:val="sr-Latn-ME"/>
        </w:rPr>
        <w:t xml:space="preserve"> </w:t>
      </w:r>
      <w:r w:rsidRPr="00F24057">
        <w:rPr>
          <w:szCs w:val="22"/>
          <w:lang w:val="sr-Latn-ME"/>
        </w:rPr>
        <w:t>ili adalimumab</w:t>
      </w:r>
      <w:r w:rsidR="00A5294A" w:rsidRPr="00F24057">
        <w:rPr>
          <w:szCs w:val="22"/>
          <w:lang w:val="sr-Latn-ME"/>
        </w:rPr>
        <w:t xml:space="preserve"> u dozi od</w:t>
      </w:r>
      <w:r w:rsidRPr="00F24057">
        <w:rPr>
          <w:szCs w:val="22"/>
          <w:lang w:val="sr-Latn-ME"/>
        </w:rPr>
        <w:t xml:space="preserve"> 40 mg/0,4 m</w:t>
      </w:r>
      <w:r w:rsidR="005374FB" w:rsidRPr="00F24057">
        <w:rPr>
          <w:szCs w:val="22"/>
          <w:lang w:val="sr-Latn-ME"/>
        </w:rPr>
        <w:t>l</w:t>
      </w:r>
      <w:r w:rsidRPr="00F24057">
        <w:rPr>
          <w:szCs w:val="22"/>
          <w:lang w:val="sr-Latn-ME"/>
        </w:rPr>
        <w:t xml:space="preserve">, nakon čega je </w:t>
      </w:r>
      <w:r w:rsidR="009811CA" w:rsidRPr="00F24057">
        <w:rPr>
          <w:szCs w:val="22"/>
          <w:lang w:val="sr-Latn-ME"/>
        </w:rPr>
        <w:t>usljed</w:t>
      </w:r>
      <w:r w:rsidRPr="00F24057">
        <w:rPr>
          <w:szCs w:val="22"/>
          <w:lang w:val="sr-Latn-ME"/>
        </w:rPr>
        <w:t xml:space="preserve">ila jedna injekcija suprotnog tretmana u </w:t>
      </w:r>
      <w:r w:rsidR="009811CA" w:rsidRPr="00F24057">
        <w:rPr>
          <w:szCs w:val="22"/>
          <w:lang w:val="sr-Latn-ME"/>
        </w:rPr>
        <w:t>sljedeć</w:t>
      </w:r>
      <w:r w:rsidR="005025C0" w:rsidRPr="00F24057">
        <w:rPr>
          <w:szCs w:val="22"/>
          <w:lang w:val="sr-Latn-ME"/>
        </w:rPr>
        <w:t>oj</w:t>
      </w:r>
      <w:r w:rsidRPr="00F24057">
        <w:rPr>
          <w:szCs w:val="22"/>
          <w:lang w:val="sr-Latn-ME"/>
        </w:rPr>
        <w:t xml:space="preserve"> dozi.</w:t>
      </w:r>
    </w:p>
    <w:p w14:paraId="74030BCF" w14:textId="77777777" w:rsidR="009C26C2" w:rsidRPr="00F24057" w:rsidRDefault="009C26C2" w:rsidP="00D70B34">
      <w:pPr>
        <w:rPr>
          <w:szCs w:val="22"/>
          <w:lang w:val="sr-Latn-ME"/>
        </w:rPr>
      </w:pPr>
    </w:p>
    <w:p w14:paraId="013778F3" w14:textId="309EC27A" w:rsidR="003C3C53" w:rsidRPr="00F24057" w:rsidRDefault="003C3C53" w:rsidP="00D70B34">
      <w:pPr>
        <w:rPr>
          <w:szCs w:val="22"/>
          <w:lang w:val="sr-Latn-ME"/>
        </w:rPr>
      </w:pPr>
      <w:r w:rsidRPr="00F24057">
        <w:rPr>
          <w:szCs w:val="22"/>
          <w:lang w:val="sr-Latn-ME"/>
        </w:rPr>
        <w:t xml:space="preserve">Primarni parametar praćenja u RA studijama I, II i III i sekundarni parametar praćenja u RA studiji IV je bio </w:t>
      </w:r>
      <w:r w:rsidR="00972894" w:rsidRPr="00F24057">
        <w:rPr>
          <w:szCs w:val="22"/>
          <w:lang w:val="sr-Latn-ME"/>
        </w:rPr>
        <w:t>procenat</w:t>
      </w:r>
      <w:r w:rsidRPr="00F24057">
        <w:rPr>
          <w:szCs w:val="22"/>
          <w:lang w:val="sr-Latn-ME"/>
        </w:rPr>
        <w:t xml:space="preserve"> pacijenata koji su postigli ACR 20 odgovor u 24. ili 26. </w:t>
      </w:r>
      <w:r w:rsidR="00885A78" w:rsidRPr="00F24057">
        <w:rPr>
          <w:szCs w:val="22"/>
          <w:lang w:val="sr-Latn-ME"/>
        </w:rPr>
        <w:t>nedjelj</w:t>
      </w:r>
      <w:r w:rsidRPr="00F24057">
        <w:rPr>
          <w:szCs w:val="22"/>
          <w:lang w:val="sr-Latn-ME"/>
        </w:rPr>
        <w:t xml:space="preserve">i. Primarni parametar praćenja u RA studiji V je bio </w:t>
      </w:r>
      <w:r w:rsidR="00972894" w:rsidRPr="00F24057">
        <w:rPr>
          <w:szCs w:val="22"/>
          <w:lang w:val="sr-Latn-ME"/>
        </w:rPr>
        <w:t>procenat</w:t>
      </w:r>
      <w:r w:rsidRPr="00F24057">
        <w:rPr>
          <w:szCs w:val="22"/>
          <w:lang w:val="sr-Latn-ME"/>
        </w:rPr>
        <w:t xml:space="preserve"> pacijenata koji su postigli ACR 50 odgovor u </w:t>
      </w:r>
      <w:r w:rsidR="00885A78" w:rsidRPr="00F24057">
        <w:rPr>
          <w:szCs w:val="22"/>
          <w:lang w:val="sr-Latn-ME"/>
        </w:rPr>
        <w:t>nedjelj</w:t>
      </w:r>
      <w:r w:rsidRPr="00F24057">
        <w:rPr>
          <w:szCs w:val="22"/>
          <w:lang w:val="sr-Latn-ME"/>
        </w:rPr>
        <w:t xml:space="preserve">i 52. RA studije III i V su imale dodatni parametar praćenja u </w:t>
      </w:r>
      <w:r w:rsidR="00885A78" w:rsidRPr="00F24057">
        <w:rPr>
          <w:szCs w:val="22"/>
          <w:lang w:val="sr-Latn-ME"/>
        </w:rPr>
        <w:t>nedjelj</w:t>
      </w:r>
      <w:r w:rsidRPr="00F24057">
        <w:rPr>
          <w:szCs w:val="22"/>
          <w:lang w:val="sr-Latn-ME"/>
        </w:rPr>
        <w:t xml:space="preserve">i 52 u zaustavljanju progresije bolesti (kao što je </w:t>
      </w:r>
      <w:r w:rsidR="00CB199C" w:rsidRPr="00F24057">
        <w:rPr>
          <w:szCs w:val="22"/>
          <w:lang w:val="sr-Latn-ME"/>
        </w:rPr>
        <w:t>primijećeno</w:t>
      </w:r>
      <w:r w:rsidRPr="00F24057">
        <w:rPr>
          <w:szCs w:val="22"/>
          <w:lang w:val="sr-Latn-ME"/>
        </w:rPr>
        <w:t xml:space="preserve"> na rentgenskim snimcima). RA studija III je takođe imala primarni parametar praćenja u </w:t>
      </w:r>
      <w:r w:rsidR="004F2520" w:rsidRPr="00F24057">
        <w:rPr>
          <w:szCs w:val="22"/>
          <w:lang w:val="sr-Latn-ME"/>
        </w:rPr>
        <w:t>promjen</w:t>
      </w:r>
      <w:r w:rsidRPr="00F24057">
        <w:rPr>
          <w:szCs w:val="22"/>
          <w:lang w:val="sr-Latn-ME"/>
        </w:rPr>
        <w:t>i kvaliteta života.</w:t>
      </w:r>
      <w:r w:rsidR="009C26C2" w:rsidRPr="00F24057">
        <w:rPr>
          <w:szCs w:val="22"/>
          <w:lang w:val="sr-Latn-ME"/>
        </w:rPr>
        <w:t xml:space="preserve"> Primarni </w:t>
      </w:r>
      <w:r w:rsidR="003259EA" w:rsidRPr="00F24057">
        <w:rPr>
          <w:szCs w:val="22"/>
          <w:lang w:val="sr-Latn-ME"/>
        </w:rPr>
        <w:t>paramet</w:t>
      </w:r>
      <w:r w:rsidR="00311A3B" w:rsidRPr="00F24057">
        <w:rPr>
          <w:szCs w:val="22"/>
          <w:lang w:val="sr-Latn-ME"/>
        </w:rPr>
        <w:t>a</w:t>
      </w:r>
      <w:r w:rsidR="003259EA" w:rsidRPr="00F24057">
        <w:rPr>
          <w:szCs w:val="22"/>
          <w:lang w:val="sr-Latn-ME"/>
        </w:rPr>
        <w:t>r praćenja</w:t>
      </w:r>
      <w:r w:rsidR="009C26C2" w:rsidRPr="00F24057">
        <w:rPr>
          <w:szCs w:val="22"/>
          <w:lang w:val="sr-Latn-ME"/>
        </w:rPr>
        <w:t xml:space="preserve"> u </w:t>
      </w:r>
      <w:r w:rsidR="003259EA" w:rsidRPr="00F24057">
        <w:rPr>
          <w:szCs w:val="22"/>
          <w:lang w:val="sr-Latn-ME"/>
        </w:rPr>
        <w:t xml:space="preserve">RA </w:t>
      </w:r>
      <w:r w:rsidR="009C26C2" w:rsidRPr="00F24057">
        <w:rPr>
          <w:szCs w:val="22"/>
          <w:lang w:val="sr-Latn-ME"/>
        </w:rPr>
        <w:t>studijama</w:t>
      </w:r>
      <w:r w:rsidR="003259EA" w:rsidRPr="00F24057">
        <w:rPr>
          <w:szCs w:val="22"/>
          <w:lang w:val="sr-Latn-ME"/>
        </w:rPr>
        <w:t xml:space="preserve"> </w:t>
      </w:r>
      <w:r w:rsidR="009C26C2" w:rsidRPr="00F24057">
        <w:rPr>
          <w:szCs w:val="22"/>
          <w:lang w:val="sr-Latn-ME"/>
        </w:rPr>
        <w:t xml:space="preserve">VI i VII bio je bol na </w:t>
      </w:r>
      <w:r w:rsidR="00972894" w:rsidRPr="00F24057">
        <w:rPr>
          <w:szCs w:val="22"/>
          <w:lang w:val="sr-Latn-ME"/>
        </w:rPr>
        <w:t>mjest</w:t>
      </w:r>
      <w:r w:rsidR="009C26C2" w:rsidRPr="00F24057">
        <w:rPr>
          <w:szCs w:val="22"/>
          <w:lang w:val="sr-Latn-ME"/>
        </w:rPr>
        <w:t xml:space="preserve">u injekcije neposredno nakon injekcije, </w:t>
      </w:r>
      <w:r w:rsidR="0030064A" w:rsidRPr="00F24057">
        <w:rPr>
          <w:szCs w:val="22"/>
          <w:lang w:val="sr-Latn-ME"/>
        </w:rPr>
        <w:t>mjeren</w:t>
      </w:r>
      <w:r w:rsidR="009C26C2" w:rsidRPr="00F24057">
        <w:rPr>
          <w:szCs w:val="22"/>
          <w:lang w:val="sr-Latn-ME"/>
        </w:rPr>
        <w:t xml:space="preserve">o </w:t>
      </w:r>
      <w:r w:rsidR="00CC09E2" w:rsidRPr="00F24057">
        <w:rPr>
          <w:szCs w:val="22"/>
          <w:lang w:val="sr-Latn-ME"/>
        </w:rPr>
        <w:t>vizuelnom analognom skalom (</w:t>
      </w:r>
      <w:r w:rsidR="009C26C2" w:rsidRPr="00F24057">
        <w:rPr>
          <w:szCs w:val="22"/>
          <w:lang w:val="sr-Latn-ME"/>
        </w:rPr>
        <w:t>VAS</w:t>
      </w:r>
      <w:r w:rsidR="00CC09E2" w:rsidRPr="00F24057">
        <w:rPr>
          <w:szCs w:val="22"/>
          <w:lang w:val="sr-Latn-ME"/>
        </w:rPr>
        <w:t>)</w:t>
      </w:r>
      <w:r w:rsidR="009C26C2" w:rsidRPr="00F24057">
        <w:rPr>
          <w:szCs w:val="22"/>
          <w:lang w:val="sr-Latn-ME"/>
        </w:rPr>
        <w:t xml:space="preserve"> od 0-10 cm.</w:t>
      </w:r>
    </w:p>
    <w:p w14:paraId="03B02164" w14:textId="5D7297E6" w:rsidR="003C3C53" w:rsidRPr="00F24057" w:rsidRDefault="003C3C53" w:rsidP="00D70B34">
      <w:pPr>
        <w:rPr>
          <w:szCs w:val="22"/>
          <w:lang w:val="sr-Latn-ME"/>
        </w:rPr>
      </w:pPr>
    </w:p>
    <w:p w14:paraId="320D2199" w14:textId="77777777" w:rsidR="00C16FF2" w:rsidRPr="00F24057" w:rsidRDefault="00B33289" w:rsidP="00D70B34">
      <w:pPr>
        <w:rPr>
          <w:szCs w:val="22"/>
          <w:u w:val="single"/>
          <w:lang w:val="sr-Latn-ME"/>
        </w:rPr>
      </w:pPr>
      <w:r w:rsidRPr="00F24057">
        <w:rPr>
          <w:szCs w:val="22"/>
          <w:u w:val="single"/>
          <w:lang w:val="sr-Latn-ME"/>
        </w:rPr>
        <w:t xml:space="preserve">ACR odgovor </w:t>
      </w:r>
    </w:p>
    <w:p w14:paraId="4BF715C0" w14:textId="2F69DE5A" w:rsidR="00B33289" w:rsidRPr="00F24057" w:rsidRDefault="00972894" w:rsidP="00D70B34">
      <w:pPr>
        <w:rPr>
          <w:szCs w:val="22"/>
          <w:lang w:val="sr-Latn-ME"/>
        </w:rPr>
      </w:pPr>
      <w:r w:rsidRPr="00F24057">
        <w:rPr>
          <w:szCs w:val="22"/>
          <w:lang w:val="sr-Latn-ME"/>
        </w:rPr>
        <w:lastRenderedPageBreak/>
        <w:t>Procenat</w:t>
      </w:r>
      <w:r w:rsidR="00B33289" w:rsidRPr="00F24057">
        <w:rPr>
          <w:szCs w:val="22"/>
          <w:lang w:val="sr-Latn-ME"/>
        </w:rPr>
        <w:t xml:space="preserve"> pacijenata </w:t>
      </w:r>
      <w:r w:rsidR="00885A78" w:rsidRPr="00F24057">
        <w:rPr>
          <w:szCs w:val="22"/>
          <w:lang w:val="sr-Latn-ME"/>
        </w:rPr>
        <w:t>liječe</w:t>
      </w:r>
      <w:r w:rsidR="00B33289" w:rsidRPr="00F24057">
        <w:rPr>
          <w:szCs w:val="22"/>
          <w:lang w:val="sr-Latn-ME"/>
        </w:rPr>
        <w:t xml:space="preserve">nih adalimumabom koji su postigli ACR 20, 50 i 70 odgovor je bio stalan tokom RA studija I, II i III. Rezultati </w:t>
      </w:r>
      <w:r w:rsidR="0030064A" w:rsidRPr="00F24057">
        <w:rPr>
          <w:szCs w:val="22"/>
          <w:lang w:val="sr-Latn-ME"/>
        </w:rPr>
        <w:t>primjen</w:t>
      </w:r>
      <w:r w:rsidR="00B33289" w:rsidRPr="00F24057">
        <w:rPr>
          <w:szCs w:val="22"/>
          <w:lang w:val="sr-Latn-ME"/>
        </w:rPr>
        <w:t xml:space="preserve">e doze od 40 mg svake druge </w:t>
      </w:r>
      <w:r w:rsidR="00885A78" w:rsidRPr="00F24057">
        <w:rPr>
          <w:szCs w:val="22"/>
          <w:lang w:val="sr-Latn-ME"/>
        </w:rPr>
        <w:t>nedjelj</w:t>
      </w:r>
      <w:r w:rsidR="00B33289" w:rsidRPr="00F24057">
        <w:rPr>
          <w:szCs w:val="22"/>
          <w:lang w:val="sr-Latn-ME"/>
        </w:rPr>
        <w:t xml:space="preserve">e su prikazani u Tabeli </w:t>
      </w:r>
      <w:r w:rsidR="00C16FF2" w:rsidRPr="00F24057">
        <w:rPr>
          <w:szCs w:val="22"/>
          <w:lang w:val="sr-Latn-ME"/>
        </w:rPr>
        <w:t>8</w:t>
      </w:r>
      <w:r w:rsidR="00B33289" w:rsidRPr="00F24057">
        <w:rPr>
          <w:szCs w:val="22"/>
          <w:lang w:val="sr-Latn-ME"/>
        </w:rPr>
        <w:t xml:space="preserve">. </w:t>
      </w:r>
    </w:p>
    <w:p w14:paraId="7C51C717" w14:textId="684FC799" w:rsidR="00EB1E93" w:rsidRPr="00F24057" w:rsidRDefault="00EB1E93" w:rsidP="00D70B34">
      <w:pPr>
        <w:rPr>
          <w:szCs w:val="22"/>
          <w:lang w:val="sr-Latn-ME"/>
        </w:rPr>
      </w:pPr>
    </w:p>
    <w:p w14:paraId="06FF2EE6" w14:textId="5FC6F919" w:rsidR="00EB1E93" w:rsidRPr="00F24057" w:rsidRDefault="00EB1E93" w:rsidP="00D70B34">
      <w:pPr>
        <w:rPr>
          <w:b/>
          <w:bCs/>
          <w:szCs w:val="22"/>
          <w:lang w:val="sr-Latn-ME"/>
        </w:rPr>
      </w:pPr>
      <w:r w:rsidRPr="00F24057">
        <w:rPr>
          <w:b/>
          <w:bCs/>
          <w:szCs w:val="22"/>
          <w:lang w:val="sr-Latn-ME"/>
        </w:rPr>
        <w:t>Tabela 8. ACR odgovori u placebo-kontrolisanim studijama (</w:t>
      </w:r>
      <w:r w:rsidR="00972894" w:rsidRPr="00F24057">
        <w:rPr>
          <w:b/>
          <w:bCs/>
          <w:szCs w:val="22"/>
          <w:lang w:val="sr-Latn-ME"/>
        </w:rPr>
        <w:t>procenat</w:t>
      </w:r>
      <w:r w:rsidRPr="00F24057">
        <w:rPr>
          <w:b/>
          <w:bCs/>
          <w:szCs w:val="22"/>
          <w:lang w:val="sr-Latn-ME"/>
        </w:rPr>
        <w:t xml:space="preserve"> pacijenata)</w:t>
      </w:r>
    </w:p>
    <w:p w14:paraId="3076867E" w14:textId="4E126C4F" w:rsidR="00EB1E93" w:rsidRPr="00F24057" w:rsidRDefault="00EB1E93" w:rsidP="00D70B34">
      <w:pPr>
        <w:rPr>
          <w:szCs w:val="22"/>
          <w:lang w:val="sr-Latn-ME"/>
        </w:rPr>
      </w:pPr>
    </w:p>
    <w:tbl>
      <w:tblPr>
        <w:tblStyle w:val="TableGrid"/>
        <w:tblW w:w="5000" w:type="pct"/>
        <w:tblLayout w:type="fixed"/>
        <w:tblCellMar>
          <w:left w:w="85" w:type="dxa"/>
          <w:right w:w="85" w:type="dxa"/>
        </w:tblCellMar>
        <w:tblLook w:val="04A0" w:firstRow="1" w:lastRow="0" w:firstColumn="1" w:lastColumn="0" w:noHBand="0" w:noVBand="1"/>
      </w:tblPr>
      <w:tblGrid>
        <w:gridCol w:w="1276"/>
        <w:gridCol w:w="991"/>
        <w:gridCol w:w="1562"/>
        <w:gridCol w:w="991"/>
        <w:gridCol w:w="1417"/>
        <w:gridCol w:w="1275"/>
        <w:gridCol w:w="1515"/>
      </w:tblGrid>
      <w:tr w:rsidR="00EB1E93" w:rsidRPr="00F24057" w14:paraId="3BB038BE" w14:textId="77777777" w:rsidTr="00F432D3">
        <w:trPr>
          <w:trHeight w:val="20"/>
        </w:trPr>
        <w:tc>
          <w:tcPr>
            <w:tcW w:w="707" w:type="pct"/>
            <w:vMerge w:val="restart"/>
            <w:tcBorders>
              <w:left w:val="nil"/>
            </w:tcBorders>
            <w:vAlign w:val="center"/>
          </w:tcPr>
          <w:p w14:paraId="78D822D1" w14:textId="111F5505" w:rsidR="00EB1E93" w:rsidRPr="00F24057" w:rsidRDefault="00EB1E93" w:rsidP="00D70B34">
            <w:pPr>
              <w:jc w:val="center"/>
              <w:rPr>
                <w:b/>
                <w:bCs/>
                <w:szCs w:val="22"/>
                <w:lang w:val="sr-Latn-ME"/>
              </w:rPr>
            </w:pPr>
            <w:r w:rsidRPr="00F24057">
              <w:rPr>
                <w:b/>
                <w:bCs/>
                <w:szCs w:val="22"/>
                <w:lang w:val="sr-Latn-ME"/>
              </w:rPr>
              <w:t>Odgovor</w:t>
            </w:r>
          </w:p>
        </w:tc>
        <w:tc>
          <w:tcPr>
            <w:tcW w:w="1414" w:type="pct"/>
            <w:gridSpan w:val="2"/>
            <w:vAlign w:val="center"/>
          </w:tcPr>
          <w:p w14:paraId="5BBD46D8" w14:textId="6FDBA910" w:rsidR="00EB1E93" w:rsidRPr="00F24057" w:rsidRDefault="00EB1E93" w:rsidP="00D70B34">
            <w:pPr>
              <w:jc w:val="center"/>
              <w:rPr>
                <w:b/>
                <w:bCs/>
                <w:szCs w:val="22"/>
                <w:lang w:val="sr-Latn-ME"/>
              </w:rPr>
            </w:pPr>
            <w:r w:rsidRPr="00F24057">
              <w:rPr>
                <w:b/>
                <w:bCs/>
                <w:szCs w:val="22"/>
                <w:lang w:val="sr-Latn-ME"/>
              </w:rPr>
              <w:t>Studija RA I</w:t>
            </w:r>
            <w:r w:rsidRPr="00F24057">
              <w:rPr>
                <w:b/>
                <w:bCs/>
                <w:szCs w:val="22"/>
                <w:vertAlign w:val="superscript"/>
                <w:lang w:val="sr-Latn-ME"/>
              </w:rPr>
              <w:t>a</w:t>
            </w:r>
            <w:r w:rsidRPr="00F24057">
              <w:rPr>
                <w:b/>
                <w:bCs/>
                <w:szCs w:val="22"/>
                <w:lang w:val="sr-Latn-ME"/>
              </w:rPr>
              <w:t xml:space="preserve"> **</w:t>
            </w:r>
          </w:p>
        </w:tc>
        <w:tc>
          <w:tcPr>
            <w:tcW w:w="1334" w:type="pct"/>
            <w:gridSpan w:val="2"/>
            <w:vAlign w:val="center"/>
          </w:tcPr>
          <w:p w14:paraId="323672CF" w14:textId="6632753F" w:rsidR="00EB1E93" w:rsidRPr="00F24057" w:rsidRDefault="00EB1E93" w:rsidP="00D70B34">
            <w:pPr>
              <w:jc w:val="center"/>
              <w:rPr>
                <w:b/>
                <w:bCs/>
                <w:szCs w:val="22"/>
                <w:lang w:val="sr-Latn-ME"/>
              </w:rPr>
            </w:pPr>
            <w:r w:rsidRPr="00F24057">
              <w:rPr>
                <w:b/>
                <w:bCs/>
                <w:szCs w:val="22"/>
                <w:lang w:val="sr-Latn-ME"/>
              </w:rPr>
              <w:t>Studija RA II</w:t>
            </w:r>
            <w:r w:rsidRPr="00F24057">
              <w:rPr>
                <w:b/>
                <w:bCs/>
                <w:szCs w:val="22"/>
                <w:vertAlign w:val="superscript"/>
                <w:lang w:val="sr-Latn-ME"/>
              </w:rPr>
              <w:t>a</w:t>
            </w:r>
            <w:r w:rsidRPr="00F24057">
              <w:rPr>
                <w:b/>
                <w:bCs/>
                <w:szCs w:val="22"/>
                <w:lang w:val="sr-Latn-ME"/>
              </w:rPr>
              <w:t xml:space="preserve"> **</w:t>
            </w:r>
          </w:p>
        </w:tc>
        <w:tc>
          <w:tcPr>
            <w:tcW w:w="1545" w:type="pct"/>
            <w:gridSpan w:val="2"/>
            <w:tcBorders>
              <w:right w:val="nil"/>
            </w:tcBorders>
            <w:vAlign w:val="center"/>
          </w:tcPr>
          <w:p w14:paraId="26D45AE8" w14:textId="772CB1DC" w:rsidR="00EB1E93" w:rsidRPr="00F24057" w:rsidRDefault="00EB1E93" w:rsidP="00D70B34">
            <w:pPr>
              <w:jc w:val="center"/>
              <w:rPr>
                <w:b/>
                <w:bCs/>
                <w:szCs w:val="22"/>
                <w:lang w:val="sr-Latn-ME"/>
              </w:rPr>
            </w:pPr>
            <w:r w:rsidRPr="00F24057">
              <w:rPr>
                <w:b/>
                <w:bCs/>
                <w:szCs w:val="22"/>
                <w:lang w:val="sr-Latn-ME"/>
              </w:rPr>
              <w:t>Studija RA III</w:t>
            </w:r>
            <w:r w:rsidRPr="00F24057">
              <w:rPr>
                <w:b/>
                <w:bCs/>
                <w:szCs w:val="22"/>
                <w:vertAlign w:val="superscript"/>
                <w:lang w:val="sr-Latn-ME"/>
              </w:rPr>
              <w:t>a</w:t>
            </w:r>
            <w:r w:rsidRPr="00F24057">
              <w:rPr>
                <w:b/>
                <w:bCs/>
                <w:szCs w:val="22"/>
                <w:lang w:val="sr-Latn-ME"/>
              </w:rPr>
              <w:t xml:space="preserve"> **</w:t>
            </w:r>
          </w:p>
        </w:tc>
      </w:tr>
      <w:tr w:rsidR="00EB1E93" w:rsidRPr="00F24057" w14:paraId="6E7C81E7" w14:textId="77777777" w:rsidTr="00F432D3">
        <w:trPr>
          <w:trHeight w:val="20"/>
        </w:trPr>
        <w:tc>
          <w:tcPr>
            <w:tcW w:w="707" w:type="pct"/>
            <w:vMerge/>
            <w:tcBorders>
              <w:left w:val="nil"/>
              <w:bottom w:val="single" w:sz="4" w:space="0" w:color="auto"/>
            </w:tcBorders>
            <w:vAlign w:val="center"/>
          </w:tcPr>
          <w:p w14:paraId="727DAF48" w14:textId="5CC81D50" w:rsidR="00EB1E93" w:rsidRPr="00F24057" w:rsidRDefault="00EB1E93" w:rsidP="00D70B34">
            <w:pPr>
              <w:jc w:val="center"/>
              <w:rPr>
                <w:szCs w:val="22"/>
                <w:lang w:val="sr-Latn-ME"/>
              </w:rPr>
            </w:pPr>
          </w:p>
        </w:tc>
        <w:tc>
          <w:tcPr>
            <w:tcW w:w="549" w:type="pct"/>
            <w:tcBorders>
              <w:bottom w:val="single" w:sz="4" w:space="0" w:color="auto"/>
              <w:right w:val="single" w:sz="4" w:space="0" w:color="FFFFFF" w:themeColor="background1"/>
            </w:tcBorders>
            <w:vAlign w:val="center"/>
          </w:tcPr>
          <w:p w14:paraId="5ABA4A53" w14:textId="211B58EF" w:rsidR="00EB1E93" w:rsidRPr="00F24057" w:rsidRDefault="00EB1E93" w:rsidP="00D70B34">
            <w:pPr>
              <w:jc w:val="center"/>
              <w:rPr>
                <w:szCs w:val="22"/>
                <w:lang w:val="sr-Latn-ME"/>
              </w:rPr>
            </w:pPr>
            <w:r w:rsidRPr="00F24057">
              <w:rPr>
                <w:szCs w:val="22"/>
                <w:lang w:val="sr-Latn-ME"/>
              </w:rPr>
              <w:t>Placebo/</w:t>
            </w:r>
            <w:r w:rsidR="00D47267" w:rsidRPr="00F24057">
              <w:rPr>
                <w:szCs w:val="22"/>
                <w:lang w:val="sr-Latn-ME"/>
              </w:rPr>
              <w:t xml:space="preserve"> </w:t>
            </w:r>
            <w:r w:rsidRPr="00F24057">
              <w:rPr>
                <w:szCs w:val="22"/>
                <w:lang w:val="sr-Latn-ME"/>
              </w:rPr>
              <w:t>MTX</w:t>
            </w:r>
            <w:r w:rsidRPr="00F24057">
              <w:rPr>
                <w:szCs w:val="22"/>
                <w:vertAlign w:val="superscript"/>
                <w:lang w:val="sr-Latn-ME"/>
              </w:rPr>
              <w:t>c</w:t>
            </w:r>
            <w:r w:rsidRPr="00F24057">
              <w:rPr>
                <w:szCs w:val="22"/>
                <w:lang w:val="sr-Latn-ME"/>
              </w:rPr>
              <w:t xml:space="preserve"> n=60</w:t>
            </w:r>
          </w:p>
        </w:tc>
        <w:tc>
          <w:tcPr>
            <w:tcW w:w="865" w:type="pct"/>
            <w:tcBorders>
              <w:left w:val="single" w:sz="4" w:space="0" w:color="FFFFFF" w:themeColor="background1"/>
              <w:bottom w:val="single" w:sz="4" w:space="0" w:color="auto"/>
            </w:tcBorders>
            <w:vAlign w:val="center"/>
          </w:tcPr>
          <w:p w14:paraId="2F5BA62D" w14:textId="77777777" w:rsidR="00EB1E93" w:rsidRPr="00F24057" w:rsidRDefault="00EB1E93" w:rsidP="00D70B34">
            <w:pPr>
              <w:jc w:val="center"/>
              <w:rPr>
                <w:szCs w:val="22"/>
                <w:lang w:val="sr-Latn-ME"/>
              </w:rPr>
            </w:pPr>
            <w:r w:rsidRPr="00F24057">
              <w:rPr>
                <w:szCs w:val="22"/>
                <w:lang w:val="sr-Latn-ME"/>
              </w:rPr>
              <w:t>adalimumab</w:t>
            </w:r>
            <w:r w:rsidRPr="00F24057">
              <w:rPr>
                <w:szCs w:val="22"/>
                <w:vertAlign w:val="superscript"/>
                <w:lang w:val="sr-Latn-ME"/>
              </w:rPr>
              <w:t>b</w:t>
            </w:r>
            <w:r w:rsidRPr="00F24057">
              <w:rPr>
                <w:szCs w:val="22"/>
                <w:lang w:val="sr-Latn-ME"/>
              </w:rPr>
              <w:t xml:space="preserve"> / MTX</w:t>
            </w:r>
            <w:r w:rsidRPr="00F24057">
              <w:rPr>
                <w:szCs w:val="22"/>
                <w:vertAlign w:val="superscript"/>
                <w:lang w:val="sr-Latn-ME"/>
              </w:rPr>
              <w:t>c</w:t>
            </w:r>
            <w:r w:rsidRPr="00F24057">
              <w:rPr>
                <w:szCs w:val="22"/>
                <w:lang w:val="sr-Latn-ME"/>
              </w:rPr>
              <w:t xml:space="preserve"> </w:t>
            </w:r>
          </w:p>
          <w:p w14:paraId="37C24505" w14:textId="0E67635D" w:rsidR="00EB1E93" w:rsidRPr="00F24057" w:rsidRDefault="00EB1E93" w:rsidP="00D70B34">
            <w:pPr>
              <w:jc w:val="center"/>
              <w:rPr>
                <w:szCs w:val="22"/>
                <w:lang w:val="sr-Latn-ME"/>
              </w:rPr>
            </w:pPr>
            <w:r w:rsidRPr="00F24057">
              <w:rPr>
                <w:szCs w:val="22"/>
                <w:lang w:val="sr-Latn-ME"/>
              </w:rPr>
              <w:t>n=63</w:t>
            </w:r>
          </w:p>
        </w:tc>
        <w:tc>
          <w:tcPr>
            <w:tcW w:w="549" w:type="pct"/>
            <w:tcBorders>
              <w:bottom w:val="single" w:sz="4" w:space="0" w:color="auto"/>
              <w:right w:val="single" w:sz="4" w:space="0" w:color="FFFFFF" w:themeColor="background1"/>
            </w:tcBorders>
            <w:vAlign w:val="center"/>
          </w:tcPr>
          <w:p w14:paraId="4F13744E" w14:textId="77777777" w:rsidR="007F33CD" w:rsidRPr="00F24057" w:rsidRDefault="00EB1E93" w:rsidP="00D70B34">
            <w:pPr>
              <w:jc w:val="center"/>
              <w:rPr>
                <w:szCs w:val="22"/>
                <w:lang w:val="sr-Latn-ME"/>
              </w:rPr>
            </w:pPr>
            <w:r w:rsidRPr="00F24057">
              <w:rPr>
                <w:szCs w:val="22"/>
                <w:lang w:val="sr-Latn-ME"/>
              </w:rPr>
              <w:t xml:space="preserve">Placebo </w:t>
            </w:r>
          </w:p>
          <w:p w14:paraId="32DE95C0" w14:textId="7C4DC88B" w:rsidR="00EB1E93" w:rsidRPr="00F24057" w:rsidRDefault="00EB1E93" w:rsidP="00D70B34">
            <w:pPr>
              <w:jc w:val="center"/>
              <w:rPr>
                <w:szCs w:val="22"/>
                <w:lang w:val="sr-Latn-ME"/>
              </w:rPr>
            </w:pPr>
            <w:r w:rsidRPr="00F24057">
              <w:rPr>
                <w:szCs w:val="22"/>
                <w:lang w:val="sr-Latn-ME"/>
              </w:rPr>
              <w:t>n=110</w:t>
            </w:r>
          </w:p>
        </w:tc>
        <w:tc>
          <w:tcPr>
            <w:tcW w:w="785" w:type="pct"/>
            <w:tcBorders>
              <w:left w:val="single" w:sz="4" w:space="0" w:color="FFFFFF" w:themeColor="background1"/>
              <w:bottom w:val="single" w:sz="4" w:space="0" w:color="auto"/>
            </w:tcBorders>
            <w:vAlign w:val="center"/>
          </w:tcPr>
          <w:p w14:paraId="2023C4CA" w14:textId="23525EA9" w:rsidR="00EB1E93" w:rsidRPr="00F24057" w:rsidRDefault="00EB1E93" w:rsidP="00D70B34">
            <w:pPr>
              <w:jc w:val="center"/>
              <w:rPr>
                <w:szCs w:val="22"/>
                <w:lang w:val="sr-Latn-ME"/>
              </w:rPr>
            </w:pPr>
            <w:r w:rsidRPr="00F24057">
              <w:rPr>
                <w:szCs w:val="22"/>
                <w:lang w:val="sr-Latn-ME"/>
              </w:rPr>
              <w:t>adalimumab</w:t>
            </w:r>
            <w:r w:rsidRPr="00F24057">
              <w:rPr>
                <w:szCs w:val="22"/>
                <w:vertAlign w:val="superscript"/>
                <w:lang w:val="sr-Latn-ME"/>
              </w:rPr>
              <w:t>b</w:t>
            </w:r>
            <w:r w:rsidRPr="00F24057">
              <w:rPr>
                <w:szCs w:val="22"/>
                <w:lang w:val="sr-Latn-ME"/>
              </w:rPr>
              <w:t xml:space="preserve"> n=113</w:t>
            </w:r>
          </w:p>
        </w:tc>
        <w:tc>
          <w:tcPr>
            <w:tcW w:w="706" w:type="pct"/>
            <w:tcBorders>
              <w:bottom w:val="single" w:sz="4" w:space="0" w:color="auto"/>
              <w:right w:val="single" w:sz="4" w:space="0" w:color="FFFFFF" w:themeColor="background1"/>
            </w:tcBorders>
            <w:vAlign w:val="center"/>
          </w:tcPr>
          <w:p w14:paraId="17412B4A" w14:textId="61983B8B" w:rsidR="00EB1E93" w:rsidRPr="00F24057" w:rsidRDefault="00EB1E93" w:rsidP="00D70B34">
            <w:pPr>
              <w:jc w:val="center"/>
              <w:rPr>
                <w:szCs w:val="22"/>
                <w:lang w:val="sr-Latn-ME"/>
              </w:rPr>
            </w:pPr>
            <w:r w:rsidRPr="00F24057">
              <w:rPr>
                <w:szCs w:val="22"/>
                <w:lang w:val="sr-Latn-ME"/>
              </w:rPr>
              <w:t>Placebo/</w:t>
            </w:r>
            <w:r w:rsidR="00504B10" w:rsidRPr="00F24057">
              <w:rPr>
                <w:szCs w:val="22"/>
                <w:lang w:val="sr-Latn-ME"/>
              </w:rPr>
              <w:t xml:space="preserve"> </w:t>
            </w:r>
            <w:r w:rsidRPr="00F24057">
              <w:rPr>
                <w:szCs w:val="22"/>
                <w:lang w:val="sr-Latn-ME"/>
              </w:rPr>
              <w:t>MTX</w:t>
            </w:r>
            <w:r w:rsidRPr="00F24057">
              <w:rPr>
                <w:szCs w:val="22"/>
                <w:vertAlign w:val="superscript"/>
                <w:lang w:val="sr-Latn-ME"/>
              </w:rPr>
              <w:t>c</w:t>
            </w:r>
            <w:r w:rsidRPr="00F24057">
              <w:rPr>
                <w:szCs w:val="22"/>
                <w:lang w:val="sr-Latn-ME"/>
              </w:rPr>
              <w:t xml:space="preserve"> n=200</w:t>
            </w:r>
          </w:p>
        </w:tc>
        <w:tc>
          <w:tcPr>
            <w:tcW w:w="839" w:type="pct"/>
            <w:tcBorders>
              <w:left w:val="single" w:sz="4" w:space="0" w:color="FFFFFF" w:themeColor="background1"/>
              <w:bottom w:val="single" w:sz="4" w:space="0" w:color="auto"/>
              <w:right w:val="nil"/>
            </w:tcBorders>
            <w:vAlign w:val="center"/>
          </w:tcPr>
          <w:p w14:paraId="5B2AA777" w14:textId="77777777" w:rsidR="00EB1E93" w:rsidRPr="00F24057" w:rsidRDefault="00EB1E93" w:rsidP="00D70B34">
            <w:pPr>
              <w:jc w:val="center"/>
              <w:rPr>
                <w:szCs w:val="22"/>
                <w:lang w:val="sr-Latn-ME"/>
              </w:rPr>
            </w:pPr>
            <w:r w:rsidRPr="00F24057">
              <w:rPr>
                <w:szCs w:val="22"/>
                <w:lang w:val="sr-Latn-ME"/>
              </w:rPr>
              <w:t>adalimumab</w:t>
            </w:r>
            <w:r w:rsidRPr="00F24057">
              <w:rPr>
                <w:szCs w:val="22"/>
                <w:vertAlign w:val="superscript"/>
                <w:lang w:val="sr-Latn-ME"/>
              </w:rPr>
              <w:t>b</w:t>
            </w:r>
            <w:r w:rsidRPr="00F24057">
              <w:rPr>
                <w:szCs w:val="22"/>
                <w:lang w:val="sr-Latn-ME"/>
              </w:rPr>
              <w:t xml:space="preserve"> / MTX</w:t>
            </w:r>
            <w:r w:rsidRPr="00F24057">
              <w:rPr>
                <w:szCs w:val="22"/>
                <w:vertAlign w:val="superscript"/>
                <w:lang w:val="sr-Latn-ME"/>
              </w:rPr>
              <w:t>c</w:t>
            </w:r>
            <w:r w:rsidRPr="00F24057">
              <w:rPr>
                <w:szCs w:val="22"/>
                <w:lang w:val="sr-Latn-ME"/>
              </w:rPr>
              <w:t xml:space="preserve"> </w:t>
            </w:r>
          </w:p>
          <w:p w14:paraId="3A26684F" w14:textId="31D533A2" w:rsidR="00EB1E93" w:rsidRPr="00F24057" w:rsidRDefault="00EB1E93" w:rsidP="00D70B34">
            <w:pPr>
              <w:jc w:val="center"/>
              <w:rPr>
                <w:szCs w:val="22"/>
                <w:lang w:val="sr-Latn-ME"/>
              </w:rPr>
            </w:pPr>
            <w:r w:rsidRPr="00F24057">
              <w:rPr>
                <w:szCs w:val="22"/>
                <w:lang w:val="sr-Latn-ME"/>
              </w:rPr>
              <w:t>n=207</w:t>
            </w:r>
          </w:p>
        </w:tc>
      </w:tr>
      <w:tr w:rsidR="00EB1E93" w:rsidRPr="00F24057" w14:paraId="7BB3A6D5" w14:textId="77777777" w:rsidTr="00F432D3">
        <w:trPr>
          <w:trHeight w:val="20"/>
        </w:trPr>
        <w:tc>
          <w:tcPr>
            <w:tcW w:w="707" w:type="pct"/>
            <w:tcBorders>
              <w:left w:val="nil"/>
              <w:bottom w:val="nil"/>
            </w:tcBorders>
            <w:vAlign w:val="center"/>
          </w:tcPr>
          <w:p w14:paraId="04195D35" w14:textId="36071C97" w:rsidR="00EB1E93" w:rsidRPr="00F24057" w:rsidRDefault="00EB1E93" w:rsidP="00D70B34">
            <w:pPr>
              <w:rPr>
                <w:szCs w:val="22"/>
                <w:lang w:val="sr-Latn-ME"/>
              </w:rPr>
            </w:pPr>
            <w:r w:rsidRPr="00F24057">
              <w:rPr>
                <w:szCs w:val="22"/>
                <w:lang w:val="sr-Latn-ME"/>
              </w:rPr>
              <w:t>ACR 20</w:t>
            </w:r>
          </w:p>
          <w:p w14:paraId="5C19773F" w14:textId="438864E2" w:rsidR="00EB1E93" w:rsidRPr="00F24057" w:rsidRDefault="00EB1E93" w:rsidP="00D70B34">
            <w:pPr>
              <w:jc w:val="center"/>
              <w:rPr>
                <w:szCs w:val="22"/>
                <w:lang w:val="sr-Latn-ME"/>
              </w:rPr>
            </w:pPr>
            <w:r w:rsidRPr="00F24057">
              <w:rPr>
                <w:szCs w:val="22"/>
                <w:lang w:val="sr-Latn-ME"/>
              </w:rPr>
              <w:t xml:space="preserve">6 </w:t>
            </w:r>
            <w:r w:rsidR="00885A78" w:rsidRPr="00F24057">
              <w:rPr>
                <w:szCs w:val="22"/>
                <w:lang w:val="sr-Latn-ME"/>
              </w:rPr>
              <w:t>mjesec</w:t>
            </w:r>
            <w:r w:rsidRPr="00F24057">
              <w:rPr>
                <w:szCs w:val="22"/>
                <w:lang w:val="sr-Latn-ME"/>
              </w:rPr>
              <w:t>i</w:t>
            </w:r>
          </w:p>
          <w:p w14:paraId="399067A4" w14:textId="3BA30C3A" w:rsidR="00EB1E93" w:rsidRPr="00F24057" w:rsidRDefault="00EB1E93" w:rsidP="00D70B34">
            <w:pPr>
              <w:jc w:val="center"/>
              <w:rPr>
                <w:szCs w:val="22"/>
                <w:lang w:val="sr-Latn-ME"/>
              </w:rPr>
            </w:pPr>
            <w:r w:rsidRPr="00F24057">
              <w:rPr>
                <w:szCs w:val="22"/>
                <w:lang w:val="sr-Latn-ME"/>
              </w:rPr>
              <w:t xml:space="preserve">12 </w:t>
            </w:r>
            <w:r w:rsidR="00885A78" w:rsidRPr="00F24057">
              <w:rPr>
                <w:szCs w:val="22"/>
                <w:lang w:val="sr-Latn-ME"/>
              </w:rPr>
              <w:t>mjesec</w:t>
            </w:r>
            <w:r w:rsidRPr="00F24057">
              <w:rPr>
                <w:szCs w:val="22"/>
                <w:lang w:val="sr-Latn-ME"/>
              </w:rPr>
              <w:t>i</w:t>
            </w:r>
          </w:p>
        </w:tc>
        <w:tc>
          <w:tcPr>
            <w:tcW w:w="549" w:type="pct"/>
            <w:tcBorders>
              <w:bottom w:val="nil"/>
              <w:right w:val="single" w:sz="4" w:space="0" w:color="FFFFFF" w:themeColor="background1"/>
            </w:tcBorders>
            <w:vAlign w:val="center"/>
          </w:tcPr>
          <w:p w14:paraId="681124C8" w14:textId="77777777" w:rsidR="00EB1E93" w:rsidRPr="00F24057" w:rsidRDefault="00EB1E93" w:rsidP="00D70B34">
            <w:pPr>
              <w:jc w:val="center"/>
              <w:rPr>
                <w:szCs w:val="22"/>
                <w:lang w:val="sr-Latn-ME"/>
              </w:rPr>
            </w:pPr>
          </w:p>
          <w:p w14:paraId="57994B91" w14:textId="0D82A56E" w:rsidR="00EB1E93" w:rsidRPr="00F24057" w:rsidRDefault="00EB1E93" w:rsidP="00D70B34">
            <w:pPr>
              <w:jc w:val="center"/>
              <w:rPr>
                <w:szCs w:val="22"/>
                <w:lang w:val="sr-Latn-ME"/>
              </w:rPr>
            </w:pPr>
            <w:r w:rsidRPr="00F24057">
              <w:rPr>
                <w:szCs w:val="22"/>
                <w:lang w:val="sr-Latn-ME"/>
              </w:rPr>
              <w:t>13,3 %</w:t>
            </w:r>
          </w:p>
          <w:p w14:paraId="73E4C7A1" w14:textId="487127D9" w:rsidR="00EB1E93" w:rsidRPr="00F24057" w:rsidRDefault="00EB1E93" w:rsidP="00D70B34">
            <w:pPr>
              <w:jc w:val="center"/>
              <w:rPr>
                <w:szCs w:val="22"/>
                <w:lang w:val="sr-Latn-ME"/>
              </w:rPr>
            </w:pPr>
            <w:r w:rsidRPr="00F24057">
              <w:rPr>
                <w:szCs w:val="22"/>
                <w:lang w:val="sr-Latn-ME"/>
              </w:rPr>
              <w:t xml:space="preserve">NA </w:t>
            </w:r>
          </w:p>
        </w:tc>
        <w:tc>
          <w:tcPr>
            <w:tcW w:w="865" w:type="pct"/>
            <w:tcBorders>
              <w:left w:val="single" w:sz="4" w:space="0" w:color="FFFFFF" w:themeColor="background1"/>
              <w:bottom w:val="nil"/>
            </w:tcBorders>
            <w:vAlign w:val="center"/>
          </w:tcPr>
          <w:p w14:paraId="0FBDB279" w14:textId="77777777" w:rsidR="00EB1E93" w:rsidRPr="00F24057" w:rsidRDefault="00EB1E93" w:rsidP="00D70B34">
            <w:pPr>
              <w:jc w:val="center"/>
              <w:rPr>
                <w:szCs w:val="22"/>
                <w:lang w:val="sr-Latn-ME"/>
              </w:rPr>
            </w:pPr>
          </w:p>
          <w:p w14:paraId="6B783AFB" w14:textId="74BCF2DB" w:rsidR="00EB1E93" w:rsidRPr="00F24057" w:rsidRDefault="00EB1E93" w:rsidP="00D70B34">
            <w:pPr>
              <w:jc w:val="center"/>
              <w:rPr>
                <w:szCs w:val="22"/>
                <w:lang w:val="sr-Latn-ME"/>
              </w:rPr>
            </w:pPr>
            <w:r w:rsidRPr="00F24057">
              <w:rPr>
                <w:szCs w:val="22"/>
                <w:lang w:val="sr-Latn-ME"/>
              </w:rPr>
              <w:t>65,1%</w:t>
            </w:r>
          </w:p>
          <w:p w14:paraId="2ACB6F83" w14:textId="1B5D0FB2" w:rsidR="00EB1E93" w:rsidRPr="00F24057" w:rsidRDefault="00EB1E93" w:rsidP="00D70B34">
            <w:pPr>
              <w:jc w:val="center"/>
              <w:rPr>
                <w:szCs w:val="22"/>
                <w:lang w:val="sr-Latn-ME"/>
              </w:rPr>
            </w:pPr>
            <w:r w:rsidRPr="00F24057">
              <w:rPr>
                <w:szCs w:val="22"/>
                <w:lang w:val="sr-Latn-ME"/>
              </w:rPr>
              <w:t>NA</w:t>
            </w:r>
          </w:p>
        </w:tc>
        <w:tc>
          <w:tcPr>
            <w:tcW w:w="549" w:type="pct"/>
            <w:tcBorders>
              <w:bottom w:val="nil"/>
              <w:right w:val="single" w:sz="4" w:space="0" w:color="FFFFFF" w:themeColor="background1"/>
            </w:tcBorders>
            <w:vAlign w:val="center"/>
          </w:tcPr>
          <w:p w14:paraId="40D08568" w14:textId="77777777" w:rsidR="00EB1E93" w:rsidRPr="00F24057" w:rsidRDefault="00EB1E93" w:rsidP="00D70B34">
            <w:pPr>
              <w:jc w:val="center"/>
              <w:rPr>
                <w:szCs w:val="22"/>
                <w:lang w:val="sr-Latn-ME"/>
              </w:rPr>
            </w:pPr>
          </w:p>
          <w:p w14:paraId="58F80D25" w14:textId="7B74899F" w:rsidR="00EB1E93" w:rsidRPr="00F24057" w:rsidRDefault="00EB1E93" w:rsidP="00D70B34">
            <w:pPr>
              <w:jc w:val="center"/>
              <w:rPr>
                <w:szCs w:val="22"/>
                <w:lang w:val="sr-Latn-ME"/>
              </w:rPr>
            </w:pPr>
            <w:r w:rsidRPr="00F24057">
              <w:rPr>
                <w:szCs w:val="22"/>
                <w:lang w:val="sr-Latn-ME"/>
              </w:rPr>
              <w:t>19,1%</w:t>
            </w:r>
          </w:p>
          <w:p w14:paraId="5981D087" w14:textId="24B2A925" w:rsidR="00EB1E93" w:rsidRPr="00F24057" w:rsidRDefault="00EB1E93" w:rsidP="00D70B34">
            <w:pPr>
              <w:jc w:val="center"/>
              <w:rPr>
                <w:szCs w:val="22"/>
                <w:lang w:val="sr-Latn-ME"/>
              </w:rPr>
            </w:pPr>
            <w:r w:rsidRPr="00F24057">
              <w:rPr>
                <w:szCs w:val="22"/>
                <w:lang w:val="sr-Latn-ME"/>
              </w:rPr>
              <w:t>NA</w:t>
            </w:r>
          </w:p>
        </w:tc>
        <w:tc>
          <w:tcPr>
            <w:tcW w:w="785" w:type="pct"/>
            <w:tcBorders>
              <w:left w:val="single" w:sz="4" w:space="0" w:color="FFFFFF" w:themeColor="background1"/>
              <w:bottom w:val="nil"/>
            </w:tcBorders>
            <w:vAlign w:val="center"/>
          </w:tcPr>
          <w:p w14:paraId="400FCC16" w14:textId="77777777" w:rsidR="00EB1E93" w:rsidRPr="00F24057" w:rsidRDefault="00EB1E93" w:rsidP="00D70B34">
            <w:pPr>
              <w:jc w:val="center"/>
              <w:rPr>
                <w:szCs w:val="22"/>
                <w:lang w:val="sr-Latn-ME"/>
              </w:rPr>
            </w:pPr>
          </w:p>
          <w:p w14:paraId="530CAC0F" w14:textId="1A9ACF4F" w:rsidR="00EB1E93" w:rsidRPr="00F24057" w:rsidRDefault="00EB1E93" w:rsidP="00D70B34">
            <w:pPr>
              <w:jc w:val="center"/>
              <w:rPr>
                <w:szCs w:val="22"/>
                <w:lang w:val="sr-Latn-ME"/>
              </w:rPr>
            </w:pPr>
            <w:r w:rsidRPr="00F24057">
              <w:rPr>
                <w:szCs w:val="22"/>
                <w:lang w:val="sr-Latn-ME"/>
              </w:rPr>
              <w:t>46,0%</w:t>
            </w:r>
          </w:p>
          <w:p w14:paraId="6429A003" w14:textId="63F3E88C" w:rsidR="00EB1E93" w:rsidRPr="00F24057" w:rsidRDefault="00EB1E93" w:rsidP="00D70B34">
            <w:pPr>
              <w:jc w:val="center"/>
              <w:rPr>
                <w:szCs w:val="22"/>
                <w:lang w:val="sr-Latn-ME"/>
              </w:rPr>
            </w:pPr>
            <w:r w:rsidRPr="00F24057">
              <w:rPr>
                <w:szCs w:val="22"/>
                <w:lang w:val="sr-Latn-ME"/>
              </w:rPr>
              <w:t>NA</w:t>
            </w:r>
          </w:p>
        </w:tc>
        <w:tc>
          <w:tcPr>
            <w:tcW w:w="706" w:type="pct"/>
            <w:tcBorders>
              <w:bottom w:val="nil"/>
              <w:right w:val="single" w:sz="4" w:space="0" w:color="FFFFFF" w:themeColor="background1"/>
            </w:tcBorders>
            <w:vAlign w:val="center"/>
          </w:tcPr>
          <w:p w14:paraId="7F299E72" w14:textId="77777777" w:rsidR="00EB1E93" w:rsidRPr="00F24057" w:rsidRDefault="00EB1E93" w:rsidP="00D70B34">
            <w:pPr>
              <w:jc w:val="center"/>
              <w:rPr>
                <w:szCs w:val="22"/>
                <w:lang w:val="sr-Latn-ME"/>
              </w:rPr>
            </w:pPr>
          </w:p>
          <w:p w14:paraId="32BEEA66" w14:textId="39153F49" w:rsidR="00EB1E93" w:rsidRPr="00F24057" w:rsidRDefault="00EB1E93" w:rsidP="00D70B34">
            <w:pPr>
              <w:jc w:val="center"/>
              <w:rPr>
                <w:szCs w:val="22"/>
                <w:lang w:val="sr-Latn-ME"/>
              </w:rPr>
            </w:pPr>
            <w:r w:rsidRPr="00F24057">
              <w:rPr>
                <w:szCs w:val="22"/>
                <w:lang w:val="sr-Latn-ME"/>
              </w:rPr>
              <w:t>29,5%</w:t>
            </w:r>
          </w:p>
          <w:p w14:paraId="2BEC6C2E" w14:textId="442F1C4E" w:rsidR="00EB1E93" w:rsidRPr="00F24057" w:rsidRDefault="007F33CD" w:rsidP="00D70B34">
            <w:pPr>
              <w:jc w:val="center"/>
              <w:rPr>
                <w:szCs w:val="22"/>
                <w:lang w:val="sr-Latn-ME"/>
              </w:rPr>
            </w:pPr>
            <w:r w:rsidRPr="00F24057">
              <w:rPr>
                <w:szCs w:val="22"/>
                <w:lang w:val="sr-Latn-ME"/>
              </w:rPr>
              <w:t>24,0%</w:t>
            </w:r>
          </w:p>
        </w:tc>
        <w:tc>
          <w:tcPr>
            <w:tcW w:w="839" w:type="pct"/>
            <w:tcBorders>
              <w:left w:val="single" w:sz="4" w:space="0" w:color="FFFFFF" w:themeColor="background1"/>
              <w:bottom w:val="nil"/>
              <w:right w:val="nil"/>
            </w:tcBorders>
            <w:vAlign w:val="center"/>
          </w:tcPr>
          <w:p w14:paraId="5D7245F1" w14:textId="77777777" w:rsidR="00EB1E93" w:rsidRPr="00F24057" w:rsidRDefault="00EB1E93" w:rsidP="00D70B34">
            <w:pPr>
              <w:jc w:val="center"/>
              <w:rPr>
                <w:szCs w:val="22"/>
                <w:lang w:val="sr-Latn-ME"/>
              </w:rPr>
            </w:pPr>
          </w:p>
          <w:p w14:paraId="6DF14876" w14:textId="7AB06DD4" w:rsidR="00EB1E93" w:rsidRPr="00F24057" w:rsidRDefault="00EB1E93" w:rsidP="00D70B34">
            <w:pPr>
              <w:jc w:val="center"/>
              <w:rPr>
                <w:szCs w:val="22"/>
                <w:lang w:val="sr-Latn-ME"/>
              </w:rPr>
            </w:pPr>
            <w:r w:rsidRPr="00F24057">
              <w:rPr>
                <w:szCs w:val="22"/>
                <w:lang w:val="sr-Latn-ME"/>
              </w:rPr>
              <w:t>63,3%</w:t>
            </w:r>
          </w:p>
          <w:p w14:paraId="27FEF96E" w14:textId="11D02AB2" w:rsidR="00EB1E93" w:rsidRPr="00F24057" w:rsidRDefault="007F33CD" w:rsidP="00D70B34">
            <w:pPr>
              <w:jc w:val="center"/>
              <w:rPr>
                <w:szCs w:val="22"/>
                <w:lang w:val="sr-Latn-ME"/>
              </w:rPr>
            </w:pPr>
            <w:r w:rsidRPr="00F24057">
              <w:rPr>
                <w:szCs w:val="22"/>
                <w:lang w:val="sr-Latn-ME"/>
              </w:rPr>
              <w:t>58,9%</w:t>
            </w:r>
          </w:p>
        </w:tc>
      </w:tr>
      <w:tr w:rsidR="00EB1E93" w:rsidRPr="00F24057" w14:paraId="0979E8B4" w14:textId="77777777" w:rsidTr="00F432D3">
        <w:trPr>
          <w:trHeight w:val="20"/>
        </w:trPr>
        <w:tc>
          <w:tcPr>
            <w:tcW w:w="707" w:type="pct"/>
            <w:tcBorders>
              <w:top w:val="nil"/>
              <w:left w:val="nil"/>
              <w:bottom w:val="nil"/>
            </w:tcBorders>
            <w:vAlign w:val="center"/>
          </w:tcPr>
          <w:p w14:paraId="26424BD0" w14:textId="49E0AA4A" w:rsidR="00EB1E93" w:rsidRPr="00F24057" w:rsidRDefault="00EB1E93" w:rsidP="00D70B34">
            <w:pPr>
              <w:rPr>
                <w:szCs w:val="22"/>
                <w:lang w:val="sr-Latn-ME"/>
              </w:rPr>
            </w:pPr>
            <w:r w:rsidRPr="00F24057">
              <w:rPr>
                <w:szCs w:val="22"/>
                <w:lang w:val="sr-Latn-ME"/>
              </w:rPr>
              <w:t>ACR 50</w:t>
            </w:r>
          </w:p>
          <w:p w14:paraId="58634201" w14:textId="4ADB1044" w:rsidR="00EB1E93" w:rsidRPr="00F24057" w:rsidRDefault="00EB1E93" w:rsidP="00D70B34">
            <w:pPr>
              <w:jc w:val="center"/>
              <w:rPr>
                <w:szCs w:val="22"/>
                <w:lang w:val="sr-Latn-ME"/>
              </w:rPr>
            </w:pPr>
            <w:r w:rsidRPr="00F24057">
              <w:rPr>
                <w:szCs w:val="22"/>
                <w:lang w:val="sr-Latn-ME"/>
              </w:rPr>
              <w:t xml:space="preserve">6 </w:t>
            </w:r>
            <w:r w:rsidR="00885A78" w:rsidRPr="00F24057">
              <w:rPr>
                <w:szCs w:val="22"/>
                <w:lang w:val="sr-Latn-ME"/>
              </w:rPr>
              <w:t>mjesec</w:t>
            </w:r>
            <w:r w:rsidRPr="00F24057">
              <w:rPr>
                <w:szCs w:val="22"/>
                <w:lang w:val="sr-Latn-ME"/>
              </w:rPr>
              <w:t>i</w:t>
            </w:r>
          </w:p>
          <w:p w14:paraId="36142A39" w14:textId="4E645CD3" w:rsidR="00EB1E93" w:rsidRPr="00F24057" w:rsidRDefault="00EB1E93" w:rsidP="00D70B34">
            <w:pPr>
              <w:jc w:val="center"/>
              <w:rPr>
                <w:szCs w:val="22"/>
                <w:lang w:val="sr-Latn-ME"/>
              </w:rPr>
            </w:pPr>
            <w:r w:rsidRPr="00F24057">
              <w:rPr>
                <w:szCs w:val="22"/>
                <w:lang w:val="sr-Latn-ME"/>
              </w:rPr>
              <w:t xml:space="preserve">12 </w:t>
            </w:r>
            <w:r w:rsidR="00885A78" w:rsidRPr="00F24057">
              <w:rPr>
                <w:szCs w:val="22"/>
                <w:lang w:val="sr-Latn-ME"/>
              </w:rPr>
              <w:t>mjesec</w:t>
            </w:r>
            <w:r w:rsidRPr="00F24057">
              <w:rPr>
                <w:szCs w:val="22"/>
                <w:lang w:val="sr-Latn-ME"/>
              </w:rPr>
              <w:t>i</w:t>
            </w:r>
          </w:p>
        </w:tc>
        <w:tc>
          <w:tcPr>
            <w:tcW w:w="549" w:type="pct"/>
            <w:tcBorders>
              <w:top w:val="nil"/>
              <w:bottom w:val="nil"/>
              <w:right w:val="single" w:sz="4" w:space="0" w:color="FFFFFF" w:themeColor="background1"/>
            </w:tcBorders>
            <w:vAlign w:val="center"/>
          </w:tcPr>
          <w:p w14:paraId="11C1F174" w14:textId="77777777" w:rsidR="00EB1E93" w:rsidRPr="00F24057" w:rsidRDefault="00EB1E93" w:rsidP="00D70B34">
            <w:pPr>
              <w:jc w:val="center"/>
              <w:rPr>
                <w:szCs w:val="22"/>
                <w:lang w:val="sr-Latn-ME"/>
              </w:rPr>
            </w:pPr>
          </w:p>
          <w:p w14:paraId="0A7F39A0" w14:textId="0548597D" w:rsidR="00EB1E93" w:rsidRPr="00F24057" w:rsidRDefault="00EB1E93" w:rsidP="00D70B34">
            <w:pPr>
              <w:jc w:val="center"/>
              <w:rPr>
                <w:szCs w:val="22"/>
                <w:lang w:val="sr-Latn-ME"/>
              </w:rPr>
            </w:pPr>
            <w:r w:rsidRPr="00F24057">
              <w:rPr>
                <w:szCs w:val="22"/>
                <w:lang w:val="sr-Latn-ME"/>
              </w:rPr>
              <w:t>6,7%</w:t>
            </w:r>
            <w:r w:rsidR="003E5C78" w:rsidRPr="00F24057">
              <w:rPr>
                <w:szCs w:val="22"/>
                <w:lang w:val="sr-Latn-ME"/>
              </w:rPr>
              <w:t xml:space="preserve"> </w:t>
            </w:r>
          </w:p>
          <w:p w14:paraId="3EA49576" w14:textId="4DD2527E" w:rsidR="00EB1E93" w:rsidRPr="00F24057" w:rsidRDefault="00EB1E93" w:rsidP="00D70B34">
            <w:pPr>
              <w:jc w:val="center"/>
              <w:rPr>
                <w:szCs w:val="22"/>
                <w:lang w:val="sr-Latn-ME"/>
              </w:rPr>
            </w:pPr>
            <w:r w:rsidRPr="00F24057">
              <w:rPr>
                <w:szCs w:val="22"/>
                <w:lang w:val="sr-Latn-ME"/>
              </w:rPr>
              <w:t>NA</w:t>
            </w:r>
          </w:p>
        </w:tc>
        <w:tc>
          <w:tcPr>
            <w:tcW w:w="865" w:type="pct"/>
            <w:tcBorders>
              <w:top w:val="nil"/>
              <w:left w:val="single" w:sz="4" w:space="0" w:color="FFFFFF" w:themeColor="background1"/>
              <w:bottom w:val="nil"/>
            </w:tcBorders>
            <w:vAlign w:val="center"/>
          </w:tcPr>
          <w:p w14:paraId="3B2EFE72" w14:textId="77777777" w:rsidR="00EB1E93" w:rsidRPr="00F24057" w:rsidRDefault="00EB1E93" w:rsidP="00D70B34">
            <w:pPr>
              <w:jc w:val="center"/>
              <w:rPr>
                <w:szCs w:val="22"/>
                <w:lang w:val="sr-Latn-ME"/>
              </w:rPr>
            </w:pPr>
          </w:p>
          <w:p w14:paraId="3892BB4C" w14:textId="63E3F4B0" w:rsidR="00EB1E93" w:rsidRPr="00F24057" w:rsidRDefault="00EB1E93" w:rsidP="00D70B34">
            <w:pPr>
              <w:jc w:val="center"/>
              <w:rPr>
                <w:szCs w:val="22"/>
                <w:lang w:val="sr-Latn-ME"/>
              </w:rPr>
            </w:pPr>
            <w:r w:rsidRPr="00F24057">
              <w:rPr>
                <w:szCs w:val="22"/>
                <w:lang w:val="sr-Latn-ME"/>
              </w:rPr>
              <w:t>52,4%</w:t>
            </w:r>
          </w:p>
          <w:p w14:paraId="4B06B804" w14:textId="70281D03" w:rsidR="00EB1E93" w:rsidRPr="00F24057" w:rsidRDefault="00EB1E93" w:rsidP="00D70B34">
            <w:pPr>
              <w:jc w:val="center"/>
              <w:rPr>
                <w:szCs w:val="22"/>
                <w:lang w:val="sr-Latn-ME"/>
              </w:rPr>
            </w:pPr>
            <w:r w:rsidRPr="00F24057">
              <w:rPr>
                <w:szCs w:val="22"/>
                <w:lang w:val="sr-Latn-ME"/>
              </w:rPr>
              <w:t>NA</w:t>
            </w:r>
          </w:p>
        </w:tc>
        <w:tc>
          <w:tcPr>
            <w:tcW w:w="549" w:type="pct"/>
            <w:tcBorders>
              <w:top w:val="nil"/>
              <w:bottom w:val="nil"/>
              <w:right w:val="single" w:sz="4" w:space="0" w:color="FFFFFF" w:themeColor="background1"/>
            </w:tcBorders>
            <w:vAlign w:val="center"/>
          </w:tcPr>
          <w:p w14:paraId="380CF371" w14:textId="77777777" w:rsidR="00EB1E93" w:rsidRPr="00F24057" w:rsidRDefault="00EB1E93" w:rsidP="00D70B34">
            <w:pPr>
              <w:jc w:val="center"/>
              <w:rPr>
                <w:szCs w:val="22"/>
                <w:lang w:val="sr-Latn-ME"/>
              </w:rPr>
            </w:pPr>
          </w:p>
          <w:p w14:paraId="3A5424B1" w14:textId="61EF6545" w:rsidR="00EB1E93" w:rsidRPr="00F24057" w:rsidRDefault="00EB1E93" w:rsidP="00D70B34">
            <w:pPr>
              <w:jc w:val="center"/>
              <w:rPr>
                <w:szCs w:val="22"/>
                <w:lang w:val="sr-Latn-ME"/>
              </w:rPr>
            </w:pPr>
            <w:r w:rsidRPr="00F24057">
              <w:rPr>
                <w:szCs w:val="22"/>
                <w:lang w:val="sr-Latn-ME"/>
              </w:rPr>
              <w:t>8,2%</w:t>
            </w:r>
          </w:p>
          <w:p w14:paraId="5BCE5DB9" w14:textId="49106813" w:rsidR="00EB1E93" w:rsidRPr="00F24057" w:rsidRDefault="00EB1E93" w:rsidP="00D70B34">
            <w:pPr>
              <w:jc w:val="center"/>
              <w:rPr>
                <w:szCs w:val="22"/>
                <w:lang w:val="sr-Latn-ME"/>
              </w:rPr>
            </w:pPr>
            <w:r w:rsidRPr="00F24057">
              <w:rPr>
                <w:szCs w:val="22"/>
                <w:lang w:val="sr-Latn-ME"/>
              </w:rPr>
              <w:t>NA</w:t>
            </w:r>
          </w:p>
        </w:tc>
        <w:tc>
          <w:tcPr>
            <w:tcW w:w="785" w:type="pct"/>
            <w:tcBorders>
              <w:top w:val="nil"/>
              <w:left w:val="single" w:sz="4" w:space="0" w:color="FFFFFF" w:themeColor="background1"/>
              <w:bottom w:val="nil"/>
            </w:tcBorders>
            <w:vAlign w:val="center"/>
          </w:tcPr>
          <w:p w14:paraId="3C0D3678" w14:textId="77777777" w:rsidR="00EB1E93" w:rsidRPr="00F24057" w:rsidRDefault="00EB1E93" w:rsidP="00D70B34">
            <w:pPr>
              <w:jc w:val="center"/>
              <w:rPr>
                <w:szCs w:val="22"/>
                <w:lang w:val="sr-Latn-ME"/>
              </w:rPr>
            </w:pPr>
          </w:p>
          <w:p w14:paraId="5A11B8BE" w14:textId="04B55868" w:rsidR="00EB1E93" w:rsidRPr="00F24057" w:rsidRDefault="00EB1E93" w:rsidP="00D70B34">
            <w:pPr>
              <w:jc w:val="center"/>
              <w:rPr>
                <w:szCs w:val="22"/>
                <w:lang w:val="sr-Latn-ME"/>
              </w:rPr>
            </w:pPr>
            <w:r w:rsidRPr="00F24057">
              <w:rPr>
                <w:szCs w:val="22"/>
                <w:lang w:val="sr-Latn-ME"/>
              </w:rPr>
              <w:t>22,1%</w:t>
            </w:r>
          </w:p>
          <w:p w14:paraId="16EE6E1B" w14:textId="74E92FA8" w:rsidR="00EB1E93" w:rsidRPr="00F24057" w:rsidRDefault="00EB1E93" w:rsidP="00D70B34">
            <w:pPr>
              <w:jc w:val="center"/>
              <w:rPr>
                <w:szCs w:val="22"/>
                <w:lang w:val="sr-Latn-ME"/>
              </w:rPr>
            </w:pPr>
            <w:r w:rsidRPr="00F24057">
              <w:rPr>
                <w:szCs w:val="22"/>
                <w:lang w:val="sr-Latn-ME"/>
              </w:rPr>
              <w:t>NA</w:t>
            </w:r>
          </w:p>
        </w:tc>
        <w:tc>
          <w:tcPr>
            <w:tcW w:w="706" w:type="pct"/>
            <w:tcBorders>
              <w:top w:val="nil"/>
              <w:bottom w:val="nil"/>
              <w:right w:val="single" w:sz="4" w:space="0" w:color="FFFFFF" w:themeColor="background1"/>
            </w:tcBorders>
            <w:vAlign w:val="center"/>
          </w:tcPr>
          <w:p w14:paraId="31577F24" w14:textId="77777777" w:rsidR="00EB1E93" w:rsidRPr="00F24057" w:rsidRDefault="00EB1E93" w:rsidP="00D70B34">
            <w:pPr>
              <w:jc w:val="center"/>
              <w:rPr>
                <w:szCs w:val="22"/>
                <w:lang w:val="sr-Latn-ME"/>
              </w:rPr>
            </w:pPr>
          </w:p>
          <w:p w14:paraId="2309D68C" w14:textId="0CDDBAE4" w:rsidR="00EB1E93" w:rsidRPr="00F24057" w:rsidRDefault="00EB1E93" w:rsidP="00D70B34">
            <w:pPr>
              <w:jc w:val="center"/>
              <w:rPr>
                <w:szCs w:val="22"/>
                <w:lang w:val="sr-Latn-ME"/>
              </w:rPr>
            </w:pPr>
            <w:r w:rsidRPr="00F24057">
              <w:rPr>
                <w:szCs w:val="22"/>
                <w:lang w:val="sr-Latn-ME"/>
              </w:rPr>
              <w:t>9,5%</w:t>
            </w:r>
          </w:p>
          <w:p w14:paraId="5402CADD" w14:textId="5BAACA70" w:rsidR="00EB1E93" w:rsidRPr="00F24057" w:rsidRDefault="007F33CD" w:rsidP="00D70B34">
            <w:pPr>
              <w:jc w:val="center"/>
              <w:rPr>
                <w:szCs w:val="22"/>
                <w:lang w:val="sr-Latn-ME"/>
              </w:rPr>
            </w:pPr>
            <w:r w:rsidRPr="00F24057">
              <w:rPr>
                <w:szCs w:val="22"/>
                <w:lang w:val="sr-Latn-ME"/>
              </w:rPr>
              <w:t>9,5%</w:t>
            </w:r>
          </w:p>
        </w:tc>
        <w:tc>
          <w:tcPr>
            <w:tcW w:w="839" w:type="pct"/>
            <w:tcBorders>
              <w:top w:val="nil"/>
              <w:left w:val="single" w:sz="4" w:space="0" w:color="FFFFFF" w:themeColor="background1"/>
              <w:bottom w:val="nil"/>
              <w:right w:val="nil"/>
            </w:tcBorders>
            <w:vAlign w:val="center"/>
          </w:tcPr>
          <w:p w14:paraId="76DCBA23" w14:textId="77777777" w:rsidR="00EB1E93" w:rsidRPr="00F24057" w:rsidRDefault="00EB1E93" w:rsidP="00D70B34">
            <w:pPr>
              <w:jc w:val="center"/>
              <w:rPr>
                <w:szCs w:val="22"/>
                <w:lang w:val="sr-Latn-ME"/>
              </w:rPr>
            </w:pPr>
          </w:p>
          <w:p w14:paraId="34124A05" w14:textId="03F205FF" w:rsidR="00EB1E93" w:rsidRPr="00F24057" w:rsidRDefault="00EB1E93" w:rsidP="00D70B34">
            <w:pPr>
              <w:jc w:val="center"/>
              <w:rPr>
                <w:szCs w:val="22"/>
                <w:lang w:val="sr-Latn-ME"/>
              </w:rPr>
            </w:pPr>
            <w:r w:rsidRPr="00F24057">
              <w:rPr>
                <w:szCs w:val="22"/>
                <w:lang w:val="sr-Latn-ME"/>
              </w:rPr>
              <w:t>39,1%</w:t>
            </w:r>
          </w:p>
          <w:p w14:paraId="0A2D5DF3" w14:textId="298F32CB" w:rsidR="00EB1E93" w:rsidRPr="00F24057" w:rsidRDefault="007F33CD" w:rsidP="00D70B34">
            <w:pPr>
              <w:jc w:val="center"/>
              <w:rPr>
                <w:szCs w:val="22"/>
                <w:lang w:val="sr-Latn-ME"/>
              </w:rPr>
            </w:pPr>
            <w:r w:rsidRPr="00F24057">
              <w:rPr>
                <w:szCs w:val="22"/>
                <w:lang w:val="sr-Latn-ME"/>
              </w:rPr>
              <w:t>41,5 %</w:t>
            </w:r>
          </w:p>
        </w:tc>
      </w:tr>
      <w:tr w:rsidR="00EB1E93" w:rsidRPr="00F24057" w14:paraId="4FF0128C" w14:textId="77777777" w:rsidTr="00F432D3">
        <w:trPr>
          <w:trHeight w:val="20"/>
        </w:trPr>
        <w:tc>
          <w:tcPr>
            <w:tcW w:w="707" w:type="pct"/>
            <w:tcBorders>
              <w:top w:val="nil"/>
              <w:left w:val="nil"/>
            </w:tcBorders>
            <w:vAlign w:val="center"/>
          </w:tcPr>
          <w:p w14:paraId="4851103E" w14:textId="4AF1C621" w:rsidR="00EB1E93" w:rsidRPr="00F24057" w:rsidRDefault="00EB1E93" w:rsidP="00D70B34">
            <w:pPr>
              <w:rPr>
                <w:szCs w:val="22"/>
                <w:lang w:val="sr-Latn-ME"/>
              </w:rPr>
            </w:pPr>
            <w:r w:rsidRPr="00F24057">
              <w:rPr>
                <w:szCs w:val="22"/>
                <w:lang w:val="sr-Latn-ME"/>
              </w:rPr>
              <w:t>ACR 70</w:t>
            </w:r>
          </w:p>
          <w:p w14:paraId="68E90332" w14:textId="5BFAD104" w:rsidR="00EB1E93" w:rsidRPr="00F24057" w:rsidRDefault="00EB1E93" w:rsidP="00D70B34">
            <w:pPr>
              <w:jc w:val="center"/>
              <w:rPr>
                <w:szCs w:val="22"/>
                <w:lang w:val="sr-Latn-ME"/>
              </w:rPr>
            </w:pPr>
            <w:r w:rsidRPr="00F24057">
              <w:rPr>
                <w:szCs w:val="22"/>
                <w:lang w:val="sr-Latn-ME"/>
              </w:rPr>
              <w:t xml:space="preserve">6 </w:t>
            </w:r>
            <w:r w:rsidR="00885A78" w:rsidRPr="00F24057">
              <w:rPr>
                <w:szCs w:val="22"/>
                <w:lang w:val="sr-Latn-ME"/>
              </w:rPr>
              <w:t>mjesec</w:t>
            </w:r>
            <w:r w:rsidRPr="00F24057">
              <w:rPr>
                <w:szCs w:val="22"/>
                <w:lang w:val="sr-Latn-ME"/>
              </w:rPr>
              <w:t>i</w:t>
            </w:r>
          </w:p>
          <w:p w14:paraId="24E1086D" w14:textId="40EBF30E" w:rsidR="00EB1E93" w:rsidRPr="00F24057" w:rsidRDefault="00EB1E93" w:rsidP="00D70B34">
            <w:pPr>
              <w:jc w:val="center"/>
              <w:rPr>
                <w:szCs w:val="22"/>
                <w:lang w:val="sr-Latn-ME"/>
              </w:rPr>
            </w:pPr>
            <w:r w:rsidRPr="00F24057">
              <w:rPr>
                <w:szCs w:val="22"/>
                <w:lang w:val="sr-Latn-ME"/>
              </w:rPr>
              <w:t xml:space="preserve">12 </w:t>
            </w:r>
            <w:r w:rsidR="00885A78" w:rsidRPr="00F24057">
              <w:rPr>
                <w:szCs w:val="22"/>
                <w:lang w:val="sr-Latn-ME"/>
              </w:rPr>
              <w:t>mjesec</w:t>
            </w:r>
            <w:r w:rsidRPr="00F24057">
              <w:rPr>
                <w:szCs w:val="22"/>
                <w:lang w:val="sr-Latn-ME"/>
              </w:rPr>
              <w:t>i</w:t>
            </w:r>
          </w:p>
        </w:tc>
        <w:tc>
          <w:tcPr>
            <w:tcW w:w="549" w:type="pct"/>
            <w:tcBorders>
              <w:top w:val="nil"/>
              <w:right w:val="single" w:sz="4" w:space="0" w:color="FFFFFF" w:themeColor="background1"/>
            </w:tcBorders>
            <w:vAlign w:val="center"/>
          </w:tcPr>
          <w:p w14:paraId="4EC79316" w14:textId="77777777" w:rsidR="00EB1E93" w:rsidRPr="00F24057" w:rsidRDefault="00EB1E93" w:rsidP="00D70B34">
            <w:pPr>
              <w:jc w:val="center"/>
              <w:rPr>
                <w:szCs w:val="22"/>
                <w:lang w:val="sr-Latn-ME"/>
              </w:rPr>
            </w:pPr>
          </w:p>
          <w:p w14:paraId="4193B471" w14:textId="76AFBBE1" w:rsidR="00EB1E93" w:rsidRPr="00F24057" w:rsidRDefault="00EB1E93" w:rsidP="00D70B34">
            <w:pPr>
              <w:jc w:val="center"/>
              <w:rPr>
                <w:szCs w:val="22"/>
                <w:lang w:val="sr-Latn-ME"/>
              </w:rPr>
            </w:pPr>
            <w:r w:rsidRPr="00F24057">
              <w:rPr>
                <w:szCs w:val="22"/>
                <w:lang w:val="sr-Latn-ME"/>
              </w:rPr>
              <w:t xml:space="preserve">3,3% </w:t>
            </w:r>
          </w:p>
          <w:p w14:paraId="680CF890" w14:textId="51FBBD22" w:rsidR="00EB1E93" w:rsidRPr="00F24057" w:rsidRDefault="00EB1E93" w:rsidP="00D70B34">
            <w:pPr>
              <w:jc w:val="center"/>
              <w:rPr>
                <w:szCs w:val="22"/>
                <w:lang w:val="sr-Latn-ME"/>
              </w:rPr>
            </w:pPr>
            <w:r w:rsidRPr="00F24057">
              <w:rPr>
                <w:szCs w:val="22"/>
                <w:lang w:val="sr-Latn-ME"/>
              </w:rPr>
              <w:t>NA</w:t>
            </w:r>
          </w:p>
        </w:tc>
        <w:tc>
          <w:tcPr>
            <w:tcW w:w="865" w:type="pct"/>
            <w:tcBorders>
              <w:top w:val="nil"/>
              <w:left w:val="single" w:sz="4" w:space="0" w:color="FFFFFF" w:themeColor="background1"/>
            </w:tcBorders>
            <w:vAlign w:val="center"/>
          </w:tcPr>
          <w:p w14:paraId="32C7AFD0" w14:textId="77777777" w:rsidR="00EB1E93" w:rsidRPr="00F24057" w:rsidRDefault="00EB1E93" w:rsidP="00D70B34">
            <w:pPr>
              <w:jc w:val="center"/>
              <w:rPr>
                <w:szCs w:val="22"/>
                <w:lang w:val="sr-Latn-ME"/>
              </w:rPr>
            </w:pPr>
          </w:p>
          <w:p w14:paraId="5CAB1D05" w14:textId="59627FA5" w:rsidR="00EB1E93" w:rsidRPr="00F24057" w:rsidRDefault="00EB1E93" w:rsidP="00D70B34">
            <w:pPr>
              <w:jc w:val="center"/>
              <w:rPr>
                <w:szCs w:val="22"/>
                <w:lang w:val="sr-Latn-ME"/>
              </w:rPr>
            </w:pPr>
            <w:r w:rsidRPr="00F24057">
              <w:rPr>
                <w:szCs w:val="22"/>
                <w:lang w:val="sr-Latn-ME"/>
              </w:rPr>
              <w:t xml:space="preserve">23,8% </w:t>
            </w:r>
          </w:p>
          <w:p w14:paraId="54A8AAA4" w14:textId="726D0D7B" w:rsidR="00EB1E93" w:rsidRPr="00F24057" w:rsidRDefault="00EB1E93" w:rsidP="00D70B34">
            <w:pPr>
              <w:jc w:val="center"/>
              <w:rPr>
                <w:szCs w:val="22"/>
                <w:lang w:val="sr-Latn-ME"/>
              </w:rPr>
            </w:pPr>
            <w:r w:rsidRPr="00F24057">
              <w:rPr>
                <w:szCs w:val="22"/>
                <w:lang w:val="sr-Latn-ME"/>
              </w:rPr>
              <w:t>NA</w:t>
            </w:r>
          </w:p>
        </w:tc>
        <w:tc>
          <w:tcPr>
            <w:tcW w:w="549" w:type="pct"/>
            <w:tcBorders>
              <w:top w:val="nil"/>
              <w:right w:val="single" w:sz="4" w:space="0" w:color="FFFFFF" w:themeColor="background1"/>
            </w:tcBorders>
            <w:vAlign w:val="center"/>
          </w:tcPr>
          <w:p w14:paraId="5E384012" w14:textId="77777777" w:rsidR="00EB1E93" w:rsidRPr="00F24057" w:rsidRDefault="00EB1E93" w:rsidP="00D70B34">
            <w:pPr>
              <w:jc w:val="center"/>
              <w:rPr>
                <w:szCs w:val="22"/>
                <w:lang w:val="sr-Latn-ME"/>
              </w:rPr>
            </w:pPr>
          </w:p>
          <w:p w14:paraId="3FED0CD5" w14:textId="31B0945B" w:rsidR="00EB1E93" w:rsidRPr="00F24057" w:rsidRDefault="00EB1E93" w:rsidP="00D70B34">
            <w:pPr>
              <w:jc w:val="center"/>
              <w:rPr>
                <w:szCs w:val="22"/>
                <w:lang w:val="sr-Latn-ME"/>
              </w:rPr>
            </w:pPr>
            <w:r w:rsidRPr="00F24057">
              <w:rPr>
                <w:szCs w:val="22"/>
                <w:lang w:val="sr-Latn-ME"/>
              </w:rPr>
              <w:t xml:space="preserve">1,8% </w:t>
            </w:r>
          </w:p>
          <w:p w14:paraId="65A738DB" w14:textId="23BA5F77" w:rsidR="00EB1E93" w:rsidRPr="00F24057" w:rsidRDefault="00EB1E93" w:rsidP="00D70B34">
            <w:pPr>
              <w:jc w:val="center"/>
              <w:rPr>
                <w:szCs w:val="22"/>
                <w:lang w:val="sr-Latn-ME"/>
              </w:rPr>
            </w:pPr>
            <w:r w:rsidRPr="00F24057">
              <w:rPr>
                <w:szCs w:val="22"/>
                <w:lang w:val="sr-Latn-ME"/>
              </w:rPr>
              <w:t>NA</w:t>
            </w:r>
          </w:p>
        </w:tc>
        <w:tc>
          <w:tcPr>
            <w:tcW w:w="785" w:type="pct"/>
            <w:tcBorders>
              <w:top w:val="nil"/>
              <w:left w:val="single" w:sz="4" w:space="0" w:color="FFFFFF" w:themeColor="background1"/>
            </w:tcBorders>
            <w:vAlign w:val="center"/>
          </w:tcPr>
          <w:p w14:paraId="047CC2AB" w14:textId="77777777" w:rsidR="00EB1E93" w:rsidRPr="00F24057" w:rsidRDefault="00EB1E93" w:rsidP="00D70B34">
            <w:pPr>
              <w:jc w:val="center"/>
              <w:rPr>
                <w:szCs w:val="22"/>
                <w:lang w:val="sr-Latn-ME"/>
              </w:rPr>
            </w:pPr>
          </w:p>
          <w:p w14:paraId="0ABC7F3E" w14:textId="2EFEEAA7" w:rsidR="00EB1E93" w:rsidRPr="00F24057" w:rsidRDefault="00EB1E93" w:rsidP="00D70B34">
            <w:pPr>
              <w:jc w:val="center"/>
              <w:rPr>
                <w:szCs w:val="22"/>
                <w:lang w:val="sr-Latn-ME"/>
              </w:rPr>
            </w:pPr>
            <w:r w:rsidRPr="00F24057">
              <w:rPr>
                <w:szCs w:val="22"/>
                <w:lang w:val="sr-Latn-ME"/>
              </w:rPr>
              <w:t xml:space="preserve">12,4% </w:t>
            </w:r>
          </w:p>
          <w:p w14:paraId="5B3D1D3F" w14:textId="486CA32B" w:rsidR="00EB1E93" w:rsidRPr="00F24057" w:rsidRDefault="00EB1E93" w:rsidP="00D70B34">
            <w:pPr>
              <w:jc w:val="center"/>
              <w:rPr>
                <w:szCs w:val="22"/>
                <w:lang w:val="sr-Latn-ME"/>
              </w:rPr>
            </w:pPr>
            <w:r w:rsidRPr="00F24057">
              <w:rPr>
                <w:szCs w:val="22"/>
                <w:lang w:val="sr-Latn-ME"/>
              </w:rPr>
              <w:t>NA</w:t>
            </w:r>
          </w:p>
        </w:tc>
        <w:tc>
          <w:tcPr>
            <w:tcW w:w="706" w:type="pct"/>
            <w:tcBorders>
              <w:top w:val="nil"/>
              <w:right w:val="single" w:sz="4" w:space="0" w:color="FFFFFF" w:themeColor="background1"/>
            </w:tcBorders>
            <w:vAlign w:val="center"/>
          </w:tcPr>
          <w:p w14:paraId="0534936B" w14:textId="77777777" w:rsidR="00EB1E93" w:rsidRPr="00F24057" w:rsidRDefault="00EB1E93" w:rsidP="00D70B34">
            <w:pPr>
              <w:jc w:val="center"/>
              <w:rPr>
                <w:szCs w:val="22"/>
                <w:lang w:val="sr-Latn-ME"/>
              </w:rPr>
            </w:pPr>
          </w:p>
          <w:p w14:paraId="0BA5FF89" w14:textId="4144BDDD" w:rsidR="00EB1E93" w:rsidRPr="00F24057" w:rsidRDefault="00EB1E93" w:rsidP="00D70B34">
            <w:pPr>
              <w:jc w:val="center"/>
              <w:rPr>
                <w:szCs w:val="22"/>
                <w:lang w:val="sr-Latn-ME"/>
              </w:rPr>
            </w:pPr>
            <w:r w:rsidRPr="00F24057">
              <w:rPr>
                <w:szCs w:val="22"/>
                <w:lang w:val="sr-Latn-ME"/>
              </w:rPr>
              <w:t xml:space="preserve">2,5% </w:t>
            </w:r>
          </w:p>
          <w:p w14:paraId="5297E51C" w14:textId="02F97772" w:rsidR="00EB1E93" w:rsidRPr="00F24057" w:rsidRDefault="007F33CD" w:rsidP="00D70B34">
            <w:pPr>
              <w:jc w:val="center"/>
              <w:rPr>
                <w:szCs w:val="22"/>
                <w:lang w:val="sr-Latn-ME"/>
              </w:rPr>
            </w:pPr>
            <w:r w:rsidRPr="00F24057">
              <w:rPr>
                <w:szCs w:val="22"/>
                <w:lang w:val="sr-Latn-ME"/>
              </w:rPr>
              <w:t>4,5%</w:t>
            </w:r>
          </w:p>
        </w:tc>
        <w:tc>
          <w:tcPr>
            <w:tcW w:w="839" w:type="pct"/>
            <w:tcBorders>
              <w:top w:val="nil"/>
              <w:left w:val="single" w:sz="4" w:space="0" w:color="FFFFFF" w:themeColor="background1"/>
              <w:right w:val="nil"/>
            </w:tcBorders>
            <w:vAlign w:val="center"/>
          </w:tcPr>
          <w:p w14:paraId="49A5FD02" w14:textId="77777777" w:rsidR="00EB1E93" w:rsidRPr="00F24057" w:rsidRDefault="00EB1E93" w:rsidP="00D70B34">
            <w:pPr>
              <w:jc w:val="center"/>
              <w:rPr>
                <w:szCs w:val="22"/>
                <w:lang w:val="sr-Latn-ME"/>
              </w:rPr>
            </w:pPr>
          </w:p>
          <w:p w14:paraId="1F2201E7" w14:textId="4D0811F7" w:rsidR="00EB1E93" w:rsidRPr="00F24057" w:rsidRDefault="00EB1E93" w:rsidP="00D70B34">
            <w:pPr>
              <w:jc w:val="center"/>
              <w:rPr>
                <w:szCs w:val="22"/>
                <w:lang w:val="sr-Latn-ME"/>
              </w:rPr>
            </w:pPr>
            <w:r w:rsidRPr="00F24057">
              <w:rPr>
                <w:szCs w:val="22"/>
                <w:lang w:val="sr-Latn-ME"/>
              </w:rPr>
              <w:t>20,8%</w:t>
            </w:r>
          </w:p>
          <w:p w14:paraId="283D3A3E" w14:textId="49B63740" w:rsidR="00EB1E93" w:rsidRPr="00F24057" w:rsidRDefault="007F33CD" w:rsidP="00D70B34">
            <w:pPr>
              <w:jc w:val="center"/>
              <w:rPr>
                <w:szCs w:val="22"/>
                <w:lang w:val="sr-Latn-ME"/>
              </w:rPr>
            </w:pPr>
            <w:r w:rsidRPr="00F24057">
              <w:rPr>
                <w:szCs w:val="22"/>
                <w:lang w:val="sr-Latn-ME"/>
              </w:rPr>
              <w:t>23,2%</w:t>
            </w:r>
          </w:p>
        </w:tc>
      </w:tr>
    </w:tbl>
    <w:p w14:paraId="17CB9219" w14:textId="2DF805EA" w:rsidR="007F33CD" w:rsidRPr="00F24057" w:rsidRDefault="007F33CD" w:rsidP="00D70B34">
      <w:pPr>
        <w:rPr>
          <w:szCs w:val="22"/>
          <w:lang w:val="sr-Latn-ME"/>
        </w:rPr>
      </w:pPr>
      <w:r w:rsidRPr="00F24057">
        <w:rPr>
          <w:szCs w:val="22"/>
          <w:vertAlign w:val="superscript"/>
          <w:lang w:val="sr-Latn-ME"/>
        </w:rPr>
        <w:t>a.</w:t>
      </w:r>
      <w:r w:rsidRPr="00F24057">
        <w:rPr>
          <w:szCs w:val="22"/>
          <w:lang w:val="sr-Latn-ME"/>
        </w:rPr>
        <w:t xml:space="preserve"> RA Studija I nakon </w:t>
      </w:r>
      <w:r w:rsidR="00885A78" w:rsidRPr="00F24057">
        <w:rPr>
          <w:szCs w:val="22"/>
          <w:lang w:val="sr-Latn-ME"/>
        </w:rPr>
        <w:t>nedjelj</w:t>
      </w:r>
      <w:r w:rsidRPr="00F24057">
        <w:rPr>
          <w:szCs w:val="22"/>
          <w:lang w:val="sr-Latn-ME"/>
        </w:rPr>
        <w:t xml:space="preserve">e 24, RA Studija II nakon </w:t>
      </w:r>
      <w:r w:rsidR="00885A78" w:rsidRPr="00F24057">
        <w:rPr>
          <w:szCs w:val="22"/>
          <w:lang w:val="sr-Latn-ME"/>
        </w:rPr>
        <w:t>nedjelj</w:t>
      </w:r>
      <w:r w:rsidRPr="00F24057">
        <w:rPr>
          <w:szCs w:val="22"/>
          <w:lang w:val="sr-Latn-ME"/>
        </w:rPr>
        <w:t xml:space="preserve">e 26, RA Studija III nakon </w:t>
      </w:r>
      <w:r w:rsidR="00885A78" w:rsidRPr="00F24057">
        <w:rPr>
          <w:szCs w:val="22"/>
          <w:lang w:val="sr-Latn-ME"/>
        </w:rPr>
        <w:t>nedjelj</w:t>
      </w:r>
      <w:r w:rsidRPr="00F24057">
        <w:rPr>
          <w:szCs w:val="22"/>
          <w:lang w:val="sr-Latn-ME"/>
        </w:rPr>
        <w:t xml:space="preserve">e 24 i nakon </w:t>
      </w:r>
      <w:r w:rsidR="00885A78" w:rsidRPr="00F24057">
        <w:rPr>
          <w:szCs w:val="22"/>
          <w:lang w:val="sr-Latn-ME"/>
        </w:rPr>
        <w:t>nedjelj</w:t>
      </w:r>
      <w:r w:rsidRPr="00F24057">
        <w:rPr>
          <w:szCs w:val="22"/>
          <w:lang w:val="sr-Latn-ME"/>
        </w:rPr>
        <w:t xml:space="preserve">e 52 </w:t>
      </w:r>
    </w:p>
    <w:p w14:paraId="492B85AC" w14:textId="3D6ECE16" w:rsidR="007F33CD" w:rsidRPr="00F24057" w:rsidRDefault="007F33CD" w:rsidP="00D70B34">
      <w:pPr>
        <w:rPr>
          <w:szCs w:val="22"/>
          <w:lang w:val="sr-Latn-ME"/>
        </w:rPr>
      </w:pPr>
      <w:r w:rsidRPr="00F24057">
        <w:rPr>
          <w:szCs w:val="22"/>
          <w:vertAlign w:val="superscript"/>
          <w:lang w:val="sr-Latn-ME"/>
        </w:rPr>
        <w:t>b.</w:t>
      </w:r>
      <w:r w:rsidRPr="00F24057">
        <w:rPr>
          <w:szCs w:val="22"/>
          <w:lang w:val="sr-Latn-ME"/>
        </w:rPr>
        <w:t xml:space="preserve"> 40 mg </w:t>
      </w:r>
      <w:r w:rsidR="00885A78" w:rsidRPr="00F24057">
        <w:rPr>
          <w:szCs w:val="22"/>
          <w:lang w:val="sr-Latn-ME"/>
        </w:rPr>
        <w:t xml:space="preserve">lijeka </w:t>
      </w:r>
      <w:r w:rsidRPr="00F24057">
        <w:rPr>
          <w:szCs w:val="22"/>
          <w:lang w:val="sr-Latn-ME"/>
        </w:rPr>
        <w:t xml:space="preserve">adalimumab </w:t>
      </w:r>
      <w:r w:rsidR="009811CA" w:rsidRPr="00F24057">
        <w:rPr>
          <w:szCs w:val="22"/>
          <w:lang w:val="sr-Latn-ME"/>
        </w:rPr>
        <w:t>primijenje</w:t>
      </w:r>
      <w:r w:rsidRPr="00F24057">
        <w:rPr>
          <w:szCs w:val="22"/>
          <w:lang w:val="sr-Latn-ME"/>
        </w:rPr>
        <w:t xml:space="preserve">nog svake druge </w:t>
      </w:r>
      <w:r w:rsidR="00885A78" w:rsidRPr="00F24057">
        <w:rPr>
          <w:szCs w:val="22"/>
          <w:lang w:val="sr-Latn-ME"/>
        </w:rPr>
        <w:t>nedjelj</w:t>
      </w:r>
      <w:r w:rsidRPr="00F24057">
        <w:rPr>
          <w:szCs w:val="22"/>
          <w:lang w:val="sr-Latn-ME"/>
        </w:rPr>
        <w:t>e</w:t>
      </w:r>
    </w:p>
    <w:p w14:paraId="4BCE3B6B" w14:textId="77777777" w:rsidR="007F33CD" w:rsidRPr="00F24057" w:rsidRDefault="007F33CD" w:rsidP="00D70B34">
      <w:pPr>
        <w:rPr>
          <w:szCs w:val="22"/>
          <w:lang w:val="sr-Latn-ME"/>
        </w:rPr>
      </w:pPr>
      <w:r w:rsidRPr="00F24057">
        <w:rPr>
          <w:szCs w:val="22"/>
          <w:vertAlign w:val="superscript"/>
          <w:lang w:val="sr-Latn-ME"/>
        </w:rPr>
        <w:t>c.</w:t>
      </w:r>
      <w:r w:rsidRPr="00F24057">
        <w:rPr>
          <w:szCs w:val="22"/>
          <w:lang w:val="sr-Latn-ME"/>
        </w:rPr>
        <w:t xml:space="preserve"> MTX=metotreksat </w:t>
      </w:r>
    </w:p>
    <w:p w14:paraId="33D1F90D" w14:textId="0382CBB9" w:rsidR="00EB1E93" w:rsidRPr="00F24057" w:rsidRDefault="007F33CD" w:rsidP="00D70B34">
      <w:pPr>
        <w:rPr>
          <w:szCs w:val="22"/>
          <w:lang w:val="sr-Latn-ME"/>
        </w:rPr>
      </w:pPr>
      <w:r w:rsidRPr="00F24057">
        <w:rPr>
          <w:szCs w:val="22"/>
          <w:lang w:val="sr-Latn-ME"/>
        </w:rPr>
        <w:t>**p</w:t>
      </w:r>
      <w:r w:rsidRPr="00F24057">
        <w:rPr>
          <w:szCs w:val="22"/>
          <w:lang w:val="sr-Latn-ME"/>
        </w:rPr>
        <w:sym w:font="Symbol" w:char="F03C"/>
      </w:r>
      <w:r w:rsidRPr="00F24057">
        <w:rPr>
          <w:szCs w:val="22"/>
          <w:lang w:val="sr-Latn-ME"/>
        </w:rPr>
        <w:t>0,01, adalimumab vs. placebo</w:t>
      </w:r>
    </w:p>
    <w:p w14:paraId="2CEDAA3A" w14:textId="41CA4F16" w:rsidR="007F33CD" w:rsidRPr="00F24057" w:rsidRDefault="007F33CD" w:rsidP="00D70B34">
      <w:pPr>
        <w:rPr>
          <w:szCs w:val="22"/>
          <w:lang w:val="sr-Latn-ME"/>
        </w:rPr>
      </w:pPr>
    </w:p>
    <w:p w14:paraId="20709B4B" w14:textId="7C361D6E" w:rsidR="007F33CD" w:rsidRPr="00F24057" w:rsidRDefault="007F33CD" w:rsidP="00D70B34">
      <w:pPr>
        <w:rPr>
          <w:szCs w:val="22"/>
          <w:lang w:val="sr-Latn-ME"/>
        </w:rPr>
      </w:pPr>
      <w:r w:rsidRPr="00F24057">
        <w:rPr>
          <w:szCs w:val="22"/>
          <w:lang w:val="sr-Latn-ME"/>
        </w:rPr>
        <w:t xml:space="preserve">U RA studijama I-IV sve pojedinačne komponente za kriterijum ACR odgovora (broj </w:t>
      </w:r>
      <w:r w:rsidR="004F2520" w:rsidRPr="00F24057">
        <w:rPr>
          <w:szCs w:val="22"/>
          <w:lang w:val="sr-Latn-ME"/>
        </w:rPr>
        <w:t>osjetljiv</w:t>
      </w:r>
      <w:r w:rsidRPr="00F24057">
        <w:rPr>
          <w:szCs w:val="22"/>
          <w:lang w:val="sr-Latn-ME"/>
        </w:rPr>
        <w:t xml:space="preserve">ih i otečenih zglobova, </w:t>
      </w:r>
      <w:r w:rsidR="004F2520" w:rsidRPr="00F24057">
        <w:rPr>
          <w:szCs w:val="22"/>
          <w:lang w:val="sr-Latn-ME"/>
        </w:rPr>
        <w:t>procjen</w:t>
      </w:r>
      <w:r w:rsidRPr="00F24057">
        <w:rPr>
          <w:szCs w:val="22"/>
          <w:lang w:val="sr-Latn-ME"/>
        </w:rPr>
        <w:t xml:space="preserve">a </w:t>
      </w:r>
      <w:r w:rsidR="0030064A" w:rsidRPr="00F24057">
        <w:rPr>
          <w:szCs w:val="22"/>
          <w:lang w:val="sr-Latn-ME"/>
        </w:rPr>
        <w:t>ljekar</w:t>
      </w:r>
      <w:r w:rsidRPr="00F24057">
        <w:rPr>
          <w:szCs w:val="22"/>
          <w:lang w:val="sr-Latn-ME"/>
        </w:rPr>
        <w:t>a i pacijenta o aktivnosti bolesti i bolu, skor indeksa onesposobljenosti (</w:t>
      </w:r>
      <w:r w:rsidR="00E45B89" w:rsidRPr="00F24057">
        <w:rPr>
          <w:szCs w:val="22"/>
          <w:lang w:val="sr-Latn-ME"/>
        </w:rPr>
        <w:t xml:space="preserve">engl. </w:t>
      </w:r>
      <w:r w:rsidR="00E45B89" w:rsidRPr="00F24057">
        <w:rPr>
          <w:i/>
          <w:szCs w:val="22"/>
          <w:lang w:val="sr-Latn-ME"/>
        </w:rPr>
        <w:t>Health Assessement Questionnaire</w:t>
      </w:r>
      <w:r w:rsidR="00E45B89" w:rsidRPr="00F24057">
        <w:rPr>
          <w:szCs w:val="22"/>
          <w:lang w:val="sr-Latn-ME"/>
        </w:rPr>
        <w:t xml:space="preserve">, </w:t>
      </w:r>
      <w:r w:rsidRPr="00F24057">
        <w:rPr>
          <w:szCs w:val="22"/>
          <w:lang w:val="sr-Latn-ME"/>
        </w:rPr>
        <w:t xml:space="preserve">HAQ) i nivo CRP-a (mg/dL) su bili poboljšani nakon 24 ili 26 </w:t>
      </w:r>
      <w:r w:rsidR="00885A78" w:rsidRPr="00F24057">
        <w:rPr>
          <w:szCs w:val="22"/>
          <w:lang w:val="sr-Latn-ME"/>
        </w:rPr>
        <w:t>nedjelj</w:t>
      </w:r>
      <w:r w:rsidRPr="00F24057">
        <w:rPr>
          <w:szCs w:val="22"/>
          <w:lang w:val="sr-Latn-ME"/>
        </w:rPr>
        <w:t xml:space="preserve">a </w:t>
      </w:r>
      <w:r w:rsidR="0030064A" w:rsidRPr="00F24057">
        <w:rPr>
          <w:szCs w:val="22"/>
          <w:lang w:val="sr-Latn-ME"/>
        </w:rPr>
        <w:t>primjen</w:t>
      </w:r>
      <w:r w:rsidRPr="00F24057">
        <w:rPr>
          <w:szCs w:val="22"/>
          <w:lang w:val="sr-Latn-ME"/>
        </w:rPr>
        <w:t xml:space="preserve">e adalimumaba u odnosu na placebo. U RA studiji III ova poboljšanja su se zadržala tokom 52 </w:t>
      </w:r>
      <w:r w:rsidR="00885A78" w:rsidRPr="00F24057">
        <w:rPr>
          <w:szCs w:val="22"/>
          <w:lang w:val="sr-Latn-ME"/>
        </w:rPr>
        <w:t>nedjelj</w:t>
      </w:r>
      <w:r w:rsidRPr="00F24057">
        <w:rPr>
          <w:szCs w:val="22"/>
          <w:lang w:val="sr-Latn-ME"/>
        </w:rPr>
        <w:t xml:space="preserve">e. </w:t>
      </w:r>
    </w:p>
    <w:p w14:paraId="44CB7A68" w14:textId="77777777" w:rsidR="007F33CD" w:rsidRPr="00F24057" w:rsidRDefault="007F33CD" w:rsidP="00D70B34">
      <w:pPr>
        <w:rPr>
          <w:szCs w:val="22"/>
          <w:lang w:val="sr-Latn-ME"/>
        </w:rPr>
      </w:pPr>
    </w:p>
    <w:p w14:paraId="7120B2E9" w14:textId="2ED552A4" w:rsidR="007F33CD" w:rsidRPr="00F24057" w:rsidRDefault="007F33CD" w:rsidP="00D70B34">
      <w:pPr>
        <w:rPr>
          <w:szCs w:val="22"/>
          <w:lang w:val="sr-Latn-ME"/>
        </w:rPr>
      </w:pPr>
      <w:r w:rsidRPr="00F24057">
        <w:rPr>
          <w:szCs w:val="22"/>
          <w:lang w:val="sr-Latn-ME"/>
        </w:rPr>
        <w:t xml:space="preserve">U otvorenom produžetku RA III studije, većina pacijenata sa postignutim ACR odgovorom održala je odgovor i tokom 10 godina. Od ukupno 207 pacijenata randomizovanih u grupu koja je primala adalimumab 40 mg svake druge </w:t>
      </w:r>
      <w:r w:rsidR="00885A78" w:rsidRPr="00F24057">
        <w:rPr>
          <w:szCs w:val="22"/>
          <w:lang w:val="sr-Latn-ME"/>
        </w:rPr>
        <w:t>nedjelj</w:t>
      </w:r>
      <w:r w:rsidRPr="00F24057">
        <w:rPr>
          <w:szCs w:val="22"/>
          <w:lang w:val="sr-Latn-ME"/>
        </w:rPr>
        <w:t xml:space="preserve">e, 114 pacijenata nastavilo je da prima adalimumab u dozi od 40 mg svake druge </w:t>
      </w:r>
      <w:r w:rsidR="00885A78" w:rsidRPr="00F24057">
        <w:rPr>
          <w:szCs w:val="22"/>
          <w:lang w:val="sr-Latn-ME"/>
        </w:rPr>
        <w:t>nedjelj</w:t>
      </w:r>
      <w:r w:rsidRPr="00F24057">
        <w:rPr>
          <w:szCs w:val="22"/>
          <w:lang w:val="sr-Latn-ME"/>
        </w:rPr>
        <w:t xml:space="preserve">e tokom 5 godina. Među ovim pacijentima, 86 (75,4%) pacijenata imalo je ACR 20 odgovor; 72 (63,2%) pacijenta imalo je ACR 50 odgovor i 41 (36%) pacijent imao je ACR 70 odgovor. Od ukupno 207, 81 pacijent je nastavio da prima adalimumab u dozi od 40 mg svake druge </w:t>
      </w:r>
      <w:r w:rsidR="00885A78" w:rsidRPr="00F24057">
        <w:rPr>
          <w:szCs w:val="22"/>
          <w:lang w:val="sr-Latn-ME"/>
        </w:rPr>
        <w:t>nedjelj</w:t>
      </w:r>
      <w:r w:rsidRPr="00F24057">
        <w:rPr>
          <w:szCs w:val="22"/>
          <w:lang w:val="sr-Latn-ME"/>
        </w:rPr>
        <w:t xml:space="preserve">e tokom 10 godina. Među ovim pacijentima, 64 (79%) pacijenata imalo je ACR 20 odgovor; 56 (69,1%) pacijenata imalo je ACR 50 odgovor i 43 (53,1%) pacijenta imalo je ACR 70 odgovor. </w:t>
      </w:r>
    </w:p>
    <w:p w14:paraId="5CF6D41C" w14:textId="77777777" w:rsidR="007F33CD" w:rsidRPr="00F24057" w:rsidRDefault="007F33CD" w:rsidP="00D70B34">
      <w:pPr>
        <w:rPr>
          <w:szCs w:val="22"/>
          <w:lang w:val="sr-Latn-ME"/>
        </w:rPr>
      </w:pPr>
    </w:p>
    <w:p w14:paraId="60EEBFDE" w14:textId="02AC38E6" w:rsidR="007F33CD" w:rsidRPr="00F24057" w:rsidRDefault="007F33CD" w:rsidP="00D70B34">
      <w:pPr>
        <w:rPr>
          <w:szCs w:val="22"/>
          <w:lang w:val="sr-Latn-ME"/>
        </w:rPr>
      </w:pPr>
      <w:r w:rsidRPr="00F24057">
        <w:rPr>
          <w:szCs w:val="22"/>
          <w:lang w:val="sr-Latn-ME"/>
        </w:rPr>
        <w:t xml:space="preserve">U RA studiji IV ACR 20 odgovor pacijenata </w:t>
      </w:r>
      <w:r w:rsidR="00885A78" w:rsidRPr="00F24057">
        <w:rPr>
          <w:szCs w:val="22"/>
          <w:lang w:val="sr-Latn-ME"/>
        </w:rPr>
        <w:t>liječe</w:t>
      </w:r>
      <w:r w:rsidRPr="00F24057">
        <w:rPr>
          <w:szCs w:val="22"/>
          <w:lang w:val="sr-Latn-ME"/>
        </w:rPr>
        <w:t xml:space="preserve">nih adalimumabom uz standardnu terapiju je bio statistički značajno bolji od pacijenata </w:t>
      </w:r>
      <w:r w:rsidR="00885A78" w:rsidRPr="00F24057">
        <w:rPr>
          <w:szCs w:val="22"/>
          <w:lang w:val="sr-Latn-ME"/>
        </w:rPr>
        <w:t>liječe</w:t>
      </w:r>
      <w:r w:rsidRPr="00F24057">
        <w:rPr>
          <w:szCs w:val="22"/>
          <w:lang w:val="sr-Latn-ME"/>
        </w:rPr>
        <w:t xml:space="preserve">nih placebom plus standardna terapija (p </w:t>
      </w:r>
      <w:r w:rsidRPr="00F24057">
        <w:rPr>
          <w:szCs w:val="22"/>
          <w:lang w:val="sr-Latn-ME"/>
        </w:rPr>
        <w:sym w:font="Symbol" w:char="F03C"/>
      </w:r>
      <w:r w:rsidRPr="00F24057">
        <w:rPr>
          <w:szCs w:val="22"/>
          <w:lang w:val="sr-Latn-ME"/>
        </w:rPr>
        <w:t xml:space="preserve"> 0,001). </w:t>
      </w:r>
    </w:p>
    <w:p w14:paraId="33190697" w14:textId="77777777" w:rsidR="007F33CD" w:rsidRPr="00F24057" w:rsidRDefault="007F33CD" w:rsidP="00D70B34">
      <w:pPr>
        <w:rPr>
          <w:szCs w:val="22"/>
          <w:lang w:val="sr-Latn-ME"/>
        </w:rPr>
      </w:pPr>
    </w:p>
    <w:p w14:paraId="4DBBE084" w14:textId="7F204D56" w:rsidR="007F33CD" w:rsidRPr="00F24057" w:rsidRDefault="007F33CD" w:rsidP="00D70B34">
      <w:pPr>
        <w:rPr>
          <w:szCs w:val="22"/>
          <w:lang w:val="sr-Latn-ME"/>
        </w:rPr>
      </w:pPr>
      <w:r w:rsidRPr="00F24057">
        <w:rPr>
          <w:szCs w:val="22"/>
          <w:lang w:val="sr-Latn-ME"/>
        </w:rPr>
        <w:t xml:space="preserve">U RA studiji I-IV pacijenti </w:t>
      </w:r>
      <w:r w:rsidR="00885A78" w:rsidRPr="00F24057">
        <w:rPr>
          <w:szCs w:val="22"/>
          <w:lang w:val="sr-Latn-ME"/>
        </w:rPr>
        <w:t>liječe</w:t>
      </w:r>
      <w:r w:rsidRPr="00F24057">
        <w:rPr>
          <w:szCs w:val="22"/>
          <w:lang w:val="sr-Latn-ME"/>
        </w:rPr>
        <w:t xml:space="preserve">ni adalimumabom postigli su statistički značajan ACR 20 i ACR 50 odgovor u poređenju sa placebom već jednu do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nakon započete terapije. </w:t>
      </w:r>
    </w:p>
    <w:p w14:paraId="2BB1B034" w14:textId="77777777" w:rsidR="007F33CD" w:rsidRPr="00F24057" w:rsidRDefault="007F33CD" w:rsidP="00D70B34">
      <w:pPr>
        <w:rPr>
          <w:szCs w:val="22"/>
          <w:lang w:val="sr-Latn-ME"/>
        </w:rPr>
      </w:pPr>
    </w:p>
    <w:p w14:paraId="0948E952" w14:textId="2B4F6ECD" w:rsidR="007F33CD" w:rsidRPr="00F24057" w:rsidRDefault="007F33CD" w:rsidP="00D70B34">
      <w:pPr>
        <w:rPr>
          <w:szCs w:val="22"/>
          <w:lang w:val="sr-Latn-ME"/>
        </w:rPr>
      </w:pPr>
      <w:r w:rsidRPr="00F24057">
        <w:rPr>
          <w:szCs w:val="22"/>
          <w:lang w:val="sr-Latn-ME"/>
        </w:rPr>
        <w:t xml:space="preserve">U RA studiji V sa pacijentima koji su imali reumatoidni artritis u ranoj fazi, a prethodno nisu primali metotreksat, kombinovana terapija adalimumaba i metotreksata dovela je do bržeg i značajno većeg ACR odgovora u </w:t>
      </w:r>
      <w:r w:rsidR="00885A78" w:rsidRPr="00F24057">
        <w:rPr>
          <w:szCs w:val="22"/>
          <w:lang w:val="sr-Latn-ME"/>
        </w:rPr>
        <w:t>nedjelj</w:t>
      </w:r>
      <w:r w:rsidRPr="00F24057">
        <w:rPr>
          <w:szCs w:val="22"/>
          <w:lang w:val="sr-Latn-ME"/>
        </w:rPr>
        <w:t xml:space="preserve">i 52, nego monoterapija metotreksatom i monoterapija adalimumabom, i odgovor se održao do 104. </w:t>
      </w:r>
      <w:r w:rsidR="00885A78" w:rsidRPr="00F24057">
        <w:rPr>
          <w:szCs w:val="22"/>
          <w:lang w:val="sr-Latn-ME"/>
        </w:rPr>
        <w:t>nedjelj</w:t>
      </w:r>
      <w:r w:rsidRPr="00F24057">
        <w:rPr>
          <w:szCs w:val="22"/>
          <w:lang w:val="sr-Latn-ME"/>
        </w:rPr>
        <w:t>e (</w:t>
      </w:r>
      <w:r w:rsidR="0030064A" w:rsidRPr="00F24057">
        <w:rPr>
          <w:szCs w:val="22"/>
          <w:lang w:val="sr-Latn-ME"/>
        </w:rPr>
        <w:t>vidjeti</w:t>
      </w:r>
      <w:r w:rsidRPr="00F24057">
        <w:rPr>
          <w:szCs w:val="22"/>
          <w:lang w:val="sr-Latn-ME"/>
        </w:rPr>
        <w:t xml:space="preserve"> Tabelu 9).</w:t>
      </w:r>
    </w:p>
    <w:p w14:paraId="5965D61F" w14:textId="32D44545" w:rsidR="007F33CD" w:rsidRPr="00F24057" w:rsidRDefault="007F33CD" w:rsidP="00D70B34">
      <w:pPr>
        <w:rPr>
          <w:szCs w:val="22"/>
          <w:lang w:val="sr-Latn-ME"/>
        </w:rPr>
      </w:pPr>
    </w:p>
    <w:p w14:paraId="14724907" w14:textId="454A6800" w:rsidR="007F33CD" w:rsidRPr="00F24057" w:rsidRDefault="007F33CD" w:rsidP="00D70B34">
      <w:pPr>
        <w:rPr>
          <w:b/>
          <w:bCs/>
          <w:szCs w:val="22"/>
          <w:lang w:val="sr-Latn-ME"/>
        </w:rPr>
      </w:pPr>
      <w:r w:rsidRPr="00F24057">
        <w:rPr>
          <w:b/>
          <w:bCs/>
          <w:szCs w:val="22"/>
          <w:lang w:val="sr-Latn-ME"/>
        </w:rPr>
        <w:t>Tabela 9</w:t>
      </w:r>
      <w:r w:rsidR="0078753D" w:rsidRPr="00F24057">
        <w:rPr>
          <w:b/>
          <w:bCs/>
          <w:szCs w:val="22"/>
          <w:lang w:val="sr-Latn-ME"/>
        </w:rPr>
        <w:t>.</w:t>
      </w:r>
      <w:r w:rsidRPr="00F24057">
        <w:rPr>
          <w:b/>
          <w:bCs/>
          <w:szCs w:val="22"/>
          <w:lang w:val="sr-Latn-ME"/>
        </w:rPr>
        <w:t xml:space="preserve"> ACR odgovori u studiji RA V (</w:t>
      </w:r>
      <w:r w:rsidR="00972894" w:rsidRPr="00F24057">
        <w:rPr>
          <w:b/>
          <w:bCs/>
          <w:szCs w:val="22"/>
          <w:lang w:val="sr-Latn-ME"/>
        </w:rPr>
        <w:t>procenat</w:t>
      </w:r>
      <w:r w:rsidRPr="00F24057">
        <w:rPr>
          <w:b/>
          <w:bCs/>
          <w:szCs w:val="22"/>
          <w:lang w:val="sr-Latn-ME"/>
        </w:rPr>
        <w:t xml:space="preserve"> pacijenata)</w:t>
      </w:r>
    </w:p>
    <w:p w14:paraId="33DB4383" w14:textId="7DB9CD55" w:rsidR="007F33CD" w:rsidRPr="00F24057" w:rsidRDefault="007F33CD"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280"/>
        <w:gridCol w:w="878"/>
        <w:gridCol w:w="1383"/>
        <w:gridCol w:w="1799"/>
        <w:gridCol w:w="1246"/>
        <w:gridCol w:w="1245"/>
        <w:gridCol w:w="1186"/>
      </w:tblGrid>
      <w:tr w:rsidR="007F33CD" w:rsidRPr="00F24057" w14:paraId="270EAF61" w14:textId="77777777" w:rsidTr="00512529">
        <w:trPr>
          <w:trHeight w:val="20"/>
        </w:trPr>
        <w:tc>
          <w:tcPr>
            <w:tcW w:w="713" w:type="pct"/>
            <w:vAlign w:val="center"/>
          </w:tcPr>
          <w:p w14:paraId="5EDBF2E0" w14:textId="1AB957C5" w:rsidR="007F33CD" w:rsidRPr="00F24057" w:rsidRDefault="007F33CD" w:rsidP="00D70B34">
            <w:pPr>
              <w:jc w:val="center"/>
              <w:rPr>
                <w:b/>
                <w:bCs/>
                <w:szCs w:val="22"/>
                <w:lang w:val="sr-Latn-ME"/>
              </w:rPr>
            </w:pPr>
            <w:r w:rsidRPr="00F24057">
              <w:rPr>
                <w:b/>
                <w:bCs/>
                <w:szCs w:val="22"/>
                <w:lang w:val="sr-Latn-ME"/>
              </w:rPr>
              <w:lastRenderedPageBreak/>
              <w:t>Odgovor</w:t>
            </w:r>
          </w:p>
        </w:tc>
        <w:tc>
          <w:tcPr>
            <w:tcW w:w="490" w:type="pct"/>
            <w:vAlign w:val="center"/>
          </w:tcPr>
          <w:p w14:paraId="28DD6136" w14:textId="5CA9F2A0" w:rsidR="005F572A" w:rsidRPr="00F24057" w:rsidRDefault="007F33CD" w:rsidP="00D70B34">
            <w:pPr>
              <w:jc w:val="center"/>
              <w:rPr>
                <w:b/>
                <w:bCs/>
                <w:szCs w:val="22"/>
                <w:lang w:val="sr-Latn-ME"/>
              </w:rPr>
            </w:pPr>
            <w:r w:rsidRPr="00F24057">
              <w:rPr>
                <w:b/>
                <w:bCs/>
                <w:szCs w:val="22"/>
                <w:lang w:val="sr-Latn-ME"/>
              </w:rPr>
              <w:t>MTX</w:t>
            </w:r>
          </w:p>
          <w:p w14:paraId="3701670C" w14:textId="2F24910D" w:rsidR="007F33CD" w:rsidRPr="00F24057" w:rsidRDefault="007F33CD" w:rsidP="00D70B34">
            <w:pPr>
              <w:jc w:val="center"/>
              <w:rPr>
                <w:b/>
                <w:bCs/>
                <w:szCs w:val="22"/>
                <w:lang w:val="sr-Latn-ME"/>
              </w:rPr>
            </w:pPr>
            <w:r w:rsidRPr="00F24057">
              <w:rPr>
                <w:b/>
                <w:bCs/>
                <w:szCs w:val="22"/>
                <w:lang w:val="sr-Latn-ME"/>
              </w:rPr>
              <w:t>n=257</w:t>
            </w:r>
          </w:p>
        </w:tc>
        <w:tc>
          <w:tcPr>
            <w:tcW w:w="770" w:type="pct"/>
            <w:vAlign w:val="center"/>
          </w:tcPr>
          <w:p w14:paraId="7183E078" w14:textId="7ECDDBA2" w:rsidR="005F572A" w:rsidRPr="00F24057" w:rsidRDefault="007F33CD" w:rsidP="00D70B34">
            <w:pPr>
              <w:jc w:val="center"/>
              <w:rPr>
                <w:b/>
                <w:bCs/>
                <w:szCs w:val="22"/>
                <w:lang w:val="sr-Latn-ME"/>
              </w:rPr>
            </w:pPr>
            <w:r w:rsidRPr="00F24057">
              <w:rPr>
                <w:b/>
                <w:bCs/>
                <w:szCs w:val="22"/>
                <w:lang w:val="sr-Latn-ME"/>
              </w:rPr>
              <w:t>adalimumab</w:t>
            </w:r>
          </w:p>
          <w:p w14:paraId="4BDB11DF" w14:textId="4FE72504" w:rsidR="007F33CD" w:rsidRPr="00F24057" w:rsidRDefault="007F33CD" w:rsidP="00D70B34">
            <w:pPr>
              <w:jc w:val="center"/>
              <w:rPr>
                <w:b/>
                <w:bCs/>
                <w:szCs w:val="22"/>
                <w:lang w:val="sr-Latn-ME"/>
              </w:rPr>
            </w:pPr>
            <w:r w:rsidRPr="00F24057">
              <w:rPr>
                <w:b/>
                <w:bCs/>
                <w:szCs w:val="22"/>
                <w:lang w:val="sr-Latn-ME"/>
              </w:rPr>
              <w:t>n = 274</w:t>
            </w:r>
          </w:p>
        </w:tc>
        <w:tc>
          <w:tcPr>
            <w:tcW w:w="1001" w:type="pct"/>
            <w:vAlign w:val="center"/>
          </w:tcPr>
          <w:p w14:paraId="28DC126A" w14:textId="77777777" w:rsidR="005F572A" w:rsidRPr="00F24057" w:rsidRDefault="007F33CD" w:rsidP="00D70B34">
            <w:pPr>
              <w:jc w:val="center"/>
              <w:rPr>
                <w:b/>
                <w:bCs/>
                <w:szCs w:val="22"/>
                <w:lang w:val="sr-Latn-ME"/>
              </w:rPr>
            </w:pPr>
            <w:r w:rsidRPr="00F24057">
              <w:rPr>
                <w:b/>
                <w:bCs/>
                <w:szCs w:val="22"/>
                <w:lang w:val="sr-Latn-ME"/>
              </w:rPr>
              <w:t>adalimumab/ MTX</w:t>
            </w:r>
          </w:p>
          <w:p w14:paraId="2E498209" w14:textId="3A6FCB31" w:rsidR="007F33CD" w:rsidRPr="00F24057" w:rsidRDefault="007F33CD" w:rsidP="00D70B34">
            <w:pPr>
              <w:jc w:val="center"/>
              <w:rPr>
                <w:b/>
                <w:bCs/>
                <w:szCs w:val="22"/>
                <w:lang w:val="sr-Latn-ME"/>
              </w:rPr>
            </w:pPr>
            <w:r w:rsidRPr="00F24057">
              <w:rPr>
                <w:b/>
                <w:bCs/>
                <w:szCs w:val="22"/>
                <w:lang w:val="sr-Latn-ME"/>
              </w:rPr>
              <w:t>n = 268</w:t>
            </w:r>
          </w:p>
        </w:tc>
        <w:tc>
          <w:tcPr>
            <w:tcW w:w="694" w:type="pct"/>
            <w:vAlign w:val="center"/>
          </w:tcPr>
          <w:p w14:paraId="550E6DEF" w14:textId="5A41A437" w:rsidR="007F33CD" w:rsidRPr="00F24057" w:rsidRDefault="005F572A" w:rsidP="00D70B34">
            <w:pPr>
              <w:jc w:val="center"/>
              <w:rPr>
                <w:b/>
                <w:bCs/>
                <w:szCs w:val="22"/>
                <w:lang w:val="sr-Latn-ME"/>
              </w:rPr>
            </w:pPr>
            <w:r w:rsidRPr="00F24057">
              <w:rPr>
                <w:b/>
                <w:bCs/>
                <w:szCs w:val="22"/>
                <w:lang w:val="sr-Latn-ME"/>
              </w:rPr>
              <w:t>p-</w:t>
            </w:r>
            <w:r w:rsidR="00972894" w:rsidRPr="00F24057">
              <w:rPr>
                <w:b/>
                <w:bCs/>
                <w:szCs w:val="22"/>
                <w:lang w:val="sr-Latn-ME"/>
              </w:rPr>
              <w:t>vrijedno</w:t>
            </w:r>
            <w:r w:rsidRPr="00F24057">
              <w:rPr>
                <w:b/>
                <w:bCs/>
                <w:szCs w:val="22"/>
                <w:lang w:val="sr-Latn-ME"/>
              </w:rPr>
              <w:t>st</w:t>
            </w:r>
            <w:r w:rsidRPr="00F24057">
              <w:rPr>
                <w:b/>
                <w:bCs/>
                <w:szCs w:val="22"/>
                <w:vertAlign w:val="superscript"/>
                <w:lang w:val="sr-Latn-ME"/>
              </w:rPr>
              <w:t>a</w:t>
            </w:r>
          </w:p>
        </w:tc>
        <w:tc>
          <w:tcPr>
            <w:tcW w:w="693" w:type="pct"/>
            <w:vAlign w:val="center"/>
          </w:tcPr>
          <w:p w14:paraId="259C3B6C" w14:textId="439B206D" w:rsidR="007F33CD" w:rsidRPr="00F24057" w:rsidRDefault="005F572A" w:rsidP="00D70B34">
            <w:pPr>
              <w:jc w:val="center"/>
              <w:rPr>
                <w:b/>
                <w:bCs/>
                <w:szCs w:val="22"/>
                <w:lang w:val="sr-Latn-ME"/>
              </w:rPr>
            </w:pPr>
            <w:r w:rsidRPr="00F24057">
              <w:rPr>
                <w:b/>
                <w:bCs/>
                <w:szCs w:val="22"/>
                <w:lang w:val="sr-Latn-ME"/>
              </w:rPr>
              <w:t>p-</w:t>
            </w:r>
            <w:r w:rsidR="00972894" w:rsidRPr="00F24057">
              <w:rPr>
                <w:b/>
                <w:bCs/>
                <w:szCs w:val="22"/>
                <w:lang w:val="sr-Latn-ME"/>
              </w:rPr>
              <w:t>vrijedno</w:t>
            </w:r>
            <w:r w:rsidRPr="00F24057">
              <w:rPr>
                <w:b/>
                <w:bCs/>
                <w:szCs w:val="22"/>
                <w:lang w:val="sr-Latn-ME"/>
              </w:rPr>
              <w:t>st</w:t>
            </w:r>
            <w:r w:rsidRPr="00F24057">
              <w:rPr>
                <w:b/>
                <w:bCs/>
                <w:szCs w:val="22"/>
                <w:vertAlign w:val="superscript"/>
                <w:lang w:val="sr-Latn-ME"/>
              </w:rPr>
              <w:t>b</w:t>
            </w:r>
          </w:p>
        </w:tc>
        <w:tc>
          <w:tcPr>
            <w:tcW w:w="638" w:type="pct"/>
            <w:vAlign w:val="center"/>
          </w:tcPr>
          <w:p w14:paraId="75A070A7" w14:textId="44885416" w:rsidR="007F33CD" w:rsidRPr="00F24057" w:rsidRDefault="005F572A" w:rsidP="00D70B34">
            <w:pPr>
              <w:jc w:val="center"/>
              <w:rPr>
                <w:b/>
                <w:bCs/>
                <w:szCs w:val="22"/>
                <w:lang w:val="sr-Latn-ME"/>
              </w:rPr>
            </w:pPr>
            <w:r w:rsidRPr="00F24057">
              <w:rPr>
                <w:b/>
                <w:bCs/>
                <w:szCs w:val="22"/>
                <w:lang w:val="sr-Latn-ME"/>
              </w:rPr>
              <w:t>p-</w:t>
            </w:r>
            <w:r w:rsidR="00972894" w:rsidRPr="00F24057">
              <w:rPr>
                <w:b/>
                <w:bCs/>
                <w:szCs w:val="22"/>
                <w:lang w:val="sr-Latn-ME"/>
              </w:rPr>
              <w:t>vrijedno</w:t>
            </w:r>
            <w:r w:rsidRPr="00F24057">
              <w:rPr>
                <w:b/>
                <w:bCs/>
                <w:szCs w:val="22"/>
                <w:lang w:val="sr-Latn-ME"/>
              </w:rPr>
              <w:t>st</w:t>
            </w:r>
            <w:r w:rsidRPr="00F24057">
              <w:rPr>
                <w:b/>
                <w:bCs/>
                <w:szCs w:val="22"/>
                <w:vertAlign w:val="superscript"/>
                <w:lang w:val="sr-Latn-ME"/>
              </w:rPr>
              <w:t>c</w:t>
            </w:r>
          </w:p>
        </w:tc>
      </w:tr>
      <w:tr w:rsidR="005F572A" w:rsidRPr="00F24057" w14:paraId="54B15D9F" w14:textId="77777777" w:rsidTr="00F1226A">
        <w:trPr>
          <w:trHeight w:val="20"/>
        </w:trPr>
        <w:tc>
          <w:tcPr>
            <w:tcW w:w="713" w:type="pct"/>
            <w:tcBorders>
              <w:right w:val="single" w:sz="4" w:space="0" w:color="FFFFFF" w:themeColor="background1"/>
            </w:tcBorders>
            <w:vAlign w:val="center"/>
          </w:tcPr>
          <w:p w14:paraId="796AE7B0" w14:textId="44963804" w:rsidR="005F572A" w:rsidRPr="00F24057" w:rsidRDefault="005F572A" w:rsidP="00D70B34">
            <w:pPr>
              <w:rPr>
                <w:szCs w:val="22"/>
                <w:lang w:val="sr-Latn-ME"/>
              </w:rPr>
            </w:pPr>
            <w:r w:rsidRPr="00F24057">
              <w:rPr>
                <w:szCs w:val="22"/>
                <w:lang w:val="sr-Latn-ME"/>
              </w:rPr>
              <w:t>ACR 20</w:t>
            </w:r>
          </w:p>
        </w:tc>
        <w:tc>
          <w:tcPr>
            <w:tcW w:w="4287" w:type="pct"/>
            <w:gridSpan w:val="6"/>
            <w:tcBorders>
              <w:left w:val="single" w:sz="4" w:space="0" w:color="FFFFFF" w:themeColor="background1"/>
            </w:tcBorders>
            <w:vAlign w:val="center"/>
          </w:tcPr>
          <w:p w14:paraId="754AE147" w14:textId="77777777" w:rsidR="005F572A" w:rsidRPr="00F24057" w:rsidRDefault="005F572A" w:rsidP="00D70B34">
            <w:pPr>
              <w:jc w:val="center"/>
              <w:rPr>
                <w:szCs w:val="22"/>
                <w:lang w:val="sr-Latn-ME"/>
              </w:rPr>
            </w:pPr>
          </w:p>
        </w:tc>
      </w:tr>
      <w:tr w:rsidR="007F33CD" w:rsidRPr="00F24057" w14:paraId="42E1E1BD" w14:textId="77777777" w:rsidTr="00512529">
        <w:trPr>
          <w:trHeight w:val="20"/>
        </w:trPr>
        <w:tc>
          <w:tcPr>
            <w:tcW w:w="713" w:type="pct"/>
            <w:vAlign w:val="center"/>
          </w:tcPr>
          <w:p w14:paraId="33618E47" w14:textId="28B09C4C" w:rsidR="007F33CD" w:rsidRPr="00F24057" w:rsidRDefault="00885A78" w:rsidP="00D70B34">
            <w:pPr>
              <w:jc w:val="right"/>
              <w:rPr>
                <w:szCs w:val="22"/>
                <w:lang w:val="sr-Latn-ME"/>
              </w:rPr>
            </w:pPr>
            <w:r w:rsidRPr="00F24057">
              <w:rPr>
                <w:szCs w:val="22"/>
                <w:lang w:val="sr-Latn-ME"/>
              </w:rPr>
              <w:t>nedjelj</w:t>
            </w:r>
            <w:r w:rsidR="005F572A" w:rsidRPr="00F24057">
              <w:rPr>
                <w:szCs w:val="22"/>
                <w:lang w:val="sr-Latn-ME"/>
              </w:rPr>
              <w:t>a 52</w:t>
            </w:r>
          </w:p>
        </w:tc>
        <w:tc>
          <w:tcPr>
            <w:tcW w:w="490" w:type="pct"/>
            <w:vAlign w:val="center"/>
          </w:tcPr>
          <w:p w14:paraId="409C1AC0" w14:textId="730008C4" w:rsidR="007F33CD" w:rsidRPr="00F24057" w:rsidRDefault="005F572A" w:rsidP="00D70B34">
            <w:pPr>
              <w:jc w:val="center"/>
              <w:rPr>
                <w:szCs w:val="22"/>
                <w:lang w:val="sr-Latn-ME"/>
              </w:rPr>
            </w:pPr>
            <w:r w:rsidRPr="00F24057">
              <w:rPr>
                <w:szCs w:val="22"/>
                <w:lang w:val="sr-Latn-ME"/>
              </w:rPr>
              <w:t>62,6%</w:t>
            </w:r>
          </w:p>
        </w:tc>
        <w:tc>
          <w:tcPr>
            <w:tcW w:w="770" w:type="pct"/>
            <w:vAlign w:val="center"/>
          </w:tcPr>
          <w:p w14:paraId="3FBB133D" w14:textId="3C73AE1F" w:rsidR="007F33CD" w:rsidRPr="00F24057" w:rsidRDefault="005F572A" w:rsidP="00D70B34">
            <w:pPr>
              <w:jc w:val="center"/>
              <w:rPr>
                <w:szCs w:val="22"/>
                <w:lang w:val="sr-Latn-ME"/>
              </w:rPr>
            </w:pPr>
            <w:r w:rsidRPr="00F24057">
              <w:rPr>
                <w:szCs w:val="22"/>
                <w:lang w:val="sr-Latn-ME"/>
              </w:rPr>
              <w:t>54,4%</w:t>
            </w:r>
          </w:p>
        </w:tc>
        <w:tc>
          <w:tcPr>
            <w:tcW w:w="1001" w:type="pct"/>
            <w:vAlign w:val="center"/>
          </w:tcPr>
          <w:p w14:paraId="06DDDCB0" w14:textId="71A7C222" w:rsidR="007F33CD" w:rsidRPr="00F24057" w:rsidRDefault="005F572A" w:rsidP="00D70B34">
            <w:pPr>
              <w:jc w:val="center"/>
              <w:rPr>
                <w:szCs w:val="22"/>
                <w:lang w:val="sr-Latn-ME"/>
              </w:rPr>
            </w:pPr>
            <w:r w:rsidRPr="00F24057">
              <w:rPr>
                <w:szCs w:val="22"/>
                <w:lang w:val="sr-Latn-ME"/>
              </w:rPr>
              <w:t>72,8%</w:t>
            </w:r>
          </w:p>
        </w:tc>
        <w:tc>
          <w:tcPr>
            <w:tcW w:w="694" w:type="pct"/>
            <w:vAlign w:val="center"/>
          </w:tcPr>
          <w:p w14:paraId="0867F108" w14:textId="12AC0B38" w:rsidR="007F33CD" w:rsidRPr="00F24057" w:rsidRDefault="005F572A" w:rsidP="00D70B34">
            <w:pPr>
              <w:jc w:val="center"/>
              <w:rPr>
                <w:szCs w:val="22"/>
                <w:lang w:val="sr-Latn-ME"/>
              </w:rPr>
            </w:pPr>
            <w:r w:rsidRPr="00F24057">
              <w:rPr>
                <w:szCs w:val="22"/>
                <w:lang w:val="sr-Latn-ME"/>
              </w:rPr>
              <w:t>0,013</w:t>
            </w:r>
          </w:p>
        </w:tc>
        <w:tc>
          <w:tcPr>
            <w:tcW w:w="693" w:type="pct"/>
            <w:vAlign w:val="center"/>
          </w:tcPr>
          <w:p w14:paraId="16967003" w14:textId="78B06294" w:rsidR="007F33CD" w:rsidRPr="00F24057" w:rsidRDefault="005F572A" w:rsidP="00D70B34">
            <w:pPr>
              <w:jc w:val="center"/>
              <w:rPr>
                <w:szCs w:val="22"/>
                <w:lang w:val="sr-Latn-ME"/>
              </w:rPr>
            </w:pPr>
            <w:r w:rsidRPr="00F24057">
              <w:rPr>
                <w:szCs w:val="22"/>
                <w:lang w:val="sr-Latn-ME"/>
              </w:rPr>
              <w:t>&lt;0,001</w:t>
            </w:r>
          </w:p>
        </w:tc>
        <w:tc>
          <w:tcPr>
            <w:tcW w:w="638" w:type="pct"/>
            <w:vAlign w:val="center"/>
          </w:tcPr>
          <w:p w14:paraId="2453EE18" w14:textId="1B74E851" w:rsidR="007F33CD" w:rsidRPr="00F24057" w:rsidRDefault="005F572A" w:rsidP="00D70B34">
            <w:pPr>
              <w:jc w:val="center"/>
              <w:rPr>
                <w:szCs w:val="22"/>
                <w:lang w:val="sr-Latn-ME"/>
              </w:rPr>
            </w:pPr>
            <w:r w:rsidRPr="00F24057">
              <w:rPr>
                <w:szCs w:val="22"/>
                <w:lang w:val="sr-Latn-ME"/>
              </w:rPr>
              <w:t>0,043</w:t>
            </w:r>
          </w:p>
        </w:tc>
      </w:tr>
      <w:tr w:rsidR="007F33CD" w:rsidRPr="00F24057" w14:paraId="2CD48492" w14:textId="77777777" w:rsidTr="00512529">
        <w:trPr>
          <w:trHeight w:val="20"/>
        </w:trPr>
        <w:tc>
          <w:tcPr>
            <w:tcW w:w="713" w:type="pct"/>
            <w:vAlign w:val="center"/>
          </w:tcPr>
          <w:p w14:paraId="6E9DF363" w14:textId="438EEC72" w:rsidR="007F33CD" w:rsidRPr="00F24057" w:rsidRDefault="00885A78" w:rsidP="00D70B34">
            <w:pPr>
              <w:jc w:val="right"/>
              <w:rPr>
                <w:szCs w:val="22"/>
                <w:lang w:val="sr-Latn-ME"/>
              </w:rPr>
            </w:pPr>
            <w:r w:rsidRPr="00F24057">
              <w:rPr>
                <w:szCs w:val="22"/>
                <w:lang w:val="sr-Latn-ME"/>
              </w:rPr>
              <w:t>nedjelj</w:t>
            </w:r>
            <w:r w:rsidR="005F572A" w:rsidRPr="00F24057">
              <w:rPr>
                <w:szCs w:val="22"/>
                <w:lang w:val="sr-Latn-ME"/>
              </w:rPr>
              <w:t>a 104</w:t>
            </w:r>
          </w:p>
        </w:tc>
        <w:tc>
          <w:tcPr>
            <w:tcW w:w="490" w:type="pct"/>
            <w:vAlign w:val="center"/>
          </w:tcPr>
          <w:p w14:paraId="3C8F141A" w14:textId="1F8549EC" w:rsidR="007F33CD" w:rsidRPr="00F24057" w:rsidRDefault="005F572A" w:rsidP="00D70B34">
            <w:pPr>
              <w:jc w:val="center"/>
              <w:rPr>
                <w:szCs w:val="22"/>
                <w:lang w:val="sr-Latn-ME"/>
              </w:rPr>
            </w:pPr>
            <w:r w:rsidRPr="00F24057">
              <w:rPr>
                <w:szCs w:val="22"/>
                <w:lang w:val="sr-Latn-ME"/>
              </w:rPr>
              <w:t>56,0%</w:t>
            </w:r>
          </w:p>
        </w:tc>
        <w:tc>
          <w:tcPr>
            <w:tcW w:w="770" w:type="pct"/>
            <w:vAlign w:val="center"/>
          </w:tcPr>
          <w:p w14:paraId="5802FC17" w14:textId="6A59A75C" w:rsidR="007F33CD" w:rsidRPr="00F24057" w:rsidRDefault="005F572A" w:rsidP="00D70B34">
            <w:pPr>
              <w:jc w:val="center"/>
              <w:rPr>
                <w:szCs w:val="22"/>
                <w:lang w:val="sr-Latn-ME"/>
              </w:rPr>
            </w:pPr>
            <w:r w:rsidRPr="00F24057">
              <w:rPr>
                <w:szCs w:val="22"/>
                <w:lang w:val="sr-Latn-ME"/>
              </w:rPr>
              <w:t>49,3%</w:t>
            </w:r>
          </w:p>
        </w:tc>
        <w:tc>
          <w:tcPr>
            <w:tcW w:w="1001" w:type="pct"/>
            <w:vAlign w:val="center"/>
          </w:tcPr>
          <w:p w14:paraId="058DE59C" w14:textId="131CA842" w:rsidR="007F33CD" w:rsidRPr="00F24057" w:rsidRDefault="005F572A" w:rsidP="00D70B34">
            <w:pPr>
              <w:jc w:val="center"/>
              <w:rPr>
                <w:szCs w:val="22"/>
                <w:lang w:val="sr-Latn-ME"/>
              </w:rPr>
            </w:pPr>
            <w:r w:rsidRPr="00F24057">
              <w:rPr>
                <w:szCs w:val="22"/>
                <w:lang w:val="sr-Latn-ME"/>
              </w:rPr>
              <w:t>69,4%</w:t>
            </w:r>
          </w:p>
        </w:tc>
        <w:tc>
          <w:tcPr>
            <w:tcW w:w="694" w:type="pct"/>
            <w:vAlign w:val="center"/>
          </w:tcPr>
          <w:p w14:paraId="2FAE50B0" w14:textId="595D1516" w:rsidR="007F33CD" w:rsidRPr="00F24057" w:rsidRDefault="005F572A" w:rsidP="00D70B34">
            <w:pPr>
              <w:jc w:val="center"/>
              <w:rPr>
                <w:szCs w:val="22"/>
                <w:lang w:val="sr-Latn-ME"/>
              </w:rPr>
            </w:pPr>
            <w:r w:rsidRPr="00F24057">
              <w:rPr>
                <w:szCs w:val="22"/>
                <w:lang w:val="sr-Latn-ME"/>
              </w:rPr>
              <w:t>0,002</w:t>
            </w:r>
          </w:p>
        </w:tc>
        <w:tc>
          <w:tcPr>
            <w:tcW w:w="693" w:type="pct"/>
            <w:vAlign w:val="center"/>
          </w:tcPr>
          <w:p w14:paraId="4D5A408F" w14:textId="21C2CA5E" w:rsidR="007F33CD" w:rsidRPr="00F24057" w:rsidRDefault="005F572A" w:rsidP="00D70B34">
            <w:pPr>
              <w:jc w:val="center"/>
              <w:rPr>
                <w:szCs w:val="22"/>
                <w:lang w:val="sr-Latn-ME"/>
              </w:rPr>
            </w:pPr>
            <w:r w:rsidRPr="00F24057">
              <w:rPr>
                <w:szCs w:val="22"/>
                <w:lang w:val="sr-Latn-ME"/>
              </w:rPr>
              <w:t>&lt;0,001</w:t>
            </w:r>
          </w:p>
        </w:tc>
        <w:tc>
          <w:tcPr>
            <w:tcW w:w="638" w:type="pct"/>
            <w:vAlign w:val="center"/>
          </w:tcPr>
          <w:p w14:paraId="1A6B98E0" w14:textId="71A59775" w:rsidR="007F33CD" w:rsidRPr="00F24057" w:rsidRDefault="005F572A" w:rsidP="00D70B34">
            <w:pPr>
              <w:jc w:val="center"/>
              <w:rPr>
                <w:szCs w:val="22"/>
                <w:lang w:val="sr-Latn-ME"/>
              </w:rPr>
            </w:pPr>
            <w:r w:rsidRPr="00F24057">
              <w:rPr>
                <w:szCs w:val="22"/>
                <w:lang w:val="sr-Latn-ME"/>
              </w:rPr>
              <w:t>0,140</w:t>
            </w:r>
          </w:p>
        </w:tc>
      </w:tr>
      <w:tr w:rsidR="005F572A" w:rsidRPr="00F24057" w14:paraId="042FAEB5" w14:textId="77777777" w:rsidTr="00F1226A">
        <w:trPr>
          <w:trHeight w:val="20"/>
        </w:trPr>
        <w:tc>
          <w:tcPr>
            <w:tcW w:w="713" w:type="pct"/>
            <w:tcBorders>
              <w:right w:val="single" w:sz="4" w:space="0" w:color="FFFFFF" w:themeColor="background1"/>
            </w:tcBorders>
            <w:vAlign w:val="center"/>
          </w:tcPr>
          <w:p w14:paraId="6FEE9B8B" w14:textId="2286CF0E" w:rsidR="005F572A" w:rsidRPr="00F24057" w:rsidRDefault="005F572A" w:rsidP="00D70B34">
            <w:pPr>
              <w:rPr>
                <w:szCs w:val="22"/>
                <w:lang w:val="sr-Latn-ME"/>
              </w:rPr>
            </w:pPr>
            <w:r w:rsidRPr="00F24057">
              <w:rPr>
                <w:szCs w:val="22"/>
                <w:lang w:val="sr-Latn-ME"/>
              </w:rPr>
              <w:t>ACR 50</w:t>
            </w:r>
          </w:p>
        </w:tc>
        <w:tc>
          <w:tcPr>
            <w:tcW w:w="4287" w:type="pct"/>
            <w:gridSpan w:val="6"/>
            <w:tcBorders>
              <w:left w:val="single" w:sz="4" w:space="0" w:color="FFFFFF" w:themeColor="background1"/>
            </w:tcBorders>
            <w:vAlign w:val="center"/>
          </w:tcPr>
          <w:p w14:paraId="2434445F" w14:textId="77777777" w:rsidR="005F572A" w:rsidRPr="00F24057" w:rsidRDefault="005F572A" w:rsidP="00D70B34">
            <w:pPr>
              <w:jc w:val="center"/>
              <w:rPr>
                <w:szCs w:val="22"/>
                <w:lang w:val="sr-Latn-ME"/>
              </w:rPr>
            </w:pPr>
          </w:p>
        </w:tc>
      </w:tr>
      <w:tr w:rsidR="007F33CD" w:rsidRPr="00F24057" w14:paraId="390726A3" w14:textId="77777777" w:rsidTr="00512529">
        <w:trPr>
          <w:trHeight w:val="20"/>
        </w:trPr>
        <w:tc>
          <w:tcPr>
            <w:tcW w:w="713" w:type="pct"/>
            <w:vAlign w:val="center"/>
          </w:tcPr>
          <w:p w14:paraId="344E0017" w14:textId="0779AA18" w:rsidR="007F33CD" w:rsidRPr="00F24057" w:rsidRDefault="00885A78" w:rsidP="00D70B34">
            <w:pPr>
              <w:jc w:val="right"/>
              <w:rPr>
                <w:szCs w:val="22"/>
                <w:lang w:val="sr-Latn-ME"/>
              </w:rPr>
            </w:pPr>
            <w:r w:rsidRPr="00F24057">
              <w:rPr>
                <w:szCs w:val="22"/>
                <w:lang w:val="sr-Latn-ME"/>
              </w:rPr>
              <w:t>nedjelj</w:t>
            </w:r>
            <w:r w:rsidR="005F572A" w:rsidRPr="00F24057">
              <w:rPr>
                <w:szCs w:val="22"/>
                <w:lang w:val="sr-Latn-ME"/>
              </w:rPr>
              <w:t>a 52</w:t>
            </w:r>
          </w:p>
        </w:tc>
        <w:tc>
          <w:tcPr>
            <w:tcW w:w="490" w:type="pct"/>
            <w:vAlign w:val="center"/>
          </w:tcPr>
          <w:p w14:paraId="2F663DE2" w14:textId="0052508B" w:rsidR="007F33CD" w:rsidRPr="00F24057" w:rsidRDefault="005F572A" w:rsidP="00D70B34">
            <w:pPr>
              <w:jc w:val="center"/>
              <w:rPr>
                <w:szCs w:val="22"/>
                <w:lang w:val="sr-Latn-ME"/>
              </w:rPr>
            </w:pPr>
            <w:r w:rsidRPr="00F24057">
              <w:rPr>
                <w:szCs w:val="22"/>
                <w:lang w:val="sr-Latn-ME"/>
              </w:rPr>
              <w:t>45,9%</w:t>
            </w:r>
          </w:p>
        </w:tc>
        <w:tc>
          <w:tcPr>
            <w:tcW w:w="770" w:type="pct"/>
            <w:vAlign w:val="center"/>
          </w:tcPr>
          <w:p w14:paraId="0060E48B" w14:textId="740D0AF2" w:rsidR="007F33CD" w:rsidRPr="00F24057" w:rsidRDefault="005F572A" w:rsidP="00D70B34">
            <w:pPr>
              <w:jc w:val="center"/>
              <w:rPr>
                <w:szCs w:val="22"/>
                <w:lang w:val="sr-Latn-ME"/>
              </w:rPr>
            </w:pPr>
            <w:r w:rsidRPr="00F24057">
              <w:rPr>
                <w:szCs w:val="22"/>
                <w:lang w:val="sr-Latn-ME"/>
              </w:rPr>
              <w:t>41,2%</w:t>
            </w:r>
          </w:p>
        </w:tc>
        <w:tc>
          <w:tcPr>
            <w:tcW w:w="1001" w:type="pct"/>
            <w:vAlign w:val="center"/>
          </w:tcPr>
          <w:p w14:paraId="202C4904" w14:textId="0A7EBE83" w:rsidR="007F33CD" w:rsidRPr="00F24057" w:rsidRDefault="005F572A" w:rsidP="00D70B34">
            <w:pPr>
              <w:jc w:val="center"/>
              <w:rPr>
                <w:szCs w:val="22"/>
                <w:lang w:val="sr-Latn-ME"/>
              </w:rPr>
            </w:pPr>
            <w:r w:rsidRPr="00F24057">
              <w:rPr>
                <w:szCs w:val="22"/>
                <w:lang w:val="sr-Latn-ME"/>
              </w:rPr>
              <w:t>61,6%</w:t>
            </w:r>
          </w:p>
        </w:tc>
        <w:tc>
          <w:tcPr>
            <w:tcW w:w="694" w:type="pct"/>
            <w:vAlign w:val="center"/>
          </w:tcPr>
          <w:p w14:paraId="5DF9F1D9" w14:textId="6E201C29" w:rsidR="007F33CD" w:rsidRPr="00F24057" w:rsidRDefault="005F572A" w:rsidP="00D70B34">
            <w:pPr>
              <w:jc w:val="center"/>
              <w:rPr>
                <w:szCs w:val="22"/>
                <w:lang w:val="sr-Latn-ME"/>
              </w:rPr>
            </w:pPr>
            <w:r w:rsidRPr="00F24057">
              <w:rPr>
                <w:szCs w:val="22"/>
                <w:lang w:val="sr-Latn-ME"/>
              </w:rPr>
              <w:t>&lt;0,001</w:t>
            </w:r>
          </w:p>
        </w:tc>
        <w:tc>
          <w:tcPr>
            <w:tcW w:w="693" w:type="pct"/>
            <w:vAlign w:val="center"/>
          </w:tcPr>
          <w:p w14:paraId="58C0006D" w14:textId="2AB6A880" w:rsidR="007F33CD" w:rsidRPr="00F24057" w:rsidRDefault="005F572A" w:rsidP="00D70B34">
            <w:pPr>
              <w:jc w:val="center"/>
              <w:rPr>
                <w:szCs w:val="22"/>
                <w:lang w:val="sr-Latn-ME"/>
              </w:rPr>
            </w:pPr>
            <w:r w:rsidRPr="00F24057">
              <w:rPr>
                <w:szCs w:val="22"/>
                <w:lang w:val="sr-Latn-ME"/>
              </w:rPr>
              <w:t>&lt;0,001</w:t>
            </w:r>
          </w:p>
        </w:tc>
        <w:tc>
          <w:tcPr>
            <w:tcW w:w="638" w:type="pct"/>
            <w:vAlign w:val="center"/>
          </w:tcPr>
          <w:p w14:paraId="58DD3355" w14:textId="738292CC" w:rsidR="007F33CD" w:rsidRPr="00F24057" w:rsidRDefault="005F572A" w:rsidP="00D70B34">
            <w:pPr>
              <w:jc w:val="center"/>
              <w:rPr>
                <w:szCs w:val="22"/>
                <w:lang w:val="sr-Latn-ME"/>
              </w:rPr>
            </w:pPr>
            <w:r w:rsidRPr="00F24057">
              <w:rPr>
                <w:szCs w:val="22"/>
                <w:lang w:val="sr-Latn-ME"/>
              </w:rPr>
              <w:t>0,317</w:t>
            </w:r>
          </w:p>
        </w:tc>
      </w:tr>
      <w:tr w:rsidR="005F572A" w:rsidRPr="00F24057" w14:paraId="13859283" w14:textId="77777777" w:rsidTr="00512529">
        <w:trPr>
          <w:trHeight w:val="20"/>
        </w:trPr>
        <w:tc>
          <w:tcPr>
            <w:tcW w:w="713" w:type="pct"/>
            <w:vAlign w:val="center"/>
          </w:tcPr>
          <w:p w14:paraId="00631230" w14:textId="62CC0046" w:rsidR="005F572A" w:rsidRPr="00F24057" w:rsidRDefault="00885A78" w:rsidP="00D70B34">
            <w:pPr>
              <w:jc w:val="right"/>
              <w:rPr>
                <w:szCs w:val="22"/>
                <w:lang w:val="sr-Latn-ME"/>
              </w:rPr>
            </w:pPr>
            <w:r w:rsidRPr="00F24057">
              <w:rPr>
                <w:szCs w:val="22"/>
                <w:lang w:val="sr-Latn-ME"/>
              </w:rPr>
              <w:t>nedjelj</w:t>
            </w:r>
            <w:r w:rsidR="005F572A" w:rsidRPr="00F24057">
              <w:rPr>
                <w:szCs w:val="22"/>
                <w:lang w:val="sr-Latn-ME"/>
              </w:rPr>
              <w:t>a 104</w:t>
            </w:r>
          </w:p>
        </w:tc>
        <w:tc>
          <w:tcPr>
            <w:tcW w:w="490" w:type="pct"/>
            <w:vAlign w:val="center"/>
          </w:tcPr>
          <w:p w14:paraId="73BD7A39" w14:textId="0C0D2D9C" w:rsidR="005F572A" w:rsidRPr="00F24057" w:rsidRDefault="005F572A" w:rsidP="00D70B34">
            <w:pPr>
              <w:jc w:val="center"/>
              <w:rPr>
                <w:szCs w:val="22"/>
                <w:lang w:val="sr-Latn-ME"/>
              </w:rPr>
            </w:pPr>
            <w:r w:rsidRPr="00F24057">
              <w:rPr>
                <w:szCs w:val="22"/>
                <w:lang w:val="sr-Latn-ME"/>
              </w:rPr>
              <w:t>42,8%</w:t>
            </w:r>
          </w:p>
        </w:tc>
        <w:tc>
          <w:tcPr>
            <w:tcW w:w="770" w:type="pct"/>
            <w:vAlign w:val="center"/>
          </w:tcPr>
          <w:p w14:paraId="4706E527" w14:textId="7F28BDBE" w:rsidR="005F572A" w:rsidRPr="00F24057" w:rsidRDefault="005F572A" w:rsidP="00D70B34">
            <w:pPr>
              <w:jc w:val="center"/>
              <w:rPr>
                <w:szCs w:val="22"/>
                <w:lang w:val="sr-Latn-ME"/>
              </w:rPr>
            </w:pPr>
            <w:r w:rsidRPr="00F24057">
              <w:rPr>
                <w:szCs w:val="22"/>
                <w:lang w:val="sr-Latn-ME"/>
              </w:rPr>
              <w:t>36,9%</w:t>
            </w:r>
          </w:p>
        </w:tc>
        <w:tc>
          <w:tcPr>
            <w:tcW w:w="1001" w:type="pct"/>
            <w:vAlign w:val="center"/>
          </w:tcPr>
          <w:p w14:paraId="6E91E88D" w14:textId="49D2B62E" w:rsidR="005F572A" w:rsidRPr="00F24057" w:rsidRDefault="005F572A" w:rsidP="00D70B34">
            <w:pPr>
              <w:jc w:val="center"/>
              <w:rPr>
                <w:szCs w:val="22"/>
                <w:lang w:val="sr-Latn-ME"/>
              </w:rPr>
            </w:pPr>
            <w:r w:rsidRPr="00F24057">
              <w:rPr>
                <w:szCs w:val="22"/>
                <w:lang w:val="sr-Latn-ME"/>
              </w:rPr>
              <w:t>5</w:t>
            </w:r>
            <w:r w:rsidR="00A10113" w:rsidRPr="00F24057">
              <w:rPr>
                <w:szCs w:val="22"/>
                <w:lang w:val="sr-Latn-ME"/>
              </w:rPr>
              <w:t>9</w:t>
            </w:r>
            <w:r w:rsidRPr="00F24057">
              <w:rPr>
                <w:szCs w:val="22"/>
                <w:lang w:val="sr-Latn-ME"/>
              </w:rPr>
              <w:t>,0%</w:t>
            </w:r>
          </w:p>
        </w:tc>
        <w:tc>
          <w:tcPr>
            <w:tcW w:w="694" w:type="pct"/>
            <w:vAlign w:val="center"/>
          </w:tcPr>
          <w:p w14:paraId="6E934BD3" w14:textId="60E54183" w:rsidR="005F572A" w:rsidRPr="00F24057" w:rsidRDefault="005F572A" w:rsidP="00D70B34">
            <w:pPr>
              <w:jc w:val="center"/>
              <w:rPr>
                <w:szCs w:val="22"/>
                <w:lang w:val="sr-Latn-ME"/>
              </w:rPr>
            </w:pPr>
            <w:r w:rsidRPr="00F24057">
              <w:rPr>
                <w:szCs w:val="22"/>
                <w:lang w:val="sr-Latn-ME"/>
              </w:rPr>
              <w:t>&lt;0,001</w:t>
            </w:r>
          </w:p>
        </w:tc>
        <w:tc>
          <w:tcPr>
            <w:tcW w:w="693" w:type="pct"/>
            <w:vAlign w:val="center"/>
          </w:tcPr>
          <w:p w14:paraId="23D0DF5B" w14:textId="3C6AF404" w:rsidR="005F572A" w:rsidRPr="00F24057" w:rsidRDefault="005F572A" w:rsidP="00D70B34">
            <w:pPr>
              <w:jc w:val="center"/>
              <w:rPr>
                <w:szCs w:val="22"/>
                <w:lang w:val="sr-Latn-ME"/>
              </w:rPr>
            </w:pPr>
            <w:r w:rsidRPr="00F24057">
              <w:rPr>
                <w:szCs w:val="22"/>
                <w:lang w:val="sr-Latn-ME"/>
              </w:rPr>
              <w:t>&lt;0,001</w:t>
            </w:r>
          </w:p>
        </w:tc>
        <w:tc>
          <w:tcPr>
            <w:tcW w:w="638" w:type="pct"/>
            <w:vAlign w:val="center"/>
          </w:tcPr>
          <w:p w14:paraId="1F1569B9" w14:textId="0F6181A1" w:rsidR="005F572A" w:rsidRPr="00F24057" w:rsidRDefault="005F572A" w:rsidP="00D70B34">
            <w:pPr>
              <w:jc w:val="center"/>
              <w:rPr>
                <w:szCs w:val="22"/>
                <w:lang w:val="sr-Latn-ME"/>
              </w:rPr>
            </w:pPr>
            <w:r w:rsidRPr="00F24057">
              <w:rPr>
                <w:szCs w:val="22"/>
                <w:lang w:val="sr-Latn-ME"/>
              </w:rPr>
              <w:t>0,162</w:t>
            </w:r>
          </w:p>
        </w:tc>
      </w:tr>
      <w:tr w:rsidR="005F572A" w:rsidRPr="00F24057" w14:paraId="2B07D0D9" w14:textId="77777777" w:rsidTr="00F1226A">
        <w:trPr>
          <w:trHeight w:val="20"/>
        </w:trPr>
        <w:tc>
          <w:tcPr>
            <w:tcW w:w="713" w:type="pct"/>
            <w:tcBorders>
              <w:right w:val="single" w:sz="4" w:space="0" w:color="FFFFFF" w:themeColor="background1"/>
            </w:tcBorders>
            <w:vAlign w:val="center"/>
          </w:tcPr>
          <w:p w14:paraId="6261FE20" w14:textId="3924DE91" w:rsidR="005F572A" w:rsidRPr="00F24057" w:rsidRDefault="005F572A" w:rsidP="00D70B34">
            <w:pPr>
              <w:rPr>
                <w:szCs w:val="22"/>
                <w:lang w:val="sr-Latn-ME"/>
              </w:rPr>
            </w:pPr>
            <w:r w:rsidRPr="00F24057">
              <w:rPr>
                <w:szCs w:val="22"/>
                <w:lang w:val="sr-Latn-ME"/>
              </w:rPr>
              <w:t>ACR 70</w:t>
            </w:r>
          </w:p>
        </w:tc>
        <w:tc>
          <w:tcPr>
            <w:tcW w:w="4287" w:type="pct"/>
            <w:gridSpan w:val="6"/>
            <w:tcBorders>
              <w:left w:val="single" w:sz="4" w:space="0" w:color="FFFFFF" w:themeColor="background1"/>
            </w:tcBorders>
            <w:vAlign w:val="center"/>
          </w:tcPr>
          <w:p w14:paraId="71FDA74B" w14:textId="77777777" w:rsidR="005F572A" w:rsidRPr="00F24057" w:rsidRDefault="005F572A" w:rsidP="00D70B34">
            <w:pPr>
              <w:jc w:val="center"/>
              <w:rPr>
                <w:szCs w:val="22"/>
                <w:lang w:val="sr-Latn-ME"/>
              </w:rPr>
            </w:pPr>
          </w:p>
        </w:tc>
      </w:tr>
      <w:tr w:rsidR="007F33CD" w:rsidRPr="00F24057" w14:paraId="737211CC" w14:textId="77777777" w:rsidTr="00512529">
        <w:trPr>
          <w:trHeight w:val="20"/>
        </w:trPr>
        <w:tc>
          <w:tcPr>
            <w:tcW w:w="713" w:type="pct"/>
            <w:vAlign w:val="center"/>
          </w:tcPr>
          <w:p w14:paraId="65E3DE2F" w14:textId="19C70B4C" w:rsidR="007F33CD" w:rsidRPr="00F24057" w:rsidRDefault="00885A78" w:rsidP="00D70B34">
            <w:pPr>
              <w:jc w:val="right"/>
              <w:rPr>
                <w:szCs w:val="22"/>
                <w:lang w:val="sr-Latn-ME"/>
              </w:rPr>
            </w:pPr>
            <w:r w:rsidRPr="00F24057">
              <w:rPr>
                <w:szCs w:val="22"/>
                <w:lang w:val="sr-Latn-ME"/>
              </w:rPr>
              <w:t>nedjelj</w:t>
            </w:r>
            <w:r w:rsidR="005F572A" w:rsidRPr="00F24057">
              <w:rPr>
                <w:szCs w:val="22"/>
                <w:lang w:val="sr-Latn-ME"/>
              </w:rPr>
              <w:t>a 52</w:t>
            </w:r>
          </w:p>
        </w:tc>
        <w:tc>
          <w:tcPr>
            <w:tcW w:w="490" w:type="pct"/>
            <w:vAlign w:val="center"/>
          </w:tcPr>
          <w:p w14:paraId="71CFAA9B" w14:textId="2C8580A6" w:rsidR="007F33CD" w:rsidRPr="00F24057" w:rsidRDefault="005F572A" w:rsidP="00D70B34">
            <w:pPr>
              <w:jc w:val="center"/>
              <w:rPr>
                <w:szCs w:val="22"/>
                <w:lang w:val="sr-Latn-ME"/>
              </w:rPr>
            </w:pPr>
            <w:r w:rsidRPr="00F24057">
              <w:rPr>
                <w:szCs w:val="22"/>
                <w:lang w:val="sr-Latn-ME"/>
              </w:rPr>
              <w:t>27,2%</w:t>
            </w:r>
          </w:p>
        </w:tc>
        <w:tc>
          <w:tcPr>
            <w:tcW w:w="770" w:type="pct"/>
            <w:vAlign w:val="center"/>
          </w:tcPr>
          <w:p w14:paraId="46D0EDFA" w14:textId="1EFD0A63" w:rsidR="007F33CD" w:rsidRPr="00F24057" w:rsidRDefault="005F572A" w:rsidP="00D70B34">
            <w:pPr>
              <w:jc w:val="center"/>
              <w:rPr>
                <w:szCs w:val="22"/>
                <w:lang w:val="sr-Latn-ME"/>
              </w:rPr>
            </w:pPr>
            <w:r w:rsidRPr="00F24057">
              <w:rPr>
                <w:szCs w:val="22"/>
                <w:lang w:val="sr-Latn-ME"/>
              </w:rPr>
              <w:t>25,9%</w:t>
            </w:r>
          </w:p>
        </w:tc>
        <w:tc>
          <w:tcPr>
            <w:tcW w:w="1001" w:type="pct"/>
            <w:vAlign w:val="center"/>
          </w:tcPr>
          <w:p w14:paraId="5846586D" w14:textId="1FF74197" w:rsidR="007F33CD" w:rsidRPr="00F24057" w:rsidRDefault="005F572A" w:rsidP="00D70B34">
            <w:pPr>
              <w:jc w:val="center"/>
              <w:rPr>
                <w:szCs w:val="22"/>
                <w:lang w:val="sr-Latn-ME"/>
              </w:rPr>
            </w:pPr>
            <w:r w:rsidRPr="00F24057">
              <w:rPr>
                <w:szCs w:val="22"/>
                <w:lang w:val="sr-Latn-ME"/>
              </w:rPr>
              <w:t>45,5%</w:t>
            </w:r>
          </w:p>
        </w:tc>
        <w:tc>
          <w:tcPr>
            <w:tcW w:w="694" w:type="pct"/>
            <w:vAlign w:val="center"/>
          </w:tcPr>
          <w:p w14:paraId="1DBB27D0" w14:textId="5D9F941F" w:rsidR="007F33CD" w:rsidRPr="00F24057" w:rsidRDefault="005F572A" w:rsidP="00D70B34">
            <w:pPr>
              <w:jc w:val="center"/>
              <w:rPr>
                <w:szCs w:val="22"/>
                <w:lang w:val="sr-Latn-ME"/>
              </w:rPr>
            </w:pPr>
            <w:r w:rsidRPr="00F24057">
              <w:rPr>
                <w:szCs w:val="22"/>
                <w:lang w:val="sr-Latn-ME"/>
              </w:rPr>
              <w:t>&lt;0,001</w:t>
            </w:r>
          </w:p>
        </w:tc>
        <w:tc>
          <w:tcPr>
            <w:tcW w:w="693" w:type="pct"/>
            <w:vAlign w:val="center"/>
          </w:tcPr>
          <w:p w14:paraId="2FF324B7" w14:textId="12DE66DC" w:rsidR="007F33CD" w:rsidRPr="00F24057" w:rsidRDefault="005F572A" w:rsidP="00D70B34">
            <w:pPr>
              <w:jc w:val="center"/>
              <w:rPr>
                <w:szCs w:val="22"/>
                <w:lang w:val="sr-Latn-ME"/>
              </w:rPr>
            </w:pPr>
            <w:r w:rsidRPr="00F24057">
              <w:rPr>
                <w:szCs w:val="22"/>
                <w:lang w:val="sr-Latn-ME"/>
              </w:rPr>
              <w:t>&lt;0,001</w:t>
            </w:r>
          </w:p>
        </w:tc>
        <w:tc>
          <w:tcPr>
            <w:tcW w:w="638" w:type="pct"/>
            <w:vAlign w:val="center"/>
          </w:tcPr>
          <w:p w14:paraId="1DD44544" w14:textId="46B8D0A7" w:rsidR="007F33CD" w:rsidRPr="00F24057" w:rsidRDefault="005F572A" w:rsidP="00D70B34">
            <w:pPr>
              <w:jc w:val="center"/>
              <w:rPr>
                <w:szCs w:val="22"/>
                <w:lang w:val="sr-Latn-ME"/>
              </w:rPr>
            </w:pPr>
            <w:r w:rsidRPr="00F24057">
              <w:rPr>
                <w:szCs w:val="22"/>
                <w:lang w:val="sr-Latn-ME"/>
              </w:rPr>
              <w:t>0,656</w:t>
            </w:r>
          </w:p>
        </w:tc>
      </w:tr>
      <w:tr w:rsidR="007F33CD" w:rsidRPr="00F24057" w14:paraId="452FD25F" w14:textId="77777777" w:rsidTr="00512529">
        <w:trPr>
          <w:trHeight w:val="20"/>
        </w:trPr>
        <w:tc>
          <w:tcPr>
            <w:tcW w:w="713" w:type="pct"/>
            <w:vAlign w:val="center"/>
          </w:tcPr>
          <w:p w14:paraId="2838C767" w14:textId="6F920E45" w:rsidR="007F33CD" w:rsidRPr="00F24057" w:rsidRDefault="00885A78" w:rsidP="00D70B34">
            <w:pPr>
              <w:jc w:val="right"/>
              <w:rPr>
                <w:szCs w:val="22"/>
                <w:lang w:val="sr-Latn-ME"/>
              </w:rPr>
            </w:pPr>
            <w:r w:rsidRPr="00F24057">
              <w:rPr>
                <w:szCs w:val="22"/>
                <w:lang w:val="sr-Latn-ME"/>
              </w:rPr>
              <w:t>nedjelj</w:t>
            </w:r>
            <w:r w:rsidR="005F572A" w:rsidRPr="00F24057">
              <w:rPr>
                <w:szCs w:val="22"/>
                <w:lang w:val="sr-Latn-ME"/>
              </w:rPr>
              <w:t>a 104</w:t>
            </w:r>
          </w:p>
        </w:tc>
        <w:tc>
          <w:tcPr>
            <w:tcW w:w="490" w:type="pct"/>
            <w:vAlign w:val="center"/>
          </w:tcPr>
          <w:p w14:paraId="25467CE2" w14:textId="7DA949F6" w:rsidR="007F33CD" w:rsidRPr="00F24057" w:rsidRDefault="005F572A" w:rsidP="00D70B34">
            <w:pPr>
              <w:jc w:val="center"/>
              <w:rPr>
                <w:szCs w:val="22"/>
                <w:lang w:val="sr-Latn-ME"/>
              </w:rPr>
            </w:pPr>
            <w:r w:rsidRPr="00F24057">
              <w:rPr>
                <w:szCs w:val="22"/>
                <w:lang w:val="sr-Latn-ME"/>
              </w:rPr>
              <w:t>28,4%</w:t>
            </w:r>
          </w:p>
        </w:tc>
        <w:tc>
          <w:tcPr>
            <w:tcW w:w="770" w:type="pct"/>
            <w:vAlign w:val="center"/>
          </w:tcPr>
          <w:p w14:paraId="1C31A200" w14:textId="52A42BBA" w:rsidR="007F33CD" w:rsidRPr="00F24057" w:rsidRDefault="005F572A" w:rsidP="00D70B34">
            <w:pPr>
              <w:jc w:val="center"/>
              <w:rPr>
                <w:szCs w:val="22"/>
                <w:lang w:val="sr-Latn-ME"/>
              </w:rPr>
            </w:pPr>
            <w:r w:rsidRPr="00F24057">
              <w:rPr>
                <w:szCs w:val="22"/>
                <w:lang w:val="sr-Latn-ME"/>
              </w:rPr>
              <w:t>28,1%</w:t>
            </w:r>
          </w:p>
        </w:tc>
        <w:tc>
          <w:tcPr>
            <w:tcW w:w="1001" w:type="pct"/>
            <w:vAlign w:val="center"/>
          </w:tcPr>
          <w:p w14:paraId="3720A0CF" w14:textId="10F49837" w:rsidR="007F33CD" w:rsidRPr="00F24057" w:rsidRDefault="005F572A" w:rsidP="00D70B34">
            <w:pPr>
              <w:jc w:val="center"/>
              <w:rPr>
                <w:szCs w:val="22"/>
                <w:lang w:val="sr-Latn-ME"/>
              </w:rPr>
            </w:pPr>
            <w:r w:rsidRPr="00F24057">
              <w:rPr>
                <w:szCs w:val="22"/>
                <w:lang w:val="sr-Latn-ME"/>
              </w:rPr>
              <w:t>46,6%</w:t>
            </w:r>
          </w:p>
        </w:tc>
        <w:tc>
          <w:tcPr>
            <w:tcW w:w="694" w:type="pct"/>
            <w:vAlign w:val="center"/>
          </w:tcPr>
          <w:p w14:paraId="79C5F19F" w14:textId="4E025BAD" w:rsidR="007F33CD" w:rsidRPr="00F24057" w:rsidRDefault="005F572A" w:rsidP="00D70B34">
            <w:pPr>
              <w:jc w:val="center"/>
              <w:rPr>
                <w:szCs w:val="22"/>
                <w:lang w:val="sr-Latn-ME"/>
              </w:rPr>
            </w:pPr>
            <w:r w:rsidRPr="00F24057">
              <w:rPr>
                <w:szCs w:val="22"/>
                <w:lang w:val="sr-Latn-ME"/>
              </w:rPr>
              <w:t>&lt;0,001</w:t>
            </w:r>
          </w:p>
        </w:tc>
        <w:tc>
          <w:tcPr>
            <w:tcW w:w="693" w:type="pct"/>
            <w:vAlign w:val="center"/>
          </w:tcPr>
          <w:p w14:paraId="39D36B74" w14:textId="791CB6D9" w:rsidR="007F33CD" w:rsidRPr="00F24057" w:rsidRDefault="005F572A" w:rsidP="00D70B34">
            <w:pPr>
              <w:jc w:val="center"/>
              <w:rPr>
                <w:szCs w:val="22"/>
                <w:lang w:val="sr-Latn-ME"/>
              </w:rPr>
            </w:pPr>
            <w:r w:rsidRPr="00F24057">
              <w:rPr>
                <w:szCs w:val="22"/>
                <w:lang w:val="sr-Latn-ME"/>
              </w:rPr>
              <w:t>&lt;0,001</w:t>
            </w:r>
          </w:p>
        </w:tc>
        <w:tc>
          <w:tcPr>
            <w:tcW w:w="638" w:type="pct"/>
            <w:vAlign w:val="center"/>
          </w:tcPr>
          <w:p w14:paraId="7ECE235E" w14:textId="463E937B" w:rsidR="007F33CD" w:rsidRPr="00F24057" w:rsidRDefault="005F572A" w:rsidP="003A23FC">
            <w:pPr>
              <w:jc w:val="center"/>
              <w:rPr>
                <w:szCs w:val="22"/>
                <w:lang w:val="sr-Latn-ME"/>
              </w:rPr>
            </w:pPr>
            <w:r w:rsidRPr="00F24057">
              <w:rPr>
                <w:szCs w:val="22"/>
                <w:lang w:val="sr-Latn-ME"/>
              </w:rPr>
              <w:t>0,</w:t>
            </w:r>
            <w:r w:rsidR="003A23FC" w:rsidRPr="00F24057">
              <w:rPr>
                <w:szCs w:val="22"/>
                <w:lang w:val="sr-Latn-ME"/>
              </w:rPr>
              <w:t>864</w:t>
            </w:r>
          </w:p>
        </w:tc>
      </w:tr>
    </w:tbl>
    <w:p w14:paraId="2E8F7D16" w14:textId="74237E3E" w:rsidR="00A10113" w:rsidRPr="00F24057" w:rsidRDefault="00A10113" w:rsidP="00D70B34">
      <w:pPr>
        <w:rPr>
          <w:szCs w:val="22"/>
          <w:lang w:val="sr-Latn-ME"/>
        </w:rPr>
      </w:pPr>
      <w:r w:rsidRPr="00F24057">
        <w:rPr>
          <w:szCs w:val="22"/>
          <w:vertAlign w:val="superscript"/>
          <w:lang w:val="sr-Latn-ME"/>
        </w:rPr>
        <w:t>a</w:t>
      </w:r>
      <w:r w:rsidRPr="00F24057">
        <w:rPr>
          <w:szCs w:val="22"/>
          <w:lang w:val="sr-Latn-ME"/>
        </w:rPr>
        <w:t xml:space="preserve"> p-</w:t>
      </w:r>
      <w:r w:rsidR="00972894" w:rsidRPr="00F24057">
        <w:rPr>
          <w:szCs w:val="22"/>
          <w:lang w:val="sr-Latn-ME"/>
        </w:rPr>
        <w:t>vrijedno</w:t>
      </w:r>
      <w:r w:rsidRPr="00F24057">
        <w:rPr>
          <w:szCs w:val="22"/>
          <w:lang w:val="sr-Latn-ME"/>
        </w:rPr>
        <w:t xml:space="preserve">st je iz uporednog poređenja monoterapije metotreksatom i kombinovane terapije adalimumab/metotreksat </w:t>
      </w:r>
      <w:r w:rsidR="00664642" w:rsidRPr="00F24057">
        <w:rPr>
          <w:szCs w:val="22"/>
          <w:lang w:val="sr-Latn-ME"/>
        </w:rPr>
        <w:t xml:space="preserve">upotrebom </w:t>
      </w:r>
      <w:r w:rsidRPr="00F24057">
        <w:rPr>
          <w:i/>
          <w:iCs/>
          <w:szCs w:val="22"/>
          <w:lang w:val="sr-Latn-ME"/>
        </w:rPr>
        <w:t>Mann-Whitney</w:t>
      </w:r>
      <w:r w:rsidRPr="00F24057">
        <w:rPr>
          <w:szCs w:val="22"/>
          <w:lang w:val="sr-Latn-ME"/>
        </w:rPr>
        <w:t xml:space="preserve"> U testa. </w:t>
      </w:r>
    </w:p>
    <w:p w14:paraId="125E4263" w14:textId="23B7A8A2" w:rsidR="00A10113" w:rsidRPr="00F24057" w:rsidRDefault="00A10113" w:rsidP="00D70B34">
      <w:pPr>
        <w:rPr>
          <w:szCs w:val="22"/>
          <w:lang w:val="sr-Latn-ME"/>
        </w:rPr>
      </w:pPr>
      <w:r w:rsidRPr="00F24057">
        <w:rPr>
          <w:szCs w:val="22"/>
          <w:vertAlign w:val="superscript"/>
          <w:lang w:val="sr-Latn-ME"/>
        </w:rPr>
        <w:t>b</w:t>
      </w:r>
      <w:r w:rsidRPr="00F24057">
        <w:rPr>
          <w:szCs w:val="22"/>
          <w:lang w:val="sr-Latn-ME"/>
        </w:rPr>
        <w:t xml:space="preserve"> p-</w:t>
      </w:r>
      <w:r w:rsidR="00972894" w:rsidRPr="00F24057">
        <w:rPr>
          <w:szCs w:val="22"/>
          <w:lang w:val="sr-Latn-ME"/>
        </w:rPr>
        <w:t>vrijedno</w:t>
      </w:r>
      <w:r w:rsidRPr="00F24057">
        <w:rPr>
          <w:szCs w:val="22"/>
          <w:lang w:val="sr-Latn-ME"/>
        </w:rPr>
        <w:t>st je iz uporednog poređenja monoterapije adalimumabom i kombinovane terapije adalimumab/metotreksat</w:t>
      </w:r>
      <w:r w:rsidR="00664642" w:rsidRPr="00F24057">
        <w:rPr>
          <w:szCs w:val="22"/>
          <w:lang w:val="sr-Latn-ME"/>
        </w:rPr>
        <w:t xml:space="preserve"> upotrebom </w:t>
      </w:r>
      <w:r w:rsidRPr="00F24057">
        <w:rPr>
          <w:i/>
          <w:iCs/>
          <w:szCs w:val="22"/>
          <w:lang w:val="sr-Latn-ME"/>
        </w:rPr>
        <w:t>Mann-Whitney</w:t>
      </w:r>
      <w:r w:rsidRPr="00F24057">
        <w:rPr>
          <w:szCs w:val="22"/>
          <w:lang w:val="sr-Latn-ME"/>
        </w:rPr>
        <w:t xml:space="preserve"> U testa. </w:t>
      </w:r>
    </w:p>
    <w:p w14:paraId="791F679B" w14:textId="739F0B7B" w:rsidR="007F33CD" w:rsidRPr="00F24057" w:rsidRDefault="00A10113" w:rsidP="00D70B34">
      <w:pPr>
        <w:rPr>
          <w:szCs w:val="22"/>
          <w:lang w:val="sr-Latn-ME"/>
        </w:rPr>
      </w:pPr>
      <w:r w:rsidRPr="00F24057">
        <w:rPr>
          <w:szCs w:val="22"/>
          <w:vertAlign w:val="superscript"/>
          <w:lang w:val="sr-Latn-ME"/>
        </w:rPr>
        <w:t>c</w:t>
      </w:r>
      <w:r w:rsidRPr="00F24057">
        <w:rPr>
          <w:szCs w:val="22"/>
          <w:lang w:val="sr-Latn-ME"/>
        </w:rPr>
        <w:t xml:space="preserve"> p-</w:t>
      </w:r>
      <w:r w:rsidR="00972894" w:rsidRPr="00F24057">
        <w:rPr>
          <w:szCs w:val="22"/>
          <w:lang w:val="sr-Latn-ME"/>
        </w:rPr>
        <w:t>vrijedno</w:t>
      </w:r>
      <w:r w:rsidRPr="00F24057">
        <w:rPr>
          <w:szCs w:val="22"/>
          <w:lang w:val="sr-Latn-ME"/>
        </w:rPr>
        <w:t>st je iz uporednog poređenja monoterapije adalimumabom i monoterapije metotreksatom</w:t>
      </w:r>
      <w:r w:rsidR="00932839" w:rsidRPr="00F24057">
        <w:rPr>
          <w:szCs w:val="22"/>
          <w:lang w:val="sr-Latn-ME"/>
        </w:rPr>
        <w:t xml:space="preserve"> upotrebom</w:t>
      </w:r>
      <w:r w:rsidRPr="00F24057">
        <w:rPr>
          <w:szCs w:val="22"/>
          <w:lang w:val="sr-Latn-ME"/>
        </w:rPr>
        <w:t xml:space="preserve"> </w:t>
      </w:r>
      <w:r w:rsidRPr="00F24057">
        <w:rPr>
          <w:i/>
          <w:iCs/>
          <w:szCs w:val="22"/>
          <w:lang w:val="sr-Latn-ME"/>
        </w:rPr>
        <w:t>Mann-Whitney</w:t>
      </w:r>
      <w:r w:rsidRPr="00F24057">
        <w:rPr>
          <w:szCs w:val="22"/>
          <w:lang w:val="sr-Latn-ME"/>
        </w:rPr>
        <w:t xml:space="preserve"> U testa.</w:t>
      </w:r>
    </w:p>
    <w:p w14:paraId="77C0F98B" w14:textId="41324188" w:rsidR="007F33CD" w:rsidRPr="00F24057" w:rsidRDefault="007F33CD" w:rsidP="00D70B34">
      <w:pPr>
        <w:rPr>
          <w:szCs w:val="22"/>
          <w:lang w:val="sr-Latn-ME"/>
        </w:rPr>
      </w:pPr>
    </w:p>
    <w:p w14:paraId="3B4CBC74" w14:textId="23274B89" w:rsidR="00A10113" w:rsidRPr="00F24057" w:rsidRDefault="00A10113" w:rsidP="00D70B34">
      <w:pPr>
        <w:rPr>
          <w:szCs w:val="22"/>
          <w:lang w:val="sr-Latn-ME"/>
        </w:rPr>
      </w:pPr>
      <w:r w:rsidRPr="00F24057">
        <w:rPr>
          <w:szCs w:val="22"/>
          <w:lang w:val="sr-Latn-ME"/>
        </w:rPr>
        <w:t xml:space="preserve">U otvorenom produžetku RA studije V, stope ACR odgovora održale su se tokom praćenja u trajanju do 10 godina. Od 542 pacijenta randomizovana za primanje adalimumaba u dozi od 40 mg svake druge </w:t>
      </w:r>
      <w:r w:rsidR="00885A78" w:rsidRPr="00F24057">
        <w:rPr>
          <w:szCs w:val="22"/>
          <w:lang w:val="sr-Latn-ME"/>
        </w:rPr>
        <w:t>nedjelj</w:t>
      </w:r>
      <w:r w:rsidRPr="00F24057">
        <w:rPr>
          <w:szCs w:val="22"/>
          <w:lang w:val="sr-Latn-ME"/>
        </w:rPr>
        <w:t xml:space="preserve">e, njih 170 je nastavilo </w:t>
      </w:r>
      <w:r w:rsidR="0030064A" w:rsidRPr="00F24057">
        <w:rPr>
          <w:szCs w:val="22"/>
          <w:lang w:val="sr-Latn-ME"/>
        </w:rPr>
        <w:t>liječenje</w:t>
      </w:r>
      <w:r w:rsidRPr="00F24057">
        <w:rPr>
          <w:szCs w:val="22"/>
          <w:lang w:val="sr-Latn-ME"/>
        </w:rPr>
        <w:t xml:space="preserve"> adalimumabom u dozi od 40 mg svake druge </w:t>
      </w:r>
      <w:r w:rsidR="00885A78" w:rsidRPr="00F24057">
        <w:rPr>
          <w:szCs w:val="22"/>
          <w:lang w:val="sr-Latn-ME"/>
        </w:rPr>
        <w:t>nedjelj</w:t>
      </w:r>
      <w:r w:rsidRPr="00F24057">
        <w:rPr>
          <w:szCs w:val="22"/>
          <w:lang w:val="sr-Latn-ME"/>
        </w:rPr>
        <w:t xml:space="preserve">e tokom 10 godina. Među njima, 154 pacijenata (90,6%) je imalo odgovor ACR 20, 127 pacijenata (74,7%) je imalo odgovor ACR 50, a 102 pacijenta (60,0%) je imalo odgovor ACR 70. </w:t>
      </w:r>
    </w:p>
    <w:p w14:paraId="69EA91A6" w14:textId="77777777" w:rsidR="00A10113" w:rsidRPr="00F24057" w:rsidRDefault="00A10113" w:rsidP="00D70B34">
      <w:pPr>
        <w:rPr>
          <w:szCs w:val="22"/>
          <w:lang w:val="sr-Latn-ME"/>
        </w:rPr>
      </w:pPr>
    </w:p>
    <w:p w14:paraId="4008D7F2" w14:textId="11E21D92" w:rsidR="007F33CD" w:rsidRPr="00F24057" w:rsidRDefault="00A10113" w:rsidP="00D70B34">
      <w:pPr>
        <w:rPr>
          <w:szCs w:val="22"/>
          <w:lang w:val="sr-Latn-ME"/>
        </w:rPr>
      </w:pPr>
      <w:r w:rsidRPr="00F24057">
        <w:rPr>
          <w:szCs w:val="22"/>
          <w:lang w:val="sr-Latn-ME"/>
        </w:rPr>
        <w:t xml:space="preserve">Nakon 52. </w:t>
      </w:r>
      <w:r w:rsidR="00885A78" w:rsidRPr="00F24057">
        <w:rPr>
          <w:szCs w:val="22"/>
          <w:lang w:val="sr-Latn-ME"/>
        </w:rPr>
        <w:t>nedjelj</w:t>
      </w:r>
      <w:r w:rsidRPr="00F24057">
        <w:rPr>
          <w:szCs w:val="22"/>
          <w:lang w:val="sr-Latn-ME"/>
        </w:rPr>
        <w:t>e, 42,9% pacijenata koji su primali adalimumab/metotreksat kombinovanu terapiju postiglo je kliničku remisiju (DAS28 (CRP) &lt; 2,6) u poređenju sa 20,6% pacijenata koji su primali monoterapiju metotreksatom i 23,4% pacijenata koji su primali monoterapiju adalimumabom. Adalimumab</w:t>
      </w:r>
      <w:r w:rsidR="0029647E" w:rsidRPr="00F24057">
        <w:rPr>
          <w:szCs w:val="22"/>
          <w:lang w:val="sr-Latn-ME"/>
        </w:rPr>
        <w:t>/</w:t>
      </w:r>
      <w:r w:rsidRPr="00F24057">
        <w:rPr>
          <w:szCs w:val="22"/>
          <w:lang w:val="sr-Latn-ME"/>
        </w:rPr>
        <w:t>metotreksat kombinovana terapija je bila klinički i statistički superiornija u odnosu na metotreksat (p</w:t>
      </w:r>
      <w:r w:rsidRPr="00F24057">
        <w:rPr>
          <w:szCs w:val="22"/>
          <w:lang w:val="sr-Latn-ME"/>
        </w:rPr>
        <w:sym w:font="Symbol" w:char="F03C"/>
      </w:r>
      <w:r w:rsidRPr="00F24057">
        <w:rPr>
          <w:szCs w:val="22"/>
          <w:lang w:val="sr-Latn-ME"/>
        </w:rPr>
        <w:t>0,001) i monoterapiju adalimumabom (p</w:t>
      </w:r>
      <w:r w:rsidRPr="00F24057">
        <w:rPr>
          <w:szCs w:val="22"/>
          <w:lang w:val="sr-Latn-ME"/>
        </w:rPr>
        <w:sym w:font="Symbol" w:char="F03C"/>
      </w:r>
      <w:r w:rsidRPr="00F24057">
        <w:rPr>
          <w:szCs w:val="22"/>
          <w:lang w:val="sr-Latn-ME"/>
        </w:rPr>
        <w:t>0,001) u postizanju niske aktivnosti bolesti kod pacijenata sa nedavno dijagnostikovanim u</w:t>
      </w:r>
      <w:r w:rsidR="0030064A" w:rsidRPr="00F24057">
        <w:rPr>
          <w:szCs w:val="22"/>
          <w:lang w:val="sr-Latn-ME"/>
        </w:rPr>
        <w:t>mjeren</w:t>
      </w:r>
      <w:r w:rsidRPr="00F24057">
        <w:rPr>
          <w:szCs w:val="22"/>
          <w:lang w:val="sr-Latn-ME"/>
        </w:rPr>
        <w:t xml:space="preserve">im do teškim reumatoidnim artritisom. Ovaj odgovor je u </w:t>
      </w:r>
      <w:r w:rsidR="00671751" w:rsidRPr="00F24057">
        <w:rPr>
          <w:szCs w:val="22"/>
          <w:lang w:val="sr-Latn-ME"/>
        </w:rPr>
        <w:t>obije</w:t>
      </w:r>
      <w:r w:rsidRPr="00F24057">
        <w:rPr>
          <w:szCs w:val="22"/>
          <w:lang w:val="sr-Latn-ME"/>
        </w:rPr>
        <w:t xml:space="preserve"> grupe pacijenata koje su primale monoterapiju bio sličan (p=0,447). Od 342 ispitanika, inicijalno randomizovanih za monoterapiju adalimumabom ili za </w:t>
      </w:r>
      <w:r w:rsidR="0030064A" w:rsidRPr="00F24057">
        <w:rPr>
          <w:szCs w:val="22"/>
          <w:lang w:val="sr-Latn-ME"/>
        </w:rPr>
        <w:t>liječenje</w:t>
      </w:r>
      <w:r w:rsidRPr="00F24057">
        <w:rPr>
          <w:szCs w:val="22"/>
          <w:lang w:val="sr-Latn-ME"/>
        </w:rPr>
        <w:t xml:space="preserve"> kombinacijom adalimumaba i metotreksata, koji su ušli u otvoreni produžetak studije, njih 171 je završilo desetogodišnje </w:t>
      </w:r>
      <w:r w:rsidR="0030064A" w:rsidRPr="00F24057">
        <w:rPr>
          <w:szCs w:val="22"/>
          <w:lang w:val="sr-Latn-ME"/>
        </w:rPr>
        <w:t>liječenje</w:t>
      </w:r>
      <w:r w:rsidRPr="00F24057">
        <w:rPr>
          <w:szCs w:val="22"/>
          <w:lang w:val="sr-Latn-ME"/>
        </w:rPr>
        <w:t xml:space="preserve"> adalimumabom. Među njima, kod 109 ispitanika (63,7%) stopa kliničke remisije je zadržana tokom 10 godina.</w:t>
      </w:r>
    </w:p>
    <w:p w14:paraId="7D5431C6" w14:textId="22066C06" w:rsidR="007F33CD" w:rsidRPr="00F24057" w:rsidRDefault="007F33CD" w:rsidP="00D70B34">
      <w:pPr>
        <w:rPr>
          <w:szCs w:val="22"/>
          <w:lang w:val="sr-Latn-ME"/>
        </w:rPr>
      </w:pPr>
    </w:p>
    <w:p w14:paraId="321E9BAC" w14:textId="77777777" w:rsidR="00A10113" w:rsidRPr="00F24057" w:rsidRDefault="00A10113" w:rsidP="00D70B34">
      <w:pPr>
        <w:rPr>
          <w:i/>
          <w:iCs/>
          <w:szCs w:val="22"/>
          <w:u w:val="single"/>
          <w:lang w:val="sr-Latn-ME"/>
        </w:rPr>
      </w:pPr>
      <w:r w:rsidRPr="00F24057">
        <w:rPr>
          <w:i/>
          <w:iCs/>
          <w:szCs w:val="22"/>
          <w:u w:val="single"/>
          <w:lang w:val="sr-Latn-ME"/>
        </w:rPr>
        <w:t xml:space="preserve">Radiografski odgovor </w:t>
      </w:r>
    </w:p>
    <w:p w14:paraId="19E76F31" w14:textId="69959366" w:rsidR="00A10113" w:rsidRPr="00F24057" w:rsidRDefault="00A10113" w:rsidP="00D70B34">
      <w:pPr>
        <w:rPr>
          <w:szCs w:val="22"/>
          <w:lang w:val="sr-Latn-ME"/>
        </w:rPr>
      </w:pPr>
      <w:r w:rsidRPr="00F24057">
        <w:rPr>
          <w:szCs w:val="22"/>
          <w:lang w:val="sr-Latn-ME"/>
        </w:rPr>
        <w:t xml:space="preserve">U RA studiji III, u kojoj su pacijenti koji su primali adalimumab bili sa </w:t>
      </w:r>
      <w:r w:rsidR="00972894" w:rsidRPr="00F24057">
        <w:rPr>
          <w:szCs w:val="22"/>
          <w:lang w:val="sr-Latn-ME"/>
        </w:rPr>
        <w:t>prosje</w:t>
      </w:r>
      <w:r w:rsidRPr="00F24057">
        <w:rPr>
          <w:szCs w:val="22"/>
          <w:lang w:val="sr-Latn-ME"/>
        </w:rPr>
        <w:t xml:space="preserve">čnim trajanjem reumatoidnog artritisa od približno 11 godina, strukturna oštećenja zglobova su </w:t>
      </w:r>
      <w:r w:rsidR="00897E85" w:rsidRPr="00F24057">
        <w:rPr>
          <w:szCs w:val="22"/>
          <w:lang w:val="sr-Latn-ME"/>
        </w:rPr>
        <w:t>procijenjen</w:t>
      </w:r>
      <w:r w:rsidRPr="00F24057">
        <w:rPr>
          <w:szCs w:val="22"/>
          <w:lang w:val="sr-Latn-ME"/>
        </w:rPr>
        <w:t xml:space="preserve">a radiografski i izražena kao </w:t>
      </w:r>
      <w:r w:rsidR="004F2520" w:rsidRPr="00F24057">
        <w:rPr>
          <w:szCs w:val="22"/>
          <w:lang w:val="sr-Latn-ME"/>
        </w:rPr>
        <w:t>promjen</w:t>
      </w:r>
      <w:r w:rsidRPr="00F24057">
        <w:rPr>
          <w:szCs w:val="22"/>
          <w:lang w:val="sr-Latn-ME"/>
        </w:rPr>
        <w:t xml:space="preserve">a u modifikovanom ukupnom </w:t>
      </w:r>
      <w:r w:rsidRPr="00F24057">
        <w:rPr>
          <w:i/>
          <w:iCs/>
          <w:szCs w:val="22"/>
          <w:lang w:val="sr-Latn-ME"/>
        </w:rPr>
        <w:t>Sharp</w:t>
      </w:r>
      <w:r w:rsidRPr="00F24057">
        <w:rPr>
          <w:szCs w:val="22"/>
          <w:lang w:val="sr-Latn-ME"/>
        </w:rPr>
        <w:t xml:space="preserve"> skoru (engl. </w:t>
      </w:r>
      <w:r w:rsidRPr="00F24057">
        <w:rPr>
          <w:i/>
          <w:iCs/>
          <w:szCs w:val="22"/>
          <w:lang w:val="sr-Latn-ME"/>
        </w:rPr>
        <w:t>Total Sharp Score</w:t>
      </w:r>
      <w:r w:rsidRPr="00F24057">
        <w:rPr>
          <w:szCs w:val="22"/>
          <w:lang w:val="sr-Latn-ME"/>
        </w:rPr>
        <w:t xml:space="preserve"> - TSS) i njegovim komponentama, skoru erozija i skoru suženja zglobnog prostora. Pacijenti koji su primali adalimumab/metotreksat pokazali su značajno manju radiografsku progresiju nego pacijenti koji su primali samo metotreksat tokom 6 i 12 </w:t>
      </w:r>
      <w:r w:rsidR="00885A78" w:rsidRPr="00F24057">
        <w:rPr>
          <w:szCs w:val="22"/>
          <w:lang w:val="sr-Latn-ME"/>
        </w:rPr>
        <w:t>mjesec</w:t>
      </w:r>
      <w:r w:rsidRPr="00F24057">
        <w:rPr>
          <w:szCs w:val="22"/>
          <w:lang w:val="sr-Latn-ME"/>
        </w:rPr>
        <w:t>i (</w:t>
      </w:r>
      <w:r w:rsidR="0030064A" w:rsidRPr="00F24057">
        <w:rPr>
          <w:szCs w:val="22"/>
          <w:lang w:val="sr-Latn-ME"/>
        </w:rPr>
        <w:t>vidjeti</w:t>
      </w:r>
      <w:r w:rsidRPr="00F24057">
        <w:rPr>
          <w:szCs w:val="22"/>
          <w:lang w:val="sr-Latn-ME"/>
        </w:rPr>
        <w:t xml:space="preserve"> Tabelu 10). </w:t>
      </w:r>
    </w:p>
    <w:p w14:paraId="71A484B3" w14:textId="77777777" w:rsidR="00A10113" w:rsidRPr="00F24057" w:rsidRDefault="00A10113" w:rsidP="00D70B34">
      <w:pPr>
        <w:rPr>
          <w:szCs w:val="22"/>
          <w:lang w:val="sr-Latn-ME"/>
        </w:rPr>
      </w:pPr>
    </w:p>
    <w:p w14:paraId="6B6AD5A7" w14:textId="75CA91CF" w:rsidR="007F33CD" w:rsidRPr="00F24057" w:rsidRDefault="00A10113" w:rsidP="00D70B34">
      <w:pPr>
        <w:rPr>
          <w:szCs w:val="22"/>
          <w:lang w:val="sr-Latn-ME"/>
        </w:rPr>
      </w:pPr>
      <w:r w:rsidRPr="00F24057">
        <w:rPr>
          <w:szCs w:val="22"/>
          <w:lang w:val="sr-Latn-ME"/>
        </w:rPr>
        <w:t xml:space="preserve">Podaci iz otvorenog produžetka RA kliničke studije faze III ukazuju da se smanjenje u brzini progresije strukturnih oštećenja održalo tokom 8 i 10 godina u podgrupi pacijenata. Nakon 8 godina, kod 81 od 207 pacijenata </w:t>
      </w:r>
      <w:r w:rsidR="00885A78" w:rsidRPr="00F24057">
        <w:rPr>
          <w:szCs w:val="22"/>
          <w:lang w:val="sr-Latn-ME"/>
        </w:rPr>
        <w:t>liječe</w:t>
      </w:r>
      <w:r w:rsidRPr="00F24057">
        <w:rPr>
          <w:szCs w:val="22"/>
          <w:lang w:val="sr-Latn-ME"/>
        </w:rPr>
        <w:t xml:space="preserve">nih adalimumabom 40 mg svake druge </w:t>
      </w:r>
      <w:r w:rsidR="00885A78" w:rsidRPr="00F24057">
        <w:rPr>
          <w:szCs w:val="22"/>
          <w:lang w:val="sr-Latn-ME"/>
        </w:rPr>
        <w:t>nedjelj</w:t>
      </w:r>
      <w:r w:rsidRPr="00F24057">
        <w:rPr>
          <w:szCs w:val="22"/>
          <w:lang w:val="sr-Latn-ME"/>
        </w:rPr>
        <w:t xml:space="preserve">e rađena je radiografska evaluacija. Među njima, 48 pacijenata je bilo bez progresije strukturnog oštećenja, definisano kao </w:t>
      </w:r>
      <w:r w:rsidR="004F2520" w:rsidRPr="00F24057">
        <w:rPr>
          <w:szCs w:val="22"/>
          <w:lang w:val="sr-Latn-ME"/>
        </w:rPr>
        <w:t>promjen</w:t>
      </w:r>
      <w:r w:rsidRPr="00F24057">
        <w:rPr>
          <w:szCs w:val="22"/>
          <w:lang w:val="sr-Latn-ME"/>
        </w:rPr>
        <w:t xml:space="preserve">a mTSS od 0,5 ili manje. Nakon 10 godina, kod 79 od 207 pacijenata </w:t>
      </w:r>
      <w:r w:rsidR="00885A78" w:rsidRPr="00F24057">
        <w:rPr>
          <w:szCs w:val="22"/>
          <w:lang w:val="sr-Latn-ME"/>
        </w:rPr>
        <w:t>liječe</w:t>
      </w:r>
      <w:r w:rsidRPr="00F24057">
        <w:rPr>
          <w:szCs w:val="22"/>
          <w:lang w:val="sr-Latn-ME"/>
        </w:rPr>
        <w:t xml:space="preserve">nih adalimumabom 40 mg svake druge </w:t>
      </w:r>
      <w:r w:rsidR="00885A78" w:rsidRPr="00F24057">
        <w:rPr>
          <w:szCs w:val="22"/>
          <w:lang w:val="sr-Latn-ME"/>
        </w:rPr>
        <w:t>nedjelj</w:t>
      </w:r>
      <w:r w:rsidRPr="00F24057">
        <w:rPr>
          <w:szCs w:val="22"/>
          <w:lang w:val="sr-Latn-ME"/>
        </w:rPr>
        <w:t xml:space="preserve">e rađena je radiografska evaluacija. Među njima, 40 pacijenata je bilo bez progresije strukturnog oštećenja, definisano kao </w:t>
      </w:r>
      <w:r w:rsidR="004F2520" w:rsidRPr="00F24057">
        <w:rPr>
          <w:szCs w:val="22"/>
          <w:lang w:val="sr-Latn-ME"/>
        </w:rPr>
        <w:t>promjen</w:t>
      </w:r>
      <w:r w:rsidRPr="00F24057">
        <w:rPr>
          <w:szCs w:val="22"/>
          <w:lang w:val="sr-Latn-ME"/>
        </w:rPr>
        <w:t>a mTSS od 0,5 ili manje.</w:t>
      </w:r>
    </w:p>
    <w:p w14:paraId="20F0906C" w14:textId="77777777" w:rsidR="00A10113" w:rsidRPr="00F24057" w:rsidRDefault="00A10113" w:rsidP="00D70B34">
      <w:pPr>
        <w:rPr>
          <w:szCs w:val="22"/>
          <w:lang w:val="sr-Latn-ME"/>
        </w:rPr>
      </w:pPr>
    </w:p>
    <w:p w14:paraId="3CCB55EE" w14:textId="39222010" w:rsidR="007F33CD" w:rsidRPr="00F24057" w:rsidRDefault="00A10113" w:rsidP="00D70B34">
      <w:pPr>
        <w:rPr>
          <w:b/>
          <w:bCs/>
          <w:szCs w:val="22"/>
          <w:lang w:val="sr-Latn-ME"/>
        </w:rPr>
      </w:pPr>
      <w:r w:rsidRPr="00F24057">
        <w:rPr>
          <w:b/>
          <w:bCs/>
          <w:szCs w:val="22"/>
          <w:lang w:val="sr-Latn-ME"/>
        </w:rPr>
        <w:t xml:space="preserve">Tabela 10. Srednje radiografske </w:t>
      </w:r>
      <w:r w:rsidR="004F2520" w:rsidRPr="00F24057">
        <w:rPr>
          <w:b/>
          <w:bCs/>
          <w:szCs w:val="22"/>
          <w:lang w:val="sr-Latn-ME"/>
        </w:rPr>
        <w:t>promjen</w:t>
      </w:r>
      <w:r w:rsidRPr="00F24057">
        <w:rPr>
          <w:b/>
          <w:bCs/>
          <w:szCs w:val="22"/>
          <w:lang w:val="sr-Latn-ME"/>
        </w:rPr>
        <w:t xml:space="preserve">e tokom 12 </w:t>
      </w:r>
      <w:r w:rsidR="00885A78" w:rsidRPr="00F24057">
        <w:rPr>
          <w:b/>
          <w:bCs/>
          <w:szCs w:val="22"/>
          <w:lang w:val="sr-Latn-ME"/>
        </w:rPr>
        <w:t>mjesec</w:t>
      </w:r>
      <w:r w:rsidRPr="00F24057">
        <w:rPr>
          <w:b/>
          <w:bCs/>
          <w:szCs w:val="22"/>
          <w:lang w:val="sr-Latn-ME"/>
        </w:rPr>
        <w:t>i u RA studiji III</w:t>
      </w:r>
    </w:p>
    <w:p w14:paraId="644A6364" w14:textId="77777777" w:rsidR="00A10113" w:rsidRPr="00F24057" w:rsidRDefault="00A10113" w:rsidP="00D70B34">
      <w:pPr>
        <w:rPr>
          <w:b/>
          <w:bCs/>
          <w:szCs w:val="22"/>
          <w:lang w:val="sr-Latn-ME"/>
        </w:rPr>
      </w:pPr>
    </w:p>
    <w:tbl>
      <w:tblPr>
        <w:tblStyle w:val="TableGrid"/>
        <w:tblW w:w="5000" w:type="pct"/>
        <w:tblLayout w:type="fixed"/>
        <w:tblCellMar>
          <w:left w:w="85" w:type="dxa"/>
          <w:right w:w="85" w:type="dxa"/>
        </w:tblCellMar>
        <w:tblLook w:val="04A0" w:firstRow="1" w:lastRow="0" w:firstColumn="1" w:lastColumn="0" w:noHBand="0" w:noVBand="1"/>
      </w:tblPr>
      <w:tblGrid>
        <w:gridCol w:w="1893"/>
        <w:gridCol w:w="1248"/>
        <w:gridCol w:w="1946"/>
        <w:gridCol w:w="2642"/>
        <w:gridCol w:w="1288"/>
      </w:tblGrid>
      <w:tr w:rsidR="0023241F" w:rsidRPr="00F24057" w14:paraId="1B629C60" w14:textId="77777777" w:rsidTr="007771A5">
        <w:trPr>
          <w:trHeight w:val="20"/>
        </w:trPr>
        <w:tc>
          <w:tcPr>
            <w:tcW w:w="1050" w:type="pct"/>
            <w:vAlign w:val="center"/>
          </w:tcPr>
          <w:p w14:paraId="096360B3" w14:textId="77777777" w:rsidR="00A10113" w:rsidRPr="00F24057" w:rsidRDefault="00A10113" w:rsidP="00D70B34">
            <w:pPr>
              <w:jc w:val="center"/>
              <w:rPr>
                <w:szCs w:val="22"/>
                <w:lang w:val="sr-Latn-ME"/>
              </w:rPr>
            </w:pPr>
          </w:p>
        </w:tc>
        <w:tc>
          <w:tcPr>
            <w:tcW w:w="692" w:type="pct"/>
            <w:vAlign w:val="center"/>
          </w:tcPr>
          <w:p w14:paraId="44816D3F" w14:textId="442B0489" w:rsidR="00A10113" w:rsidRPr="00F24057" w:rsidRDefault="00A10113" w:rsidP="00D70B34">
            <w:pPr>
              <w:jc w:val="center"/>
              <w:rPr>
                <w:b/>
                <w:bCs/>
                <w:szCs w:val="22"/>
                <w:lang w:val="sr-Latn-ME"/>
              </w:rPr>
            </w:pPr>
            <w:r w:rsidRPr="00F24057">
              <w:rPr>
                <w:b/>
                <w:bCs/>
                <w:szCs w:val="22"/>
                <w:lang w:val="sr-Latn-ME"/>
              </w:rPr>
              <w:t>Placebo/ MTX</w:t>
            </w:r>
            <w:r w:rsidRPr="00F24057">
              <w:rPr>
                <w:b/>
                <w:bCs/>
                <w:szCs w:val="22"/>
                <w:vertAlign w:val="superscript"/>
                <w:lang w:val="sr-Latn-ME"/>
              </w:rPr>
              <w:t>a</w:t>
            </w:r>
          </w:p>
        </w:tc>
        <w:tc>
          <w:tcPr>
            <w:tcW w:w="1079" w:type="pct"/>
            <w:vAlign w:val="center"/>
          </w:tcPr>
          <w:p w14:paraId="3448E8E6" w14:textId="4FCCC8A0" w:rsidR="00A10113" w:rsidRPr="00F24057" w:rsidRDefault="00A10113" w:rsidP="00D70B34">
            <w:pPr>
              <w:jc w:val="center"/>
              <w:rPr>
                <w:b/>
                <w:bCs/>
                <w:szCs w:val="22"/>
                <w:lang w:val="sr-Latn-ME"/>
              </w:rPr>
            </w:pPr>
            <w:r w:rsidRPr="00F24057">
              <w:rPr>
                <w:b/>
                <w:bCs/>
                <w:szCs w:val="22"/>
                <w:lang w:val="sr-Latn-ME"/>
              </w:rPr>
              <w:t xml:space="preserve">adalimumab/MTX 40 mg svake druge </w:t>
            </w:r>
            <w:r w:rsidR="00885A78" w:rsidRPr="00F24057">
              <w:rPr>
                <w:b/>
                <w:bCs/>
                <w:szCs w:val="22"/>
                <w:lang w:val="sr-Latn-ME"/>
              </w:rPr>
              <w:t>nedjelj</w:t>
            </w:r>
            <w:r w:rsidRPr="00F24057">
              <w:rPr>
                <w:b/>
                <w:bCs/>
                <w:szCs w:val="22"/>
                <w:lang w:val="sr-Latn-ME"/>
              </w:rPr>
              <w:t>e</w:t>
            </w:r>
          </w:p>
        </w:tc>
        <w:tc>
          <w:tcPr>
            <w:tcW w:w="1465" w:type="pct"/>
            <w:vAlign w:val="center"/>
          </w:tcPr>
          <w:p w14:paraId="6C1B7F51" w14:textId="67FA2096" w:rsidR="00A10113" w:rsidRPr="00F24057" w:rsidRDefault="00A10113" w:rsidP="00D70B34">
            <w:pPr>
              <w:jc w:val="center"/>
              <w:rPr>
                <w:b/>
                <w:bCs/>
                <w:szCs w:val="22"/>
                <w:lang w:val="sr-Latn-ME"/>
              </w:rPr>
            </w:pPr>
            <w:r w:rsidRPr="00F24057">
              <w:rPr>
                <w:b/>
                <w:bCs/>
                <w:szCs w:val="22"/>
                <w:lang w:val="sr-Latn-ME"/>
              </w:rPr>
              <w:t>Placebo/MTX adalimumab/MTX (95% Interval pouzdanosti</w:t>
            </w:r>
            <w:r w:rsidRPr="00F24057">
              <w:rPr>
                <w:b/>
                <w:bCs/>
                <w:szCs w:val="22"/>
                <w:vertAlign w:val="superscript"/>
                <w:lang w:val="sr-Latn-ME"/>
              </w:rPr>
              <w:t>b</w:t>
            </w:r>
            <w:r w:rsidRPr="00F24057">
              <w:rPr>
                <w:b/>
                <w:bCs/>
                <w:szCs w:val="22"/>
                <w:lang w:val="sr-Latn-ME"/>
              </w:rPr>
              <w:t xml:space="preserve"> )</w:t>
            </w:r>
          </w:p>
        </w:tc>
        <w:tc>
          <w:tcPr>
            <w:tcW w:w="714" w:type="pct"/>
            <w:vAlign w:val="center"/>
          </w:tcPr>
          <w:p w14:paraId="75F0365E" w14:textId="05546D04" w:rsidR="00A10113" w:rsidRPr="00F24057" w:rsidRDefault="00A10113" w:rsidP="00D70B34">
            <w:pPr>
              <w:jc w:val="center"/>
              <w:rPr>
                <w:b/>
                <w:bCs/>
                <w:szCs w:val="22"/>
                <w:lang w:val="sr-Latn-ME"/>
              </w:rPr>
            </w:pPr>
            <w:r w:rsidRPr="00F24057">
              <w:rPr>
                <w:b/>
                <w:bCs/>
                <w:szCs w:val="22"/>
                <w:lang w:val="sr-Latn-ME"/>
              </w:rPr>
              <w:t>p-</w:t>
            </w:r>
            <w:r w:rsidR="00972894" w:rsidRPr="00F24057">
              <w:rPr>
                <w:b/>
                <w:bCs/>
                <w:szCs w:val="22"/>
                <w:lang w:val="sr-Latn-ME"/>
              </w:rPr>
              <w:t>vrijedno</w:t>
            </w:r>
            <w:r w:rsidRPr="00F24057">
              <w:rPr>
                <w:b/>
                <w:bCs/>
                <w:szCs w:val="22"/>
                <w:lang w:val="sr-Latn-ME"/>
              </w:rPr>
              <w:t>st</w:t>
            </w:r>
          </w:p>
        </w:tc>
      </w:tr>
      <w:tr w:rsidR="0023241F" w:rsidRPr="00F24057" w14:paraId="6437D683" w14:textId="77777777" w:rsidTr="007771A5">
        <w:trPr>
          <w:trHeight w:val="20"/>
        </w:trPr>
        <w:tc>
          <w:tcPr>
            <w:tcW w:w="1050" w:type="pct"/>
            <w:vAlign w:val="center"/>
          </w:tcPr>
          <w:p w14:paraId="3115DBD4" w14:textId="540E6948" w:rsidR="00A10113" w:rsidRPr="00F24057" w:rsidRDefault="00A10113" w:rsidP="00D70B34">
            <w:pPr>
              <w:jc w:val="left"/>
              <w:rPr>
                <w:szCs w:val="22"/>
                <w:lang w:val="sr-Latn-ME"/>
              </w:rPr>
            </w:pPr>
            <w:r w:rsidRPr="00F24057">
              <w:rPr>
                <w:szCs w:val="22"/>
                <w:lang w:val="sr-Latn-ME"/>
              </w:rPr>
              <w:t xml:space="preserve">Ukupni </w:t>
            </w:r>
            <w:r w:rsidRPr="00F24057">
              <w:rPr>
                <w:i/>
                <w:iCs/>
                <w:szCs w:val="22"/>
                <w:lang w:val="sr-Latn-ME"/>
              </w:rPr>
              <w:t>Sharp</w:t>
            </w:r>
            <w:r w:rsidRPr="00F24057">
              <w:rPr>
                <w:szCs w:val="22"/>
                <w:lang w:val="sr-Latn-ME"/>
              </w:rPr>
              <w:t xml:space="preserve"> skor</w:t>
            </w:r>
          </w:p>
        </w:tc>
        <w:tc>
          <w:tcPr>
            <w:tcW w:w="692" w:type="pct"/>
            <w:vAlign w:val="center"/>
          </w:tcPr>
          <w:p w14:paraId="2E9F1C66" w14:textId="28359935" w:rsidR="00A10113" w:rsidRPr="00F24057" w:rsidRDefault="00A10113" w:rsidP="00D70B34">
            <w:pPr>
              <w:jc w:val="center"/>
              <w:rPr>
                <w:szCs w:val="22"/>
                <w:lang w:val="sr-Latn-ME"/>
              </w:rPr>
            </w:pPr>
            <w:r w:rsidRPr="00F24057">
              <w:rPr>
                <w:szCs w:val="22"/>
                <w:lang w:val="sr-Latn-ME"/>
              </w:rPr>
              <w:t>2,7</w:t>
            </w:r>
          </w:p>
        </w:tc>
        <w:tc>
          <w:tcPr>
            <w:tcW w:w="1079" w:type="pct"/>
            <w:vAlign w:val="center"/>
          </w:tcPr>
          <w:p w14:paraId="29113A5D" w14:textId="73781E90" w:rsidR="00A10113" w:rsidRPr="00F24057" w:rsidRDefault="00A10113" w:rsidP="00D70B34">
            <w:pPr>
              <w:jc w:val="center"/>
              <w:rPr>
                <w:szCs w:val="22"/>
                <w:lang w:val="sr-Latn-ME"/>
              </w:rPr>
            </w:pPr>
            <w:r w:rsidRPr="00F24057">
              <w:rPr>
                <w:szCs w:val="22"/>
                <w:lang w:val="sr-Latn-ME"/>
              </w:rPr>
              <w:t>0,1</w:t>
            </w:r>
          </w:p>
        </w:tc>
        <w:tc>
          <w:tcPr>
            <w:tcW w:w="1465" w:type="pct"/>
            <w:vAlign w:val="center"/>
          </w:tcPr>
          <w:p w14:paraId="14F8DC4D" w14:textId="52CD9F8B" w:rsidR="00A10113" w:rsidRPr="00F24057" w:rsidRDefault="00A10113" w:rsidP="00D70B34">
            <w:pPr>
              <w:jc w:val="center"/>
              <w:rPr>
                <w:szCs w:val="22"/>
                <w:lang w:val="sr-Latn-ME"/>
              </w:rPr>
            </w:pPr>
            <w:r w:rsidRPr="00F24057">
              <w:rPr>
                <w:szCs w:val="22"/>
                <w:lang w:val="sr-Latn-ME"/>
              </w:rPr>
              <w:t>2,6 (1,4; 3,8)</w:t>
            </w:r>
          </w:p>
        </w:tc>
        <w:tc>
          <w:tcPr>
            <w:tcW w:w="714" w:type="pct"/>
            <w:vAlign w:val="center"/>
          </w:tcPr>
          <w:p w14:paraId="2A2839A2" w14:textId="1EAA3868" w:rsidR="00A10113" w:rsidRPr="00F24057" w:rsidRDefault="00A10113" w:rsidP="00D70B34">
            <w:pPr>
              <w:jc w:val="center"/>
              <w:rPr>
                <w:szCs w:val="22"/>
                <w:lang w:val="sr-Latn-ME"/>
              </w:rPr>
            </w:pPr>
            <w:r w:rsidRPr="00F24057">
              <w:rPr>
                <w:szCs w:val="22"/>
                <w:lang w:val="sr-Latn-ME"/>
              </w:rPr>
              <w:t>&lt;0,001</w:t>
            </w:r>
            <w:r w:rsidRPr="00F24057">
              <w:rPr>
                <w:szCs w:val="22"/>
                <w:vertAlign w:val="superscript"/>
                <w:lang w:val="sr-Latn-ME"/>
              </w:rPr>
              <w:t>c</w:t>
            </w:r>
          </w:p>
        </w:tc>
      </w:tr>
      <w:tr w:rsidR="0023241F" w:rsidRPr="00F24057" w14:paraId="2DC5B7F9" w14:textId="77777777" w:rsidTr="007771A5">
        <w:trPr>
          <w:trHeight w:val="20"/>
        </w:trPr>
        <w:tc>
          <w:tcPr>
            <w:tcW w:w="1050" w:type="pct"/>
            <w:vAlign w:val="center"/>
          </w:tcPr>
          <w:p w14:paraId="4D2D578D" w14:textId="61996307" w:rsidR="00A10113" w:rsidRPr="00F24057" w:rsidRDefault="00A10113" w:rsidP="00D70B34">
            <w:pPr>
              <w:jc w:val="left"/>
              <w:rPr>
                <w:szCs w:val="22"/>
                <w:lang w:val="sr-Latn-ME"/>
              </w:rPr>
            </w:pPr>
            <w:r w:rsidRPr="00F24057">
              <w:rPr>
                <w:szCs w:val="22"/>
                <w:lang w:val="sr-Latn-ME"/>
              </w:rPr>
              <w:t>Skor erozija</w:t>
            </w:r>
          </w:p>
        </w:tc>
        <w:tc>
          <w:tcPr>
            <w:tcW w:w="692" w:type="pct"/>
            <w:vAlign w:val="center"/>
          </w:tcPr>
          <w:p w14:paraId="5F848EA4" w14:textId="1A39902F" w:rsidR="00A10113" w:rsidRPr="00F24057" w:rsidRDefault="00A10113" w:rsidP="00D70B34">
            <w:pPr>
              <w:jc w:val="center"/>
              <w:rPr>
                <w:szCs w:val="22"/>
                <w:lang w:val="sr-Latn-ME"/>
              </w:rPr>
            </w:pPr>
            <w:r w:rsidRPr="00F24057">
              <w:rPr>
                <w:szCs w:val="22"/>
                <w:lang w:val="sr-Latn-ME"/>
              </w:rPr>
              <w:t>1,6</w:t>
            </w:r>
          </w:p>
        </w:tc>
        <w:tc>
          <w:tcPr>
            <w:tcW w:w="1079" w:type="pct"/>
            <w:vAlign w:val="center"/>
          </w:tcPr>
          <w:p w14:paraId="7B612249" w14:textId="105D48A7" w:rsidR="00A10113" w:rsidRPr="00F24057" w:rsidRDefault="00A10113" w:rsidP="00D70B34">
            <w:pPr>
              <w:jc w:val="center"/>
              <w:rPr>
                <w:szCs w:val="22"/>
                <w:lang w:val="sr-Latn-ME"/>
              </w:rPr>
            </w:pPr>
            <w:r w:rsidRPr="00F24057">
              <w:rPr>
                <w:szCs w:val="22"/>
                <w:lang w:val="sr-Latn-ME"/>
              </w:rPr>
              <w:t>0,0</w:t>
            </w:r>
          </w:p>
        </w:tc>
        <w:tc>
          <w:tcPr>
            <w:tcW w:w="1465" w:type="pct"/>
            <w:vAlign w:val="center"/>
          </w:tcPr>
          <w:p w14:paraId="586D3C42" w14:textId="71D5DBCA" w:rsidR="00A10113" w:rsidRPr="00F24057" w:rsidRDefault="00A10113" w:rsidP="00D70B34">
            <w:pPr>
              <w:jc w:val="center"/>
              <w:rPr>
                <w:szCs w:val="22"/>
                <w:lang w:val="sr-Latn-ME"/>
              </w:rPr>
            </w:pPr>
            <w:r w:rsidRPr="00F24057">
              <w:rPr>
                <w:szCs w:val="22"/>
                <w:lang w:val="sr-Latn-ME"/>
              </w:rPr>
              <w:t>1,6 (0,9; 2,2)</w:t>
            </w:r>
          </w:p>
        </w:tc>
        <w:tc>
          <w:tcPr>
            <w:tcW w:w="714" w:type="pct"/>
            <w:vAlign w:val="center"/>
          </w:tcPr>
          <w:p w14:paraId="71ADA5FC" w14:textId="03429D37" w:rsidR="00A10113" w:rsidRPr="00F24057" w:rsidRDefault="00A10113" w:rsidP="00D70B34">
            <w:pPr>
              <w:jc w:val="center"/>
              <w:rPr>
                <w:szCs w:val="22"/>
                <w:lang w:val="sr-Latn-ME"/>
              </w:rPr>
            </w:pPr>
            <w:r w:rsidRPr="00F24057">
              <w:rPr>
                <w:szCs w:val="22"/>
                <w:lang w:val="sr-Latn-ME"/>
              </w:rPr>
              <w:t>&lt;0,001</w:t>
            </w:r>
          </w:p>
        </w:tc>
      </w:tr>
      <w:tr w:rsidR="0023241F" w:rsidRPr="00F24057" w14:paraId="6C067B73" w14:textId="77777777" w:rsidTr="007771A5">
        <w:trPr>
          <w:trHeight w:val="20"/>
        </w:trPr>
        <w:tc>
          <w:tcPr>
            <w:tcW w:w="1050" w:type="pct"/>
            <w:vAlign w:val="center"/>
          </w:tcPr>
          <w:p w14:paraId="152F9603" w14:textId="57BB2C0C" w:rsidR="00A10113" w:rsidRPr="00F24057" w:rsidRDefault="00A10113" w:rsidP="00D70B34">
            <w:pPr>
              <w:jc w:val="left"/>
              <w:rPr>
                <w:szCs w:val="22"/>
                <w:lang w:val="sr-Latn-ME"/>
              </w:rPr>
            </w:pPr>
            <w:r w:rsidRPr="00F24057">
              <w:rPr>
                <w:szCs w:val="22"/>
                <w:lang w:val="sr-Latn-ME"/>
              </w:rPr>
              <w:t>JSN</w:t>
            </w:r>
            <w:r w:rsidRPr="00F24057">
              <w:rPr>
                <w:szCs w:val="22"/>
                <w:vertAlign w:val="superscript"/>
                <w:lang w:val="sr-Latn-ME"/>
              </w:rPr>
              <w:t>d</w:t>
            </w:r>
            <w:r w:rsidRPr="00F24057">
              <w:rPr>
                <w:szCs w:val="22"/>
                <w:lang w:val="sr-Latn-ME"/>
              </w:rPr>
              <w:t xml:space="preserve"> skor</w:t>
            </w:r>
          </w:p>
        </w:tc>
        <w:tc>
          <w:tcPr>
            <w:tcW w:w="692" w:type="pct"/>
            <w:vAlign w:val="center"/>
          </w:tcPr>
          <w:p w14:paraId="5D9AC0AA" w14:textId="1013BFE4" w:rsidR="00A10113" w:rsidRPr="00F24057" w:rsidRDefault="00A10113" w:rsidP="00D70B34">
            <w:pPr>
              <w:jc w:val="center"/>
              <w:rPr>
                <w:szCs w:val="22"/>
                <w:lang w:val="sr-Latn-ME"/>
              </w:rPr>
            </w:pPr>
            <w:r w:rsidRPr="00F24057">
              <w:rPr>
                <w:szCs w:val="22"/>
                <w:lang w:val="sr-Latn-ME"/>
              </w:rPr>
              <w:t>1,0</w:t>
            </w:r>
          </w:p>
        </w:tc>
        <w:tc>
          <w:tcPr>
            <w:tcW w:w="1079" w:type="pct"/>
            <w:vAlign w:val="center"/>
          </w:tcPr>
          <w:p w14:paraId="14DE0FDA" w14:textId="67EC4E97" w:rsidR="00A10113" w:rsidRPr="00F24057" w:rsidRDefault="00A10113" w:rsidP="00D70B34">
            <w:pPr>
              <w:jc w:val="center"/>
              <w:rPr>
                <w:szCs w:val="22"/>
                <w:lang w:val="sr-Latn-ME"/>
              </w:rPr>
            </w:pPr>
            <w:r w:rsidRPr="00F24057">
              <w:rPr>
                <w:szCs w:val="22"/>
                <w:lang w:val="sr-Latn-ME"/>
              </w:rPr>
              <w:t>0,1</w:t>
            </w:r>
          </w:p>
        </w:tc>
        <w:tc>
          <w:tcPr>
            <w:tcW w:w="1465" w:type="pct"/>
            <w:vAlign w:val="center"/>
          </w:tcPr>
          <w:p w14:paraId="2612ECB9" w14:textId="2662AD78" w:rsidR="00A10113" w:rsidRPr="00F24057" w:rsidRDefault="00A10113" w:rsidP="00D70B34">
            <w:pPr>
              <w:jc w:val="center"/>
              <w:rPr>
                <w:szCs w:val="22"/>
                <w:lang w:val="sr-Latn-ME"/>
              </w:rPr>
            </w:pPr>
            <w:r w:rsidRPr="00F24057">
              <w:rPr>
                <w:szCs w:val="22"/>
                <w:lang w:val="sr-Latn-ME"/>
              </w:rPr>
              <w:t>0,9 (0,3; 1,4)</w:t>
            </w:r>
          </w:p>
        </w:tc>
        <w:tc>
          <w:tcPr>
            <w:tcW w:w="714" w:type="pct"/>
            <w:vAlign w:val="center"/>
          </w:tcPr>
          <w:p w14:paraId="3F103678" w14:textId="1A767444" w:rsidR="00A10113" w:rsidRPr="00F24057" w:rsidRDefault="00A10113" w:rsidP="00D70B34">
            <w:pPr>
              <w:jc w:val="center"/>
              <w:rPr>
                <w:szCs w:val="22"/>
                <w:lang w:val="sr-Latn-ME"/>
              </w:rPr>
            </w:pPr>
            <w:r w:rsidRPr="00F24057">
              <w:rPr>
                <w:szCs w:val="22"/>
                <w:lang w:val="sr-Latn-ME"/>
              </w:rPr>
              <w:t>0,002</w:t>
            </w:r>
          </w:p>
        </w:tc>
      </w:tr>
    </w:tbl>
    <w:p w14:paraId="63F0C02A" w14:textId="29154434" w:rsidR="00356C0D" w:rsidRPr="00F24057" w:rsidRDefault="00356C0D" w:rsidP="00D70B34">
      <w:pPr>
        <w:rPr>
          <w:szCs w:val="22"/>
          <w:lang w:val="sr-Latn-ME"/>
        </w:rPr>
      </w:pPr>
      <w:r w:rsidRPr="00F24057">
        <w:rPr>
          <w:szCs w:val="22"/>
          <w:vertAlign w:val="superscript"/>
          <w:lang w:val="sr-Latn-ME"/>
        </w:rPr>
        <w:t>a</w:t>
      </w:r>
      <w:r w:rsidRPr="00F24057">
        <w:rPr>
          <w:szCs w:val="22"/>
          <w:lang w:val="sr-Latn-ME"/>
        </w:rPr>
        <w:t xml:space="preserve"> metotreksat </w:t>
      </w:r>
    </w:p>
    <w:p w14:paraId="406BE92F" w14:textId="1E6F729F" w:rsidR="00356C0D" w:rsidRPr="00F24057" w:rsidRDefault="00356C0D" w:rsidP="00D70B34">
      <w:pPr>
        <w:rPr>
          <w:szCs w:val="22"/>
          <w:lang w:val="sr-Latn-ME"/>
        </w:rPr>
      </w:pPr>
      <w:r w:rsidRPr="00F24057">
        <w:rPr>
          <w:szCs w:val="22"/>
          <w:vertAlign w:val="superscript"/>
          <w:lang w:val="sr-Latn-ME"/>
        </w:rPr>
        <w:t>b</w:t>
      </w:r>
      <w:r w:rsidRPr="00F24057">
        <w:rPr>
          <w:szCs w:val="22"/>
          <w:lang w:val="sr-Latn-ME"/>
        </w:rPr>
        <w:t xml:space="preserve"> 95% interval pouzdanosti za razlike u </w:t>
      </w:r>
      <w:r w:rsidR="004F2520" w:rsidRPr="00F24057">
        <w:rPr>
          <w:szCs w:val="22"/>
          <w:lang w:val="sr-Latn-ME"/>
        </w:rPr>
        <w:t>promjen</w:t>
      </w:r>
      <w:r w:rsidRPr="00F24057">
        <w:rPr>
          <w:szCs w:val="22"/>
          <w:lang w:val="sr-Latn-ME"/>
        </w:rPr>
        <w:t xml:space="preserve">i skorova između metotreksata i adalimumaba. </w:t>
      </w:r>
    </w:p>
    <w:p w14:paraId="7993C39C" w14:textId="160937B2" w:rsidR="00356C0D" w:rsidRPr="00F24057" w:rsidRDefault="00356C0D" w:rsidP="00D70B34">
      <w:pPr>
        <w:rPr>
          <w:szCs w:val="22"/>
          <w:lang w:val="sr-Latn-ME"/>
        </w:rPr>
      </w:pPr>
      <w:r w:rsidRPr="00F24057">
        <w:rPr>
          <w:szCs w:val="22"/>
          <w:vertAlign w:val="superscript"/>
          <w:lang w:val="sr-Latn-ME"/>
        </w:rPr>
        <w:t>c</w:t>
      </w:r>
      <w:r w:rsidRPr="00F24057">
        <w:rPr>
          <w:szCs w:val="22"/>
          <w:lang w:val="sr-Latn-ME"/>
        </w:rPr>
        <w:t xml:space="preserve"> Zasnovano na analizi </w:t>
      </w:r>
      <w:r w:rsidR="00FD3ECF" w:rsidRPr="00F24057">
        <w:rPr>
          <w:szCs w:val="22"/>
          <w:lang w:val="sr-Latn-ME"/>
        </w:rPr>
        <w:t>poretka</w:t>
      </w:r>
      <w:r w:rsidRPr="00F24057">
        <w:rPr>
          <w:szCs w:val="22"/>
          <w:lang w:val="sr-Latn-ME"/>
        </w:rPr>
        <w:t xml:space="preserve"> </w:t>
      </w:r>
    </w:p>
    <w:p w14:paraId="74130881" w14:textId="7F68AD21" w:rsidR="007F33CD" w:rsidRPr="00F24057" w:rsidRDefault="00356C0D" w:rsidP="00D70B34">
      <w:pPr>
        <w:rPr>
          <w:szCs w:val="22"/>
          <w:lang w:val="sr-Latn-ME"/>
        </w:rPr>
      </w:pPr>
      <w:r w:rsidRPr="00F24057">
        <w:rPr>
          <w:szCs w:val="22"/>
          <w:vertAlign w:val="superscript"/>
          <w:lang w:val="sr-Latn-ME"/>
        </w:rPr>
        <w:t>d</w:t>
      </w:r>
      <w:r w:rsidRPr="00F24057">
        <w:rPr>
          <w:szCs w:val="22"/>
          <w:lang w:val="sr-Latn-ME"/>
        </w:rPr>
        <w:t xml:space="preserve"> Suženje zglobnog prostora</w:t>
      </w:r>
    </w:p>
    <w:p w14:paraId="67BA1172" w14:textId="683C34E7" w:rsidR="00356C0D" w:rsidRPr="00F24057" w:rsidRDefault="00356C0D" w:rsidP="00D70B34">
      <w:pPr>
        <w:rPr>
          <w:szCs w:val="22"/>
          <w:lang w:val="sr-Latn-ME"/>
        </w:rPr>
      </w:pPr>
    </w:p>
    <w:p w14:paraId="68C670BC" w14:textId="26F4339E" w:rsidR="00356C0D" w:rsidRPr="00F24057" w:rsidRDefault="00356C0D" w:rsidP="00D70B34">
      <w:pPr>
        <w:rPr>
          <w:szCs w:val="22"/>
          <w:lang w:val="sr-Latn-ME"/>
        </w:rPr>
      </w:pPr>
      <w:r w:rsidRPr="00F24057">
        <w:rPr>
          <w:szCs w:val="22"/>
          <w:lang w:val="sr-Latn-ME"/>
        </w:rPr>
        <w:t xml:space="preserve">U RA studiji V, strukturna oštećenja zgloba su </w:t>
      </w:r>
      <w:r w:rsidR="00897E85" w:rsidRPr="00F24057">
        <w:rPr>
          <w:szCs w:val="22"/>
          <w:lang w:val="sr-Latn-ME"/>
        </w:rPr>
        <w:t>procijenjen</w:t>
      </w:r>
      <w:r w:rsidRPr="00F24057">
        <w:rPr>
          <w:szCs w:val="22"/>
          <w:lang w:val="sr-Latn-ME"/>
        </w:rPr>
        <w:t xml:space="preserve">a radiografski i izražena kao </w:t>
      </w:r>
      <w:r w:rsidR="004F2520" w:rsidRPr="00F24057">
        <w:rPr>
          <w:szCs w:val="22"/>
          <w:lang w:val="sr-Latn-ME"/>
        </w:rPr>
        <w:t>promjen</w:t>
      </w:r>
      <w:r w:rsidRPr="00F24057">
        <w:rPr>
          <w:szCs w:val="22"/>
          <w:lang w:val="sr-Latn-ME"/>
        </w:rPr>
        <w:t xml:space="preserve">a u modifikovanom ukupnom </w:t>
      </w:r>
      <w:r w:rsidRPr="00F24057">
        <w:rPr>
          <w:i/>
          <w:iCs/>
          <w:szCs w:val="22"/>
          <w:lang w:val="sr-Latn-ME"/>
        </w:rPr>
        <w:t>Sharp</w:t>
      </w:r>
      <w:r w:rsidRPr="00F24057">
        <w:rPr>
          <w:szCs w:val="22"/>
          <w:lang w:val="sr-Latn-ME"/>
        </w:rPr>
        <w:t xml:space="preserve"> skoru (</w:t>
      </w:r>
      <w:r w:rsidR="0030064A" w:rsidRPr="00F24057">
        <w:rPr>
          <w:szCs w:val="22"/>
          <w:lang w:val="sr-Latn-ME"/>
        </w:rPr>
        <w:t>vidjeti</w:t>
      </w:r>
      <w:r w:rsidRPr="00F24057">
        <w:rPr>
          <w:szCs w:val="22"/>
          <w:lang w:val="sr-Latn-ME"/>
        </w:rPr>
        <w:t xml:space="preserve"> Tabelu 11).</w:t>
      </w:r>
    </w:p>
    <w:p w14:paraId="6EAE3EC4" w14:textId="2DAAD6DF" w:rsidR="00356C0D" w:rsidRPr="00F24057" w:rsidRDefault="00356C0D" w:rsidP="00D70B34">
      <w:pPr>
        <w:rPr>
          <w:szCs w:val="22"/>
          <w:lang w:val="sr-Latn-ME"/>
        </w:rPr>
      </w:pPr>
    </w:p>
    <w:p w14:paraId="0E01F19F" w14:textId="0F573DEC" w:rsidR="00356C0D" w:rsidRPr="00F24057" w:rsidRDefault="00356C0D" w:rsidP="00D70B34">
      <w:pPr>
        <w:rPr>
          <w:b/>
          <w:bCs/>
          <w:szCs w:val="22"/>
          <w:lang w:val="sr-Latn-ME"/>
        </w:rPr>
      </w:pPr>
      <w:r w:rsidRPr="00F24057">
        <w:rPr>
          <w:b/>
          <w:bCs/>
          <w:szCs w:val="22"/>
          <w:lang w:val="sr-Latn-ME"/>
        </w:rPr>
        <w:t>Tabela 11</w:t>
      </w:r>
      <w:r w:rsidR="007A20AA" w:rsidRPr="00F24057">
        <w:rPr>
          <w:b/>
          <w:bCs/>
          <w:szCs w:val="22"/>
          <w:lang w:val="sr-Latn-ME"/>
        </w:rPr>
        <w:t>.</w:t>
      </w:r>
      <w:r w:rsidRPr="00F24057">
        <w:rPr>
          <w:b/>
          <w:bCs/>
          <w:szCs w:val="22"/>
          <w:lang w:val="sr-Latn-ME"/>
        </w:rPr>
        <w:t xml:space="preserve"> Srednje radiografske </w:t>
      </w:r>
      <w:r w:rsidR="004F2520" w:rsidRPr="00F24057">
        <w:rPr>
          <w:b/>
          <w:bCs/>
          <w:szCs w:val="22"/>
          <w:lang w:val="sr-Latn-ME"/>
        </w:rPr>
        <w:t>promjen</w:t>
      </w:r>
      <w:r w:rsidRPr="00F24057">
        <w:rPr>
          <w:b/>
          <w:bCs/>
          <w:szCs w:val="22"/>
          <w:lang w:val="sr-Latn-ME"/>
        </w:rPr>
        <w:t xml:space="preserve">e nakon 52 </w:t>
      </w:r>
      <w:r w:rsidR="00885A78" w:rsidRPr="00F24057">
        <w:rPr>
          <w:b/>
          <w:bCs/>
          <w:szCs w:val="22"/>
          <w:lang w:val="sr-Latn-ME"/>
        </w:rPr>
        <w:t>nedjelj</w:t>
      </w:r>
      <w:r w:rsidRPr="00F24057">
        <w:rPr>
          <w:b/>
          <w:bCs/>
          <w:szCs w:val="22"/>
          <w:lang w:val="sr-Latn-ME"/>
        </w:rPr>
        <w:t>e u RA studiji V</w:t>
      </w:r>
    </w:p>
    <w:p w14:paraId="481D6DC8" w14:textId="77777777" w:rsidR="00356C0D" w:rsidRPr="00F24057" w:rsidRDefault="00356C0D" w:rsidP="00D70B34">
      <w:pPr>
        <w:rPr>
          <w:b/>
          <w:bCs/>
          <w:szCs w:val="22"/>
          <w:lang w:val="sr-Latn-ME"/>
        </w:rPr>
      </w:pPr>
    </w:p>
    <w:tbl>
      <w:tblPr>
        <w:tblStyle w:val="TableGrid"/>
        <w:tblW w:w="5000" w:type="pct"/>
        <w:tblLayout w:type="fixed"/>
        <w:tblCellMar>
          <w:left w:w="85" w:type="dxa"/>
          <w:right w:w="85" w:type="dxa"/>
        </w:tblCellMar>
        <w:tblLook w:val="04A0" w:firstRow="1" w:lastRow="0" w:firstColumn="1" w:lastColumn="0" w:noHBand="0" w:noVBand="1"/>
      </w:tblPr>
      <w:tblGrid>
        <w:gridCol w:w="1254"/>
        <w:gridCol w:w="1436"/>
        <w:gridCol w:w="1417"/>
        <w:gridCol w:w="1558"/>
        <w:gridCol w:w="1134"/>
        <w:gridCol w:w="1134"/>
        <w:gridCol w:w="1084"/>
      </w:tblGrid>
      <w:tr w:rsidR="00824444" w:rsidRPr="00F24057" w14:paraId="0CDE46CA" w14:textId="77777777" w:rsidTr="00947224">
        <w:trPr>
          <w:trHeight w:val="20"/>
        </w:trPr>
        <w:tc>
          <w:tcPr>
            <w:tcW w:w="695" w:type="pct"/>
            <w:vAlign w:val="center"/>
          </w:tcPr>
          <w:p w14:paraId="7FB7D6FE" w14:textId="77777777" w:rsidR="00824444" w:rsidRPr="00F24057" w:rsidRDefault="00824444" w:rsidP="006F38F6">
            <w:pPr>
              <w:jc w:val="center"/>
              <w:rPr>
                <w:szCs w:val="22"/>
                <w:lang w:val="sr-Latn-ME"/>
              </w:rPr>
            </w:pPr>
          </w:p>
        </w:tc>
        <w:tc>
          <w:tcPr>
            <w:tcW w:w="796" w:type="pct"/>
            <w:vAlign w:val="center"/>
          </w:tcPr>
          <w:p w14:paraId="4ABFC183" w14:textId="77777777" w:rsidR="00824444" w:rsidRPr="00F24057" w:rsidRDefault="00824444" w:rsidP="006F38F6">
            <w:pPr>
              <w:jc w:val="center"/>
              <w:rPr>
                <w:b/>
                <w:bCs/>
                <w:szCs w:val="22"/>
                <w:lang w:val="sr-Latn-ME"/>
              </w:rPr>
            </w:pPr>
            <w:r w:rsidRPr="00F24057">
              <w:rPr>
                <w:b/>
                <w:bCs/>
                <w:szCs w:val="22"/>
                <w:lang w:val="sr-Latn-ME"/>
              </w:rPr>
              <w:t xml:space="preserve">MTX </w:t>
            </w:r>
          </w:p>
          <w:p w14:paraId="396FA684" w14:textId="77777777" w:rsidR="00824444" w:rsidRPr="00F24057" w:rsidRDefault="00824444" w:rsidP="006F38F6">
            <w:pPr>
              <w:jc w:val="center"/>
              <w:rPr>
                <w:b/>
                <w:bCs/>
                <w:szCs w:val="22"/>
                <w:lang w:val="sr-Latn-ME"/>
              </w:rPr>
            </w:pPr>
            <w:r w:rsidRPr="00F24057">
              <w:rPr>
                <w:b/>
                <w:bCs/>
                <w:szCs w:val="22"/>
                <w:lang w:val="sr-Latn-ME"/>
              </w:rPr>
              <w:t xml:space="preserve">n=257 </w:t>
            </w:r>
          </w:p>
          <w:p w14:paraId="0B53ED53" w14:textId="77777777" w:rsidR="00824444" w:rsidRPr="00F24057" w:rsidRDefault="00824444" w:rsidP="00947224">
            <w:pPr>
              <w:tabs>
                <w:tab w:val="clear" w:pos="284"/>
              </w:tabs>
              <w:jc w:val="center"/>
              <w:rPr>
                <w:b/>
                <w:bCs/>
                <w:szCs w:val="22"/>
                <w:lang w:val="sr-Latn-ME"/>
              </w:rPr>
            </w:pPr>
            <w:r w:rsidRPr="00F24057">
              <w:rPr>
                <w:b/>
                <w:bCs/>
                <w:szCs w:val="22"/>
                <w:lang w:val="sr-Latn-ME"/>
              </w:rPr>
              <w:t>(95% interval pouzdanosti)</w:t>
            </w:r>
          </w:p>
        </w:tc>
        <w:tc>
          <w:tcPr>
            <w:tcW w:w="786" w:type="pct"/>
            <w:vAlign w:val="center"/>
          </w:tcPr>
          <w:p w14:paraId="2DC434B0" w14:textId="77777777" w:rsidR="00824444" w:rsidRPr="00F24057" w:rsidRDefault="00824444" w:rsidP="006F38F6">
            <w:pPr>
              <w:jc w:val="center"/>
              <w:rPr>
                <w:b/>
                <w:bCs/>
                <w:szCs w:val="22"/>
                <w:lang w:val="sr-Latn-ME"/>
              </w:rPr>
            </w:pPr>
            <w:r w:rsidRPr="00F24057">
              <w:rPr>
                <w:b/>
                <w:bCs/>
                <w:szCs w:val="22"/>
                <w:lang w:val="sr-Latn-ME"/>
              </w:rPr>
              <w:t>adalimumab</w:t>
            </w:r>
          </w:p>
          <w:p w14:paraId="5B260BDE" w14:textId="77777777" w:rsidR="00824444" w:rsidRPr="00F24057" w:rsidRDefault="00824444" w:rsidP="006F38F6">
            <w:pPr>
              <w:jc w:val="center"/>
              <w:rPr>
                <w:b/>
                <w:bCs/>
                <w:szCs w:val="22"/>
                <w:lang w:val="sr-Latn-ME"/>
              </w:rPr>
            </w:pPr>
            <w:r w:rsidRPr="00F24057">
              <w:rPr>
                <w:b/>
                <w:bCs/>
                <w:szCs w:val="22"/>
                <w:lang w:val="sr-Latn-ME"/>
              </w:rPr>
              <w:t xml:space="preserve">n=274 </w:t>
            </w:r>
          </w:p>
          <w:p w14:paraId="5DA22BDF" w14:textId="77777777" w:rsidR="00824444" w:rsidRPr="00F24057" w:rsidRDefault="00824444" w:rsidP="006F38F6">
            <w:pPr>
              <w:jc w:val="center"/>
              <w:rPr>
                <w:b/>
                <w:bCs/>
                <w:szCs w:val="22"/>
                <w:lang w:val="sr-Latn-ME"/>
              </w:rPr>
            </w:pPr>
            <w:r w:rsidRPr="00F24057">
              <w:rPr>
                <w:b/>
                <w:bCs/>
                <w:szCs w:val="22"/>
                <w:lang w:val="sr-Latn-ME"/>
              </w:rPr>
              <w:t>(95% interval pouzdanosti)</w:t>
            </w:r>
          </w:p>
        </w:tc>
        <w:tc>
          <w:tcPr>
            <w:tcW w:w="864" w:type="pct"/>
            <w:vAlign w:val="center"/>
          </w:tcPr>
          <w:p w14:paraId="3179FD41" w14:textId="77777777" w:rsidR="00824444" w:rsidRPr="00F24057" w:rsidRDefault="00824444" w:rsidP="006F38F6">
            <w:pPr>
              <w:jc w:val="center"/>
              <w:rPr>
                <w:b/>
                <w:bCs/>
                <w:szCs w:val="22"/>
                <w:lang w:val="sr-Latn-ME"/>
              </w:rPr>
            </w:pPr>
            <w:r w:rsidRPr="00F24057">
              <w:rPr>
                <w:b/>
                <w:bCs/>
                <w:szCs w:val="22"/>
                <w:lang w:val="sr-Latn-ME"/>
              </w:rPr>
              <w:t>adalimumab/MTX</w:t>
            </w:r>
          </w:p>
          <w:p w14:paraId="2FF56807" w14:textId="77777777" w:rsidR="00824444" w:rsidRPr="00F24057" w:rsidRDefault="00824444" w:rsidP="006F38F6">
            <w:pPr>
              <w:jc w:val="center"/>
              <w:rPr>
                <w:b/>
                <w:bCs/>
                <w:szCs w:val="22"/>
                <w:lang w:val="sr-Latn-ME"/>
              </w:rPr>
            </w:pPr>
            <w:r w:rsidRPr="00F24057">
              <w:rPr>
                <w:b/>
                <w:bCs/>
                <w:szCs w:val="22"/>
                <w:lang w:val="sr-Latn-ME"/>
              </w:rPr>
              <w:t xml:space="preserve">n=268 </w:t>
            </w:r>
          </w:p>
          <w:p w14:paraId="74A49DF8" w14:textId="77777777" w:rsidR="00824444" w:rsidRPr="00F24057" w:rsidRDefault="00824444" w:rsidP="006F38F6">
            <w:pPr>
              <w:jc w:val="center"/>
              <w:rPr>
                <w:b/>
                <w:bCs/>
                <w:szCs w:val="22"/>
                <w:lang w:val="sr-Latn-ME"/>
              </w:rPr>
            </w:pPr>
            <w:r w:rsidRPr="00F24057">
              <w:rPr>
                <w:b/>
                <w:bCs/>
                <w:szCs w:val="22"/>
                <w:lang w:val="sr-Latn-ME"/>
              </w:rPr>
              <w:t>(95% interval pouzdanosti)</w:t>
            </w:r>
          </w:p>
        </w:tc>
        <w:tc>
          <w:tcPr>
            <w:tcW w:w="629" w:type="pct"/>
            <w:vAlign w:val="center"/>
          </w:tcPr>
          <w:p w14:paraId="6A4D3398" w14:textId="3DED5A32" w:rsidR="00824444" w:rsidRPr="00F24057" w:rsidRDefault="00824444" w:rsidP="006F38F6">
            <w:pPr>
              <w:jc w:val="center"/>
              <w:rPr>
                <w:b/>
                <w:bCs/>
                <w:szCs w:val="22"/>
                <w:lang w:val="sr-Latn-ME"/>
              </w:rPr>
            </w:pPr>
            <w:r w:rsidRPr="00F24057">
              <w:rPr>
                <w:b/>
                <w:bCs/>
                <w:szCs w:val="22"/>
                <w:lang w:val="sr-Latn-ME"/>
              </w:rPr>
              <w:t>p-</w:t>
            </w:r>
            <w:r w:rsidR="00972894" w:rsidRPr="00F24057">
              <w:rPr>
                <w:b/>
                <w:bCs/>
                <w:szCs w:val="22"/>
                <w:lang w:val="sr-Latn-ME"/>
              </w:rPr>
              <w:t>vrijedno</w:t>
            </w:r>
            <w:r w:rsidRPr="00F24057">
              <w:rPr>
                <w:b/>
                <w:bCs/>
                <w:szCs w:val="22"/>
                <w:lang w:val="sr-Latn-ME"/>
              </w:rPr>
              <w:t>st</w:t>
            </w:r>
            <w:r w:rsidRPr="00F24057">
              <w:rPr>
                <w:b/>
                <w:bCs/>
                <w:szCs w:val="22"/>
                <w:vertAlign w:val="superscript"/>
                <w:lang w:val="sr-Latn-ME"/>
              </w:rPr>
              <w:t>a</w:t>
            </w:r>
          </w:p>
        </w:tc>
        <w:tc>
          <w:tcPr>
            <w:tcW w:w="629" w:type="pct"/>
            <w:vAlign w:val="center"/>
          </w:tcPr>
          <w:p w14:paraId="2EC13BD7" w14:textId="766004C4" w:rsidR="00824444" w:rsidRPr="00F24057" w:rsidRDefault="00824444" w:rsidP="006F38F6">
            <w:pPr>
              <w:jc w:val="center"/>
              <w:rPr>
                <w:b/>
                <w:bCs/>
                <w:szCs w:val="22"/>
                <w:lang w:val="sr-Latn-ME"/>
              </w:rPr>
            </w:pPr>
            <w:r w:rsidRPr="00F24057">
              <w:rPr>
                <w:b/>
                <w:bCs/>
                <w:szCs w:val="22"/>
                <w:lang w:val="sr-Latn-ME"/>
              </w:rPr>
              <w:t>p-</w:t>
            </w:r>
            <w:r w:rsidR="00972894" w:rsidRPr="00F24057">
              <w:rPr>
                <w:b/>
                <w:bCs/>
                <w:szCs w:val="22"/>
                <w:lang w:val="sr-Latn-ME"/>
              </w:rPr>
              <w:t>vrijedno</w:t>
            </w:r>
            <w:r w:rsidRPr="00F24057">
              <w:rPr>
                <w:b/>
                <w:bCs/>
                <w:szCs w:val="22"/>
                <w:lang w:val="sr-Latn-ME"/>
              </w:rPr>
              <w:t>st</w:t>
            </w:r>
            <w:r w:rsidRPr="00F24057">
              <w:rPr>
                <w:b/>
                <w:bCs/>
                <w:szCs w:val="22"/>
                <w:vertAlign w:val="superscript"/>
                <w:lang w:val="sr-Latn-ME"/>
              </w:rPr>
              <w:t>b</w:t>
            </w:r>
          </w:p>
        </w:tc>
        <w:tc>
          <w:tcPr>
            <w:tcW w:w="601" w:type="pct"/>
            <w:vAlign w:val="center"/>
          </w:tcPr>
          <w:p w14:paraId="462176FB" w14:textId="685F3E6F" w:rsidR="00824444" w:rsidRPr="00F24057" w:rsidRDefault="00824444" w:rsidP="00947224">
            <w:pPr>
              <w:tabs>
                <w:tab w:val="clear" w:pos="284"/>
              </w:tabs>
              <w:ind w:right="9"/>
              <w:jc w:val="center"/>
              <w:rPr>
                <w:b/>
                <w:bCs/>
                <w:szCs w:val="22"/>
                <w:lang w:val="sr-Latn-ME"/>
              </w:rPr>
            </w:pPr>
            <w:r w:rsidRPr="00F24057">
              <w:rPr>
                <w:b/>
                <w:bCs/>
                <w:szCs w:val="22"/>
                <w:lang w:val="sr-Latn-ME"/>
              </w:rPr>
              <w:t>p-</w:t>
            </w:r>
            <w:r w:rsidR="00972894" w:rsidRPr="00F24057">
              <w:rPr>
                <w:b/>
                <w:bCs/>
                <w:szCs w:val="22"/>
                <w:lang w:val="sr-Latn-ME"/>
              </w:rPr>
              <w:t>vrijedno</w:t>
            </w:r>
            <w:r w:rsidRPr="00F24057">
              <w:rPr>
                <w:b/>
                <w:bCs/>
                <w:szCs w:val="22"/>
                <w:lang w:val="sr-Latn-ME"/>
              </w:rPr>
              <w:t>st</w:t>
            </w:r>
            <w:r w:rsidRPr="00F24057">
              <w:rPr>
                <w:b/>
                <w:bCs/>
                <w:szCs w:val="22"/>
                <w:vertAlign w:val="superscript"/>
                <w:lang w:val="sr-Latn-ME"/>
              </w:rPr>
              <w:t>c</w:t>
            </w:r>
          </w:p>
        </w:tc>
      </w:tr>
      <w:tr w:rsidR="00824444" w:rsidRPr="00F24057" w14:paraId="51BEBF9C" w14:textId="77777777" w:rsidTr="00947224">
        <w:trPr>
          <w:trHeight w:val="20"/>
        </w:trPr>
        <w:tc>
          <w:tcPr>
            <w:tcW w:w="695" w:type="pct"/>
            <w:vAlign w:val="center"/>
          </w:tcPr>
          <w:p w14:paraId="464E716C" w14:textId="77777777" w:rsidR="00824444" w:rsidRPr="00F24057" w:rsidRDefault="00824444" w:rsidP="006F38F6">
            <w:pPr>
              <w:jc w:val="left"/>
              <w:rPr>
                <w:szCs w:val="22"/>
                <w:lang w:val="sr-Latn-ME"/>
              </w:rPr>
            </w:pPr>
            <w:r w:rsidRPr="00F24057">
              <w:rPr>
                <w:szCs w:val="22"/>
                <w:lang w:val="sr-Latn-ME"/>
              </w:rPr>
              <w:t xml:space="preserve">Ukupni </w:t>
            </w:r>
            <w:r w:rsidRPr="00F24057">
              <w:rPr>
                <w:i/>
                <w:iCs/>
                <w:szCs w:val="22"/>
                <w:lang w:val="sr-Latn-ME"/>
              </w:rPr>
              <w:t>Sharp</w:t>
            </w:r>
            <w:r w:rsidRPr="00F24057">
              <w:rPr>
                <w:szCs w:val="22"/>
                <w:lang w:val="sr-Latn-ME"/>
              </w:rPr>
              <w:t xml:space="preserve"> skor</w:t>
            </w:r>
          </w:p>
        </w:tc>
        <w:tc>
          <w:tcPr>
            <w:tcW w:w="796" w:type="pct"/>
            <w:vAlign w:val="center"/>
          </w:tcPr>
          <w:p w14:paraId="4A62255C" w14:textId="77777777" w:rsidR="00824444" w:rsidRPr="00F24057" w:rsidRDefault="00824444" w:rsidP="006F38F6">
            <w:pPr>
              <w:jc w:val="center"/>
              <w:rPr>
                <w:szCs w:val="22"/>
                <w:lang w:val="sr-Latn-ME"/>
              </w:rPr>
            </w:pPr>
            <w:r w:rsidRPr="00F24057">
              <w:rPr>
                <w:szCs w:val="22"/>
                <w:lang w:val="sr-Latn-ME"/>
              </w:rPr>
              <w:t>5,7 (4,2-7,3)</w:t>
            </w:r>
          </w:p>
        </w:tc>
        <w:tc>
          <w:tcPr>
            <w:tcW w:w="786" w:type="pct"/>
            <w:vAlign w:val="center"/>
          </w:tcPr>
          <w:p w14:paraId="32400E31" w14:textId="77777777" w:rsidR="00824444" w:rsidRPr="00F24057" w:rsidRDefault="00824444" w:rsidP="006F38F6">
            <w:pPr>
              <w:jc w:val="center"/>
              <w:rPr>
                <w:szCs w:val="22"/>
                <w:lang w:val="sr-Latn-ME"/>
              </w:rPr>
            </w:pPr>
            <w:r w:rsidRPr="00F24057">
              <w:rPr>
                <w:szCs w:val="22"/>
                <w:lang w:val="sr-Latn-ME"/>
              </w:rPr>
              <w:t>3,0 (1,7-4,3)</w:t>
            </w:r>
          </w:p>
        </w:tc>
        <w:tc>
          <w:tcPr>
            <w:tcW w:w="864" w:type="pct"/>
            <w:vAlign w:val="center"/>
          </w:tcPr>
          <w:p w14:paraId="5E6D4A7C" w14:textId="77777777" w:rsidR="00824444" w:rsidRPr="00F24057" w:rsidRDefault="00824444" w:rsidP="006F38F6">
            <w:pPr>
              <w:jc w:val="center"/>
              <w:rPr>
                <w:szCs w:val="22"/>
                <w:lang w:val="sr-Latn-ME"/>
              </w:rPr>
            </w:pPr>
            <w:r w:rsidRPr="00F24057">
              <w:rPr>
                <w:szCs w:val="22"/>
                <w:lang w:val="sr-Latn-ME"/>
              </w:rPr>
              <w:t>1,3 (0,5-2,1)</w:t>
            </w:r>
          </w:p>
        </w:tc>
        <w:tc>
          <w:tcPr>
            <w:tcW w:w="629" w:type="pct"/>
            <w:vAlign w:val="center"/>
          </w:tcPr>
          <w:p w14:paraId="21CF6B56" w14:textId="77777777" w:rsidR="00824444" w:rsidRPr="00F24057" w:rsidRDefault="00824444" w:rsidP="006F38F6">
            <w:pPr>
              <w:jc w:val="center"/>
              <w:rPr>
                <w:szCs w:val="22"/>
                <w:lang w:val="sr-Latn-ME"/>
              </w:rPr>
            </w:pPr>
            <w:r w:rsidRPr="00F24057">
              <w:rPr>
                <w:szCs w:val="22"/>
                <w:lang w:val="sr-Latn-ME"/>
              </w:rPr>
              <w:sym w:font="Symbol" w:char="F03C"/>
            </w:r>
            <w:r w:rsidRPr="00F24057">
              <w:rPr>
                <w:szCs w:val="22"/>
                <w:lang w:val="sr-Latn-ME"/>
              </w:rPr>
              <w:t xml:space="preserve"> 0,001</w:t>
            </w:r>
          </w:p>
        </w:tc>
        <w:tc>
          <w:tcPr>
            <w:tcW w:w="629" w:type="pct"/>
            <w:vAlign w:val="center"/>
          </w:tcPr>
          <w:p w14:paraId="2D55987C" w14:textId="77777777" w:rsidR="00824444" w:rsidRPr="00F24057" w:rsidRDefault="00824444" w:rsidP="006F38F6">
            <w:pPr>
              <w:jc w:val="center"/>
              <w:rPr>
                <w:szCs w:val="22"/>
                <w:lang w:val="sr-Latn-ME"/>
              </w:rPr>
            </w:pPr>
            <w:r w:rsidRPr="00F24057">
              <w:rPr>
                <w:szCs w:val="22"/>
                <w:lang w:val="sr-Latn-ME"/>
              </w:rPr>
              <w:t>0,0020</w:t>
            </w:r>
          </w:p>
        </w:tc>
        <w:tc>
          <w:tcPr>
            <w:tcW w:w="601" w:type="pct"/>
            <w:vAlign w:val="center"/>
          </w:tcPr>
          <w:p w14:paraId="47C7A982" w14:textId="77777777" w:rsidR="00824444" w:rsidRPr="00F24057" w:rsidRDefault="00824444" w:rsidP="006F38F6">
            <w:pPr>
              <w:jc w:val="center"/>
              <w:rPr>
                <w:szCs w:val="22"/>
                <w:lang w:val="sr-Latn-ME"/>
              </w:rPr>
            </w:pPr>
            <w:r w:rsidRPr="00F24057">
              <w:rPr>
                <w:szCs w:val="22"/>
                <w:lang w:val="sr-Latn-ME"/>
              </w:rPr>
              <w:sym w:font="Symbol" w:char="F03C"/>
            </w:r>
            <w:r w:rsidRPr="00F24057">
              <w:rPr>
                <w:szCs w:val="22"/>
                <w:lang w:val="sr-Latn-ME"/>
              </w:rPr>
              <w:t xml:space="preserve"> 0,001</w:t>
            </w:r>
          </w:p>
        </w:tc>
      </w:tr>
      <w:tr w:rsidR="00824444" w:rsidRPr="00F24057" w14:paraId="0DBF8E29" w14:textId="77777777" w:rsidTr="00947224">
        <w:trPr>
          <w:trHeight w:val="20"/>
        </w:trPr>
        <w:tc>
          <w:tcPr>
            <w:tcW w:w="695" w:type="pct"/>
            <w:vAlign w:val="center"/>
          </w:tcPr>
          <w:p w14:paraId="1DC9A648" w14:textId="77777777" w:rsidR="00824444" w:rsidRPr="00F24057" w:rsidRDefault="00824444" w:rsidP="006F38F6">
            <w:pPr>
              <w:jc w:val="left"/>
              <w:rPr>
                <w:szCs w:val="22"/>
                <w:lang w:val="sr-Latn-ME"/>
              </w:rPr>
            </w:pPr>
            <w:r w:rsidRPr="00F24057">
              <w:rPr>
                <w:szCs w:val="22"/>
                <w:lang w:val="sr-Latn-ME"/>
              </w:rPr>
              <w:t>Skor erozija</w:t>
            </w:r>
          </w:p>
        </w:tc>
        <w:tc>
          <w:tcPr>
            <w:tcW w:w="796" w:type="pct"/>
            <w:vAlign w:val="center"/>
          </w:tcPr>
          <w:p w14:paraId="5BFCCD21" w14:textId="77777777" w:rsidR="00824444" w:rsidRPr="00F24057" w:rsidRDefault="00824444" w:rsidP="006F38F6">
            <w:pPr>
              <w:jc w:val="center"/>
              <w:rPr>
                <w:szCs w:val="22"/>
                <w:lang w:val="sr-Latn-ME"/>
              </w:rPr>
            </w:pPr>
            <w:r w:rsidRPr="00F24057">
              <w:rPr>
                <w:szCs w:val="22"/>
                <w:lang w:val="sr-Latn-ME"/>
              </w:rPr>
              <w:t>3,7 (2,7-4,7)</w:t>
            </w:r>
          </w:p>
        </w:tc>
        <w:tc>
          <w:tcPr>
            <w:tcW w:w="786" w:type="pct"/>
            <w:vAlign w:val="center"/>
          </w:tcPr>
          <w:p w14:paraId="0C5654F1" w14:textId="77777777" w:rsidR="00824444" w:rsidRPr="00F24057" w:rsidRDefault="00824444" w:rsidP="006F38F6">
            <w:pPr>
              <w:jc w:val="center"/>
              <w:rPr>
                <w:szCs w:val="22"/>
                <w:lang w:val="sr-Latn-ME"/>
              </w:rPr>
            </w:pPr>
            <w:r w:rsidRPr="00F24057">
              <w:rPr>
                <w:szCs w:val="22"/>
                <w:lang w:val="sr-Latn-ME"/>
              </w:rPr>
              <w:t>1,7 (1,0-2,4)</w:t>
            </w:r>
          </w:p>
        </w:tc>
        <w:tc>
          <w:tcPr>
            <w:tcW w:w="864" w:type="pct"/>
            <w:vAlign w:val="center"/>
          </w:tcPr>
          <w:p w14:paraId="67054EE1" w14:textId="77777777" w:rsidR="00824444" w:rsidRPr="00F24057" w:rsidRDefault="00824444" w:rsidP="006F38F6">
            <w:pPr>
              <w:jc w:val="center"/>
              <w:rPr>
                <w:szCs w:val="22"/>
                <w:lang w:val="sr-Latn-ME"/>
              </w:rPr>
            </w:pPr>
            <w:r w:rsidRPr="00F24057">
              <w:rPr>
                <w:szCs w:val="22"/>
                <w:lang w:val="sr-Latn-ME"/>
              </w:rPr>
              <w:t>0,8 (0,4-1,2)</w:t>
            </w:r>
          </w:p>
        </w:tc>
        <w:tc>
          <w:tcPr>
            <w:tcW w:w="629" w:type="pct"/>
            <w:vAlign w:val="center"/>
          </w:tcPr>
          <w:p w14:paraId="51B009D2" w14:textId="77777777" w:rsidR="00824444" w:rsidRPr="00F24057" w:rsidRDefault="00824444" w:rsidP="006F38F6">
            <w:pPr>
              <w:jc w:val="center"/>
              <w:rPr>
                <w:szCs w:val="22"/>
                <w:lang w:val="sr-Latn-ME"/>
              </w:rPr>
            </w:pPr>
            <w:r w:rsidRPr="00F24057">
              <w:rPr>
                <w:szCs w:val="22"/>
                <w:lang w:val="sr-Latn-ME"/>
              </w:rPr>
              <w:sym w:font="Symbol" w:char="F03C"/>
            </w:r>
            <w:r w:rsidRPr="00F24057">
              <w:rPr>
                <w:szCs w:val="22"/>
                <w:lang w:val="sr-Latn-ME"/>
              </w:rPr>
              <w:t xml:space="preserve"> 0,001</w:t>
            </w:r>
          </w:p>
        </w:tc>
        <w:tc>
          <w:tcPr>
            <w:tcW w:w="629" w:type="pct"/>
            <w:vAlign w:val="center"/>
          </w:tcPr>
          <w:p w14:paraId="69758F55" w14:textId="77777777" w:rsidR="00824444" w:rsidRPr="00F24057" w:rsidRDefault="00824444" w:rsidP="006F38F6">
            <w:pPr>
              <w:jc w:val="center"/>
              <w:rPr>
                <w:szCs w:val="22"/>
                <w:lang w:val="sr-Latn-ME"/>
              </w:rPr>
            </w:pPr>
            <w:r w:rsidRPr="00F24057">
              <w:rPr>
                <w:szCs w:val="22"/>
                <w:lang w:val="sr-Latn-ME"/>
              </w:rPr>
              <w:t>0,0082</w:t>
            </w:r>
          </w:p>
        </w:tc>
        <w:tc>
          <w:tcPr>
            <w:tcW w:w="601" w:type="pct"/>
            <w:vAlign w:val="center"/>
          </w:tcPr>
          <w:p w14:paraId="5E08AC1C" w14:textId="77777777" w:rsidR="00824444" w:rsidRPr="00F24057" w:rsidRDefault="00824444" w:rsidP="006F38F6">
            <w:pPr>
              <w:jc w:val="center"/>
              <w:rPr>
                <w:szCs w:val="22"/>
                <w:lang w:val="sr-Latn-ME"/>
              </w:rPr>
            </w:pPr>
            <w:r w:rsidRPr="00F24057">
              <w:rPr>
                <w:szCs w:val="22"/>
                <w:lang w:val="sr-Latn-ME"/>
              </w:rPr>
              <w:sym w:font="Symbol" w:char="F03C"/>
            </w:r>
            <w:r w:rsidRPr="00F24057">
              <w:rPr>
                <w:szCs w:val="22"/>
                <w:lang w:val="sr-Latn-ME"/>
              </w:rPr>
              <w:t xml:space="preserve"> 0,001</w:t>
            </w:r>
          </w:p>
        </w:tc>
      </w:tr>
      <w:tr w:rsidR="00824444" w:rsidRPr="00F24057" w14:paraId="220E71BC" w14:textId="77777777" w:rsidTr="00947224">
        <w:trPr>
          <w:trHeight w:val="20"/>
        </w:trPr>
        <w:tc>
          <w:tcPr>
            <w:tcW w:w="695" w:type="pct"/>
            <w:vAlign w:val="center"/>
          </w:tcPr>
          <w:p w14:paraId="08BD6229" w14:textId="77777777" w:rsidR="00824444" w:rsidRPr="00F24057" w:rsidRDefault="00824444" w:rsidP="006F38F6">
            <w:pPr>
              <w:jc w:val="left"/>
              <w:rPr>
                <w:szCs w:val="22"/>
                <w:lang w:val="sr-Latn-ME"/>
              </w:rPr>
            </w:pPr>
            <w:r w:rsidRPr="00F24057">
              <w:rPr>
                <w:szCs w:val="22"/>
                <w:lang w:val="sr-Latn-ME"/>
              </w:rPr>
              <w:t>JSN skor</w:t>
            </w:r>
          </w:p>
        </w:tc>
        <w:tc>
          <w:tcPr>
            <w:tcW w:w="796" w:type="pct"/>
            <w:vAlign w:val="center"/>
          </w:tcPr>
          <w:p w14:paraId="646B7943" w14:textId="77777777" w:rsidR="00824444" w:rsidRPr="00F24057" w:rsidRDefault="00824444" w:rsidP="006F38F6">
            <w:pPr>
              <w:jc w:val="center"/>
              <w:rPr>
                <w:szCs w:val="22"/>
                <w:lang w:val="sr-Latn-ME"/>
              </w:rPr>
            </w:pPr>
            <w:r w:rsidRPr="00F24057">
              <w:rPr>
                <w:szCs w:val="22"/>
                <w:lang w:val="sr-Latn-ME"/>
              </w:rPr>
              <w:t>2,0 (1,2-2,8)</w:t>
            </w:r>
          </w:p>
        </w:tc>
        <w:tc>
          <w:tcPr>
            <w:tcW w:w="786" w:type="pct"/>
            <w:vAlign w:val="center"/>
          </w:tcPr>
          <w:p w14:paraId="0A17EC4A" w14:textId="77777777" w:rsidR="00824444" w:rsidRPr="00F24057" w:rsidRDefault="00824444" w:rsidP="006F38F6">
            <w:pPr>
              <w:jc w:val="center"/>
              <w:rPr>
                <w:szCs w:val="22"/>
                <w:lang w:val="sr-Latn-ME"/>
              </w:rPr>
            </w:pPr>
            <w:r w:rsidRPr="00F24057">
              <w:rPr>
                <w:szCs w:val="22"/>
                <w:lang w:val="sr-Latn-ME"/>
              </w:rPr>
              <w:t>1,3 (0,5-2,1)</w:t>
            </w:r>
          </w:p>
        </w:tc>
        <w:tc>
          <w:tcPr>
            <w:tcW w:w="864" w:type="pct"/>
            <w:vAlign w:val="center"/>
          </w:tcPr>
          <w:p w14:paraId="52D08A67" w14:textId="77777777" w:rsidR="00824444" w:rsidRPr="00F24057" w:rsidRDefault="00824444" w:rsidP="006F38F6">
            <w:pPr>
              <w:jc w:val="center"/>
              <w:rPr>
                <w:szCs w:val="22"/>
                <w:lang w:val="sr-Latn-ME"/>
              </w:rPr>
            </w:pPr>
            <w:r w:rsidRPr="00F24057">
              <w:rPr>
                <w:szCs w:val="22"/>
                <w:lang w:val="sr-Latn-ME"/>
              </w:rPr>
              <w:t>0,5 (0-1,0)</w:t>
            </w:r>
          </w:p>
        </w:tc>
        <w:tc>
          <w:tcPr>
            <w:tcW w:w="629" w:type="pct"/>
            <w:vAlign w:val="center"/>
          </w:tcPr>
          <w:p w14:paraId="255A821D" w14:textId="77777777" w:rsidR="00824444" w:rsidRPr="00F24057" w:rsidRDefault="00824444" w:rsidP="006F38F6">
            <w:pPr>
              <w:jc w:val="center"/>
              <w:rPr>
                <w:szCs w:val="22"/>
                <w:lang w:val="sr-Latn-ME"/>
              </w:rPr>
            </w:pPr>
            <w:r w:rsidRPr="00F24057">
              <w:rPr>
                <w:szCs w:val="22"/>
                <w:lang w:val="sr-Latn-ME"/>
              </w:rPr>
              <w:sym w:font="Symbol" w:char="F03C"/>
            </w:r>
            <w:r w:rsidRPr="00F24057">
              <w:rPr>
                <w:szCs w:val="22"/>
                <w:lang w:val="sr-Latn-ME"/>
              </w:rPr>
              <w:t xml:space="preserve"> 0,001</w:t>
            </w:r>
          </w:p>
        </w:tc>
        <w:tc>
          <w:tcPr>
            <w:tcW w:w="629" w:type="pct"/>
            <w:vAlign w:val="center"/>
          </w:tcPr>
          <w:p w14:paraId="1C3E4D35" w14:textId="77777777" w:rsidR="00824444" w:rsidRPr="00F24057" w:rsidRDefault="00824444" w:rsidP="006F38F6">
            <w:pPr>
              <w:jc w:val="center"/>
              <w:rPr>
                <w:szCs w:val="22"/>
                <w:lang w:val="sr-Latn-ME"/>
              </w:rPr>
            </w:pPr>
            <w:r w:rsidRPr="00F24057">
              <w:rPr>
                <w:szCs w:val="22"/>
                <w:lang w:val="sr-Latn-ME"/>
              </w:rPr>
              <w:t>0,0037</w:t>
            </w:r>
          </w:p>
        </w:tc>
        <w:tc>
          <w:tcPr>
            <w:tcW w:w="601" w:type="pct"/>
            <w:vAlign w:val="center"/>
          </w:tcPr>
          <w:p w14:paraId="1D24A659" w14:textId="77777777" w:rsidR="00824444" w:rsidRPr="00F24057" w:rsidRDefault="00824444" w:rsidP="006F38F6">
            <w:pPr>
              <w:jc w:val="center"/>
              <w:rPr>
                <w:szCs w:val="22"/>
                <w:lang w:val="sr-Latn-ME"/>
              </w:rPr>
            </w:pPr>
            <w:r w:rsidRPr="00F24057">
              <w:rPr>
                <w:szCs w:val="22"/>
                <w:lang w:val="sr-Latn-ME"/>
              </w:rPr>
              <w:t>0,151</w:t>
            </w:r>
          </w:p>
        </w:tc>
      </w:tr>
    </w:tbl>
    <w:p w14:paraId="1E54D42F" w14:textId="7C331679" w:rsidR="00356C0D" w:rsidRPr="00F24057" w:rsidRDefault="00356C0D" w:rsidP="00D70B34">
      <w:pPr>
        <w:rPr>
          <w:szCs w:val="22"/>
          <w:lang w:val="sr-Latn-ME"/>
        </w:rPr>
      </w:pPr>
      <w:r w:rsidRPr="00F24057">
        <w:rPr>
          <w:szCs w:val="22"/>
          <w:vertAlign w:val="superscript"/>
          <w:lang w:val="sr-Latn-ME"/>
        </w:rPr>
        <w:t>a</w:t>
      </w:r>
      <w:r w:rsidRPr="00F24057">
        <w:rPr>
          <w:szCs w:val="22"/>
          <w:lang w:val="sr-Latn-ME"/>
        </w:rPr>
        <w:t xml:space="preserve"> p-</w:t>
      </w:r>
      <w:r w:rsidR="00972894" w:rsidRPr="00F24057">
        <w:rPr>
          <w:szCs w:val="22"/>
          <w:lang w:val="sr-Latn-ME"/>
        </w:rPr>
        <w:t>vrijedno</w:t>
      </w:r>
      <w:r w:rsidRPr="00F24057">
        <w:rPr>
          <w:szCs w:val="22"/>
          <w:lang w:val="sr-Latn-ME"/>
        </w:rPr>
        <w:t xml:space="preserve">st je iz uporednog poređenja monoterapije metotreksatom i kombinovane terapije adalimumab/metotreksat korišćenjem </w:t>
      </w:r>
      <w:r w:rsidRPr="00F24057">
        <w:rPr>
          <w:i/>
          <w:iCs/>
          <w:szCs w:val="22"/>
          <w:lang w:val="sr-Latn-ME"/>
        </w:rPr>
        <w:t>Mann-Whitney</w:t>
      </w:r>
      <w:r w:rsidRPr="00F24057">
        <w:rPr>
          <w:szCs w:val="22"/>
          <w:lang w:val="sr-Latn-ME"/>
        </w:rPr>
        <w:t xml:space="preserve"> U testa. </w:t>
      </w:r>
    </w:p>
    <w:p w14:paraId="7C83AE2F" w14:textId="3AA5EC9C" w:rsidR="00356C0D" w:rsidRPr="00F24057" w:rsidRDefault="00356C0D" w:rsidP="00D70B34">
      <w:pPr>
        <w:rPr>
          <w:szCs w:val="22"/>
          <w:lang w:val="sr-Latn-ME"/>
        </w:rPr>
      </w:pPr>
      <w:r w:rsidRPr="00F24057">
        <w:rPr>
          <w:szCs w:val="22"/>
          <w:vertAlign w:val="superscript"/>
          <w:lang w:val="sr-Latn-ME"/>
        </w:rPr>
        <w:t>b</w:t>
      </w:r>
      <w:r w:rsidRPr="00F24057">
        <w:rPr>
          <w:szCs w:val="22"/>
          <w:lang w:val="sr-Latn-ME"/>
        </w:rPr>
        <w:t xml:space="preserve"> p-</w:t>
      </w:r>
      <w:r w:rsidR="00972894" w:rsidRPr="00F24057">
        <w:rPr>
          <w:szCs w:val="22"/>
          <w:lang w:val="sr-Latn-ME"/>
        </w:rPr>
        <w:t>vrijedno</w:t>
      </w:r>
      <w:r w:rsidRPr="00F24057">
        <w:rPr>
          <w:szCs w:val="22"/>
          <w:lang w:val="sr-Latn-ME"/>
        </w:rPr>
        <w:t xml:space="preserve">st je iz uporednog poređenja monoterapije adalimumabom i kombinovane terapije adalimumab/metotreksat korišćenjem </w:t>
      </w:r>
      <w:r w:rsidRPr="00F24057">
        <w:rPr>
          <w:i/>
          <w:iCs/>
          <w:szCs w:val="22"/>
          <w:lang w:val="sr-Latn-ME"/>
        </w:rPr>
        <w:t>Mann-Whitney</w:t>
      </w:r>
      <w:r w:rsidRPr="00F24057">
        <w:rPr>
          <w:szCs w:val="22"/>
          <w:lang w:val="sr-Latn-ME"/>
        </w:rPr>
        <w:t xml:space="preserve"> U testa. </w:t>
      </w:r>
    </w:p>
    <w:p w14:paraId="67B064AA" w14:textId="75C70403" w:rsidR="007F33CD" w:rsidRPr="00F24057" w:rsidRDefault="00356C0D" w:rsidP="00D70B34">
      <w:pPr>
        <w:rPr>
          <w:szCs w:val="22"/>
          <w:lang w:val="sr-Latn-ME"/>
        </w:rPr>
      </w:pPr>
      <w:r w:rsidRPr="00F24057">
        <w:rPr>
          <w:szCs w:val="22"/>
          <w:vertAlign w:val="superscript"/>
          <w:lang w:val="sr-Latn-ME"/>
        </w:rPr>
        <w:t>c</w:t>
      </w:r>
      <w:r w:rsidR="003E5C78" w:rsidRPr="00F24057">
        <w:rPr>
          <w:szCs w:val="22"/>
          <w:lang w:val="sr-Latn-ME"/>
        </w:rPr>
        <w:t xml:space="preserve"> </w:t>
      </w:r>
      <w:r w:rsidRPr="00F24057">
        <w:rPr>
          <w:szCs w:val="22"/>
          <w:lang w:val="sr-Latn-ME"/>
        </w:rPr>
        <w:t>p-</w:t>
      </w:r>
      <w:r w:rsidR="00972894" w:rsidRPr="00F24057">
        <w:rPr>
          <w:szCs w:val="22"/>
          <w:lang w:val="sr-Latn-ME"/>
        </w:rPr>
        <w:t>vrijedno</w:t>
      </w:r>
      <w:r w:rsidRPr="00F24057">
        <w:rPr>
          <w:szCs w:val="22"/>
          <w:lang w:val="sr-Latn-ME"/>
        </w:rPr>
        <w:t xml:space="preserve">st je iz uporednog poređenja adalimumab monoterapije i metotreksat monoterapije korišćenjem </w:t>
      </w:r>
      <w:r w:rsidRPr="00F24057">
        <w:rPr>
          <w:i/>
          <w:iCs/>
          <w:szCs w:val="22"/>
          <w:lang w:val="sr-Latn-ME"/>
        </w:rPr>
        <w:t>Mann-Whitney</w:t>
      </w:r>
      <w:r w:rsidRPr="00F24057">
        <w:rPr>
          <w:szCs w:val="22"/>
          <w:lang w:val="sr-Latn-ME"/>
        </w:rPr>
        <w:t xml:space="preserve"> U testa.</w:t>
      </w:r>
    </w:p>
    <w:p w14:paraId="333054FE" w14:textId="60396A5D" w:rsidR="00356C0D" w:rsidRPr="00F24057" w:rsidRDefault="00356C0D" w:rsidP="00D70B34">
      <w:pPr>
        <w:rPr>
          <w:szCs w:val="22"/>
          <w:lang w:val="sr-Latn-ME"/>
        </w:rPr>
      </w:pPr>
    </w:p>
    <w:p w14:paraId="1DCFDD29" w14:textId="6567A20E" w:rsidR="00356C0D" w:rsidRPr="00F24057" w:rsidRDefault="00356C0D" w:rsidP="00D70B34">
      <w:pPr>
        <w:rPr>
          <w:szCs w:val="22"/>
          <w:lang w:val="sr-Latn-ME"/>
        </w:rPr>
      </w:pPr>
      <w:r w:rsidRPr="00F24057">
        <w:rPr>
          <w:szCs w:val="22"/>
          <w:lang w:val="sr-Latn-ME"/>
        </w:rPr>
        <w:t xml:space="preserve">Nakon 52 </w:t>
      </w:r>
      <w:r w:rsidR="00885A78" w:rsidRPr="00F24057">
        <w:rPr>
          <w:szCs w:val="22"/>
          <w:lang w:val="sr-Latn-ME"/>
        </w:rPr>
        <w:t>nedjelj</w:t>
      </w:r>
      <w:r w:rsidRPr="00F24057">
        <w:rPr>
          <w:szCs w:val="22"/>
          <w:lang w:val="sr-Latn-ME"/>
        </w:rPr>
        <w:t xml:space="preserve">e i 104 </w:t>
      </w:r>
      <w:r w:rsidR="00885A78" w:rsidRPr="00F24057">
        <w:rPr>
          <w:szCs w:val="22"/>
          <w:lang w:val="sr-Latn-ME"/>
        </w:rPr>
        <w:t>nedjelj</w:t>
      </w:r>
      <w:r w:rsidRPr="00F24057">
        <w:rPr>
          <w:szCs w:val="22"/>
          <w:lang w:val="sr-Latn-ME"/>
        </w:rPr>
        <w:t xml:space="preserve">e terapije, </w:t>
      </w:r>
      <w:r w:rsidR="00972894" w:rsidRPr="00F24057">
        <w:rPr>
          <w:szCs w:val="22"/>
          <w:lang w:val="sr-Latn-ME"/>
        </w:rPr>
        <w:t>procenat</w:t>
      </w:r>
      <w:r w:rsidRPr="00F24057">
        <w:rPr>
          <w:szCs w:val="22"/>
          <w:lang w:val="sr-Latn-ME"/>
        </w:rPr>
        <w:t xml:space="preserve"> pacijenata bez progresije (</w:t>
      </w:r>
      <w:r w:rsidR="004F2520" w:rsidRPr="00F24057">
        <w:rPr>
          <w:szCs w:val="22"/>
          <w:lang w:val="sr-Latn-ME"/>
        </w:rPr>
        <w:t>promjen</w:t>
      </w:r>
      <w:r w:rsidRPr="00F24057">
        <w:rPr>
          <w:szCs w:val="22"/>
          <w:lang w:val="sr-Latn-ME"/>
        </w:rPr>
        <w:t xml:space="preserve">a od početne </w:t>
      </w:r>
      <w:r w:rsidR="00972894" w:rsidRPr="00F24057">
        <w:rPr>
          <w:szCs w:val="22"/>
          <w:lang w:val="sr-Latn-ME"/>
        </w:rPr>
        <w:t>vrijedno</w:t>
      </w:r>
      <w:r w:rsidRPr="00F24057">
        <w:rPr>
          <w:szCs w:val="22"/>
          <w:lang w:val="sr-Latn-ME"/>
        </w:rPr>
        <w:t xml:space="preserve">sti u modifikovanom ukupnom </w:t>
      </w:r>
      <w:r w:rsidRPr="00F24057">
        <w:rPr>
          <w:i/>
          <w:iCs/>
          <w:szCs w:val="22"/>
          <w:lang w:val="sr-Latn-ME"/>
        </w:rPr>
        <w:t>Sharp</w:t>
      </w:r>
      <w:r w:rsidRPr="00F24057">
        <w:rPr>
          <w:szCs w:val="22"/>
          <w:lang w:val="sr-Latn-ME"/>
        </w:rPr>
        <w:t xml:space="preserve"> skoru ≤ 0,5) je bio značajno veći sa kombinovanom terapijom adalimumab/metotreksat (63,8% odnosno 61,2%) u poređenju sa monoterapijom metotreksatom (37,4% odnosno 33,5%, p </w:t>
      </w:r>
      <w:r w:rsidRPr="00F24057">
        <w:rPr>
          <w:szCs w:val="22"/>
          <w:lang w:val="sr-Latn-ME"/>
        </w:rPr>
        <w:sym w:font="Symbol" w:char="F03C"/>
      </w:r>
      <w:r w:rsidRPr="00F24057">
        <w:rPr>
          <w:szCs w:val="22"/>
          <w:lang w:val="sr-Latn-ME"/>
        </w:rPr>
        <w:t xml:space="preserve"> 0,001) i monoterapijom adalimumabom (50,7%, p </w:t>
      </w:r>
      <w:r w:rsidRPr="00F24057">
        <w:rPr>
          <w:szCs w:val="22"/>
          <w:lang w:val="sr-Latn-ME"/>
        </w:rPr>
        <w:sym w:font="Symbol" w:char="F03C"/>
      </w:r>
      <w:r w:rsidRPr="00F24057">
        <w:rPr>
          <w:szCs w:val="22"/>
          <w:lang w:val="sr-Latn-ME"/>
        </w:rPr>
        <w:t xml:space="preserve"> 0,002 odnosno 44,5%, p </w:t>
      </w:r>
      <w:r w:rsidRPr="00F24057">
        <w:rPr>
          <w:szCs w:val="22"/>
          <w:lang w:val="sr-Latn-ME"/>
        </w:rPr>
        <w:sym w:font="Symbol" w:char="F03C"/>
      </w:r>
      <w:r w:rsidRPr="00F24057">
        <w:rPr>
          <w:szCs w:val="22"/>
          <w:lang w:val="sr-Latn-ME"/>
        </w:rPr>
        <w:t xml:space="preserve"> 0,001). </w:t>
      </w:r>
    </w:p>
    <w:p w14:paraId="01692845" w14:textId="77777777" w:rsidR="00356C0D" w:rsidRPr="00F24057" w:rsidRDefault="00356C0D" w:rsidP="00D70B34">
      <w:pPr>
        <w:rPr>
          <w:szCs w:val="22"/>
          <w:lang w:val="sr-Latn-ME"/>
        </w:rPr>
      </w:pPr>
    </w:p>
    <w:p w14:paraId="15B266AD" w14:textId="44F35AB8" w:rsidR="00356C0D" w:rsidRPr="00F24057" w:rsidRDefault="00356C0D" w:rsidP="00D70B34">
      <w:pPr>
        <w:rPr>
          <w:szCs w:val="22"/>
          <w:lang w:val="sr-Latn-ME"/>
        </w:rPr>
      </w:pPr>
      <w:r w:rsidRPr="00F24057">
        <w:rPr>
          <w:szCs w:val="22"/>
          <w:lang w:val="sr-Latn-ME"/>
        </w:rPr>
        <w:t xml:space="preserve">U otvorenom produžetku RA studije V, srednja </w:t>
      </w:r>
      <w:r w:rsidR="00972894" w:rsidRPr="00F24057">
        <w:rPr>
          <w:szCs w:val="22"/>
          <w:lang w:val="sr-Latn-ME"/>
        </w:rPr>
        <w:t>vrijedno</w:t>
      </w:r>
      <w:r w:rsidRPr="00F24057">
        <w:rPr>
          <w:szCs w:val="22"/>
          <w:lang w:val="sr-Latn-ME"/>
        </w:rPr>
        <w:t xml:space="preserve">st </w:t>
      </w:r>
      <w:r w:rsidR="004F2520" w:rsidRPr="00F24057">
        <w:rPr>
          <w:szCs w:val="22"/>
          <w:lang w:val="sr-Latn-ME"/>
        </w:rPr>
        <w:t>promjen</w:t>
      </w:r>
      <w:r w:rsidRPr="00F24057">
        <w:rPr>
          <w:szCs w:val="22"/>
          <w:lang w:val="sr-Latn-ME"/>
        </w:rPr>
        <w:t xml:space="preserve">e ukupnog zbira bodova prema modifikovanoj </w:t>
      </w:r>
      <w:r w:rsidRPr="00F24057">
        <w:rPr>
          <w:i/>
          <w:iCs/>
          <w:szCs w:val="22"/>
          <w:lang w:val="sr-Latn-ME"/>
        </w:rPr>
        <w:t>Sharp</w:t>
      </w:r>
      <w:r w:rsidRPr="00F24057">
        <w:rPr>
          <w:szCs w:val="22"/>
          <w:lang w:val="sr-Latn-ME"/>
        </w:rPr>
        <w:t xml:space="preserve">-ovoj skali od početka ispitivanja do godine 10 iznosila je 10,8 kod pacijenata inicijalno randomizovanih za monoterapiju metotreksatom, 9,2 kod pacijenata inicijalno randomizovanih za monoterapiju adalimumabom i 3,9 kod pacijenata inicijalno randomizovanih za </w:t>
      </w:r>
      <w:r w:rsidR="0030064A" w:rsidRPr="00F24057">
        <w:rPr>
          <w:szCs w:val="22"/>
          <w:lang w:val="sr-Latn-ME"/>
        </w:rPr>
        <w:t>liječenje</w:t>
      </w:r>
      <w:r w:rsidRPr="00F24057">
        <w:rPr>
          <w:szCs w:val="22"/>
          <w:lang w:val="sr-Latn-ME"/>
        </w:rPr>
        <w:t xml:space="preserve"> kombinacijom adalimumaba i metotreksata. Odgovarajući ud</w:t>
      </w:r>
      <w:r w:rsidR="009A3407" w:rsidRPr="00F24057">
        <w:rPr>
          <w:szCs w:val="22"/>
          <w:lang w:val="sr-Latn-ME"/>
        </w:rPr>
        <w:t>i</w:t>
      </w:r>
      <w:r w:rsidRPr="00F24057">
        <w:rPr>
          <w:szCs w:val="22"/>
          <w:lang w:val="sr-Latn-ME"/>
        </w:rPr>
        <w:t>o pacijenata bez radiološke progresije iznosio je 31,3%, 23,7% odnosno 36,7%.</w:t>
      </w:r>
    </w:p>
    <w:p w14:paraId="3026E046" w14:textId="5E76A522" w:rsidR="00356C0D" w:rsidRPr="00F24057" w:rsidRDefault="00356C0D" w:rsidP="00D70B34">
      <w:pPr>
        <w:rPr>
          <w:szCs w:val="22"/>
          <w:lang w:val="sr-Latn-ME"/>
        </w:rPr>
      </w:pPr>
    </w:p>
    <w:p w14:paraId="7AD19986" w14:textId="77777777" w:rsidR="00356C0D" w:rsidRPr="00F24057" w:rsidRDefault="00356C0D" w:rsidP="00D70B34">
      <w:pPr>
        <w:rPr>
          <w:i/>
          <w:iCs/>
          <w:szCs w:val="22"/>
          <w:u w:val="single"/>
          <w:lang w:val="sr-Latn-ME"/>
        </w:rPr>
      </w:pPr>
      <w:r w:rsidRPr="00F24057">
        <w:rPr>
          <w:i/>
          <w:iCs/>
          <w:szCs w:val="22"/>
          <w:u w:val="single"/>
          <w:lang w:val="sr-Latn-ME"/>
        </w:rPr>
        <w:t xml:space="preserve">Kvalitet života i fizička funkcija </w:t>
      </w:r>
    </w:p>
    <w:p w14:paraId="7E302410" w14:textId="4D6C66FD" w:rsidR="00356C0D" w:rsidRPr="00F24057" w:rsidRDefault="00356C0D" w:rsidP="00D70B34">
      <w:pPr>
        <w:rPr>
          <w:szCs w:val="22"/>
          <w:lang w:val="sr-Latn-ME"/>
        </w:rPr>
      </w:pPr>
      <w:r w:rsidRPr="00F24057">
        <w:rPr>
          <w:szCs w:val="22"/>
          <w:lang w:val="sr-Latn-ME"/>
        </w:rPr>
        <w:t xml:space="preserve">Kvalitet života povezan sa zdravljem i fizička funkcija su </w:t>
      </w:r>
      <w:r w:rsidR="00897E85" w:rsidRPr="00F24057">
        <w:rPr>
          <w:szCs w:val="22"/>
          <w:lang w:val="sr-Latn-ME"/>
        </w:rPr>
        <w:t>procijenjen</w:t>
      </w:r>
      <w:r w:rsidRPr="00F24057">
        <w:rPr>
          <w:szCs w:val="22"/>
          <w:lang w:val="sr-Latn-ME"/>
        </w:rPr>
        <w:t xml:space="preserve">i upotrebom indeksa onesposobljenosti iz Upitnika </w:t>
      </w:r>
      <w:r w:rsidR="004F2520" w:rsidRPr="00F24057">
        <w:rPr>
          <w:szCs w:val="22"/>
          <w:lang w:val="sr-Latn-ME"/>
        </w:rPr>
        <w:t>procjen</w:t>
      </w:r>
      <w:r w:rsidRPr="00F24057">
        <w:rPr>
          <w:szCs w:val="22"/>
          <w:lang w:val="sr-Latn-ME"/>
        </w:rPr>
        <w:t xml:space="preserve">e zdravlja (engl. </w:t>
      </w:r>
      <w:r w:rsidRPr="00F24057">
        <w:rPr>
          <w:i/>
          <w:iCs/>
          <w:szCs w:val="22"/>
          <w:lang w:val="sr-Latn-ME"/>
        </w:rPr>
        <w:t>Health Assessment Questionnaire</w:t>
      </w:r>
      <w:r w:rsidRPr="00F24057">
        <w:rPr>
          <w:szCs w:val="22"/>
          <w:lang w:val="sr-Latn-ME"/>
        </w:rPr>
        <w:t xml:space="preserve">-HAQ) u četiri originalna, adekvatna i dobro kontrolisana ispitivanja, koja su imala prethodno određen parametar praćenja u 52. </w:t>
      </w:r>
      <w:r w:rsidR="00885A78" w:rsidRPr="00F24057">
        <w:rPr>
          <w:szCs w:val="22"/>
          <w:lang w:val="sr-Latn-ME"/>
        </w:rPr>
        <w:t>nedjelj</w:t>
      </w:r>
      <w:r w:rsidRPr="00F24057">
        <w:rPr>
          <w:szCs w:val="22"/>
          <w:lang w:val="sr-Latn-ME"/>
        </w:rPr>
        <w:t xml:space="preserve">i u RA studiji III. Sve doze/režimi doziranja adalimumaba u sve četiri studije pokazuju statistički značajno veće poboljšanje indeksa onesposobljenosti iz HAQ od početka do </w:t>
      </w:r>
      <w:r w:rsidR="00885A78" w:rsidRPr="00F24057">
        <w:rPr>
          <w:szCs w:val="22"/>
          <w:lang w:val="sr-Latn-ME"/>
        </w:rPr>
        <w:t>mjesec</w:t>
      </w:r>
      <w:r w:rsidRPr="00F24057">
        <w:rPr>
          <w:szCs w:val="22"/>
          <w:lang w:val="sr-Latn-ME"/>
        </w:rPr>
        <w:t xml:space="preserve">a 6 u poređenju sa placebom, a i u RA studiji III je isto </w:t>
      </w:r>
      <w:r w:rsidR="00CB199C" w:rsidRPr="00F24057">
        <w:rPr>
          <w:szCs w:val="22"/>
          <w:lang w:val="sr-Latn-ME"/>
        </w:rPr>
        <w:t>primijećeno</w:t>
      </w:r>
      <w:r w:rsidRPr="00F24057">
        <w:rPr>
          <w:szCs w:val="22"/>
          <w:lang w:val="sr-Latn-ME"/>
        </w:rPr>
        <w:t xml:space="preserve"> u 52. </w:t>
      </w:r>
      <w:r w:rsidR="00885A78" w:rsidRPr="00F24057">
        <w:rPr>
          <w:szCs w:val="22"/>
          <w:lang w:val="sr-Latn-ME"/>
        </w:rPr>
        <w:t>nedjelj</w:t>
      </w:r>
      <w:r w:rsidRPr="00F24057">
        <w:rPr>
          <w:szCs w:val="22"/>
          <w:lang w:val="sr-Latn-ME"/>
        </w:rPr>
        <w:t xml:space="preserve">i. Rezultati Kratke ankete zdravlja (engl. </w:t>
      </w:r>
      <w:r w:rsidRPr="00F24057">
        <w:rPr>
          <w:i/>
          <w:iCs/>
          <w:szCs w:val="22"/>
          <w:lang w:val="sr-Latn-ME"/>
        </w:rPr>
        <w:t>Short Form Health Survey</w:t>
      </w:r>
      <w:r w:rsidRPr="00F24057">
        <w:rPr>
          <w:szCs w:val="22"/>
          <w:lang w:val="sr-Latn-ME"/>
        </w:rPr>
        <w:t xml:space="preserve">-SF 36) za sve doze/režime doziranja </w:t>
      </w:r>
      <w:r w:rsidRPr="00F24057">
        <w:rPr>
          <w:szCs w:val="22"/>
          <w:lang w:val="sr-Latn-ME"/>
        </w:rPr>
        <w:lastRenderedPageBreak/>
        <w:t xml:space="preserve">adalimumaba u sve četiri studije podržavaju ove nalaze, sa statistički značajnim skorovima rezimea fizičkih komponenti (engl. </w:t>
      </w:r>
      <w:r w:rsidRPr="00F24057">
        <w:rPr>
          <w:i/>
          <w:iCs/>
          <w:szCs w:val="22"/>
          <w:lang w:val="sr-Latn-ME"/>
        </w:rPr>
        <w:t>Physical Component Summary</w:t>
      </w:r>
      <w:r w:rsidRPr="00F24057">
        <w:rPr>
          <w:szCs w:val="22"/>
          <w:lang w:val="sr-Latn-ME"/>
        </w:rPr>
        <w:t xml:space="preserve">-PCS), kao i statistički značajnim skorovima bola i vitalnosti za dozu od 40 mg svake druge </w:t>
      </w:r>
      <w:r w:rsidR="00885A78" w:rsidRPr="00F24057">
        <w:rPr>
          <w:szCs w:val="22"/>
          <w:lang w:val="sr-Latn-ME"/>
        </w:rPr>
        <w:t>nedjelj</w:t>
      </w:r>
      <w:r w:rsidRPr="00F24057">
        <w:rPr>
          <w:szCs w:val="22"/>
          <w:lang w:val="sr-Latn-ME"/>
        </w:rPr>
        <w:t xml:space="preserve">e. Statistički značajno smanjenje malaksalosti </w:t>
      </w:r>
      <w:r w:rsidR="0030064A" w:rsidRPr="00F24057">
        <w:rPr>
          <w:szCs w:val="22"/>
          <w:lang w:val="sr-Latn-ME"/>
        </w:rPr>
        <w:t>mjeren</w:t>
      </w:r>
      <w:r w:rsidRPr="00F24057">
        <w:rPr>
          <w:szCs w:val="22"/>
          <w:lang w:val="sr-Latn-ME"/>
        </w:rPr>
        <w:t xml:space="preserve">o funkcionalnom </w:t>
      </w:r>
      <w:r w:rsidR="004F2520" w:rsidRPr="00F24057">
        <w:rPr>
          <w:szCs w:val="22"/>
          <w:lang w:val="sr-Latn-ME"/>
        </w:rPr>
        <w:t>procjen</w:t>
      </w:r>
      <w:r w:rsidRPr="00F24057">
        <w:rPr>
          <w:szCs w:val="22"/>
          <w:lang w:val="sr-Latn-ME"/>
        </w:rPr>
        <w:t xml:space="preserve">om skorova terapije hroničnih bolesti (engl. </w:t>
      </w:r>
      <w:r w:rsidRPr="00F24057">
        <w:rPr>
          <w:i/>
          <w:iCs/>
          <w:szCs w:val="22"/>
          <w:lang w:val="sr-Latn-ME"/>
        </w:rPr>
        <w:t xml:space="preserve">Functional Assessment of </w:t>
      </w:r>
      <w:r w:rsidR="00DA2306" w:rsidRPr="00F24057">
        <w:rPr>
          <w:i/>
          <w:iCs/>
          <w:szCs w:val="22"/>
          <w:lang w:val="sr-Latn-ME"/>
        </w:rPr>
        <w:t>Crohn</w:t>
      </w:r>
      <w:r w:rsidRPr="00F24057">
        <w:rPr>
          <w:i/>
          <w:iCs/>
          <w:szCs w:val="22"/>
          <w:lang w:val="sr-Latn-ME"/>
        </w:rPr>
        <w:t>ic Illness Therapy</w:t>
      </w:r>
      <w:r w:rsidRPr="00F24057">
        <w:rPr>
          <w:szCs w:val="22"/>
          <w:lang w:val="sr-Latn-ME"/>
        </w:rPr>
        <w:t xml:space="preserve">-FACIT) </w:t>
      </w:r>
      <w:r w:rsidR="00CB199C" w:rsidRPr="00F24057">
        <w:rPr>
          <w:szCs w:val="22"/>
          <w:lang w:val="sr-Latn-ME"/>
        </w:rPr>
        <w:t>primijećeno</w:t>
      </w:r>
      <w:r w:rsidRPr="00F24057">
        <w:rPr>
          <w:szCs w:val="22"/>
          <w:lang w:val="sr-Latn-ME"/>
        </w:rPr>
        <w:t xml:space="preserve"> je u sve tri studije u kojima je i </w:t>
      </w:r>
      <w:r w:rsidR="004F2520" w:rsidRPr="00F24057">
        <w:rPr>
          <w:szCs w:val="22"/>
          <w:lang w:val="sr-Latn-ME"/>
        </w:rPr>
        <w:t>procjen</w:t>
      </w:r>
      <w:r w:rsidRPr="00F24057">
        <w:rPr>
          <w:szCs w:val="22"/>
          <w:lang w:val="sr-Latn-ME"/>
        </w:rPr>
        <w:t xml:space="preserve">jivano (RA studije I, III, IV). </w:t>
      </w:r>
    </w:p>
    <w:p w14:paraId="32BF6210" w14:textId="77777777" w:rsidR="00356C0D" w:rsidRPr="00F24057" w:rsidRDefault="00356C0D" w:rsidP="00D70B34">
      <w:pPr>
        <w:rPr>
          <w:szCs w:val="22"/>
          <w:lang w:val="sr-Latn-ME"/>
        </w:rPr>
      </w:pPr>
    </w:p>
    <w:p w14:paraId="70C7F9F4" w14:textId="1F1F9C9D" w:rsidR="00356C0D" w:rsidRPr="00F24057" w:rsidRDefault="00356C0D" w:rsidP="00D70B34">
      <w:pPr>
        <w:rPr>
          <w:szCs w:val="22"/>
          <w:lang w:val="sr-Latn-ME"/>
        </w:rPr>
      </w:pPr>
      <w:r w:rsidRPr="00F24057">
        <w:rPr>
          <w:szCs w:val="22"/>
          <w:lang w:val="sr-Latn-ME"/>
        </w:rPr>
        <w:t xml:space="preserve">U RA studiji III kod većine pacijenata kod kojih je postignuto poboljšanje fizičke funkcije i koji su nastavili </w:t>
      </w:r>
      <w:r w:rsidR="0030064A" w:rsidRPr="00F24057">
        <w:rPr>
          <w:szCs w:val="22"/>
          <w:lang w:val="sr-Latn-ME"/>
        </w:rPr>
        <w:t>liječenje</w:t>
      </w:r>
      <w:r w:rsidRPr="00F24057">
        <w:rPr>
          <w:szCs w:val="22"/>
          <w:lang w:val="sr-Latn-ME"/>
        </w:rPr>
        <w:t xml:space="preserve">, poboljšanje se zadržalo do </w:t>
      </w:r>
      <w:r w:rsidR="00885A78" w:rsidRPr="00F24057">
        <w:rPr>
          <w:szCs w:val="22"/>
          <w:lang w:val="sr-Latn-ME"/>
        </w:rPr>
        <w:t>nedjelj</w:t>
      </w:r>
      <w:r w:rsidRPr="00F24057">
        <w:rPr>
          <w:szCs w:val="22"/>
          <w:lang w:val="sr-Latn-ME"/>
        </w:rPr>
        <w:t xml:space="preserve">e 520 (120 </w:t>
      </w:r>
      <w:r w:rsidR="00885A78" w:rsidRPr="00F24057">
        <w:rPr>
          <w:szCs w:val="22"/>
          <w:lang w:val="sr-Latn-ME"/>
        </w:rPr>
        <w:t>mjesec</w:t>
      </w:r>
      <w:r w:rsidRPr="00F24057">
        <w:rPr>
          <w:szCs w:val="22"/>
          <w:lang w:val="sr-Latn-ME"/>
        </w:rPr>
        <w:t xml:space="preserve">i) otvorenog </w:t>
      </w:r>
      <w:r w:rsidR="00885A78" w:rsidRPr="00F24057">
        <w:rPr>
          <w:szCs w:val="22"/>
          <w:lang w:val="sr-Latn-ME"/>
        </w:rPr>
        <w:t>liječenj</w:t>
      </w:r>
      <w:r w:rsidRPr="00F24057">
        <w:rPr>
          <w:szCs w:val="22"/>
          <w:lang w:val="sr-Latn-ME"/>
        </w:rPr>
        <w:t xml:space="preserve">a. Poboljšanje kvaliteta života je </w:t>
      </w:r>
      <w:r w:rsidR="0030064A" w:rsidRPr="00F24057">
        <w:rPr>
          <w:szCs w:val="22"/>
          <w:lang w:val="sr-Latn-ME"/>
        </w:rPr>
        <w:t>mjeren</w:t>
      </w:r>
      <w:r w:rsidRPr="00F24057">
        <w:rPr>
          <w:szCs w:val="22"/>
          <w:lang w:val="sr-Latn-ME"/>
        </w:rPr>
        <w:t xml:space="preserve">o do </w:t>
      </w:r>
      <w:r w:rsidR="00885A78" w:rsidRPr="00F24057">
        <w:rPr>
          <w:szCs w:val="22"/>
          <w:lang w:val="sr-Latn-ME"/>
        </w:rPr>
        <w:t>nedjelj</w:t>
      </w:r>
      <w:r w:rsidRPr="00F24057">
        <w:rPr>
          <w:szCs w:val="22"/>
          <w:lang w:val="sr-Latn-ME"/>
        </w:rPr>
        <w:t xml:space="preserve">e 156 (36 </w:t>
      </w:r>
      <w:r w:rsidR="00885A78" w:rsidRPr="00F24057">
        <w:rPr>
          <w:szCs w:val="22"/>
          <w:lang w:val="sr-Latn-ME"/>
        </w:rPr>
        <w:t>mjesec</w:t>
      </w:r>
      <w:r w:rsidRPr="00F24057">
        <w:rPr>
          <w:szCs w:val="22"/>
          <w:lang w:val="sr-Latn-ME"/>
        </w:rPr>
        <w:t xml:space="preserve">i) i poboljšanje je održavano do tog vremena. </w:t>
      </w:r>
    </w:p>
    <w:p w14:paraId="4EB0BDDA" w14:textId="77777777" w:rsidR="00356C0D" w:rsidRPr="00F24057" w:rsidRDefault="00356C0D" w:rsidP="00D70B34">
      <w:pPr>
        <w:rPr>
          <w:szCs w:val="22"/>
          <w:lang w:val="sr-Latn-ME"/>
        </w:rPr>
      </w:pPr>
    </w:p>
    <w:p w14:paraId="08AA030A" w14:textId="6D5D74BD" w:rsidR="00356C0D" w:rsidRPr="00F24057" w:rsidRDefault="00356C0D" w:rsidP="00D70B34">
      <w:pPr>
        <w:rPr>
          <w:szCs w:val="22"/>
          <w:lang w:val="sr-Latn-ME"/>
        </w:rPr>
      </w:pPr>
      <w:r w:rsidRPr="00F24057">
        <w:rPr>
          <w:szCs w:val="22"/>
          <w:lang w:val="sr-Latn-ME"/>
        </w:rPr>
        <w:t xml:space="preserve">U RA studiji V, poboljšanje HAQ indeksa onesposobljenosti i fizičkih komponenti SF 36 pokazalo je značajno poboljšanje (p </w:t>
      </w:r>
      <w:r w:rsidRPr="00F24057">
        <w:rPr>
          <w:szCs w:val="22"/>
          <w:lang w:val="sr-Latn-ME"/>
        </w:rPr>
        <w:sym w:font="Symbol" w:char="F03C"/>
      </w:r>
      <w:r w:rsidRPr="00F24057">
        <w:rPr>
          <w:szCs w:val="22"/>
          <w:lang w:val="sr-Latn-ME"/>
        </w:rPr>
        <w:t xml:space="preserve"> 0,001) u kombinovanoj terapiji adalimumab/metotreksat naspram monoterapije metotreksatom i monoterapije adalimumabom nakon 52 </w:t>
      </w:r>
      <w:r w:rsidR="00885A78" w:rsidRPr="00F24057">
        <w:rPr>
          <w:szCs w:val="22"/>
          <w:lang w:val="sr-Latn-ME"/>
        </w:rPr>
        <w:t>nedjelj</w:t>
      </w:r>
      <w:r w:rsidRPr="00F24057">
        <w:rPr>
          <w:szCs w:val="22"/>
          <w:lang w:val="sr-Latn-ME"/>
        </w:rPr>
        <w:t xml:space="preserve">e, što se održalo do kraja 104. </w:t>
      </w:r>
      <w:r w:rsidR="00885A78" w:rsidRPr="00F24057">
        <w:rPr>
          <w:szCs w:val="22"/>
          <w:lang w:val="sr-Latn-ME"/>
        </w:rPr>
        <w:t>nedjelj</w:t>
      </w:r>
      <w:r w:rsidRPr="00F24057">
        <w:rPr>
          <w:szCs w:val="22"/>
          <w:lang w:val="sr-Latn-ME"/>
        </w:rPr>
        <w:t xml:space="preserve">e. Među 250 ispitanika koji su dovršili otvoreni produžetak ispitivanja, poboljšanja fizičke funkcije su se održala tokom 10 godina </w:t>
      </w:r>
      <w:r w:rsidR="00885A78" w:rsidRPr="00F24057">
        <w:rPr>
          <w:szCs w:val="22"/>
          <w:lang w:val="sr-Latn-ME"/>
        </w:rPr>
        <w:t>liječenj</w:t>
      </w:r>
      <w:r w:rsidRPr="00F24057">
        <w:rPr>
          <w:szCs w:val="22"/>
          <w:lang w:val="sr-Latn-ME"/>
        </w:rPr>
        <w:t>a.</w:t>
      </w:r>
    </w:p>
    <w:p w14:paraId="1967E6E2" w14:textId="421119E2" w:rsidR="00356C0D" w:rsidRPr="00F24057" w:rsidRDefault="00356C0D" w:rsidP="00D70B34">
      <w:pPr>
        <w:rPr>
          <w:szCs w:val="22"/>
          <w:lang w:val="sr-Latn-ME"/>
        </w:rPr>
      </w:pPr>
    </w:p>
    <w:p w14:paraId="0F006188" w14:textId="49F3CBEB" w:rsidR="00233556" w:rsidRPr="00F24057" w:rsidRDefault="00233556" w:rsidP="00D70B34">
      <w:pPr>
        <w:rPr>
          <w:i/>
          <w:iCs/>
          <w:szCs w:val="22"/>
          <w:u w:val="single"/>
          <w:lang w:val="sr-Latn-ME"/>
        </w:rPr>
      </w:pPr>
      <w:r w:rsidRPr="00F24057">
        <w:rPr>
          <w:i/>
          <w:iCs/>
          <w:szCs w:val="22"/>
          <w:u w:val="single"/>
          <w:lang w:val="sr-Latn-ME"/>
        </w:rPr>
        <w:t xml:space="preserve">Bol na </w:t>
      </w:r>
      <w:r w:rsidR="00972894" w:rsidRPr="00F24057">
        <w:rPr>
          <w:i/>
          <w:iCs/>
          <w:szCs w:val="22"/>
          <w:u w:val="single"/>
          <w:lang w:val="sr-Latn-ME"/>
        </w:rPr>
        <w:t>mjest</w:t>
      </w:r>
      <w:r w:rsidRPr="00F24057">
        <w:rPr>
          <w:i/>
          <w:iCs/>
          <w:szCs w:val="22"/>
          <w:u w:val="single"/>
          <w:lang w:val="sr-Latn-ME"/>
        </w:rPr>
        <w:t xml:space="preserve">u </w:t>
      </w:r>
      <w:r w:rsidR="0030064A" w:rsidRPr="00F24057">
        <w:rPr>
          <w:i/>
          <w:iCs/>
          <w:szCs w:val="22"/>
          <w:u w:val="single"/>
          <w:lang w:val="sr-Latn-ME"/>
        </w:rPr>
        <w:t>primjen</w:t>
      </w:r>
      <w:r w:rsidRPr="00F24057">
        <w:rPr>
          <w:i/>
          <w:iCs/>
          <w:szCs w:val="22"/>
          <w:u w:val="single"/>
          <w:lang w:val="sr-Latn-ME"/>
        </w:rPr>
        <w:t>e injekcije</w:t>
      </w:r>
    </w:p>
    <w:p w14:paraId="251ACC45" w14:textId="5FF31520" w:rsidR="00356C0D" w:rsidRPr="00F24057" w:rsidRDefault="00233556" w:rsidP="00D70B34">
      <w:pPr>
        <w:rPr>
          <w:szCs w:val="22"/>
          <w:lang w:val="sr-Latn-ME"/>
        </w:rPr>
      </w:pPr>
      <w:r w:rsidRPr="00F24057">
        <w:rPr>
          <w:szCs w:val="22"/>
          <w:lang w:val="sr-Latn-ME"/>
        </w:rPr>
        <w:t xml:space="preserve">Za objedinjene unakrsne studije RA VI i VII, uočena je statistički značajna razlika za bol na </w:t>
      </w:r>
      <w:r w:rsidR="00972894" w:rsidRPr="00F24057">
        <w:rPr>
          <w:szCs w:val="22"/>
          <w:lang w:val="sr-Latn-ME"/>
        </w:rPr>
        <w:t>mjest</w:t>
      </w:r>
      <w:r w:rsidRPr="00F24057">
        <w:rPr>
          <w:szCs w:val="22"/>
          <w:lang w:val="sr-Latn-ME"/>
        </w:rPr>
        <w:t xml:space="preserve">u </w:t>
      </w:r>
      <w:r w:rsidR="0030064A" w:rsidRPr="00F24057">
        <w:rPr>
          <w:szCs w:val="22"/>
          <w:lang w:val="sr-Latn-ME"/>
        </w:rPr>
        <w:t>primjen</w:t>
      </w:r>
      <w:r w:rsidRPr="00F24057">
        <w:rPr>
          <w:szCs w:val="22"/>
          <w:lang w:val="sr-Latn-ME"/>
        </w:rPr>
        <w:t xml:space="preserve">e injekcije neposredno nakon doziranja 40 mg/0,8 </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adalimumaba i 40 mg/0,4 </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adalimumaba (srednji VAS od 3,7 cm u pore</w:t>
      </w:r>
      <w:r w:rsidR="00C0295E" w:rsidRPr="00F24057">
        <w:rPr>
          <w:szCs w:val="22"/>
          <w:lang w:val="sr-Latn-ME"/>
        </w:rPr>
        <w:t>đ</w:t>
      </w:r>
      <w:r w:rsidRPr="00F24057">
        <w:rPr>
          <w:szCs w:val="22"/>
          <w:lang w:val="sr-Latn-ME"/>
        </w:rPr>
        <w:t xml:space="preserve">enju sa 1,2 cm, </w:t>
      </w:r>
      <w:r w:rsidR="00E4282F" w:rsidRPr="00F24057">
        <w:rPr>
          <w:szCs w:val="22"/>
          <w:lang w:val="sr-Latn-ME"/>
        </w:rPr>
        <w:t xml:space="preserve">na </w:t>
      </w:r>
      <w:r w:rsidRPr="00F24057">
        <w:rPr>
          <w:szCs w:val="22"/>
          <w:lang w:val="sr-Latn-ME"/>
        </w:rPr>
        <w:t>skal</w:t>
      </w:r>
      <w:r w:rsidR="00E4282F" w:rsidRPr="00F24057">
        <w:rPr>
          <w:szCs w:val="22"/>
          <w:lang w:val="sr-Latn-ME"/>
        </w:rPr>
        <w:t>i</w:t>
      </w:r>
      <w:r w:rsidRPr="00F24057">
        <w:rPr>
          <w:szCs w:val="22"/>
          <w:lang w:val="sr-Latn-ME"/>
        </w:rPr>
        <w:t xml:space="preserve"> od 0 -10 cm, p &lt; 0,001). Ovo je predstavljalo srednje smanjenje bola na </w:t>
      </w:r>
      <w:r w:rsidR="00972894" w:rsidRPr="00F24057">
        <w:rPr>
          <w:szCs w:val="22"/>
          <w:lang w:val="sr-Latn-ME"/>
        </w:rPr>
        <w:t>mjest</w:t>
      </w:r>
      <w:r w:rsidRPr="00F24057">
        <w:rPr>
          <w:szCs w:val="22"/>
          <w:lang w:val="sr-Latn-ME"/>
        </w:rPr>
        <w:t xml:space="preserve">u </w:t>
      </w:r>
      <w:r w:rsidR="0030064A" w:rsidRPr="00F24057">
        <w:rPr>
          <w:szCs w:val="22"/>
          <w:lang w:val="sr-Latn-ME"/>
        </w:rPr>
        <w:t>primjen</w:t>
      </w:r>
      <w:r w:rsidR="00E82E90" w:rsidRPr="00F24057">
        <w:rPr>
          <w:szCs w:val="22"/>
          <w:lang w:val="sr-Latn-ME"/>
        </w:rPr>
        <w:t xml:space="preserve">e </w:t>
      </w:r>
      <w:r w:rsidRPr="00F24057">
        <w:rPr>
          <w:szCs w:val="22"/>
          <w:lang w:val="sr-Latn-ME"/>
        </w:rPr>
        <w:t>injekcije</w:t>
      </w:r>
      <w:r w:rsidR="008132CA" w:rsidRPr="00F24057">
        <w:rPr>
          <w:szCs w:val="22"/>
          <w:lang w:val="sr-Latn-ME"/>
        </w:rPr>
        <w:t xml:space="preserve"> za 84%</w:t>
      </w:r>
      <w:r w:rsidRPr="00F24057">
        <w:rPr>
          <w:szCs w:val="22"/>
          <w:lang w:val="sr-Latn-ME"/>
        </w:rPr>
        <w:t>.</w:t>
      </w:r>
    </w:p>
    <w:p w14:paraId="7D82AA14" w14:textId="18C3B27C" w:rsidR="00356C0D" w:rsidRPr="00F24057" w:rsidRDefault="00356C0D" w:rsidP="00D70B34">
      <w:pPr>
        <w:rPr>
          <w:szCs w:val="22"/>
          <w:lang w:val="sr-Latn-ME"/>
        </w:rPr>
      </w:pPr>
    </w:p>
    <w:p w14:paraId="2CEFEB63" w14:textId="77777777" w:rsidR="00233556" w:rsidRPr="00F24057" w:rsidRDefault="00233556" w:rsidP="00D70B34">
      <w:pPr>
        <w:rPr>
          <w:i/>
          <w:iCs/>
          <w:szCs w:val="22"/>
          <w:lang w:val="sr-Latn-ME"/>
        </w:rPr>
      </w:pPr>
      <w:r w:rsidRPr="00F24057">
        <w:rPr>
          <w:i/>
          <w:iCs/>
          <w:szCs w:val="22"/>
          <w:lang w:val="sr-Latn-ME"/>
        </w:rPr>
        <w:t xml:space="preserve">Aksijalni spondiloartritis </w:t>
      </w:r>
    </w:p>
    <w:p w14:paraId="4C15FD66" w14:textId="77777777" w:rsidR="00233556" w:rsidRPr="00F24057" w:rsidRDefault="00233556" w:rsidP="00D70B34">
      <w:pPr>
        <w:rPr>
          <w:szCs w:val="22"/>
          <w:lang w:val="sr-Latn-ME"/>
        </w:rPr>
      </w:pPr>
    </w:p>
    <w:p w14:paraId="5D8301BC" w14:textId="77777777" w:rsidR="00233556" w:rsidRPr="00F24057" w:rsidRDefault="00233556" w:rsidP="00D70B34">
      <w:pPr>
        <w:rPr>
          <w:i/>
          <w:iCs/>
          <w:szCs w:val="22"/>
          <w:u w:val="single"/>
          <w:lang w:val="sr-Latn-ME"/>
        </w:rPr>
      </w:pPr>
      <w:r w:rsidRPr="00F24057">
        <w:rPr>
          <w:i/>
          <w:iCs/>
          <w:szCs w:val="22"/>
          <w:u w:val="single"/>
          <w:lang w:val="sr-Latn-ME"/>
        </w:rPr>
        <w:t xml:space="preserve">Ankilozirajući spondilitis (AS) </w:t>
      </w:r>
    </w:p>
    <w:p w14:paraId="403B636C" w14:textId="1BFAE236" w:rsidR="00233556" w:rsidRPr="00F24057" w:rsidRDefault="00233556" w:rsidP="00D70B34">
      <w:pPr>
        <w:rPr>
          <w:szCs w:val="22"/>
          <w:lang w:val="sr-Latn-ME"/>
        </w:rPr>
      </w:pPr>
      <w:r w:rsidRPr="00F24057">
        <w:rPr>
          <w:szCs w:val="22"/>
          <w:lang w:val="sr-Latn-ME"/>
        </w:rPr>
        <w:t>D</w:t>
      </w:r>
      <w:r w:rsidR="00972894" w:rsidRPr="00F24057">
        <w:rPr>
          <w:szCs w:val="22"/>
          <w:lang w:val="sr-Latn-ME"/>
        </w:rPr>
        <w:t>j</w:t>
      </w:r>
      <w:r w:rsidRPr="00F24057">
        <w:rPr>
          <w:szCs w:val="22"/>
          <w:lang w:val="sr-Latn-ME"/>
        </w:rPr>
        <w:t xml:space="preserve">elovanje adalimumaba u dozi od 40 mg svake druge </w:t>
      </w:r>
      <w:r w:rsidR="00885A78" w:rsidRPr="00F24057">
        <w:rPr>
          <w:szCs w:val="22"/>
          <w:lang w:val="sr-Latn-ME"/>
        </w:rPr>
        <w:t>nedjelj</w:t>
      </w:r>
      <w:r w:rsidRPr="00F24057">
        <w:rPr>
          <w:szCs w:val="22"/>
          <w:lang w:val="sr-Latn-ME"/>
        </w:rPr>
        <w:t xml:space="preserve">e je ispitivano u </w:t>
      </w:r>
      <w:r w:rsidR="009A3407" w:rsidRPr="00F24057">
        <w:rPr>
          <w:szCs w:val="22"/>
          <w:lang w:val="sr-Latn-ME"/>
        </w:rPr>
        <w:t xml:space="preserve">dvije </w:t>
      </w:r>
      <w:r w:rsidRPr="00F24057">
        <w:rPr>
          <w:szCs w:val="22"/>
          <w:lang w:val="sr-Latn-ME"/>
        </w:rPr>
        <w:t>randomizovane, dvostruko sl</w:t>
      </w:r>
      <w:r w:rsidR="00972894" w:rsidRPr="00F24057">
        <w:rPr>
          <w:szCs w:val="22"/>
          <w:lang w:val="sr-Latn-ME"/>
        </w:rPr>
        <w:t>ij</w:t>
      </w:r>
      <w:r w:rsidRPr="00F24057">
        <w:rPr>
          <w:szCs w:val="22"/>
          <w:lang w:val="sr-Latn-ME"/>
        </w:rPr>
        <w:t xml:space="preserve">epe, placebo kontrolisane studije u trajanju od 24 </w:t>
      </w:r>
      <w:r w:rsidR="00885A78" w:rsidRPr="00F24057">
        <w:rPr>
          <w:szCs w:val="22"/>
          <w:lang w:val="sr-Latn-ME"/>
        </w:rPr>
        <w:t>nedjelj</w:t>
      </w:r>
      <w:r w:rsidRPr="00F24057">
        <w:rPr>
          <w:szCs w:val="22"/>
          <w:lang w:val="sr-Latn-ME"/>
        </w:rPr>
        <w:t xml:space="preserve">e, kod 393 pacijenata sa aktivnim ankilozirajućim spondilitisom (srednja početna </w:t>
      </w:r>
      <w:r w:rsidR="00972894" w:rsidRPr="00F24057">
        <w:rPr>
          <w:szCs w:val="22"/>
          <w:lang w:val="sr-Latn-ME"/>
        </w:rPr>
        <w:t>vrijedno</w:t>
      </w:r>
      <w:r w:rsidRPr="00F24057">
        <w:rPr>
          <w:szCs w:val="22"/>
          <w:lang w:val="sr-Latn-ME"/>
        </w:rPr>
        <w:t xml:space="preserve">st aktivnosti bolesti [engl. </w:t>
      </w:r>
      <w:r w:rsidRPr="00F24057">
        <w:rPr>
          <w:i/>
          <w:iCs/>
          <w:szCs w:val="22"/>
          <w:lang w:val="sr-Latn-ME"/>
        </w:rPr>
        <w:t xml:space="preserve">Bath Ankylosing Spondylitis Disease Activity Index </w:t>
      </w:r>
      <w:r w:rsidRPr="00F24057">
        <w:rPr>
          <w:szCs w:val="22"/>
          <w:lang w:val="sr-Latn-ME"/>
        </w:rPr>
        <w:t xml:space="preserve">(BASDAI)] je bila 6,3 u svim grupama) koji su imali neadekvatan odgovor na konvencionalnu terapiju. 79 (20,1%) pacijenata primalo je prateću terapiju antireumatskim </w:t>
      </w:r>
      <w:r w:rsidR="0030064A" w:rsidRPr="00F24057">
        <w:rPr>
          <w:szCs w:val="22"/>
          <w:lang w:val="sr-Latn-ME"/>
        </w:rPr>
        <w:t>ljekov</w:t>
      </w:r>
      <w:r w:rsidRPr="00F24057">
        <w:rPr>
          <w:szCs w:val="22"/>
          <w:lang w:val="sr-Latn-ME"/>
        </w:rPr>
        <w:t xml:space="preserve">ima koji modifikuju tok bolesti, a 37 (9,4%) pacijenata je primalo prateću terapiju glukokortikoidima. Posle perioda maskiranja sledio je period otvorenog ispitivanja u kome su pacijenti primali adalimumab 40 mg svake druge </w:t>
      </w:r>
      <w:r w:rsidR="00885A78" w:rsidRPr="00F24057">
        <w:rPr>
          <w:szCs w:val="22"/>
          <w:lang w:val="sr-Latn-ME"/>
        </w:rPr>
        <w:t>nedjelj</w:t>
      </w:r>
      <w:r w:rsidRPr="00F24057">
        <w:rPr>
          <w:szCs w:val="22"/>
          <w:lang w:val="sr-Latn-ME"/>
        </w:rPr>
        <w:t xml:space="preserve">e supkutano u </w:t>
      </w:r>
      <w:r w:rsidR="009811CA" w:rsidRPr="00F24057">
        <w:rPr>
          <w:szCs w:val="22"/>
          <w:lang w:val="sr-Latn-ME"/>
        </w:rPr>
        <w:t>sljedeć</w:t>
      </w:r>
      <w:r w:rsidRPr="00F24057">
        <w:rPr>
          <w:szCs w:val="22"/>
          <w:lang w:val="sr-Latn-ME"/>
        </w:rPr>
        <w:t xml:space="preserve">ih 28 </w:t>
      </w:r>
      <w:r w:rsidR="00885A78" w:rsidRPr="00F24057">
        <w:rPr>
          <w:szCs w:val="22"/>
          <w:lang w:val="sr-Latn-ME"/>
        </w:rPr>
        <w:t>nedjelj</w:t>
      </w:r>
      <w:r w:rsidRPr="00F24057">
        <w:rPr>
          <w:szCs w:val="22"/>
          <w:lang w:val="sr-Latn-ME"/>
        </w:rPr>
        <w:t xml:space="preserve">a. Pacijenti (n=215; 54,7%) koji nisu postigli ASAS 20 u 12. ili 16. ili 20. </w:t>
      </w:r>
      <w:r w:rsidR="00885A78" w:rsidRPr="00F24057">
        <w:rPr>
          <w:szCs w:val="22"/>
          <w:lang w:val="sr-Latn-ME"/>
        </w:rPr>
        <w:t>nedjelj</w:t>
      </w:r>
      <w:r w:rsidRPr="00F24057">
        <w:rPr>
          <w:szCs w:val="22"/>
          <w:lang w:val="sr-Latn-ME"/>
        </w:rPr>
        <w:t>i, ranije su prebačeni u otvoreni d</w:t>
      </w:r>
      <w:r w:rsidR="009A3407" w:rsidRPr="00F24057">
        <w:rPr>
          <w:szCs w:val="22"/>
          <w:lang w:val="sr-Latn-ME"/>
        </w:rPr>
        <w:t>i</w:t>
      </w:r>
      <w:r w:rsidRPr="00F24057">
        <w:rPr>
          <w:szCs w:val="22"/>
          <w:lang w:val="sr-Latn-ME"/>
        </w:rPr>
        <w:t xml:space="preserve">o ispitivanja i dobijali su adalimumab u dozi od 40 mg svake druge </w:t>
      </w:r>
      <w:r w:rsidR="00885A78" w:rsidRPr="00F24057">
        <w:rPr>
          <w:szCs w:val="22"/>
          <w:lang w:val="sr-Latn-ME"/>
        </w:rPr>
        <w:t>nedjelj</w:t>
      </w:r>
      <w:r w:rsidRPr="00F24057">
        <w:rPr>
          <w:szCs w:val="22"/>
          <w:lang w:val="sr-Latn-ME"/>
        </w:rPr>
        <w:t xml:space="preserve">e supkutano i bili su zatim </w:t>
      </w:r>
      <w:r w:rsidR="00885A78" w:rsidRPr="00F24057">
        <w:rPr>
          <w:szCs w:val="22"/>
          <w:lang w:val="sr-Latn-ME"/>
        </w:rPr>
        <w:t>liječe</w:t>
      </w:r>
      <w:r w:rsidRPr="00F24057">
        <w:rPr>
          <w:szCs w:val="22"/>
          <w:lang w:val="sr-Latn-ME"/>
        </w:rPr>
        <w:t>ni u dvostruko sl</w:t>
      </w:r>
      <w:r w:rsidR="00972894" w:rsidRPr="00F24057">
        <w:rPr>
          <w:szCs w:val="22"/>
          <w:lang w:val="sr-Latn-ME"/>
        </w:rPr>
        <w:t>ij</w:t>
      </w:r>
      <w:r w:rsidRPr="00F24057">
        <w:rPr>
          <w:szCs w:val="22"/>
          <w:lang w:val="sr-Latn-ME"/>
        </w:rPr>
        <w:t xml:space="preserve">epoj statističkoj analizi kao pacijenti koji nisu odgovorili na terapiju. </w:t>
      </w:r>
    </w:p>
    <w:p w14:paraId="6A0B0F28" w14:textId="77777777" w:rsidR="00233556" w:rsidRPr="00F24057" w:rsidRDefault="00233556" w:rsidP="00D70B34">
      <w:pPr>
        <w:rPr>
          <w:szCs w:val="22"/>
          <w:lang w:val="sr-Latn-ME"/>
        </w:rPr>
      </w:pPr>
    </w:p>
    <w:p w14:paraId="26A30435" w14:textId="1876FA11" w:rsidR="00356C0D" w:rsidRPr="00F24057" w:rsidRDefault="00233556" w:rsidP="00D70B34">
      <w:pPr>
        <w:rPr>
          <w:szCs w:val="22"/>
          <w:lang w:val="sr-Latn-ME"/>
        </w:rPr>
      </w:pPr>
      <w:r w:rsidRPr="00F24057">
        <w:rPr>
          <w:szCs w:val="22"/>
          <w:lang w:val="sr-Latn-ME"/>
        </w:rPr>
        <w:t xml:space="preserve">U većoj AS studiji I sa 315 pacijenata, rezultati su pokazali statistički značajno poboljšanje znakova i simptoma ankilozirajućeg spondilitisa kod pacijenata </w:t>
      </w:r>
      <w:r w:rsidR="00885A78" w:rsidRPr="00F24057">
        <w:rPr>
          <w:szCs w:val="22"/>
          <w:lang w:val="sr-Latn-ME"/>
        </w:rPr>
        <w:t>liječe</w:t>
      </w:r>
      <w:r w:rsidRPr="00F24057">
        <w:rPr>
          <w:szCs w:val="22"/>
          <w:lang w:val="sr-Latn-ME"/>
        </w:rPr>
        <w:t xml:space="preserve">nih adalimumabom u poređenju sa placebom. Značajan odgovor je prvo zapažen u drugoj </w:t>
      </w:r>
      <w:r w:rsidR="00885A78" w:rsidRPr="00F24057">
        <w:rPr>
          <w:szCs w:val="22"/>
          <w:lang w:val="sr-Latn-ME"/>
        </w:rPr>
        <w:t>nedjelj</w:t>
      </w:r>
      <w:r w:rsidRPr="00F24057">
        <w:rPr>
          <w:szCs w:val="22"/>
          <w:lang w:val="sr-Latn-ME"/>
        </w:rPr>
        <w:t xml:space="preserve">i i zadržao se do kraja 24. </w:t>
      </w:r>
      <w:r w:rsidR="00885A78" w:rsidRPr="00F24057">
        <w:rPr>
          <w:szCs w:val="22"/>
          <w:lang w:val="sr-Latn-ME"/>
        </w:rPr>
        <w:t>nedjelj</w:t>
      </w:r>
      <w:r w:rsidRPr="00F24057">
        <w:rPr>
          <w:szCs w:val="22"/>
          <w:lang w:val="sr-Latn-ME"/>
        </w:rPr>
        <w:t>e (Tabela 12).</w:t>
      </w:r>
    </w:p>
    <w:p w14:paraId="31B58448" w14:textId="1BA09813" w:rsidR="00356C0D" w:rsidRPr="00F24057" w:rsidRDefault="00356C0D" w:rsidP="00D70B34">
      <w:pPr>
        <w:rPr>
          <w:szCs w:val="22"/>
          <w:lang w:val="sr-Latn-ME"/>
        </w:rPr>
      </w:pPr>
    </w:p>
    <w:p w14:paraId="541782E9" w14:textId="77777777" w:rsidR="005F5025" w:rsidRPr="00F24057" w:rsidRDefault="00454719" w:rsidP="00D70B34">
      <w:pPr>
        <w:rPr>
          <w:b/>
          <w:bCs/>
          <w:szCs w:val="22"/>
          <w:lang w:val="sr-Latn-ME"/>
        </w:rPr>
      </w:pPr>
      <w:r w:rsidRPr="00F24057">
        <w:rPr>
          <w:b/>
          <w:bCs/>
          <w:szCs w:val="22"/>
          <w:lang w:val="sr-Latn-ME"/>
        </w:rPr>
        <w:t xml:space="preserve">Tabela 12. Efikasnost u placebo-kontrolisanoj AS studiji – Studija I </w:t>
      </w:r>
    </w:p>
    <w:p w14:paraId="7AF6C32D" w14:textId="10575119" w:rsidR="00356C0D" w:rsidRPr="00F24057" w:rsidRDefault="00454719" w:rsidP="00D70B34">
      <w:pPr>
        <w:rPr>
          <w:b/>
          <w:bCs/>
          <w:szCs w:val="22"/>
          <w:lang w:val="sr-Latn-ME"/>
        </w:rPr>
      </w:pPr>
      <w:r w:rsidRPr="00F24057">
        <w:rPr>
          <w:b/>
          <w:bCs/>
          <w:szCs w:val="22"/>
          <w:lang w:val="sr-Latn-ME"/>
        </w:rPr>
        <w:t>Smanjenje znakova i simptoma</w:t>
      </w:r>
    </w:p>
    <w:tbl>
      <w:tblPr>
        <w:tblStyle w:val="TableGrid"/>
        <w:tblW w:w="5000" w:type="pct"/>
        <w:tblCellMar>
          <w:left w:w="85" w:type="dxa"/>
          <w:right w:w="85" w:type="dxa"/>
        </w:tblCellMar>
        <w:tblLook w:val="04A0" w:firstRow="1" w:lastRow="0" w:firstColumn="1" w:lastColumn="0" w:noHBand="0" w:noVBand="1"/>
      </w:tblPr>
      <w:tblGrid>
        <w:gridCol w:w="3007"/>
        <w:gridCol w:w="3006"/>
        <w:gridCol w:w="3004"/>
      </w:tblGrid>
      <w:tr w:rsidR="00454719" w:rsidRPr="00F24057" w14:paraId="14A35B6F" w14:textId="77777777" w:rsidTr="00F1226A">
        <w:trPr>
          <w:trHeight w:val="20"/>
        </w:trPr>
        <w:tc>
          <w:tcPr>
            <w:tcW w:w="1667" w:type="pct"/>
            <w:vAlign w:val="center"/>
          </w:tcPr>
          <w:p w14:paraId="51A426A5" w14:textId="6CCB75AE" w:rsidR="00454719" w:rsidRPr="00F24057" w:rsidRDefault="00454719" w:rsidP="00D70B34">
            <w:pPr>
              <w:tabs>
                <w:tab w:val="clear" w:pos="284"/>
                <w:tab w:val="left" w:pos="971"/>
              </w:tabs>
              <w:jc w:val="center"/>
              <w:rPr>
                <w:b/>
                <w:bCs/>
                <w:szCs w:val="22"/>
                <w:lang w:val="sr-Latn-ME"/>
              </w:rPr>
            </w:pPr>
            <w:r w:rsidRPr="00F24057">
              <w:rPr>
                <w:b/>
                <w:bCs/>
                <w:szCs w:val="22"/>
                <w:lang w:val="sr-Latn-ME"/>
              </w:rPr>
              <w:t>Odgovor</w:t>
            </w:r>
          </w:p>
        </w:tc>
        <w:tc>
          <w:tcPr>
            <w:tcW w:w="1667" w:type="pct"/>
            <w:vAlign w:val="center"/>
          </w:tcPr>
          <w:p w14:paraId="2CC2ABFD" w14:textId="77777777" w:rsidR="00454719" w:rsidRPr="00F24057" w:rsidRDefault="00454719" w:rsidP="00D70B34">
            <w:pPr>
              <w:jc w:val="center"/>
              <w:rPr>
                <w:b/>
                <w:bCs/>
                <w:szCs w:val="22"/>
                <w:lang w:val="sr-Latn-ME"/>
              </w:rPr>
            </w:pPr>
            <w:r w:rsidRPr="00F24057">
              <w:rPr>
                <w:b/>
                <w:bCs/>
                <w:szCs w:val="22"/>
                <w:lang w:val="sr-Latn-ME"/>
              </w:rPr>
              <w:t xml:space="preserve">Placebo </w:t>
            </w:r>
          </w:p>
          <w:p w14:paraId="216B733E" w14:textId="546E7671" w:rsidR="00454719" w:rsidRPr="00F24057" w:rsidRDefault="00454719" w:rsidP="00D70B34">
            <w:pPr>
              <w:jc w:val="center"/>
              <w:rPr>
                <w:b/>
                <w:bCs/>
                <w:szCs w:val="22"/>
                <w:lang w:val="sr-Latn-ME"/>
              </w:rPr>
            </w:pPr>
            <w:r w:rsidRPr="00F24057">
              <w:rPr>
                <w:b/>
                <w:bCs/>
                <w:szCs w:val="22"/>
                <w:lang w:val="sr-Latn-ME"/>
              </w:rPr>
              <w:t>N=107</w:t>
            </w:r>
          </w:p>
        </w:tc>
        <w:tc>
          <w:tcPr>
            <w:tcW w:w="1667" w:type="pct"/>
            <w:vAlign w:val="center"/>
          </w:tcPr>
          <w:p w14:paraId="72B00A74" w14:textId="77777777" w:rsidR="00454719" w:rsidRPr="00F24057" w:rsidRDefault="00454719" w:rsidP="00D70B34">
            <w:pPr>
              <w:jc w:val="center"/>
              <w:rPr>
                <w:b/>
                <w:bCs/>
                <w:szCs w:val="22"/>
                <w:lang w:val="sr-Latn-ME"/>
              </w:rPr>
            </w:pPr>
            <w:r w:rsidRPr="00F24057">
              <w:rPr>
                <w:b/>
                <w:bCs/>
                <w:szCs w:val="22"/>
                <w:lang w:val="sr-Latn-ME"/>
              </w:rPr>
              <w:t xml:space="preserve">Adalimumab </w:t>
            </w:r>
          </w:p>
          <w:p w14:paraId="3230C932" w14:textId="434CC1B5" w:rsidR="00454719" w:rsidRPr="00F24057" w:rsidRDefault="00454719" w:rsidP="00D70B34">
            <w:pPr>
              <w:jc w:val="center"/>
              <w:rPr>
                <w:b/>
                <w:bCs/>
                <w:szCs w:val="22"/>
                <w:lang w:val="sr-Latn-ME"/>
              </w:rPr>
            </w:pPr>
            <w:r w:rsidRPr="00F24057">
              <w:rPr>
                <w:b/>
                <w:bCs/>
                <w:szCs w:val="22"/>
                <w:lang w:val="sr-Latn-ME"/>
              </w:rPr>
              <w:t>N=208</w:t>
            </w:r>
          </w:p>
        </w:tc>
      </w:tr>
      <w:tr w:rsidR="00454719" w:rsidRPr="00F24057" w14:paraId="618CF8C4" w14:textId="77777777" w:rsidTr="00F1226A">
        <w:trPr>
          <w:trHeight w:val="20"/>
        </w:trPr>
        <w:tc>
          <w:tcPr>
            <w:tcW w:w="1667" w:type="pct"/>
            <w:tcBorders>
              <w:right w:val="single" w:sz="4" w:space="0" w:color="FFFFFF" w:themeColor="background1"/>
            </w:tcBorders>
            <w:vAlign w:val="center"/>
          </w:tcPr>
          <w:p w14:paraId="59F763C0" w14:textId="41B7CBB4" w:rsidR="00454719" w:rsidRPr="00F24057" w:rsidRDefault="00454719" w:rsidP="00D70B34">
            <w:pPr>
              <w:jc w:val="left"/>
              <w:rPr>
                <w:szCs w:val="22"/>
                <w:lang w:val="sr-Latn-ME"/>
              </w:rPr>
            </w:pPr>
            <w:r w:rsidRPr="00F24057">
              <w:rPr>
                <w:szCs w:val="22"/>
                <w:lang w:val="sr-Latn-ME"/>
              </w:rPr>
              <w:t>ASAS</w:t>
            </w:r>
            <w:r w:rsidRPr="00F24057">
              <w:rPr>
                <w:szCs w:val="22"/>
                <w:vertAlign w:val="superscript"/>
                <w:lang w:val="sr-Latn-ME"/>
              </w:rPr>
              <w:t>a</w:t>
            </w:r>
            <w:r w:rsidRPr="00F24057">
              <w:rPr>
                <w:szCs w:val="22"/>
                <w:lang w:val="sr-Latn-ME"/>
              </w:rPr>
              <w:t xml:space="preserve"> 20</w:t>
            </w:r>
          </w:p>
        </w:tc>
        <w:tc>
          <w:tcPr>
            <w:tcW w:w="3333" w:type="pct"/>
            <w:gridSpan w:val="2"/>
            <w:tcBorders>
              <w:left w:val="single" w:sz="4" w:space="0" w:color="FFFFFF" w:themeColor="background1"/>
            </w:tcBorders>
            <w:vAlign w:val="center"/>
          </w:tcPr>
          <w:p w14:paraId="4C97405C" w14:textId="77777777" w:rsidR="00454719" w:rsidRPr="00F24057" w:rsidRDefault="00454719" w:rsidP="00D70B34">
            <w:pPr>
              <w:jc w:val="center"/>
              <w:rPr>
                <w:szCs w:val="22"/>
                <w:lang w:val="sr-Latn-ME"/>
              </w:rPr>
            </w:pPr>
          </w:p>
        </w:tc>
      </w:tr>
      <w:tr w:rsidR="00454719" w:rsidRPr="00F24057" w14:paraId="28824E7F" w14:textId="77777777" w:rsidTr="00F1226A">
        <w:trPr>
          <w:trHeight w:val="20"/>
        </w:trPr>
        <w:tc>
          <w:tcPr>
            <w:tcW w:w="1667" w:type="pct"/>
            <w:vAlign w:val="center"/>
          </w:tcPr>
          <w:p w14:paraId="783064E5" w14:textId="43F211C1"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2</w:t>
            </w:r>
          </w:p>
        </w:tc>
        <w:tc>
          <w:tcPr>
            <w:tcW w:w="1667" w:type="pct"/>
            <w:vAlign w:val="center"/>
          </w:tcPr>
          <w:p w14:paraId="739BA265" w14:textId="4205F09E" w:rsidR="00454719" w:rsidRPr="00F24057" w:rsidRDefault="00454719" w:rsidP="00D70B34">
            <w:pPr>
              <w:jc w:val="center"/>
              <w:rPr>
                <w:szCs w:val="22"/>
                <w:lang w:val="sr-Latn-ME"/>
              </w:rPr>
            </w:pPr>
            <w:r w:rsidRPr="00F24057">
              <w:rPr>
                <w:szCs w:val="22"/>
                <w:lang w:val="sr-Latn-ME"/>
              </w:rPr>
              <w:t>16%</w:t>
            </w:r>
          </w:p>
        </w:tc>
        <w:tc>
          <w:tcPr>
            <w:tcW w:w="1667" w:type="pct"/>
            <w:vAlign w:val="center"/>
          </w:tcPr>
          <w:p w14:paraId="34B1EA9D" w14:textId="6BC75EEE" w:rsidR="00454719" w:rsidRPr="00F24057" w:rsidRDefault="00454719" w:rsidP="00D70B34">
            <w:pPr>
              <w:jc w:val="center"/>
              <w:rPr>
                <w:szCs w:val="22"/>
                <w:lang w:val="sr-Latn-ME"/>
              </w:rPr>
            </w:pPr>
            <w:r w:rsidRPr="00F24057">
              <w:rPr>
                <w:szCs w:val="22"/>
                <w:lang w:val="sr-Latn-ME"/>
              </w:rPr>
              <w:t>42%***</w:t>
            </w:r>
          </w:p>
        </w:tc>
      </w:tr>
      <w:tr w:rsidR="00454719" w:rsidRPr="00F24057" w14:paraId="69AA5334" w14:textId="77777777" w:rsidTr="00F1226A">
        <w:trPr>
          <w:trHeight w:val="20"/>
        </w:trPr>
        <w:tc>
          <w:tcPr>
            <w:tcW w:w="1667" w:type="pct"/>
            <w:vAlign w:val="center"/>
          </w:tcPr>
          <w:p w14:paraId="2A0A203A" w14:textId="6CF2F865"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12</w:t>
            </w:r>
          </w:p>
        </w:tc>
        <w:tc>
          <w:tcPr>
            <w:tcW w:w="1667" w:type="pct"/>
            <w:vAlign w:val="center"/>
          </w:tcPr>
          <w:p w14:paraId="61830C7D" w14:textId="611F35FA" w:rsidR="00454719" w:rsidRPr="00F24057" w:rsidRDefault="00454719" w:rsidP="00D70B34">
            <w:pPr>
              <w:jc w:val="center"/>
              <w:rPr>
                <w:szCs w:val="22"/>
                <w:lang w:val="sr-Latn-ME"/>
              </w:rPr>
            </w:pPr>
            <w:r w:rsidRPr="00F24057">
              <w:rPr>
                <w:szCs w:val="22"/>
                <w:lang w:val="sr-Latn-ME"/>
              </w:rPr>
              <w:t>21%</w:t>
            </w:r>
          </w:p>
        </w:tc>
        <w:tc>
          <w:tcPr>
            <w:tcW w:w="1667" w:type="pct"/>
            <w:vAlign w:val="center"/>
          </w:tcPr>
          <w:p w14:paraId="7B82F2D2" w14:textId="428C1AA3" w:rsidR="00454719" w:rsidRPr="00F24057" w:rsidRDefault="00454719" w:rsidP="00D70B34">
            <w:pPr>
              <w:jc w:val="center"/>
              <w:rPr>
                <w:szCs w:val="22"/>
                <w:lang w:val="sr-Latn-ME"/>
              </w:rPr>
            </w:pPr>
            <w:r w:rsidRPr="00F24057">
              <w:rPr>
                <w:szCs w:val="22"/>
                <w:lang w:val="sr-Latn-ME"/>
              </w:rPr>
              <w:t>58%***</w:t>
            </w:r>
          </w:p>
        </w:tc>
      </w:tr>
      <w:tr w:rsidR="00454719" w:rsidRPr="00F24057" w14:paraId="0BF01A7F" w14:textId="77777777" w:rsidTr="00F1226A">
        <w:trPr>
          <w:trHeight w:val="20"/>
        </w:trPr>
        <w:tc>
          <w:tcPr>
            <w:tcW w:w="1667" w:type="pct"/>
            <w:vAlign w:val="center"/>
          </w:tcPr>
          <w:p w14:paraId="4646E7E7" w14:textId="121FD9AB"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24</w:t>
            </w:r>
          </w:p>
        </w:tc>
        <w:tc>
          <w:tcPr>
            <w:tcW w:w="1667" w:type="pct"/>
            <w:vAlign w:val="center"/>
          </w:tcPr>
          <w:p w14:paraId="293B65FB" w14:textId="4F8C3CEA" w:rsidR="00454719" w:rsidRPr="00F24057" w:rsidRDefault="00454719" w:rsidP="00D70B34">
            <w:pPr>
              <w:jc w:val="center"/>
              <w:rPr>
                <w:szCs w:val="22"/>
                <w:lang w:val="sr-Latn-ME"/>
              </w:rPr>
            </w:pPr>
            <w:r w:rsidRPr="00F24057">
              <w:rPr>
                <w:szCs w:val="22"/>
                <w:lang w:val="sr-Latn-ME"/>
              </w:rPr>
              <w:t>19%</w:t>
            </w:r>
          </w:p>
        </w:tc>
        <w:tc>
          <w:tcPr>
            <w:tcW w:w="1667" w:type="pct"/>
            <w:vAlign w:val="center"/>
          </w:tcPr>
          <w:p w14:paraId="66C41896" w14:textId="60BCB582" w:rsidR="00454719" w:rsidRPr="00F24057" w:rsidRDefault="00454719" w:rsidP="00D70B34">
            <w:pPr>
              <w:jc w:val="center"/>
              <w:rPr>
                <w:szCs w:val="22"/>
                <w:lang w:val="sr-Latn-ME"/>
              </w:rPr>
            </w:pPr>
            <w:r w:rsidRPr="00F24057">
              <w:rPr>
                <w:szCs w:val="22"/>
                <w:lang w:val="sr-Latn-ME"/>
              </w:rPr>
              <w:t>51%***</w:t>
            </w:r>
          </w:p>
        </w:tc>
      </w:tr>
      <w:tr w:rsidR="00454719" w:rsidRPr="00F24057" w14:paraId="062393D6" w14:textId="77777777" w:rsidTr="00F1226A">
        <w:trPr>
          <w:trHeight w:val="20"/>
        </w:trPr>
        <w:tc>
          <w:tcPr>
            <w:tcW w:w="1667" w:type="pct"/>
            <w:tcBorders>
              <w:right w:val="single" w:sz="4" w:space="0" w:color="FFFFFF" w:themeColor="background1"/>
            </w:tcBorders>
            <w:vAlign w:val="center"/>
          </w:tcPr>
          <w:p w14:paraId="1535321C" w14:textId="501FBE11" w:rsidR="00454719" w:rsidRPr="00F24057" w:rsidRDefault="00454719" w:rsidP="00D70B34">
            <w:pPr>
              <w:jc w:val="left"/>
              <w:rPr>
                <w:szCs w:val="22"/>
                <w:lang w:val="sr-Latn-ME"/>
              </w:rPr>
            </w:pPr>
            <w:r w:rsidRPr="00F24057">
              <w:rPr>
                <w:szCs w:val="22"/>
                <w:lang w:val="sr-Latn-ME"/>
              </w:rPr>
              <w:t>ASAS 50</w:t>
            </w:r>
          </w:p>
        </w:tc>
        <w:tc>
          <w:tcPr>
            <w:tcW w:w="3333" w:type="pct"/>
            <w:gridSpan w:val="2"/>
            <w:tcBorders>
              <w:left w:val="single" w:sz="4" w:space="0" w:color="FFFFFF" w:themeColor="background1"/>
            </w:tcBorders>
            <w:vAlign w:val="center"/>
          </w:tcPr>
          <w:p w14:paraId="30E61796" w14:textId="77777777" w:rsidR="00454719" w:rsidRPr="00F24057" w:rsidRDefault="00454719" w:rsidP="00D70B34">
            <w:pPr>
              <w:jc w:val="center"/>
              <w:rPr>
                <w:szCs w:val="22"/>
                <w:lang w:val="sr-Latn-ME"/>
              </w:rPr>
            </w:pPr>
          </w:p>
        </w:tc>
      </w:tr>
      <w:tr w:rsidR="00454719" w:rsidRPr="00F24057" w14:paraId="0B8CE5AD" w14:textId="77777777" w:rsidTr="00F1226A">
        <w:trPr>
          <w:trHeight w:val="20"/>
        </w:trPr>
        <w:tc>
          <w:tcPr>
            <w:tcW w:w="1667" w:type="pct"/>
            <w:vAlign w:val="center"/>
          </w:tcPr>
          <w:p w14:paraId="1DEB3104" w14:textId="517DBA61"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2</w:t>
            </w:r>
          </w:p>
        </w:tc>
        <w:tc>
          <w:tcPr>
            <w:tcW w:w="1667" w:type="pct"/>
            <w:vAlign w:val="center"/>
          </w:tcPr>
          <w:p w14:paraId="62C429BD" w14:textId="3C052092" w:rsidR="00454719" w:rsidRPr="00F24057" w:rsidRDefault="00454719" w:rsidP="00D70B34">
            <w:pPr>
              <w:jc w:val="center"/>
              <w:rPr>
                <w:szCs w:val="22"/>
                <w:lang w:val="sr-Latn-ME"/>
              </w:rPr>
            </w:pPr>
            <w:r w:rsidRPr="00F24057">
              <w:rPr>
                <w:szCs w:val="22"/>
                <w:lang w:val="sr-Latn-ME"/>
              </w:rPr>
              <w:t>3%</w:t>
            </w:r>
          </w:p>
        </w:tc>
        <w:tc>
          <w:tcPr>
            <w:tcW w:w="1667" w:type="pct"/>
            <w:vAlign w:val="center"/>
          </w:tcPr>
          <w:p w14:paraId="1A8215D9" w14:textId="5E14D859" w:rsidR="00454719" w:rsidRPr="00F24057" w:rsidRDefault="00454719" w:rsidP="00D70B34">
            <w:pPr>
              <w:jc w:val="center"/>
              <w:rPr>
                <w:szCs w:val="22"/>
                <w:lang w:val="sr-Latn-ME"/>
              </w:rPr>
            </w:pPr>
            <w:r w:rsidRPr="00F24057">
              <w:rPr>
                <w:szCs w:val="22"/>
                <w:lang w:val="sr-Latn-ME"/>
              </w:rPr>
              <w:t>16%***</w:t>
            </w:r>
          </w:p>
        </w:tc>
      </w:tr>
      <w:tr w:rsidR="00454719" w:rsidRPr="00F24057" w14:paraId="38CB5114" w14:textId="77777777" w:rsidTr="00F1226A">
        <w:trPr>
          <w:trHeight w:val="20"/>
        </w:trPr>
        <w:tc>
          <w:tcPr>
            <w:tcW w:w="1667" w:type="pct"/>
            <w:vAlign w:val="center"/>
          </w:tcPr>
          <w:p w14:paraId="3753C808" w14:textId="171A24D2" w:rsidR="00454719" w:rsidRPr="00F24057" w:rsidRDefault="00885A78" w:rsidP="00D70B34">
            <w:pPr>
              <w:jc w:val="center"/>
              <w:rPr>
                <w:szCs w:val="22"/>
                <w:lang w:val="sr-Latn-ME"/>
              </w:rPr>
            </w:pPr>
            <w:r w:rsidRPr="00F24057">
              <w:rPr>
                <w:szCs w:val="22"/>
                <w:lang w:val="sr-Latn-ME"/>
              </w:rPr>
              <w:lastRenderedPageBreak/>
              <w:t>Nedjelj</w:t>
            </w:r>
            <w:r w:rsidR="00454719" w:rsidRPr="00F24057">
              <w:rPr>
                <w:szCs w:val="22"/>
                <w:lang w:val="sr-Latn-ME"/>
              </w:rPr>
              <w:t>a 12</w:t>
            </w:r>
          </w:p>
        </w:tc>
        <w:tc>
          <w:tcPr>
            <w:tcW w:w="1667" w:type="pct"/>
            <w:vAlign w:val="center"/>
          </w:tcPr>
          <w:p w14:paraId="242DBEDD" w14:textId="33897974" w:rsidR="00454719" w:rsidRPr="00F24057" w:rsidRDefault="00454719" w:rsidP="00D70B34">
            <w:pPr>
              <w:jc w:val="center"/>
              <w:rPr>
                <w:szCs w:val="22"/>
                <w:lang w:val="sr-Latn-ME"/>
              </w:rPr>
            </w:pPr>
            <w:r w:rsidRPr="00F24057">
              <w:rPr>
                <w:szCs w:val="22"/>
                <w:lang w:val="sr-Latn-ME"/>
              </w:rPr>
              <w:t>10%</w:t>
            </w:r>
          </w:p>
        </w:tc>
        <w:tc>
          <w:tcPr>
            <w:tcW w:w="1667" w:type="pct"/>
            <w:vAlign w:val="center"/>
          </w:tcPr>
          <w:p w14:paraId="09FFE39A" w14:textId="4FA3E855" w:rsidR="00454719" w:rsidRPr="00F24057" w:rsidRDefault="00454719" w:rsidP="00D70B34">
            <w:pPr>
              <w:jc w:val="center"/>
              <w:rPr>
                <w:szCs w:val="22"/>
                <w:lang w:val="sr-Latn-ME"/>
              </w:rPr>
            </w:pPr>
            <w:r w:rsidRPr="00F24057">
              <w:rPr>
                <w:szCs w:val="22"/>
                <w:lang w:val="sr-Latn-ME"/>
              </w:rPr>
              <w:t>38%***</w:t>
            </w:r>
          </w:p>
        </w:tc>
      </w:tr>
      <w:tr w:rsidR="00454719" w:rsidRPr="00F24057" w14:paraId="5A56F391" w14:textId="77777777" w:rsidTr="00F1226A">
        <w:trPr>
          <w:trHeight w:val="20"/>
        </w:trPr>
        <w:tc>
          <w:tcPr>
            <w:tcW w:w="1667" w:type="pct"/>
            <w:vAlign w:val="center"/>
          </w:tcPr>
          <w:p w14:paraId="6AF246B4" w14:textId="588EE763"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24</w:t>
            </w:r>
          </w:p>
        </w:tc>
        <w:tc>
          <w:tcPr>
            <w:tcW w:w="1667" w:type="pct"/>
            <w:vAlign w:val="center"/>
          </w:tcPr>
          <w:p w14:paraId="6B8F4A72" w14:textId="1906C392" w:rsidR="00454719" w:rsidRPr="00F24057" w:rsidRDefault="00454719" w:rsidP="00D70B34">
            <w:pPr>
              <w:jc w:val="center"/>
              <w:rPr>
                <w:szCs w:val="22"/>
                <w:lang w:val="sr-Latn-ME"/>
              </w:rPr>
            </w:pPr>
            <w:r w:rsidRPr="00F24057">
              <w:rPr>
                <w:szCs w:val="22"/>
                <w:lang w:val="sr-Latn-ME"/>
              </w:rPr>
              <w:t>11%</w:t>
            </w:r>
          </w:p>
        </w:tc>
        <w:tc>
          <w:tcPr>
            <w:tcW w:w="1667" w:type="pct"/>
            <w:vAlign w:val="center"/>
          </w:tcPr>
          <w:p w14:paraId="7327D658" w14:textId="1EC03AFE" w:rsidR="00454719" w:rsidRPr="00F24057" w:rsidRDefault="00454719" w:rsidP="00D70B34">
            <w:pPr>
              <w:jc w:val="center"/>
              <w:rPr>
                <w:szCs w:val="22"/>
                <w:lang w:val="sr-Latn-ME"/>
              </w:rPr>
            </w:pPr>
            <w:r w:rsidRPr="00F24057">
              <w:rPr>
                <w:szCs w:val="22"/>
                <w:lang w:val="sr-Latn-ME"/>
              </w:rPr>
              <w:t>35%***</w:t>
            </w:r>
          </w:p>
        </w:tc>
      </w:tr>
      <w:tr w:rsidR="00454719" w:rsidRPr="00F24057" w14:paraId="37295764" w14:textId="77777777" w:rsidTr="00F1226A">
        <w:trPr>
          <w:trHeight w:val="20"/>
        </w:trPr>
        <w:tc>
          <w:tcPr>
            <w:tcW w:w="1667" w:type="pct"/>
            <w:tcBorders>
              <w:right w:val="single" w:sz="4" w:space="0" w:color="FFFFFF" w:themeColor="background1"/>
            </w:tcBorders>
            <w:vAlign w:val="center"/>
          </w:tcPr>
          <w:p w14:paraId="54CAD66B" w14:textId="434E5B54" w:rsidR="00454719" w:rsidRPr="00F24057" w:rsidRDefault="00454719" w:rsidP="00D70B34">
            <w:pPr>
              <w:jc w:val="left"/>
              <w:rPr>
                <w:szCs w:val="22"/>
                <w:lang w:val="sr-Latn-ME"/>
              </w:rPr>
            </w:pPr>
            <w:r w:rsidRPr="00F24057">
              <w:rPr>
                <w:szCs w:val="22"/>
                <w:lang w:val="sr-Latn-ME"/>
              </w:rPr>
              <w:t>ASAS 70</w:t>
            </w:r>
          </w:p>
        </w:tc>
        <w:tc>
          <w:tcPr>
            <w:tcW w:w="3333" w:type="pct"/>
            <w:gridSpan w:val="2"/>
            <w:tcBorders>
              <w:left w:val="single" w:sz="4" w:space="0" w:color="FFFFFF" w:themeColor="background1"/>
            </w:tcBorders>
            <w:vAlign w:val="center"/>
          </w:tcPr>
          <w:p w14:paraId="3DF33AF3" w14:textId="77777777" w:rsidR="00454719" w:rsidRPr="00F24057" w:rsidRDefault="00454719" w:rsidP="00D70B34">
            <w:pPr>
              <w:jc w:val="center"/>
              <w:rPr>
                <w:szCs w:val="22"/>
                <w:lang w:val="sr-Latn-ME"/>
              </w:rPr>
            </w:pPr>
          </w:p>
        </w:tc>
      </w:tr>
      <w:tr w:rsidR="00454719" w:rsidRPr="00F24057" w14:paraId="5E27FC76" w14:textId="77777777" w:rsidTr="00F1226A">
        <w:trPr>
          <w:trHeight w:val="20"/>
        </w:trPr>
        <w:tc>
          <w:tcPr>
            <w:tcW w:w="1667" w:type="pct"/>
            <w:vAlign w:val="center"/>
          </w:tcPr>
          <w:p w14:paraId="480A6C5F" w14:textId="7226602D"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2</w:t>
            </w:r>
          </w:p>
        </w:tc>
        <w:tc>
          <w:tcPr>
            <w:tcW w:w="1667" w:type="pct"/>
            <w:vAlign w:val="center"/>
          </w:tcPr>
          <w:p w14:paraId="52EC5892" w14:textId="6B96F375" w:rsidR="00454719" w:rsidRPr="00F24057" w:rsidRDefault="00454719" w:rsidP="00D70B34">
            <w:pPr>
              <w:jc w:val="center"/>
              <w:rPr>
                <w:szCs w:val="22"/>
                <w:lang w:val="sr-Latn-ME"/>
              </w:rPr>
            </w:pPr>
            <w:r w:rsidRPr="00F24057">
              <w:rPr>
                <w:szCs w:val="22"/>
                <w:lang w:val="sr-Latn-ME"/>
              </w:rPr>
              <w:t>0%</w:t>
            </w:r>
          </w:p>
        </w:tc>
        <w:tc>
          <w:tcPr>
            <w:tcW w:w="1667" w:type="pct"/>
            <w:vAlign w:val="center"/>
          </w:tcPr>
          <w:p w14:paraId="500EADA2" w14:textId="48867B16" w:rsidR="00454719" w:rsidRPr="00F24057" w:rsidRDefault="00454719" w:rsidP="00D70B34">
            <w:pPr>
              <w:jc w:val="center"/>
              <w:rPr>
                <w:szCs w:val="22"/>
                <w:lang w:val="sr-Latn-ME"/>
              </w:rPr>
            </w:pPr>
            <w:r w:rsidRPr="00F24057">
              <w:rPr>
                <w:szCs w:val="22"/>
                <w:lang w:val="sr-Latn-ME"/>
              </w:rPr>
              <w:t>7%**</w:t>
            </w:r>
          </w:p>
        </w:tc>
      </w:tr>
      <w:tr w:rsidR="00454719" w:rsidRPr="00F24057" w14:paraId="304C7FEE" w14:textId="77777777" w:rsidTr="00F1226A">
        <w:trPr>
          <w:trHeight w:val="20"/>
        </w:trPr>
        <w:tc>
          <w:tcPr>
            <w:tcW w:w="1667" w:type="pct"/>
            <w:vAlign w:val="center"/>
          </w:tcPr>
          <w:p w14:paraId="3F0D2830" w14:textId="74D3D558"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12</w:t>
            </w:r>
          </w:p>
        </w:tc>
        <w:tc>
          <w:tcPr>
            <w:tcW w:w="1667" w:type="pct"/>
            <w:vAlign w:val="center"/>
          </w:tcPr>
          <w:p w14:paraId="76CB93CC" w14:textId="1658E6B2" w:rsidR="00454719" w:rsidRPr="00F24057" w:rsidRDefault="00454719" w:rsidP="00D70B34">
            <w:pPr>
              <w:jc w:val="center"/>
              <w:rPr>
                <w:szCs w:val="22"/>
                <w:lang w:val="sr-Latn-ME"/>
              </w:rPr>
            </w:pPr>
            <w:r w:rsidRPr="00F24057">
              <w:rPr>
                <w:szCs w:val="22"/>
                <w:lang w:val="sr-Latn-ME"/>
              </w:rPr>
              <w:t>5%</w:t>
            </w:r>
          </w:p>
        </w:tc>
        <w:tc>
          <w:tcPr>
            <w:tcW w:w="1667" w:type="pct"/>
            <w:vAlign w:val="center"/>
          </w:tcPr>
          <w:p w14:paraId="7AF1FB8E" w14:textId="1492A88E" w:rsidR="00454719" w:rsidRPr="00F24057" w:rsidRDefault="00454719" w:rsidP="00D70B34">
            <w:pPr>
              <w:jc w:val="center"/>
              <w:rPr>
                <w:szCs w:val="22"/>
                <w:lang w:val="sr-Latn-ME"/>
              </w:rPr>
            </w:pPr>
            <w:r w:rsidRPr="00F24057">
              <w:rPr>
                <w:szCs w:val="22"/>
                <w:lang w:val="sr-Latn-ME"/>
              </w:rPr>
              <w:t>23%***</w:t>
            </w:r>
          </w:p>
        </w:tc>
      </w:tr>
      <w:tr w:rsidR="00454719" w:rsidRPr="00F24057" w14:paraId="2CBF99D6" w14:textId="77777777" w:rsidTr="00F1226A">
        <w:trPr>
          <w:trHeight w:val="20"/>
        </w:trPr>
        <w:tc>
          <w:tcPr>
            <w:tcW w:w="1667" w:type="pct"/>
            <w:vAlign w:val="center"/>
          </w:tcPr>
          <w:p w14:paraId="01D4A55B" w14:textId="6138AC12"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24</w:t>
            </w:r>
          </w:p>
        </w:tc>
        <w:tc>
          <w:tcPr>
            <w:tcW w:w="1667" w:type="pct"/>
            <w:vAlign w:val="center"/>
          </w:tcPr>
          <w:p w14:paraId="55D84A02" w14:textId="59F7E6AA" w:rsidR="00454719" w:rsidRPr="00F24057" w:rsidRDefault="00454719" w:rsidP="00D70B34">
            <w:pPr>
              <w:jc w:val="center"/>
              <w:rPr>
                <w:szCs w:val="22"/>
                <w:lang w:val="sr-Latn-ME"/>
              </w:rPr>
            </w:pPr>
            <w:r w:rsidRPr="00F24057">
              <w:rPr>
                <w:szCs w:val="22"/>
                <w:lang w:val="sr-Latn-ME"/>
              </w:rPr>
              <w:t>8%</w:t>
            </w:r>
          </w:p>
        </w:tc>
        <w:tc>
          <w:tcPr>
            <w:tcW w:w="1667" w:type="pct"/>
            <w:vAlign w:val="center"/>
          </w:tcPr>
          <w:p w14:paraId="659C002D" w14:textId="13E6B3F6" w:rsidR="00454719" w:rsidRPr="00F24057" w:rsidRDefault="00454719" w:rsidP="00D70B34">
            <w:pPr>
              <w:jc w:val="center"/>
              <w:rPr>
                <w:szCs w:val="22"/>
                <w:lang w:val="sr-Latn-ME"/>
              </w:rPr>
            </w:pPr>
            <w:r w:rsidRPr="00F24057">
              <w:rPr>
                <w:szCs w:val="22"/>
                <w:lang w:val="sr-Latn-ME"/>
              </w:rPr>
              <w:t>24%***</w:t>
            </w:r>
          </w:p>
        </w:tc>
      </w:tr>
      <w:tr w:rsidR="00454719" w:rsidRPr="00F24057" w14:paraId="6ECD6000" w14:textId="77777777" w:rsidTr="00F1226A">
        <w:trPr>
          <w:trHeight w:val="20"/>
        </w:trPr>
        <w:tc>
          <w:tcPr>
            <w:tcW w:w="1667" w:type="pct"/>
            <w:tcBorders>
              <w:right w:val="single" w:sz="4" w:space="0" w:color="FFFFFF" w:themeColor="background1"/>
            </w:tcBorders>
            <w:vAlign w:val="center"/>
          </w:tcPr>
          <w:p w14:paraId="4D7D7844" w14:textId="65909324" w:rsidR="00454719" w:rsidRPr="00F24057" w:rsidRDefault="00454719" w:rsidP="00D70B34">
            <w:pPr>
              <w:jc w:val="left"/>
              <w:rPr>
                <w:szCs w:val="22"/>
                <w:lang w:val="sr-Latn-ME"/>
              </w:rPr>
            </w:pPr>
            <w:r w:rsidRPr="00F24057">
              <w:rPr>
                <w:szCs w:val="22"/>
                <w:lang w:val="sr-Latn-ME"/>
              </w:rPr>
              <w:t>BASDAI</w:t>
            </w:r>
            <w:r w:rsidRPr="00F24057">
              <w:rPr>
                <w:szCs w:val="22"/>
                <w:vertAlign w:val="superscript"/>
                <w:lang w:val="sr-Latn-ME"/>
              </w:rPr>
              <w:t>b</w:t>
            </w:r>
            <w:r w:rsidRPr="00F24057">
              <w:rPr>
                <w:szCs w:val="22"/>
                <w:lang w:val="sr-Latn-ME"/>
              </w:rPr>
              <w:t xml:space="preserve"> 50</w:t>
            </w:r>
          </w:p>
        </w:tc>
        <w:tc>
          <w:tcPr>
            <w:tcW w:w="3333" w:type="pct"/>
            <w:gridSpan w:val="2"/>
            <w:tcBorders>
              <w:left w:val="single" w:sz="4" w:space="0" w:color="FFFFFF" w:themeColor="background1"/>
            </w:tcBorders>
            <w:vAlign w:val="center"/>
          </w:tcPr>
          <w:p w14:paraId="5CEF98FF" w14:textId="77777777" w:rsidR="00454719" w:rsidRPr="00F24057" w:rsidRDefault="00454719" w:rsidP="00D70B34">
            <w:pPr>
              <w:jc w:val="center"/>
              <w:rPr>
                <w:szCs w:val="22"/>
                <w:lang w:val="sr-Latn-ME"/>
              </w:rPr>
            </w:pPr>
          </w:p>
        </w:tc>
      </w:tr>
      <w:tr w:rsidR="00454719" w:rsidRPr="00F24057" w14:paraId="0B9DBA2B" w14:textId="77777777" w:rsidTr="00F1226A">
        <w:trPr>
          <w:trHeight w:val="20"/>
        </w:trPr>
        <w:tc>
          <w:tcPr>
            <w:tcW w:w="1667" w:type="pct"/>
            <w:vAlign w:val="center"/>
          </w:tcPr>
          <w:p w14:paraId="57E8D962" w14:textId="418825F1"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2</w:t>
            </w:r>
          </w:p>
        </w:tc>
        <w:tc>
          <w:tcPr>
            <w:tcW w:w="1667" w:type="pct"/>
            <w:vAlign w:val="center"/>
          </w:tcPr>
          <w:p w14:paraId="1AE86855" w14:textId="56B8025B" w:rsidR="00454719" w:rsidRPr="00F24057" w:rsidRDefault="00454719" w:rsidP="00D70B34">
            <w:pPr>
              <w:jc w:val="center"/>
              <w:rPr>
                <w:szCs w:val="22"/>
                <w:lang w:val="sr-Latn-ME"/>
              </w:rPr>
            </w:pPr>
            <w:r w:rsidRPr="00F24057">
              <w:rPr>
                <w:szCs w:val="22"/>
                <w:lang w:val="sr-Latn-ME"/>
              </w:rPr>
              <w:t>4</w:t>
            </w:r>
            <w:r w:rsidR="005F5025" w:rsidRPr="00F24057">
              <w:rPr>
                <w:szCs w:val="22"/>
                <w:lang w:val="sr-Latn-ME"/>
              </w:rPr>
              <w:t>%</w:t>
            </w:r>
          </w:p>
        </w:tc>
        <w:tc>
          <w:tcPr>
            <w:tcW w:w="1667" w:type="pct"/>
            <w:vAlign w:val="center"/>
          </w:tcPr>
          <w:p w14:paraId="60F755A6" w14:textId="36ACBBFA" w:rsidR="00454719" w:rsidRPr="00F24057" w:rsidRDefault="00454719" w:rsidP="00D70B34">
            <w:pPr>
              <w:jc w:val="center"/>
              <w:rPr>
                <w:szCs w:val="22"/>
                <w:lang w:val="sr-Latn-ME"/>
              </w:rPr>
            </w:pPr>
            <w:r w:rsidRPr="00F24057">
              <w:rPr>
                <w:szCs w:val="22"/>
                <w:lang w:val="sr-Latn-ME"/>
              </w:rPr>
              <w:t>20%***</w:t>
            </w:r>
          </w:p>
        </w:tc>
      </w:tr>
      <w:tr w:rsidR="00454719" w:rsidRPr="00F24057" w14:paraId="2CA825AC" w14:textId="77777777" w:rsidTr="00F1226A">
        <w:trPr>
          <w:trHeight w:val="20"/>
        </w:trPr>
        <w:tc>
          <w:tcPr>
            <w:tcW w:w="1667" w:type="pct"/>
            <w:vAlign w:val="center"/>
          </w:tcPr>
          <w:p w14:paraId="3CFBB693" w14:textId="52585AEA"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12</w:t>
            </w:r>
          </w:p>
        </w:tc>
        <w:tc>
          <w:tcPr>
            <w:tcW w:w="1667" w:type="pct"/>
            <w:vAlign w:val="center"/>
          </w:tcPr>
          <w:p w14:paraId="1F97ECA9" w14:textId="6C3F4F79" w:rsidR="00454719" w:rsidRPr="00F24057" w:rsidRDefault="00454719" w:rsidP="00D70B34">
            <w:pPr>
              <w:jc w:val="center"/>
              <w:rPr>
                <w:szCs w:val="22"/>
                <w:lang w:val="sr-Latn-ME"/>
              </w:rPr>
            </w:pPr>
            <w:r w:rsidRPr="00F24057">
              <w:rPr>
                <w:szCs w:val="22"/>
                <w:lang w:val="sr-Latn-ME"/>
              </w:rPr>
              <w:t>16</w:t>
            </w:r>
            <w:r w:rsidR="005F5025" w:rsidRPr="00F24057">
              <w:rPr>
                <w:szCs w:val="22"/>
                <w:lang w:val="sr-Latn-ME"/>
              </w:rPr>
              <w:t>%</w:t>
            </w:r>
          </w:p>
        </w:tc>
        <w:tc>
          <w:tcPr>
            <w:tcW w:w="1667" w:type="pct"/>
            <w:vAlign w:val="center"/>
          </w:tcPr>
          <w:p w14:paraId="225EDF45" w14:textId="420C5232" w:rsidR="00454719" w:rsidRPr="00F24057" w:rsidRDefault="00454719" w:rsidP="00D70B34">
            <w:pPr>
              <w:jc w:val="center"/>
              <w:rPr>
                <w:szCs w:val="22"/>
                <w:lang w:val="sr-Latn-ME"/>
              </w:rPr>
            </w:pPr>
            <w:r w:rsidRPr="00F24057">
              <w:rPr>
                <w:szCs w:val="22"/>
                <w:lang w:val="sr-Latn-ME"/>
              </w:rPr>
              <w:t>45%***</w:t>
            </w:r>
          </w:p>
        </w:tc>
      </w:tr>
      <w:tr w:rsidR="00454719" w:rsidRPr="00F24057" w14:paraId="08292F26" w14:textId="77777777" w:rsidTr="00F1226A">
        <w:trPr>
          <w:trHeight w:val="20"/>
        </w:trPr>
        <w:tc>
          <w:tcPr>
            <w:tcW w:w="1667" w:type="pct"/>
            <w:vAlign w:val="center"/>
          </w:tcPr>
          <w:p w14:paraId="49B9F586" w14:textId="20897DDA" w:rsidR="00454719" w:rsidRPr="00F24057" w:rsidRDefault="00885A78" w:rsidP="00D70B34">
            <w:pPr>
              <w:jc w:val="center"/>
              <w:rPr>
                <w:szCs w:val="22"/>
                <w:lang w:val="sr-Latn-ME"/>
              </w:rPr>
            </w:pPr>
            <w:r w:rsidRPr="00F24057">
              <w:rPr>
                <w:szCs w:val="22"/>
                <w:lang w:val="sr-Latn-ME"/>
              </w:rPr>
              <w:t>Nedjelj</w:t>
            </w:r>
            <w:r w:rsidR="00454719" w:rsidRPr="00F24057">
              <w:rPr>
                <w:szCs w:val="22"/>
                <w:lang w:val="sr-Latn-ME"/>
              </w:rPr>
              <w:t>a 24</w:t>
            </w:r>
          </w:p>
        </w:tc>
        <w:tc>
          <w:tcPr>
            <w:tcW w:w="1667" w:type="pct"/>
            <w:vAlign w:val="center"/>
          </w:tcPr>
          <w:p w14:paraId="7E0CFECD" w14:textId="53D8BCCF" w:rsidR="00454719" w:rsidRPr="00F24057" w:rsidRDefault="00454719" w:rsidP="00D70B34">
            <w:pPr>
              <w:jc w:val="center"/>
              <w:rPr>
                <w:szCs w:val="22"/>
                <w:lang w:val="sr-Latn-ME"/>
              </w:rPr>
            </w:pPr>
            <w:r w:rsidRPr="00F24057">
              <w:rPr>
                <w:szCs w:val="22"/>
                <w:lang w:val="sr-Latn-ME"/>
              </w:rPr>
              <w:t>15</w:t>
            </w:r>
            <w:r w:rsidR="005F5025" w:rsidRPr="00F24057">
              <w:rPr>
                <w:szCs w:val="22"/>
                <w:lang w:val="sr-Latn-ME"/>
              </w:rPr>
              <w:t>%</w:t>
            </w:r>
          </w:p>
        </w:tc>
        <w:tc>
          <w:tcPr>
            <w:tcW w:w="1667" w:type="pct"/>
            <w:vAlign w:val="center"/>
          </w:tcPr>
          <w:p w14:paraId="5397F89B" w14:textId="67AA989F" w:rsidR="00454719" w:rsidRPr="00F24057" w:rsidRDefault="00454719" w:rsidP="00D70B34">
            <w:pPr>
              <w:jc w:val="center"/>
              <w:rPr>
                <w:szCs w:val="22"/>
                <w:lang w:val="sr-Latn-ME"/>
              </w:rPr>
            </w:pPr>
            <w:r w:rsidRPr="00F24057">
              <w:rPr>
                <w:szCs w:val="22"/>
                <w:lang w:val="sr-Latn-ME"/>
              </w:rPr>
              <w:t>42%***</w:t>
            </w:r>
          </w:p>
        </w:tc>
      </w:tr>
    </w:tbl>
    <w:p w14:paraId="70AB7126" w14:textId="019997A3" w:rsidR="00454719" w:rsidRPr="00F24057" w:rsidRDefault="00454719" w:rsidP="00D70B34">
      <w:pPr>
        <w:rPr>
          <w:szCs w:val="22"/>
          <w:lang w:val="sr-Latn-ME"/>
        </w:rPr>
      </w:pPr>
      <w:r w:rsidRPr="00F24057">
        <w:rPr>
          <w:szCs w:val="22"/>
          <w:lang w:val="sr-Latn-ME"/>
        </w:rPr>
        <w:t xml:space="preserve">***, ** Statistički značajan pri p </w:t>
      </w:r>
      <w:r w:rsidRPr="00F24057">
        <w:rPr>
          <w:szCs w:val="22"/>
          <w:lang w:val="sr-Latn-ME"/>
        </w:rPr>
        <w:sym w:font="Symbol" w:char="F03C"/>
      </w:r>
      <w:r w:rsidRPr="00F24057">
        <w:rPr>
          <w:szCs w:val="22"/>
          <w:lang w:val="sr-Latn-ME"/>
        </w:rPr>
        <w:t xml:space="preserve"> 0,001, </w:t>
      </w:r>
      <w:r w:rsidRPr="00F24057">
        <w:rPr>
          <w:szCs w:val="22"/>
          <w:lang w:val="sr-Latn-ME"/>
        </w:rPr>
        <w:sym w:font="Symbol" w:char="F03C"/>
      </w:r>
      <w:r w:rsidRPr="00F24057">
        <w:rPr>
          <w:szCs w:val="22"/>
          <w:lang w:val="sr-Latn-ME"/>
        </w:rPr>
        <w:t xml:space="preserve"> 0,01</w:t>
      </w:r>
      <w:r w:rsidR="007A20AA" w:rsidRPr="00F24057">
        <w:rPr>
          <w:szCs w:val="22"/>
          <w:lang w:val="sr-Latn-ME"/>
        </w:rPr>
        <w:t xml:space="preserve"> </w:t>
      </w:r>
      <w:r w:rsidRPr="00F24057">
        <w:rPr>
          <w:szCs w:val="22"/>
          <w:lang w:val="sr-Latn-ME"/>
        </w:rPr>
        <w:t xml:space="preserve">za sva poređenja adalimumaba i placeba u </w:t>
      </w:r>
      <w:r w:rsidR="00885A78" w:rsidRPr="00F24057">
        <w:rPr>
          <w:szCs w:val="22"/>
          <w:lang w:val="sr-Latn-ME"/>
        </w:rPr>
        <w:t>nedjelj</w:t>
      </w:r>
      <w:r w:rsidRPr="00F24057">
        <w:rPr>
          <w:szCs w:val="22"/>
          <w:lang w:val="sr-Latn-ME"/>
        </w:rPr>
        <w:t xml:space="preserve">i 2, 12 i 24 </w:t>
      </w:r>
    </w:p>
    <w:p w14:paraId="0DABB44E" w14:textId="2D1B69AD" w:rsidR="00454719" w:rsidRPr="00F24057" w:rsidRDefault="00454719" w:rsidP="00D70B34">
      <w:pPr>
        <w:rPr>
          <w:szCs w:val="22"/>
          <w:lang w:val="sr-Latn-ME"/>
        </w:rPr>
      </w:pPr>
      <w:r w:rsidRPr="00F24057">
        <w:rPr>
          <w:szCs w:val="22"/>
          <w:vertAlign w:val="superscript"/>
          <w:lang w:val="sr-Latn-ME"/>
        </w:rPr>
        <w:t>a</w:t>
      </w:r>
      <w:r w:rsidR="003E5C78" w:rsidRPr="00F24057">
        <w:rPr>
          <w:szCs w:val="22"/>
          <w:lang w:val="sr-Latn-ME"/>
        </w:rPr>
        <w:t xml:space="preserve"> </w:t>
      </w:r>
      <w:r w:rsidR="004F2520" w:rsidRPr="00F24057">
        <w:rPr>
          <w:szCs w:val="22"/>
          <w:lang w:val="sr-Latn-ME"/>
        </w:rPr>
        <w:t>procjen</w:t>
      </w:r>
      <w:r w:rsidRPr="00F24057">
        <w:rPr>
          <w:szCs w:val="22"/>
          <w:lang w:val="sr-Latn-ME"/>
        </w:rPr>
        <w:t>a u ankilozirajućem spondilitisu (engl</w:t>
      </w:r>
      <w:r w:rsidRPr="00F24057">
        <w:rPr>
          <w:i/>
          <w:iCs/>
          <w:szCs w:val="22"/>
          <w:lang w:val="sr-Latn-ME"/>
        </w:rPr>
        <w:t>. Assessments in Ankylosing Spondylitis</w:t>
      </w:r>
      <w:r w:rsidRPr="00F24057">
        <w:rPr>
          <w:szCs w:val="22"/>
          <w:lang w:val="sr-Latn-ME"/>
        </w:rPr>
        <w:t xml:space="preserve">, ASAS) </w:t>
      </w:r>
    </w:p>
    <w:p w14:paraId="67796D2E" w14:textId="131C3837" w:rsidR="00454719" w:rsidRPr="00F24057" w:rsidRDefault="00454719" w:rsidP="00D70B34">
      <w:pPr>
        <w:rPr>
          <w:szCs w:val="22"/>
          <w:lang w:val="sr-Latn-ME"/>
        </w:rPr>
      </w:pPr>
      <w:r w:rsidRPr="00F24057">
        <w:rPr>
          <w:szCs w:val="22"/>
          <w:vertAlign w:val="superscript"/>
          <w:lang w:val="sr-Latn-ME"/>
        </w:rPr>
        <w:t>b</w:t>
      </w:r>
      <w:r w:rsidRPr="00F24057">
        <w:rPr>
          <w:szCs w:val="22"/>
          <w:lang w:val="sr-Latn-ME"/>
        </w:rPr>
        <w:t xml:space="preserve"> </w:t>
      </w:r>
      <w:r w:rsidRPr="00F24057">
        <w:rPr>
          <w:i/>
          <w:iCs/>
          <w:szCs w:val="22"/>
          <w:lang w:val="sr-Latn-ME"/>
        </w:rPr>
        <w:t>Bath</w:t>
      </w:r>
      <w:r w:rsidRPr="00F24057">
        <w:rPr>
          <w:szCs w:val="22"/>
          <w:lang w:val="sr-Latn-ME"/>
        </w:rPr>
        <w:t xml:space="preserve"> indeks aktivnosti ankilozirajućeg spondilitisa (engl. </w:t>
      </w:r>
      <w:r w:rsidRPr="00F24057">
        <w:rPr>
          <w:i/>
          <w:iCs/>
          <w:szCs w:val="22"/>
          <w:lang w:val="sr-Latn-ME"/>
        </w:rPr>
        <w:t>Bath Ankylosing Spondylitis Disease Activity Index</w:t>
      </w:r>
      <w:r w:rsidRPr="00F24057">
        <w:rPr>
          <w:szCs w:val="22"/>
          <w:lang w:val="sr-Latn-ME"/>
        </w:rPr>
        <w:t>)</w:t>
      </w:r>
    </w:p>
    <w:p w14:paraId="13ED06C5" w14:textId="5E8F9D83" w:rsidR="00356C0D" w:rsidRPr="00F24057" w:rsidRDefault="00356C0D" w:rsidP="00D70B34">
      <w:pPr>
        <w:rPr>
          <w:szCs w:val="22"/>
          <w:lang w:val="sr-Latn-ME"/>
        </w:rPr>
      </w:pPr>
    </w:p>
    <w:p w14:paraId="265AA15D" w14:textId="3992132E" w:rsidR="00454719" w:rsidRPr="00F24057" w:rsidRDefault="00454719" w:rsidP="00D70B34">
      <w:pPr>
        <w:rPr>
          <w:szCs w:val="22"/>
          <w:lang w:val="sr-Latn-ME"/>
        </w:rPr>
      </w:pPr>
      <w:r w:rsidRPr="00F24057">
        <w:rPr>
          <w:szCs w:val="22"/>
          <w:lang w:val="sr-Latn-ME"/>
        </w:rPr>
        <w:t xml:space="preserve">Pacijenti </w:t>
      </w:r>
      <w:r w:rsidR="00885A78" w:rsidRPr="00F24057">
        <w:rPr>
          <w:szCs w:val="22"/>
          <w:lang w:val="sr-Latn-ME"/>
        </w:rPr>
        <w:t>liječe</w:t>
      </w:r>
      <w:r w:rsidRPr="00F24057">
        <w:rPr>
          <w:szCs w:val="22"/>
          <w:lang w:val="sr-Latn-ME"/>
        </w:rPr>
        <w:t xml:space="preserve">ni adalimumabom su imali značajno poboljšanje kvaliteta života u 12. </w:t>
      </w:r>
      <w:r w:rsidR="00885A78" w:rsidRPr="00F24057">
        <w:rPr>
          <w:szCs w:val="22"/>
          <w:lang w:val="sr-Latn-ME"/>
        </w:rPr>
        <w:t>nedjelj</w:t>
      </w:r>
      <w:r w:rsidRPr="00F24057">
        <w:rPr>
          <w:szCs w:val="22"/>
          <w:lang w:val="sr-Latn-ME"/>
        </w:rPr>
        <w:t xml:space="preserve">i, koje se zadržalo do kraja 24. </w:t>
      </w:r>
      <w:r w:rsidR="00885A78" w:rsidRPr="00F24057">
        <w:rPr>
          <w:szCs w:val="22"/>
          <w:lang w:val="sr-Latn-ME"/>
        </w:rPr>
        <w:t>nedjelj</w:t>
      </w:r>
      <w:r w:rsidRPr="00F24057">
        <w:rPr>
          <w:szCs w:val="22"/>
          <w:lang w:val="sr-Latn-ME"/>
        </w:rPr>
        <w:t>e prema upitniku SF36 i Upitniku o kvalitetu života sa ankilozirajućim spondilitisom (</w:t>
      </w:r>
      <w:r w:rsidRPr="00F24057">
        <w:rPr>
          <w:i/>
          <w:iCs/>
          <w:szCs w:val="22"/>
          <w:lang w:val="sr-Latn-ME"/>
        </w:rPr>
        <w:t>Ankylosing Spondylitis Quality of Life Questionnaire</w:t>
      </w:r>
      <w:r w:rsidRPr="00F24057">
        <w:rPr>
          <w:szCs w:val="22"/>
          <w:lang w:val="sr-Latn-ME"/>
        </w:rPr>
        <w:t xml:space="preserve">-ASQoL). </w:t>
      </w:r>
    </w:p>
    <w:p w14:paraId="0E03F01E" w14:textId="77777777" w:rsidR="00454719" w:rsidRPr="00F24057" w:rsidRDefault="00454719" w:rsidP="00D70B34">
      <w:pPr>
        <w:rPr>
          <w:szCs w:val="22"/>
          <w:lang w:val="sr-Latn-ME"/>
        </w:rPr>
      </w:pPr>
    </w:p>
    <w:p w14:paraId="469AA420" w14:textId="27204E22" w:rsidR="00454719" w:rsidRPr="00F24057" w:rsidRDefault="00454719" w:rsidP="00D70B34">
      <w:pPr>
        <w:rPr>
          <w:szCs w:val="22"/>
          <w:lang w:val="sr-Latn-ME"/>
        </w:rPr>
      </w:pPr>
      <w:r w:rsidRPr="00F24057">
        <w:rPr>
          <w:szCs w:val="22"/>
          <w:lang w:val="sr-Latn-ME"/>
        </w:rPr>
        <w:t>Slični trendovi (nisu svi statistički značajni) viđeni su i u manjoj, randomizovanoj, dvostruko sl</w:t>
      </w:r>
      <w:r w:rsidR="00972894" w:rsidRPr="00F24057">
        <w:rPr>
          <w:szCs w:val="22"/>
          <w:lang w:val="sr-Latn-ME"/>
        </w:rPr>
        <w:t>ij</w:t>
      </w:r>
      <w:r w:rsidRPr="00F24057">
        <w:rPr>
          <w:szCs w:val="22"/>
          <w:lang w:val="sr-Latn-ME"/>
        </w:rPr>
        <w:t>epoj, placebo kontrolisanoj studiji (AS studija II) kod 82 odrasla pacijenta sa aktivnim ankilozrajućim spondilitisom.</w:t>
      </w:r>
    </w:p>
    <w:p w14:paraId="5BD5B1FC" w14:textId="3019EF68" w:rsidR="00356C0D" w:rsidRPr="00F24057" w:rsidRDefault="00356C0D" w:rsidP="00D70B34">
      <w:pPr>
        <w:rPr>
          <w:szCs w:val="22"/>
          <w:lang w:val="sr-Latn-ME"/>
        </w:rPr>
      </w:pPr>
    </w:p>
    <w:p w14:paraId="232EE97B" w14:textId="77777777" w:rsidR="00454719" w:rsidRPr="00F24057" w:rsidRDefault="00454719" w:rsidP="00D70B34">
      <w:pPr>
        <w:rPr>
          <w:i/>
          <w:iCs/>
          <w:szCs w:val="22"/>
          <w:u w:val="single"/>
          <w:lang w:val="sr-Latn-ME"/>
        </w:rPr>
      </w:pPr>
      <w:r w:rsidRPr="00F24057">
        <w:rPr>
          <w:i/>
          <w:iCs/>
          <w:szCs w:val="22"/>
          <w:u w:val="single"/>
          <w:lang w:val="sr-Latn-ME"/>
        </w:rPr>
        <w:t xml:space="preserve">Aksijalni spondiloartritis bez radiografskog dokaza AS </w:t>
      </w:r>
    </w:p>
    <w:p w14:paraId="5D693C86" w14:textId="5D8F7BF2" w:rsidR="00454719" w:rsidRPr="00F24057" w:rsidRDefault="0030064A" w:rsidP="00D70B34">
      <w:pPr>
        <w:rPr>
          <w:szCs w:val="22"/>
          <w:lang w:val="sr-Latn-ME"/>
        </w:rPr>
      </w:pPr>
      <w:r w:rsidRPr="00F24057">
        <w:rPr>
          <w:szCs w:val="22"/>
          <w:lang w:val="sr-Latn-ME"/>
        </w:rPr>
        <w:t>Bezbjedno</w:t>
      </w:r>
      <w:r w:rsidR="00454719" w:rsidRPr="00F24057">
        <w:rPr>
          <w:szCs w:val="22"/>
          <w:lang w:val="sr-Latn-ME"/>
        </w:rPr>
        <w:t xml:space="preserve">st i efikasnost adalimumaba </w:t>
      </w:r>
      <w:r w:rsidR="004F2520" w:rsidRPr="00F24057">
        <w:rPr>
          <w:szCs w:val="22"/>
          <w:lang w:val="sr-Latn-ME"/>
        </w:rPr>
        <w:t>procjen</w:t>
      </w:r>
      <w:r w:rsidR="00454719" w:rsidRPr="00F24057">
        <w:rPr>
          <w:szCs w:val="22"/>
          <w:lang w:val="sr-Latn-ME"/>
        </w:rPr>
        <w:t>jivane su u dva randomizovana, dvostruko sl</w:t>
      </w:r>
      <w:r w:rsidR="00972894" w:rsidRPr="00F24057">
        <w:rPr>
          <w:szCs w:val="22"/>
          <w:lang w:val="sr-Latn-ME"/>
        </w:rPr>
        <w:t>ij</w:t>
      </w:r>
      <w:r w:rsidR="00454719" w:rsidRPr="00F24057">
        <w:rPr>
          <w:szCs w:val="22"/>
          <w:lang w:val="sr-Latn-ME"/>
        </w:rPr>
        <w:t xml:space="preserve">epa, placebo kontrolisana ispitivanja, sprovedena kod pacijenata sa aksijalnim spondiloartritisom bez radiografskog dokaza AS (nr-axSpA). U ispitivanju nr-axSpA I </w:t>
      </w:r>
      <w:r w:rsidR="004F2520" w:rsidRPr="00F24057">
        <w:rPr>
          <w:szCs w:val="22"/>
          <w:lang w:val="sr-Latn-ME"/>
        </w:rPr>
        <w:t>procjen</w:t>
      </w:r>
      <w:r w:rsidR="00454719" w:rsidRPr="00F24057">
        <w:rPr>
          <w:szCs w:val="22"/>
          <w:lang w:val="sr-Latn-ME"/>
        </w:rPr>
        <w:t xml:space="preserve">jivani su pacijenti koji su imali aktivan nr-axSpA. U ispitivanju nr-axSpA II </w:t>
      </w:r>
      <w:r w:rsidR="004F2520" w:rsidRPr="00F24057">
        <w:rPr>
          <w:szCs w:val="22"/>
          <w:lang w:val="sr-Latn-ME"/>
        </w:rPr>
        <w:t>procjen</w:t>
      </w:r>
      <w:r w:rsidR="00454719" w:rsidRPr="00F24057">
        <w:rPr>
          <w:szCs w:val="22"/>
          <w:lang w:val="sr-Latn-ME"/>
        </w:rPr>
        <w:t xml:space="preserve">jivalo se ukidanje terapije kod pacijenata sa aktivnim nr-axSpA koji su postigli remisiju tokom otvorenog </w:t>
      </w:r>
      <w:r w:rsidR="00885A78" w:rsidRPr="00F24057">
        <w:rPr>
          <w:szCs w:val="22"/>
          <w:lang w:val="sr-Latn-ME"/>
        </w:rPr>
        <w:t>liječenj</w:t>
      </w:r>
      <w:r w:rsidR="00454719" w:rsidRPr="00F24057">
        <w:rPr>
          <w:szCs w:val="22"/>
          <w:lang w:val="sr-Latn-ME"/>
        </w:rPr>
        <w:t xml:space="preserve">a adalimumabom. </w:t>
      </w:r>
    </w:p>
    <w:p w14:paraId="29AFEB73" w14:textId="77777777" w:rsidR="00454719" w:rsidRPr="00F24057" w:rsidRDefault="00454719" w:rsidP="00D70B34">
      <w:pPr>
        <w:rPr>
          <w:szCs w:val="22"/>
          <w:lang w:val="sr-Latn-ME"/>
        </w:rPr>
      </w:pPr>
    </w:p>
    <w:p w14:paraId="5CAC249F" w14:textId="77777777" w:rsidR="00454719" w:rsidRPr="00F24057" w:rsidRDefault="00454719" w:rsidP="00D70B34">
      <w:pPr>
        <w:rPr>
          <w:szCs w:val="22"/>
          <w:u w:val="single"/>
          <w:lang w:val="sr-Latn-ME"/>
        </w:rPr>
      </w:pPr>
      <w:r w:rsidRPr="00F24057">
        <w:rPr>
          <w:szCs w:val="22"/>
          <w:u w:val="single"/>
          <w:lang w:val="sr-Latn-ME"/>
        </w:rPr>
        <w:t xml:space="preserve">Ispitivanje nr-axSpA I </w:t>
      </w:r>
    </w:p>
    <w:p w14:paraId="20793041" w14:textId="77777777" w:rsidR="00454719" w:rsidRPr="00F24057" w:rsidRDefault="00454719" w:rsidP="00D70B34">
      <w:pPr>
        <w:rPr>
          <w:szCs w:val="22"/>
          <w:lang w:val="sr-Latn-ME"/>
        </w:rPr>
      </w:pPr>
    </w:p>
    <w:p w14:paraId="34F0ED9F" w14:textId="66D7E932" w:rsidR="00E5730D" w:rsidRPr="00F24057" w:rsidRDefault="00454719" w:rsidP="00D70B34">
      <w:pPr>
        <w:rPr>
          <w:szCs w:val="22"/>
          <w:lang w:val="sr-Latn-ME"/>
        </w:rPr>
      </w:pPr>
      <w:r w:rsidRPr="00F24057">
        <w:rPr>
          <w:szCs w:val="22"/>
          <w:lang w:val="sr-Latn-ME"/>
        </w:rPr>
        <w:t xml:space="preserve">Adalimumab 40 mg svake druge </w:t>
      </w:r>
      <w:r w:rsidR="00885A78" w:rsidRPr="00F24057">
        <w:rPr>
          <w:szCs w:val="22"/>
          <w:lang w:val="sr-Latn-ME"/>
        </w:rPr>
        <w:t>nedjelj</w:t>
      </w:r>
      <w:r w:rsidRPr="00F24057">
        <w:rPr>
          <w:szCs w:val="22"/>
          <w:lang w:val="sr-Latn-ME"/>
        </w:rPr>
        <w:t>e ispitivan je u jednoj randomizovanoj, dvostruko sl</w:t>
      </w:r>
      <w:r w:rsidR="00972894" w:rsidRPr="00F24057">
        <w:rPr>
          <w:szCs w:val="22"/>
          <w:lang w:val="sr-Latn-ME"/>
        </w:rPr>
        <w:t>ij</w:t>
      </w:r>
      <w:r w:rsidRPr="00F24057">
        <w:rPr>
          <w:szCs w:val="22"/>
          <w:lang w:val="sr-Latn-ME"/>
        </w:rPr>
        <w:t xml:space="preserve">epoj, placebo kontrolisanoj studiji nr-axSpA I, u trajanju od 12 </w:t>
      </w:r>
      <w:r w:rsidR="00885A78" w:rsidRPr="00F24057">
        <w:rPr>
          <w:szCs w:val="22"/>
          <w:lang w:val="sr-Latn-ME"/>
        </w:rPr>
        <w:t>nedjelj</w:t>
      </w:r>
      <w:r w:rsidRPr="00F24057">
        <w:rPr>
          <w:szCs w:val="22"/>
          <w:lang w:val="sr-Latn-ME"/>
        </w:rPr>
        <w:t xml:space="preserve">a, kod 185 pacijenata sa aktivnim nr-axSpA (srednja početna </w:t>
      </w:r>
      <w:r w:rsidR="00972894" w:rsidRPr="00F24057">
        <w:rPr>
          <w:szCs w:val="22"/>
          <w:lang w:val="sr-Latn-ME"/>
        </w:rPr>
        <w:t>vrijedno</w:t>
      </w:r>
      <w:r w:rsidRPr="00F24057">
        <w:rPr>
          <w:szCs w:val="22"/>
          <w:lang w:val="sr-Latn-ME"/>
        </w:rPr>
        <w:t xml:space="preserve">st aktivnosti bolesti [engl. </w:t>
      </w:r>
      <w:r w:rsidRPr="00F24057">
        <w:rPr>
          <w:i/>
          <w:iCs/>
          <w:szCs w:val="22"/>
          <w:lang w:val="sr-Latn-ME"/>
        </w:rPr>
        <w:t>Bath Ankylosing Spondilylitis Disease Activity Index</w:t>
      </w:r>
      <w:r w:rsidRPr="00F24057">
        <w:rPr>
          <w:szCs w:val="22"/>
          <w:lang w:val="sr-Latn-ME"/>
        </w:rPr>
        <w:t xml:space="preserve"> (BASDAI)] je bila 6,4 za pacijente koji su primali adalimumab i 6,5 za pacijente koji su primali placebo), a koji su imali neadekvatan odgovor na konvencionalnu terapiju ili su intolerantni na ≥1 NSAIL ili kod kojih je upotreba NSAIL kontraindikovana. </w:t>
      </w:r>
    </w:p>
    <w:p w14:paraId="2CBDC552" w14:textId="77777777" w:rsidR="00E5730D" w:rsidRPr="00F24057" w:rsidRDefault="00E5730D" w:rsidP="00D70B34">
      <w:pPr>
        <w:rPr>
          <w:szCs w:val="22"/>
          <w:lang w:val="sr-Latn-ME"/>
        </w:rPr>
      </w:pPr>
    </w:p>
    <w:p w14:paraId="6E0240F8" w14:textId="255E5570" w:rsidR="00356C0D" w:rsidRPr="00F24057" w:rsidRDefault="00454719" w:rsidP="00D70B34">
      <w:pPr>
        <w:rPr>
          <w:szCs w:val="22"/>
          <w:lang w:val="sr-Latn-ME"/>
        </w:rPr>
      </w:pPr>
      <w:r w:rsidRPr="00F24057">
        <w:rPr>
          <w:szCs w:val="22"/>
          <w:lang w:val="sr-Latn-ME"/>
        </w:rPr>
        <w:t xml:space="preserve">Trideset tri (18%) pacijenta primalo je prateću terapiju antireumatskim </w:t>
      </w:r>
      <w:r w:rsidR="0030064A" w:rsidRPr="00F24057">
        <w:rPr>
          <w:szCs w:val="22"/>
          <w:lang w:val="sr-Latn-ME"/>
        </w:rPr>
        <w:t>ljekov</w:t>
      </w:r>
      <w:r w:rsidRPr="00F24057">
        <w:rPr>
          <w:szCs w:val="22"/>
          <w:lang w:val="sr-Latn-ME"/>
        </w:rPr>
        <w:t>ima koji modifikuju tok bolesti, a 146 (79%) pacijenata je primalo prateću terapiju NSAIL. Nakon dvostruko-sl</w:t>
      </w:r>
      <w:r w:rsidR="00972894" w:rsidRPr="00F24057">
        <w:rPr>
          <w:szCs w:val="22"/>
          <w:lang w:val="sr-Latn-ME"/>
        </w:rPr>
        <w:t>ij</w:t>
      </w:r>
      <w:r w:rsidRPr="00F24057">
        <w:rPr>
          <w:szCs w:val="22"/>
          <w:lang w:val="sr-Latn-ME"/>
        </w:rPr>
        <w:t xml:space="preserve">epog dela ispitivanja sledio je period otvorenog ispitivanja u kome su pacijenti primali adalimumab 40 mg svake druge </w:t>
      </w:r>
      <w:r w:rsidR="00885A78" w:rsidRPr="00F24057">
        <w:rPr>
          <w:szCs w:val="22"/>
          <w:lang w:val="sr-Latn-ME"/>
        </w:rPr>
        <w:t>nedjelj</w:t>
      </w:r>
      <w:r w:rsidRPr="00F24057">
        <w:rPr>
          <w:szCs w:val="22"/>
          <w:lang w:val="sr-Latn-ME"/>
        </w:rPr>
        <w:t xml:space="preserve">e supkutano tokom </w:t>
      </w:r>
      <w:r w:rsidR="009811CA" w:rsidRPr="00F24057">
        <w:rPr>
          <w:szCs w:val="22"/>
          <w:lang w:val="sr-Latn-ME"/>
        </w:rPr>
        <w:t>sljedeć</w:t>
      </w:r>
      <w:r w:rsidRPr="00F24057">
        <w:rPr>
          <w:szCs w:val="22"/>
          <w:lang w:val="sr-Latn-ME"/>
        </w:rPr>
        <w:t xml:space="preserve">e 144 </w:t>
      </w:r>
      <w:r w:rsidR="00885A78" w:rsidRPr="00F24057">
        <w:rPr>
          <w:szCs w:val="22"/>
          <w:lang w:val="sr-Latn-ME"/>
        </w:rPr>
        <w:t>nedjelj</w:t>
      </w:r>
      <w:r w:rsidRPr="00F24057">
        <w:rPr>
          <w:szCs w:val="22"/>
          <w:lang w:val="sr-Latn-ME"/>
        </w:rPr>
        <w:t>e. Rezultati iz</w:t>
      </w:r>
      <w:r w:rsidR="0030064A" w:rsidRPr="00F24057">
        <w:rPr>
          <w:szCs w:val="22"/>
          <w:lang w:val="sr-Latn-ME"/>
        </w:rPr>
        <w:t>mjeren</w:t>
      </w:r>
      <w:r w:rsidRPr="00F24057">
        <w:rPr>
          <w:szCs w:val="22"/>
          <w:lang w:val="sr-Latn-ME"/>
        </w:rPr>
        <w:t xml:space="preserve">i u 12 </w:t>
      </w:r>
      <w:r w:rsidR="00885A78" w:rsidRPr="00F24057">
        <w:rPr>
          <w:szCs w:val="22"/>
          <w:lang w:val="sr-Latn-ME"/>
        </w:rPr>
        <w:t>nedjelj</w:t>
      </w:r>
      <w:r w:rsidRPr="00F24057">
        <w:rPr>
          <w:szCs w:val="22"/>
          <w:lang w:val="sr-Latn-ME"/>
        </w:rPr>
        <w:t>i pokazali su statistički značajno poboljšanje znakova i simptoma aktivnog nr-axSpA kod pacijenata koji su primali adalimumab, u odnosu na pacijente koji su primali placebo (Tabela 1</w:t>
      </w:r>
      <w:r w:rsidR="00E5730D" w:rsidRPr="00F24057">
        <w:rPr>
          <w:szCs w:val="22"/>
          <w:lang w:val="sr-Latn-ME"/>
        </w:rPr>
        <w:t>3</w:t>
      </w:r>
      <w:r w:rsidRPr="00F24057">
        <w:rPr>
          <w:szCs w:val="22"/>
          <w:lang w:val="sr-Latn-ME"/>
        </w:rPr>
        <w:t>).</w:t>
      </w:r>
    </w:p>
    <w:p w14:paraId="365E251F" w14:textId="20683059" w:rsidR="00356C0D" w:rsidRPr="00F24057" w:rsidRDefault="00356C0D" w:rsidP="00D70B34">
      <w:pPr>
        <w:rPr>
          <w:szCs w:val="22"/>
          <w:lang w:val="sr-Latn-ME"/>
        </w:rPr>
      </w:pPr>
    </w:p>
    <w:p w14:paraId="52882963" w14:textId="56C3B7CA" w:rsidR="00356C0D" w:rsidRPr="00F24057" w:rsidRDefault="00E5730D" w:rsidP="00D70B34">
      <w:pPr>
        <w:rPr>
          <w:b/>
          <w:bCs/>
          <w:szCs w:val="22"/>
          <w:lang w:val="sr-Latn-ME"/>
        </w:rPr>
      </w:pPr>
      <w:r w:rsidRPr="00F24057">
        <w:rPr>
          <w:b/>
          <w:bCs/>
          <w:szCs w:val="22"/>
          <w:lang w:val="sr-Latn-ME"/>
        </w:rPr>
        <w:t>Tabela 1</w:t>
      </w:r>
      <w:r w:rsidR="00394E9F" w:rsidRPr="00F24057">
        <w:rPr>
          <w:b/>
          <w:bCs/>
          <w:szCs w:val="22"/>
          <w:lang w:val="sr-Latn-ME"/>
        </w:rPr>
        <w:t>3</w:t>
      </w:r>
      <w:r w:rsidRPr="00F24057">
        <w:rPr>
          <w:b/>
          <w:bCs/>
          <w:szCs w:val="22"/>
          <w:lang w:val="sr-Latn-ME"/>
        </w:rPr>
        <w:t>. Rezultati efikasnosti u placebo kontrolisanom ispitivanju nr-axSpA I</w:t>
      </w:r>
    </w:p>
    <w:p w14:paraId="2D6EA251" w14:textId="77777777" w:rsidR="00C0295E" w:rsidRPr="00F24057" w:rsidRDefault="00C0295E"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652"/>
        <w:gridCol w:w="2622"/>
        <w:gridCol w:w="2743"/>
      </w:tblGrid>
      <w:tr w:rsidR="00E5730D" w:rsidRPr="00F24057" w14:paraId="4C4A8FF4" w14:textId="77777777" w:rsidTr="00F1226A">
        <w:trPr>
          <w:trHeight w:val="20"/>
        </w:trPr>
        <w:tc>
          <w:tcPr>
            <w:tcW w:w="2025" w:type="pct"/>
            <w:vAlign w:val="center"/>
          </w:tcPr>
          <w:p w14:paraId="42D16598" w14:textId="3E89B455" w:rsidR="00E5730D" w:rsidRPr="00F24057" w:rsidRDefault="00E5730D" w:rsidP="00D70B34">
            <w:pPr>
              <w:jc w:val="left"/>
              <w:rPr>
                <w:b/>
                <w:bCs/>
                <w:szCs w:val="22"/>
                <w:lang w:val="sr-Latn-ME"/>
              </w:rPr>
            </w:pPr>
            <w:r w:rsidRPr="00F24057">
              <w:rPr>
                <w:b/>
                <w:bCs/>
                <w:szCs w:val="22"/>
                <w:lang w:val="sr-Latn-ME"/>
              </w:rPr>
              <w:t>Dvostruko sl</w:t>
            </w:r>
            <w:r w:rsidR="00972894" w:rsidRPr="00F24057">
              <w:rPr>
                <w:b/>
                <w:bCs/>
                <w:szCs w:val="22"/>
                <w:lang w:val="sr-Latn-ME"/>
              </w:rPr>
              <w:t>ij</w:t>
            </w:r>
            <w:r w:rsidRPr="00F24057">
              <w:rPr>
                <w:b/>
                <w:bCs/>
                <w:szCs w:val="22"/>
                <w:lang w:val="sr-Latn-ME"/>
              </w:rPr>
              <w:t>epo</w:t>
            </w:r>
          </w:p>
          <w:p w14:paraId="37FE5BD9" w14:textId="64A6AEFC" w:rsidR="00E5730D" w:rsidRPr="00F24057" w:rsidRDefault="00E5730D" w:rsidP="00D70B34">
            <w:pPr>
              <w:jc w:val="left"/>
              <w:rPr>
                <w:b/>
                <w:bCs/>
                <w:szCs w:val="22"/>
                <w:lang w:val="sr-Latn-ME"/>
              </w:rPr>
            </w:pPr>
            <w:r w:rsidRPr="00F24057">
              <w:rPr>
                <w:b/>
                <w:bCs/>
                <w:szCs w:val="22"/>
                <w:lang w:val="sr-Latn-ME"/>
              </w:rPr>
              <w:t xml:space="preserve">Odgovor u 12. </w:t>
            </w:r>
            <w:r w:rsidR="00885A78" w:rsidRPr="00F24057">
              <w:rPr>
                <w:b/>
                <w:bCs/>
                <w:szCs w:val="22"/>
                <w:lang w:val="sr-Latn-ME"/>
              </w:rPr>
              <w:t>nedjelj</w:t>
            </w:r>
            <w:r w:rsidRPr="00F24057">
              <w:rPr>
                <w:b/>
                <w:bCs/>
                <w:szCs w:val="22"/>
                <w:lang w:val="sr-Latn-ME"/>
              </w:rPr>
              <w:t>i</w:t>
            </w:r>
          </w:p>
        </w:tc>
        <w:tc>
          <w:tcPr>
            <w:tcW w:w="1454" w:type="pct"/>
            <w:vAlign w:val="center"/>
          </w:tcPr>
          <w:p w14:paraId="47182260" w14:textId="69C00494" w:rsidR="005B149F" w:rsidRPr="00F24057" w:rsidRDefault="00E5730D" w:rsidP="00D70B34">
            <w:pPr>
              <w:jc w:val="center"/>
              <w:rPr>
                <w:b/>
                <w:bCs/>
                <w:szCs w:val="22"/>
                <w:lang w:val="sr-Latn-ME"/>
              </w:rPr>
            </w:pPr>
            <w:r w:rsidRPr="00F24057">
              <w:rPr>
                <w:b/>
                <w:bCs/>
                <w:szCs w:val="22"/>
                <w:lang w:val="sr-Latn-ME"/>
              </w:rPr>
              <w:t>Placebo</w:t>
            </w:r>
          </w:p>
          <w:p w14:paraId="341673D1" w14:textId="7F039280" w:rsidR="00E5730D" w:rsidRPr="00F24057" w:rsidRDefault="00E5730D" w:rsidP="00D70B34">
            <w:pPr>
              <w:jc w:val="center"/>
              <w:rPr>
                <w:b/>
                <w:bCs/>
                <w:szCs w:val="22"/>
                <w:lang w:val="sr-Latn-ME"/>
              </w:rPr>
            </w:pPr>
            <w:r w:rsidRPr="00F24057">
              <w:rPr>
                <w:b/>
                <w:bCs/>
                <w:szCs w:val="22"/>
                <w:lang w:val="sr-Latn-ME"/>
              </w:rPr>
              <w:t>N=94</w:t>
            </w:r>
          </w:p>
        </w:tc>
        <w:tc>
          <w:tcPr>
            <w:tcW w:w="1521" w:type="pct"/>
            <w:vAlign w:val="center"/>
          </w:tcPr>
          <w:p w14:paraId="7E0D92A7" w14:textId="425E0CCE" w:rsidR="005B149F" w:rsidRPr="00F24057" w:rsidRDefault="00E5730D" w:rsidP="00D70B34">
            <w:pPr>
              <w:jc w:val="center"/>
              <w:rPr>
                <w:b/>
                <w:bCs/>
                <w:szCs w:val="22"/>
                <w:lang w:val="sr-Latn-ME"/>
              </w:rPr>
            </w:pPr>
            <w:r w:rsidRPr="00F24057">
              <w:rPr>
                <w:b/>
                <w:bCs/>
                <w:szCs w:val="22"/>
                <w:lang w:val="sr-Latn-ME"/>
              </w:rPr>
              <w:t>Adalimumab</w:t>
            </w:r>
          </w:p>
          <w:p w14:paraId="5C65E68D" w14:textId="03EB89AE" w:rsidR="00E5730D" w:rsidRPr="00F24057" w:rsidRDefault="00E5730D" w:rsidP="00D70B34">
            <w:pPr>
              <w:jc w:val="center"/>
              <w:rPr>
                <w:b/>
                <w:bCs/>
                <w:szCs w:val="22"/>
                <w:lang w:val="sr-Latn-ME"/>
              </w:rPr>
            </w:pPr>
            <w:r w:rsidRPr="00F24057">
              <w:rPr>
                <w:b/>
                <w:bCs/>
                <w:szCs w:val="22"/>
                <w:lang w:val="sr-Latn-ME"/>
              </w:rPr>
              <w:t>N=91</w:t>
            </w:r>
          </w:p>
        </w:tc>
      </w:tr>
      <w:tr w:rsidR="00E5730D" w:rsidRPr="00F24057" w14:paraId="72210AB5" w14:textId="77777777" w:rsidTr="00F1226A">
        <w:trPr>
          <w:trHeight w:val="20"/>
        </w:trPr>
        <w:tc>
          <w:tcPr>
            <w:tcW w:w="2025" w:type="pct"/>
            <w:vAlign w:val="center"/>
          </w:tcPr>
          <w:p w14:paraId="63817096" w14:textId="070D0EB1" w:rsidR="00E5730D" w:rsidRPr="00F24057" w:rsidRDefault="00785ED7" w:rsidP="00D70B34">
            <w:pPr>
              <w:jc w:val="left"/>
              <w:rPr>
                <w:szCs w:val="22"/>
                <w:lang w:val="sr-Latn-ME"/>
              </w:rPr>
            </w:pPr>
            <w:r w:rsidRPr="00F24057">
              <w:rPr>
                <w:szCs w:val="22"/>
                <w:lang w:val="sr-Latn-ME"/>
              </w:rPr>
              <w:t>ASASª 40</w:t>
            </w:r>
          </w:p>
        </w:tc>
        <w:tc>
          <w:tcPr>
            <w:tcW w:w="1454" w:type="pct"/>
            <w:vAlign w:val="center"/>
          </w:tcPr>
          <w:p w14:paraId="77C90860" w14:textId="6F7A2EA7" w:rsidR="00E5730D" w:rsidRPr="00F24057" w:rsidRDefault="006F5DB7" w:rsidP="00D70B34">
            <w:pPr>
              <w:jc w:val="center"/>
              <w:rPr>
                <w:szCs w:val="22"/>
                <w:lang w:val="sr-Latn-ME"/>
              </w:rPr>
            </w:pPr>
            <w:r w:rsidRPr="00F24057">
              <w:rPr>
                <w:szCs w:val="22"/>
                <w:lang w:val="sr-Latn-ME"/>
              </w:rPr>
              <w:t>15</w:t>
            </w:r>
            <w:r w:rsidR="00C20340" w:rsidRPr="00F24057">
              <w:rPr>
                <w:szCs w:val="22"/>
                <w:lang w:val="sr-Latn-ME"/>
              </w:rPr>
              <w:t>%</w:t>
            </w:r>
          </w:p>
        </w:tc>
        <w:tc>
          <w:tcPr>
            <w:tcW w:w="1521" w:type="pct"/>
            <w:vAlign w:val="center"/>
          </w:tcPr>
          <w:p w14:paraId="76533B90" w14:textId="45B19F58" w:rsidR="00E5730D" w:rsidRPr="00F24057" w:rsidRDefault="00960FD9" w:rsidP="00D70B34">
            <w:pPr>
              <w:jc w:val="center"/>
              <w:rPr>
                <w:szCs w:val="22"/>
                <w:lang w:val="sr-Latn-ME"/>
              </w:rPr>
            </w:pPr>
            <w:r w:rsidRPr="00F24057">
              <w:rPr>
                <w:szCs w:val="22"/>
                <w:lang w:val="sr-Latn-ME"/>
              </w:rPr>
              <w:t>36</w:t>
            </w:r>
            <w:r w:rsidR="00C20340" w:rsidRPr="00F24057">
              <w:rPr>
                <w:szCs w:val="22"/>
                <w:lang w:val="sr-Latn-ME"/>
              </w:rPr>
              <w:t>%</w:t>
            </w:r>
            <w:r w:rsidR="00D90B6C" w:rsidRPr="00F24057">
              <w:rPr>
                <w:szCs w:val="22"/>
                <w:lang w:val="sr-Latn-ME"/>
              </w:rPr>
              <w:t>***</w:t>
            </w:r>
          </w:p>
        </w:tc>
      </w:tr>
      <w:tr w:rsidR="00E5730D" w:rsidRPr="00F24057" w14:paraId="1618A6DB" w14:textId="77777777" w:rsidTr="00F1226A">
        <w:trPr>
          <w:trHeight w:val="20"/>
        </w:trPr>
        <w:tc>
          <w:tcPr>
            <w:tcW w:w="2025" w:type="pct"/>
            <w:vAlign w:val="center"/>
          </w:tcPr>
          <w:p w14:paraId="78A4A448" w14:textId="672A25D1" w:rsidR="00E5730D" w:rsidRPr="00F24057" w:rsidRDefault="00785ED7" w:rsidP="00D70B34">
            <w:pPr>
              <w:jc w:val="left"/>
              <w:rPr>
                <w:szCs w:val="22"/>
                <w:lang w:val="sr-Latn-ME"/>
              </w:rPr>
            </w:pPr>
            <w:r w:rsidRPr="00F24057">
              <w:rPr>
                <w:szCs w:val="22"/>
                <w:lang w:val="sr-Latn-ME"/>
              </w:rPr>
              <w:t>ASAS 20</w:t>
            </w:r>
          </w:p>
        </w:tc>
        <w:tc>
          <w:tcPr>
            <w:tcW w:w="1454" w:type="pct"/>
            <w:vAlign w:val="center"/>
          </w:tcPr>
          <w:p w14:paraId="5F3F58F6" w14:textId="6E842176" w:rsidR="00E5730D" w:rsidRPr="00F24057" w:rsidRDefault="006F5DB7" w:rsidP="00D70B34">
            <w:pPr>
              <w:jc w:val="center"/>
              <w:rPr>
                <w:szCs w:val="22"/>
                <w:lang w:val="sr-Latn-ME"/>
              </w:rPr>
            </w:pPr>
            <w:r w:rsidRPr="00F24057">
              <w:rPr>
                <w:szCs w:val="22"/>
                <w:lang w:val="sr-Latn-ME"/>
              </w:rPr>
              <w:t>31</w:t>
            </w:r>
            <w:r w:rsidR="00C20340" w:rsidRPr="00F24057">
              <w:rPr>
                <w:szCs w:val="22"/>
                <w:lang w:val="sr-Latn-ME"/>
              </w:rPr>
              <w:t>%</w:t>
            </w:r>
          </w:p>
        </w:tc>
        <w:tc>
          <w:tcPr>
            <w:tcW w:w="1521" w:type="pct"/>
            <w:vAlign w:val="center"/>
          </w:tcPr>
          <w:p w14:paraId="1C44CA7C" w14:textId="26CA9FB3" w:rsidR="00E5730D" w:rsidRPr="00F24057" w:rsidRDefault="00960FD9" w:rsidP="00D70B34">
            <w:pPr>
              <w:jc w:val="center"/>
              <w:rPr>
                <w:szCs w:val="22"/>
                <w:lang w:val="sr-Latn-ME"/>
              </w:rPr>
            </w:pPr>
            <w:r w:rsidRPr="00F24057">
              <w:rPr>
                <w:szCs w:val="22"/>
                <w:lang w:val="sr-Latn-ME"/>
              </w:rPr>
              <w:t>52</w:t>
            </w:r>
            <w:r w:rsidR="00C20340" w:rsidRPr="00F24057">
              <w:rPr>
                <w:szCs w:val="22"/>
                <w:lang w:val="sr-Latn-ME"/>
              </w:rPr>
              <w:t>%</w:t>
            </w:r>
            <w:r w:rsidR="00D90B6C" w:rsidRPr="00F24057">
              <w:rPr>
                <w:szCs w:val="22"/>
                <w:lang w:val="sr-Latn-ME"/>
              </w:rPr>
              <w:t>**</w:t>
            </w:r>
          </w:p>
        </w:tc>
      </w:tr>
      <w:tr w:rsidR="00E5730D" w:rsidRPr="00F24057" w14:paraId="760A3703" w14:textId="77777777" w:rsidTr="00F1226A">
        <w:trPr>
          <w:trHeight w:val="20"/>
        </w:trPr>
        <w:tc>
          <w:tcPr>
            <w:tcW w:w="2025" w:type="pct"/>
            <w:vAlign w:val="center"/>
          </w:tcPr>
          <w:p w14:paraId="4AC5CEB0" w14:textId="4656E934" w:rsidR="00E5730D" w:rsidRPr="00F24057" w:rsidRDefault="00785ED7" w:rsidP="00D70B34">
            <w:pPr>
              <w:jc w:val="left"/>
              <w:rPr>
                <w:szCs w:val="22"/>
                <w:lang w:val="sr-Latn-ME"/>
              </w:rPr>
            </w:pPr>
            <w:r w:rsidRPr="00F24057">
              <w:rPr>
                <w:szCs w:val="22"/>
                <w:lang w:val="sr-Latn-ME"/>
              </w:rPr>
              <w:t>ASAS 5/6</w:t>
            </w:r>
          </w:p>
        </w:tc>
        <w:tc>
          <w:tcPr>
            <w:tcW w:w="1454" w:type="pct"/>
            <w:vAlign w:val="center"/>
          </w:tcPr>
          <w:p w14:paraId="21971972" w14:textId="72B1D2A6" w:rsidR="00E5730D" w:rsidRPr="00F24057" w:rsidRDefault="006F5DB7" w:rsidP="00D70B34">
            <w:pPr>
              <w:jc w:val="center"/>
              <w:rPr>
                <w:szCs w:val="22"/>
                <w:lang w:val="sr-Latn-ME"/>
              </w:rPr>
            </w:pPr>
            <w:r w:rsidRPr="00F24057">
              <w:rPr>
                <w:szCs w:val="22"/>
                <w:lang w:val="sr-Latn-ME"/>
              </w:rPr>
              <w:t>6</w:t>
            </w:r>
            <w:r w:rsidR="00C20340" w:rsidRPr="00F24057">
              <w:rPr>
                <w:szCs w:val="22"/>
                <w:lang w:val="sr-Latn-ME"/>
              </w:rPr>
              <w:t>%</w:t>
            </w:r>
          </w:p>
        </w:tc>
        <w:tc>
          <w:tcPr>
            <w:tcW w:w="1521" w:type="pct"/>
            <w:vAlign w:val="center"/>
          </w:tcPr>
          <w:p w14:paraId="3CB7E648" w14:textId="22A65181" w:rsidR="00E5730D" w:rsidRPr="00F24057" w:rsidRDefault="00960FD9" w:rsidP="00D70B34">
            <w:pPr>
              <w:jc w:val="center"/>
              <w:rPr>
                <w:szCs w:val="22"/>
                <w:lang w:val="sr-Latn-ME"/>
              </w:rPr>
            </w:pPr>
            <w:r w:rsidRPr="00F24057">
              <w:rPr>
                <w:szCs w:val="22"/>
                <w:lang w:val="sr-Latn-ME"/>
              </w:rPr>
              <w:t>31</w:t>
            </w:r>
            <w:r w:rsidR="00C20340" w:rsidRPr="00F24057">
              <w:rPr>
                <w:szCs w:val="22"/>
                <w:lang w:val="sr-Latn-ME"/>
              </w:rPr>
              <w:t>%</w:t>
            </w:r>
            <w:r w:rsidR="00D90B6C" w:rsidRPr="00F24057">
              <w:rPr>
                <w:szCs w:val="22"/>
                <w:lang w:val="sr-Latn-ME"/>
              </w:rPr>
              <w:t>***</w:t>
            </w:r>
          </w:p>
        </w:tc>
      </w:tr>
      <w:tr w:rsidR="00E5730D" w:rsidRPr="00F24057" w14:paraId="6A838BFE" w14:textId="77777777" w:rsidTr="00F1226A">
        <w:trPr>
          <w:trHeight w:val="20"/>
        </w:trPr>
        <w:tc>
          <w:tcPr>
            <w:tcW w:w="2025" w:type="pct"/>
            <w:vAlign w:val="center"/>
          </w:tcPr>
          <w:p w14:paraId="00ED6CA6" w14:textId="00A269DF" w:rsidR="00E5730D" w:rsidRPr="00F24057" w:rsidRDefault="00785ED7" w:rsidP="00D70B34">
            <w:pPr>
              <w:jc w:val="left"/>
              <w:rPr>
                <w:szCs w:val="22"/>
                <w:lang w:val="sr-Latn-ME"/>
              </w:rPr>
            </w:pPr>
            <w:r w:rsidRPr="00F24057">
              <w:rPr>
                <w:szCs w:val="22"/>
                <w:lang w:val="sr-Latn-ME"/>
              </w:rPr>
              <w:lastRenderedPageBreak/>
              <w:t xml:space="preserve">ASAS </w:t>
            </w:r>
            <w:r w:rsidR="00534CEA" w:rsidRPr="00F24057">
              <w:rPr>
                <w:szCs w:val="22"/>
                <w:lang w:val="sr-Latn-ME"/>
              </w:rPr>
              <w:t>parcijalna remisija</w:t>
            </w:r>
          </w:p>
        </w:tc>
        <w:tc>
          <w:tcPr>
            <w:tcW w:w="1454" w:type="pct"/>
            <w:vAlign w:val="center"/>
          </w:tcPr>
          <w:p w14:paraId="2F6DC7D7" w14:textId="5E04A16E" w:rsidR="00E5730D" w:rsidRPr="00F24057" w:rsidRDefault="006F5DB7" w:rsidP="00D70B34">
            <w:pPr>
              <w:jc w:val="center"/>
              <w:rPr>
                <w:szCs w:val="22"/>
                <w:lang w:val="sr-Latn-ME"/>
              </w:rPr>
            </w:pPr>
            <w:r w:rsidRPr="00F24057">
              <w:rPr>
                <w:szCs w:val="22"/>
                <w:lang w:val="sr-Latn-ME"/>
              </w:rPr>
              <w:t>5</w:t>
            </w:r>
            <w:r w:rsidR="00C20340" w:rsidRPr="00F24057">
              <w:rPr>
                <w:szCs w:val="22"/>
                <w:lang w:val="sr-Latn-ME"/>
              </w:rPr>
              <w:t>%</w:t>
            </w:r>
          </w:p>
        </w:tc>
        <w:tc>
          <w:tcPr>
            <w:tcW w:w="1521" w:type="pct"/>
            <w:vAlign w:val="center"/>
          </w:tcPr>
          <w:p w14:paraId="21984B0A" w14:textId="05850847" w:rsidR="00E5730D" w:rsidRPr="00F24057" w:rsidRDefault="00960FD9" w:rsidP="00D70B34">
            <w:pPr>
              <w:jc w:val="center"/>
              <w:rPr>
                <w:szCs w:val="22"/>
                <w:lang w:val="sr-Latn-ME"/>
              </w:rPr>
            </w:pPr>
            <w:r w:rsidRPr="00F24057">
              <w:rPr>
                <w:szCs w:val="22"/>
                <w:lang w:val="sr-Latn-ME"/>
              </w:rPr>
              <w:t>16</w:t>
            </w:r>
            <w:r w:rsidR="00C20340" w:rsidRPr="00F24057">
              <w:rPr>
                <w:szCs w:val="22"/>
                <w:lang w:val="sr-Latn-ME"/>
              </w:rPr>
              <w:t>%</w:t>
            </w:r>
            <w:r w:rsidR="00D90B6C" w:rsidRPr="00F24057">
              <w:rPr>
                <w:szCs w:val="22"/>
                <w:lang w:val="sr-Latn-ME"/>
              </w:rPr>
              <w:t>*</w:t>
            </w:r>
          </w:p>
        </w:tc>
      </w:tr>
      <w:tr w:rsidR="00E5730D" w:rsidRPr="00F24057" w14:paraId="24FD309A" w14:textId="77777777" w:rsidTr="00F1226A">
        <w:trPr>
          <w:trHeight w:val="20"/>
        </w:trPr>
        <w:tc>
          <w:tcPr>
            <w:tcW w:w="2025" w:type="pct"/>
            <w:vAlign w:val="center"/>
          </w:tcPr>
          <w:p w14:paraId="539E9129" w14:textId="54A9FCAF" w:rsidR="00E5730D" w:rsidRPr="00F24057" w:rsidRDefault="00534CEA" w:rsidP="00D70B34">
            <w:pPr>
              <w:jc w:val="left"/>
              <w:rPr>
                <w:szCs w:val="22"/>
                <w:lang w:val="sr-Latn-ME"/>
              </w:rPr>
            </w:pPr>
            <w:r w:rsidRPr="00F24057">
              <w:rPr>
                <w:szCs w:val="22"/>
                <w:lang w:val="sr-Latn-ME"/>
              </w:rPr>
              <w:t>BASDAI</w:t>
            </w:r>
            <w:r w:rsidRPr="00F24057">
              <w:rPr>
                <w:szCs w:val="22"/>
                <w:vertAlign w:val="superscript"/>
                <w:lang w:val="sr-Latn-ME"/>
              </w:rPr>
              <w:t>b</w:t>
            </w:r>
            <w:r w:rsidRPr="00F24057">
              <w:rPr>
                <w:szCs w:val="22"/>
                <w:lang w:val="sr-Latn-ME"/>
              </w:rPr>
              <w:t xml:space="preserve"> 50</w:t>
            </w:r>
          </w:p>
        </w:tc>
        <w:tc>
          <w:tcPr>
            <w:tcW w:w="1454" w:type="pct"/>
            <w:vAlign w:val="center"/>
          </w:tcPr>
          <w:p w14:paraId="0533BA0C" w14:textId="2AEB1468" w:rsidR="00E5730D" w:rsidRPr="00F24057" w:rsidRDefault="006F5DB7" w:rsidP="00D70B34">
            <w:pPr>
              <w:jc w:val="center"/>
              <w:rPr>
                <w:szCs w:val="22"/>
                <w:lang w:val="sr-Latn-ME"/>
              </w:rPr>
            </w:pPr>
            <w:r w:rsidRPr="00F24057">
              <w:rPr>
                <w:szCs w:val="22"/>
                <w:lang w:val="sr-Latn-ME"/>
              </w:rPr>
              <w:t>15</w:t>
            </w:r>
            <w:r w:rsidR="00C20340" w:rsidRPr="00F24057">
              <w:rPr>
                <w:szCs w:val="22"/>
                <w:lang w:val="sr-Latn-ME"/>
              </w:rPr>
              <w:t>%</w:t>
            </w:r>
          </w:p>
        </w:tc>
        <w:tc>
          <w:tcPr>
            <w:tcW w:w="1521" w:type="pct"/>
            <w:vAlign w:val="center"/>
          </w:tcPr>
          <w:p w14:paraId="2C752445" w14:textId="6D7B0FE0" w:rsidR="00E5730D" w:rsidRPr="00F24057" w:rsidRDefault="00960FD9" w:rsidP="00D70B34">
            <w:pPr>
              <w:jc w:val="center"/>
              <w:rPr>
                <w:szCs w:val="22"/>
                <w:lang w:val="sr-Latn-ME"/>
              </w:rPr>
            </w:pPr>
            <w:r w:rsidRPr="00F24057">
              <w:rPr>
                <w:szCs w:val="22"/>
                <w:lang w:val="sr-Latn-ME"/>
              </w:rPr>
              <w:t>35</w:t>
            </w:r>
            <w:r w:rsidR="00C20340" w:rsidRPr="00F24057">
              <w:rPr>
                <w:szCs w:val="22"/>
                <w:lang w:val="sr-Latn-ME"/>
              </w:rPr>
              <w:t>%</w:t>
            </w:r>
            <w:r w:rsidR="00D90B6C" w:rsidRPr="00F24057">
              <w:rPr>
                <w:szCs w:val="22"/>
                <w:lang w:val="sr-Latn-ME"/>
              </w:rPr>
              <w:t>**</w:t>
            </w:r>
          </w:p>
        </w:tc>
      </w:tr>
      <w:tr w:rsidR="00E5730D" w:rsidRPr="00F24057" w14:paraId="068EEB1C" w14:textId="77777777" w:rsidTr="00F1226A">
        <w:trPr>
          <w:trHeight w:val="20"/>
        </w:trPr>
        <w:tc>
          <w:tcPr>
            <w:tcW w:w="2025" w:type="pct"/>
            <w:vAlign w:val="center"/>
          </w:tcPr>
          <w:p w14:paraId="203E4D01" w14:textId="3556CC02" w:rsidR="00E5730D" w:rsidRPr="00F24057" w:rsidRDefault="00534CEA" w:rsidP="00D70B34">
            <w:pPr>
              <w:jc w:val="left"/>
              <w:rPr>
                <w:szCs w:val="22"/>
                <w:lang w:val="sr-Latn-ME"/>
              </w:rPr>
            </w:pPr>
            <w:r w:rsidRPr="00F24057">
              <w:rPr>
                <w:szCs w:val="22"/>
                <w:lang w:val="sr-Latn-ME"/>
              </w:rPr>
              <w:t>ASDAS</w:t>
            </w:r>
            <w:r w:rsidRPr="00F24057">
              <w:rPr>
                <w:szCs w:val="22"/>
                <w:vertAlign w:val="superscript"/>
                <w:lang w:val="sr-Latn-ME"/>
              </w:rPr>
              <w:t>c,d,e</w:t>
            </w:r>
          </w:p>
        </w:tc>
        <w:tc>
          <w:tcPr>
            <w:tcW w:w="1454" w:type="pct"/>
            <w:vAlign w:val="center"/>
          </w:tcPr>
          <w:p w14:paraId="111CD6AA" w14:textId="2CB71144" w:rsidR="00E5730D" w:rsidRPr="00F24057" w:rsidRDefault="006F5DB7" w:rsidP="00D70B34">
            <w:pPr>
              <w:jc w:val="center"/>
              <w:rPr>
                <w:szCs w:val="22"/>
                <w:lang w:val="sr-Latn-ME"/>
              </w:rPr>
            </w:pPr>
            <w:r w:rsidRPr="00F24057">
              <w:rPr>
                <w:szCs w:val="22"/>
                <w:lang w:val="sr-Latn-ME"/>
              </w:rPr>
              <w:t>-0,3</w:t>
            </w:r>
          </w:p>
        </w:tc>
        <w:tc>
          <w:tcPr>
            <w:tcW w:w="1521" w:type="pct"/>
            <w:vAlign w:val="center"/>
          </w:tcPr>
          <w:p w14:paraId="1A63ED2F" w14:textId="0CC5FDCD" w:rsidR="00E5730D" w:rsidRPr="00F24057" w:rsidRDefault="00960FD9" w:rsidP="00D70B34">
            <w:pPr>
              <w:jc w:val="center"/>
              <w:rPr>
                <w:szCs w:val="22"/>
                <w:lang w:val="sr-Latn-ME"/>
              </w:rPr>
            </w:pPr>
            <w:r w:rsidRPr="00F24057">
              <w:rPr>
                <w:szCs w:val="22"/>
                <w:lang w:val="sr-Latn-ME"/>
              </w:rPr>
              <w:t>-</w:t>
            </w:r>
            <w:r w:rsidR="00C20340" w:rsidRPr="00F24057">
              <w:rPr>
                <w:szCs w:val="22"/>
                <w:lang w:val="sr-Latn-ME"/>
              </w:rPr>
              <w:t>1,0</w:t>
            </w:r>
            <w:r w:rsidR="00D90B6C" w:rsidRPr="00F24057">
              <w:rPr>
                <w:szCs w:val="22"/>
                <w:lang w:val="sr-Latn-ME"/>
              </w:rPr>
              <w:t>***</w:t>
            </w:r>
          </w:p>
        </w:tc>
      </w:tr>
      <w:tr w:rsidR="00E5730D" w:rsidRPr="00F24057" w14:paraId="25C79732" w14:textId="77777777" w:rsidTr="00F1226A">
        <w:trPr>
          <w:trHeight w:val="20"/>
        </w:trPr>
        <w:tc>
          <w:tcPr>
            <w:tcW w:w="2025" w:type="pct"/>
            <w:vAlign w:val="center"/>
          </w:tcPr>
          <w:p w14:paraId="33DE4C24" w14:textId="21571207" w:rsidR="00E5730D" w:rsidRPr="00F24057" w:rsidRDefault="00534CEA" w:rsidP="00D70B34">
            <w:pPr>
              <w:jc w:val="left"/>
              <w:rPr>
                <w:szCs w:val="22"/>
                <w:lang w:val="sr-Latn-ME"/>
              </w:rPr>
            </w:pPr>
            <w:r w:rsidRPr="00F24057">
              <w:rPr>
                <w:szCs w:val="22"/>
                <w:lang w:val="sr-Latn-ME"/>
              </w:rPr>
              <w:t>ASDAS inaktivna bolest</w:t>
            </w:r>
          </w:p>
        </w:tc>
        <w:tc>
          <w:tcPr>
            <w:tcW w:w="1454" w:type="pct"/>
            <w:vAlign w:val="center"/>
          </w:tcPr>
          <w:p w14:paraId="721BD90B" w14:textId="177A950D" w:rsidR="00E5730D" w:rsidRPr="00F24057" w:rsidRDefault="00960FD9" w:rsidP="00D70B34">
            <w:pPr>
              <w:jc w:val="center"/>
              <w:rPr>
                <w:szCs w:val="22"/>
                <w:lang w:val="sr-Latn-ME"/>
              </w:rPr>
            </w:pPr>
            <w:r w:rsidRPr="00F24057">
              <w:rPr>
                <w:szCs w:val="22"/>
                <w:lang w:val="sr-Latn-ME"/>
              </w:rPr>
              <w:t>4</w:t>
            </w:r>
            <w:r w:rsidR="00C20340" w:rsidRPr="00F24057">
              <w:rPr>
                <w:szCs w:val="22"/>
                <w:lang w:val="sr-Latn-ME"/>
              </w:rPr>
              <w:t>%</w:t>
            </w:r>
          </w:p>
        </w:tc>
        <w:tc>
          <w:tcPr>
            <w:tcW w:w="1521" w:type="pct"/>
            <w:vAlign w:val="center"/>
          </w:tcPr>
          <w:p w14:paraId="31625E47" w14:textId="5AE13548" w:rsidR="00E5730D" w:rsidRPr="00F24057" w:rsidRDefault="00C20340" w:rsidP="00D70B34">
            <w:pPr>
              <w:jc w:val="center"/>
              <w:rPr>
                <w:szCs w:val="22"/>
                <w:lang w:val="sr-Latn-ME"/>
              </w:rPr>
            </w:pPr>
            <w:r w:rsidRPr="00F24057">
              <w:rPr>
                <w:szCs w:val="22"/>
                <w:lang w:val="sr-Latn-ME"/>
              </w:rPr>
              <w:t>24%</w:t>
            </w:r>
            <w:r w:rsidR="00D90B6C" w:rsidRPr="00F24057">
              <w:rPr>
                <w:szCs w:val="22"/>
                <w:lang w:val="sr-Latn-ME"/>
              </w:rPr>
              <w:t>***</w:t>
            </w:r>
          </w:p>
        </w:tc>
      </w:tr>
      <w:tr w:rsidR="00E5730D" w:rsidRPr="00F24057" w14:paraId="741E4C92" w14:textId="77777777" w:rsidTr="00F1226A">
        <w:trPr>
          <w:trHeight w:val="20"/>
        </w:trPr>
        <w:tc>
          <w:tcPr>
            <w:tcW w:w="2025" w:type="pct"/>
            <w:vAlign w:val="center"/>
          </w:tcPr>
          <w:p w14:paraId="750024FD" w14:textId="56B7EC2F" w:rsidR="00E5730D" w:rsidRPr="00F24057" w:rsidRDefault="00E4218C" w:rsidP="00D70B34">
            <w:pPr>
              <w:jc w:val="left"/>
              <w:rPr>
                <w:szCs w:val="22"/>
                <w:lang w:val="sr-Latn-ME"/>
              </w:rPr>
            </w:pPr>
            <w:r w:rsidRPr="00F24057">
              <w:rPr>
                <w:szCs w:val="22"/>
                <w:lang w:val="sr-Latn-ME"/>
              </w:rPr>
              <w:t>Hs-CRP</w:t>
            </w:r>
            <w:r w:rsidRPr="00F24057">
              <w:rPr>
                <w:szCs w:val="22"/>
                <w:vertAlign w:val="superscript"/>
                <w:lang w:val="sr-Latn-ME"/>
              </w:rPr>
              <w:t>d,f,g</w:t>
            </w:r>
          </w:p>
        </w:tc>
        <w:tc>
          <w:tcPr>
            <w:tcW w:w="1454" w:type="pct"/>
            <w:vAlign w:val="center"/>
          </w:tcPr>
          <w:p w14:paraId="2197F739" w14:textId="5D8E4394" w:rsidR="00E5730D" w:rsidRPr="00F24057" w:rsidRDefault="00960FD9" w:rsidP="00D70B34">
            <w:pPr>
              <w:jc w:val="center"/>
              <w:rPr>
                <w:szCs w:val="22"/>
                <w:lang w:val="sr-Latn-ME"/>
              </w:rPr>
            </w:pPr>
            <w:r w:rsidRPr="00F24057">
              <w:rPr>
                <w:szCs w:val="22"/>
                <w:lang w:val="sr-Latn-ME"/>
              </w:rPr>
              <w:t>-0,3</w:t>
            </w:r>
          </w:p>
        </w:tc>
        <w:tc>
          <w:tcPr>
            <w:tcW w:w="1521" w:type="pct"/>
            <w:vAlign w:val="center"/>
          </w:tcPr>
          <w:p w14:paraId="5DF3FC2E" w14:textId="5A932AE3" w:rsidR="00E5730D" w:rsidRPr="00F24057" w:rsidRDefault="00C20340" w:rsidP="00D70B34">
            <w:pPr>
              <w:jc w:val="center"/>
              <w:rPr>
                <w:szCs w:val="22"/>
                <w:lang w:val="sr-Latn-ME"/>
              </w:rPr>
            </w:pPr>
            <w:r w:rsidRPr="00F24057">
              <w:rPr>
                <w:szCs w:val="22"/>
                <w:lang w:val="sr-Latn-ME"/>
              </w:rPr>
              <w:t>-4,7</w:t>
            </w:r>
            <w:r w:rsidR="00D90B6C" w:rsidRPr="00F24057">
              <w:rPr>
                <w:szCs w:val="22"/>
                <w:lang w:val="sr-Latn-ME"/>
              </w:rPr>
              <w:t>***</w:t>
            </w:r>
          </w:p>
        </w:tc>
      </w:tr>
      <w:tr w:rsidR="00E5730D" w:rsidRPr="00F24057" w14:paraId="0E6B07AB" w14:textId="77777777" w:rsidTr="00F1226A">
        <w:trPr>
          <w:trHeight w:val="20"/>
        </w:trPr>
        <w:tc>
          <w:tcPr>
            <w:tcW w:w="2025" w:type="pct"/>
            <w:vAlign w:val="center"/>
          </w:tcPr>
          <w:p w14:paraId="496C7167" w14:textId="4893312A" w:rsidR="00E5730D" w:rsidRPr="00F24057" w:rsidRDefault="00E4218C" w:rsidP="00D70B34">
            <w:pPr>
              <w:jc w:val="left"/>
              <w:rPr>
                <w:szCs w:val="22"/>
                <w:lang w:val="sr-Latn-ME"/>
              </w:rPr>
            </w:pPr>
            <w:r w:rsidRPr="00F24057">
              <w:rPr>
                <w:szCs w:val="22"/>
                <w:lang w:val="sr-Latn-ME"/>
              </w:rPr>
              <w:t>SPARCCh MR sakroilijačni zglobovi</w:t>
            </w:r>
            <w:r w:rsidRPr="00F24057">
              <w:rPr>
                <w:szCs w:val="22"/>
                <w:vertAlign w:val="superscript"/>
                <w:lang w:val="sr-Latn-ME"/>
              </w:rPr>
              <w:t>d,i</w:t>
            </w:r>
          </w:p>
        </w:tc>
        <w:tc>
          <w:tcPr>
            <w:tcW w:w="1454" w:type="pct"/>
            <w:vAlign w:val="center"/>
          </w:tcPr>
          <w:p w14:paraId="604759B4" w14:textId="182F5A7C" w:rsidR="00E5730D" w:rsidRPr="00F24057" w:rsidRDefault="00960FD9" w:rsidP="00D70B34">
            <w:pPr>
              <w:jc w:val="center"/>
              <w:rPr>
                <w:szCs w:val="22"/>
                <w:lang w:val="sr-Latn-ME"/>
              </w:rPr>
            </w:pPr>
            <w:r w:rsidRPr="00F24057">
              <w:rPr>
                <w:szCs w:val="22"/>
                <w:lang w:val="sr-Latn-ME"/>
              </w:rPr>
              <w:t>-0,6</w:t>
            </w:r>
          </w:p>
        </w:tc>
        <w:tc>
          <w:tcPr>
            <w:tcW w:w="1521" w:type="pct"/>
            <w:vAlign w:val="center"/>
          </w:tcPr>
          <w:p w14:paraId="2C492DB3" w14:textId="0F8FAD19" w:rsidR="00E5730D" w:rsidRPr="00F24057" w:rsidRDefault="00C20340" w:rsidP="00D70B34">
            <w:pPr>
              <w:jc w:val="center"/>
              <w:rPr>
                <w:szCs w:val="22"/>
                <w:lang w:val="sr-Latn-ME"/>
              </w:rPr>
            </w:pPr>
            <w:r w:rsidRPr="00F24057">
              <w:rPr>
                <w:szCs w:val="22"/>
                <w:lang w:val="sr-Latn-ME"/>
              </w:rPr>
              <w:t>-3,2</w:t>
            </w:r>
            <w:r w:rsidR="00D90B6C" w:rsidRPr="00F24057">
              <w:rPr>
                <w:szCs w:val="22"/>
                <w:lang w:val="sr-Latn-ME"/>
              </w:rPr>
              <w:t>**</w:t>
            </w:r>
          </w:p>
        </w:tc>
      </w:tr>
      <w:tr w:rsidR="00E5730D" w:rsidRPr="00F24057" w14:paraId="0EE49BCD" w14:textId="77777777" w:rsidTr="00F1226A">
        <w:trPr>
          <w:trHeight w:val="20"/>
        </w:trPr>
        <w:tc>
          <w:tcPr>
            <w:tcW w:w="2025" w:type="pct"/>
            <w:vAlign w:val="center"/>
          </w:tcPr>
          <w:p w14:paraId="3B11E438" w14:textId="56B1B8FD" w:rsidR="00E5730D" w:rsidRPr="00F24057" w:rsidRDefault="006F5DB7" w:rsidP="00D70B34">
            <w:pPr>
              <w:jc w:val="left"/>
              <w:rPr>
                <w:szCs w:val="22"/>
                <w:lang w:val="sr-Latn-ME"/>
              </w:rPr>
            </w:pPr>
            <w:r w:rsidRPr="00F24057">
              <w:rPr>
                <w:szCs w:val="22"/>
                <w:lang w:val="sr-Latn-ME"/>
              </w:rPr>
              <w:t>SPARCC MR kičme</w:t>
            </w:r>
            <w:r w:rsidRPr="00F24057">
              <w:rPr>
                <w:szCs w:val="22"/>
                <w:vertAlign w:val="superscript"/>
                <w:lang w:val="sr-Latn-ME"/>
              </w:rPr>
              <w:t>d,j</w:t>
            </w:r>
          </w:p>
        </w:tc>
        <w:tc>
          <w:tcPr>
            <w:tcW w:w="1454" w:type="pct"/>
            <w:vAlign w:val="center"/>
          </w:tcPr>
          <w:p w14:paraId="386CFB8E" w14:textId="5B974F25" w:rsidR="00E5730D" w:rsidRPr="00F24057" w:rsidRDefault="00960FD9" w:rsidP="00D70B34">
            <w:pPr>
              <w:jc w:val="center"/>
              <w:rPr>
                <w:szCs w:val="22"/>
                <w:lang w:val="sr-Latn-ME"/>
              </w:rPr>
            </w:pPr>
            <w:r w:rsidRPr="00F24057">
              <w:rPr>
                <w:szCs w:val="22"/>
                <w:lang w:val="sr-Latn-ME"/>
              </w:rPr>
              <w:t>-0,2</w:t>
            </w:r>
          </w:p>
        </w:tc>
        <w:tc>
          <w:tcPr>
            <w:tcW w:w="1521" w:type="pct"/>
            <w:vAlign w:val="center"/>
          </w:tcPr>
          <w:p w14:paraId="47FB4DCD" w14:textId="15F040C5" w:rsidR="00E5730D" w:rsidRPr="00F24057" w:rsidRDefault="00C20340" w:rsidP="00D70B34">
            <w:pPr>
              <w:jc w:val="center"/>
              <w:rPr>
                <w:szCs w:val="22"/>
                <w:lang w:val="sr-Latn-ME"/>
              </w:rPr>
            </w:pPr>
            <w:r w:rsidRPr="00F24057">
              <w:rPr>
                <w:szCs w:val="22"/>
                <w:lang w:val="sr-Latn-ME"/>
              </w:rPr>
              <w:t>-1,8</w:t>
            </w:r>
            <w:r w:rsidR="00D90B6C" w:rsidRPr="00F24057">
              <w:rPr>
                <w:szCs w:val="22"/>
                <w:lang w:val="sr-Latn-ME"/>
              </w:rPr>
              <w:t>**</w:t>
            </w:r>
          </w:p>
        </w:tc>
      </w:tr>
    </w:tbl>
    <w:p w14:paraId="0295BA5A" w14:textId="452C68AE" w:rsidR="009705D8" w:rsidRPr="00F24057" w:rsidRDefault="009705D8" w:rsidP="00D70B34">
      <w:pPr>
        <w:rPr>
          <w:szCs w:val="22"/>
          <w:lang w:val="sr-Latn-ME"/>
        </w:rPr>
      </w:pPr>
      <w:r w:rsidRPr="00F24057">
        <w:rPr>
          <w:szCs w:val="22"/>
          <w:vertAlign w:val="superscript"/>
          <w:lang w:val="sr-Latn-ME"/>
        </w:rPr>
        <w:t>a</w:t>
      </w:r>
      <w:r w:rsidRPr="00F24057">
        <w:rPr>
          <w:szCs w:val="22"/>
          <w:lang w:val="sr-Latn-ME"/>
        </w:rPr>
        <w:t xml:space="preserve"> Međunarodno društvo za oc</w:t>
      </w:r>
      <w:r w:rsidR="00FF3128" w:rsidRPr="00F24057">
        <w:rPr>
          <w:szCs w:val="22"/>
          <w:lang w:val="sr-Latn-ME"/>
        </w:rPr>
        <w:t>j</w:t>
      </w:r>
      <w:r w:rsidRPr="00F24057">
        <w:rPr>
          <w:szCs w:val="22"/>
          <w:lang w:val="sr-Latn-ME"/>
        </w:rPr>
        <w:t xml:space="preserve">enu spondiloartritisa (engl. </w:t>
      </w:r>
      <w:r w:rsidRPr="00F24057">
        <w:rPr>
          <w:i/>
          <w:iCs/>
          <w:szCs w:val="22"/>
          <w:lang w:val="sr-Latn-ME"/>
        </w:rPr>
        <w:t>Assessments in Spondyloarthritis International Society</w:t>
      </w:r>
      <w:r w:rsidRPr="00F24057">
        <w:rPr>
          <w:szCs w:val="22"/>
          <w:lang w:val="sr-Latn-ME"/>
        </w:rPr>
        <w:t xml:space="preserve">) </w:t>
      </w:r>
    </w:p>
    <w:p w14:paraId="2E97E3A9" w14:textId="5CC364D1" w:rsidR="009705D8" w:rsidRPr="00F24057" w:rsidRDefault="009705D8" w:rsidP="00D70B34">
      <w:pPr>
        <w:rPr>
          <w:szCs w:val="22"/>
          <w:lang w:val="sr-Latn-ME"/>
        </w:rPr>
      </w:pPr>
      <w:r w:rsidRPr="00F24057">
        <w:rPr>
          <w:szCs w:val="22"/>
          <w:vertAlign w:val="superscript"/>
          <w:lang w:val="sr-Latn-ME"/>
        </w:rPr>
        <w:t>b</w:t>
      </w:r>
      <w:r w:rsidRPr="00F24057">
        <w:rPr>
          <w:szCs w:val="22"/>
          <w:lang w:val="sr-Latn-ME"/>
        </w:rPr>
        <w:t xml:space="preserve"> Bath indeks aktivnosti ankilozirajućeg spondilitisa (engl. </w:t>
      </w:r>
      <w:r w:rsidRPr="00F24057">
        <w:rPr>
          <w:i/>
          <w:iCs/>
          <w:szCs w:val="22"/>
          <w:lang w:val="sr-Latn-ME"/>
        </w:rPr>
        <w:t>Bath Ankylosing Spondylitis Disease Activity Index</w:t>
      </w:r>
      <w:r w:rsidRPr="00F24057">
        <w:rPr>
          <w:szCs w:val="22"/>
          <w:lang w:val="sr-Latn-ME"/>
        </w:rPr>
        <w:t>)</w:t>
      </w:r>
    </w:p>
    <w:p w14:paraId="093D850F" w14:textId="4EFF9C9D" w:rsidR="009705D8" w:rsidRPr="00F24057" w:rsidRDefault="009705D8" w:rsidP="00D70B34">
      <w:pPr>
        <w:rPr>
          <w:szCs w:val="22"/>
          <w:lang w:val="sr-Latn-ME"/>
        </w:rPr>
      </w:pPr>
      <w:r w:rsidRPr="00F24057">
        <w:rPr>
          <w:szCs w:val="22"/>
          <w:vertAlign w:val="superscript"/>
          <w:lang w:val="sr-Latn-ME"/>
        </w:rPr>
        <w:t>c</w:t>
      </w:r>
      <w:r w:rsidRPr="00F24057">
        <w:rPr>
          <w:szCs w:val="22"/>
          <w:lang w:val="sr-Latn-ME"/>
        </w:rPr>
        <w:t xml:space="preserve"> Rezultati za aktivnost ankilozirajućeg spondilitisa (engl. </w:t>
      </w:r>
      <w:r w:rsidRPr="00F24057">
        <w:rPr>
          <w:i/>
          <w:iCs/>
          <w:szCs w:val="22"/>
          <w:lang w:val="sr-Latn-ME"/>
        </w:rPr>
        <w:t>Ankylosing Spondylitis Disease Activity Score</w:t>
      </w:r>
      <w:r w:rsidRPr="00F24057">
        <w:rPr>
          <w:szCs w:val="22"/>
          <w:lang w:val="sr-Latn-ME"/>
        </w:rPr>
        <w:t xml:space="preserve">) </w:t>
      </w:r>
    </w:p>
    <w:p w14:paraId="0CF204D4" w14:textId="75117543" w:rsidR="009705D8" w:rsidRPr="00F24057" w:rsidRDefault="009705D8" w:rsidP="00D70B34">
      <w:pPr>
        <w:rPr>
          <w:szCs w:val="22"/>
          <w:lang w:val="sr-Latn-ME"/>
        </w:rPr>
      </w:pPr>
      <w:r w:rsidRPr="00F24057">
        <w:rPr>
          <w:szCs w:val="22"/>
          <w:vertAlign w:val="superscript"/>
          <w:lang w:val="sr-Latn-ME"/>
        </w:rPr>
        <w:t>d</w:t>
      </w:r>
      <w:r w:rsidRPr="00F24057">
        <w:rPr>
          <w:szCs w:val="22"/>
          <w:lang w:val="sr-Latn-ME"/>
        </w:rPr>
        <w:t xml:space="preserve"> srednja </w:t>
      </w:r>
      <w:r w:rsidR="004F2520" w:rsidRPr="00F24057">
        <w:rPr>
          <w:szCs w:val="22"/>
          <w:lang w:val="sr-Latn-ME"/>
        </w:rPr>
        <w:t>promjen</w:t>
      </w:r>
      <w:r w:rsidRPr="00F24057">
        <w:rPr>
          <w:szCs w:val="22"/>
          <w:lang w:val="sr-Latn-ME"/>
        </w:rPr>
        <w:t xml:space="preserve">a od početne </w:t>
      </w:r>
      <w:r w:rsidR="00972894" w:rsidRPr="00F24057">
        <w:rPr>
          <w:szCs w:val="22"/>
          <w:lang w:val="sr-Latn-ME"/>
        </w:rPr>
        <w:t>vrijedno</w:t>
      </w:r>
      <w:r w:rsidRPr="00F24057">
        <w:rPr>
          <w:szCs w:val="22"/>
          <w:lang w:val="sr-Latn-ME"/>
        </w:rPr>
        <w:t xml:space="preserve">sti </w:t>
      </w:r>
    </w:p>
    <w:p w14:paraId="66E27183" w14:textId="7CE4D1AB" w:rsidR="009705D8" w:rsidRPr="00F24057" w:rsidRDefault="009705D8" w:rsidP="00D70B34">
      <w:pPr>
        <w:rPr>
          <w:szCs w:val="22"/>
          <w:lang w:val="sr-Latn-ME"/>
        </w:rPr>
      </w:pPr>
      <w:r w:rsidRPr="00F24057">
        <w:rPr>
          <w:szCs w:val="22"/>
          <w:vertAlign w:val="superscript"/>
          <w:lang w:val="sr-Latn-ME"/>
        </w:rPr>
        <w:t>e</w:t>
      </w:r>
      <w:r w:rsidRPr="00F24057">
        <w:rPr>
          <w:szCs w:val="22"/>
          <w:lang w:val="sr-Latn-ME"/>
        </w:rPr>
        <w:t xml:space="preserve"> n=91 placebo i n=87 adalimumab </w:t>
      </w:r>
    </w:p>
    <w:p w14:paraId="107446D2" w14:textId="6F67BED0" w:rsidR="009705D8" w:rsidRPr="00F24057" w:rsidRDefault="009705D8" w:rsidP="00D70B34">
      <w:pPr>
        <w:rPr>
          <w:szCs w:val="22"/>
          <w:lang w:val="sr-Latn-ME"/>
        </w:rPr>
      </w:pPr>
      <w:r w:rsidRPr="00F24057">
        <w:rPr>
          <w:szCs w:val="22"/>
          <w:vertAlign w:val="superscript"/>
          <w:lang w:val="sr-Latn-ME"/>
        </w:rPr>
        <w:t>f</w:t>
      </w:r>
      <w:r w:rsidR="00C0295E" w:rsidRPr="00F24057">
        <w:rPr>
          <w:szCs w:val="22"/>
          <w:lang w:val="sr-Latn-ME"/>
        </w:rPr>
        <w:t xml:space="preserve"> C reaktivni protein visoke </w:t>
      </w:r>
      <w:r w:rsidR="004F2520" w:rsidRPr="00F24057">
        <w:rPr>
          <w:szCs w:val="22"/>
          <w:lang w:val="sr-Latn-ME"/>
        </w:rPr>
        <w:t>osjetljivo</w:t>
      </w:r>
      <w:r w:rsidR="00C0295E" w:rsidRPr="00F24057">
        <w:rPr>
          <w:szCs w:val="22"/>
          <w:lang w:val="sr-Latn-ME"/>
        </w:rPr>
        <w:t>sti (engl.</w:t>
      </w:r>
      <w:r w:rsidRPr="00F24057">
        <w:rPr>
          <w:szCs w:val="22"/>
          <w:lang w:val="sr-Latn-ME"/>
        </w:rPr>
        <w:t xml:space="preserve"> </w:t>
      </w:r>
      <w:r w:rsidRPr="00F24057">
        <w:rPr>
          <w:i/>
          <w:iCs/>
          <w:szCs w:val="22"/>
          <w:lang w:val="sr-Latn-ME"/>
        </w:rPr>
        <w:t>high sensitivity C-Reactive Protein</w:t>
      </w:r>
      <w:r w:rsidR="00C0295E" w:rsidRPr="00F24057">
        <w:rPr>
          <w:szCs w:val="22"/>
          <w:lang w:val="sr-Latn-ME"/>
        </w:rPr>
        <w:t>)</w:t>
      </w:r>
      <w:r w:rsidRPr="00F24057">
        <w:rPr>
          <w:szCs w:val="22"/>
          <w:lang w:val="sr-Latn-ME"/>
        </w:rPr>
        <w:t xml:space="preserve"> (mg/L)</w:t>
      </w:r>
    </w:p>
    <w:p w14:paraId="06263F27" w14:textId="1DB75EDB" w:rsidR="009705D8" w:rsidRPr="00F24057" w:rsidRDefault="009705D8" w:rsidP="00D70B34">
      <w:pPr>
        <w:rPr>
          <w:szCs w:val="22"/>
          <w:lang w:val="sr-Latn-ME"/>
        </w:rPr>
      </w:pPr>
      <w:r w:rsidRPr="00F24057">
        <w:rPr>
          <w:szCs w:val="22"/>
          <w:vertAlign w:val="superscript"/>
          <w:lang w:val="sr-Latn-ME"/>
        </w:rPr>
        <w:t>g</w:t>
      </w:r>
      <w:r w:rsidRPr="00F24057">
        <w:rPr>
          <w:szCs w:val="22"/>
          <w:lang w:val="sr-Latn-ME"/>
        </w:rPr>
        <w:t xml:space="preserve"> n=73 placebo i n=70 adalimumab </w:t>
      </w:r>
    </w:p>
    <w:p w14:paraId="5FBAC72D" w14:textId="1EBEAC63" w:rsidR="006F01F0" w:rsidRPr="00F24057" w:rsidRDefault="009705D8" w:rsidP="00D70B34">
      <w:pPr>
        <w:rPr>
          <w:szCs w:val="22"/>
          <w:lang w:val="sr-Latn-ME"/>
        </w:rPr>
      </w:pPr>
      <w:r w:rsidRPr="00F24057">
        <w:rPr>
          <w:szCs w:val="22"/>
          <w:vertAlign w:val="superscript"/>
          <w:lang w:val="sr-Latn-ME"/>
        </w:rPr>
        <w:t>h</w:t>
      </w:r>
      <w:r w:rsidR="00FF4690" w:rsidRPr="00F24057">
        <w:rPr>
          <w:szCs w:val="22"/>
          <w:lang w:val="sr-Latn-ME"/>
        </w:rPr>
        <w:t xml:space="preserve"> </w:t>
      </w:r>
      <w:r w:rsidRPr="00F24057">
        <w:rPr>
          <w:szCs w:val="22"/>
          <w:lang w:val="sr-Latn-ME"/>
        </w:rPr>
        <w:t xml:space="preserve">Kanadski konzorcijum za istraživanje spondiloartritisa (engl. </w:t>
      </w:r>
      <w:r w:rsidRPr="00F24057">
        <w:rPr>
          <w:i/>
          <w:iCs/>
          <w:szCs w:val="22"/>
          <w:lang w:val="sr-Latn-ME"/>
        </w:rPr>
        <w:t>Spondyloarthritis Research Consortium of Canada</w:t>
      </w:r>
      <w:r w:rsidRPr="00F24057">
        <w:rPr>
          <w:szCs w:val="22"/>
          <w:lang w:val="sr-Latn-ME"/>
        </w:rPr>
        <w:t>)</w:t>
      </w:r>
    </w:p>
    <w:p w14:paraId="455EA6F9" w14:textId="1B77F191" w:rsidR="009705D8" w:rsidRPr="00F24057" w:rsidRDefault="009705D8" w:rsidP="00D70B34">
      <w:pPr>
        <w:rPr>
          <w:szCs w:val="22"/>
          <w:lang w:val="sr-Latn-ME"/>
        </w:rPr>
      </w:pPr>
      <w:r w:rsidRPr="00F24057">
        <w:rPr>
          <w:szCs w:val="22"/>
          <w:vertAlign w:val="superscript"/>
          <w:lang w:val="sr-Latn-ME"/>
        </w:rPr>
        <w:t>i.</w:t>
      </w:r>
      <w:r w:rsidRPr="00F24057">
        <w:rPr>
          <w:szCs w:val="22"/>
          <w:lang w:val="sr-Latn-ME"/>
        </w:rPr>
        <w:t xml:space="preserve"> n=84 placebo i adalimumab </w:t>
      </w:r>
    </w:p>
    <w:p w14:paraId="1F9CD698" w14:textId="77777777" w:rsidR="009705D8" w:rsidRPr="00F24057" w:rsidRDefault="009705D8" w:rsidP="00D70B34">
      <w:pPr>
        <w:rPr>
          <w:szCs w:val="22"/>
          <w:lang w:val="sr-Latn-ME"/>
        </w:rPr>
      </w:pPr>
      <w:r w:rsidRPr="00F24057">
        <w:rPr>
          <w:szCs w:val="22"/>
          <w:vertAlign w:val="superscript"/>
          <w:lang w:val="sr-Latn-ME"/>
        </w:rPr>
        <w:t>j.</w:t>
      </w:r>
      <w:r w:rsidRPr="00F24057">
        <w:rPr>
          <w:szCs w:val="22"/>
          <w:lang w:val="sr-Latn-ME"/>
        </w:rPr>
        <w:t xml:space="preserve"> n=82 placebo i n=85 adalimumab </w:t>
      </w:r>
    </w:p>
    <w:p w14:paraId="7CFF365F" w14:textId="5B3872E6" w:rsidR="00356C0D" w:rsidRPr="00F24057" w:rsidRDefault="009705D8" w:rsidP="00D70B34">
      <w:pPr>
        <w:rPr>
          <w:szCs w:val="22"/>
          <w:lang w:val="sr-Latn-ME"/>
        </w:rPr>
      </w:pPr>
      <w:r w:rsidRPr="00F24057">
        <w:rPr>
          <w:szCs w:val="22"/>
          <w:lang w:val="sr-Latn-ME"/>
        </w:rPr>
        <w:t>***,**,* = statistički značajan pri p &lt; 0,001, odnosno &lt; 0,01, odnosno &lt; 0,05, za sva poređenja između adalimumaba i placeba</w:t>
      </w:r>
    </w:p>
    <w:p w14:paraId="57F81304" w14:textId="62FE7198" w:rsidR="00356C0D" w:rsidRPr="00F24057" w:rsidRDefault="00356C0D" w:rsidP="00D70B34">
      <w:pPr>
        <w:rPr>
          <w:szCs w:val="22"/>
          <w:lang w:val="sr-Latn-ME"/>
        </w:rPr>
      </w:pPr>
    </w:p>
    <w:p w14:paraId="7B7B3753" w14:textId="69185801" w:rsidR="001C41F2" w:rsidRPr="00F24057" w:rsidRDefault="001C41F2" w:rsidP="00D70B34">
      <w:pPr>
        <w:rPr>
          <w:szCs w:val="22"/>
          <w:lang w:val="sr-Latn-ME"/>
        </w:rPr>
      </w:pPr>
      <w:r w:rsidRPr="00F24057">
        <w:rPr>
          <w:szCs w:val="22"/>
          <w:lang w:val="sr-Latn-ME"/>
        </w:rPr>
        <w:t xml:space="preserve">U otvorenom produžetku studije, poboljšanje znakova i simptoma je zadržano uz terapiju adalimumabom sve do 156. </w:t>
      </w:r>
      <w:r w:rsidR="00885A78" w:rsidRPr="00F24057">
        <w:rPr>
          <w:szCs w:val="22"/>
          <w:lang w:val="sr-Latn-ME"/>
        </w:rPr>
        <w:t>nedjelj</w:t>
      </w:r>
      <w:r w:rsidRPr="00F24057">
        <w:rPr>
          <w:szCs w:val="22"/>
          <w:lang w:val="sr-Latn-ME"/>
        </w:rPr>
        <w:t xml:space="preserve">e. </w:t>
      </w:r>
    </w:p>
    <w:p w14:paraId="2C09CDFC" w14:textId="77777777" w:rsidR="001C41F2" w:rsidRPr="00F24057" w:rsidRDefault="001C41F2" w:rsidP="00D70B34">
      <w:pPr>
        <w:rPr>
          <w:szCs w:val="22"/>
          <w:lang w:val="sr-Latn-ME"/>
        </w:rPr>
      </w:pPr>
    </w:p>
    <w:p w14:paraId="41A9D337" w14:textId="77777777" w:rsidR="001C41F2" w:rsidRPr="00F24057" w:rsidRDefault="001C41F2" w:rsidP="00D70B34">
      <w:pPr>
        <w:rPr>
          <w:i/>
          <w:iCs/>
          <w:szCs w:val="22"/>
          <w:u w:val="single"/>
          <w:lang w:val="sr-Latn-ME"/>
        </w:rPr>
      </w:pPr>
      <w:r w:rsidRPr="00F24057">
        <w:rPr>
          <w:i/>
          <w:iCs/>
          <w:szCs w:val="22"/>
          <w:u w:val="single"/>
          <w:lang w:val="sr-Latn-ME"/>
        </w:rPr>
        <w:t xml:space="preserve">Inhibicija inflamacije </w:t>
      </w:r>
    </w:p>
    <w:p w14:paraId="70E71E3E" w14:textId="77777777" w:rsidR="001C41F2" w:rsidRPr="00F24057" w:rsidRDefault="001C41F2" w:rsidP="00D70B34">
      <w:pPr>
        <w:rPr>
          <w:szCs w:val="22"/>
          <w:lang w:val="sr-Latn-ME"/>
        </w:rPr>
      </w:pPr>
    </w:p>
    <w:p w14:paraId="65A9F1A1" w14:textId="784B7711" w:rsidR="001C41F2" w:rsidRPr="00F24057" w:rsidRDefault="001C41F2" w:rsidP="00D70B34">
      <w:pPr>
        <w:rPr>
          <w:szCs w:val="22"/>
          <w:lang w:val="sr-Latn-ME"/>
        </w:rPr>
      </w:pPr>
      <w:r w:rsidRPr="00F24057">
        <w:rPr>
          <w:szCs w:val="22"/>
          <w:lang w:val="sr-Latn-ME"/>
        </w:rPr>
        <w:t xml:space="preserve">Značajno poboljšanje simptoma inflamacije, određeno </w:t>
      </w:r>
      <w:r w:rsidR="0030064A" w:rsidRPr="00F24057">
        <w:rPr>
          <w:szCs w:val="22"/>
          <w:lang w:val="sr-Latn-ME"/>
        </w:rPr>
        <w:t>mjeren</w:t>
      </w:r>
      <w:r w:rsidRPr="00F24057">
        <w:rPr>
          <w:szCs w:val="22"/>
          <w:lang w:val="sr-Latn-ME"/>
        </w:rPr>
        <w:t xml:space="preserve">jem </w:t>
      </w:r>
      <w:r w:rsidR="00972894" w:rsidRPr="00F24057">
        <w:rPr>
          <w:szCs w:val="22"/>
          <w:lang w:val="sr-Latn-ME"/>
        </w:rPr>
        <w:t>vrijedno</w:t>
      </w:r>
      <w:r w:rsidRPr="00F24057">
        <w:rPr>
          <w:szCs w:val="22"/>
          <w:lang w:val="sr-Latn-ME"/>
        </w:rPr>
        <w:t xml:space="preserve">sti C-reaktivnog proteina visoke </w:t>
      </w:r>
      <w:r w:rsidR="004F2520" w:rsidRPr="00F24057">
        <w:rPr>
          <w:szCs w:val="22"/>
          <w:lang w:val="sr-Latn-ME"/>
        </w:rPr>
        <w:t>osjetljivo</w:t>
      </w:r>
      <w:r w:rsidRPr="00F24057">
        <w:rPr>
          <w:szCs w:val="22"/>
          <w:lang w:val="sr-Latn-ME"/>
        </w:rPr>
        <w:t xml:space="preserve">sti (hs-CRP) i MRI sakroilijačnih zglobova i kičme zadržano je kod pacijenata </w:t>
      </w:r>
      <w:r w:rsidR="00885A78" w:rsidRPr="00F24057">
        <w:rPr>
          <w:szCs w:val="22"/>
          <w:lang w:val="sr-Latn-ME"/>
        </w:rPr>
        <w:t>liječe</w:t>
      </w:r>
      <w:r w:rsidRPr="00F24057">
        <w:rPr>
          <w:szCs w:val="22"/>
          <w:lang w:val="sr-Latn-ME"/>
        </w:rPr>
        <w:t xml:space="preserve">nih adalimumabom sve do 156. i 104. </w:t>
      </w:r>
      <w:r w:rsidR="00885A78" w:rsidRPr="00F24057">
        <w:rPr>
          <w:szCs w:val="22"/>
          <w:lang w:val="sr-Latn-ME"/>
        </w:rPr>
        <w:t>nedjelj</w:t>
      </w:r>
      <w:r w:rsidRPr="00F24057">
        <w:rPr>
          <w:szCs w:val="22"/>
          <w:lang w:val="sr-Latn-ME"/>
        </w:rPr>
        <w:t xml:space="preserve">e. </w:t>
      </w:r>
    </w:p>
    <w:p w14:paraId="0F6C5742" w14:textId="77777777" w:rsidR="001C41F2" w:rsidRPr="00F24057" w:rsidRDefault="001C41F2" w:rsidP="00D70B34">
      <w:pPr>
        <w:rPr>
          <w:szCs w:val="22"/>
          <w:lang w:val="sr-Latn-ME"/>
        </w:rPr>
      </w:pPr>
    </w:p>
    <w:p w14:paraId="4CCC2C0A" w14:textId="77777777" w:rsidR="001C41F2" w:rsidRPr="00F24057" w:rsidRDefault="001C41F2" w:rsidP="00D70B34">
      <w:pPr>
        <w:rPr>
          <w:i/>
          <w:iCs/>
          <w:szCs w:val="22"/>
          <w:u w:val="single"/>
          <w:lang w:val="sr-Latn-ME"/>
        </w:rPr>
      </w:pPr>
      <w:r w:rsidRPr="00F24057">
        <w:rPr>
          <w:i/>
          <w:iCs/>
          <w:szCs w:val="22"/>
          <w:u w:val="single"/>
          <w:lang w:val="sr-Latn-ME"/>
        </w:rPr>
        <w:t xml:space="preserve">Kvalitet života i fizička funkcija </w:t>
      </w:r>
    </w:p>
    <w:p w14:paraId="6C36618F" w14:textId="77777777" w:rsidR="001C41F2" w:rsidRPr="00F24057" w:rsidRDefault="001C41F2" w:rsidP="00D70B34">
      <w:pPr>
        <w:rPr>
          <w:szCs w:val="22"/>
          <w:lang w:val="sr-Latn-ME"/>
        </w:rPr>
      </w:pPr>
    </w:p>
    <w:p w14:paraId="0CAB1AC4" w14:textId="741B6BAC" w:rsidR="001C41F2" w:rsidRPr="00F24057" w:rsidRDefault="001C41F2" w:rsidP="00D70B34">
      <w:pPr>
        <w:rPr>
          <w:szCs w:val="22"/>
          <w:lang w:val="sr-Latn-ME"/>
        </w:rPr>
      </w:pPr>
      <w:r w:rsidRPr="00F24057">
        <w:rPr>
          <w:szCs w:val="22"/>
          <w:lang w:val="sr-Latn-ME"/>
        </w:rPr>
        <w:t xml:space="preserve">Kvalitet života povezan sa zdravljem i fizičkom funkcijom bio je </w:t>
      </w:r>
      <w:r w:rsidR="00897E85" w:rsidRPr="00F24057">
        <w:rPr>
          <w:szCs w:val="22"/>
          <w:lang w:val="sr-Latn-ME"/>
        </w:rPr>
        <w:t>procijenjen</w:t>
      </w:r>
      <w:r w:rsidRPr="00F24057">
        <w:rPr>
          <w:szCs w:val="22"/>
          <w:lang w:val="sr-Latn-ME"/>
        </w:rPr>
        <w:t xml:space="preserve"> korišćenjem HAQ-S i SF-36 upitnika. Adalimumab je pokazao statistički značajno poboljšanje HAQ-S skora i SF-36, skora fizičke komponente (PCS=</w:t>
      </w:r>
      <w:r w:rsidRPr="00F24057">
        <w:rPr>
          <w:i/>
          <w:iCs/>
          <w:szCs w:val="22"/>
          <w:lang w:val="sr-Latn-ME"/>
        </w:rPr>
        <w:t>Physical Component Score</w:t>
      </w:r>
      <w:r w:rsidRPr="00F24057">
        <w:rPr>
          <w:szCs w:val="22"/>
          <w:lang w:val="sr-Latn-ME"/>
        </w:rPr>
        <w:t xml:space="preserve">), u periodu od početka studije do 12 </w:t>
      </w:r>
      <w:r w:rsidR="00885A78" w:rsidRPr="00F24057">
        <w:rPr>
          <w:szCs w:val="22"/>
          <w:lang w:val="sr-Latn-ME"/>
        </w:rPr>
        <w:t>nedjelj</w:t>
      </w:r>
      <w:r w:rsidRPr="00F24057">
        <w:rPr>
          <w:szCs w:val="22"/>
          <w:lang w:val="sr-Latn-ME"/>
        </w:rPr>
        <w:t xml:space="preserve">e, u poređenju sa placebom. Poboljšanje fizičke funkcije u kvalitetu života je zadržano i tokom otvorenog produžetka studije do 156. </w:t>
      </w:r>
      <w:r w:rsidR="00885A78" w:rsidRPr="00F24057">
        <w:rPr>
          <w:szCs w:val="22"/>
          <w:lang w:val="sr-Latn-ME"/>
        </w:rPr>
        <w:t>nedjelj</w:t>
      </w:r>
      <w:r w:rsidRPr="00F24057">
        <w:rPr>
          <w:szCs w:val="22"/>
          <w:lang w:val="sr-Latn-ME"/>
        </w:rPr>
        <w:t xml:space="preserve">e. </w:t>
      </w:r>
    </w:p>
    <w:p w14:paraId="629F1924" w14:textId="77777777" w:rsidR="001C41F2" w:rsidRPr="00F24057" w:rsidRDefault="001C41F2" w:rsidP="00D70B34">
      <w:pPr>
        <w:rPr>
          <w:szCs w:val="22"/>
          <w:lang w:val="sr-Latn-ME"/>
        </w:rPr>
      </w:pPr>
    </w:p>
    <w:p w14:paraId="328F2298" w14:textId="77777777" w:rsidR="001C41F2" w:rsidRPr="00F24057" w:rsidRDefault="001C41F2" w:rsidP="00D70B34">
      <w:pPr>
        <w:rPr>
          <w:szCs w:val="22"/>
          <w:u w:val="single"/>
          <w:lang w:val="sr-Latn-ME"/>
        </w:rPr>
      </w:pPr>
      <w:r w:rsidRPr="00F24057">
        <w:rPr>
          <w:szCs w:val="22"/>
          <w:u w:val="single"/>
          <w:lang w:val="sr-Latn-ME"/>
        </w:rPr>
        <w:t xml:space="preserve">Ispitivanje nr-axSpA II </w:t>
      </w:r>
    </w:p>
    <w:p w14:paraId="7C540C46" w14:textId="77777777" w:rsidR="001C41F2" w:rsidRPr="00F24057" w:rsidRDefault="001C41F2" w:rsidP="00D70B34">
      <w:pPr>
        <w:rPr>
          <w:szCs w:val="22"/>
          <w:lang w:val="sr-Latn-ME"/>
        </w:rPr>
      </w:pPr>
    </w:p>
    <w:p w14:paraId="79A0449A" w14:textId="333FB391" w:rsidR="00612B7D" w:rsidRPr="00F24057" w:rsidRDefault="001C41F2" w:rsidP="00D70B34">
      <w:pPr>
        <w:rPr>
          <w:szCs w:val="22"/>
          <w:lang w:val="sr-Latn-ME"/>
        </w:rPr>
      </w:pPr>
      <w:r w:rsidRPr="00F24057">
        <w:rPr>
          <w:szCs w:val="22"/>
          <w:lang w:val="sr-Latn-ME"/>
        </w:rPr>
        <w:t xml:space="preserve">673 pacijenta sa aktivnim nr-axSpA (srednja početna </w:t>
      </w:r>
      <w:r w:rsidR="00972894" w:rsidRPr="00F24057">
        <w:rPr>
          <w:szCs w:val="22"/>
          <w:lang w:val="sr-Latn-ME"/>
        </w:rPr>
        <w:t>vrijedno</w:t>
      </w:r>
      <w:r w:rsidRPr="00F24057">
        <w:rPr>
          <w:szCs w:val="22"/>
          <w:lang w:val="sr-Latn-ME"/>
        </w:rPr>
        <w:t xml:space="preserve">st aktivnosti bolesti [BASDAI] iznosila je 7,0) koji nisu imali zadovoljavajući odgovor na </w:t>
      </w:r>
      <w:r w:rsidRPr="00F24057">
        <w:rPr>
          <w:szCs w:val="22"/>
          <w:lang w:val="sr-Latn-ME"/>
        </w:rPr>
        <w:sym w:font="Symbol" w:char="F0B3"/>
      </w:r>
      <w:r w:rsidRPr="00F24057">
        <w:rPr>
          <w:szCs w:val="22"/>
          <w:lang w:val="sr-Latn-ME"/>
        </w:rPr>
        <w:t xml:space="preserve"> 2 NSAIL-a, nisu podnosili NSAIL-ove ili su imali kontraindikaciju za </w:t>
      </w:r>
      <w:r w:rsidR="0030064A" w:rsidRPr="00F24057">
        <w:rPr>
          <w:szCs w:val="22"/>
          <w:lang w:val="sr-Latn-ME"/>
        </w:rPr>
        <w:t>primjen</w:t>
      </w:r>
      <w:r w:rsidRPr="00F24057">
        <w:rPr>
          <w:szCs w:val="22"/>
          <w:lang w:val="sr-Latn-ME"/>
        </w:rPr>
        <w:t xml:space="preserve">u NSAIL-ova uključena su u otvoreni period ispitivanja nr-axSpA II, u kom su primali adalimumab u dozi od 40 mg svake druge </w:t>
      </w:r>
      <w:r w:rsidR="00885A78" w:rsidRPr="00F24057">
        <w:rPr>
          <w:szCs w:val="22"/>
          <w:lang w:val="sr-Latn-ME"/>
        </w:rPr>
        <w:t>nedjelj</w:t>
      </w:r>
      <w:r w:rsidRPr="00F24057">
        <w:rPr>
          <w:szCs w:val="22"/>
          <w:lang w:val="sr-Latn-ME"/>
        </w:rPr>
        <w:t xml:space="preserve">e tokom 28 </w:t>
      </w:r>
      <w:r w:rsidR="00885A78" w:rsidRPr="00F24057">
        <w:rPr>
          <w:szCs w:val="22"/>
          <w:lang w:val="sr-Latn-ME"/>
        </w:rPr>
        <w:t>nedjelj</w:t>
      </w:r>
      <w:r w:rsidRPr="00F24057">
        <w:rPr>
          <w:szCs w:val="22"/>
          <w:lang w:val="sr-Latn-ME"/>
        </w:rPr>
        <w:t xml:space="preserve">a. </w:t>
      </w:r>
    </w:p>
    <w:p w14:paraId="5C328DF3" w14:textId="77777777" w:rsidR="00612B7D" w:rsidRPr="00F24057" w:rsidRDefault="00612B7D" w:rsidP="00D70B34">
      <w:pPr>
        <w:rPr>
          <w:szCs w:val="22"/>
          <w:lang w:val="sr-Latn-ME"/>
        </w:rPr>
      </w:pPr>
    </w:p>
    <w:p w14:paraId="0E9367E9" w14:textId="05D7C909" w:rsidR="001C41F2" w:rsidRPr="00F24057" w:rsidRDefault="001C41F2" w:rsidP="00D70B34">
      <w:pPr>
        <w:rPr>
          <w:szCs w:val="22"/>
          <w:lang w:val="sr-Latn-ME"/>
        </w:rPr>
      </w:pPr>
      <w:r w:rsidRPr="00F24057">
        <w:rPr>
          <w:szCs w:val="22"/>
          <w:lang w:val="sr-Latn-ME"/>
        </w:rPr>
        <w:t xml:space="preserve">Ovi pacijenti su takođe imali i objektivne dokaze zapaljenja sakroilijačnih zglobova ili kičme na MR snimcima (engl. </w:t>
      </w:r>
      <w:r w:rsidRPr="00F24057">
        <w:rPr>
          <w:i/>
          <w:iCs/>
          <w:szCs w:val="22"/>
          <w:lang w:val="sr-Latn-ME"/>
        </w:rPr>
        <w:t>Magnetic Resonance Imaging</w:t>
      </w:r>
      <w:r w:rsidRPr="00F24057">
        <w:rPr>
          <w:szCs w:val="22"/>
          <w:lang w:val="sr-Latn-ME"/>
        </w:rPr>
        <w:t xml:space="preserve">, MRI) ili povećane nivoe hs-CRP-a. Pacijenti koji su tokom otvorenog perioda ispitivanja postigli remisiju koja se održala najmanje 12 </w:t>
      </w:r>
      <w:r w:rsidR="00885A78" w:rsidRPr="00F24057">
        <w:rPr>
          <w:szCs w:val="22"/>
          <w:lang w:val="sr-Latn-ME"/>
        </w:rPr>
        <w:t>nedjelj</w:t>
      </w:r>
      <w:r w:rsidRPr="00F24057">
        <w:rPr>
          <w:szCs w:val="22"/>
          <w:lang w:val="sr-Latn-ME"/>
        </w:rPr>
        <w:t xml:space="preserve">a (N=305) (ASDAS rezultat &lt; 1,3 u </w:t>
      </w:r>
      <w:r w:rsidR="00885A78" w:rsidRPr="00F24057">
        <w:rPr>
          <w:szCs w:val="22"/>
          <w:lang w:val="sr-Latn-ME"/>
        </w:rPr>
        <w:t>nedjelj</w:t>
      </w:r>
      <w:r w:rsidRPr="00F24057">
        <w:rPr>
          <w:szCs w:val="22"/>
          <w:lang w:val="sr-Latn-ME"/>
        </w:rPr>
        <w:t xml:space="preserve">ama 16, 20, 24 i 28) su zatim bili randomizovani za nastavak </w:t>
      </w:r>
      <w:r w:rsidR="00885A78" w:rsidRPr="00F24057">
        <w:rPr>
          <w:szCs w:val="22"/>
          <w:lang w:val="sr-Latn-ME"/>
        </w:rPr>
        <w:t>liječenj</w:t>
      </w:r>
      <w:r w:rsidRPr="00F24057">
        <w:rPr>
          <w:szCs w:val="22"/>
          <w:lang w:val="sr-Latn-ME"/>
        </w:rPr>
        <w:t xml:space="preserve">a </w:t>
      </w:r>
      <w:r w:rsidR="00977309" w:rsidRPr="00F24057">
        <w:rPr>
          <w:szCs w:val="22"/>
          <w:lang w:val="sr-Latn-ME"/>
        </w:rPr>
        <w:t>adalimumabom</w:t>
      </w:r>
      <w:r w:rsidRPr="00F24057">
        <w:rPr>
          <w:szCs w:val="22"/>
          <w:lang w:val="sr-Latn-ME"/>
        </w:rPr>
        <w:t xml:space="preserve"> u dozi od 40 mg svake druge </w:t>
      </w:r>
      <w:r w:rsidR="00885A78" w:rsidRPr="00F24057">
        <w:rPr>
          <w:szCs w:val="22"/>
          <w:lang w:val="sr-Latn-ME"/>
        </w:rPr>
        <w:t>nedjelj</w:t>
      </w:r>
      <w:r w:rsidRPr="00F24057">
        <w:rPr>
          <w:szCs w:val="22"/>
          <w:lang w:val="sr-Latn-ME"/>
        </w:rPr>
        <w:t xml:space="preserve">e (N=152) ili za primanje placeba (N=153) tokom dodatnih 40 </w:t>
      </w:r>
      <w:r w:rsidR="00885A78" w:rsidRPr="00F24057">
        <w:rPr>
          <w:szCs w:val="22"/>
          <w:lang w:val="sr-Latn-ME"/>
        </w:rPr>
        <w:t>nedjelj</w:t>
      </w:r>
      <w:r w:rsidRPr="00F24057">
        <w:rPr>
          <w:szCs w:val="22"/>
          <w:lang w:val="sr-Latn-ME"/>
        </w:rPr>
        <w:t>a u dvostruko sl</w:t>
      </w:r>
      <w:r w:rsidR="00972894" w:rsidRPr="00F24057">
        <w:rPr>
          <w:szCs w:val="22"/>
          <w:lang w:val="sr-Latn-ME"/>
        </w:rPr>
        <w:t>ij</w:t>
      </w:r>
      <w:r w:rsidRPr="00F24057">
        <w:rPr>
          <w:szCs w:val="22"/>
          <w:lang w:val="sr-Latn-ME"/>
        </w:rPr>
        <w:t xml:space="preserve">epom, placebo kontrolisanom periodu (ukupno trajanje ispitivanja: </w:t>
      </w:r>
      <w:r w:rsidRPr="00F24057">
        <w:rPr>
          <w:szCs w:val="22"/>
          <w:lang w:val="sr-Latn-ME"/>
        </w:rPr>
        <w:lastRenderedPageBreak/>
        <w:t xml:space="preserve">68 </w:t>
      </w:r>
      <w:r w:rsidR="00885A78" w:rsidRPr="00F24057">
        <w:rPr>
          <w:szCs w:val="22"/>
          <w:lang w:val="sr-Latn-ME"/>
        </w:rPr>
        <w:t>nedjelj</w:t>
      </w:r>
      <w:r w:rsidRPr="00F24057">
        <w:rPr>
          <w:szCs w:val="22"/>
          <w:lang w:val="sr-Latn-ME"/>
        </w:rPr>
        <w:t>a). Ispitanicima kojima se bolest pogoršala tokom dvostruko sl</w:t>
      </w:r>
      <w:r w:rsidR="00972894" w:rsidRPr="00F24057">
        <w:rPr>
          <w:szCs w:val="22"/>
          <w:lang w:val="sr-Latn-ME"/>
        </w:rPr>
        <w:t>ij</w:t>
      </w:r>
      <w:r w:rsidRPr="00F24057">
        <w:rPr>
          <w:szCs w:val="22"/>
          <w:lang w:val="sr-Latn-ME"/>
        </w:rPr>
        <w:t xml:space="preserve">epog perioda bila je dopuštena </w:t>
      </w:r>
      <w:r w:rsidR="0030064A" w:rsidRPr="00F24057">
        <w:rPr>
          <w:szCs w:val="22"/>
          <w:lang w:val="sr-Latn-ME"/>
        </w:rPr>
        <w:t>primjen</w:t>
      </w:r>
      <w:r w:rsidRPr="00F24057">
        <w:rPr>
          <w:szCs w:val="22"/>
          <w:lang w:val="sr-Latn-ME"/>
        </w:rPr>
        <w:t xml:space="preserve">a terapije spašavanja (engl. </w:t>
      </w:r>
      <w:r w:rsidRPr="00F24057">
        <w:rPr>
          <w:i/>
          <w:iCs/>
          <w:szCs w:val="22"/>
          <w:lang w:val="sr-Latn-ME"/>
        </w:rPr>
        <w:t>rescue therapy</w:t>
      </w:r>
      <w:r w:rsidRPr="00F24057">
        <w:rPr>
          <w:szCs w:val="22"/>
          <w:lang w:val="sr-Latn-ME"/>
        </w:rPr>
        <w:t xml:space="preserve">) adalimumabom u dozi od 40 mg svake druge </w:t>
      </w:r>
      <w:r w:rsidR="00885A78" w:rsidRPr="00F24057">
        <w:rPr>
          <w:szCs w:val="22"/>
          <w:lang w:val="sr-Latn-ME"/>
        </w:rPr>
        <w:t>nedjelj</w:t>
      </w:r>
      <w:r w:rsidRPr="00F24057">
        <w:rPr>
          <w:szCs w:val="22"/>
          <w:lang w:val="sr-Latn-ME"/>
        </w:rPr>
        <w:t xml:space="preserve">e tokom najmanje 12 </w:t>
      </w:r>
      <w:r w:rsidR="00885A78" w:rsidRPr="00F24057">
        <w:rPr>
          <w:szCs w:val="22"/>
          <w:lang w:val="sr-Latn-ME"/>
        </w:rPr>
        <w:t>nedjelj</w:t>
      </w:r>
      <w:r w:rsidRPr="00F24057">
        <w:rPr>
          <w:szCs w:val="22"/>
          <w:lang w:val="sr-Latn-ME"/>
        </w:rPr>
        <w:t xml:space="preserve">a. </w:t>
      </w:r>
    </w:p>
    <w:p w14:paraId="2D253E94" w14:textId="77777777" w:rsidR="001C41F2" w:rsidRPr="00F24057" w:rsidRDefault="001C41F2" w:rsidP="00D70B34">
      <w:pPr>
        <w:rPr>
          <w:szCs w:val="22"/>
          <w:lang w:val="sr-Latn-ME"/>
        </w:rPr>
      </w:pPr>
    </w:p>
    <w:p w14:paraId="5658B8B2" w14:textId="31D1B8C5" w:rsidR="00356C0D" w:rsidRPr="00F24057" w:rsidRDefault="001C41F2" w:rsidP="00D70B34">
      <w:pPr>
        <w:rPr>
          <w:szCs w:val="22"/>
          <w:lang w:val="sr-Latn-ME"/>
        </w:rPr>
      </w:pPr>
      <w:r w:rsidRPr="00F24057">
        <w:rPr>
          <w:szCs w:val="22"/>
          <w:lang w:val="sr-Latn-ME"/>
        </w:rPr>
        <w:t>Primarni parametar praćenja efikasnosti bio je ud</w:t>
      </w:r>
      <w:r w:rsidR="009A3407" w:rsidRPr="00F24057">
        <w:rPr>
          <w:szCs w:val="22"/>
          <w:lang w:val="sr-Latn-ME"/>
        </w:rPr>
        <w:t>i</w:t>
      </w:r>
      <w:r w:rsidRPr="00F24057">
        <w:rPr>
          <w:szCs w:val="22"/>
          <w:lang w:val="sr-Latn-ME"/>
        </w:rPr>
        <w:t xml:space="preserve">o pacijenata kojima se bolest nije pogoršala u ispitivanju do 68. </w:t>
      </w:r>
      <w:r w:rsidR="00885A78" w:rsidRPr="00F24057">
        <w:rPr>
          <w:szCs w:val="22"/>
          <w:lang w:val="sr-Latn-ME"/>
        </w:rPr>
        <w:t>nedjelj</w:t>
      </w:r>
      <w:r w:rsidRPr="00F24057">
        <w:rPr>
          <w:szCs w:val="22"/>
          <w:lang w:val="sr-Latn-ME"/>
        </w:rPr>
        <w:t xml:space="preserve">e. Pogoršanje bolesti definisalo se kao ASDAS rezultat ≥ 2,1 pri </w:t>
      </w:r>
      <w:r w:rsidR="009A3407" w:rsidRPr="00F24057">
        <w:rPr>
          <w:szCs w:val="22"/>
          <w:lang w:val="sr-Latn-ME"/>
        </w:rPr>
        <w:t xml:space="preserve">dvije </w:t>
      </w:r>
      <w:r w:rsidRPr="00F24057">
        <w:rPr>
          <w:szCs w:val="22"/>
          <w:lang w:val="sr-Latn-ME"/>
        </w:rPr>
        <w:t xml:space="preserve">uzastopne </w:t>
      </w:r>
      <w:r w:rsidR="009A1A7F" w:rsidRPr="00F24057">
        <w:rPr>
          <w:szCs w:val="22"/>
          <w:lang w:val="sr-Latn-ME"/>
        </w:rPr>
        <w:t>posjete</w:t>
      </w:r>
      <w:r w:rsidRPr="00F24057">
        <w:rPr>
          <w:szCs w:val="22"/>
          <w:lang w:val="sr-Latn-ME"/>
        </w:rPr>
        <w:t xml:space="preserve"> u razmaku od četiri </w:t>
      </w:r>
      <w:r w:rsidR="00885A78" w:rsidRPr="00F24057">
        <w:rPr>
          <w:szCs w:val="22"/>
          <w:lang w:val="sr-Latn-ME"/>
        </w:rPr>
        <w:t>nedjelj</w:t>
      </w:r>
      <w:r w:rsidRPr="00F24057">
        <w:rPr>
          <w:szCs w:val="22"/>
          <w:lang w:val="sr-Latn-ME"/>
        </w:rPr>
        <w:t>e. Pogoršanje bolesti tokom dvostruko sl</w:t>
      </w:r>
      <w:r w:rsidR="00972894" w:rsidRPr="00F24057">
        <w:rPr>
          <w:szCs w:val="22"/>
          <w:lang w:val="sr-Latn-ME"/>
        </w:rPr>
        <w:t>ij</w:t>
      </w:r>
      <w:r w:rsidRPr="00F24057">
        <w:rPr>
          <w:szCs w:val="22"/>
          <w:lang w:val="sr-Latn-ME"/>
        </w:rPr>
        <w:t>epog perioda izostalo je kod većeg udela</w:t>
      </w:r>
      <w:r w:rsidR="003E0100" w:rsidRPr="00F24057">
        <w:rPr>
          <w:szCs w:val="22"/>
          <w:lang w:val="sr-Latn-ME"/>
        </w:rPr>
        <w:t xml:space="preserve"> </w:t>
      </w:r>
      <w:r w:rsidR="000F3C35" w:rsidRPr="00F24057">
        <w:rPr>
          <w:szCs w:val="22"/>
          <w:lang w:val="sr-Latn-ME"/>
        </w:rPr>
        <w:t xml:space="preserve">pacijenata </w:t>
      </w:r>
      <w:r w:rsidR="00885A78" w:rsidRPr="00F24057">
        <w:rPr>
          <w:szCs w:val="22"/>
          <w:lang w:val="sr-Latn-ME"/>
        </w:rPr>
        <w:t>liječe</w:t>
      </w:r>
      <w:r w:rsidR="000F3C35" w:rsidRPr="00F24057">
        <w:rPr>
          <w:szCs w:val="22"/>
          <w:lang w:val="sr-Latn-ME"/>
        </w:rPr>
        <w:t xml:space="preserve">nih </w:t>
      </w:r>
      <w:r w:rsidR="003E0100" w:rsidRPr="00F24057">
        <w:rPr>
          <w:szCs w:val="22"/>
          <w:lang w:val="sr-Latn-ME"/>
        </w:rPr>
        <w:t>adalimumabom</w:t>
      </w:r>
      <w:r w:rsidR="000F3C35" w:rsidRPr="00F24057">
        <w:rPr>
          <w:szCs w:val="22"/>
          <w:lang w:val="sr-Latn-ME"/>
        </w:rPr>
        <w:t xml:space="preserve"> nego kod onih koji su primali placebo (70,4% u odnosu na 47,1%, p </w:t>
      </w:r>
      <w:r w:rsidR="000F3C35" w:rsidRPr="00F24057">
        <w:rPr>
          <w:szCs w:val="22"/>
          <w:lang w:val="sr-Latn-ME"/>
        </w:rPr>
        <w:sym w:font="Symbol" w:char="F03C"/>
      </w:r>
      <w:r w:rsidR="000F3C35" w:rsidRPr="00F24057">
        <w:rPr>
          <w:szCs w:val="22"/>
          <w:lang w:val="sr-Latn-ME"/>
        </w:rPr>
        <w:t xml:space="preserve"> 0,001) (Slika 1).</w:t>
      </w:r>
    </w:p>
    <w:p w14:paraId="21BFA5B1" w14:textId="5FC197A9" w:rsidR="001C41F2" w:rsidRPr="00F24057" w:rsidRDefault="001C41F2" w:rsidP="00D70B34">
      <w:pPr>
        <w:rPr>
          <w:szCs w:val="22"/>
          <w:lang w:val="sr-Latn-ME"/>
        </w:rPr>
      </w:pPr>
    </w:p>
    <w:p w14:paraId="20E41546" w14:textId="7D8702EC" w:rsidR="000F3C35" w:rsidRPr="00F24057" w:rsidRDefault="000F3C35" w:rsidP="00D70B34">
      <w:pPr>
        <w:rPr>
          <w:b/>
          <w:bCs/>
          <w:szCs w:val="22"/>
          <w:lang w:val="sr-Latn-ME"/>
        </w:rPr>
      </w:pPr>
      <w:r w:rsidRPr="00F24057">
        <w:rPr>
          <w:b/>
          <w:bCs/>
          <w:szCs w:val="22"/>
          <w:lang w:val="sr-Latn-ME"/>
        </w:rPr>
        <w:t xml:space="preserve">Slika 1: </w:t>
      </w:r>
      <w:r w:rsidRPr="00F24057">
        <w:rPr>
          <w:b/>
          <w:bCs/>
          <w:i/>
          <w:iCs/>
          <w:szCs w:val="22"/>
          <w:lang w:val="sr-Latn-ME"/>
        </w:rPr>
        <w:t>Kaplan-Meier</w:t>
      </w:r>
      <w:r w:rsidR="00C0295E" w:rsidRPr="00F24057">
        <w:rPr>
          <w:b/>
          <w:bCs/>
          <w:szCs w:val="22"/>
          <w:lang w:val="sr-Latn-ME"/>
        </w:rPr>
        <w:t>-</w:t>
      </w:r>
      <w:r w:rsidRPr="00F24057">
        <w:rPr>
          <w:b/>
          <w:bCs/>
          <w:szCs w:val="22"/>
          <w:lang w:val="sr-Latn-ME"/>
        </w:rPr>
        <w:t xml:space="preserve">ove krive koje sažeto prikazuju </w:t>
      </w:r>
      <w:r w:rsidR="009811CA" w:rsidRPr="00F24057">
        <w:rPr>
          <w:b/>
          <w:bCs/>
          <w:szCs w:val="22"/>
          <w:lang w:val="sr-Latn-ME"/>
        </w:rPr>
        <w:t>vr</w:t>
      </w:r>
      <w:r w:rsidR="00D02388" w:rsidRPr="00F24057">
        <w:rPr>
          <w:b/>
          <w:bCs/>
          <w:szCs w:val="22"/>
          <w:lang w:val="sr-Latn-ME"/>
        </w:rPr>
        <w:t>ij</w:t>
      </w:r>
      <w:r w:rsidR="009811CA" w:rsidRPr="00F24057">
        <w:rPr>
          <w:b/>
          <w:bCs/>
          <w:szCs w:val="22"/>
          <w:lang w:val="sr-Latn-ME"/>
        </w:rPr>
        <w:t>eme</w:t>
      </w:r>
      <w:r w:rsidR="007E5568" w:rsidRPr="00F24057">
        <w:rPr>
          <w:b/>
          <w:bCs/>
          <w:szCs w:val="22"/>
          <w:lang w:val="sr-Latn-ME"/>
        </w:rPr>
        <w:t xml:space="preserve"> </w:t>
      </w:r>
      <w:r w:rsidRPr="00F24057">
        <w:rPr>
          <w:b/>
          <w:bCs/>
          <w:szCs w:val="22"/>
          <w:lang w:val="sr-Latn-ME"/>
        </w:rPr>
        <w:t>do pogoršanja bolesti u ispitivanju nr-axSpA II</w:t>
      </w:r>
    </w:p>
    <w:p w14:paraId="18BEB01F" w14:textId="66775639" w:rsidR="00F81249" w:rsidRPr="00F24057" w:rsidRDefault="00F81249" w:rsidP="00D70B34">
      <w:pPr>
        <w:rPr>
          <w:b/>
          <w:bCs/>
          <w:szCs w:val="22"/>
          <w:lang w:val="sr-Latn-ME"/>
        </w:rPr>
      </w:pPr>
      <w:r w:rsidRPr="00F24057">
        <w:rPr>
          <w:noProof/>
          <w:szCs w:val="22"/>
        </w:rPr>
        <w:drawing>
          <wp:inline distT="0" distB="0" distL="0" distR="0" wp14:anchorId="0B33B50F" wp14:editId="7C7087B7">
            <wp:extent cx="5960979" cy="3362325"/>
            <wp:effectExtent l="0" t="0" r="1905" b="0"/>
            <wp:docPr id="9" name="Picture 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0335" cy="3367603"/>
                    </a:xfrm>
                    <a:prstGeom prst="rect">
                      <a:avLst/>
                    </a:prstGeom>
                  </pic:spPr>
                </pic:pic>
              </a:graphicData>
            </a:graphic>
          </wp:inline>
        </w:drawing>
      </w:r>
    </w:p>
    <w:p w14:paraId="0CA87A72" w14:textId="041363FB" w:rsidR="00612B7D" w:rsidRPr="00F24057" w:rsidRDefault="00612B7D" w:rsidP="00D70B34">
      <w:pPr>
        <w:rPr>
          <w:b/>
          <w:bCs/>
          <w:szCs w:val="22"/>
          <w:lang w:val="sr-Latn-ME"/>
        </w:rPr>
      </w:pPr>
    </w:p>
    <w:p w14:paraId="48B83C4E" w14:textId="77777777" w:rsidR="00EA35B5" w:rsidRPr="00F24057" w:rsidRDefault="00EA35B5" w:rsidP="00D70B34">
      <w:pPr>
        <w:rPr>
          <w:szCs w:val="22"/>
          <w:lang w:val="sr-Latn-ME"/>
        </w:rPr>
      </w:pPr>
      <w:r w:rsidRPr="00F24057">
        <w:rPr>
          <w:szCs w:val="22"/>
          <w:lang w:val="sr-Latn-ME"/>
        </w:rPr>
        <w:t xml:space="preserve">Napomena: P = Placebo (broj pacijenata pod rizikom [pacijenti kojima se bolest pogoršala]); A = Adalimumab (broj pacijenata pod rizikom [pacijenti kojima se bolest pogoršala]). </w:t>
      </w:r>
    </w:p>
    <w:p w14:paraId="7B2A2E76" w14:textId="77777777" w:rsidR="00EA35B5" w:rsidRPr="00F24057" w:rsidRDefault="00EA35B5" w:rsidP="00D70B34">
      <w:pPr>
        <w:rPr>
          <w:szCs w:val="22"/>
          <w:lang w:val="sr-Latn-ME"/>
        </w:rPr>
      </w:pPr>
    </w:p>
    <w:p w14:paraId="2BFB8408" w14:textId="5753A692" w:rsidR="00EA35B5" w:rsidRPr="00F24057" w:rsidRDefault="00EA35B5" w:rsidP="00D70B34">
      <w:pPr>
        <w:rPr>
          <w:szCs w:val="22"/>
          <w:lang w:val="sr-Latn-ME"/>
        </w:rPr>
      </w:pPr>
      <w:r w:rsidRPr="00F24057">
        <w:rPr>
          <w:szCs w:val="22"/>
          <w:lang w:val="sr-Latn-ME"/>
        </w:rPr>
        <w:t xml:space="preserve">Među 68 pacijenata kojima se bolest pogoršala u grupi u kojoj je terapija ukinuta, 65 pacijenata je primilo terapiju spašavanja adalimumabom u trajanju od 12 </w:t>
      </w:r>
      <w:r w:rsidR="00885A78" w:rsidRPr="00F24057">
        <w:rPr>
          <w:szCs w:val="22"/>
          <w:lang w:val="sr-Latn-ME"/>
        </w:rPr>
        <w:t>nedjelj</w:t>
      </w:r>
      <w:r w:rsidRPr="00F24057">
        <w:rPr>
          <w:szCs w:val="22"/>
          <w:lang w:val="sr-Latn-ME"/>
        </w:rPr>
        <w:t xml:space="preserve">a, pri čemu je njih 37 (56,9%) ponovo postiglo remisiju bolesti (ASDAS rezultat &lt; 1,3) 12 </w:t>
      </w:r>
      <w:r w:rsidR="00885A78" w:rsidRPr="00F24057">
        <w:rPr>
          <w:szCs w:val="22"/>
          <w:lang w:val="sr-Latn-ME"/>
        </w:rPr>
        <w:t>nedjelj</w:t>
      </w:r>
      <w:r w:rsidRPr="00F24057">
        <w:rPr>
          <w:szCs w:val="22"/>
          <w:lang w:val="sr-Latn-ME"/>
        </w:rPr>
        <w:t xml:space="preserve">a nakon ponovnog započinjanja otvorene terapije. </w:t>
      </w:r>
    </w:p>
    <w:p w14:paraId="369EF7BA" w14:textId="77777777" w:rsidR="00EA35B5" w:rsidRPr="00F24057" w:rsidRDefault="00EA35B5" w:rsidP="00D70B34">
      <w:pPr>
        <w:rPr>
          <w:szCs w:val="22"/>
          <w:lang w:val="sr-Latn-ME"/>
        </w:rPr>
      </w:pPr>
    </w:p>
    <w:p w14:paraId="04170E93" w14:textId="7542E30A" w:rsidR="00612B7D" w:rsidRPr="00F24057" w:rsidRDefault="00EA35B5" w:rsidP="00D70B34">
      <w:pPr>
        <w:rPr>
          <w:b/>
          <w:bCs/>
          <w:szCs w:val="22"/>
          <w:lang w:val="sr-Latn-ME"/>
        </w:rPr>
      </w:pPr>
      <w:r w:rsidRPr="00F24057">
        <w:rPr>
          <w:szCs w:val="22"/>
          <w:lang w:val="sr-Latn-ME"/>
        </w:rPr>
        <w:t xml:space="preserve">Pacijenti koji su neprekidno primali </w:t>
      </w:r>
      <w:r w:rsidR="00BF5A54" w:rsidRPr="00F24057">
        <w:rPr>
          <w:szCs w:val="22"/>
          <w:lang w:val="sr-Latn-ME"/>
        </w:rPr>
        <w:t>adalimumab</w:t>
      </w:r>
      <w:r w:rsidRPr="00F24057">
        <w:rPr>
          <w:szCs w:val="22"/>
          <w:lang w:val="sr-Latn-ME"/>
        </w:rPr>
        <w:t xml:space="preserve"> su do 68. </w:t>
      </w:r>
      <w:r w:rsidR="00885A78" w:rsidRPr="00F24057">
        <w:rPr>
          <w:szCs w:val="22"/>
          <w:lang w:val="sr-Latn-ME"/>
        </w:rPr>
        <w:t>nedjelj</w:t>
      </w:r>
      <w:r w:rsidRPr="00F24057">
        <w:rPr>
          <w:szCs w:val="22"/>
          <w:lang w:val="sr-Latn-ME"/>
        </w:rPr>
        <w:t>e pokazali statistički značajno veće poboljšanje znakova i simptoma aktivnog nr-axSpA u poređenju sa pacijentima kojima je terapija obustavljena tokom dvostruko sl</w:t>
      </w:r>
      <w:r w:rsidR="00972894" w:rsidRPr="00F24057">
        <w:rPr>
          <w:szCs w:val="22"/>
          <w:lang w:val="sr-Latn-ME"/>
        </w:rPr>
        <w:t>ij</w:t>
      </w:r>
      <w:r w:rsidRPr="00F24057">
        <w:rPr>
          <w:szCs w:val="22"/>
          <w:lang w:val="sr-Latn-ME"/>
        </w:rPr>
        <w:t>epog perioda ispitivanja (Tabela 1</w:t>
      </w:r>
      <w:r w:rsidR="00BF5A54" w:rsidRPr="00F24057">
        <w:rPr>
          <w:szCs w:val="22"/>
          <w:lang w:val="sr-Latn-ME"/>
        </w:rPr>
        <w:t>4</w:t>
      </w:r>
      <w:r w:rsidRPr="00F24057">
        <w:rPr>
          <w:szCs w:val="22"/>
          <w:lang w:val="sr-Latn-ME"/>
        </w:rPr>
        <w:t>).</w:t>
      </w:r>
    </w:p>
    <w:p w14:paraId="4A1D6D53" w14:textId="65F7F75F" w:rsidR="00612B7D" w:rsidRPr="00F24057" w:rsidRDefault="00612B7D" w:rsidP="00D70B34">
      <w:pPr>
        <w:rPr>
          <w:b/>
          <w:bCs/>
          <w:szCs w:val="22"/>
          <w:lang w:val="sr-Latn-ME"/>
        </w:rPr>
      </w:pPr>
    </w:p>
    <w:p w14:paraId="74D9D8C4" w14:textId="066C99F5" w:rsidR="00612B7D" w:rsidRPr="00F24057" w:rsidRDefault="00F47B5D" w:rsidP="00D70B34">
      <w:pPr>
        <w:rPr>
          <w:b/>
          <w:bCs/>
          <w:szCs w:val="22"/>
          <w:lang w:val="sr-Latn-ME"/>
        </w:rPr>
      </w:pPr>
      <w:r w:rsidRPr="00F24057">
        <w:rPr>
          <w:b/>
          <w:bCs/>
          <w:szCs w:val="22"/>
          <w:lang w:val="sr-Latn-ME"/>
        </w:rPr>
        <w:t>Tabela 14. Efikasnost u placebo kontrolisanom periodu ispitivanja nr-axSpA II</w:t>
      </w:r>
    </w:p>
    <w:p w14:paraId="7DCA51C9" w14:textId="55B0864D" w:rsidR="00612B7D" w:rsidRPr="00F24057" w:rsidRDefault="00612B7D"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859"/>
        <w:gridCol w:w="2536"/>
        <w:gridCol w:w="2622"/>
      </w:tblGrid>
      <w:tr w:rsidR="00D82C9C" w:rsidRPr="00F24057" w14:paraId="42C7FD7F" w14:textId="77777777" w:rsidTr="00F1226A">
        <w:trPr>
          <w:trHeight w:val="20"/>
        </w:trPr>
        <w:tc>
          <w:tcPr>
            <w:tcW w:w="2140" w:type="pct"/>
          </w:tcPr>
          <w:p w14:paraId="3296A5C4" w14:textId="62ABEC6C" w:rsidR="00D82C9C" w:rsidRPr="00F24057" w:rsidRDefault="00D82C9C" w:rsidP="00D70B34">
            <w:pPr>
              <w:rPr>
                <w:b/>
                <w:bCs/>
                <w:szCs w:val="22"/>
                <w:lang w:val="sr-Latn-ME"/>
              </w:rPr>
            </w:pPr>
            <w:r w:rsidRPr="00F24057">
              <w:rPr>
                <w:b/>
                <w:bCs/>
                <w:szCs w:val="22"/>
                <w:lang w:val="sr-Latn-ME"/>
              </w:rPr>
              <w:t>Dvostruko sl</w:t>
            </w:r>
            <w:r w:rsidR="00972894" w:rsidRPr="00F24057">
              <w:rPr>
                <w:b/>
                <w:bCs/>
                <w:szCs w:val="22"/>
                <w:lang w:val="sr-Latn-ME"/>
              </w:rPr>
              <w:t>ij</w:t>
            </w:r>
            <w:r w:rsidRPr="00F24057">
              <w:rPr>
                <w:b/>
                <w:bCs/>
                <w:szCs w:val="22"/>
                <w:lang w:val="sr-Latn-ME"/>
              </w:rPr>
              <w:t xml:space="preserve">epo </w:t>
            </w:r>
          </w:p>
          <w:p w14:paraId="667ED80D" w14:textId="2C9FE648" w:rsidR="00D82C9C" w:rsidRPr="00F24057" w:rsidRDefault="00D82C9C" w:rsidP="00D70B34">
            <w:pPr>
              <w:rPr>
                <w:b/>
                <w:bCs/>
                <w:szCs w:val="22"/>
                <w:lang w:val="sr-Latn-ME"/>
              </w:rPr>
            </w:pPr>
            <w:r w:rsidRPr="00F24057">
              <w:rPr>
                <w:b/>
                <w:bCs/>
                <w:szCs w:val="22"/>
                <w:lang w:val="sr-Latn-ME"/>
              </w:rPr>
              <w:t xml:space="preserve">Odgovor u 68. </w:t>
            </w:r>
            <w:r w:rsidR="00885A78" w:rsidRPr="00F24057">
              <w:rPr>
                <w:b/>
                <w:bCs/>
                <w:szCs w:val="22"/>
                <w:lang w:val="sr-Latn-ME"/>
              </w:rPr>
              <w:t>nedjelj</w:t>
            </w:r>
            <w:r w:rsidRPr="00F24057">
              <w:rPr>
                <w:b/>
                <w:bCs/>
                <w:szCs w:val="22"/>
                <w:lang w:val="sr-Latn-ME"/>
              </w:rPr>
              <w:t>i</w:t>
            </w:r>
          </w:p>
        </w:tc>
        <w:tc>
          <w:tcPr>
            <w:tcW w:w="1406" w:type="pct"/>
            <w:vAlign w:val="center"/>
          </w:tcPr>
          <w:p w14:paraId="3CB4CFFE" w14:textId="2807C62B" w:rsidR="00D82C9C" w:rsidRPr="00F24057" w:rsidRDefault="00D82C9C" w:rsidP="00D70B34">
            <w:pPr>
              <w:jc w:val="center"/>
              <w:rPr>
                <w:b/>
                <w:bCs/>
                <w:szCs w:val="22"/>
                <w:lang w:val="sr-Latn-ME"/>
              </w:rPr>
            </w:pPr>
            <w:r w:rsidRPr="00F24057">
              <w:rPr>
                <w:b/>
                <w:bCs/>
                <w:szCs w:val="22"/>
                <w:lang w:val="sr-Latn-ME"/>
              </w:rPr>
              <w:t>Placebo</w:t>
            </w:r>
          </w:p>
          <w:p w14:paraId="2B335C2A" w14:textId="48F01079" w:rsidR="00D82C9C" w:rsidRPr="00F24057" w:rsidRDefault="00D82C9C" w:rsidP="00D70B34">
            <w:pPr>
              <w:jc w:val="center"/>
              <w:rPr>
                <w:b/>
                <w:bCs/>
                <w:szCs w:val="22"/>
                <w:lang w:val="sr-Latn-ME"/>
              </w:rPr>
            </w:pPr>
            <w:r w:rsidRPr="00F24057">
              <w:rPr>
                <w:b/>
                <w:bCs/>
                <w:szCs w:val="22"/>
                <w:lang w:val="sr-Latn-ME"/>
              </w:rPr>
              <w:t>N=153</w:t>
            </w:r>
          </w:p>
        </w:tc>
        <w:tc>
          <w:tcPr>
            <w:tcW w:w="1454" w:type="pct"/>
            <w:vAlign w:val="center"/>
          </w:tcPr>
          <w:p w14:paraId="55EE0A23" w14:textId="4D4A3736" w:rsidR="00D82C9C" w:rsidRPr="00F24057" w:rsidRDefault="00D82C9C" w:rsidP="00D70B34">
            <w:pPr>
              <w:jc w:val="center"/>
              <w:rPr>
                <w:b/>
                <w:bCs/>
                <w:szCs w:val="22"/>
                <w:lang w:val="sr-Latn-ME"/>
              </w:rPr>
            </w:pPr>
            <w:r w:rsidRPr="00F24057">
              <w:rPr>
                <w:b/>
                <w:bCs/>
                <w:szCs w:val="22"/>
                <w:lang w:val="sr-Latn-ME"/>
              </w:rPr>
              <w:t>Adalimumab</w:t>
            </w:r>
          </w:p>
          <w:p w14:paraId="6C63913F" w14:textId="1A414B2F" w:rsidR="00D82C9C" w:rsidRPr="00F24057" w:rsidRDefault="00D82C9C" w:rsidP="00D70B34">
            <w:pPr>
              <w:jc w:val="center"/>
              <w:rPr>
                <w:b/>
                <w:bCs/>
                <w:szCs w:val="22"/>
                <w:lang w:val="sr-Latn-ME"/>
              </w:rPr>
            </w:pPr>
            <w:r w:rsidRPr="00F24057">
              <w:rPr>
                <w:b/>
                <w:bCs/>
                <w:szCs w:val="22"/>
                <w:lang w:val="sr-Latn-ME"/>
              </w:rPr>
              <w:t>N=152</w:t>
            </w:r>
          </w:p>
        </w:tc>
      </w:tr>
      <w:tr w:rsidR="00D82C9C" w:rsidRPr="00F24057" w14:paraId="5CE22AF6" w14:textId="77777777" w:rsidTr="00F1226A">
        <w:trPr>
          <w:trHeight w:val="20"/>
        </w:trPr>
        <w:tc>
          <w:tcPr>
            <w:tcW w:w="2140" w:type="pct"/>
          </w:tcPr>
          <w:p w14:paraId="0D54C24A" w14:textId="38379C90" w:rsidR="00D82C9C" w:rsidRPr="00F24057" w:rsidRDefault="00D96186" w:rsidP="00D70B34">
            <w:pPr>
              <w:rPr>
                <w:b/>
                <w:bCs/>
                <w:szCs w:val="22"/>
                <w:lang w:val="sr-Latn-ME"/>
              </w:rPr>
            </w:pPr>
            <w:r w:rsidRPr="00F24057">
              <w:rPr>
                <w:szCs w:val="22"/>
                <w:lang w:val="sr-Latn-ME"/>
              </w:rPr>
              <w:t>ASAS</w:t>
            </w:r>
            <w:r w:rsidRPr="00F24057">
              <w:rPr>
                <w:szCs w:val="22"/>
                <w:vertAlign w:val="superscript"/>
                <w:lang w:val="sr-Latn-ME"/>
              </w:rPr>
              <w:t xml:space="preserve">a,b </w:t>
            </w:r>
            <w:r w:rsidRPr="00F24057">
              <w:rPr>
                <w:szCs w:val="22"/>
                <w:lang w:val="sr-Latn-ME"/>
              </w:rPr>
              <w:t>20</w:t>
            </w:r>
          </w:p>
        </w:tc>
        <w:tc>
          <w:tcPr>
            <w:tcW w:w="1406" w:type="pct"/>
            <w:vAlign w:val="center"/>
          </w:tcPr>
          <w:p w14:paraId="07AE397F" w14:textId="1BC81B65" w:rsidR="00D82C9C" w:rsidRPr="00F24057" w:rsidRDefault="0071344C" w:rsidP="00D70B34">
            <w:pPr>
              <w:jc w:val="center"/>
              <w:rPr>
                <w:b/>
                <w:bCs/>
                <w:szCs w:val="22"/>
                <w:lang w:val="sr-Latn-ME"/>
              </w:rPr>
            </w:pPr>
            <w:r w:rsidRPr="00F24057">
              <w:rPr>
                <w:szCs w:val="22"/>
                <w:lang w:val="sr-Latn-ME"/>
              </w:rPr>
              <w:t>47,1%</w:t>
            </w:r>
          </w:p>
        </w:tc>
        <w:tc>
          <w:tcPr>
            <w:tcW w:w="1454" w:type="pct"/>
            <w:vAlign w:val="center"/>
          </w:tcPr>
          <w:p w14:paraId="41E081D9" w14:textId="1BC043A7" w:rsidR="00D82C9C" w:rsidRPr="00F24057" w:rsidRDefault="00B46989" w:rsidP="00D70B34">
            <w:pPr>
              <w:jc w:val="center"/>
              <w:rPr>
                <w:b/>
                <w:bCs/>
                <w:szCs w:val="22"/>
                <w:lang w:val="sr-Latn-ME"/>
              </w:rPr>
            </w:pPr>
            <w:r w:rsidRPr="00F24057">
              <w:rPr>
                <w:szCs w:val="22"/>
                <w:lang w:val="sr-Latn-ME"/>
              </w:rPr>
              <w:t>70,4%***</w:t>
            </w:r>
          </w:p>
        </w:tc>
      </w:tr>
      <w:tr w:rsidR="00D82C9C" w:rsidRPr="00F24057" w14:paraId="20735E94" w14:textId="77777777" w:rsidTr="00F1226A">
        <w:trPr>
          <w:trHeight w:val="20"/>
        </w:trPr>
        <w:tc>
          <w:tcPr>
            <w:tcW w:w="2140" w:type="pct"/>
          </w:tcPr>
          <w:p w14:paraId="6B9703FE" w14:textId="3A28B58F" w:rsidR="00D82C9C" w:rsidRPr="00F24057" w:rsidRDefault="00D96186" w:rsidP="00D70B34">
            <w:pPr>
              <w:rPr>
                <w:b/>
                <w:bCs/>
                <w:szCs w:val="22"/>
                <w:lang w:val="sr-Latn-ME"/>
              </w:rPr>
            </w:pPr>
            <w:r w:rsidRPr="00F24057">
              <w:rPr>
                <w:szCs w:val="22"/>
                <w:lang w:val="sr-Latn-ME"/>
              </w:rPr>
              <w:t>ASAS</w:t>
            </w:r>
            <w:r w:rsidRPr="00F24057">
              <w:rPr>
                <w:szCs w:val="22"/>
                <w:vertAlign w:val="superscript"/>
                <w:lang w:val="sr-Latn-ME"/>
              </w:rPr>
              <w:t xml:space="preserve">a,b </w:t>
            </w:r>
            <w:r w:rsidRPr="00F24057">
              <w:rPr>
                <w:szCs w:val="22"/>
                <w:lang w:val="sr-Latn-ME"/>
              </w:rPr>
              <w:t>20</w:t>
            </w:r>
          </w:p>
        </w:tc>
        <w:tc>
          <w:tcPr>
            <w:tcW w:w="1406" w:type="pct"/>
            <w:vAlign w:val="center"/>
          </w:tcPr>
          <w:p w14:paraId="1B81254E" w14:textId="76CB6BD7" w:rsidR="00D82C9C" w:rsidRPr="00F24057" w:rsidRDefault="0071344C" w:rsidP="00D70B34">
            <w:pPr>
              <w:jc w:val="center"/>
              <w:rPr>
                <w:b/>
                <w:bCs/>
                <w:szCs w:val="22"/>
                <w:lang w:val="sr-Latn-ME"/>
              </w:rPr>
            </w:pPr>
            <w:r w:rsidRPr="00F24057">
              <w:rPr>
                <w:szCs w:val="22"/>
                <w:lang w:val="sr-Latn-ME"/>
              </w:rPr>
              <w:t>45,8%</w:t>
            </w:r>
          </w:p>
        </w:tc>
        <w:tc>
          <w:tcPr>
            <w:tcW w:w="1454" w:type="pct"/>
            <w:vAlign w:val="center"/>
          </w:tcPr>
          <w:p w14:paraId="4480E8E4" w14:textId="6142624E" w:rsidR="00D82C9C" w:rsidRPr="00F24057" w:rsidRDefault="00B46989" w:rsidP="00D70B34">
            <w:pPr>
              <w:jc w:val="center"/>
              <w:rPr>
                <w:b/>
                <w:bCs/>
                <w:szCs w:val="22"/>
                <w:lang w:val="sr-Latn-ME"/>
              </w:rPr>
            </w:pPr>
            <w:r w:rsidRPr="00F24057">
              <w:rPr>
                <w:szCs w:val="22"/>
                <w:lang w:val="sr-Latn-ME"/>
              </w:rPr>
              <w:t>65,8%***</w:t>
            </w:r>
          </w:p>
        </w:tc>
      </w:tr>
      <w:tr w:rsidR="00D82C9C" w:rsidRPr="00F24057" w14:paraId="2557C492" w14:textId="77777777" w:rsidTr="00F1226A">
        <w:trPr>
          <w:trHeight w:val="20"/>
        </w:trPr>
        <w:tc>
          <w:tcPr>
            <w:tcW w:w="2140" w:type="pct"/>
          </w:tcPr>
          <w:p w14:paraId="05000EE3" w14:textId="1774A007" w:rsidR="00D82C9C" w:rsidRPr="00F24057" w:rsidRDefault="00FE7330" w:rsidP="00D70B34">
            <w:pPr>
              <w:rPr>
                <w:b/>
                <w:bCs/>
                <w:szCs w:val="22"/>
                <w:lang w:val="sr-Latn-ME"/>
              </w:rPr>
            </w:pPr>
            <w:r w:rsidRPr="00F24057">
              <w:rPr>
                <w:szCs w:val="22"/>
                <w:lang w:val="sr-Latn-ME"/>
              </w:rPr>
              <w:t>ASAS</w:t>
            </w:r>
            <w:r w:rsidRPr="00F24057">
              <w:rPr>
                <w:szCs w:val="22"/>
                <w:vertAlign w:val="superscript"/>
                <w:lang w:val="sr-Latn-ME"/>
              </w:rPr>
              <w:t>a</w:t>
            </w:r>
            <w:r w:rsidRPr="00F24057">
              <w:rPr>
                <w:szCs w:val="22"/>
                <w:lang w:val="sr-Latn-ME"/>
              </w:rPr>
              <w:t xml:space="preserve"> d</w:t>
            </w:r>
            <w:r w:rsidR="00E26A26" w:rsidRPr="00F24057">
              <w:rPr>
                <w:szCs w:val="22"/>
                <w:lang w:val="sr-Latn-ME"/>
              </w:rPr>
              <w:t>j</w:t>
            </w:r>
            <w:r w:rsidRPr="00F24057">
              <w:rPr>
                <w:szCs w:val="22"/>
                <w:lang w:val="sr-Latn-ME"/>
              </w:rPr>
              <w:t>elimična remisija</w:t>
            </w:r>
          </w:p>
        </w:tc>
        <w:tc>
          <w:tcPr>
            <w:tcW w:w="1406" w:type="pct"/>
            <w:vAlign w:val="center"/>
          </w:tcPr>
          <w:p w14:paraId="6E47DA00" w14:textId="66578E3F" w:rsidR="00D82C9C" w:rsidRPr="00F24057" w:rsidRDefault="0071344C" w:rsidP="00D70B34">
            <w:pPr>
              <w:jc w:val="center"/>
              <w:rPr>
                <w:b/>
                <w:bCs/>
                <w:szCs w:val="22"/>
                <w:lang w:val="sr-Latn-ME"/>
              </w:rPr>
            </w:pPr>
            <w:r w:rsidRPr="00F24057">
              <w:rPr>
                <w:szCs w:val="22"/>
                <w:lang w:val="sr-Latn-ME"/>
              </w:rPr>
              <w:t>26,8%</w:t>
            </w:r>
          </w:p>
        </w:tc>
        <w:tc>
          <w:tcPr>
            <w:tcW w:w="1454" w:type="pct"/>
            <w:vAlign w:val="center"/>
          </w:tcPr>
          <w:p w14:paraId="55833366" w14:textId="3E15C7C0" w:rsidR="00D82C9C" w:rsidRPr="00F24057" w:rsidRDefault="00B46989" w:rsidP="00D70B34">
            <w:pPr>
              <w:jc w:val="center"/>
              <w:rPr>
                <w:b/>
                <w:bCs/>
                <w:szCs w:val="22"/>
                <w:lang w:val="sr-Latn-ME"/>
              </w:rPr>
            </w:pPr>
            <w:r w:rsidRPr="00F24057">
              <w:rPr>
                <w:szCs w:val="22"/>
                <w:lang w:val="sr-Latn-ME"/>
              </w:rPr>
              <w:t>42,1%**</w:t>
            </w:r>
          </w:p>
        </w:tc>
      </w:tr>
      <w:tr w:rsidR="00D82C9C" w:rsidRPr="00F24057" w14:paraId="410CA504" w14:textId="77777777" w:rsidTr="00F1226A">
        <w:trPr>
          <w:trHeight w:val="20"/>
        </w:trPr>
        <w:tc>
          <w:tcPr>
            <w:tcW w:w="2140" w:type="pct"/>
          </w:tcPr>
          <w:p w14:paraId="331CD9D3" w14:textId="5419121F" w:rsidR="00D82C9C" w:rsidRPr="00F24057" w:rsidRDefault="00FE7330" w:rsidP="00D70B34">
            <w:pPr>
              <w:rPr>
                <w:b/>
                <w:bCs/>
                <w:szCs w:val="22"/>
                <w:lang w:val="sr-Latn-ME"/>
              </w:rPr>
            </w:pPr>
            <w:r w:rsidRPr="00F24057">
              <w:rPr>
                <w:szCs w:val="22"/>
                <w:lang w:val="sr-Latn-ME"/>
              </w:rPr>
              <w:t>ASAS</w:t>
            </w:r>
            <w:r w:rsidRPr="00F24057">
              <w:rPr>
                <w:szCs w:val="22"/>
                <w:vertAlign w:val="superscript"/>
                <w:lang w:val="sr-Latn-ME"/>
              </w:rPr>
              <w:t>c</w:t>
            </w:r>
            <w:r w:rsidRPr="00F24057">
              <w:rPr>
                <w:szCs w:val="22"/>
                <w:lang w:val="sr-Latn-ME"/>
              </w:rPr>
              <w:t xml:space="preserve"> neaktivna bolest</w:t>
            </w:r>
          </w:p>
        </w:tc>
        <w:tc>
          <w:tcPr>
            <w:tcW w:w="1406" w:type="pct"/>
            <w:vAlign w:val="center"/>
          </w:tcPr>
          <w:p w14:paraId="74DD43BF" w14:textId="3F1BDBAB" w:rsidR="00D82C9C" w:rsidRPr="00F24057" w:rsidRDefault="0071344C" w:rsidP="00D70B34">
            <w:pPr>
              <w:jc w:val="center"/>
              <w:rPr>
                <w:b/>
                <w:bCs/>
                <w:szCs w:val="22"/>
                <w:lang w:val="sr-Latn-ME"/>
              </w:rPr>
            </w:pPr>
            <w:r w:rsidRPr="00F24057">
              <w:rPr>
                <w:szCs w:val="22"/>
                <w:lang w:val="sr-Latn-ME"/>
              </w:rPr>
              <w:t>33,3%</w:t>
            </w:r>
          </w:p>
        </w:tc>
        <w:tc>
          <w:tcPr>
            <w:tcW w:w="1454" w:type="pct"/>
            <w:vAlign w:val="center"/>
          </w:tcPr>
          <w:p w14:paraId="677CFD41" w14:textId="059E76E7" w:rsidR="00D82C9C" w:rsidRPr="00F24057" w:rsidRDefault="00B46989" w:rsidP="00D70B34">
            <w:pPr>
              <w:jc w:val="center"/>
              <w:rPr>
                <w:b/>
                <w:bCs/>
                <w:szCs w:val="22"/>
                <w:lang w:val="sr-Latn-ME"/>
              </w:rPr>
            </w:pPr>
            <w:r w:rsidRPr="00F24057">
              <w:rPr>
                <w:szCs w:val="22"/>
                <w:lang w:val="sr-Latn-ME"/>
              </w:rPr>
              <w:t>57,2%***</w:t>
            </w:r>
          </w:p>
        </w:tc>
      </w:tr>
      <w:tr w:rsidR="00D82C9C" w:rsidRPr="00F24057" w14:paraId="5DC28F49" w14:textId="77777777" w:rsidTr="00F1226A">
        <w:trPr>
          <w:trHeight w:val="20"/>
        </w:trPr>
        <w:tc>
          <w:tcPr>
            <w:tcW w:w="2140" w:type="pct"/>
          </w:tcPr>
          <w:p w14:paraId="0E526579" w14:textId="6310D2D2" w:rsidR="00D82C9C" w:rsidRPr="00F24057" w:rsidRDefault="00FE7330" w:rsidP="00D70B34">
            <w:pPr>
              <w:rPr>
                <w:b/>
                <w:bCs/>
                <w:szCs w:val="22"/>
                <w:lang w:val="sr-Latn-ME"/>
              </w:rPr>
            </w:pPr>
            <w:r w:rsidRPr="00F24057">
              <w:rPr>
                <w:szCs w:val="22"/>
                <w:lang w:val="sr-Latn-ME"/>
              </w:rPr>
              <w:lastRenderedPageBreak/>
              <w:t>D</w:t>
            </w:r>
            <w:r w:rsidR="00E26A26" w:rsidRPr="00F24057">
              <w:rPr>
                <w:szCs w:val="22"/>
                <w:lang w:val="sr-Latn-ME"/>
              </w:rPr>
              <w:t>j</w:t>
            </w:r>
            <w:r w:rsidRPr="00F24057">
              <w:rPr>
                <w:szCs w:val="22"/>
                <w:lang w:val="sr-Latn-ME"/>
              </w:rPr>
              <w:t>elimično pogoršanje bolesti</w:t>
            </w:r>
            <w:r w:rsidR="001E1859" w:rsidRPr="00F24057">
              <w:rPr>
                <w:szCs w:val="22"/>
                <w:vertAlign w:val="superscript"/>
                <w:lang w:val="sr-Latn-ME"/>
              </w:rPr>
              <w:t>d</w:t>
            </w:r>
          </w:p>
        </w:tc>
        <w:tc>
          <w:tcPr>
            <w:tcW w:w="1406" w:type="pct"/>
            <w:vAlign w:val="center"/>
          </w:tcPr>
          <w:p w14:paraId="0A0B9AD1" w14:textId="3FE9803B" w:rsidR="00D82C9C" w:rsidRPr="00F24057" w:rsidRDefault="0071344C" w:rsidP="00D70B34">
            <w:pPr>
              <w:jc w:val="center"/>
              <w:rPr>
                <w:b/>
                <w:bCs/>
                <w:szCs w:val="22"/>
                <w:lang w:val="sr-Latn-ME"/>
              </w:rPr>
            </w:pPr>
            <w:r w:rsidRPr="00F24057">
              <w:rPr>
                <w:szCs w:val="22"/>
                <w:lang w:val="sr-Latn-ME"/>
              </w:rPr>
              <w:t>64,1%</w:t>
            </w:r>
          </w:p>
        </w:tc>
        <w:tc>
          <w:tcPr>
            <w:tcW w:w="1454" w:type="pct"/>
            <w:vAlign w:val="center"/>
          </w:tcPr>
          <w:p w14:paraId="7A3EFED1" w14:textId="4906D8AA" w:rsidR="00D82C9C" w:rsidRPr="00F24057" w:rsidRDefault="00B46989" w:rsidP="00D70B34">
            <w:pPr>
              <w:jc w:val="center"/>
              <w:rPr>
                <w:b/>
                <w:bCs/>
                <w:szCs w:val="22"/>
                <w:lang w:val="sr-Latn-ME"/>
              </w:rPr>
            </w:pPr>
            <w:r w:rsidRPr="00F24057">
              <w:rPr>
                <w:szCs w:val="22"/>
                <w:lang w:val="sr-Latn-ME"/>
              </w:rPr>
              <w:t>40,8%***</w:t>
            </w:r>
          </w:p>
        </w:tc>
      </w:tr>
    </w:tbl>
    <w:p w14:paraId="2CE3CCD2" w14:textId="53B8A2C4" w:rsidR="006B4F3A" w:rsidRPr="00F24057" w:rsidRDefault="006B4F3A" w:rsidP="00D70B34">
      <w:pPr>
        <w:rPr>
          <w:szCs w:val="22"/>
          <w:lang w:val="sr-Latn-ME"/>
        </w:rPr>
      </w:pPr>
      <w:r w:rsidRPr="00F24057">
        <w:rPr>
          <w:szCs w:val="22"/>
          <w:vertAlign w:val="superscript"/>
          <w:lang w:val="sr-Latn-ME"/>
        </w:rPr>
        <w:t>a</w:t>
      </w:r>
      <w:r w:rsidRPr="00F24057">
        <w:rPr>
          <w:szCs w:val="22"/>
          <w:lang w:val="sr-Latn-ME"/>
        </w:rPr>
        <w:t xml:space="preserve"> Međunarodno društvo za oc</w:t>
      </w:r>
      <w:r w:rsidR="00FF3128" w:rsidRPr="00F24057">
        <w:rPr>
          <w:szCs w:val="22"/>
          <w:lang w:val="sr-Latn-ME"/>
        </w:rPr>
        <w:t>j</w:t>
      </w:r>
      <w:r w:rsidRPr="00F24057">
        <w:rPr>
          <w:szCs w:val="22"/>
          <w:lang w:val="sr-Latn-ME"/>
        </w:rPr>
        <w:t xml:space="preserve">enu spondiloartritisa </w:t>
      </w:r>
    </w:p>
    <w:p w14:paraId="701D2298" w14:textId="00A6D09A" w:rsidR="00612B7D" w:rsidRPr="00F24057" w:rsidRDefault="006B4F3A" w:rsidP="00D70B34">
      <w:pPr>
        <w:rPr>
          <w:b/>
          <w:bCs/>
          <w:szCs w:val="22"/>
          <w:lang w:val="sr-Latn-ME"/>
        </w:rPr>
      </w:pPr>
      <w:r w:rsidRPr="00F24057">
        <w:rPr>
          <w:szCs w:val="22"/>
          <w:vertAlign w:val="superscript"/>
          <w:lang w:val="sr-Latn-ME"/>
        </w:rPr>
        <w:t>b</w:t>
      </w:r>
      <w:r w:rsidRPr="00F24057">
        <w:rPr>
          <w:szCs w:val="22"/>
          <w:lang w:val="sr-Latn-ME"/>
        </w:rPr>
        <w:t xml:space="preserve"> Početna </w:t>
      </w:r>
      <w:r w:rsidR="00972894" w:rsidRPr="00F24057">
        <w:rPr>
          <w:szCs w:val="22"/>
          <w:lang w:val="sr-Latn-ME"/>
        </w:rPr>
        <w:t>vrijedno</w:t>
      </w:r>
      <w:r w:rsidRPr="00F24057">
        <w:rPr>
          <w:szCs w:val="22"/>
          <w:lang w:val="sr-Latn-ME"/>
        </w:rPr>
        <w:t xml:space="preserve">st definisana je kao </w:t>
      </w:r>
      <w:r w:rsidR="00972894" w:rsidRPr="00F24057">
        <w:rPr>
          <w:szCs w:val="22"/>
          <w:lang w:val="sr-Latn-ME"/>
        </w:rPr>
        <w:t>vrijedno</w:t>
      </w:r>
      <w:r w:rsidRPr="00F24057">
        <w:rPr>
          <w:szCs w:val="22"/>
          <w:lang w:val="sr-Latn-ME"/>
        </w:rPr>
        <w:t xml:space="preserve">st na početku perioda otvorenog </w:t>
      </w:r>
      <w:r w:rsidR="00885A78" w:rsidRPr="00F24057">
        <w:rPr>
          <w:szCs w:val="22"/>
          <w:lang w:val="sr-Latn-ME"/>
        </w:rPr>
        <w:t>liječenj</w:t>
      </w:r>
      <w:r w:rsidRPr="00F24057">
        <w:rPr>
          <w:szCs w:val="22"/>
          <w:lang w:val="sr-Latn-ME"/>
        </w:rPr>
        <w:t>a kada pacijenti imaju aktivnu bolest.</w:t>
      </w:r>
    </w:p>
    <w:p w14:paraId="75EE7B1F" w14:textId="11DE0FD0" w:rsidR="006B4F3A" w:rsidRPr="00F24057" w:rsidRDefault="006B4F3A" w:rsidP="00D70B34">
      <w:pPr>
        <w:rPr>
          <w:szCs w:val="22"/>
          <w:lang w:val="sr-Latn-ME"/>
        </w:rPr>
      </w:pPr>
      <w:r w:rsidRPr="00F24057">
        <w:rPr>
          <w:szCs w:val="22"/>
          <w:vertAlign w:val="superscript"/>
          <w:lang w:val="sr-Latn-ME"/>
        </w:rPr>
        <w:t>c</w:t>
      </w:r>
      <w:r w:rsidRPr="00F24057">
        <w:rPr>
          <w:szCs w:val="22"/>
          <w:lang w:val="sr-Latn-ME"/>
        </w:rPr>
        <w:t xml:space="preserve"> Rezultat</w:t>
      </w:r>
      <w:r w:rsidR="00936C53" w:rsidRPr="00F24057">
        <w:rPr>
          <w:szCs w:val="22"/>
          <w:lang w:val="sr-Latn-ME"/>
        </w:rPr>
        <w:t>i</w:t>
      </w:r>
      <w:r w:rsidRPr="00F24057">
        <w:rPr>
          <w:szCs w:val="22"/>
          <w:lang w:val="sr-Latn-ME"/>
        </w:rPr>
        <w:t xml:space="preserve"> za aktivnost ankilozirajućeg spondilitisa </w:t>
      </w:r>
    </w:p>
    <w:p w14:paraId="79B7B191" w14:textId="2FB56FFF" w:rsidR="006B4F3A" w:rsidRPr="00F24057" w:rsidRDefault="006B4F3A" w:rsidP="00D70B34">
      <w:pPr>
        <w:rPr>
          <w:szCs w:val="22"/>
          <w:lang w:val="sr-Latn-ME"/>
        </w:rPr>
      </w:pPr>
      <w:r w:rsidRPr="00F24057">
        <w:rPr>
          <w:szCs w:val="22"/>
          <w:vertAlign w:val="superscript"/>
          <w:lang w:val="sr-Latn-ME"/>
        </w:rPr>
        <w:t>d</w:t>
      </w:r>
      <w:r w:rsidRPr="00F24057">
        <w:rPr>
          <w:szCs w:val="22"/>
          <w:lang w:val="sr-Latn-ME"/>
        </w:rPr>
        <w:t xml:space="preserve"> D</w:t>
      </w:r>
      <w:r w:rsidR="001B6B0A" w:rsidRPr="00F24057">
        <w:rPr>
          <w:szCs w:val="22"/>
          <w:lang w:val="sr-Latn-ME"/>
        </w:rPr>
        <w:t>j</w:t>
      </w:r>
      <w:r w:rsidRPr="00F24057">
        <w:rPr>
          <w:szCs w:val="22"/>
          <w:lang w:val="sr-Latn-ME"/>
        </w:rPr>
        <w:t>elimično pogoršanje bolesti definisa</w:t>
      </w:r>
      <w:r w:rsidR="00E51565" w:rsidRPr="00F24057">
        <w:rPr>
          <w:szCs w:val="22"/>
          <w:lang w:val="sr-Latn-ME"/>
        </w:rPr>
        <w:t>n</w:t>
      </w:r>
      <w:r w:rsidRPr="00F24057">
        <w:rPr>
          <w:szCs w:val="22"/>
          <w:lang w:val="sr-Latn-ME"/>
        </w:rPr>
        <w:t xml:space="preserve">o kao ASDAS rezultat ≥ 1,3, ali &lt; 2,1 pri </w:t>
      </w:r>
      <w:r w:rsidR="009A3407" w:rsidRPr="00F24057">
        <w:rPr>
          <w:szCs w:val="22"/>
          <w:lang w:val="sr-Latn-ME"/>
        </w:rPr>
        <w:t xml:space="preserve">dvije </w:t>
      </w:r>
      <w:r w:rsidRPr="00F24057">
        <w:rPr>
          <w:szCs w:val="22"/>
          <w:lang w:val="sr-Latn-ME"/>
        </w:rPr>
        <w:t>uzastopne pos</w:t>
      </w:r>
      <w:r w:rsidR="001B6B0A" w:rsidRPr="00F24057">
        <w:rPr>
          <w:szCs w:val="22"/>
          <w:lang w:val="sr-Latn-ME"/>
        </w:rPr>
        <w:t>j</w:t>
      </w:r>
      <w:r w:rsidRPr="00F24057">
        <w:rPr>
          <w:szCs w:val="22"/>
          <w:lang w:val="sr-Latn-ME"/>
        </w:rPr>
        <w:t xml:space="preserve">ete. </w:t>
      </w:r>
    </w:p>
    <w:p w14:paraId="2A9AC0D9" w14:textId="58F63E0F" w:rsidR="00612B7D" w:rsidRPr="00F24057" w:rsidRDefault="006B4F3A" w:rsidP="00D70B34">
      <w:pPr>
        <w:rPr>
          <w:b/>
          <w:bCs/>
          <w:szCs w:val="22"/>
          <w:lang w:val="sr-Latn-ME"/>
        </w:rPr>
      </w:pPr>
      <w:r w:rsidRPr="00F24057">
        <w:rPr>
          <w:szCs w:val="22"/>
          <w:lang w:val="sr-Latn-ME"/>
        </w:rPr>
        <w:t>***, ** Statistički značajno kod p &lt; 0,001 odnosno p &lt; 0,01 za sva poređenja adalimumaba sa placebom.</w:t>
      </w:r>
    </w:p>
    <w:p w14:paraId="2583CFF3" w14:textId="4CCD5E04" w:rsidR="00612B7D" w:rsidRPr="00F24057" w:rsidRDefault="00612B7D" w:rsidP="00D70B34">
      <w:pPr>
        <w:rPr>
          <w:b/>
          <w:bCs/>
          <w:szCs w:val="22"/>
          <w:lang w:val="sr-Latn-ME"/>
        </w:rPr>
      </w:pPr>
    </w:p>
    <w:p w14:paraId="7CB2C310" w14:textId="77777777" w:rsidR="00202D7B" w:rsidRPr="00F24057" w:rsidRDefault="00202D7B" w:rsidP="00D70B34">
      <w:pPr>
        <w:rPr>
          <w:i/>
          <w:iCs/>
          <w:szCs w:val="22"/>
          <w:lang w:val="sr-Latn-ME"/>
        </w:rPr>
      </w:pPr>
      <w:r w:rsidRPr="00F24057">
        <w:rPr>
          <w:i/>
          <w:iCs/>
          <w:szCs w:val="22"/>
          <w:lang w:val="sr-Latn-ME"/>
        </w:rPr>
        <w:t xml:space="preserve">Psorijazni artritis </w:t>
      </w:r>
    </w:p>
    <w:p w14:paraId="7A774B15" w14:textId="4D6B9D04" w:rsidR="00202D7B" w:rsidRPr="00F24057" w:rsidRDefault="00202D7B" w:rsidP="00D70B34">
      <w:pPr>
        <w:rPr>
          <w:szCs w:val="22"/>
          <w:lang w:val="sr-Latn-ME"/>
        </w:rPr>
      </w:pPr>
      <w:r w:rsidRPr="00F24057">
        <w:rPr>
          <w:szCs w:val="22"/>
          <w:lang w:val="sr-Latn-ME"/>
        </w:rPr>
        <w:t xml:space="preserve">Adalimumab 40 mg svake druge </w:t>
      </w:r>
      <w:r w:rsidR="00885A78" w:rsidRPr="00F24057">
        <w:rPr>
          <w:szCs w:val="22"/>
          <w:lang w:val="sr-Latn-ME"/>
        </w:rPr>
        <w:t>nedjelj</w:t>
      </w:r>
      <w:r w:rsidRPr="00F24057">
        <w:rPr>
          <w:szCs w:val="22"/>
          <w:lang w:val="sr-Latn-ME"/>
        </w:rPr>
        <w:t>e je ispitivan kod pacijenata sa u</w:t>
      </w:r>
      <w:r w:rsidR="0030064A" w:rsidRPr="00F24057">
        <w:rPr>
          <w:szCs w:val="22"/>
          <w:lang w:val="sr-Latn-ME"/>
        </w:rPr>
        <w:t>mjeren</w:t>
      </w:r>
      <w:r w:rsidRPr="00F24057">
        <w:rPr>
          <w:szCs w:val="22"/>
          <w:lang w:val="sr-Latn-ME"/>
        </w:rPr>
        <w:t xml:space="preserve">o teškim do teškim aktivnim psorijaznim artritisom u </w:t>
      </w:r>
      <w:r w:rsidR="009A3407" w:rsidRPr="00F24057">
        <w:rPr>
          <w:szCs w:val="22"/>
          <w:lang w:val="sr-Latn-ME"/>
        </w:rPr>
        <w:t xml:space="preserve">dvije </w:t>
      </w:r>
      <w:r w:rsidRPr="00F24057">
        <w:rPr>
          <w:szCs w:val="22"/>
          <w:lang w:val="sr-Latn-ME"/>
        </w:rPr>
        <w:t xml:space="preserve">placebo kontrolisane studije, PsA studije I i II. U PsA studiji I tokom 24 </w:t>
      </w:r>
      <w:r w:rsidR="00885A78" w:rsidRPr="00F24057">
        <w:rPr>
          <w:szCs w:val="22"/>
          <w:lang w:val="sr-Latn-ME"/>
        </w:rPr>
        <w:t>nedjelj</w:t>
      </w:r>
      <w:r w:rsidRPr="00F24057">
        <w:rPr>
          <w:szCs w:val="22"/>
          <w:lang w:val="sr-Latn-ME"/>
        </w:rPr>
        <w:t xml:space="preserve">e tretirano je 313 odraslih pacijenata koji su imali neadekvatan odgovor na nesteroidnu antiinflamatornu terapiju, a od njih je približno 50% uzimalo metotreksat. U PsA studiji II tokom 12 </w:t>
      </w:r>
      <w:r w:rsidR="00885A78" w:rsidRPr="00F24057">
        <w:rPr>
          <w:szCs w:val="22"/>
          <w:lang w:val="sr-Latn-ME"/>
        </w:rPr>
        <w:t>nedjelj</w:t>
      </w:r>
      <w:r w:rsidRPr="00F24057">
        <w:rPr>
          <w:szCs w:val="22"/>
          <w:lang w:val="sr-Latn-ME"/>
        </w:rPr>
        <w:t xml:space="preserve">a tretirano je 100 pacijenata koji su imali neadekvatan odgovor na ARMB (antireumatski </w:t>
      </w:r>
      <w:r w:rsidR="0030064A" w:rsidRPr="00F24057">
        <w:rPr>
          <w:szCs w:val="22"/>
          <w:lang w:val="sr-Latn-ME"/>
        </w:rPr>
        <w:t>ljekov</w:t>
      </w:r>
      <w:r w:rsidRPr="00F24057">
        <w:rPr>
          <w:szCs w:val="22"/>
          <w:lang w:val="sr-Latn-ME"/>
        </w:rPr>
        <w:t>i koji modifikuju tok bolesti) terapiju. Nakon završetka ob</w:t>
      </w:r>
      <w:r w:rsidR="00671751" w:rsidRPr="00F24057">
        <w:rPr>
          <w:szCs w:val="22"/>
          <w:lang w:val="sr-Latn-ME"/>
        </w:rPr>
        <w:t>ij</w:t>
      </w:r>
      <w:r w:rsidRPr="00F24057">
        <w:rPr>
          <w:szCs w:val="22"/>
          <w:lang w:val="sr-Latn-ME"/>
        </w:rPr>
        <w:t xml:space="preserve">e studije, 383 pacijenta je uključeno u otvoreno produženo ispitivanje u kome je 40 mg adalimumaba </w:t>
      </w:r>
      <w:r w:rsidR="0030064A" w:rsidRPr="00F24057">
        <w:rPr>
          <w:szCs w:val="22"/>
          <w:lang w:val="sr-Latn-ME"/>
        </w:rPr>
        <w:t>primjen</w:t>
      </w:r>
      <w:r w:rsidRPr="00F24057">
        <w:rPr>
          <w:szCs w:val="22"/>
          <w:lang w:val="sr-Latn-ME"/>
        </w:rPr>
        <w:t xml:space="preserve">jivano svake druge </w:t>
      </w:r>
      <w:r w:rsidR="00885A78" w:rsidRPr="00F24057">
        <w:rPr>
          <w:szCs w:val="22"/>
          <w:lang w:val="sr-Latn-ME"/>
        </w:rPr>
        <w:t>nedjelj</w:t>
      </w:r>
      <w:r w:rsidRPr="00F24057">
        <w:rPr>
          <w:szCs w:val="22"/>
          <w:lang w:val="sr-Latn-ME"/>
        </w:rPr>
        <w:t xml:space="preserve">e. </w:t>
      </w:r>
    </w:p>
    <w:p w14:paraId="02B3E699" w14:textId="77777777" w:rsidR="00202D7B" w:rsidRPr="00F24057" w:rsidRDefault="00202D7B" w:rsidP="00D70B34">
      <w:pPr>
        <w:rPr>
          <w:szCs w:val="22"/>
          <w:lang w:val="sr-Latn-ME"/>
        </w:rPr>
      </w:pPr>
    </w:p>
    <w:p w14:paraId="7D9C96E4" w14:textId="4D885865" w:rsidR="00612B7D" w:rsidRPr="00F24057" w:rsidRDefault="00202D7B" w:rsidP="00D70B34">
      <w:pPr>
        <w:rPr>
          <w:b/>
          <w:bCs/>
          <w:szCs w:val="22"/>
          <w:lang w:val="sr-Latn-ME"/>
        </w:rPr>
      </w:pPr>
      <w:r w:rsidRPr="00F24057">
        <w:rPr>
          <w:szCs w:val="22"/>
          <w:lang w:val="sr-Latn-ME"/>
        </w:rPr>
        <w:t>Ne postoji dovoljno dokaza o efikasnosti adalimumaba kod pacijenata sa psorijaznom artropatijom sličnoj ankilozirajućem spondilitisu, zbog malog broja ispitivanih pacijenata.</w:t>
      </w:r>
    </w:p>
    <w:p w14:paraId="201D0B69" w14:textId="5E0F741F" w:rsidR="00612B7D" w:rsidRPr="00F24057" w:rsidRDefault="00612B7D" w:rsidP="00D70B34">
      <w:pPr>
        <w:rPr>
          <w:b/>
          <w:bCs/>
          <w:szCs w:val="22"/>
          <w:lang w:val="sr-Latn-ME"/>
        </w:rPr>
      </w:pPr>
    </w:p>
    <w:p w14:paraId="11E6B397" w14:textId="2AE37F56" w:rsidR="003E02DC" w:rsidRPr="00F24057" w:rsidRDefault="003E02DC" w:rsidP="00D70B34">
      <w:pPr>
        <w:rPr>
          <w:b/>
          <w:bCs/>
          <w:szCs w:val="22"/>
          <w:lang w:val="sr-Latn-ME"/>
        </w:rPr>
      </w:pPr>
      <w:r w:rsidRPr="00F24057">
        <w:rPr>
          <w:b/>
          <w:bCs/>
          <w:szCs w:val="22"/>
          <w:lang w:val="sr-Latn-ME"/>
        </w:rPr>
        <w:t>Tabela 1</w:t>
      </w:r>
      <w:r w:rsidR="00783303" w:rsidRPr="00F24057">
        <w:rPr>
          <w:b/>
          <w:bCs/>
          <w:szCs w:val="22"/>
          <w:lang w:val="sr-Latn-ME"/>
        </w:rPr>
        <w:t xml:space="preserve">5. </w:t>
      </w:r>
      <w:r w:rsidRPr="00F24057">
        <w:rPr>
          <w:b/>
          <w:bCs/>
          <w:szCs w:val="22"/>
          <w:lang w:val="sr-Latn-ME"/>
        </w:rPr>
        <w:t>ACR odgovor u placebo-kontrolisanoj studiji psorijaznog artritisa (</w:t>
      </w:r>
      <w:r w:rsidR="00972894" w:rsidRPr="00F24057">
        <w:rPr>
          <w:b/>
          <w:bCs/>
          <w:szCs w:val="22"/>
          <w:lang w:val="sr-Latn-ME"/>
        </w:rPr>
        <w:t>procenat</w:t>
      </w:r>
      <w:r w:rsidRPr="00F24057">
        <w:rPr>
          <w:b/>
          <w:bCs/>
          <w:szCs w:val="22"/>
          <w:lang w:val="sr-Latn-ME"/>
        </w:rPr>
        <w:t xml:space="preserve"> pacijenata)</w:t>
      </w:r>
    </w:p>
    <w:p w14:paraId="24B04688" w14:textId="198EA427" w:rsidR="003E02DC" w:rsidRPr="00F24057" w:rsidRDefault="003E02DC"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804"/>
        <w:gridCol w:w="1804"/>
        <w:gridCol w:w="1803"/>
        <w:gridCol w:w="1803"/>
        <w:gridCol w:w="1803"/>
      </w:tblGrid>
      <w:tr w:rsidR="00902C35" w:rsidRPr="00F24057" w14:paraId="51668A13" w14:textId="77777777" w:rsidTr="00F1226A">
        <w:trPr>
          <w:trHeight w:val="20"/>
        </w:trPr>
        <w:tc>
          <w:tcPr>
            <w:tcW w:w="1000" w:type="pct"/>
            <w:vAlign w:val="center"/>
          </w:tcPr>
          <w:p w14:paraId="655BA344" w14:textId="77777777" w:rsidR="00902C35" w:rsidRPr="00F24057" w:rsidRDefault="00902C35" w:rsidP="00D70B34">
            <w:pPr>
              <w:jc w:val="center"/>
              <w:rPr>
                <w:b/>
                <w:bCs/>
                <w:szCs w:val="22"/>
                <w:lang w:val="sr-Latn-ME"/>
              </w:rPr>
            </w:pPr>
          </w:p>
        </w:tc>
        <w:tc>
          <w:tcPr>
            <w:tcW w:w="2000" w:type="pct"/>
            <w:gridSpan w:val="2"/>
            <w:vAlign w:val="center"/>
          </w:tcPr>
          <w:p w14:paraId="39572B5F" w14:textId="128F43CA" w:rsidR="00902C35" w:rsidRPr="00F24057" w:rsidRDefault="008919D7" w:rsidP="00D70B34">
            <w:pPr>
              <w:jc w:val="center"/>
              <w:rPr>
                <w:b/>
                <w:bCs/>
                <w:szCs w:val="22"/>
                <w:lang w:val="sr-Latn-ME"/>
              </w:rPr>
            </w:pPr>
            <w:r w:rsidRPr="00F24057">
              <w:rPr>
                <w:b/>
                <w:bCs/>
                <w:szCs w:val="22"/>
                <w:lang w:val="sr-Latn-ME"/>
              </w:rPr>
              <w:t>PsA studija I</w:t>
            </w:r>
          </w:p>
        </w:tc>
        <w:tc>
          <w:tcPr>
            <w:tcW w:w="2000" w:type="pct"/>
            <w:gridSpan w:val="2"/>
            <w:vAlign w:val="center"/>
          </w:tcPr>
          <w:p w14:paraId="6FACC09F" w14:textId="26121698" w:rsidR="00902C35" w:rsidRPr="00F24057" w:rsidRDefault="008919D7" w:rsidP="00D70B34">
            <w:pPr>
              <w:jc w:val="center"/>
              <w:rPr>
                <w:b/>
                <w:bCs/>
                <w:szCs w:val="22"/>
                <w:lang w:val="sr-Latn-ME"/>
              </w:rPr>
            </w:pPr>
            <w:r w:rsidRPr="00F24057">
              <w:rPr>
                <w:b/>
                <w:bCs/>
                <w:szCs w:val="22"/>
                <w:lang w:val="sr-Latn-ME"/>
              </w:rPr>
              <w:t>PsA studija II</w:t>
            </w:r>
          </w:p>
        </w:tc>
      </w:tr>
      <w:tr w:rsidR="00902C35" w:rsidRPr="00F24057" w14:paraId="7C1659E2" w14:textId="77777777" w:rsidTr="00C0295E">
        <w:trPr>
          <w:trHeight w:val="20"/>
        </w:trPr>
        <w:tc>
          <w:tcPr>
            <w:tcW w:w="1000" w:type="pct"/>
            <w:tcBorders>
              <w:bottom w:val="single" w:sz="4" w:space="0" w:color="auto"/>
            </w:tcBorders>
            <w:vAlign w:val="center"/>
          </w:tcPr>
          <w:p w14:paraId="65CBCD8C" w14:textId="50041119" w:rsidR="00902C35" w:rsidRPr="00F24057" w:rsidRDefault="008919D7" w:rsidP="00D70B34">
            <w:pPr>
              <w:jc w:val="center"/>
              <w:rPr>
                <w:b/>
                <w:bCs/>
                <w:szCs w:val="22"/>
                <w:lang w:val="sr-Latn-ME"/>
              </w:rPr>
            </w:pPr>
            <w:r w:rsidRPr="00F24057">
              <w:rPr>
                <w:b/>
                <w:bCs/>
                <w:szCs w:val="22"/>
                <w:lang w:val="sr-Latn-ME"/>
              </w:rPr>
              <w:t>Odgovor</w:t>
            </w:r>
          </w:p>
        </w:tc>
        <w:tc>
          <w:tcPr>
            <w:tcW w:w="1000" w:type="pct"/>
            <w:tcBorders>
              <w:bottom w:val="single" w:sz="4" w:space="0" w:color="auto"/>
            </w:tcBorders>
            <w:vAlign w:val="center"/>
          </w:tcPr>
          <w:p w14:paraId="4968C706" w14:textId="7209D96A" w:rsidR="008919D7" w:rsidRPr="00F24057" w:rsidRDefault="008919D7" w:rsidP="00D70B34">
            <w:pPr>
              <w:jc w:val="center"/>
              <w:rPr>
                <w:b/>
                <w:bCs/>
                <w:szCs w:val="22"/>
                <w:lang w:val="sr-Latn-ME"/>
              </w:rPr>
            </w:pPr>
            <w:r w:rsidRPr="00F24057">
              <w:rPr>
                <w:b/>
                <w:bCs/>
                <w:szCs w:val="22"/>
                <w:lang w:val="sr-Latn-ME"/>
              </w:rPr>
              <w:t>Placebo</w:t>
            </w:r>
          </w:p>
          <w:p w14:paraId="56995B1C" w14:textId="58F851D9" w:rsidR="00902C35" w:rsidRPr="00F24057" w:rsidRDefault="008919D7" w:rsidP="00D70B34">
            <w:pPr>
              <w:jc w:val="center"/>
              <w:rPr>
                <w:b/>
                <w:bCs/>
                <w:szCs w:val="22"/>
                <w:lang w:val="sr-Latn-ME"/>
              </w:rPr>
            </w:pPr>
            <w:r w:rsidRPr="00F24057">
              <w:rPr>
                <w:b/>
                <w:bCs/>
                <w:szCs w:val="22"/>
                <w:lang w:val="sr-Latn-ME"/>
              </w:rPr>
              <w:t>N=162</w:t>
            </w:r>
          </w:p>
        </w:tc>
        <w:tc>
          <w:tcPr>
            <w:tcW w:w="1000" w:type="pct"/>
            <w:tcBorders>
              <w:bottom w:val="single" w:sz="4" w:space="0" w:color="auto"/>
            </w:tcBorders>
            <w:vAlign w:val="center"/>
          </w:tcPr>
          <w:p w14:paraId="0257D96E" w14:textId="7EE6BBAE" w:rsidR="008919D7" w:rsidRPr="00F24057" w:rsidRDefault="008919D7" w:rsidP="00D70B34">
            <w:pPr>
              <w:jc w:val="center"/>
              <w:rPr>
                <w:b/>
                <w:bCs/>
                <w:szCs w:val="22"/>
                <w:lang w:val="sr-Latn-ME"/>
              </w:rPr>
            </w:pPr>
            <w:r w:rsidRPr="00F24057">
              <w:rPr>
                <w:b/>
                <w:bCs/>
                <w:szCs w:val="22"/>
                <w:lang w:val="sr-Latn-ME"/>
              </w:rPr>
              <w:t>Adalimumab</w:t>
            </w:r>
          </w:p>
          <w:p w14:paraId="5449268D" w14:textId="4BCFEA2F" w:rsidR="00902C35" w:rsidRPr="00F24057" w:rsidRDefault="008919D7" w:rsidP="00D70B34">
            <w:pPr>
              <w:jc w:val="center"/>
              <w:rPr>
                <w:b/>
                <w:bCs/>
                <w:szCs w:val="22"/>
                <w:lang w:val="sr-Latn-ME"/>
              </w:rPr>
            </w:pPr>
            <w:r w:rsidRPr="00F24057">
              <w:rPr>
                <w:b/>
                <w:bCs/>
                <w:szCs w:val="22"/>
                <w:lang w:val="sr-Latn-ME"/>
              </w:rPr>
              <w:t>N=151</w:t>
            </w:r>
          </w:p>
        </w:tc>
        <w:tc>
          <w:tcPr>
            <w:tcW w:w="1000" w:type="pct"/>
            <w:tcBorders>
              <w:bottom w:val="single" w:sz="4" w:space="0" w:color="auto"/>
            </w:tcBorders>
            <w:vAlign w:val="center"/>
          </w:tcPr>
          <w:p w14:paraId="14355800" w14:textId="74BAEBEF" w:rsidR="008919D7" w:rsidRPr="00F24057" w:rsidRDefault="008919D7" w:rsidP="00D70B34">
            <w:pPr>
              <w:jc w:val="center"/>
              <w:rPr>
                <w:b/>
                <w:bCs/>
                <w:szCs w:val="22"/>
                <w:lang w:val="sr-Latn-ME"/>
              </w:rPr>
            </w:pPr>
            <w:r w:rsidRPr="00F24057">
              <w:rPr>
                <w:b/>
                <w:bCs/>
                <w:szCs w:val="22"/>
                <w:lang w:val="sr-Latn-ME"/>
              </w:rPr>
              <w:t>Placebo</w:t>
            </w:r>
          </w:p>
          <w:p w14:paraId="1558BFD9" w14:textId="1782E91A" w:rsidR="00902C35" w:rsidRPr="00F24057" w:rsidRDefault="008919D7" w:rsidP="00D70B34">
            <w:pPr>
              <w:jc w:val="center"/>
              <w:rPr>
                <w:b/>
                <w:bCs/>
                <w:szCs w:val="22"/>
                <w:lang w:val="sr-Latn-ME"/>
              </w:rPr>
            </w:pPr>
            <w:r w:rsidRPr="00F24057">
              <w:rPr>
                <w:b/>
                <w:bCs/>
                <w:szCs w:val="22"/>
                <w:lang w:val="sr-Latn-ME"/>
              </w:rPr>
              <w:t>N=49</w:t>
            </w:r>
          </w:p>
        </w:tc>
        <w:tc>
          <w:tcPr>
            <w:tcW w:w="1000" w:type="pct"/>
            <w:tcBorders>
              <w:bottom w:val="single" w:sz="4" w:space="0" w:color="auto"/>
            </w:tcBorders>
            <w:vAlign w:val="center"/>
          </w:tcPr>
          <w:p w14:paraId="35B8AFE6" w14:textId="41FA150D" w:rsidR="00C9707A" w:rsidRPr="00F24057" w:rsidRDefault="00C9707A" w:rsidP="00D70B34">
            <w:pPr>
              <w:jc w:val="center"/>
              <w:rPr>
                <w:b/>
                <w:bCs/>
                <w:szCs w:val="22"/>
                <w:lang w:val="sr-Latn-ME"/>
              </w:rPr>
            </w:pPr>
            <w:r w:rsidRPr="00F24057">
              <w:rPr>
                <w:b/>
                <w:bCs/>
                <w:szCs w:val="22"/>
                <w:lang w:val="sr-Latn-ME"/>
              </w:rPr>
              <w:t>Adalimumab</w:t>
            </w:r>
          </w:p>
          <w:p w14:paraId="08C4AC65" w14:textId="18029271" w:rsidR="00902C35" w:rsidRPr="00F24057" w:rsidRDefault="00C9707A" w:rsidP="00D70B34">
            <w:pPr>
              <w:jc w:val="center"/>
              <w:rPr>
                <w:b/>
                <w:bCs/>
                <w:szCs w:val="22"/>
                <w:lang w:val="sr-Latn-ME"/>
              </w:rPr>
            </w:pPr>
            <w:r w:rsidRPr="00F24057">
              <w:rPr>
                <w:b/>
                <w:bCs/>
                <w:szCs w:val="22"/>
                <w:lang w:val="sr-Latn-ME"/>
              </w:rPr>
              <w:t>N=51</w:t>
            </w:r>
          </w:p>
        </w:tc>
      </w:tr>
      <w:tr w:rsidR="00902C35" w:rsidRPr="00F24057" w14:paraId="552A6EFE" w14:textId="77777777" w:rsidTr="00C0295E">
        <w:trPr>
          <w:trHeight w:val="20"/>
        </w:trPr>
        <w:tc>
          <w:tcPr>
            <w:tcW w:w="1000" w:type="pct"/>
            <w:tcBorders>
              <w:bottom w:val="nil"/>
            </w:tcBorders>
            <w:vAlign w:val="center"/>
          </w:tcPr>
          <w:p w14:paraId="38491397" w14:textId="32067CD9" w:rsidR="00C9707A" w:rsidRPr="00F24057" w:rsidRDefault="00C9707A" w:rsidP="00D70B34">
            <w:pPr>
              <w:rPr>
                <w:szCs w:val="22"/>
                <w:lang w:val="sr-Latn-ME"/>
              </w:rPr>
            </w:pPr>
            <w:r w:rsidRPr="00F24057">
              <w:rPr>
                <w:szCs w:val="22"/>
                <w:lang w:val="sr-Latn-ME"/>
              </w:rPr>
              <w:t>ACR 20</w:t>
            </w:r>
          </w:p>
          <w:p w14:paraId="6038F571" w14:textId="248F165F" w:rsidR="00902C35" w:rsidRPr="00F24057" w:rsidRDefault="00885A78" w:rsidP="00D70B34">
            <w:pPr>
              <w:jc w:val="center"/>
              <w:rPr>
                <w:szCs w:val="22"/>
                <w:lang w:val="sr-Latn-ME"/>
              </w:rPr>
            </w:pPr>
            <w:r w:rsidRPr="00F24057">
              <w:rPr>
                <w:szCs w:val="22"/>
                <w:lang w:val="sr-Latn-ME"/>
              </w:rPr>
              <w:t>nedjelj</w:t>
            </w:r>
            <w:r w:rsidR="00C9707A" w:rsidRPr="00F24057">
              <w:rPr>
                <w:szCs w:val="22"/>
                <w:lang w:val="sr-Latn-ME"/>
              </w:rPr>
              <w:t>a 12</w:t>
            </w:r>
          </w:p>
          <w:p w14:paraId="00831FFA" w14:textId="35E92AA0" w:rsidR="008533A1" w:rsidRPr="00F24057" w:rsidRDefault="00885A78" w:rsidP="00D70B34">
            <w:pPr>
              <w:jc w:val="center"/>
              <w:rPr>
                <w:b/>
                <w:bCs/>
                <w:szCs w:val="22"/>
                <w:lang w:val="sr-Latn-ME"/>
              </w:rPr>
            </w:pPr>
            <w:r w:rsidRPr="00F24057">
              <w:rPr>
                <w:szCs w:val="22"/>
                <w:lang w:val="sr-Latn-ME"/>
              </w:rPr>
              <w:t>nedjelj</w:t>
            </w:r>
            <w:r w:rsidR="008533A1" w:rsidRPr="00F24057">
              <w:rPr>
                <w:szCs w:val="22"/>
                <w:lang w:val="sr-Latn-ME"/>
              </w:rPr>
              <w:t>a 24</w:t>
            </w:r>
          </w:p>
        </w:tc>
        <w:tc>
          <w:tcPr>
            <w:tcW w:w="1000" w:type="pct"/>
            <w:tcBorders>
              <w:bottom w:val="nil"/>
            </w:tcBorders>
            <w:vAlign w:val="center"/>
          </w:tcPr>
          <w:p w14:paraId="35B0D827" w14:textId="77777777" w:rsidR="002B1C20" w:rsidRPr="00F24057" w:rsidRDefault="002B1C20" w:rsidP="00D70B34">
            <w:pPr>
              <w:jc w:val="center"/>
              <w:rPr>
                <w:szCs w:val="22"/>
                <w:lang w:val="sr-Latn-ME"/>
              </w:rPr>
            </w:pPr>
          </w:p>
          <w:p w14:paraId="5D5B95CF" w14:textId="70A644F8" w:rsidR="00C617C9" w:rsidRPr="00F24057" w:rsidRDefault="00C617C9" w:rsidP="00D70B34">
            <w:pPr>
              <w:jc w:val="center"/>
              <w:rPr>
                <w:szCs w:val="22"/>
                <w:lang w:val="sr-Latn-ME"/>
              </w:rPr>
            </w:pPr>
            <w:r w:rsidRPr="00F24057">
              <w:rPr>
                <w:szCs w:val="22"/>
                <w:lang w:val="sr-Latn-ME"/>
              </w:rPr>
              <w:t>14%</w:t>
            </w:r>
          </w:p>
          <w:p w14:paraId="416E6A73" w14:textId="4A5044A2" w:rsidR="00902C35" w:rsidRPr="00F24057" w:rsidRDefault="00C617C9" w:rsidP="00D70B34">
            <w:pPr>
              <w:jc w:val="center"/>
              <w:rPr>
                <w:b/>
                <w:bCs/>
                <w:szCs w:val="22"/>
                <w:lang w:val="sr-Latn-ME"/>
              </w:rPr>
            </w:pPr>
            <w:r w:rsidRPr="00F24057">
              <w:rPr>
                <w:szCs w:val="22"/>
                <w:lang w:val="sr-Latn-ME"/>
              </w:rPr>
              <w:t>15%</w:t>
            </w:r>
          </w:p>
        </w:tc>
        <w:tc>
          <w:tcPr>
            <w:tcW w:w="1000" w:type="pct"/>
            <w:tcBorders>
              <w:bottom w:val="nil"/>
            </w:tcBorders>
            <w:vAlign w:val="center"/>
          </w:tcPr>
          <w:p w14:paraId="15FA2763" w14:textId="77777777" w:rsidR="002B1C20" w:rsidRPr="00F24057" w:rsidRDefault="002B1C20" w:rsidP="00D70B34">
            <w:pPr>
              <w:jc w:val="center"/>
              <w:rPr>
                <w:szCs w:val="22"/>
                <w:lang w:val="sr-Latn-ME"/>
              </w:rPr>
            </w:pPr>
          </w:p>
          <w:p w14:paraId="4A1EAC3E" w14:textId="5C6125F6" w:rsidR="00902C35" w:rsidRPr="00F24057" w:rsidRDefault="00C617C9" w:rsidP="00D70B34">
            <w:pPr>
              <w:jc w:val="center"/>
              <w:rPr>
                <w:szCs w:val="22"/>
                <w:lang w:val="sr-Latn-ME"/>
              </w:rPr>
            </w:pPr>
            <w:r w:rsidRPr="00F24057">
              <w:rPr>
                <w:szCs w:val="22"/>
                <w:lang w:val="sr-Latn-ME"/>
              </w:rPr>
              <w:t>58%***</w:t>
            </w:r>
          </w:p>
          <w:p w14:paraId="43F69332" w14:textId="7CA8F836" w:rsidR="003632D4" w:rsidRPr="00F24057" w:rsidRDefault="003632D4" w:rsidP="00D70B34">
            <w:pPr>
              <w:jc w:val="center"/>
              <w:rPr>
                <w:b/>
                <w:bCs/>
                <w:szCs w:val="22"/>
                <w:lang w:val="sr-Latn-ME"/>
              </w:rPr>
            </w:pPr>
            <w:r w:rsidRPr="00F24057">
              <w:rPr>
                <w:szCs w:val="22"/>
                <w:lang w:val="sr-Latn-ME"/>
              </w:rPr>
              <w:t>57%***</w:t>
            </w:r>
          </w:p>
        </w:tc>
        <w:tc>
          <w:tcPr>
            <w:tcW w:w="1000" w:type="pct"/>
            <w:tcBorders>
              <w:bottom w:val="nil"/>
            </w:tcBorders>
            <w:vAlign w:val="center"/>
          </w:tcPr>
          <w:p w14:paraId="1271B2B1" w14:textId="77777777" w:rsidR="002B1C20" w:rsidRPr="00F24057" w:rsidRDefault="002B1C20" w:rsidP="00D70B34">
            <w:pPr>
              <w:jc w:val="center"/>
              <w:rPr>
                <w:szCs w:val="22"/>
                <w:lang w:val="sr-Latn-ME"/>
              </w:rPr>
            </w:pPr>
          </w:p>
          <w:p w14:paraId="1F5B1E62" w14:textId="38C5AC59" w:rsidR="00902C35" w:rsidRPr="00F24057" w:rsidRDefault="00C617C9" w:rsidP="00D70B34">
            <w:pPr>
              <w:jc w:val="center"/>
              <w:rPr>
                <w:szCs w:val="22"/>
                <w:lang w:val="sr-Latn-ME"/>
              </w:rPr>
            </w:pPr>
            <w:r w:rsidRPr="00F24057">
              <w:rPr>
                <w:szCs w:val="22"/>
                <w:lang w:val="sr-Latn-ME"/>
              </w:rPr>
              <w:t>16%</w:t>
            </w:r>
          </w:p>
          <w:p w14:paraId="6579CD2A" w14:textId="541E820F" w:rsidR="003632D4" w:rsidRPr="00F24057" w:rsidRDefault="003632D4" w:rsidP="00D70B34">
            <w:pPr>
              <w:jc w:val="center"/>
              <w:rPr>
                <w:b/>
                <w:bCs/>
                <w:szCs w:val="22"/>
                <w:lang w:val="sr-Latn-ME"/>
              </w:rPr>
            </w:pPr>
            <w:r w:rsidRPr="00F24057">
              <w:rPr>
                <w:szCs w:val="22"/>
                <w:lang w:val="sr-Latn-ME"/>
              </w:rPr>
              <w:t>N/A</w:t>
            </w:r>
          </w:p>
        </w:tc>
        <w:tc>
          <w:tcPr>
            <w:tcW w:w="1000" w:type="pct"/>
            <w:tcBorders>
              <w:bottom w:val="nil"/>
            </w:tcBorders>
            <w:vAlign w:val="center"/>
          </w:tcPr>
          <w:p w14:paraId="07F333EA" w14:textId="77777777" w:rsidR="002B1C20" w:rsidRPr="00F24057" w:rsidRDefault="002B1C20" w:rsidP="00D70B34">
            <w:pPr>
              <w:jc w:val="center"/>
              <w:rPr>
                <w:szCs w:val="22"/>
                <w:lang w:val="sr-Latn-ME"/>
              </w:rPr>
            </w:pPr>
          </w:p>
          <w:p w14:paraId="38FFB4F3" w14:textId="2EE0FA68" w:rsidR="00902C35" w:rsidRPr="00F24057" w:rsidRDefault="00C617C9" w:rsidP="00D70B34">
            <w:pPr>
              <w:jc w:val="center"/>
              <w:rPr>
                <w:szCs w:val="22"/>
                <w:lang w:val="sr-Latn-ME"/>
              </w:rPr>
            </w:pPr>
            <w:r w:rsidRPr="00F24057">
              <w:rPr>
                <w:szCs w:val="22"/>
                <w:lang w:val="sr-Latn-ME"/>
              </w:rPr>
              <w:t>39%*</w:t>
            </w:r>
          </w:p>
          <w:p w14:paraId="0CC0A299" w14:textId="40AF86F9" w:rsidR="003632D4" w:rsidRPr="00F24057" w:rsidRDefault="003632D4" w:rsidP="00D70B34">
            <w:pPr>
              <w:jc w:val="center"/>
              <w:rPr>
                <w:b/>
                <w:bCs/>
                <w:szCs w:val="22"/>
                <w:lang w:val="sr-Latn-ME"/>
              </w:rPr>
            </w:pPr>
            <w:r w:rsidRPr="00F24057">
              <w:rPr>
                <w:szCs w:val="22"/>
                <w:lang w:val="sr-Latn-ME"/>
              </w:rPr>
              <w:t>N/A</w:t>
            </w:r>
          </w:p>
        </w:tc>
      </w:tr>
      <w:tr w:rsidR="00902C35" w:rsidRPr="00F24057" w14:paraId="7BB363D7" w14:textId="77777777" w:rsidTr="00C0295E">
        <w:trPr>
          <w:trHeight w:val="20"/>
        </w:trPr>
        <w:tc>
          <w:tcPr>
            <w:tcW w:w="1000" w:type="pct"/>
            <w:tcBorders>
              <w:top w:val="nil"/>
              <w:bottom w:val="nil"/>
            </w:tcBorders>
            <w:vAlign w:val="center"/>
          </w:tcPr>
          <w:p w14:paraId="6738E8A8" w14:textId="0465C8C8" w:rsidR="008533A1" w:rsidRPr="00F24057" w:rsidRDefault="008533A1" w:rsidP="00D70B34">
            <w:pPr>
              <w:rPr>
                <w:szCs w:val="22"/>
                <w:lang w:val="sr-Latn-ME"/>
              </w:rPr>
            </w:pPr>
            <w:r w:rsidRPr="00F24057">
              <w:rPr>
                <w:szCs w:val="22"/>
                <w:lang w:val="sr-Latn-ME"/>
              </w:rPr>
              <w:t>ACR 50</w:t>
            </w:r>
          </w:p>
          <w:p w14:paraId="0D427529" w14:textId="3B57A928" w:rsidR="008533A1" w:rsidRPr="00F24057" w:rsidRDefault="00885A78" w:rsidP="00D70B34">
            <w:pPr>
              <w:jc w:val="center"/>
              <w:rPr>
                <w:szCs w:val="22"/>
                <w:lang w:val="sr-Latn-ME"/>
              </w:rPr>
            </w:pPr>
            <w:r w:rsidRPr="00F24057">
              <w:rPr>
                <w:szCs w:val="22"/>
                <w:lang w:val="sr-Latn-ME"/>
              </w:rPr>
              <w:t>nedjelj</w:t>
            </w:r>
            <w:r w:rsidR="008533A1" w:rsidRPr="00F24057">
              <w:rPr>
                <w:szCs w:val="22"/>
                <w:lang w:val="sr-Latn-ME"/>
              </w:rPr>
              <w:t>a 12</w:t>
            </w:r>
          </w:p>
          <w:p w14:paraId="57F0F4F1" w14:textId="211B3407" w:rsidR="00902C35" w:rsidRPr="00F24057" w:rsidRDefault="00885A78" w:rsidP="00D70B34">
            <w:pPr>
              <w:jc w:val="center"/>
              <w:rPr>
                <w:b/>
                <w:bCs/>
                <w:szCs w:val="22"/>
                <w:lang w:val="sr-Latn-ME"/>
              </w:rPr>
            </w:pPr>
            <w:r w:rsidRPr="00F24057">
              <w:rPr>
                <w:szCs w:val="22"/>
                <w:lang w:val="sr-Latn-ME"/>
              </w:rPr>
              <w:t>nedjelj</w:t>
            </w:r>
            <w:r w:rsidR="008533A1" w:rsidRPr="00F24057">
              <w:rPr>
                <w:szCs w:val="22"/>
                <w:lang w:val="sr-Latn-ME"/>
              </w:rPr>
              <w:t>a 24</w:t>
            </w:r>
          </w:p>
        </w:tc>
        <w:tc>
          <w:tcPr>
            <w:tcW w:w="1000" w:type="pct"/>
            <w:tcBorders>
              <w:top w:val="nil"/>
              <w:bottom w:val="nil"/>
            </w:tcBorders>
            <w:vAlign w:val="center"/>
          </w:tcPr>
          <w:p w14:paraId="5443EC6B" w14:textId="77777777" w:rsidR="002B1C20" w:rsidRPr="00F24057" w:rsidRDefault="002B1C20" w:rsidP="00D70B34">
            <w:pPr>
              <w:jc w:val="center"/>
              <w:rPr>
                <w:szCs w:val="22"/>
                <w:lang w:val="sr-Latn-ME"/>
              </w:rPr>
            </w:pPr>
          </w:p>
          <w:p w14:paraId="54C6456A" w14:textId="30700386" w:rsidR="00902C35" w:rsidRPr="00F24057" w:rsidRDefault="003632D4" w:rsidP="00D70B34">
            <w:pPr>
              <w:jc w:val="center"/>
              <w:rPr>
                <w:szCs w:val="22"/>
                <w:lang w:val="sr-Latn-ME"/>
              </w:rPr>
            </w:pPr>
            <w:r w:rsidRPr="00F24057">
              <w:rPr>
                <w:szCs w:val="22"/>
                <w:lang w:val="sr-Latn-ME"/>
              </w:rPr>
              <w:t>4%</w:t>
            </w:r>
          </w:p>
          <w:p w14:paraId="51F1A641" w14:textId="1F22743C" w:rsidR="00DA7746" w:rsidRPr="00F24057" w:rsidRDefault="00DA7746" w:rsidP="00D70B34">
            <w:pPr>
              <w:jc w:val="center"/>
              <w:rPr>
                <w:b/>
                <w:bCs/>
                <w:szCs w:val="22"/>
                <w:lang w:val="sr-Latn-ME"/>
              </w:rPr>
            </w:pPr>
            <w:r w:rsidRPr="00F24057">
              <w:rPr>
                <w:szCs w:val="22"/>
                <w:lang w:val="sr-Latn-ME"/>
              </w:rPr>
              <w:t>6%</w:t>
            </w:r>
          </w:p>
        </w:tc>
        <w:tc>
          <w:tcPr>
            <w:tcW w:w="1000" w:type="pct"/>
            <w:tcBorders>
              <w:top w:val="nil"/>
              <w:bottom w:val="nil"/>
            </w:tcBorders>
            <w:vAlign w:val="center"/>
          </w:tcPr>
          <w:p w14:paraId="67AB4481" w14:textId="77777777" w:rsidR="002B1C20" w:rsidRPr="00F24057" w:rsidRDefault="002B1C20" w:rsidP="00D70B34">
            <w:pPr>
              <w:jc w:val="center"/>
              <w:rPr>
                <w:szCs w:val="22"/>
                <w:lang w:val="sr-Latn-ME"/>
              </w:rPr>
            </w:pPr>
          </w:p>
          <w:p w14:paraId="5B8BA160" w14:textId="15B8A554" w:rsidR="00902C35" w:rsidRPr="00F24057" w:rsidRDefault="003632D4" w:rsidP="00D70B34">
            <w:pPr>
              <w:jc w:val="center"/>
              <w:rPr>
                <w:szCs w:val="22"/>
                <w:lang w:val="sr-Latn-ME"/>
              </w:rPr>
            </w:pPr>
            <w:r w:rsidRPr="00F24057">
              <w:rPr>
                <w:szCs w:val="22"/>
                <w:lang w:val="sr-Latn-ME"/>
              </w:rPr>
              <w:t>36%***</w:t>
            </w:r>
          </w:p>
          <w:p w14:paraId="3E83EA40" w14:textId="16BAB8F8" w:rsidR="00DA7746" w:rsidRPr="00F24057" w:rsidRDefault="00DA7746" w:rsidP="00D70B34">
            <w:pPr>
              <w:jc w:val="center"/>
              <w:rPr>
                <w:b/>
                <w:bCs/>
                <w:szCs w:val="22"/>
                <w:lang w:val="sr-Latn-ME"/>
              </w:rPr>
            </w:pPr>
            <w:r w:rsidRPr="00F24057">
              <w:rPr>
                <w:szCs w:val="22"/>
                <w:lang w:val="sr-Latn-ME"/>
              </w:rPr>
              <w:t>39%***</w:t>
            </w:r>
          </w:p>
        </w:tc>
        <w:tc>
          <w:tcPr>
            <w:tcW w:w="1000" w:type="pct"/>
            <w:tcBorders>
              <w:top w:val="nil"/>
              <w:bottom w:val="nil"/>
            </w:tcBorders>
            <w:vAlign w:val="center"/>
          </w:tcPr>
          <w:p w14:paraId="2BB9E5FB" w14:textId="77777777" w:rsidR="002B1C20" w:rsidRPr="00F24057" w:rsidRDefault="002B1C20" w:rsidP="00D70B34">
            <w:pPr>
              <w:jc w:val="center"/>
              <w:rPr>
                <w:szCs w:val="22"/>
                <w:lang w:val="sr-Latn-ME"/>
              </w:rPr>
            </w:pPr>
          </w:p>
          <w:p w14:paraId="1C375993" w14:textId="37B1669A" w:rsidR="00902C35" w:rsidRPr="00F24057" w:rsidRDefault="003632D4" w:rsidP="00D70B34">
            <w:pPr>
              <w:jc w:val="center"/>
              <w:rPr>
                <w:szCs w:val="22"/>
                <w:lang w:val="sr-Latn-ME"/>
              </w:rPr>
            </w:pPr>
            <w:r w:rsidRPr="00F24057">
              <w:rPr>
                <w:szCs w:val="22"/>
                <w:lang w:val="sr-Latn-ME"/>
              </w:rPr>
              <w:t>2%</w:t>
            </w:r>
          </w:p>
          <w:p w14:paraId="65BE5C89" w14:textId="12742131" w:rsidR="00DA7746" w:rsidRPr="00F24057" w:rsidRDefault="00DA7746" w:rsidP="00D70B34">
            <w:pPr>
              <w:jc w:val="center"/>
              <w:rPr>
                <w:b/>
                <w:bCs/>
                <w:szCs w:val="22"/>
                <w:lang w:val="sr-Latn-ME"/>
              </w:rPr>
            </w:pPr>
            <w:r w:rsidRPr="00F24057">
              <w:rPr>
                <w:szCs w:val="22"/>
                <w:lang w:val="sr-Latn-ME"/>
              </w:rPr>
              <w:t>N/A</w:t>
            </w:r>
          </w:p>
        </w:tc>
        <w:tc>
          <w:tcPr>
            <w:tcW w:w="1000" w:type="pct"/>
            <w:tcBorders>
              <w:top w:val="nil"/>
              <w:bottom w:val="nil"/>
            </w:tcBorders>
            <w:vAlign w:val="center"/>
          </w:tcPr>
          <w:p w14:paraId="6790C3B8" w14:textId="77777777" w:rsidR="002B1C20" w:rsidRPr="00F24057" w:rsidRDefault="002B1C20" w:rsidP="00D70B34">
            <w:pPr>
              <w:jc w:val="center"/>
              <w:rPr>
                <w:szCs w:val="22"/>
                <w:lang w:val="sr-Latn-ME"/>
              </w:rPr>
            </w:pPr>
          </w:p>
          <w:p w14:paraId="4216AE47" w14:textId="181B3A1A" w:rsidR="00902C35" w:rsidRPr="00F24057" w:rsidRDefault="003632D4" w:rsidP="00D70B34">
            <w:pPr>
              <w:jc w:val="center"/>
              <w:rPr>
                <w:szCs w:val="22"/>
                <w:lang w:val="sr-Latn-ME"/>
              </w:rPr>
            </w:pPr>
            <w:r w:rsidRPr="00F24057">
              <w:rPr>
                <w:szCs w:val="22"/>
                <w:lang w:val="sr-Latn-ME"/>
              </w:rPr>
              <w:t>25%***</w:t>
            </w:r>
          </w:p>
          <w:p w14:paraId="52F0D1F4" w14:textId="7B28B1D5" w:rsidR="00DA7746" w:rsidRPr="00F24057" w:rsidRDefault="00DA7746" w:rsidP="00D70B34">
            <w:pPr>
              <w:jc w:val="center"/>
              <w:rPr>
                <w:b/>
                <w:bCs/>
                <w:szCs w:val="22"/>
                <w:lang w:val="sr-Latn-ME"/>
              </w:rPr>
            </w:pPr>
            <w:r w:rsidRPr="00F24057">
              <w:rPr>
                <w:szCs w:val="22"/>
                <w:lang w:val="sr-Latn-ME"/>
              </w:rPr>
              <w:t>N/A</w:t>
            </w:r>
          </w:p>
        </w:tc>
      </w:tr>
      <w:tr w:rsidR="00902C35" w:rsidRPr="00F24057" w14:paraId="4952341D" w14:textId="77777777" w:rsidTr="00C0295E">
        <w:trPr>
          <w:trHeight w:val="20"/>
        </w:trPr>
        <w:tc>
          <w:tcPr>
            <w:tcW w:w="1000" w:type="pct"/>
            <w:tcBorders>
              <w:top w:val="nil"/>
            </w:tcBorders>
            <w:vAlign w:val="center"/>
          </w:tcPr>
          <w:p w14:paraId="050D7B19" w14:textId="07D1DAD2" w:rsidR="008533A1" w:rsidRPr="00F24057" w:rsidRDefault="008533A1" w:rsidP="00D70B34">
            <w:pPr>
              <w:rPr>
                <w:szCs w:val="22"/>
                <w:lang w:val="sr-Latn-ME"/>
              </w:rPr>
            </w:pPr>
            <w:r w:rsidRPr="00F24057">
              <w:rPr>
                <w:szCs w:val="22"/>
                <w:lang w:val="sr-Latn-ME"/>
              </w:rPr>
              <w:t>ACR 70</w:t>
            </w:r>
          </w:p>
          <w:p w14:paraId="71381591" w14:textId="58F8C93D" w:rsidR="008533A1" w:rsidRPr="00F24057" w:rsidRDefault="00885A78" w:rsidP="00D70B34">
            <w:pPr>
              <w:jc w:val="center"/>
              <w:rPr>
                <w:szCs w:val="22"/>
                <w:lang w:val="sr-Latn-ME"/>
              </w:rPr>
            </w:pPr>
            <w:r w:rsidRPr="00F24057">
              <w:rPr>
                <w:szCs w:val="22"/>
                <w:lang w:val="sr-Latn-ME"/>
              </w:rPr>
              <w:t>nedjelj</w:t>
            </w:r>
            <w:r w:rsidR="008533A1" w:rsidRPr="00F24057">
              <w:rPr>
                <w:szCs w:val="22"/>
                <w:lang w:val="sr-Latn-ME"/>
              </w:rPr>
              <w:t>a 12</w:t>
            </w:r>
          </w:p>
          <w:p w14:paraId="2C0A2605" w14:textId="351141D2" w:rsidR="00902C35" w:rsidRPr="00F24057" w:rsidRDefault="00885A78" w:rsidP="00D70B34">
            <w:pPr>
              <w:jc w:val="center"/>
              <w:rPr>
                <w:b/>
                <w:bCs/>
                <w:szCs w:val="22"/>
                <w:lang w:val="sr-Latn-ME"/>
              </w:rPr>
            </w:pPr>
            <w:r w:rsidRPr="00F24057">
              <w:rPr>
                <w:szCs w:val="22"/>
                <w:lang w:val="sr-Latn-ME"/>
              </w:rPr>
              <w:t>nedjelj</w:t>
            </w:r>
            <w:r w:rsidR="008533A1" w:rsidRPr="00F24057">
              <w:rPr>
                <w:szCs w:val="22"/>
                <w:lang w:val="sr-Latn-ME"/>
              </w:rPr>
              <w:t>a 24</w:t>
            </w:r>
          </w:p>
        </w:tc>
        <w:tc>
          <w:tcPr>
            <w:tcW w:w="1000" w:type="pct"/>
            <w:tcBorders>
              <w:top w:val="nil"/>
            </w:tcBorders>
            <w:vAlign w:val="center"/>
          </w:tcPr>
          <w:p w14:paraId="206681EE" w14:textId="77777777" w:rsidR="002B1C20" w:rsidRPr="00F24057" w:rsidRDefault="002B1C20" w:rsidP="00D70B34">
            <w:pPr>
              <w:jc w:val="center"/>
              <w:rPr>
                <w:szCs w:val="22"/>
                <w:lang w:val="sr-Latn-ME"/>
              </w:rPr>
            </w:pPr>
          </w:p>
          <w:p w14:paraId="75C2FE65" w14:textId="4CD19C50" w:rsidR="00902C35" w:rsidRPr="00F24057" w:rsidRDefault="00DA7746" w:rsidP="00D70B34">
            <w:pPr>
              <w:jc w:val="center"/>
              <w:rPr>
                <w:szCs w:val="22"/>
                <w:lang w:val="sr-Latn-ME"/>
              </w:rPr>
            </w:pPr>
            <w:r w:rsidRPr="00F24057">
              <w:rPr>
                <w:szCs w:val="22"/>
                <w:lang w:val="sr-Latn-ME"/>
              </w:rPr>
              <w:t>1%</w:t>
            </w:r>
          </w:p>
          <w:p w14:paraId="1C614B7C" w14:textId="419E4ABE" w:rsidR="002B1C20" w:rsidRPr="00F24057" w:rsidRDefault="002B1C20" w:rsidP="00D70B34">
            <w:pPr>
              <w:jc w:val="center"/>
              <w:rPr>
                <w:b/>
                <w:bCs/>
                <w:szCs w:val="22"/>
                <w:lang w:val="sr-Latn-ME"/>
              </w:rPr>
            </w:pPr>
            <w:r w:rsidRPr="00F24057">
              <w:rPr>
                <w:szCs w:val="22"/>
                <w:lang w:val="sr-Latn-ME"/>
              </w:rPr>
              <w:t>1%</w:t>
            </w:r>
          </w:p>
        </w:tc>
        <w:tc>
          <w:tcPr>
            <w:tcW w:w="1000" w:type="pct"/>
            <w:tcBorders>
              <w:top w:val="nil"/>
            </w:tcBorders>
            <w:vAlign w:val="center"/>
          </w:tcPr>
          <w:p w14:paraId="08BB7EAC" w14:textId="77777777" w:rsidR="002B1C20" w:rsidRPr="00F24057" w:rsidRDefault="002B1C20" w:rsidP="00D70B34">
            <w:pPr>
              <w:jc w:val="center"/>
              <w:rPr>
                <w:szCs w:val="22"/>
                <w:lang w:val="sr-Latn-ME"/>
              </w:rPr>
            </w:pPr>
          </w:p>
          <w:p w14:paraId="2B75B694" w14:textId="17934B46" w:rsidR="00902C35" w:rsidRPr="00F24057" w:rsidRDefault="00DA7746" w:rsidP="00D70B34">
            <w:pPr>
              <w:jc w:val="center"/>
              <w:rPr>
                <w:szCs w:val="22"/>
                <w:lang w:val="sr-Latn-ME"/>
              </w:rPr>
            </w:pPr>
            <w:r w:rsidRPr="00F24057">
              <w:rPr>
                <w:szCs w:val="22"/>
                <w:lang w:val="sr-Latn-ME"/>
              </w:rPr>
              <w:t>20%***</w:t>
            </w:r>
          </w:p>
          <w:p w14:paraId="5B999A54" w14:textId="5DEA230E" w:rsidR="002B1C20" w:rsidRPr="00F24057" w:rsidRDefault="002B1C20" w:rsidP="00D70B34">
            <w:pPr>
              <w:jc w:val="center"/>
              <w:rPr>
                <w:b/>
                <w:bCs/>
                <w:szCs w:val="22"/>
                <w:lang w:val="sr-Latn-ME"/>
              </w:rPr>
            </w:pPr>
            <w:r w:rsidRPr="00F24057">
              <w:rPr>
                <w:szCs w:val="22"/>
                <w:lang w:val="sr-Latn-ME"/>
              </w:rPr>
              <w:t>23%***</w:t>
            </w:r>
          </w:p>
        </w:tc>
        <w:tc>
          <w:tcPr>
            <w:tcW w:w="1000" w:type="pct"/>
            <w:tcBorders>
              <w:top w:val="nil"/>
            </w:tcBorders>
            <w:vAlign w:val="center"/>
          </w:tcPr>
          <w:p w14:paraId="7626BEDE" w14:textId="77777777" w:rsidR="002B1C20" w:rsidRPr="00F24057" w:rsidRDefault="002B1C20" w:rsidP="00D70B34">
            <w:pPr>
              <w:jc w:val="center"/>
              <w:rPr>
                <w:szCs w:val="22"/>
                <w:lang w:val="sr-Latn-ME"/>
              </w:rPr>
            </w:pPr>
          </w:p>
          <w:p w14:paraId="7DCA20B8" w14:textId="17356314" w:rsidR="00902C35" w:rsidRPr="00F24057" w:rsidRDefault="00DA7746" w:rsidP="00D70B34">
            <w:pPr>
              <w:jc w:val="center"/>
              <w:rPr>
                <w:szCs w:val="22"/>
                <w:lang w:val="sr-Latn-ME"/>
              </w:rPr>
            </w:pPr>
            <w:r w:rsidRPr="00F24057">
              <w:rPr>
                <w:szCs w:val="22"/>
                <w:lang w:val="sr-Latn-ME"/>
              </w:rPr>
              <w:t>0%</w:t>
            </w:r>
          </w:p>
          <w:p w14:paraId="2EC270E4" w14:textId="4E562F13" w:rsidR="002B1C20" w:rsidRPr="00F24057" w:rsidRDefault="002B1C20" w:rsidP="00D70B34">
            <w:pPr>
              <w:jc w:val="center"/>
              <w:rPr>
                <w:b/>
                <w:bCs/>
                <w:szCs w:val="22"/>
                <w:lang w:val="sr-Latn-ME"/>
              </w:rPr>
            </w:pPr>
            <w:r w:rsidRPr="00F24057">
              <w:rPr>
                <w:szCs w:val="22"/>
                <w:lang w:val="sr-Latn-ME"/>
              </w:rPr>
              <w:t>N/A</w:t>
            </w:r>
          </w:p>
        </w:tc>
        <w:tc>
          <w:tcPr>
            <w:tcW w:w="1000" w:type="pct"/>
            <w:tcBorders>
              <w:top w:val="nil"/>
            </w:tcBorders>
            <w:vAlign w:val="center"/>
          </w:tcPr>
          <w:p w14:paraId="74E52E7D" w14:textId="77777777" w:rsidR="002B1C20" w:rsidRPr="00F24057" w:rsidRDefault="002B1C20" w:rsidP="00D70B34">
            <w:pPr>
              <w:jc w:val="center"/>
              <w:rPr>
                <w:szCs w:val="22"/>
                <w:lang w:val="sr-Latn-ME"/>
              </w:rPr>
            </w:pPr>
          </w:p>
          <w:p w14:paraId="789850D4" w14:textId="1BF72F7A" w:rsidR="00902C35" w:rsidRPr="00F24057" w:rsidRDefault="00DA7746" w:rsidP="00D70B34">
            <w:pPr>
              <w:jc w:val="center"/>
              <w:rPr>
                <w:szCs w:val="22"/>
                <w:lang w:val="sr-Latn-ME"/>
              </w:rPr>
            </w:pPr>
            <w:r w:rsidRPr="00F24057">
              <w:rPr>
                <w:szCs w:val="22"/>
                <w:lang w:val="sr-Latn-ME"/>
              </w:rPr>
              <w:t>14%*</w:t>
            </w:r>
          </w:p>
          <w:p w14:paraId="7471B5A3" w14:textId="0661D3E0" w:rsidR="002B1C20" w:rsidRPr="00F24057" w:rsidRDefault="002B1C20" w:rsidP="00D70B34">
            <w:pPr>
              <w:jc w:val="center"/>
              <w:rPr>
                <w:b/>
                <w:bCs/>
                <w:szCs w:val="22"/>
                <w:lang w:val="sr-Latn-ME"/>
              </w:rPr>
            </w:pPr>
            <w:r w:rsidRPr="00F24057">
              <w:rPr>
                <w:szCs w:val="22"/>
                <w:lang w:val="sr-Latn-ME"/>
              </w:rPr>
              <w:t>N/A</w:t>
            </w:r>
          </w:p>
        </w:tc>
      </w:tr>
    </w:tbl>
    <w:p w14:paraId="7ACC1265" w14:textId="77777777" w:rsidR="006C3EE7" w:rsidRPr="00F24057" w:rsidRDefault="006C3EE7" w:rsidP="00D70B34">
      <w:pPr>
        <w:rPr>
          <w:szCs w:val="22"/>
          <w:lang w:val="sr-Latn-ME"/>
        </w:rPr>
      </w:pPr>
      <w:r w:rsidRPr="00F24057">
        <w:rPr>
          <w:szCs w:val="22"/>
          <w:lang w:val="sr-Latn-ME"/>
        </w:rPr>
        <w:t xml:space="preserve">*** p &lt; 0,001 za sva poređenja adalimumaba i placeba </w:t>
      </w:r>
    </w:p>
    <w:p w14:paraId="2073BBE9" w14:textId="77777777" w:rsidR="006C3EE7" w:rsidRPr="00F24057" w:rsidRDefault="006C3EE7" w:rsidP="00D70B34">
      <w:pPr>
        <w:rPr>
          <w:szCs w:val="22"/>
          <w:lang w:val="sr-Latn-ME"/>
        </w:rPr>
      </w:pPr>
      <w:r w:rsidRPr="00F24057">
        <w:rPr>
          <w:szCs w:val="22"/>
          <w:lang w:val="sr-Latn-ME"/>
        </w:rPr>
        <w:t xml:space="preserve">* p &lt; 0,05 za sva poređenja adalimumaba i placeba </w:t>
      </w:r>
    </w:p>
    <w:p w14:paraId="5CD7740B" w14:textId="6EC0370B" w:rsidR="003E02DC" w:rsidRPr="00F24057" w:rsidRDefault="006C3EE7" w:rsidP="00D70B34">
      <w:pPr>
        <w:rPr>
          <w:b/>
          <w:bCs/>
          <w:szCs w:val="22"/>
          <w:lang w:val="sr-Latn-ME"/>
        </w:rPr>
      </w:pPr>
      <w:r w:rsidRPr="00F24057">
        <w:rPr>
          <w:szCs w:val="22"/>
          <w:lang w:val="sr-Latn-ME"/>
        </w:rPr>
        <w:t xml:space="preserve">N/A - nije </w:t>
      </w:r>
      <w:r w:rsidR="0030064A" w:rsidRPr="00F24057">
        <w:rPr>
          <w:szCs w:val="22"/>
          <w:lang w:val="sr-Latn-ME"/>
        </w:rPr>
        <w:t>primjen</w:t>
      </w:r>
      <w:r w:rsidRPr="00F24057">
        <w:rPr>
          <w:szCs w:val="22"/>
          <w:lang w:val="sr-Latn-ME"/>
        </w:rPr>
        <w:t>jivo</w:t>
      </w:r>
    </w:p>
    <w:p w14:paraId="0E2F69C7" w14:textId="77777777" w:rsidR="00612B7D" w:rsidRPr="00F24057" w:rsidRDefault="00612B7D" w:rsidP="00D70B34">
      <w:pPr>
        <w:rPr>
          <w:b/>
          <w:bCs/>
          <w:szCs w:val="22"/>
          <w:lang w:val="sr-Latn-ME"/>
        </w:rPr>
      </w:pPr>
    </w:p>
    <w:p w14:paraId="0887D1D9" w14:textId="70D2E558" w:rsidR="006C3EE7" w:rsidRPr="00F24057" w:rsidRDefault="006C3EE7" w:rsidP="00D70B34">
      <w:pPr>
        <w:rPr>
          <w:szCs w:val="22"/>
          <w:lang w:val="sr-Latn-ME"/>
        </w:rPr>
      </w:pPr>
      <w:r w:rsidRPr="00F24057">
        <w:rPr>
          <w:szCs w:val="22"/>
          <w:lang w:val="sr-Latn-ME"/>
        </w:rPr>
        <w:t xml:space="preserve">ACR odgovori u PsA studiji </w:t>
      </w:r>
      <w:r w:rsidR="00C0295E" w:rsidRPr="00F24057">
        <w:rPr>
          <w:szCs w:val="22"/>
          <w:lang w:val="sr-Latn-ME"/>
        </w:rPr>
        <w:t>i</w:t>
      </w:r>
      <w:r w:rsidRPr="00F24057">
        <w:rPr>
          <w:szCs w:val="22"/>
          <w:lang w:val="sr-Latn-ME"/>
        </w:rPr>
        <w:t xml:space="preserve"> bili su slični sa i bez prateće terapije metotreksatom. ACR odgovori su održavani u otvorenoj ekstenzivnoj studiji do 136 </w:t>
      </w:r>
      <w:r w:rsidR="00885A78" w:rsidRPr="00F24057">
        <w:rPr>
          <w:szCs w:val="22"/>
          <w:lang w:val="sr-Latn-ME"/>
        </w:rPr>
        <w:t>nedjelj</w:t>
      </w:r>
      <w:r w:rsidRPr="00F24057">
        <w:rPr>
          <w:szCs w:val="22"/>
          <w:lang w:val="sr-Latn-ME"/>
        </w:rPr>
        <w:t xml:space="preserve">a. </w:t>
      </w:r>
    </w:p>
    <w:p w14:paraId="15731425" w14:textId="77777777" w:rsidR="006C3EE7" w:rsidRPr="00F24057" w:rsidRDefault="006C3EE7" w:rsidP="00D70B34">
      <w:pPr>
        <w:rPr>
          <w:szCs w:val="22"/>
          <w:lang w:val="sr-Latn-ME"/>
        </w:rPr>
      </w:pPr>
    </w:p>
    <w:p w14:paraId="606DD42B" w14:textId="42F5A45A" w:rsidR="006C3EE7" w:rsidRPr="00F24057" w:rsidRDefault="006C3EE7" w:rsidP="00D70B34">
      <w:pPr>
        <w:rPr>
          <w:szCs w:val="22"/>
          <w:lang w:val="sr-Latn-ME"/>
        </w:rPr>
      </w:pPr>
      <w:r w:rsidRPr="00F24057">
        <w:rPr>
          <w:szCs w:val="22"/>
          <w:lang w:val="sr-Latn-ME"/>
        </w:rPr>
        <w:t xml:space="preserve">Radiografske </w:t>
      </w:r>
      <w:r w:rsidR="004F2520" w:rsidRPr="00F24057">
        <w:rPr>
          <w:szCs w:val="22"/>
          <w:lang w:val="sr-Latn-ME"/>
        </w:rPr>
        <w:t>promjen</w:t>
      </w:r>
      <w:r w:rsidRPr="00F24057">
        <w:rPr>
          <w:szCs w:val="22"/>
          <w:lang w:val="sr-Latn-ME"/>
        </w:rPr>
        <w:t xml:space="preserve">e su praćene u studijama sa psorijaznim artritisom. Radiografija šake, ručnog zgloba i stopala rađena je </w:t>
      </w:r>
      <w:r w:rsidR="00885A78" w:rsidRPr="00F24057">
        <w:rPr>
          <w:szCs w:val="22"/>
          <w:lang w:val="sr-Latn-ME"/>
        </w:rPr>
        <w:t xml:space="preserve">prije </w:t>
      </w:r>
      <w:r w:rsidRPr="00F24057">
        <w:rPr>
          <w:szCs w:val="22"/>
          <w:lang w:val="sr-Latn-ME"/>
        </w:rPr>
        <w:t xml:space="preserve">terapije i posle 24 </w:t>
      </w:r>
      <w:r w:rsidR="00885A78" w:rsidRPr="00F24057">
        <w:rPr>
          <w:szCs w:val="22"/>
          <w:lang w:val="sr-Latn-ME"/>
        </w:rPr>
        <w:t>nedjelj</w:t>
      </w:r>
      <w:r w:rsidRPr="00F24057">
        <w:rPr>
          <w:szCs w:val="22"/>
          <w:lang w:val="sr-Latn-ME"/>
        </w:rPr>
        <w:t>e tokom dvostruko-sl</w:t>
      </w:r>
      <w:r w:rsidR="00972894" w:rsidRPr="00F24057">
        <w:rPr>
          <w:szCs w:val="22"/>
          <w:lang w:val="sr-Latn-ME"/>
        </w:rPr>
        <w:t>ij</w:t>
      </w:r>
      <w:r w:rsidRPr="00F24057">
        <w:rPr>
          <w:szCs w:val="22"/>
          <w:lang w:val="sr-Latn-ME"/>
        </w:rPr>
        <w:t xml:space="preserve">epe terapije kada su pacijenti bili na adalimumabu ili placebu i posle 48 </w:t>
      </w:r>
      <w:r w:rsidR="00885A78" w:rsidRPr="00F24057">
        <w:rPr>
          <w:szCs w:val="22"/>
          <w:lang w:val="sr-Latn-ME"/>
        </w:rPr>
        <w:t>nedjelj</w:t>
      </w:r>
      <w:r w:rsidRPr="00F24057">
        <w:rPr>
          <w:szCs w:val="22"/>
          <w:lang w:val="sr-Latn-ME"/>
        </w:rPr>
        <w:t xml:space="preserve">a, kada su svi pacijenti u okviru otvorenog dizajna primali adalimumab. Korišćen je modifikovan ukupni </w:t>
      </w:r>
      <w:r w:rsidRPr="00F24057">
        <w:rPr>
          <w:i/>
          <w:iCs/>
          <w:szCs w:val="22"/>
          <w:lang w:val="sr-Latn-ME"/>
        </w:rPr>
        <w:t>Sharp</w:t>
      </w:r>
      <w:r w:rsidRPr="00F24057">
        <w:rPr>
          <w:szCs w:val="22"/>
          <w:lang w:val="sr-Latn-ME"/>
        </w:rPr>
        <w:t xml:space="preserve"> skor (mTSS), koji je uključio distalne interfalangealne zglobove (tj. nije isti kao TSS korišćen za reumatoidni artritis). </w:t>
      </w:r>
    </w:p>
    <w:p w14:paraId="49AB4961" w14:textId="77777777" w:rsidR="006C3EE7" w:rsidRPr="00F24057" w:rsidRDefault="006C3EE7" w:rsidP="00D70B34">
      <w:pPr>
        <w:rPr>
          <w:szCs w:val="22"/>
          <w:lang w:val="sr-Latn-ME"/>
        </w:rPr>
      </w:pPr>
    </w:p>
    <w:p w14:paraId="47E81B02" w14:textId="21B3D5F6" w:rsidR="006C3EE7" w:rsidRPr="00F24057" w:rsidRDefault="006C3EE7" w:rsidP="00D70B34">
      <w:pPr>
        <w:rPr>
          <w:szCs w:val="22"/>
          <w:lang w:val="sr-Latn-ME"/>
        </w:rPr>
      </w:pPr>
      <w:r w:rsidRPr="00F24057">
        <w:rPr>
          <w:szCs w:val="22"/>
          <w:lang w:val="sr-Latn-ME"/>
        </w:rPr>
        <w:t xml:space="preserve">Terapija adalimumabom je smanjila učestalost progresije oštećenja perifernih zglobova, u poređenju sa placebom, </w:t>
      </w:r>
      <w:r w:rsidR="0030064A" w:rsidRPr="00F24057">
        <w:rPr>
          <w:szCs w:val="22"/>
          <w:lang w:val="sr-Latn-ME"/>
        </w:rPr>
        <w:t>mjeren</w:t>
      </w:r>
      <w:r w:rsidRPr="00F24057">
        <w:rPr>
          <w:szCs w:val="22"/>
          <w:lang w:val="sr-Latn-ME"/>
        </w:rPr>
        <w:t xml:space="preserve">o </w:t>
      </w:r>
      <w:r w:rsidR="004F2520" w:rsidRPr="00F24057">
        <w:rPr>
          <w:szCs w:val="22"/>
          <w:lang w:val="sr-Latn-ME"/>
        </w:rPr>
        <w:t>promjen</w:t>
      </w:r>
      <w:r w:rsidRPr="00F24057">
        <w:rPr>
          <w:szCs w:val="22"/>
          <w:lang w:val="sr-Latn-ME"/>
        </w:rPr>
        <w:t xml:space="preserve">om mTSS skora u odnosu na stanje </w:t>
      </w:r>
      <w:r w:rsidR="00885A78" w:rsidRPr="00F24057">
        <w:rPr>
          <w:szCs w:val="22"/>
          <w:lang w:val="sr-Latn-ME"/>
        </w:rPr>
        <w:t xml:space="preserve">prije </w:t>
      </w:r>
      <w:r w:rsidRPr="00F24057">
        <w:rPr>
          <w:szCs w:val="22"/>
          <w:lang w:val="sr-Latn-ME"/>
        </w:rPr>
        <w:t xml:space="preserve">početka terapije (srednja </w:t>
      </w:r>
      <w:r w:rsidR="00972894" w:rsidRPr="00F24057">
        <w:rPr>
          <w:szCs w:val="22"/>
          <w:lang w:val="sr-Latn-ME"/>
        </w:rPr>
        <w:t>vrijedno</w:t>
      </w:r>
      <w:r w:rsidRPr="00F24057">
        <w:rPr>
          <w:szCs w:val="22"/>
          <w:lang w:val="sr-Latn-ME"/>
        </w:rPr>
        <w:t>st ± SD): 0,8 ± 2,5 u placebo grupi (</w:t>
      </w:r>
      <w:r w:rsidR="00885A78" w:rsidRPr="00F24057">
        <w:rPr>
          <w:szCs w:val="22"/>
          <w:lang w:val="sr-Latn-ME"/>
        </w:rPr>
        <w:t>nedjelj</w:t>
      </w:r>
      <w:r w:rsidRPr="00F24057">
        <w:rPr>
          <w:szCs w:val="22"/>
          <w:lang w:val="sr-Latn-ME"/>
        </w:rPr>
        <w:t>a 24) u poređenju sa 0,0 ± 1,9 (p &lt; 0,001) u adalimumab grupi (</w:t>
      </w:r>
      <w:r w:rsidR="00885A78" w:rsidRPr="00F24057">
        <w:rPr>
          <w:szCs w:val="22"/>
          <w:lang w:val="sr-Latn-ME"/>
        </w:rPr>
        <w:t>nedjelj</w:t>
      </w:r>
      <w:r w:rsidRPr="00F24057">
        <w:rPr>
          <w:szCs w:val="22"/>
          <w:lang w:val="sr-Latn-ME"/>
        </w:rPr>
        <w:t xml:space="preserve">a 48). </w:t>
      </w:r>
    </w:p>
    <w:p w14:paraId="570A60BF" w14:textId="77777777" w:rsidR="006C3EE7" w:rsidRPr="00F24057" w:rsidRDefault="006C3EE7" w:rsidP="00D70B34">
      <w:pPr>
        <w:rPr>
          <w:szCs w:val="22"/>
          <w:lang w:val="sr-Latn-ME"/>
        </w:rPr>
      </w:pPr>
    </w:p>
    <w:p w14:paraId="479348F5" w14:textId="5BD8833D" w:rsidR="000F3C35" w:rsidRPr="00F24057" w:rsidRDefault="006C3EE7" w:rsidP="00D70B34">
      <w:pPr>
        <w:rPr>
          <w:szCs w:val="22"/>
          <w:lang w:val="sr-Latn-ME"/>
        </w:rPr>
      </w:pPr>
      <w:r w:rsidRPr="00F24057">
        <w:rPr>
          <w:szCs w:val="22"/>
          <w:lang w:val="sr-Latn-ME"/>
        </w:rPr>
        <w:lastRenderedPageBreak/>
        <w:t xml:space="preserve">Kod pacijenata </w:t>
      </w:r>
      <w:r w:rsidR="00885A78" w:rsidRPr="00F24057">
        <w:rPr>
          <w:szCs w:val="22"/>
          <w:lang w:val="sr-Latn-ME"/>
        </w:rPr>
        <w:t>liječe</w:t>
      </w:r>
      <w:r w:rsidRPr="00F24057">
        <w:rPr>
          <w:szCs w:val="22"/>
          <w:lang w:val="sr-Latn-ME"/>
        </w:rPr>
        <w:t xml:space="preserve">nih adalimumabom koji nisu imali radiografsku progresiju tokom 48 </w:t>
      </w:r>
      <w:r w:rsidR="00885A78" w:rsidRPr="00F24057">
        <w:rPr>
          <w:szCs w:val="22"/>
          <w:lang w:val="sr-Latn-ME"/>
        </w:rPr>
        <w:t>nedjelj</w:t>
      </w:r>
      <w:r w:rsidRPr="00F24057">
        <w:rPr>
          <w:szCs w:val="22"/>
          <w:lang w:val="sr-Latn-ME"/>
        </w:rPr>
        <w:t xml:space="preserve">a terapije (n=102), 84% je i dalje imalo odsustvo radiografske progresije do kraja 144 </w:t>
      </w:r>
      <w:r w:rsidR="00885A78" w:rsidRPr="00F24057">
        <w:rPr>
          <w:szCs w:val="22"/>
          <w:lang w:val="sr-Latn-ME"/>
        </w:rPr>
        <w:t>nedjelj</w:t>
      </w:r>
      <w:r w:rsidRPr="00F24057">
        <w:rPr>
          <w:szCs w:val="22"/>
          <w:lang w:val="sr-Latn-ME"/>
        </w:rPr>
        <w:t xml:space="preserve">e terapije. U poređenju sa placebom, pacijenti </w:t>
      </w:r>
      <w:r w:rsidR="00885A78" w:rsidRPr="00F24057">
        <w:rPr>
          <w:szCs w:val="22"/>
          <w:lang w:val="sr-Latn-ME"/>
        </w:rPr>
        <w:t>liječe</w:t>
      </w:r>
      <w:r w:rsidRPr="00F24057">
        <w:rPr>
          <w:szCs w:val="22"/>
          <w:lang w:val="sr-Latn-ME"/>
        </w:rPr>
        <w:t xml:space="preserve">ni adalimumabom pokazali su statistički značajno poboljšanje fizičke funkcije, </w:t>
      </w:r>
      <w:r w:rsidR="0030064A" w:rsidRPr="00F24057">
        <w:rPr>
          <w:szCs w:val="22"/>
          <w:lang w:val="sr-Latn-ME"/>
        </w:rPr>
        <w:t>mjeren</w:t>
      </w:r>
      <w:r w:rsidRPr="00F24057">
        <w:rPr>
          <w:szCs w:val="22"/>
          <w:lang w:val="sr-Latn-ME"/>
        </w:rPr>
        <w:t>o HAQ i SF 36 (</w:t>
      </w:r>
      <w:r w:rsidRPr="00F24057">
        <w:rPr>
          <w:i/>
          <w:iCs/>
          <w:szCs w:val="22"/>
          <w:lang w:val="sr-Latn-ME"/>
        </w:rPr>
        <w:t>Short Form Health Survey</w:t>
      </w:r>
      <w:r w:rsidRPr="00F24057">
        <w:rPr>
          <w:szCs w:val="22"/>
          <w:lang w:val="sr-Latn-ME"/>
        </w:rPr>
        <w:t xml:space="preserve">) upitnicima u 24. </w:t>
      </w:r>
      <w:r w:rsidR="00885A78" w:rsidRPr="00F24057">
        <w:rPr>
          <w:szCs w:val="22"/>
          <w:lang w:val="sr-Latn-ME"/>
        </w:rPr>
        <w:t>nedjelj</w:t>
      </w:r>
      <w:r w:rsidRPr="00F24057">
        <w:rPr>
          <w:szCs w:val="22"/>
          <w:lang w:val="sr-Latn-ME"/>
        </w:rPr>
        <w:t xml:space="preserve">i. Poboljšana fizička funkcija nastavljena je i tokom otvorenog ekstenzivnog perioda studije do kraja 136. </w:t>
      </w:r>
      <w:r w:rsidR="00885A78" w:rsidRPr="00F24057">
        <w:rPr>
          <w:szCs w:val="22"/>
          <w:lang w:val="sr-Latn-ME"/>
        </w:rPr>
        <w:t>nedjelj</w:t>
      </w:r>
      <w:r w:rsidRPr="00F24057">
        <w:rPr>
          <w:szCs w:val="22"/>
          <w:lang w:val="sr-Latn-ME"/>
        </w:rPr>
        <w:t>e.</w:t>
      </w:r>
    </w:p>
    <w:p w14:paraId="0ED379D9" w14:textId="572B2A0B" w:rsidR="006C3EE7" w:rsidRPr="00F24057" w:rsidRDefault="006C3EE7" w:rsidP="00D70B34">
      <w:pPr>
        <w:rPr>
          <w:szCs w:val="22"/>
          <w:lang w:val="sr-Latn-ME"/>
        </w:rPr>
      </w:pPr>
    </w:p>
    <w:p w14:paraId="3F8C42F6" w14:textId="77777777" w:rsidR="004D64E8" w:rsidRPr="00F24057" w:rsidRDefault="004D64E8" w:rsidP="00D70B34">
      <w:pPr>
        <w:rPr>
          <w:i/>
          <w:iCs/>
          <w:szCs w:val="22"/>
          <w:lang w:val="sr-Latn-ME"/>
        </w:rPr>
      </w:pPr>
      <w:r w:rsidRPr="00F24057">
        <w:rPr>
          <w:i/>
          <w:iCs/>
          <w:szCs w:val="22"/>
          <w:lang w:val="sr-Latn-ME"/>
        </w:rPr>
        <w:t xml:space="preserve">Psorijaza </w:t>
      </w:r>
    </w:p>
    <w:p w14:paraId="4C90F910" w14:textId="6692C3AA" w:rsidR="004D64E8" w:rsidRPr="00F24057" w:rsidRDefault="0030064A" w:rsidP="00D70B34">
      <w:pPr>
        <w:rPr>
          <w:szCs w:val="22"/>
          <w:lang w:val="sr-Latn-ME"/>
        </w:rPr>
      </w:pPr>
      <w:r w:rsidRPr="00F24057">
        <w:rPr>
          <w:szCs w:val="22"/>
          <w:lang w:val="sr-Latn-ME"/>
        </w:rPr>
        <w:t>Bezbjedno</w:t>
      </w:r>
      <w:r w:rsidR="004D64E8" w:rsidRPr="00F24057">
        <w:rPr>
          <w:szCs w:val="22"/>
          <w:lang w:val="sr-Latn-ME"/>
        </w:rPr>
        <w:t>st i efikasnost adalimumaba ispitivani su kod odraslih pacijenata sa hroničnom plak psorijazom (zahvaćeno ≥ 10% površine tela i rezultat prema l</w:t>
      </w:r>
      <w:r w:rsidR="00160191" w:rsidRPr="00F24057">
        <w:rPr>
          <w:szCs w:val="22"/>
          <w:lang w:val="sr-Latn-ME"/>
        </w:rPr>
        <w:t>j</w:t>
      </w:r>
      <w:r w:rsidR="004D64E8" w:rsidRPr="00F24057">
        <w:rPr>
          <w:szCs w:val="22"/>
          <w:lang w:val="sr-Latn-ME"/>
        </w:rPr>
        <w:t>estvici za oc</w:t>
      </w:r>
      <w:r w:rsidR="00FF3128" w:rsidRPr="00F24057">
        <w:rPr>
          <w:szCs w:val="22"/>
          <w:lang w:val="sr-Latn-ME"/>
        </w:rPr>
        <w:t>j</w:t>
      </w:r>
      <w:r w:rsidR="004D64E8" w:rsidRPr="00F24057">
        <w:rPr>
          <w:szCs w:val="22"/>
          <w:lang w:val="sr-Latn-ME"/>
        </w:rPr>
        <w:t xml:space="preserve">enjivanje zahvaćenosti kože i težine kliničke slike [engl. </w:t>
      </w:r>
      <w:r w:rsidR="004D64E8" w:rsidRPr="00F24057">
        <w:rPr>
          <w:i/>
          <w:iCs/>
          <w:szCs w:val="22"/>
          <w:lang w:val="sr-Latn-ME"/>
        </w:rPr>
        <w:t>Psoriasis Area and Severity Index</w:t>
      </w:r>
      <w:r w:rsidR="004D64E8" w:rsidRPr="00F24057">
        <w:rPr>
          <w:szCs w:val="22"/>
          <w:lang w:val="sr-Latn-ME"/>
        </w:rPr>
        <w:t xml:space="preserve"> (PASI)] ≥ 12 ili ≥ 10) koji su bili kandidati za sistemsku terapiju ili fototerapiju u randomizovanim, dvostruko-sl</w:t>
      </w:r>
      <w:r w:rsidR="00972894" w:rsidRPr="00F24057">
        <w:rPr>
          <w:szCs w:val="22"/>
          <w:lang w:val="sr-Latn-ME"/>
        </w:rPr>
        <w:t>ij</w:t>
      </w:r>
      <w:r w:rsidR="004D64E8" w:rsidRPr="00F24057">
        <w:rPr>
          <w:szCs w:val="22"/>
          <w:lang w:val="sr-Latn-ME"/>
        </w:rPr>
        <w:t xml:space="preserve">epim studijama. 73% pacijenata uključenih u studije psorijaze I </w:t>
      </w:r>
      <w:r w:rsidR="001B762F" w:rsidRPr="00F24057">
        <w:rPr>
          <w:szCs w:val="22"/>
          <w:lang w:val="sr-Latn-ME"/>
        </w:rPr>
        <w:t xml:space="preserve">i </w:t>
      </w:r>
      <w:r w:rsidR="004D64E8" w:rsidRPr="00F24057">
        <w:rPr>
          <w:szCs w:val="22"/>
          <w:lang w:val="sr-Latn-ME"/>
        </w:rPr>
        <w:t xml:space="preserve">II prethodno je primalo sistemsku terapiju ili fototerapiju. </w:t>
      </w:r>
      <w:r w:rsidRPr="00F24057">
        <w:rPr>
          <w:szCs w:val="22"/>
          <w:lang w:val="sr-Latn-ME"/>
        </w:rPr>
        <w:t>Bezbjedno</w:t>
      </w:r>
      <w:r w:rsidR="004D64E8" w:rsidRPr="00F24057">
        <w:rPr>
          <w:szCs w:val="22"/>
          <w:lang w:val="sr-Latn-ME"/>
        </w:rPr>
        <w:t>st i efikasnost adalimumaba su takođe ispitivane kod odraslih pacijenata sa srednjim do teškim oblikom hronične plak psorijaze sa udruženom psorijazom na šakama i/ili stopalima, koji su bili kandidati za sistemsku terapiju u randomizovanoj, dvostruko sl</w:t>
      </w:r>
      <w:r w:rsidR="00972894" w:rsidRPr="00F24057">
        <w:rPr>
          <w:szCs w:val="22"/>
          <w:lang w:val="sr-Latn-ME"/>
        </w:rPr>
        <w:t>ij</w:t>
      </w:r>
      <w:r w:rsidR="004D64E8" w:rsidRPr="00F24057">
        <w:rPr>
          <w:szCs w:val="22"/>
          <w:lang w:val="sr-Latn-ME"/>
        </w:rPr>
        <w:t xml:space="preserve">epoj studiji (studija psorijaze III). </w:t>
      </w:r>
    </w:p>
    <w:p w14:paraId="21BE78C4" w14:textId="77777777" w:rsidR="004D64E8" w:rsidRPr="00F24057" w:rsidRDefault="004D64E8" w:rsidP="00D70B34">
      <w:pPr>
        <w:rPr>
          <w:szCs w:val="22"/>
          <w:lang w:val="sr-Latn-ME"/>
        </w:rPr>
      </w:pPr>
    </w:p>
    <w:p w14:paraId="5FAC8AF2" w14:textId="70C8807E" w:rsidR="004D64E8" w:rsidRPr="00F24057" w:rsidRDefault="004D64E8" w:rsidP="00D70B34">
      <w:pPr>
        <w:rPr>
          <w:szCs w:val="22"/>
          <w:lang w:val="sr-Latn-ME"/>
        </w:rPr>
      </w:pPr>
      <w:r w:rsidRPr="00F24057">
        <w:rPr>
          <w:szCs w:val="22"/>
          <w:lang w:val="sr-Latn-ME"/>
        </w:rPr>
        <w:t xml:space="preserve">Studija psorijaze I (REVEAL) ispitivala je 1212 pacijenata unutar tri terapijska perioda. U periodu A, pacijenti su primali placebo ili adalimumab u inicijalnoj dozi od 80 mg praćeno dozom od 40 mg svake druge </w:t>
      </w:r>
      <w:r w:rsidR="00885A78" w:rsidRPr="00F24057">
        <w:rPr>
          <w:szCs w:val="22"/>
          <w:lang w:val="sr-Latn-ME"/>
        </w:rPr>
        <w:t>nedjelj</w:t>
      </w:r>
      <w:r w:rsidRPr="00F24057">
        <w:rPr>
          <w:szCs w:val="22"/>
          <w:lang w:val="sr-Latn-ME"/>
        </w:rPr>
        <w:t xml:space="preserve">e sa početkom </w:t>
      </w:r>
      <w:r w:rsidR="00885A78" w:rsidRPr="00F24057">
        <w:rPr>
          <w:szCs w:val="22"/>
          <w:lang w:val="sr-Latn-ME"/>
        </w:rPr>
        <w:t>nedjelj</w:t>
      </w:r>
      <w:r w:rsidRPr="00F24057">
        <w:rPr>
          <w:szCs w:val="22"/>
          <w:lang w:val="sr-Latn-ME"/>
        </w:rPr>
        <w:t xml:space="preserve">u dana posle inicijalne doze. Posle 16 </w:t>
      </w:r>
      <w:r w:rsidR="00885A78" w:rsidRPr="00F24057">
        <w:rPr>
          <w:szCs w:val="22"/>
          <w:lang w:val="sr-Latn-ME"/>
        </w:rPr>
        <w:t>nedjelj</w:t>
      </w:r>
      <w:r w:rsidRPr="00F24057">
        <w:rPr>
          <w:szCs w:val="22"/>
          <w:lang w:val="sr-Latn-ME"/>
        </w:rPr>
        <w:t xml:space="preserve">a terapije, pacijenti koji su postigli PASI 75 odgovor (poboljšanje PASI skora od najmanje 75% u odnosu na preterapijsko stanje), ušli su u period B tokom koga su, u okviru otvorenog dizajna studije primali 40 mg adalimumaba svake druge </w:t>
      </w:r>
      <w:r w:rsidR="00885A78" w:rsidRPr="00F24057">
        <w:rPr>
          <w:szCs w:val="22"/>
          <w:lang w:val="sr-Latn-ME"/>
        </w:rPr>
        <w:t>nedjelj</w:t>
      </w:r>
      <w:r w:rsidRPr="00F24057">
        <w:rPr>
          <w:szCs w:val="22"/>
          <w:lang w:val="sr-Latn-ME"/>
        </w:rPr>
        <w:t xml:space="preserve">e. Pacijenti koji su održali odgovor ≥ PASI 75 u 33. </w:t>
      </w:r>
      <w:r w:rsidR="00885A78" w:rsidRPr="00F24057">
        <w:rPr>
          <w:szCs w:val="22"/>
          <w:lang w:val="sr-Latn-ME"/>
        </w:rPr>
        <w:t>nedjelj</w:t>
      </w:r>
      <w:r w:rsidRPr="00F24057">
        <w:rPr>
          <w:szCs w:val="22"/>
          <w:lang w:val="sr-Latn-ME"/>
        </w:rPr>
        <w:t>i, a primarno su randomizovani na aktivnu terapiju u periodu A, re</w:t>
      </w:r>
      <w:r w:rsidR="00030E8C" w:rsidRPr="00F24057">
        <w:rPr>
          <w:szCs w:val="22"/>
          <w:lang w:val="sr-Latn-ME"/>
        </w:rPr>
        <w:t>-</w:t>
      </w:r>
      <w:r w:rsidRPr="00F24057">
        <w:rPr>
          <w:szCs w:val="22"/>
          <w:lang w:val="sr-Latn-ME"/>
        </w:rPr>
        <w:t xml:space="preserve">randomizovani su u periodu C da prime adalimumab 40 mg svake druge </w:t>
      </w:r>
      <w:r w:rsidR="00885A78" w:rsidRPr="00F24057">
        <w:rPr>
          <w:szCs w:val="22"/>
          <w:lang w:val="sr-Latn-ME"/>
        </w:rPr>
        <w:t>nedjelj</w:t>
      </w:r>
      <w:r w:rsidRPr="00F24057">
        <w:rPr>
          <w:szCs w:val="22"/>
          <w:lang w:val="sr-Latn-ME"/>
        </w:rPr>
        <w:t xml:space="preserve">e ili placebo tokom dodatnih 19 </w:t>
      </w:r>
      <w:r w:rsidR="00885A78" w:rsidRPr="00F24057">
        <w:rPr>
          <w:szCs w:val="22"/>
          <w:lang w:val="sr-Latn-ME"/>
        </w:rPr>
        <w:t>nedjelj</w:t>
      </w:r>
      <w:r w:rsidRPr="00F24057">
        <w:rPr>
          <w:szCs w:val="22"/>
          <w:lang w:val="sr-Latn-ME"/>
        </w:rPr>
        <w:t xml:space="preserve">a. U svim terapijskim grupama, srednji preterapijski PASI skor je bio 18,9, a preterapijski PGA skor (engl. </w:t>
      </w:r>
      <w:r w:rsidRPr="00F24057">
        <w:rPr>
          <w:i/>
          <w:iCs/>
          <w:szCs w:val="22"/>
          <w:lang w:val="sr-Latn-ME"/>
        </w:rPr>
        <w:t>Physician's Global Assessment</w:t>
      </w:r>
      <w:r w:rsidRPr="00F24057">
        <w:rPr>
          <w:szCs w:val="22"/>
          <w:lang w:val="sr-Latn-ME"/>
        </w:rPr>
        <w:t>) je bio od „u</w:t>
      </w:r>
      <w:r w:rsidR="0030064A" w:rsidRPr="00F24057">
        <w:rPr>
          <w:szCs w:val="22"/>
          <w:lang w:val="sr-Latn-ME"/>
        </w:rPr>
        <w:t>mjeren</w:t>
      </w:r>
      <w:r w:rsidRPr="00F24057">
        <w:rPr>
          <w:szCs w:val="22"/>
          <w:lang w:val="sr-Latn-ME"/>
        </w:rPr>
        <w:t xml:space="preserve">ogˮ (53% uključenih pacijenata) do „teškogˮ (41%) i „veoma teškogˮ (6%). </w:t>
      </w:r>
    </w:p>
    <w:p w14:paraId="412D2CCC" w14:textId="77777777" w:rsidR="004D64E8" w:rsidRPr="00F24057" w:rsidRDefault="004D64E8" w:rsidP="00D70B34">
      <w:pPr>
        <w:rPr>
          <w:szCs w:val="22"/>
          <w:lang w:val="sr-Latn-ME"/>
        </w:rPr>
      </w:pPr>
    </w:p>
    <w:p w14:paraId="44AD33E2" w14:textId="0E9E5C60" w:rsidR="004D64E8" w:rsidRPr="00F24057" w:rsidRDefault="004D64E8" w:rsidP="00D70B34">
      <w:pPr>
        <w:rPr>
          <w:szCs w:val="22"/>
          <w:lang w:val="sr-Latn-ME"/>
        </w:rPr>
      </w:pPr>
      <w:r w:rsidRPr="00F24057">
        <w:rPr>
          <w:szCs w:val="22"/>
          <w:lang w:val="sr-Latn-ME"/>
        </w:rPr>
        <w:t xml:space="preserve">Studija psorijaze II (CHAMPION) poredila je efikasnost i </w:t>
      </w:r>
      <w:r w:rsidR="0030064A" w:rsidRPr="00F24057">
        <w:rPr>
          <w:szCs w:val="22"/>
          <w:lang w:val="sr-Latn-ME"/>
        </w:rPr>
        <w:t>bezbjedno</w:t>
      </w:r>
      <w:r w:rsidRPr="00F24057">
        <w:rPr>
          <w:szCs w:val="22"/>
          <w:lang w:val="sr-Latn-ME"/>
        </w:rPr>
        <w:t xml:space="preserve">st adalimumaba vs. metotreksat (MTX) i placebo kod 271 pacijenta. Pacijenti su primili placebo, inicijalnu dozu MTX 7,5 mg, a zatim u rastućoj dozi do 12. </w:t>
      </w:r>
      <w:r w:rsidR="00885A78" w:rsidRPr="00F24057">
        <w:rPr>
          <w:szCs w:val="22"/>
          <w:lang w:val="sr-Latn-ME"/>
        </w:rPr>
        <w:t>nedjelj</w:t>
      </w:r>
      <w:r w:rsidRPr="00F24057">
        <w:rPr>
          <w:szCs w:val="22"/>
          <w:lang w:val="sr-Latn-ME"/>
        </w:rPr>
        <w:t xml:space="preserve">e sa maksimalnom dozom 25 mg ili adalimumab, inicijalna doza 80 mg, a zatim 40 mg svake druge </w:t>
      </w:r>
      <w:r w:rsidR="00885A78" w:rsidRPr="00F24057">
        <w:rPr>
          <w:szCs w:val="22"/>
          <w:lang w:val="sr-Latn-ME"/>
        </w:rPr>
        <w:t>nedjelj</w:t>
      </w:r>
      <w:r w:rsidRPr="00F24057">
        <w:rPr>
          <w:szCs w:val="22"/>
          <w:lang w:val="sr-Latn-ME"/>
        </w:rPr>
        <w:t xml:space="preserve">e (početak </w:t>
      </w:r>
      <w:r w:rsidR="00885A78" w:rsidRPr="00F24057">
        <w:rPr>
          <w:szCs w:val="22"/>
          <w:lang w:val="sr-Latn-ME"/>
        </w:rPr>
        <w:t>nedjelj</w:t>
      </w:r>
      <w:r w:rsidRPr="00F24057">
        <w:rPr>
          <w:szCs w:val="22"/>
          <w:lang w:val="sr-Latn-ME"/>
        </w:rPr>
        <w:t xml:space="preserve">u dana posle inicijalne doze) tokom 16 </w:t>
      </w:r>
      <w:r w:rsidR="00885A78" w:rsidRPr="00F24057">
        <w:rPr>
          <w:szCs w:val="22"/>
          <w:lang w:val="sr-Latn-ME"/>
        </w:rPr>
        <w:t>nedjelj</w:t>
      </w:r>
      <w:r w:rsidRPr="00F24057">
        <w:rPr>
          <w:szCs w:val="22"/>
          <w:lang w:val="sr-Latn-ME"/>
        </w:rPr>
        <w:t xml:space="preserve">a. Nema podataka o </w:t>
      </w:r>
      <w:r w:rsidR="0030064A" w:rsidRPr="00F24057">
        <w:rPr>
          <w:szCs w:val="22"/>
          <w:lang w:val="sr-Latn-ME"/>
        </w:rPr>
        <w:t>primjen</w:t>
      </w:r>
      <w:r w:rsidRPr="00F24057">
        <w:rPr>
          <w:szCs w:val="22"/>
          <w:lang w:val="sr-Latn-ME"/>
        </w:rPr>
        <w:t xml:space="preserve">i adalimumaba i metotreksata duže od 16 </w:t>
      </w:r>
      <w:r w:rsidR="00885A78" w:rsidRPr="00F24057">
        <w:rPr>
          <w:szCs w:val="22"/>
          <w:lang w:val="sr-Latn-ME"/>
        </w:rPr>
        <w:t>nedjelj</w:t>
      </w:r>
      <w:r w:rsidRPr="00F24057">
        <w:rPr>
          <w:szCs w:val="22"/>
          <w:lang w:val="sr-Latn-ME"/>
        </w:rPr>
        <w:t xml:space="preserve">a. Pacijentima na MTX koji su postigli ≥ PASI 50 odgovor posle 8 </w:t>
      </w:r>
      <w:r w:rsidR="00885A78" w:rsidRPr="00F24057">
        <w:rPr>
          <w:szCs w:val="22"/>
          <w:lang w:val="sr-Latn-ME"/>
        </w:rPr>
        <w:t>nedjelj</w:t>
      </w:r>
      <w:r w:rsidRPr="00F24057">
        <w:rPr>
          <w:szCs w:val="22"/>
          <w:lang w:val="sr-Latn-ME"/>
        </w:rPr>
        <w:t xml:space="preserve">a i/ili 12 </w:t>
      </w:r>
      <w:r w:rsidR="00885A78" w:rsidRPr="00F24057">
        <w:rPr>
          <w:szCs w:val="22"/>
          <w:lang w:val="sr-Latn-ME"/>
        </w:rPr>
        <w:t>nedjelj</w:t>
      </w:r>
      <w:r w:rsidRPr="00F24057">
        <w:rPr>
          <w:szCs w:val="22"/>
          <w:lang w:val="sr-Latn-ME"/>
        </w:rPr>
        <w:t xml:space="preserve">a nije dalje povećavana doza MTX. U svim terapijskim grupama, srednji preterapijski PASI skor je bio 19,7, a preterapijski PGA skor (engl. </w:t>
      </w:r>
      <w:r w:rsidRPr="00F24057">
        <w:rPr>
          <w:i/>
          <w:iCs/>
          <w:szCs w:val="22"/>
          <w:lang w:val="sr-Latn-ME"/>
        </w:rPr>
        <w:t>Physician's Global Assessment</w:t>
      </w:r>
      <w:r w:rsidRPr="00F24057">
        <w:rPr>
          <w:szCs w:val="22"/>
          <w:lang w:val="sr-Latn-ME"/>
        </w:rPr>
        <w:t>) je bio od „blagogˮ (&lt; 1%), „u</w:t>
      </w:r>
      <w:r w:rsidR="0030064A" w:rsidRPr="00F24057">
        <w:rPr>
          <w:szCs w:val="22"/>
          <w:lang w:val="sr-Latn-ME"/>
        </w:rPr>
        <w:t>mjeren</w:t>
      </w:r>
      <w:r w:rsidRPr="00F24057">
        <w:rPr>
          <w:szCs w:val="22"/>
          <w:lang w:val="sr-Latn-ME"/>
        </w:rPr>
        <w:t xml:space="preserve">ogˮ (48%) do „teškogˮ (46%) i „veoma teškogˮ (6%). </w:t>
      </w:r>
    </w:p>
    <w:p w14:paraId="407086D0" w14:textId="77777777" w:rsidR="004D64E8" w:rsidRPr="00F24057" w:rsidRDefault="004D64E8" w:rsidP="00D70B34">
      <w:pPr>
        <w:rPr>
          <w:szCs w:val="22"/>
          <w:lang w:val="sr-Latn-ME"/>
        </w:rPr>
      </w:pPr>
    </w:p>
    <w:p w14:paraId="25CF22BC" w14:textId="024F1EAC" w:rsidR="004D64E8" w:rsidRPr="00F24057" w:rsidRDefault="004D64E8" w:rsidP="00D70B34">
      <w:pPr>
        <w:rPr>
          <w:szCs w:val="22"/>
          <w:lang w:val="sr-Latn-ME"/>
        </w:rPr>
      </w:pPr>
      <w:r w:rsidRPr="00F24057">
        <w:rPr>
          <w:szCs w:val="22"/>
          <w:lang w:val="sr-Latn-ME"/>
        </w:rPr>
        <w:t xml:space="preserve">Pacijenti koji su učestvovali u svim studijama psorijaze faze 2 i faze 3 mogli su biti izabrani da učestvuju u otvorenoj produženoj studiji, u kojoj je adalimumab </w:t>
      </w:r>
      <w:r w:rsidR="0030064A" w:rsidRPr="00F24057">
        <w:rPr>
          <w:szCs w:val="22"/>
          <w:lang w:val="sr-Latn-ME"/>
        </w:rPr>
        <w:t>primjen</w:t>
      </w:r>
      <w:r w:rsidRPr="00F24057">
        <w:rPr>
          <w:szCs w:val="22"/>
          <w:lang w:val="sr-Latn-ME"/>
        </w:rPr>
        <w:t xml:space="preserve">jivan još najmanje 108 </w:t>
      </w:r>
      <w:r w:rsidR="00885A78" w:rsidRPr="00F24057">
        <w:rPr>
          <w:szCs w:val="22"/>
          <w:lang w:val="sr-Latn-ME"/>
        </w:rPr>
        <w:t>nedjelj</w:t>
      </w:r>
      <w:r w:rsidRPr="00F24057">
        <w:rPr>
          <w:szCs w:val="22"/>
          <w:lang w:val="sr-Latn-ME"/>
        </w:rPr>
        <w:t xml:space="preserve">a. </w:t>
      </w:r>
    </w:p>
    <w:p w14:paraId="0485AAD9" w14:textId="77777777" w:rsidR="004D64E8" w:rsidRPr="00F24057" w:rsidRDefault="004D64E8" w:rsidP="00D70B34">
      <w:pPr>
        <w:rPr>
          <w:szCs w:val="22"/>
          <w:lang w:val="sr-Latn-ME"/>
        </w:rPr>
      </w:pPr>
    </w:p>
    <w:p w14:paraId="2DF8CC67" w14:textId="22A3934F" w:rsidR="004D64E8" w:rsidRPr="00F24057" w:rsidRDefault="004D64E8" w:rsidP="00D70B34">
      <w:pPr>
        <w:rPr>
          <w:szCs w:val="22"/>
          <w:lang w:val="sr-Latn-ME"/>
        </w:rPr>
      </w:pPr>
      <w:r w:rsidRPr="00F24057">
        <w:rPr>
          <w:szCs w:val="22"/>
          <w:lang w:val="sr-Latn-ME"/>
        </w:rPr>
        <w:t xml:space="preserve">U studijama psorijaze I i II primarni parametar praćenja bio je </w:t>
      </w:r>
      <w:r w:rsidR="00972894" w:rsidRPr="00F24057">
        <w:rPr>
          <w:szCs w:val="22"/>
          <w:lang w:val="sr-Latn-ME"/>
        </w:rPr>
        <w:t>procenat</w:t>
      </w:r>
      <w:r w:rsidRPr="00F24057">
        <w:rPr>
          <w:szCs w:val="22"/>
          <w:lang w:val="sr-Latn-ME"/>
        </w:rPr>
        <w:t xml:space="preserve"> pacijenata koji su postigli PASI 75 odgovor posle 16 </w:t>
      </w:r>
      <w:r w:rsidR="00885A78" w:rsidRPr="00F24057">
        <w:rPr>
          <w:szCs w:val="22"/>
          <w:lang w:val="sr-Latn-ME"/>
        </w:rPr>
        <w:t>nedjelj</w:t>
      </w:r>
      <w:r w:rsidRPr="00F24057">
        <w:rPr>
          <w:szCs w:val="22"/>
          <w:lang w:val="sr-Latn-ME"/>
        </w:rPr>
        <w:t>a u odnosu na početak terapije (</w:t>
      </w:r>
      <w:r w:rsidR="0030064A" w:rsidRPr="00F24057">
        <w:rPr>
          <w:szCs w:val="22"/>
          <w:lang w:val="sr-Latn-ME"/>
        </w:rPr>
        <w:t>vidjeti</w:t>
      </w:r>
      <w:r w:rsidRPr="00F24057">
        <w:rPr>
          <w:szCs w:val="22"/>
          <w:lang w:val="sr-Latn-ME"/>
        </w:rPr>
        <w:t xml:space="preserve"> Tabele 1</w:t>
      </w:r>
      <w:r w:rsidR="00FB323D" w:rsidRPr="00F24057">
        <w:rPr>
          <w:szCs w:val="22"/>
          <w:lang w:val="sr-Latn-ME"/>
        </w:rPr>
        <w:t>6</w:t>
      </w:r>
      <w:r w:rsidRPr="00F24057">
        <w:rPr>
          <w:szCs w:val="22"/>
          <w:lang w:val="sr-Latn-ME"/>
        </w:rPr>
        <w:t xml:space="preserve"> i 1</w:t>
      </w:r>
      <w:r w:rsidR="00FB323D" w:rsidRPr="00F24057">
        <w:rPr>
          <w:szCs w:val="22"/>
          <w:lang w:val="sr-Latn-ME"/>
        </w:rPr>
        <w:t>7</w:t>
      </w:r>
      <w:r w:rsidRPr="00F24057">
        <w:rPr>
          <w:szCs w:val="22"/>
          <w:lang w:val="sr-Latn-ME"/>
        </w:rPr>
        <w:t>).</w:t>
      </w:r>
    </w:p>
    <w:p w14:paraId="7893FACA" w14:textId="600900BB" w:rsidR="005F55CB" w:rsidRPr="00F24057" w:rsidRDefault="005F55CB" w:rsidP="00D70B34">
      <w:pPr>
        <w:rPr>
          <w:szCs w:val="22"/>
          <w:lang w:val="sr-Latn-ME"/>
        </w:rPr>
      </w:pPr>
    </w:p>
    <w:p w14:paraId="546DEEC2" w14:textId="05F11CD0" w:rsidR="005F55CB" w:rsidRPr="00F24057" w:rsidRDefault="005F55CB" w:rsidP="00D70B34">
      <w:pPr>
        <w:rPr>
          <w:b/>
          <w:bCs/>
          <w:szCs w:val="22"/>
          <w:lang w:val="sr-Latn-ME"/>
        </w:rPr>
      </w:pPr>
      <w:r w:rsidRPr="00F24057">
        <w:rPr>
          <w:b/>
          <w:bCs/>
          <w:szCs w:val="22"/>
          <w:lang w:val="sr-Latn-ME"/>
        </w:rPr>
        <w:t xml:space="preserve">Tabela 16. Studija psorijaze I (REVEAL) - rezultati efikasnosti nakon 16. </w:t>
      </w:r>
      <w:r w:rsidR="00885A78" w:rsidRPr="00F24057">
        <w:rPr>
          <w:b/>
          <w:bCs/>
          <w:szCs w:val="22"/>
          <w:lang w:val="sr-Latn-ME"/>
        </w:rPr>
        <w:t>nedjelj</w:t>
      </w:r>
      <w:r w:rsidRPr="00F24057">
        <w:rPr>
          <w:b/>
          <w:bCs/>
          <w:szCs w:val="22"/>
          <w:lang w:val="sr-Latn-ME"/>
        </w:rPr>
        <w:t>a terapije</w:t>
      </w:r>
    </w:p>
    <w:p w14:paraId="3B9128BE" w14:textId="4AD4DF22" w:rsidR="006C3EE7" w:rsidRPr="00F24057" w:rsidRDefault="006C3EE7"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862"/>
        <w:gridCol w:w="2096"/>
        <w:gridCol w:w="4059"/>
      </w:tblGrid>
      <w:tr w:rsidR="00642C55" w:rsidRPr="00F24057" w14:paraId="63C278F4" w14:textId="77777777" w:rsidTr="00BB02C7">
        <w:trPr>
          <w:trHeight w:val="20"/>
        </w:trPr>
        <w:tc>
          <w:tcPr>
            <w:tcW w:w="1587" w:type="pct"/>
            <w:vAlign w:val="center"/>
          </w:tcPr>
          <w:p w14:paraId="0E1E8C80" w14:textId="77777777" w:rsidR="00642C55" w:rsidRPr="00F24057" w:rsidRDefault="00642C55" w:rsidP="00D70B34">
            <w:pPr>
              <w:jc w:val="left"/>
              <w:rPr>
                <w:szCs w:val="22"/>
                <w:lang w:val="sr-Latn-ME"/>
              </w:rPr>
            </w:pPr>
          </w:p>
        </w:tc>
        <w:tc>
          <w:tcPr>
            <w:tcW w:w="1162" w:type="pct"/>
            <w:vAlign w:val="center"/>
          </w:tcPr>
          <w:p w14:paraId="0505180D" w14:textId="67B35284" w:rsidR="00262738" w:rsidRPr="00F24057" w:rsidRDefault="00262738" w:rsidP="00D70B34">
            <w:pPr>
              <w:jc w:val="center"/>
              <w:rPr>
                <w:b/>
                <w:bCs/>
                <w:szCs w:val="22"/>
                <w:lang w:val="sr-Latn-ME"/>
              </w:rPr>
            </w:pPr>
            <w:r w:rsidRPr="00F24057">
              <w:rPr>
                <w:b/>
                <w:bCs/>
                <w:szCs w:val="22"/>
                <w:lang w:val="sr-Latn-ME"/>
              </w:rPr>
              <w:t>Placebo</w:t>
            </w:r>
          </w:p>
          <w:p w14:paraId="644E5BCE" w14:textId="65718E1B" w:rsidR="00DC548F" w:rsidRPr="00F24057" w:rsidRDefault="00262738" w:rsidP="00D70B34">
            <w:pPr>
              <w:jc w:val="center"/>
              <w:rPr>
                <w:b/>
                <w:bCs/>
                <w:szCs w:val="22"/>
                <w:lang w:val="sr-Latn-ME"/>
              </w:rPr>
            </w:pPr>
            <w:r w:rsidRPr="00F24057">
              <w:rPr>
                <w:b/>
                <w:bCs/>
                <w:szCs w:val="22"/>
                <w:lang w:val="sr-Latn-ME"/>
              </w:rPr>
              <w:t>N=398</w:t>
            </w:r>
          </w:p>
          <w:p w14:paraId="4500D61A" w14:textId="301D04D0" w:rsidR="00642C55" w:rsidRPr="00F24057" w:rsidRDefault="00262738" w:rsidP="00D70B34">
            <w:pPr>
              <w:jc w:val="center"/>
              <w:rPr>
                <w:b/>
                <w:bCs/>
                <w:szCs w:val="22"/>
                <w:lang w:val="sr-Latn-ME"/>
              </w:rPr>
            </w:pPr>
            <w:r w:rsidRPr="00F24057">
              <w:rPr>
                <w:b/>
                <w:bCs/>
                <w:szCs w:val="22"/>
                <w:lang w:val="sr-Latn-ME"/>
              </w:rPr>
              <w:t>n (%)</w:t>
            </w:r>
          </w:p>
        </w:tc>
        <w:tc>
          <w:tcPr>
            <w:tcW w:w="2251" w:type="pct"/>
            <w:vAlign w:val="center"/>
          </w:tcPr>
          <w:p w14:paraId="60C43E49" w14:textId="0BC8BF2E" w:rsidR="00262738" w:rsidRPr="00F24057" w:rsidRDefault="00262738" w:rsidP="00D70B34">
            <w:pPr>
              <w:jc w:val="center"/>
              <w:rPr>
                <w:b/>
                <w:bCs/>
                <w:szCs w:val="22"/>
                <w:lang w:val="sr-Latn-ME"/>
              </w:rPr>
            </w:pPr>
            <w:r w:rsidRPr="00F24057">
              <w:rPr>
                <w:b/>
                <w:bCs/>
                <w:szCs w:val="22"/>
                <w:lang w:val="sr-Latn-ME"/>
              </w:rPr>
              <w:t xml:space="preserve">Adalimumab 40 mg svake druge </w:t>
            </w:r>
            <w:r w:rsidR="00885A78" w:rsidRPr="00F24057">
              <w:rPr>
                <w:b/>
                <w:bCs/>
                <w:szCs w:val="22"/>
                <w:lang w:val="sr-Latn-ME"/>
              </w:rPr>
              <w:t>nedjelj</w:t>
            </w:r>
            <w:r w:rsidRPr="00F24057">
              <w:rPr>
                <w:b/>
                <w:bCs/>
                <w:szCs w:val="22"/>
                <w:lang w:val="sr-Latn-ME"/>
              </w:rPr>
              <w:t>e</w:t>
            </w:r>
          </w:p>
          <w:p w14:paraId="774686EE" w14:textId="65E5802F" w:rsidR="00DC548F" w:rsidRPr="00F24057" w:rsidRDefault="00262738" w:rsidP="00D70B34">
            <w:pPr>
              <w:jc w:val="center"/>
              <w:rPr>
                <w:b/>
                <w:bCs/>
                <w:szCs w:val="22"/>
                <w:lang w:val="sr-Latn-ME"/>
              </w:rPr>
            </w:pPr>
            <w:r w:rsidRPr="00F24057">
              <w:rPr>
                <w:b/>
                <w:bCs/>
                <w:szCs w:val="22"/>
                <w:lang w:val="sr-Latn-ME"/>
              </w:rPr>
              <w:t>N=814</w:t>
            </w:r>
          </w:p>
          <w:p w14:paraId="4C2287D9" w14:textId="2D24C92D" w:rsidR="00642C55" w:rsidRPr="00F24057" w:rsidRDefault="00262738" w:rsidP="00D70B34">
            <w:pPr>
              <w:jc w:val="center"/>
              <w:rPr>
                <w:b/>
                <w:bCs/>
                <w:szCs w:val="22"/>
                <w:lang w:val="sr-Latn-ME"/>
              </w:rPr>
            </w:pPr>
            <w:r w:rsidRPr="00F24057">
              <w:rPr>
                <w:b/>
                <w:bCs/>
                <w:szCs w:val="22"/>
                <w:lang w:val="sr-Latn-ME"/>
              </w:rPr>
              <w:t>n (%)</w:t>
            </w:r>
          </w:p>
        </w:tc>
      </w:tr>
      <w:tr w:rsidR="00642C55" w:rsidRPr="00F24057" w14:paraId="3E3C6765" w14:textId="77777777" w:rsidTr="00BB02C7">
        <w:trPr>
          <w:trHeight w:val="20"/>
        </w:trPr>
        <w:tc>
          <w:tcPr>
            <w:tcW w:w="1587" w:type="pct"/>
            <w:vAlign w:val="center"/>
          </w:tcPr>
          <w:p w14:paraId="36A722C6" w14:textId="5C513F31" w:rsidR="00642C55" w:rsidRPr="00F24057" w:rsidRDefault="00262738" w:rsidP="00D70B34">
            <w:pPr>
              <w:jc w:val="left"/>
              <w:rPr>
                <w:b/>
                <w:bCs/>
                <w:szCs w:val="22"/>
                <w:lang w:val="sr-Latn-ME"/>
              </w:rPr>
            </w:pPr>
            <w:r w:rsidRPr="00F24057">
              <w:rPr>
                <w:b/>
                <w:bCs/>
                <w:szCs w:val="22"/>
                <w:lang w:val="sr-Latn-ME"/>
              </w:rPr>
              <w:t>≥ PASI 75</w:t>
            </w:r>
            <w:r w:rsidRPr="00F24057">
              <w:rPr>
                <w:b/>
                <w:bCs/>
                <w:szCs w:val="22"/>
                <w:vertAlign w:val="superscript"/>
                <w:lang w:val="sr-Latn-ME"/>
              </w:rPr>
              <w:t>a</w:t>
            </w:r>
          </w:p>
        </w:tc>
        <w:tc>
          <w:tcPr>
            <w:tcW w:w="1162" w:type="pct"/>
            <w:vAlign w:val="center"/>
          </w:tcPr>
          <w:p w14:paraId="44EDE29E" w14:textId="30736B6F" w:rsidR="00642C55" w:rsidRPr="00F24057" w:rsidRDefault="00732325" w:rsidP="00D70B34">
            <w:pPr>
              <w:jc w:val="center"/>
              <w:rPr>
                <w:szCs w:val="22"/>
                <w:lang w:val="sr-Latn-ME"/>
              </w:rPr>
            </w:pPr>
            <w:r w:rsidRPr="00F24057">
              <w:rPr>
                <w:szCs w:val="22"/>
                <w:lang w:val="sr-Latn-ME"/>
              </w:rPr>
              <w:t>26 (6,5)</w:t>
            </w:r>
          </w:p>
        </w:tc>
        <w:tc>
          <w:tcPr>
            <w:tcW w:w="2251" w:type="pct"/>
            <w:vAlign w:val="center"/>
          </w:tcPr>
          <w:p w14:paraId="751B9552" w14:textId="3B4F8C9D" w:rsidR="00642C55" w:rsidRPr="00F24057" w:rsidRDefault="00732325" w:rsidP="00D70B34">
            <w:pPr>
              <w:jc w:val="center"/>
              <w:rPr>
                <w:szCs w:val="22"/>
                <w:lang w:val="sr-Latn-ME"/>
              </w:rPr>
            </w:pPr>
            <w:r w:rsidRPr="00F24057">
              <w:rPr>
                <w:szCs w:val="22"/>
                <w:lang w:val="sr-Latn-ME"/>
              </w:rPr>
              <w:t>578 (70,9)</w:t>
            </w:r>
            <w:r w:rsidRPr="00F24057">
              <w:rPr>
                <w:szCs w:val="22"/>
                <w:vertAlign w:val="superscript"/>
                <w:lang w:val="sr-Latn-ME"/>
              </w:rPr>
              <w:t>b</w:t>
            </w:r>
          </w:p>
        </w:tc>
      </w:tr>
      <w:tr w:rsidR="00642C55" w:rsidRPr="00F24057" w14:paraId="3297C88F" w14:textId="77777777" w:rsidTr="00BB02C7">
        <w:trPr>
          <w:trHeight w:val="20"/>
        </w:trPr>
        <w:tc>
          <w:tcPr>
            <w:tcW w:w="1587" w:type="pct"/>
            <w:vAlign w:val="center"/>
          </w:tcPr>
          <w:p w14:paraId="2E576A3B" w14:textId="4A651439" w:rsidR="00642C55" w:rsidRPr="00F24057" w:rsidRDefault="00262738" w:rsidP="00D70B34">
            <w:pPr>
              <w:jc w:val="left"/>
              <w:rPr>
                <w:b/>
                <w:bCs/>
                <w:szCs w:val="22"/>
                <w:lang w:val="sr-Latn-ME"/>
              </w:rPr>
            </w:pPr>
            <w:r w:rsidRPr="00F24057">
              <w:rPr>
                <w:b/>
                <w:bCs/>
                <w:szCs w:val="22"/>
                <w:lang w:val="sr-Latn-ME"/>
              </w:rPr>
              <w:t>PASI 100</w:t>
            </w:r>
          </w:p>
        </w:tc>
        <w:tc>
          <w:tcPr>
            <w:tcW w:w="1162" w:type="pct"/>
            <w:vAlign w:val="center"/>
          </w:tcPr>
          <w:p w14:paraId="6A93196C" w14:textId="56ED4B6D" w:rsidR="00642C55" w:rsidRPr="00F24057" w:rsidRDefault="00732325" w:rsidP="00D70B34">
            <w:pPr>
              <w:jc w:val="center"/>
              <w:rPr>
                <w:szCs w:val="22"/>
                <w:lang w:val="sr-Latn-ME"/>
              </w:rPr>
            </w:pPr>
            <w:r w:rsidRPr="00F24057">
              <w:rPr>
                <w:szCs w:val="22"/>
                <w:lang w:val="sr-Latn-ME"/>
              </w:rPr>
              <w:t>3 (0,8)</w:t>
            </w:r>
          </w:p>
        </w:tc>
        <w:tc>
          <w:tcPr>
            <w:tcW w:w="2251" w:type="pct"/>
            <w:vAlign w:val="center"/>
          </w:tcPr>
          <w:p w14:paraId="284322B9" w14:textId="768CBCD2" w:rsidR="00642C55" w:rsidRPr="00F24057" w:rsidRDefault="00732325" w:rsidP="00D70B34">
            <w:pPr>
              <w:jc w:val="center"/>
              <w:rPr>
                <w:szCs w:val="22"/>
                <w:lang w:val="sr-Latn-ME"/>
              </w:rPr>
            </w:pPr>
            <w:r w:rsidRPr="00F24057">
              <w:rPr>
                <w:szCs w:val="22"/>
                <w:lang w:val="sr-Latn-ME"/>
              </w:rPr>
              <w:t>163 (20,0)</w:t>
            </w:r>
            <w:r w:rsidRPr="00F24057">
              <w:rPr>
                <w:szCs w:val="22"/>
                <w:vertAlign w:val="superscript"/>
                <w:lang w:val="sr-Latn-ME"/>
              </w:rPr>
              <w:t>b</w:t>
            </w:r>
          </w:p>
        </w:tc>
      </w:tr>
      <w:tr w:rsidR="00642C55" w:rsidRPr="00F24057" w14:paraId="3A42F4CB" w14:textId="77777777" w:rsidTr="00BB02C7">
        <w:trPr>
          <w:trHeight w:val="20"/>
        </w:trPr>
        <w:tc>
          <w:tcPr>
            <w:tcW w:w="1587" w:type="pct"/>
            <w:vAlign w:val="center"/>
          </w:tcPr>
          <w:p w14:paraId="03F5D604" w14:textId="139CD624" w:rsidR="00642C55" w:rsidRPr="00F24057" w:rsidRDefault="00E24287" w:rsidP="00D70B34">
            <w:pPr>
              <w:jc w:val="left"/>
              <w:rPr>
                <w:b/>
                <w:bCs/>
                <w:szCs w:val="22"/>
                <w:lang w:val="sr-Latn-ME"/>
              </w:rPr>
            </w:pPr>
            <w:r w:rsidRPr="00F24057">
              <w:rPr>
                <w:b/>
                <w:bCs/>
                <w:szCs w:val="22"/>
                <w:lang w:val="sr-Latn-ME"/>
              </w:rPr>
              <w:t>PGA: bez bolesti/minimalno</w:t>
            </w:r>
          </w:p>
        </w:tc>
        <w:tc>
          <w:tcPr>
            <w:tcW w:w="1162" w:type="pct"/>
            <w:vAlign w:val="center"/>
          </w:tcPr>
          <w:p w14:paraId="0920168C" w14:textId="68738716" w:rsidR="00642C55" w:rsidRPr="00F24057" w:rsidRDefault="00732325" w:rsidP="00D70B34">
            <w:pPr>
              <w:jc w:val="center"/>
              <w:rPr>
                <w:szCs w:val="22"/>
                <w:lang w:val="sr-Latn-ME"/>
              </w:rPr>
            </w:pPr>
            <w:r w:rsidRPr="00F24057">
              <w:rPr>
                <w:szCs w:val="22"/>
                <w:lang w:val="sr-Latn-ME"/>
              </w:rPr>
              <w:t>17 (4,3)</w:t>
            </w:r>
          </w:p>
        </w:tc>
        <w:tc>
          <w:tcPr>
            <w:tcW w:w="2251" w:type="pct"/>
            <w:vAlign w:val="center"/>
          </w:tcPr>
          <w:p w14:paraId="2F0DAA17" w14:textId="12D0F65A" w:rsidR="00642C55" w:rsidRPr="00F24057" w:rsidRDefault="00732325" w:rsidP="00D70B34">
            <w:pPr>
              <w:jc w:val="center"/>
              <w:rPr>
                <w:szCs w:val="22"/>
                <w:lang w:val="sr-Latn-ME"/>
              </w:rPr>
            </w:pPr>
            <w:r w:rsidRPr="00F24057">
              <w:rPr>
                <w:szCs w:val="22"/>
                <w:lang w:val="sr-Latn-ME"/>
              </w:rPr>
              <w:t>506 (62,2)</w:t>
            </w:r>
            <w:r w:rsidRPr="00F24057">
              <w:rPr>
                <w:szCs w:val="22"/>
                <w:vertAlign w:val="superscript"/>
                <w:lang w:val="sr-Latn-ME"/>
              </w:rPr>
              <w:t>b</w:t>
            </w:r>
          </w:p>
        </w:tc>
      </w:tr>
      <w:tr w:rsidR="00E24287" w:rsidRPr="00F24057" w14:paraId="740BD16D" w14:textId="77777777" w:rsidTr="00F1226A">
        <w:trPr>
          <w:trHeight w:val="20"/>
        </w:trPr>
        <w:tc>
          <w:tcPr>
            <w:tcW w:w="5000" w:type="pct"/>
            <w:gridSpan w:val="3"/>
            <w:vAlign w:val="center"/>
          </w:tcPr>
          <w:p w14:paraId="22B35037" w14:textId="3F3D65AB" w:rsidR="00070B42" w:rsidRPr="00F24057" w:rsidRDefault="00E24287" w:rsidP="00D70B34">
            <w:pPr>
              <w:jc w:val="left"/>
              <w:rPr>
                <w:szCs w:val="22"/>
                <w:lang w:val="sr-Latn-ME"/>
              </w:rPr>
            </w:pPr>
            <w:r w:rsidRPr="00F24057">
              <w:rPr>
                <w:szCs w:val="22"/>
                <w:vertAlign w:val="superscript"/>
                <w:lang w:val="sr-Latn-ME"/>
              </w:rPr>
              <w:lastRenderedPageBreak/>
              <w:t>a.</w:t>
            </w:r>
            <w:r w:rsidRPr="00F24057">
              <w:rPr>
                <w:szCs w:val="22"/>
                <w:lang w:val="sr-Latn-ME"/>
              </w:rPr>
              <w:t xml:space="preserve"> </w:t>
            </w:r>
            <w:r w:rsidR="00972894" w:rsidRPr="00F24057">
              <w:rPr>
                <w:szCs w:val="22"/>
                <w:lang w:val="sr-Latn-ME"/>
              </w:rPr>
              <w:t>Procenat</w:t>
            </w:r>
            <w:r w:rsidRPr="00F24057">
              <w:rPr>
                <w:szCs w:val="22"/>
                <w:lang w:val="sr-Latn-ME"/>
              </w:rPr>
              <w:t xml:space="preserve"> pacijenata koji su postigli PASI 75 odgovor, izražen kao stopa prilagođena istraživačkom centru</w:t>
            </w:r>
          </w:p>
          <w:p w14:paraId="09BB5DD8" w14:textId="1350ED7B" w:rsidR="00E24287" w:rsidRPr="00F24057" w:rsidRDefault="00E24287" w:rsidP="00D70B34">
            <w:pPr>
              <w:jc w:val="left"/>
              <w:rPr>
                <w:szCs w:val="22"/>
                <w:lang w:val="sr-Latn-ME"/>
              </w:rPr>
            </w:pPr>
            <w:r w:rsidRPr="00F24057">
              <w:rPr>
                <w:szCs w:val="22"/>
                <w:vertAlign w:val="superscript"/>
                <w:lang w:val="sr-Latn-ME"/>
              </w:rPr>
              <w:t>b</w:t>
            </w:r>
            <w:r w:rsidRPr="00F24057">
              <w:rPr>
                <w:szCs w:val="22"/>
                <w:lang w:val="sr-Latn-ME"/>
              </w:rPr>
              <w:t>. p&lt;</w:t>
            </w:r>
            <w:r w:rsidR="00732325" w:rsidRPr="00F24057">
              <w:rPr>
                <w:szCs w:val="22"/>
                <w:lang w:val="sr-Latn-ME"/>
              </w:rPr>
              <w:t xml:space="preserve"> 0,001, adalimumab vs. placebo</w:t>
            </w:r>
          </w:p>
        </w:tc>
      </w:tr>
    </w:tbl>
    <w:p w14:paraId="244C50D6" w14:textId="77777777" w:rsidR="005F55CB" w:rsidRPr="00F24057" w:rsidRDefault="005F55CB" w:rsidP="00D70B34">
      <w:pPr>
        <w:rPr>
          <w:szCs w:val="22"/>
          <w:lang w:val="sr-Latn-ME"/>
        </w:rPr>
      </w:pPr>
    </w:p>
    <w:p w14:paraId="3B93321D" w14:textId="525A3B7A" w:rsidR="005F55CB" w:rsidRPr="00F24057" w:rsidRDefault="005F55CB" w:rsidP="00D70B34">
      <w:pPr>
        <w:rPr>
          <w:b/>
          <w:bCs/>
          <w:szCs w:val="22"/>
          <w:lang w:val="sr-Latn-ME"/>
        </w:rPr>
      </w:pPr>
      <w:r w:rsidRPr="00F24057">
        <w:rPr>
          <w:b/>
          <w:bCs/>
          <w:szCs w:val="22"/>
          <w:lang w:val="sr-Latn-ME"/>
        </w:rPr>
        <w:t xml:space="preserve">Tabela 17. Studija psorijaze II (CHAMPION) - rezultati efikasnosti nakon 16. </w:t>
      </w:r>
      <w:r w:rsidR="00885A78" w:rsidRPr="00F24057">
        <w:rPr>
          <w:b/>
          <w:bCs/>
          <w:szCs w:val="22"/>
          <w:lang w:val="sr-Latn-ME"/>
        </w:rPr>
        <w:t>nedjelj</w:t>
      </w:r>
      <w:r w:rsidRPr="00F24057">
        <w:rPr>
          <w:b/>
          <w:bCs/>
          <w:szCs w:val="22"/>
          <w:lang w:val="sr-Latn-ME"/>
        </w:rPr>
        <w:t>a terapije</w:t>
      </w:r>
    </w:p>
    <w:p w14:paraId="3F62139D" w14:textId="77777777" w:rsidR="005F55CB" w:rsidRPr="00F24057" w:rsidRDefault="005F55CB"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892"/>
        <w:gridCol w:w="1082"/>
        <w:gridCol w:w="1113"/>
        <w:gridCol w:w="3930"/>
      </w:tblGrid>
      <w:tr w:rsidR="00196A74" w:rsidRPr="00F24057" w14:paraId="0BF5E462" w14:textId="77777777" w:rsidTr="006F790F">
        <w:trPr>
          <w:trHeight w:val="20"/>
        </w:trPr>
        <w:tc>
          <w:tcPr>
            <w:tcW w:w="1604" w:type="pct"/>
            <w:vAlign w:val="center"/>
          </w:tcPr>
          <w:p w14:paraId="17B28F87" w14:textId="77777777" w:rsidR="00196A74" w:rsidRPr="00F24057" w:rsidRDefault="00196A74" w:rsidP="00D70B34">
            <w:pPr>
              <w:jc w:val="left"/>
              <w:rPr>
                <w:szCs w:val="22"/>
                <w:lang w:val="sr-Latn-ME"/>
              </w:rPr>
            </w:pPr>
          </w:p>
        </w:tc>
        <w:tc>
          <w:tcPr>
            <w:tcW w:w="600" w:type="pct"/>
            <w:vAlign w:val="center"/>
          </w:tcPr>
          <w:p w14:paraId="65B41982" w14:textId="77777777" w:rsidR="005F55CB" w:rsidRPr="00F24057" w:rsidRDefault="00DF11CA" w:rsidP="00D70B34">
            <w:pPr>
              <w:jc w:val="center"/>
              <w:rPr>
                <w:b/>
                <w:bCs/>
                <w:szCs w:val="22"/>
                <w:lang w:val="sr-Latn-ME"/>
              </w:rPr>
            </w:pPr>
            <w:r w:rsidRPr="00F24057">
              <w:rPr>
                <w:b/>
                <w:bCs/>
                <w:szCs w:val="22"/>
                <w:lang w:val="sr-Latn-ME"/>
              </w:rPr>
              <w:t xml:space="preserve">Placebo </w:t>
            </w:r>
          </w:p>
          <w:p w14:paraId="3BE3ED5B" w14:textId="77777777" w:rsidR="005F55CB" w:rsidRPr="00F24057" w:rsidRDefault="00DF11CA" w:rsidP="00D70B34">
            <w:pPr>
              <w:jc w:val="center"/>
              <w:rPr>
                <w:b/>
                <w:bCs/>
                <w:szCs w:val="22"/>
                <w:lang w:val="sr-Latn-ME"/>
              </w:rPr>
            </w:pPr>
            <w:r w:rsidRPr="00F24057">
              <w:rPr>
                <w:b/>
                <w:bCs/>
                <w:szCs w:val="22"/>
                <w:lang w:val="sr-Latn-ME"/>
              </w:rPr>
              <w:t xml:space="preserve">N=53 </w:t>
            </w:r>
          </w:p>
          <w:p w14:paraId="3838DEF9" w14:textId="395EE302" w:rsidR="00196A74" w:rsidRPr="00F24057" w:rsidRDefault="00C5136B" w:rsidP="00D70B34">
            <w:pPr>
              <w:jc w:val="center"/>
              <w:rPr>
                <w:b/>
                <w:bCs/>
                <w:szCs w:val="22"/>
                <w:lang w:val="sr-Latn-ME"/>
              </w:rPr>
            </w:pPr>
            <w:r w:rsidRPr="00F24057">
              <w:rPr>
                <w:b/>
                <w:bCs/>
                <w:szCs w:val="22"/>
                <w:lang w:val="sr-Latn-ME"/>
              </w:rPr>
              <w:t xml:space="preserve">n </w:t>
            </w:r>
            <w:r w:rsidR="00DF11CA" w:rsidRPr="00F24057">
              <w:rPr>
                <w:b/>
                <w:bCs/>
                <w:szCs w:val="22"/>
                <w:lang w:val="sr-Latn-ME"/>
              </w:rPr>
              <w:t>(%)</w:t>
            </w:r>
          </w:p>
        </w:tc>
        <w:tc>
          <w:tcPr>
            <w:tcW w:w="617" w:type="pct"/>
            <w:vAlign w:val="center"/>
          </w:tcPr>
          <w:p w14:paraId="7EFF62ED" w14:textId="77777777" w:rsidR="005F55CB" w:rsidRPr="00F24057" w:rsidRDefault="00DF11CA" w:rsidP="00D70B34">
            <w:pPr>
              <w:jc w:val="center"/>
              <w:rPr>
                <w:b/>
                <w:bCs/>
                <w:szCs w:val="22"/>
                <w:lang w:val="sr-Latn-ME"/>
              </w:rPr>
            </w:pPr>
            <w:r w:rsidRPr="00F24057">
              <w:rPr>
                <w:b/>
                <w:bCs/>
                <w:szCs w:val="22"/>
                <w:lang w:val="sr-Latn-ME"/>
              </w:rPr>
              <w:t xml:space="preserve">MTX </w:t>
            </w:r>
          </w:p>
          <w:p w14:paraId="0C570284" w14:textId="77777777" w:rsidR="005F55CB" w:rsidRPr="00F24057" w:rsidRDefault="00DF11CA" w:rsidP="00D70B34">
            <w:pPr>
              <w:jc w:val="center"/>
              <w:rPr>
                <w:b/>
                <w:bCs/>
                <w:szCs w:val="22"/>
                <w:lang w:val="sr-Latn-ME"/>
              </w:rPr>
            </w:pPr>
            <w:r w:rsidRPr="00F24057">
              <w:rPr>
                <w:b/>
                <w:bCs/>
                <w:szCs w:val="22"/>
                <w:lang w:val="sr-Latn-ME"/>
              </w:rPr>
              <w:t xml:space="preserve">N=110 </w:t>
            </w:r>
          </w:p>
          <w:p w14:paraId="78CEC162" w14:textId="26830B58" w:rsidR="00196A74" w:rsidRPr="00F24057" w:rsidRDefault="00DF11CA" w:rsidP="00D70B34">
            <w:pPr>
              <w:jc w:val="center"/>
              <w:rPr>
                <w:b/>
                <w:bCs/>
                <w:szCs w:val="22"/>
                <w:lang w:val="sr-Latn-ME"/>
              </w:rPr>
            </w:pPr>
            <w:r w:rsidRPr="00F24057">
              <w:rPr>
                <w:b/>
                <w:bCs/>
                <w:szCs w:val="22"/>
                <w:lang w:val="sr-Latn-ME"/>
              </w:rPr>
              <w:t>n (%)</w:t>
            </w:r>
          </w:p>
        </w:tc>
        <w:tc>
          <w:tcPr>
            <w:tcW w:w="2180" w:type="pct"/>
            <w:vAlign w:val="center"/>
          </w:tcPr>
          <w:p w14:paraId="36018B96" w14:textId="60EC7705" w:rsidR="005F55CB" w:rsidRPr="00F24057" w:rsidRDefault="00DF11CA" w:rsidP="00D70B34">
            <w:pPr>
              <w:jc w:val="center"/>
              <w:rPr>
                <w:b/>
                <w:bCs/>
                <w:szCs w:val="22"/>
                <w:lang w:val="sr-Latn-ME"/>
              </w:rPr>
            </w:pPr>
            <w:r w:rsidRPr="00F24057">
              <w:rPr>
                <w:b/>
                <w:bCs/>
                <w:szCs w:val="22"/>
                <w:lang w:val="sr-Latn-ME"/>
              </w:rPr>
              <w:t xml:space="preserve">Adalimumab 40 mg svake druge </w:t>
            </w:r>
            <w:r w:rsidR="00885A78" w:rsidRPr="00F24057">
              <w:rPr>
                <w:b/>
                <w:bCs/>
                <w:szCs w:val="22"/>
                <w:lang w:val="sr-Latn-ME"/>
              </w:rPr>
              <w:t>nedjelj</w:t>
            </w:r>
            <w:r w:rsidRPr="00F24057">
              <w:rPr>
                <w:b/>
                <w:bCs/>
                <w:szCs w:val="22"/>
                <w:lang w:val="sr-Latn-ME"/>
              </w:rPr>
              <w:t xml:space="preserve">e </w:t>
            </w:r>
          </w:p>
          <w:p w14:paraId="74872929" w14:textId="77777777" w:rsidR="005F55CB" w:rsidRPr="00F24057" w:rsidRDefault="00DF11CA" w:rsidP="00D70B34">
            <w:pPr>
              <w:jc w:val="center"/>
              <w:rPr>
                <w:b/>
                <w:bCs/>
                <w:szCs w:val="22"/>
                <w:lang w:val="sr-Latn-ME"/>
              </w:rPr>
            </w:pPr>
            <w:r w:rsidRPr="00F24057">
              <w:rPr>
                <w:b/>
                <w:bCs/>
                <w:szCs w:val="22"/>
                <w:lang w:val="sr-Latn-ME"/>
              </w:rPr>
              <w:t xml:space="preserve">N=108 </w:t>
            </w:r>
          </w:p>
          <w:p w14:paraId="2EDDBF05" w14:textId="7454CE9C" w:rsidR="00196A74" w:rsidRPr="00F24057" w:rsidRDefault="00DF11CA" w:rsidP="00D70B34">
            <w:pPr>
              <w:jc w:val="center"/>
              <w:rPr>
                <w:b/>
                <w:bCs/>
                <w:szCs w:val="22"/>
                <w:lang w:val="sr-Latn-ME"/>
              </w:rPr>
            </w:pPr>
            <w:r w:rsidRPr="00F24057">
              <w:rPr>
                <w:b/>
                <w:bCs/>
                <w:szCs w:val="22"/>
                <w:lang w:val="sr-Latn-ME"/>
              </w:rPr>
              <w:t>n (%)</w:t>
            </w:r>
          </w:p>
        </w:tc>
      </w:tr>
      <w:tr w:rsidR="00196A74" w:rsidRPr="00F24057" w14:paraId="44ABF8BD" w14:textId="77777777" w:rsidTr="006F790F">
        <w:trPr>
          <w:trHeight w:val="20"/>
        </w:trPr>
        <w:tc>
          <w:tcPr>
            <w:tcW w:w="1604" w:type="pct"/>
            <w:vAlign w:val="center"/>
          </w:tcPr>
          <w:p w14:paraId="7347349A" w14:textId="653D59BD" w:rsidR="00196A74" w:rsidRPr="00F24057" w:rsidRDefault="00DF11CA" w:rsidP="00D70B34">
            <w:pPr>
              <w:jc w:val="left"/>
              <w:rPr>
                <w:b/>
                <w:bCs/>
                <w:szCs w:val="22"/>
                <w:lang w:val="sr-Latn-ME"/>
              </w:rPr>
            </w:pPr>
            <w:r w:rsidRPr="00F24057">
              <w:rPr>
                <w:b/>
                <w:bCs/>
                <w:szCs w:val="22"/>
                <w:lang w:val="sr-Latn-ME"/>
              </w:rPr>
              <w:t>≥ PASI 75</w:t>
            </w:r>
          </w:p>
        </w:tc>
        <w:tc>
          <w:tcPr>
            <w:tcW w:w="600" w:type="pct"/>
            <w:vAlign w:val="center"/>
          </w:tcPr>
          <w:p w14:paraId="0DB9F035" w14:textId="3CB415FE" w:rsidR="00196A74" w:rsidRPr="00F24057" w:rsidRDefault="00517D8E" w:rsidP="00D70B34">
            <w:pPr>
              <w:jc w:val="center"/>
              <w:rPr>
                <w:szCs w:val="22"/>
                <w:lang w:val="sr-Latn-ME"/>
              </w:rPr>
            </w:pPr>
            <w:r w:rsidRPr="00F24057">
              <w:rPr>
                <w:szCs w:val="22"/>
                <w:lang w:val="sr-Latn-ME"/>
              </w:rPr>
              <w:t>10 (18,9)</w:t>
            </w:r>
          </w:p>
        </w:tc>
        <w:tc>
          <w:tcPr>
            <w:tcW w:w="617" w:type="pct"/>
            <w:vAlign w:val="center"/>
          </w:tcPr>
          <w:p w14:paraId="3140E943" w14:textId="2F8B8445" w:rsidR="00196A74" w:rsidRPr="00F24057" w:rsidRDefault="00517D8E" w:rsidP="00D70B34">
            <w:pPr>
              <w:jc w:val="center"/>
              <w:rPr>
                <w:szCs w:val="22"/>
                <w:lang w:val="sr-Latn-ME"/>
              </w:rPr>
            </w:pPr>
            <w:r w:rsidRPr="00F24057">
              <w:rPr>
                <w:szCs w:val="22"/>
                <w:lang w:val="sr-Latn-ME"/>
              </w:rPr>
              <w:t>39 (35,5)</w:t>
            </w:r>
          </w:p>
        </w:tc>
        <w:tc>
          <w:tcPr>
            <w:tcW w:w="2180" w:type="pct"/>
            <w:vAlign w:val="center"/>
          </w:tcPr>
          <w:p w14:paraId="2241782C" w14:textId="2427A095" w:rsidR="00196A74" w:rsidRPr="00F24057" w:rsidRDefault="00517D8E" w:rsidP="00D70B34">
            <w:pPr>
              <w:jc w:val="center"/>
              <w:rPr>
                <w:szCs w:val="22"/>
                <w:lang w:val="sr-Latn-ME"/>
              </w:rPr>
            </w:pPr>
            <w:r w:rsidRPr="00F24057">
              <w:rPr>
                <w:szCs w:val="22"/>
                <w:lang w:val="sr-Latn-ME"/>
              </w:rPr>
              <w:t>86 (79,6)</w:t>
            </w:r>
            <w:r w:rsidRPr="00F24057">
              <w:rPr>
                <w:szCs w:val="22"/>
                <w:vertAlign w:val="superscript"/>
                <w:lang w:val="sr-Latn-ME"/>
              </w:rPr>
              <w:t>a, b</w:t>
            </w:r>
          </w:p>
        </w:tc>
      </w:tr>
      <w:tr w:rsidR="00196A74" w:rsidRPr="00F24057" w14:paraId="0D2E762E" w14:textId="77777777" w:rsidTr="006F790F">
        <w:trPr>
          <w:trHeight w:val="20"/>
        </w:trPr>
        <w:tc>
          <w:tcPr>
            <w:tcW w:w="1604" w:type="pct"/>
            <w:vAlign w:val="center"/>
          </w:tcPr>
          <w:p w14:paraId="147252D0" w14:textId="7743E1A7" w:rsidR="00196A74" w:rsidRPr="00F24057" w:rsidRDefault="00517D8E" w:rsidP="00D70B34">
            <w:pPr>
              <w:jc w:val="left"/>
              <w:rPr>
                <w:b/>
                <w:bCs/>
                <w:szCs w:val="22"/>
                <w:lang w:val="sr-Latn-ME"/>
              </w:rPr>
            </w:pPr>
            <w:r w:rsidRPr="00F24057">
              <w:rPr>
                <w:b/>
                <w:bCs/>
                <w:szCs w:val="22"/>
                <w:lang w:val="sr-Latn-ME"/>
              </w:rPr>
              <w:t>PASI 100</w:t>
            </w:r>
          </w:p>
        </w:tc>
        <w:tc>
          <w:tcPr>
            <w:tcW w:w="600" w:type="pct"/>
            <w:vAlign w:val="center"/>
          </w:tcPr>
          <w:p w14:paraId="00DFBB7A" w14:textId="28224AD3" w:rsidR="00517D8E" w:rsidRPr="00F24057" w:rsidRDefault="00517D8E" w:rsidP="001451E1">
            <w:pPr>
              <w:jc w:val="center"/>
              <w:rPr>
                <w:szCs w:val="22"/>
                <w:lang w:val="sr-Latn-ME"/>
              </w:rPr>
            </w:pPr>
            <w:r w:rsidRPr="00F24057">
              <w:rPr>
                <w:szCs w:val="22"/>
                <w:lang w:val="sr-Latn-ME"/>
              </w:rPr>
              <w:t>1 (1,9</w:t>
            </w:r>
            <w:r w:rsidR="009A7F58" w:rsidRPr="00F24057">
              <w:rPr>
                <w:szCs w:val="22"/>
                <w:lang w:val="sr-Latn-ME"/>
              </w:rPr>
              <w:t>)</w:t>
            </w:r>
          </w:p>
        </w:tc>
        <w:tc>
          <w:tcPr>
            <w:tcW w:w="617" w:type="pct"/>
            <w:vAlign w:val="center"/>
          </w:tcPr>
          <w:p w14:paraId="2227D67E" w14:textId="14F8C7BF" w:rsidR="00196A74" w:rsidRPr="00F24057" w:rsidRDefault="00517D8E" w:rsidP="00D70B34">
            <w:pPr>
              <w:jc w:val="center"/>
              <w:rPr>
                <w:szCs w:val="22"/>
                <w:lang w:val="sr-Latn-ME"/>
              </w:rPr>
            </w:pPr>
            <w:r w:rsidRPr="00F24057">
              <w:rPr>
                <w:szCs w:val="22"/>
                <w:lang w:val="sr-Latn-ME"/>
              </w:rPr>
              <w:t>8 (7,3)</w:t>
            </w:r>
          </w:p>
        </w:tc>
        <w:tc>
          <w:tcPr>
            <w:tcW w:w="2180" w:type="pct"/>
            <w:vAlign w:val="center"/>
          </w:tcPr>
          <w:p w14:paraId="6D5C68D4" w14:textId="3828C8A2" w:rsidR="00196A74" w:rsidRPr="00F24057" w:rsidRDefault="009A7F58" w:rsidP="00D70B34">
            <w:pPr>
              <w:jc w:val="center"/>
              <w:rPr>
                <w:szCs w:val="22"/>
                <w:lang w:val="sr-Latn-ME"/>
              </w:rPr>
            </w:pPr>
            <w:r w:rsidRPr="00F24057">
              <w:rPr>
                <w:szCs w:val="22"/>
                <w:lang w:val="sr-Latn-ME"/>
              </w:rPr>
              <w:t xml:space="preserve">18 </w:t>
            </w:r>
            <w:r w:rsidR="00517D8E" w:rsidRPr="00F24057">
              <w:rPr>
                <w:szCs w:val="22"/>
                <w:lang w:val="sr-Latn-ME"/>
              </w:rPr>
              <w:t>(16,7)</w:t>
            </w:r>
            <w:r w:rsidR="00517D8E" w:rsidRPr="00F24057">
              <w:rPr>
                <w:szCs w:val="22"/>
                <w:vertAlign w:val="superscript"/>
                <w:lang w:val="sr-Latn-ME"/>
              </w:rPr>
              <w:t>c,</w:t>
            </w:r>
            <w:r w:rsidR="00644BD7" w:rsidRPr="00F24057">
              <w:rPr>
                <w:szCs w:val="22"/>
                <w:vertAlign w:val="superscript"/>
                <w:lang w:val="sr-Latn-ME"/>
              </w:rPr>
              <w:t xml:space="preserve"> d</w:t>
            </w:r>
          </w:p>
        </w:tc>
      </w:tr>
      <w:tr w:rsidR="00196A74" w:rsidRPr="00F24057" w14:paraId="01B4DFF5" w14:textId="77777777" w:rsidTr="006F790F">
        <w:trPr>
          <w:trHeight w:val="20"/>
        </w:trPr>
        <w:tc>
          <w:tcPr>
            <w:tcW w:w="1604" w:type="pct"/>
            <w:vAlign w:val="center"/>
          </w:tcPr>
          <w:p w14:paraId="4A7886D2" w14:textId="0CF42099" w:rsidR="00196A74" w:rsidRPr="00F24057" w:rsidRDefault="00517D8E" w:rsidP="00D70B34">
            <w:pPr>
              <w:jc w:val="left"/>
              <w:rPr>
                <w:b/>
                <w:bCs/>
                <w:szCs w:val="22"/>
                <w:lang w:val="sr-Latn-ME"/>
              </w:rPr>
            </w:pPr>
            <w:r w:rsidRPr="00F24057">
              <w:rPr>
                <w:b/>
                <w:bCs/>
                <w:szCs w:val="22"/>
                <w:lang w:val="sr-Latn-ME"/>
              </w:rPr>
              <w:t>PGA: bez bolesti/minimalno</w:t>
            </w:r>
          </w:p>
        </w:tc>
        <w:tc>
          <w:tcPr>
            <w:tcW w:w="600" w:type="pct"/>
            <w:vAlign w:val="center"/>
          </w:tcPr>
          <w:p w14:paraId="0CD90467" w14:textId="53B5E342" w:rsidR="00196A74" w:rsidRPr="00F24057" w:rsidRDefault="00644BD7" w:rsidP="00D70B34">
            <w:pPr>
              <w:jc w:val="center"/>
              <w:rPr>
                <w:szCs w:val="22"/>
                <w:lang w:val="sr-Latn-ME"/>
              </w:rPr>
            </w:pPr>
            <w:r w:rsidRPr="00F24057">
              <w:rPr>
                <w:szCs w:val="22"/>
                <w:lang w:val="sr-Latn-ME"/>
              </w:rPr>
              <w:t>6 (11,3)</w:t>
            </w:r>
          </w:p>
        </w:tc>
        <w:tc>
          <w:tcPr>
            <w:tcW w:w="617" w:type="pct"/>
            <w:vAlign w:val="center"/>
          </w:tcPr>
          <w:p w14:paraId="7C8A9C49" w14:textId="2DC80156" w:rsidR="00196A74" w:rsidRPr="00F24057" w:rsidRDefault="00644BD7" w:rsidP="00D70B34">
            <w:pPr>
              <w:jc w:val="center"/>
              <w:rPr>
                <w:szCs w:val="22"/>
                <w:lang w:val="sr-Latn-ME"/>
              </w:rPr>
            </w:pPr>
            <w:r w:rsidRPr="00F24057">
              <w:rPr>
                <w:szCs w:val="22"/>
                <w:lang w:val="sr-Latn-ME"/>
              </w:rPr>
              <w:t>33 (30,0)</w:t>
            </w:r>
          </w:p>
        </w:tc>
        <w:tc>
          <w:tcPr>
            <w:tcW w:w="2180" w:type="pct"/>
            <w:vAlign w:val="center"/>
          </w:tcPr>
          <w:p w14:paraId="6C9A978D" w14:textId="38246DCA" w:rsidR="00196A74" w:rsidRPr="00F24057" w:rsidRDefault="00644BD7" w:rsidP="00D70B34">
            <w:pPr>
              <w:jc w:val="center"/>
              <w:rPr>
                <w:szCs w:val="22"/>
                <w:lang w:val="sr-Latn-ME"/>
              </w:rPr>
            </w:pPr>
            <w:r w:rsidRPr="00F24057">
              <w:rPr>
                <w:szCs w:val="22"/>
                <w:lang w:val="sr-Latn-ME"/>
              </w:rPr>
              <w:t>79 (73,1)</w:t>
            </w:r>
            <w:r w:rsidRPr="00F24057">
              <w:rPr>
                <w:szCs w:val="22"/>
                <w:vertAlign w:val="superscript"/>
                <w:lang w:val="sr-Latn-ME"/>
              </w:rPr>
              <w:t>a, b</w:t>
            </w:r>
          </w:p>
        </w:tc>
      </w:tr>
      <w:tr w:rsidR="00196A74" w:rsidRPr="00F24057" w14:paraId="67A63558" w14:textId="77777777" w:rsidTr="00F1226A">
        <w:trPr>
          <w:trHeight w:val="20"/>
        </w:trPr>
        <w:tc>
          <w:tcPr>
            <w:tcW w:w="5000" w:type="pct"/>
            <w:gridSpan w:val="4"/>
            <w:vAlign w:val="center"/>
          </w:tcPr>
          <w:p w14:paraId="48830A9C" w14:textId="77777777" w:rsidR="00196A74" w:rsidRPr="00F24057" w:rsidRDefault="0068538E" w:rsidP="00D70B34">
            <w:pPr>
              <w:jc w:val="left"/>
              <w:rPr>
                <w:szCs w:val="22"/>
                <w:lang w:val="sr-Latn-ME"/>
              </w:rPr>
            </w:pPr>
            <w:r w:rsidRPr="00F24057">
              <w:rPr>
                <w:szCs w:val="22"/>
                <w:vertAlign w:val="superscript"/>
                <w:lang w:val="sr-Latn-ME"/>
              </w:rPr>
              <w:t>a.</w:t>
            </w:r>
            <w:r w:rsidRPr="00F24057">
              <w:rPr>
                <w:szCs w:val="22"/>
                <w:lang w:val="sr-Latn-ME"/>
              </w:rPr>
              <w:t xml:space="preserve"> p&lt;0,001, adalimumab vs. placebo</w:t>
            </w:r>
          </w:p>
          <w:p w14:paraId="5E19B41D" w14:textId="77777777" w:rsidR="0068538E" w:rsidRPr="00F24057" w:rsidRDefault="0068538E" w:rsidP="00D70B34">
            <w:pPr>
              <w:jc w:val="left"/>
              <w:rPr>
                <w:szCs w:val="22"/>
                <w:lang w:val="sr-Latn-ME"/>
              </w:rPr>
            </w:pPr>
            <w:r w:rsidRPr="00F24057">
              <w:rPr>
                <w:szCs w:val="22"/>
                <w:vertAlign w:val="superscript"/>
                <w:lang w:val="sr-Latn-ME"/>
              </w:rPr>
              <w:t>b.</w:t>
            </w:r>
            <w:r w:rsidRPr="00F24057">
              <w:rPr>
                <w:szCs w:val="22"/>
                <w:lang w:val="sr-Latn-ME"/>
              </w:rPr>
              <w:t xml:space="preserve"> p&lt;</w:t>
            </w:r>
            <w:r w:rsidR="00F6394A" w:rsidRPr="00F24057">
              <w:rPr>
                <w:szCs w:val="22"/>
                <w:lang w:val="sr-Latn-ME"/>
              </w:rPr>
              <w:t>0,001, adalimumab vs. metotreksat</w:t>
            </w:r>
          </w:p>
          <w:p w14:paraId="78607015" w14:textId="08CDBCE7" w:rsidR="00F6394A" w:rsidRPr="00F24057" w:rsidRDefault="00F6394A" w:rsidP="00D70B34">
            <w:pPr>
              <w:jc w:val="left"/>
              <w:rPr>
                <w:szCs w:val="22"/>
                <w:lang w:val="sr-Latn-ME"/>
              </w:rPr>
            </w:pPr>
            <w:r w:rsidRPr="00F24057">
              <w:rPr>
                <w:szCs w:val="22"/>
                <w:vertAlign w:val="superscript"/>
                <w:lang w:val="sr-Latn-ME"/>
              </w:rPr>
              <w:t>c.</w:t>
            </w:r>
            <w:r w:rsidRPr="00F24057">
              <w:rPr>
                <w:szCs w:val="22"/>
                <w:lang w:val="sr-Latn-ME"/>
              </w:rPr>
              <w:t xml:space="preserve"> p&lt;0,01, adalimumab vs. </w:t>
            </w:r>
            <w:r w:rsidR="0041600A" w:rsidRPr="00F24057">
              <w:rPr>
                <w:szCs w:val="22"/>
                <w:lang w:val="sr-Latn-ME"/>
              </w:rPr>
              <w:t>placebo</w:t>
            </w:r>
          </w:p>
          <w:p w14:paraId="02C556F9" w14:textId="583F8105" w:rsidR="00F6394A" w:rsidRPr="00F24057" w:rsidRDefault="00F6394A" w:rsidP="00D70B34">
            <w:pPr>
              <w:jc w:val="left"/>
              <w:rPr>
                <w:szCs w:val="22"/>
                <w:lang w:val="sr-Latn-ME"/>
              </w:rPr>
            </w:pPr>
            <w:r w:rsidRPr="00F24057">
              <w:rPr>
                <w:szCs w:val="22"/>
                <w:vertAlign w:val="superscript"/>
                <w:lang w:val="sr-Latn-ME"/>
              </w:rPr>
              <w:t>d.</w:t>
            </w:r>
            <w:r w:rsidRPr="00F24057">
              <w:rPr>
                <w:szCs w:val="22"/>
                <w:lang w:val="sr-Latn-ME"/>
              </w:rPr>
              <w:t xml:space="preserve"> p&lt;0,05, adalimumab vs. metotreksat</w:t>
            </w:r>
          </w:p>
        </w:tc>
      </w:tr>
    </w:tbl>
    <w:p w14:paraId="1377057A" w14:textId="5F0D08D7" w:rsidR="006C3EE7" w:rsidRPr="00F24057" w:rsidRDefault="006C3EE7" w:rsidP="00D70B34">
      <w:pPr>
        <w:rPr>
          <w:szCs w:val="22"/>
          <w:lang w:val="sr-Latn-ME"/>
        </w:rPr>
      </w:pPr>
    </w:p>
    <w:p w14:paraId="57B7C29F" w14:textId="60CD4F7B" w:rsidR="004E3A12" w:rsidRPr="00F24057" w:rsidRDefault="00C0295E" w:rsidP="00D70B34">
      <w:pPr>
        <w:rPr>
          <w:szCs w:val="22"/>
          <w:lang w:val="sr-Latn-ME"/>
        </w:rPr>
      </w:pPr>
      <w:r w:rsidRPr="00F24057">
        <w:rPr>
          <w:szCs w:val="22"/>
          <w:lang w:val="sr-Latn-ME"/>
        </w:rPr>
        <w:t xml:space="preserve">U ispitivanju </w:t>
      </w:r>
      <w:r w:rsidRPr="00F24057">
        <w:rPr>
          <w:i/>
          <w:iCs/>
          <w:szCs w:val="22"/>
          <w:lang w:val="sr-Latn-ME"/>
        </w:rPr>
        <w:t>Psoriasis Study</w:t>
      </w:r>
      <w:r w:rsidRPr="00F24057">
        <w:rPr>
          <w:szCs w:val="22"/>
          <w:lang w:val="sr-Latn-ME"/>
        </w:rPr>
        <w:t xml:space="preserve"> </w:t>
      </w:r>
      <w:r w:rsidR="004E3A12" w:rsidRPr="00F24057">
        <w:rPr>
          <w:szCs w:val="22"/>
          <w:lang w:val="sr-Latn-ME"/>
        </w:rPr>
        <w:t xml:space="preserve">I, 28% pacijenata koji su postigli PASI 75 odgovor i bili re-randomizovani na placebo u 33. </w:t>
      </w:r>
      <w:r w:rsidR="00885A78" w:rsidRPr="00F24057">
        <w:rPr>
          <w:szCs w:val="22"/>
          <w:lang w:val="sr-Latn-ME"/>
        </w:rPr>
        <w:t>nedjelj</w:t>
      </w:r>
      <w:r w:rsidR="004E3A12" w:rsidRPr="00F24057">
        <w:rPr>
          <w:szCs w:val="22"/>
          <w:lang w:val="sr-Latn-ME"/>
        </w:rPr>
        <w:t xml:space="preserve">i u poređenju sa 5% u grupi koja je nastavila terapiju adalimumabom (p&lt; 0,001) imalo je tzv. “gubitak adekvatnog odgovoraˮ (PASI skor posle 33. </w:t>
      </w:r>
      <w:r w:rsidR="00885A78" w:rsidRPr="00F24057">
        <w:rPr>
          <w:szCs w:val="22"/>
          <w:lang w:val="sr-Latn-ME"/>
        </w:rPr>
        <w:t>nedjelj</w:t>
      </w:r>
      <w:r w:rsidR="004E3A12" w:rsidRPr="00F24057">
        <w:rPr>
          <w:szCs w:val="22"/>
          <w:lang w:val="sr-Latn-ME"/>
        </w:rPr>
        <w:t xml:space="preserve">e i tokom ili </w:t>
      </w:r>
      <w:r w:rsidR="00885A78" w:rsidRPr="00F24057">
        <w:rPr>
          <w:szCs w:val="22"/>
          <w:lang w:val="sr-Latn-ME"/>
        </w:rPr>
        <w:t xml:space="preserve">prije </w:t>
      </w:r>
      <w:r w:rsidR="004E3A12" w:rsidRPr="00F24057">
        <w:rPr>
          <w:szCs w:val="22"/>
          <w:lang w:val="sr-Latn-ME"/>
        </w:rPr>
        <w:t xml:space="preserve">52. </w:t>
      </w:r>
      <w:r w:rsidR="00885A78" w:rsidRPr="00F24057">
        <w:rPr>
          <w:szCs w:val="22"/>
          <w:lang w:val="sr-Latn-ME"/>
        </w:rPr>
        <w:t>nedjelj</w:t>
      </w:r>
      <w:r w:rsidR="004E3A12" w:rsidRPr="00F24057">
        <w:rPr>
          <w:szCs w:val="22"/>
          <w:lang w:val="sr-Latn-ME"/>
        </w:rPr>
        <w:t xml:space="preserve">e: &lt; PASI 50 odgovor u odnosu na preterapijsko stanje sa minimum 6 jedinica povećanja PASI skora u odnosu na 33. </w:t>
      </w:r>
      <w:r w:rsidR="00885A78" w:rsidRPr="00F24057">
        <w:rPr>
          <w:szCs w:val="22"/>
          <w:lang w:val="sr-Latn-ME"/>
        </w:rPr>
        <w:t>nedjelj</w:t>
      </w:r>
      <w:r w:rsidR="004E3A12" w:rsidRPr="00F24057">
        <w:rPr>
          <w:szCs w:val="22"/>
          <w:lang w:val="sr-Latn-ME"/>
        </w:rPr>
        <w:t xml:space="preserve">u). U grupi pacijenata koji su izgubili adekvatan odgovor nakon re-randomizacije na placebo, a koji su zatim uključeni u otvoreni produžetak studije i primali adalimumab, 38% (25/66) i 55% (36/66) su ponovo postigli PASI 75 odgovor posle 12, odnosno 24 </w:t>
      </w:r>
      <w:r w:rsidR="00885A78" w:rsidRPr="00F24057">
        <w:rPr>
          <w:szCs w:val="22"/>
          <w:lang w:val="sr-Latn-ME"/>
        </w:rPr>
        <w:t>nedjelj</w:t>
      </w:r>
      <w:r w:rsidR="004E3A12" w:rsidRPr="00F24057">
        <w:rPr>
          <w:szCs w:val="22"/>
          <w:lang w:val="sr-Latn-ME"/>
        </w:rPr>
        <w:t xml:space="preserve">e terapije. </w:t>
      </w:r>
    </w:p>
    <w:p w14:paraId="326C3C2F" w14:textId="77777777" w:rsidR="004E3A12" w:rsidRPr="00F24057" w:rsidRDefault="004E3A12" w:rsidP="00D70B34">
      <w:pPr>
        <w:rPr>
          <w:szCs w:val="22"/>
          <w:lang w:val="sr-Latn-ME"/>
        </w:rPr>
      </w:pPr>
    </w:p>
    <w:p w14:paraId="289FD1A6" w14:textId="356F25A1" w:rsidR="004E3A12" w:rsidRPr="00F24057" w:rsidRDefault="004E3A12" w:rsidP="00D70B34">
      <w:pPr>
        <w:rPr>
          <w:szCs w:val="22"/>
          <w:lang w:val="sr-Latn-ME"/>
        </w:rPr>
      </w:pPr>
      <w:r w:rsidRPr="00F24057">
        <w:rPr>
          <w:szCs w:val="22"/>
          <w:lang w:val="sr-Latn-ME"/>
        </w:rPr>
        <w:t xml:space="preserve">Ukupno 233 pacijenta koji su postigli PASI 75 odgovor u </w:t>
      </w:r>
      <w:r w:rsidR="00885A78" w:rsidRPr="00F24057">
        <w:rPr>
          <w:szCs w:val="22"/>
          <w:lang w:val="sr-Latn-ME"/>
        </w:rPr>
        <w:t>nedjelj</w:t>
      </w:r>
      <w:r w:rsidRPr="00F24057">
        <w:rPr>
          <w:szCs w:val="22"/>
          <w:lang w:val="sr-Latn-ME"/>
        </w:rPr>
        <w:t xml:space="preserve">i 16 i </w:t>
      </w:r>
      <w:r w:rsidR="00885A78" w:rsidRPr="00F24057">
        <w:rPr>
          <w:szCs w:val="22"/>
          <w:lang w:val="sr-Latn-ME"/>
        </w:rPr>
        <w:t>nedjelj</w:t>
      </w:r>
      <w:r w:rsidRPr="00F24057">
        <w:rPr>
          <w:szCs w:val="22"/>
          <w:lang w:val="sr-Latn-ME"/>
        </w:rPr>
        <w:t xml:space="preserve">i 33 primalo je kontinuiranu terapiju adalimumabom tokom 52 </w:t>
      </w:r>
      <w:r w:rsidR="00885A78" w:rsidRPr="00F24057">
        <w:rPr>
          <w:szCs w:val="22"/>
          <w:lang w:val="sr-Latn-ME"/>
        </w:rPr>
        <w:t>nedjelj</w:t>
      </w:r>
      <w:r w:rsidRPr="00F24057">
        <w:rPr>
          <w:szCs w:val="22"/>
          <w:lang w:val="sr-Latn-ME"/>
        </w:rPr>
        <w:t xml:space="preserve">e u studiji psorijaze I, i nastavilo je da prima adalimumab u produžetku studije otvorenog dizajna. Stopa odgovora „bez bolesti” ili „minimalno” na PASI 75 i PGA kod ovih pacijenata bila je 74,7% odnosno 59,0%, nakon dodatnih 108 </w:t>
      </w:r>
      <w:r w:rsidR="00885A78" w:rsidRPr="00F24057">
        <w:rPr>
          <w:szCs w:val="22"/>
          <w:lang w:val="sr-Latn-ME"/>
        </w:rPr>
        <w:t>nedjelj</w:t>
      </w:r>
      <w:r w:rsidRPr="00F24057">
        <w:rPr>
          <w:szCs w:val="22"/>
          <w:lang w:val="sr-Latn-ME"/>
        </w:rPr>
        <w:t xml:space="preserve">a terapije sa otvorenim dizajnom (ukupno 160 </w:t>
      </w:r>
      <w:r w:rsidR="00885A78" w:rsidRPr="00F24057">
        <w:rPr>
          <w:szCs w:val="22"/>
          <w:lang w:val="sr-Latn-ME"/>
        </w:rPr>
        <w:t>nedjelj</w:t>
      </w:r>
      <w:r w:rsidRPr="00F24057">
        <w:rPr>
          <w:szCs w:val="22"/>
          <w:lang w:val="sr-Latn-ME"/>
        </w:rPr>
        <w:t xml:space="preserve">a). Svi pacijenti koji su izašli iz ispitivanja zbog neželjenih dejstava, nedostatka efikasnosti, ili kojima je doza povećavana, smatrani su pacijentima kod kojih nije bilo odgovora na terapiju. Za njih je analiza PASI 75 i PGA za stopu odgovora „bez bolesti” ili „minimalno” nakon dodatnih 108 </w:t>
      </w:r>
      <w:r w:rsidR="00885A78" w:rsidRPr="00F24057">
        <w:rPr>
          <w:szCs w:val="22"/>
          <w:lang w:val="sr-Latn-ME"/>
        </w:rPr>
        <w:t>nedjelj</w:t>
      </w:r>
      <w:r w:rsidRPr="00F24057">
        <w:rPr>
          <w:szCs w:val="22"/>
          <w:lang w:val="sr-Latn-ME"/>
        </w:rPr>
        <w:t xml:space="preserve">a otvorene terapije (ukupno 160 </w:t>
      </w:r>
      <w:r w:rsidR="00885A78" w:rsidRPr="00F24057">
        <w:rPr>
          <w:szCs w:val="22"/>
          <w:lang w:val="sr-Latn-ME"/>
        </w:rPr>
        <w:t>nedjelj</w:t>
      </w:r>
      <w:r w:rsidRPr="00F24057">
        <w:rPr>
          <w:szCs w:val="22"/>
          <w:lang w:val="sr-Latn-ME"/>
        </w:rPr>
        <w:t xml:space="preserve">a) dala rezultate 69,6%, odnosno 55,7%. </w:t>
      </w:r>
    </w:p>
    <w:p w14:paraId="5E2EC188" w14:textId="77777777" w:rsidR="004E3A12" w:rsidRPr="00F24057" w:rsidRDefault="004E3A12" w:rsidP="00D70B34">
      <w:pPr>
        <w:rPr>
          <w:szCs w:val="22"/>
          <w:lang w:val="sr-Latn-ME"/>
        </w:rPr>
      </w:pPr>
    </w:p>
    <w:p w14:paraId="1699F6A4" w14:textId="1FB9D518" w:rsidR="00235266" w:rsidRPr="00F24057" w:rsidRDefault="004E3A12" w:rsidP="00D70B34">
      <w:pPr>
        <w:rPr>
          <w:szCs w:val="22"/>
          <w:lang w:val="sr-Latn-ME"/>
        </w:rPr>
      </w:pPr>
      <w:r w:rsidRPr="00F24057">
        <w:rPr>
          <w:szCs w:val="22"/>
          <w:lang w:val="sr-Latn-ME"/>
        </w:rPr>
        <w:t xml:space="preserve">Ukupno 347 pacijenata sa stabilnim odgovorom učestvovalo je u </w:t>
      </w:r>
      <w:r w:rsidR="00885A78" w:rsidRPr="00F24057">
        <w:rPr>
          <w:szCs w:val="22"/>
          <w:lang w:val="sr-Latn-ME"/>
        </w:rPr>
        <w:t>procjeni</w:t>
      </w:r>
      <w:r w:rsidRPr="00F24057">
        <w:rPr>
          <w:szCs w:val="22"/>
          <w:lang w:val="sr-Latn-ME"/>
        </w:rPr>
        <w:t xml:space="preserve"> prekida i ponovnog </w:t>
      </w:r>
      <w:r w:rsidR="00885A78" w:rsidRPr="00F24057">
        <w:rPr>
          <w:szCs w:val="22"/>
          <w:lang w:val="sr-Latn-ME"/>
        </w:rPr>
        <w:t>liječenj</w:t>
      </w:r>
      <w:r w:rsidRPr="00F24057">
        <w:rPr>
          <w:szCs w:val="22"/>
          <w:lang w:val="sr-Latn-ME"/>
        </w:rPr>
        <w:t xml:space="preserve">a u produžetku studije otvorenog dizajna. U vremenu kada je terapija bila ukinuta, simptomi psorijaze su se vremenom vratili uz medijanu vremena do relapsa oko 5 </w:t>
      </w:r>
      <w:r w:rsidR="00885A78" w:rsidRPr="00F24057">
        <w:rPr>
          <w:szCs w:val="22"/>
          <w:lang w:val="sr-Latn-ME"/>
        </w:rPr>
        <w:t>mjesec</w:t>
      </w:r>
      <w:r w:rsidRPr="00F24057">
        <w:rPr>
          <w:szCs w:val="22"/>
          <w:lang w:val="sr-Latn-ME"/>
        </w:rPr>
        <w:t>i (smanjenje do u</w:t>
      </w:r>
      <w:r w:rsidR="0030064A" w:rsidRPr="00F24057">
        <w:rPr>
          <w:szCs w:val="22"/>
          <w:lang w:val="sr-Latn-ME"/>
        </w:rPr>
        <w:t>mjeren</w:t>
      </w:r>
      <w:r w:rsidRPr="00F24057">
        <w:rPr>
          <w:szCs w:val="22"/>
          <w:lang w:val="sr-Latn-ME"/>
        </w:rPr>
        <w:t xml:space="preserve">og ili lošeg PGA). Ni kod jednog pacijenta se nije javilo povratno dejstvo tokom prekida terapije. Ukupno 76,5% (218/285) pacijenata koji su započeli sa ponovnim </w:t>
      </w:r>
      <w:r w:rsidR="0030064A" w:rsidRPr="00F24057">
        <w:rPr>
          <w:szCs w:val="22"/>
          <w:lang w:val="sr-Latn-ME"/>
        </w:rPr>
        <w:t>liječenje</w:t>
      </w:r>
      <w:r w:rsidRPr="00F24057">
        <w:rPr>
          <w:szCs w:val="22"/>
          <w:lang w:val="sr-Latn-ME"/>
        </w:rPr>
        <w:t xml:space="preserve">m imalo je „bez bolesti” ili „minimalan” PGA odgovor nakon 16 </w:t>
      </w:r>
      <w:r w:rsidR="00885A78" w:rsidRPr="00F24057">
        <w:rPr>
          <w:szCs w:val="22"/>
          <w:lang w:val="sr-Latn-ME"/>
        </w:rPr>
        <w:t>nedjelj</w:t>
      </w:r>
      <w:r w:rsidRPr="00F24057">
        <w:rPr>
          <w:szCs w:val="22"/>
          <w:lang w:val="sr-Latn-ME"/>
        </w:rPr>
        <w:t xml:space="preserve">a ponovnog </w:t>
      </w:r>
      <w:r w:rsidR="00885A78" w:rsidRPr="00F24057">
        <w:rPr>
          <w:szCs w:val="22"/>
          <w:lang w:val="sr-Latn-ME"/>
        </w:rPr>
        <w:t>liječenj</w:t>
      </w:r>
      <w:r w:rsidRPr="00F24057">
        <w:rPr>
          <w:szCs w:val="22"/>
          <w:lang w:val="sr-Latn-ME"/>
        </w:rPr>
        <w:t xml:space="preserve">a, bez obzira na to da li su imali recidiv tokom prekida terapije (69,1% [123/178] i 88,8% [95/107] kod pacijenata koji su imali, odnosno koji nisu imali recidiv tokom prekida terapije). Uočen je sličan </w:t>
      </w:r>
      <w:r w:rsidR="0030064A" w:rsidRPr="00F24057">
        <w:rPr>
          <w:szCs w:val="22"/>
          <w:lang w:val="sr-Latn-ME"/>
        </w:rPr>
        <w:t>bezbjedno</w:t>
      </w:r>
      <w:r w:rsidRPr="00F24057">
        <w:rPr>
          <w:szCs w:val="22"/>
          <w:lang w:val="sr-Latn-ME"/>
        </w:rPr>
        <w:t xml:space="preserve">sni profil tokom ponovnog </w:t>
      </w:r>
      <w:r w:rsidR="00885A78" w:rsidRPr="00F24057">
        <w:rPr>
          <w:szCs w:val="22"/>
          <w:lang w:val="sr-Latn-ME"/>
        </w:rPr>
        <w:t>liječenj</w:t>
      </w:r>
      <w:r w:rsidRPr="00F24057">
        <w:rPr>
          <w:szCs w:val="22"/>
          <w:lang w:val="sr-Latn-ME"/>
        </w:rPr>
        <w:t xml:space="preserve">a i </w:t>
      </w:r>
      <w:r w:rsidR="00885A78" w:rsidRPr="00F24057">
        <w:rPr>
          <w:szCs w:val="22"/>
          <w:lang w:val="sr-Latn-ME"/>
        </w:rPr>
        <w:t>liječenj</w:t>
      </w:r>
      <w:r w:rsidRPr="00F24057">
        <w:rPr>
          <w:szCs w:val="22"/>
          <w:lang w:val="sr-Latn-ME"/>
        </w:rPr>
        <w:t xml:space="preserve">a </w:t>
      </w:r>
      <w:r w:rsidR="00885A78" w:rsidRPr="00F24057">
        <w:rPr>
          <w:szCs w:val="22"/>
          <w:lang w:val="sr-Latn-ME"/>
        </w:rPr>
        <w:t xml:space="preserve">prije </w:t>
      </w:r>
      <w:r w:rsidRPr="00F24057">
        <w:rPr>
          <w:szCs w:val="22"/>
          <w:lang w:val="sr-Latn-ME"/>
        </w:rPr>
        <w:t xml:space="preserve">prekida terapije. </w:t>
      </w:r>
    </w:p>
    <w:p w14:paraId="76DFB682" w14:textId="77777777" w:rsidR="00235266" w:rsidRPr="00F24057" w:rsidRDefault="00235266" w:rsidP="00D70B34">
      <w:pPr>
        <w:rPr>
          <w:szCs w:val="22"/>
          <w:lang w:val="sr-Latn-ME"/>
        </w:rPr>
      </w:pPr>
    </w:p>
    <w:p w14:paraId="5F0B4D4B" w14:textId="223B0DFE" w:rsidR="004E3A12" w:rsidRPr="00F24057" w:rsidRDefault="004E3A12" w:rsidP="00D70B34">
      <w:pPr>
        <w:rPr>
          <w:szCs w:val="22"/>
          <w:lang w:val="sr-Latn-ME"/>
        </w:rPr>
      </w:pPr>
      <w:r w:rsidRPr="00F24057">
        <w:rPr>
          <w:szCs w:val="22"/>
          <w:lang w:val="sr-Latn-ME"/>
        </w:rPr>
        <w:t xml:space="preserve">Značajno poboljšanje u 16. </w:t>
      </w:r>
      <w:r w:rsidR="00885A78" w:rsidRPr="00F24057">
        <w:rPr>
          <w:szCs w:val="22"/>
          <w:lang w:val="sr-Latn-ME"/>
        </w:rPr>
        <w:t>nedjelj</w:t>
      </w:r>
      <w:r w:rsidRPr="00F24057">
        <w:rPr>
          <w:szCs w:val="22"/>
          <w:lang w:val="sr-Latn-ME"/>
        </w:rPr>
        <w:t xml:space="preserve">i u odnosu na početno stanje, kada se poredi sa placebom (studija I i II) i MTX (studija II) je pokazano u DLQI (engl. </w:t>
      </w:r>
      <w:r w:rsidRPr="00F24057">
        <w:rPr>
          <w:i/>
          <w:iCs/>
          <w:szCs w:val="22"/>
          <w:lang w:val="sr-Latn-ME"/>
        </w:rPr>
        <w:t>Dermatology Life Quality Index</w:t>
      </w:r>
      <w:r w:rsidRPr="00F24057">
        <w:rPr>
          <w:szCs w:val="22"/>
          <w:lang w:val="sr-Latn-ME"/>
        </w:rPr>
        <w:t xml:space="preserve">). U studiji I takođe je </w:t>
      </w:r>
      <w:r w:rsidR="004F2520" w:rsidRPr="00F24057">
        <w:rPr>
          <w:szCs w:val="22"/>
          <w:lang w:val="sr-Latn-ME"/>
        </w:rPr>
        <w:t>zabilježeno</w:t>
      </w:r>
      <w:r w:rsidRPr="00F24057">
        <w:rPr>
          <w:szCs w:val="22"/>
          <w:lang w:val="sr-Latn-ME"/>
        </w:rPr>
        <w:t xml:space="preserve"> značajno poboljšanje, u odnosu na placebo, fizičkih i mentalnih komponenti ukupnog skora SF-36 upitnika. </w:t>
      </w:r>
    </w:p>
    <w:p w14:paraId="7331D3CC" w14:textId="77777777" w:rsidR="004E3A12" w:rsidRPr="00F24057" w:rsidRDefault="004E3A12" w:rsidP="00D70B34">
      <w:pPr>
        <w:rPr>
          <w:szCs w:val="22"/>
          <w:lang w:val="sr-Latn-ME"/>
        </w:rPr>
      </w:pPr>
    </w:p>
    <w:p w14:paraId="16A464A9" w14:textId="70158E39" w:rsidR="004E3A12" w:rsidRPr="00F24057" w:rsidRDefault="004E3A12" w:rsidP="00D70B34">
      <w:pPr>
        <w:rPr>
          <w:szCs w:val="22"/>
          <w:lang w:val="sr-Latn-ME"/>
        </w:rPr>
      </w:pPr>
      <w:r w:rsidRPr="00F24057">
        <w:rPr>
          <w:szCs w:val="22"/>
          <w:lang w:val="sr-Latn-ME"/>
        </w:rPr>
        <w:t xml:space="preserve">U produžetku studije otvorenog dizajna, za pacijente čija je doza povećana sa 40 mg svake druge </w:t>
      </w:r>
      <w:r w:rsidR="00885A78" w:rsidRPr="00F24057">
        <w:rPr>
          <w:szCs w:val="22"/>
          <w:lang w:val="sr-Latn-ME"/>
        </w:rPr>
        <w:t>nedjelj</w:t>
      </w:r>
      <w:r w:rsidRPr="00F24057">
        <w:rPr>
          <w:szCs w:val="22"/>
          <w:lang w:val="sr-Latn-ME"/>
        </w:rPr>
        <w:t xml:space="preserve">e na 40 mg svake </w:t>
      </w:r>
      <w:r w:rsidR="00885A78" w:rsidRPr="00F24057">
        <w:rPr>
          <w:szCs w:val="22"/>
          <w:lang w:val="sr-Latn-ME"/>
        </w:rPr>
        <w:t>nedjelj</w:t>
      </w:r>
      <w:r w:rsidRPr="00F24057">
        <w:rPr>
          <w:szCs w:val="22"/>
          <w:lang w:val="sr-Latn-ME"/>
        </w:rPr>
        <w:t xml:space="preserve">e zbog PASI odgovora ispod 50%, odgovor PASI 75 je postignut u 12. </w:t>
      </w:r>
      <w:r w:rsidR="00885A78" w:rsidRPr="00F24057">
        <w:rPr>
          <w:szCs w:val="22"/>
          <w:lang w:val="sr-Latn-ME"/>
        </w:rPr>
        <w:t>nedjelj</w:t>
      </w:r>
      <w:r w:rsidRPr="00F24057">
        <w:rPr>
          <w:szCs w:val="22"/>
          <w:lang w:val="sr-Latn-ME"/>
        </w:rPr>
        <w:t xml:space="preserve">i kod 26,4% (92/349) pacijenata i u 24. </w:t>
      </w:r>
      <w:r w:rsidR="00885A78" w:rsidRPr="00F24057">
        <w:rPr>
          <w:szCs w:val="22"/>
          <w:lang w:val="sr-Latn-ME"/>
        </w:rPr>
        <w:t>nedjelj</w:t>
      </w:r>
      <w:r w:rsidRPr="00F24057">
        <w:rPr>
          <w:szCs w:val="22"/>
          <w:lang w:val="sr-Latn-ME"/>
        </w:rPr>
        <w:t xml:space="preserve">i kod 37,8% (132/349) pacijenata. </w:t>
      </w:r>
    </w:p>
    <w:p w14:paraId="6066B08D" w14:textId="77777777" w:rsidR="004E3A12" w:rsidRPr="00F24057" w:rsidRDefault="004E3A12" w:rsidP="00D70B34">
      <w:pPr>
        <w:rPr>
          <w:szCs w:val="22"/>
          <w:lang w:val="sr-Latn-ME"/>
        </w:rPr>
      </w:pPr>
    </w:p>
    <w:p w14:paraId="51FD3933" w14:textId="1153992B" w:rsidR="004E3A12" w:rsidRPr="00F24057" w:rsidRDefault="004E3A12" w:rsidP="00D70B34">
      <w:pPr>
        <w:rPr>
          <w:szCs w:val="22"/>
          <w:lang w:val="sr-Latn-ME"/>
        </w:rPr>
      </w:pPr>
      <w:r w:rsidRPr="00F24057">
        <w:rPr>
          <w:szCs w:val="22"/>
          <w:lang w:val="sr-Latn-ME"/>
        </w:rPr>
        <w:t xml:space="preserve">U ispitivanju </w:t>
      </w:r>
      <w:r w:rsidRPr="00F24057">
        <w:rPr>
          <w:i/>
          <w:iCs/>
          <w:szCs w:val="22"/>
          <w:lang w:val="sr-Latn-ME"/>
        </w:rPr>
        <w:t>Psoriasis Study</w:t>
      </w:r>
      <w:r w:rsidRPr="00F24057">
        <w:rPr>
          <w:szCs w:val="22"/>
          <w:lang w:val="sr-Latn-ME"/>
        </w:rPr>
        <w:t xml:space="preserve"> III (REACH) upoređivale su se efikasnost i </w:t>
      </w:r>
      <w:r w:rsidR="0030064A" w:rsidRPr="00F24057">
        <w:rPr>
          <w:szCs w:val="22"/>
          <w:lang w:val="sr-Latn-ME"/>
        </w:rPr>
        <w:t>bezbjedno</w:t>
      </w:r>
      <w:r w:rsidRPr="00F24057">
        <w:rPr>
          <w:szCs w:val="22"/>
          <w:lang w:val="sr-Latn-ME"/>
        </w:rPr>
        <w:t>st adalimumaba u odnosu na placebo kod 72 pacijenta sa u</w:t>
      </w:r>
      <w:r w:rsidR="0030064A" w:rsidRPr="00F24057">
        <w:rPr>
          <w:szCs w:val="22"/>
          <w:lang w:val="sr-Latn-ME"/>
        </w:rPr>
        <w:t>mjeren</w:t>
      </w:r>
      <w:r w:rsidRPr="00F24057">
        <w:rPr>
          <w:szCs w:val="22"/>
          <w:lang w:val="sr-Latn-ME"/>
        </w:rPr>
        <w:t xml:space="preserve">im do teškim oblikom hronične plak psorijaze i psorijazom na šakama i/ili stopalima. Pacijenti su primili adalimumab u početnoj dozi od 80 mg, a zatim po 40 mg svake druge </w:t>
      </w:r>
      <w:r w:rsidR="00885A78" w:rsidRPr="00F24057">
        <w:rPr>
          <w:szCs w:val="22"/>
          <w:lang w:val="sr-Latn-ME"/>
        </w:rPr>
        <w:t>nedjelj</w:t>
      </w:r>
      <w:r w:rsidRPr="00F24057">
        <w:rPr>
          <w:szCs w:val="22"/>
          <w:lang w:val="sr-Latn-ME"/>
        </w:rPr>
        <w:t xml:space="preserve">e (počevši </w:t>
      </w:r>
      <w:r w:rsidR="00885A78" w:rsidRPr="00F24057">
        <w:rPr>
          <w:szCs w:val="22"/>
          <w:lang w:val="sr-Latn-ME"/>
        </w:rPr>
        <w:t>nedjelj</w:t>
      </w:r>
      <w:r w:rsidRPr="00F24057">
        <w:rPr>
          <w:szCs w:val="22"/>
          <w:lang w:val="sr-Latn-ME"/>
        </w:rPr>
        <w:t xml:space="preserve">u dana nakon početne doze) ili placebo tokom 16 </w:t>
      </w:r>
      <w:r w:rsidR="00885A78" w:rsidRPr="00F24057">
        <w:rPr>
          <w:szCs w:val="22"/>
          <w:lang w:val="sr-Latn-ME"/>
        </w:rPr>
        <w:t>nedjelj</w:t>
      </w:r>
      <w:r w:rsidRPr="00F24057">
        <w:rPr>
          <w:szCs w:val="22"/>
          <w:lang w:val="sr-Latn-ME"/>
        </w:rPr>
        <w:t xml:space="preserve">a. U 16. </w:t>
      </w:r>
      <w:r w:rsidR="00885A78" w:rsidRPr="00F24057">
        <w:rPr>
          <w:szCs w:val="22"/>
          <w:lang w:val="sr-Latn-ME"/>
        </w:rPr>
        <w:t>nedjelj</w:t>
      </w:r>
      <w:r w:rsidRPr="00F24057">
        <w:rPr>
          <w:szCs w:val="22"/>
          <w:lang w:val="sr-Latn-ME"/>
        </w:rPr>
        <w:t>i, statistički značajno veći ud</w:t>
      </w:r>
      <w:r w:rsidR="009A3407" w:rsidRPr="00F24057">
        <w:rPr>
          <w:szCs w:val="22"/>
          <w:lang w:val="sr-Latn-ME"/>
        </w:rPr>
        <w:t>i</w:t>
      </w:r>
      <w:r w:rsidRPr="00F24057">
        <w:rPr>
          <w:szCs w:val="22"/>
          <w:lang w:val="sr-Latn-ME"/>
        </w:rPr>
        <w:t xml:space="preserve">o pacijenata koji su primali adalimumab postigao je PGA rezultat „bez bolesti” ili „gotovo bez bolesti” za šake i/ili stopala u poređenju sa pacijentima koji su primali placebo (30,6% u odnosu na 4,3%, [P=0,014]). </w:t>
      </w:r>
    </w:p>
    <w:p w14:paraId="578EBEA7" w14:textId="77777777" w:rsidR="004E3A12" w:rsidRPr="00F24057" w:rsidRDefault="004E3A12" w:rsidP="00D70B34">
      <w:pPr>
        <w:rPr>
          <w:szCs w:val="22"/>
          <w:lang w:val="sr-Latn-ME"/>
        </w:rPr>
      </w:pPr>
    </w:p>
    <w:p w14:paraId="047CBD1F" w14:textId="2A1B5FC3" w:rsidR="00796EAF" w:rsidRPr="00F24057" w:rsidRDefault="004E3A12" w:rsidP="00D70B34">
      <w:pPr>
        <w:rPr>
          <w:szCs w:val="22"/>
          <w:lang w:val="sr-Latn-ME"/>
        </w:rPr>
      </w:pPr>
      <w:r w:rsidRPr="00F24057">
        <w:rPr>
          <w:szCs w:val="22"/>
          <w:lang w:val="sr-Latn-ME"/>
        </w:rPr>
        <w:t xml:space="preserve">U ispitivanju </w:t>
      </w:r>
      <w:r w:rsidRPr="00F24057">
        <w:rPr>
          <w:i/>
          <w:iCs/>
          <w:szCs w:val="22"/>
          <w:lang w:val="sr-Latn-ME"/>
        </w:rPr>
        <w:t>Psoriasis Study</w:t>
      </w:r>
      <w:r w:rsidRPr="00F24057">
        <w:rPr>
          <w:szCs w:val="22"/>
          <w:lang w:val="sr-Latn-ME"/>
        </w:rPr>
        <w:t xml:space="preserve"> IV upoređivale su se efikasnost i </w:t>
      </w:r>
      <w:r w:rsidR="0030064A" w:rsidRPr="00F24057">
        <w:rPr>
          <w:szCs w:val="22"/>
          <w:lang w:val="sr-Latn-ME"/>
        </w:rPr>
        <w:t>bezbjedno</w:t>
      </w:r>
      <w:r w:rsidRPr="00F24057">
        <w:rPr>
          <w:szCs w:val="22"/>
          <w:lang w:val="sr-Latn-ME"/>
        </w:rPr>
        <w:t>st adalimumaba u odnosu na placebo kod 217 odraslih pacijenata sa u</w:t>
      </w:r>
      <w:r w:rsidR="0030064A" w:rsidRPr="00F24057">
        <w:rPr>
          <w:szCs w:val="22"/>
          <w:lang w:val="sr-Latn-ME"/>
        </w:rPr>
        <w:t>mjeren</w:t>
      </w:r>
      <w:r w:rsidRPr="00F24057">
        <w:rPr>
          <w:szCs w:val="22"/>
          <w:lang w:val="sr-Latn-ME"/>
        </w:rPr>
        <w:t xml:space="preserve">om do teškom psorijazom noktiju. Pacijenti su primili adalimumab u početnoj dozi od 80 mg, a zatim po 40 mg svake druge </w:t>
      </w:r>
      <w:r w:rsidR="00885A78" w:rsidRPr="00F24057">
        <w:rPr>
          <w:szCs w:val="22"/>
          <w:lang w:val="sr-Latn-ME"/>
        </w:rPr>
        <w:t>nedjelj</w:t>
      </w:r>
      <w:r w:rsidRPr="00F24057">
        <w:rPr>
          <w:szCs w:val="22"/>
          <w:lang w:val="sr-Latn-ME"/>
        </w:rPr>
        <w:t xml:space="preserve">e (počevši </w:t>
      </w:r>
      <w:r w:rsidR="00885A78" w:rsidRPr="00F24057">
        <w:rPr>
          <w:szCs w:val="22"/>
          <w:lang w:val="sr-Latn-ME"/>
        </w:rPr>
        <w:t>nedjelj</w:t>
      </w:r>
      <w:r w:rsidRPr="00F24057">
        <w:rPr>
          <w:szCs w:val="22"/>
          <w:lang w:val="sr-Latn-ME"/>
        </w:rPr>
        <w:t xml:space="preserve">u dana nakon početne doze) ili placebo tokom 26 </w:t>
      </w:r>
      <w:r w:rsidR="00885A78" w:rsidRPr="00F24057">
        <w:rPr>
          <w:szCs w:val="22"/>
          <w:lang w:val="sr-Latn-ME"/>
        </w:rPr>
        <w:t>nedjelj</w:t>
      </w:r>
      <w:r w:rsidRPr="00F24057">
        <w:rPr>
          <w:szCs w:val="22"/>
          <w:lang w:val="sr-Latn-ME"/>
        </w:rPr>
        <w:t xml:space="preserve">a, nakon čega je sledilo otvoreno </w:t>
      </w:r>
      <w:r w:rsidR="0030064A" w:rsidRPr="00F24057">
        <w:rPr>
          <w:szCs w:val="22"/>
          <w:lang w:val="sr-Latn-ME"/>
        </w:rPr>
        <w:t>liječenje</w:t>
      </w:r>
      <w:r w:rsidRPr="00F24057">
        <w:rPr>
          <w:szCs w:val="22"/>
          <w:lang w:val="sr-Latn-ME"/>
        </w:rPr>
        <w:t xml:space="preserve"> adalimumabom tokom dodatnih 26 </w:t>
      </w:r>
      <w:r w:rsidR="00885A78" w:rsidRPr="00F24057">
        <w:rPr>
          <w:szCs w:val="22"/>
          <w:lang w:val="sr-Latn-ME"/>
        </w:rPr>
        <w:t>nedjelj</w:t>
      </w:r>
      <w:r w:rsidRPr="00F24057">
        <w:rPr>
          <w:szCs w:val="22"/>
          <w:lang w:val="sr-Latn-ME"/>
        </w:rPr>
        <w:t>a. Oc</w:t>
      </w:r>
      <w:r w:rsidR="00FF3128" w:rsidRPr="00F24057">
        <w:rPr>
          <w:szCs w:val="22"/>
          <w:lang w:val="sr-Latn-ME"/>
        </w:rPr>
        <w:t>j</w:t>
      </w:r>
      <w:r w:rsidRPr="00F24057">
        <w:rPr>
          <w:szCs w:val="22"/>
          <w:lang w:val="sr-Latn-ME"/>
        </w:rPr>
        <w:t xml:space="preserve">ena psorijaze noktiju uključivala je modifikovani indeks težine psorijaze noktiju (engl. </w:t>
      </w:r>
      <w:r w:rsidRPr="00F24057">
        <w:rPr>
          <w:i/>
          <w:iCs/>
          <w:szCs w:val="22"/>
          <w:lang w:val="sr-Latn-ME"/>
        </w:rPr>
        <w:t>Modified Nail Psoriasis Severity Index</w:t>
      </w:r>
      <w:r w:rsidRPr="00F24057">
        <w:rPr>
          <w:szCs w:val="22"/>
          <w:lang w:val="sr-Latn-ME"/>
        </w:rPr>
        <w:t xml:space="preserve">, mNAPSI), opštu </w:t>
      </w:r>
      <w:r w:rsidR="004F2520" w:rsidRPr="00F24057">
        <w:rPr>
          <w:szCs w:val="22"/>
          <w:lang w:val="sr-Latn-ME"/>
        </w:rPr>
        <w:t>procjen</w:t>
      </w:r>
      <w:r w:rsidRPr="00F24057">
        <w:rPr>
          <w:szCs w:val="22"/>
          <w:lang w:val="sr-Latn-ME"/>
        </w:rPr>
        <w:t xml:space="preserve">u psorijaze noktiju na rukama od strane </w:t>
      </w:r>
      <w:r w:rsidR="0030064A" w:rsidRPr="00F24057">
        <w:rPr>
          <w:szCs w:val="22"/>
          <w:lang w:val="sr-Latn-ME"/>
        </w:rPr>
        <w:t>ljekar</w:t>
      </w:r>
      <w:r w:rsidRPr="00F24057">
        <w:rPr>
          <w:szCs w:val="22"/>
          <w:lang w:val="sr-Latn-ME"/>
        </w:rPr>
        <w:t>a (engl.</w:t>
      </w:r>
      <w:r w:rsidR="00DA4E0E" w:rsidRPr="00F24057">
        <w:rPr>
          <w:szCs w:val="22"/>
          <w:lang w:val="sr-Latn-ME"/>
        </w:rPr>
        <w:t xml:space="preserve"> </w:t>
      </w:r>
      <w:r w:rsidR="00DA4E0E" w:rsidRPr="00F24057">
        <w:rPr>
          <w:i/>
          <w:iCs/>
          <w:szCs w:val="22"/>
          <w:lang w:val="sr-Latn-ME"/>
        </w:rPr>
        <w:t>Physician's Global Assessment of Fingernail Psoriasis</w:t>
      </w:r>
      <w:r w:rsidR="00DA4E0E" w:rsidRPr="00F24057">
        <w:rPr>
          <w:szCs w:val="22"/>
          <w:lang w:val="sr-Latn-ME"/>
        </w:rPr>
        <w:t xml:space="preserve">, PGA-F) i indeks težine psorijaze noktiju (engl. </w:t>
      </w:r>
      <w:r w:rsidR="00DA4E0E" w:rsidRPr="00F24057">
        <w:rPr>
          <w:i/>
          <w:iCs/>
          <w:szCs w:val="22"/>
          <w:lang w:val="sr-Latn-ME"/>
        </w:rPr>
        <w:t>Nail Psoriasis Severity Index</w:t>
      </w:r>
      <w:r w:rsidR="00DA4E0E" w:rsidRPr="00F24057">
        <w:rPr>
          <w:szCs w:val="22"/>
          <w:lang w:val="sr-Latn-ME"/>
        </w:rPr>
        <w:t>, NAPSI) (</w:t>
      </w:r>
      <w:r w:rsidR="0030064A" w:rsidRPr="00F24057">
        <w:rPr>
          <w:szCs w:val="22"/>
          <w:lang w:val="sr-Latn-ME"/>
        </w:rPr>
        <w:t>vidjeti</w:t>
      </w:r>
      <w:r w:rsidR="00DA4E0E" w:rsidRPr="00F24057">
        <w:rPr>
          <w:szCs w:val="22"/>
          <w:lang w:val="sr-Latn-ME"/>
        </w:rPr>
        <w:t xml:space="preserve"> Tabelu 1</w:t>
      </w:r>
      <w:r w:rsidR="00796EAF" w:rsidRPr="00F24057">
        <w:rPr>
          <w:szCs w:val="22"/>
          <w:lang w:val="sr-Latn-ME"/>
        </w:rPr>
        <w:t>8</w:t>
      </w:r>
      <w:r w:rsidR="00DA4E0E" w:rsidRPr="00F24057">
        <w:rPr>
          <w:szCs w:val="22"/>
          <w:lang w:val="sr-Latn-ME"/>
        </w:rPr>
        <w:t xml:space="preserve">). </w:t>
      </w:r>
    </w:p>
    <w:p w14:paraId="1218F680" w14:textId="1BA1F77D" w:rsidR="00DC548F" w:rsidRPr="00F24057" w:rsidRDefault="00DA4E0E" w:rsidP="00D70B34">
      <w:pPr>
        <w:rPr>
          <w:szCs w:val="22"/>
          <w:lang w:val="sr-Latn-ME"/>
        </w:rPr>
      </w:pPr>
      <w:r w:rsidRPr="00F24057">
        <w:rPr>
          <w:szCs w:val="22"/>
          <w:lang w:val="sr-Latn-ME"/>
        </w:rPr>
        <w:t xml:space="preserve">Adalimumab je ostvario povoljan terapijski efekat kod pacijenata sa psorijazom noktiju i različitim stepenima zahvaćenosti kože (≥ 10% </w:t>
      </w:r>
      <w:r w:rsidR="007E5568" w:rsidRPr="00F24057">
        <w:rPr>
          <w:szCs w:val="22"/>
          <w:lang w:val="sr-Latn-ME"/>
        </w:rPr>
        <w:t>tjeles</w:t>
      </w:r>
      <w:r w:rsidRPr="00F24057">
        <w:rPr>
          <w:szCs w:val="22"/>
          <w:lang w:val="sr-Latn-ME"/>
        </w:rPr>
        <w:t xml:space="preserve">ne površine [60% pacijenata] i &lt; 10% i ≥ 5% </w:t>
      </w:r>
      <w:r w:rsidR="007E5568" w:rsidRPr="00F24057">
        <w:rPr>
          <w:szCs w:val="22"/>
          <w:lang w:val="sr-Latn-ME"/>
        </w:rPr>
        <w:t>tjeles</w:t>
      </w:r>
      <w:r w:rsidRPr="00F24057">
        <w:rPr>
          <w:szCs w:val="22"/>
          <w:lang w:val="sr-Latn-ME"/>
        </w:rPr>
        <w:t>ne površine [40% pacijenata]).</w:t>
      </w:r>
    </w:p>
    <w:p w14:paraId="60DF6EE9" w14:textId="5A7ACAF1" w:rsidR="00DC548F" w:rsidRPr="00F24057" w:rsidRDefault="00DC548F" w:rsidP="00D70B34">
      <w:pPr>
        <w:rPr>
          <w:szCs w:val="22"/>
          <w:lang w:val="sr-Latn-ME"/>
        </w:rPr>
      </w:pPr>
    </w:p>
    <w:p w14:paraId="33C86574" w14:textId="530EC5C5" w:rsidR="001F6D1D" w:rsidRPr="00F24057" w:rsidRDefault="001F6D1D" w:rsidP="00D70B34">
      <w:pPr>
        <w:rPr>
          <w:b/>
          <w:bCs/>
          <w:szCs w:val="22"/>
          <w:lang w:val="sr-Latn-ME"/>
        </w:rPr>
      </w:pPr>
      <w:r w:rsidRPr="00F24057">
        <w:rPr>
          <w:b/>
          <w:bCs/>
          <w:szCs w:val="22"/>
          <w:lang w:val="sr-Latn-ME"/>
        </w:rPr>
        <w:t>Tabela 18. Ispitivanje Ps IV</w:t>
      </w:r>
      <w:r w:rsidR="006030EE" w:rsidRPr="00F24057">
        <w:rPr>
          <w:b/>
          <w:bCs/>
          <w:szCs w:val="22"/>
          <w:lang w:val="sr-Latn-ME"/>
        </w:rPr>
        <w:t xml:space="preserve"> -</w:t>
      </w:r>
      <w:r w:rsidRPr="00F24057">
        <w:rPr>
          <w:b/>
          <w:bCs/>
          <w:szCs w:val="22"/>
          <w:lang w:val="sr-Latn-ME"/>
        </w:rPr>
        <w:t xml:space="preserve"> Rezultati efikasnosti u 16., 26. i 52. </w:t>
      </w:r>
      <w:r w:rsidR="00885A78" w:rsidRPr="00F24057">
        <w:rPr>
          <w:b/>
          <w:bCs/>
          <w:szCs w:val="22"/>
          <w:lang w:val="sr-Latn-ME"/>
        </w:rPr>
        <w:t>nedjelj</w:t>
      </w:r>
      <w:r w:rsidRPr="00F24057">
        <w:rPr>
          <w:b/>
          <w:bCs/>
          <w:szCs w:val="22"/>
          <w:lang w:val="sr-Latn-ME"/>
        </w:rPr>
        <w:t>i</w:t>
      </w:r>
    </w:p>
    <w:p w14:paraId="680628C9" w14:textId="77777777" w:rsidR="001F6D1D" w:rsidRPr="00F24057" w:rsidRDefault="001F6D1D" w:rsidP="00D70B34">
      <w:pPr>
        <w:rPr>
          <w:szCs w:val="22"/>
          <w:lang w:val="sr-Latn-ME"/>
        </w:rPr>
      </w:pPr>
    </w:p>
    <w:tbl>
      <w:tblPr>
        <w:tblW w:w="5000" w:type="pct"/>
        <w:tblCellMar>
          <w:top w:w="42" w:type="dxa"/>
          <w:left w:w="85" w:type="dxa"/>
          <w:right w:w="85" w:type="dxa"/>
        </w:tblCellMar>
        <w:tblLook w:val="04A0" w:firstRow="1" w:lastRow="0" w:firstColumn="1" w:lastColumn="0" w:noHBand="0" w:noVBand="1"/>
      </w:tblPr>
      <w:tblGrid>
        <w:gridCol w:w="2027"/>
        <w:gridCol w:w="1252"/>
        <w:gridCol w:w="1540"/>
        <w:gridCol w:w="1100"/>
        <w:gridCol w:w="1529"/>
        <w:gridCol w:w="1569"/>
      </w:tblGrid>
      <w:tr w:rsidR="001F6D1D" w:rsidRPr="00F24057" w14:paraId="05421563" w14:textId="77777777" w:rsidTr="006F790F">
        <w:trPr>
          <w:trHeight w:val="20"/>
        </w:trPr>
        <w:tc>
          <w:tcPr>
            <w:tcW w:w="1124" w:type="pct"/>
            <w:vMerge w:val="restart"/>
            <w:tcBorders>
              <w:top w:val="single" w:sz="4" w:space="0" w:color="000000"/>
              <w:left w:val="single" w:sz="4" w:space="0" w:color="000000"/>
              <w:right w:val="single" w:sz="4" w:space="0" w:color="000000"/>
            </w:tcBorders>
          </w:tcPr>
          <w:p w14:paraId="2D84F03E" w14:textId="77777777" w:rsidR="001F6D1D" w:rsidRPr="00F24057" w:rsidRDefault="001F6D1D" w:rsidP="00D70B34">
            <w:pPr>
              <w:rPr>
                <w:b/>
                <w:bCs/>
                <w:szCs w:val="22"/>
                <w:lang w:val="sr-Latn-ME"/>
              </w:rPr>
            </w:pPr>
            <w:r w:rsidRPr="00F24057">
              <w:rPr>
                <w:b/>
                <w:bCs/>
                <w:szCs w:val="22"/>
                <w:lang w:val="sr-Latn-ME"/>
              </w:rPr>
              <w:t>Parametar praćenja</w:t>
            </w:r>
          </w:p>
        </w:tc>
        <w:tc>
          <w:tcPr>
            <w:tcW w:w="1548" w:type="pct"/>
            <w:gridSpan w:val="2"/>
            <w:tcBorders>
              <w:top w:val="single" w:sz="4" w:space="0" w:color="000000"/>
              <w:left w:val="single" w:sz="4" w:space="0" w:color="000000"/>
              <w:bottom w:val="single" w:sz="4" w:space="0" w:color="000000"/>
              <w:right w:val="single" w:sz="4" w:space="0" w:color="000000"/>
            </w:tcBorders>
            <w:vAlign w:val="center"/>
          </w:tcPr>
          <w:p w14:paraId="60013557" w14:textId="5B2C0865" w:rsidR="001F6D1D" w:rsidRPr="00F24057" w:rsidRDefault="001F6D1D" w:rsidP="00D70B34">
            <w:pPr>
              <w:jc w:val="center"/>
              <w:rPr>
                <w:b/>
                <w:bCs/>
                <w:szCs w:val="22"/>
                <w:lang w:val="sr-Latn-ME"/>
              </w:rPr>
            </w:pPr>
            <w:r w:rsidRPr="00F24057">
              <w:rPr>
                <w:b/>
                <w:bCs/>
                <w:szCs w:val="22"/>
                <w:lang w:val="sr-Latn-ME"/>
              </w:rPr>
              <w:t xml:space="preserve">16. </w:t>
            </w:r>
            <w:r w:rsidR="00885A78" w:rsidRPr="00F24057">
              <w:rPr>
                <w:b/>
                <w:bCs/>
                <w:szCs w:val="22"/>
                <w:lang w:val="sr-Latn-ME"/>
              </w:rPr>
              <w:t>nedjelj</w:t>
            </w:r>
            <w:r w:rsidRPr="00F24057">
              <w:rPr>
                <w:b/>
                <w:bCs/>
                <w:szCs w:val="22"/>
                <w:lang w:val="sr-Latn-ME"/>
              </w:rPr>
              <w:t>a</w:t>
            </w:r>
          </w:p>
          <w:p w14:paraId="29683B00" w14:textId="77777777" w:rsidR="001F6D1D" w:rsidRPr="00F24057" w:rsidRDefault="001F6D1D" w:rsidP="00D70B34">
            <w:pPr>
              <w:jc w:val="center"/>
              <w:rPr>
                <w:b/>
                <w:bCs/>
                <w:szCs w:val="22"/>
                <w:lang w:val="sr-Latn-ME"/>
              </w:rPr>
            </w:pPr>
            <w:r w:rsidRPr="00F24057">
              <w:rPr>
                <w:b/>
                <w:bCs/>
                <w:szCs w:val="22"/>
                <w:lang w:val="sr-Latn-ME"/>
              </w:rPr>
              <w:t>Placebom kontrolisano</w:t>
            </w:r>
          </w:p>
        </w:tc>
        <w:tc>
          <w:tcPr>
            <w:tcW w:w="1458" w:type="pct"/>
            <w:gridSpan w:val="2"/>
            <w:tcBorders>
              <w:top w:val="single" w:sz="4" w:space="0" w:color="000000"/>
              <w:left w:val="single" w:sz="4" w:space="0" w:color="000000"/>
              <w:bottom w:val="single" w:sz="4" w:space="0" w:color="000000"/>
              <w:right w:val="single" w:sz="4" w:space="0" w:color="000000"/>
            </w:tcBorders>
            <w:vAlign w:val="center"/>
          </w:tcPr>
          <w:p w14:paraId="1EAC3429" w14:textId="2B8A02F1" w:rsidR="001F6D1D" w:rsidRPr="00F24057" w:rsidRDefault="001F6D1D" w:rsidP="00D70B34">
            <w:pPr>
              <w:jc w:val="center"/>
              <w:rPr>
                <w:b/>
                <w:bCs/>
                <w:szCs w:val="22"/>
                <w:lang w:val="sr-Latn-ME"/>
              </w:rPr>
            </w:pPr>
            <w:r w:rsidRPr="00F24057">
              <w:rPr>
                <w:b/>
                <w:bCs/>
                <w:szCs w:val="22"/>
                <w:lang w:val="sr-Latn-ME"/>
              </w:rPr>
              <w:t xml:space="preserve">26. </w:t>
            </w:r>
            <w:r w:rsidR="00885A78" w:rsidRPr="00F24057">
              <w:rPr>
                <w:b/>
                <w:bCs/>
                <w:szCs w:val="22"/>
                <w:lang w:val="sr-Latn-ME"/>
              </w:rPr>
              <w:t>nedjelj</w:t>
            </w:r>
            <w:r w:rsidRPr="00F24057">
              <w:rPr>
                <w:b/>
                <w:bCs/>
                <w:szCs w:val="22"/>
                <w:lang w:val="sr-Latn-ME"/>
              </w:rPr>
              <w:t>a</w:t>
            </w:r>
          </w:p>
          <w:p w14:paraId="4F59D578" w14:textId="77777777" w:rsidR="001F6D1D" w:rsidRPr="00F24057" w:rsidRDefault="001F6D1D" w:rsidP="00D70B34">
            <w:pPr>
              <w:jc w:val="center"/>
              <w:rPr>
                <w:b/>
                <w:bCs/>
                <w:szCs w:val="22"/>
                <w:lang w:val="sr-Latn-ME"/>
              </w:rPr>
            </w:pPr>
            <w:r w:rsidRPr="00F24057">
              <w:rPr>
                <w:b/>
                <w:bCs/>
                <w:szCs w:val="22"/>
                <w:lang w:val="sr-Latn-ME"/>
              </w:rPr>
              <w:t>Placebom kontrolisano</w:t>
            </w:r>
          </w:p>
        </w:tc>
        <w:tc>
          <w:tcPr>
            <w:tcW w:w="869" w:type="pct"/>
            <w:tcBorders>
              <w:top w:val="single" w:sz="4" w:space="0" w:color="000000"/>
              <w:left w:val="single" w:sz="4" w:space="0" w:color="000000"/>
              <w:bottom w:val="single" w:sz="4" w:space="0" w:color="000000"/>
              <w:right w:val="single" w:sz="4" w:space="0" w:color="000000"/>
            </w:tcBorders>
            <w:vAlign w:val="center"/>
          </w:tcPr>
          <w:p w14:paraId="445F4EDC" w14:textId="4ECFF8BF" w:rsidR="001F6D1D" w:rsidRPr="00F24057" w:rsidRDefault="001F6D1D" w:rsidP="00D70B34">
            <w:pPr>
              <w:jc w:val="center"/>
              <w:rPr>
                <w:b/>
                <w:bCs/>
                <w:szCs w:val="22"/>
                <w:lang w:val="sr-Latn-ME"/>
              </w:rPr>
            </w:pPr>
            <w:r w:rsidRPr="00F24057">
              <w:rPr>
                <w:b/>
                <w:bCs/>
                <w:szCs w:val="22"/>
                <w:lang w:val="sr-Latn-ME"/>
              </w:rPr>
              <w:t xml:space="preserve">52. </w:t>
            </w:r>
            <w:r w:rsidR="00885A78" w:rsidRPr="00F24057">
              <w:rPr>
                <w:b/>
                <w:bCs/>
                <w:szCs w:val="22"/>
                <w:lang w:val="sr-Latn-ME"/>
              </w:rPr>
              <w:t>nedjelj</w:t>
            </w:r>
            <w:r w:rsidRPr="00F24057">
              <w:rPr>
                <w:b/>
                <w:bCs/>
                <w:szCs w:val="22"/>
                <w:lang w:val="sr-Latn-ME"/>
              </w:rPr>
              <w:t>a</w:t>
            </w:r>
          </w:p>
          <w:p w14:paraId="176127D7" w14:textId="77777777" w:rsidR="001F6D1D" w:rsidRPr="00F24057" w:rsidRDefault="001F6D1D" w:rsidP="00D70B34">
            <w:pPr>
              <w:jc w:val="center"/>
              <w:rPr>
                <w:b/>
                <w:bCs/>
                <w:szCs w:val="22"/>
                <w:lang w:val="sr-Latn-ME"/>
              </w:rPr>
            </w:pPr>
            <w:r w:rsidRPr="00F24057">
              <w:rPr>
                <w:b/>
                <w:bCs/>
                <w:szCs w:val="22"/>
                <w:lang w:val="sr-Latn-ME"/>
              </w:rPr>
              <w:t>Otvoreno</w:t>
            </w:r>
          </w:p>
        </w:tc>
      </w:tr>
      <w:tr w:rsidR="001F6D1D" w:rsidRPr="00F24057" w14:paraId="54632FB3" w14:textId="77777777" w:rsidTr="006F790F">
        <w:trPr>
          <w:trHeight w:val="20"/>
        </w:trPr>
        <w:tc>
          <w:tcPr>
            <w:tcW w:w="1124" w:type="pct"/>
            <w:vMerge/>
            <w:tcBorders>
              <w:left w:val="single" w:sz="4" w:space="0" w:color="000000"/>
              <w:bottom w:val="single" w:sz="4" w:space="0" w:color="000000"/>
              <w:right w:val="single" w:sz="4" w:space="0" w:color="000000"/>
            </w:tcBorders>
          </w:tcPr>
          <w:p w14:paraId="533B25DE" w14:textId="77777777" w:rsidR="001F6D1D" w:rsidRPr="00F24057" w:rsidRDefault="001F6D1D" w:rsidP="00D70B34">
            <w:pPr>
              <w:rPr>
                <w:szCs w:val="22"/>
                <w:lang w:val="sr-Latn-ME"/>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1F28AA9D" w14:textId="3D6386FE" w:rsidR="001F6D1D" w:rsidRPr="00F24057" w:rsidRDefault="001F6D1D" w:rsidP="00D70B34">
            <w:pPr>
              <w:jc w:val="center"/>
              <w:rPr>
                <w:b/>
                <w:bCs/>
                <w:szCs w:val="22"/>
                <w:lang w:val="sr-Latn-ME"/>
              </w:rPr>
            </w:pPr>
            <w:r w:rsidRPr="00F24057">
              <w:rPr>
                <w:b/>
                <w:bCs/>
                <w:szCs w:val="22"/>
                <w:lang w:val="sr-Latn-ME"/>
              </w:rPr>
              <w:t>Placebo</w:t>
            </w:r>
          </w:p>
          <w:p w14:paraId="76261143" w14:textId="77777777" w:rsidR="001F6D1D" w:rsidRPr="00F24057" w:rsidRDefault="001F6D1D" w:rsidP="00D70B34">
            <w:pPr>
              <w:jc w:val="center"/>
              <w:rPr>
                <w:b/>
                <w:bCs/>
                <w:szCs w:val="22"/>
                <w:lang w:val="sr-Latn-ME"/>
              </w:rPr>
            </w:pPr>
            <w:r w:rsidRPr="00F24057">
              <w:rPr>
                <w:b/>
                <w:bCs/>
                <w:szCs w:val="22"/>
                <w:lang w:val="sr-Latn-ME"/>
              </w:rPr>
              <w:t>N=108</w:t>
            </w:r>
          </w:p>
        </w:tc>
        <w:tc>
          <w:tcPr>
            <w:tcW w:w="854" w:type="pct"/>
            <w:tcBorders>
              <w:top w:val="single" w:sz="4" w:space="0" w:color="000000"/>
              <w:left w:val="single" w:sz="4" w:space="0" w:color="000000"/>
              <w:bottom w:val="single" w:sz="4" w:space="0" w:color="000000"/>
              <w:right w:val="single" w:sz="4" w:space="0" w:color="000000"/>
            </w:tcBorders>
            <w:vAlign w:val="center"/>
          </w:tcPr>
          <w:p w14:paraId="2D713B71" w14:textId="12BDC3EC" w:rsidR="001F6D1D" w:rsidRPr="00F24057" w:rsidRDefault="001F6D1D" w:rsidP="00D70B34">
            <w:pPr>
              <w:jc w:val="center"/>
              <w:rPr>
                <w:b/>
                <w:bCs/>
                <w:szCs w:val="22"/>
                <w:lang w:val="sr-Latn-ME"/>
              </w:rPr>
            </w:pPr>
            <w:r w:rsidRPr="00F24057">
              <w:rPr>
                <w:b/>
                <w:bCs/>
                <w:szCs w:val="22"/>
                <w:lang w:val="sr-Latn-ME"/>
              </w:rPr>
              <w:t xml:space="preserve">Adalimumab 40 mg svake druge </w:t>
            </w:r>
            <w:r w:rsidR="00885A78" w:rsidRPr="00F24057">
              <w:rPr>
                <w:b/>
                <w:bCs/>
                <w:szCs w:val="22"/>
                <w:lang w:val="sr-Latn-ME"/>
              </w:rPr>
              <w:t>nedjelj</w:t>
            </w:r>
            <w:r w:rsidRPr="00F24057">
              <w:rPr>
                <w:b/>
                <w:bCs/>
                <w:szCs w:val="22"/>
                <w:lang w:val="sr-Latn-ME"/>
              </w:rPr>
              <w:t>e</w:t>
            </w:r>
          </w:p>
          <w:p w14:paraId="6C021A84" w14:textId="77777777" w:rsidR="001F6D1D" w:rsidRPr="00F24057" w:rsidRDefault="001F6D1D" w:rsidP="00D70B34">
            <w:pPr>
              <w:jc w:val="center"/>
              <w:rPr>
                <w:b/>
                <w:bCs/>
                <w:szCs w:val="22"/>
                <w:lang w:val="sr-Latn-ME"/>
              </w:rPr>
            </w:pPr>
            <w:r w:rsidRPr="00F24057">
              <w:rPr>
                <w:b/>
                <w:bCs/>
                <w:szCs w:val="22"/>
                <w:lang w:val="sr-Latn-ME"/>
              </w:rPr>
              <w:t>N=109</w:t>
            </w:r>
          </w:p>
        </w:tc>
        <w:tc>
          <w:tcPr>
            <w:tcW w:w="610" w:type="pct"/>
            <w:tcBorders>
              <w:top w:val="single" w:sz="4" w:space="0" w:color="000000"/>
              <w:left w:val="single" w:sz="4" w:space="0" w:color="000000"/>
              <w:bottom w:val="single" w:sz="4" w:space="0" w:color="000000"/>
              <w:right w:val="single" w:sz="4" w:space="0" w:color="000000"/>
            </w:tcBorders>
            <w:vAlign w:val="center"/>
          </w:tcPr>
          <w:p w14:paraId="27C02A33" w14:textId="7059BF79" w:rsidR="001F6D1D" w:rsidRPr="00F24057" w:rsidRDefault="001F6D1D" w:rsidP="00D70B34">
            <w:pPr>
              <w:jc w:val="center"/>
              <w:rPr>
                <w:b/>
                <w:bCs/>
                <w:szCs w:val="22"/>
                <w:lang w:val="sr-Latn-ME"/>
              </w:rPr>
            </w:pPr>
            <w:r w:rsidRPr="00F24057">
              <w:rPr>
                <w:b/>
                <w:bCs/>
                <w:szCs w:val="22"/>
                <w:lang w:val="sr-Latn-ME"/>
              </w:rPr>
              <w:t>Placebo</w:t>
            </w:r>
          </w:p>
          <w:p w14:paraId="121F9DE7" w14:textId="77777777" w:rsidR="001F6D1D" w:rsidRPr="00F24057" w:rsidRDefault="001F6D1D" w:rsidP="00D70B34">
            <w:pPr>
              <w:jc w:val="center"/>
              <w:rPr>
                <w:b/>
                <w:bCs/>
                <w:szCs w:val="22"/>
                <w:lang w:val="sr-Latn-ME"/>
              </w:rPr>
            </w:pPr>
            <w:r w:rsidRPr="00F24057">
              <w:rPr>
                <w:b/>
                <w:bCs/>
                <w:szCs w:val="22"/>
                <w:lang w:val="sr-Latn-ME"/>
              </w:rPr>
              <w:t>N=108</w:t>
            </w:r>
          </w:p>
        </w:tc>
        <w:tc>
          <w:tcPr>
            <w:tcW w:w="848" w:type="pct"/>
            <w:tcBorders>
              <w:top w:val="single" w:sz="4" w:space="0" w:color="000000"/>
              <w:left w:val="single" w:sz="4" w:space="0" w:color="000000"/>
              <w:bottom w:val="single" w:sz="4" w:space="0" w:color="000000"/>
              <w:right w:val="single" w:sz="4" w:space="0" w:color="000000"/>
            </w:tcBorders>
            <w:vAlign w:val="center"/>
          </w:tcPr>
          <w:p w14:paraId="61F9634F" w14:textId="69908219" w:rsidR="001F6D1D" w:rsidRPr="00F24057" w:rsidRDefault="001F6D1D" w:rsidP="00D70B34">
            <w:pPr>
              <w:jc w:val="center"/>
              <w:rPr>
                <w:b/>
                <w:bCs/>
                <w:szCs w:val="22"/>
                <w:lang w:val="sr-Latn-ME"/>
              </w:rPr>
            </w:pPr>
            <w:r w:rsidRPr="00F24057">
              <w:rPr>
                <w:b/>
                <w:bCs/>
                <w:szCs w:val="22"/>
                <w:lang w:val="sr-Latn-ME"/>
              </w:rPr>
              <w:t xml:space="preserve">Adalimumab 40 mg svake druge </w:t>
            </w:r>
            <w:r w:rsidR="00885A78" w:rsidRPr="00F24057">
              <w:rPr>
                <w:b/>
                <w:bCs/>
                <w:szCs w:val="22"/>
                <w:lang w:val="sr-Latn-ME"/>
              </w:rPr>
              <w:t>nedjelj</w:t>
            </w:r>
            <w:r w:rsidRPr="00F24057">
              <w:rPr>
                <w:b/>
                <w:bCs/>
                <w:szCs w:val="22"/>
                <w:lang w:val="sr-Latn-ME"/>
              </w:rPr>
              <w:t>e</w:t>
            </w:r>
          </w:p>
          <w:p w14:paraId="3763B6F9" w14:textId="77777777" w:rsidR="001F6D1D" w:rsidRPr="00F24057" w:rsidRDefault="001F6D1D" w:rsidP="00D70B34">
            <w:pPr>
              <w:jc w:val="center"/>
              <w:rPr>
                <w:b/>
                <w:bCs/>
                <w:szCs w:val="22"/>
                <w:lang w:val="sr-Latn-ME"/>
              </w:rPr>
            </w:pPr>
            <w:r w:rsidRPr="00F24057">
              <w:rPr>
                <w:b/>
                <w:bCs/>
                <w:szCs w:val="22"/>
                <w:lang w:val="sr-Latn-ME"/>
              </w:rPr>
              <w:t>N=109</w:t>
            </w:r>
          </w:p>
        </w:tc>
        <w:tc>
          <w:tcPr>
            <w:tcW w:w="869" w:type="pct"/>
            <w:tcBorders>
              <w:top w:val="single" w:sz="4" w:space="0" w:color="000000"/>
              <w:left w:val="single" w:sz="4" w:space="0" w:color="000000"/>
              <w:bottom w:val="single" w:sz="4" w:space="0" w:color="000000"/>
              <w:right w:val="single" w:sz="4" w:space="0" w:color="000000"/>
            </w:tcBorders>
            <w:vAlign w:val="center"/>
          </w:tcPr>
          <w:p w14:paraId="496241A1" w14:textId="7CB23A4B" w:rsidR="0093182F" w:rsidRPr="00F24057" w:rsidRDefault="001F6D1D" w:rsidP="00D70B34">
            <w:pPr>
              <w:jc w:val="center"/>
              <w:rPr>
                <w:b/>
                <w:bCs/>
                <w:szCs w:val="22"/>
                <w:lang w:val="sr-Latn-ME"/>
              </w:rPr>
            </w:pPr>
            <w:r w:rsidRPr="00F24057">
              <w:rPr>
                <w:b/>
                <w:bCs/>
                <w:szCs w:val="22"/>
                <w:lang w:val="sr-Latn-ME"/>
              </w:rPr>
              <w:t xml:space="preserve">Adalimumab 40 mg svake druge </w:t>
            </w:r>
            <w:r w:rsidR="00885A78" w:rsidRPr="00F24057">
              <w:rPr>
                <w:b/>
                <w:bCs/>
                <w:szCs w:val="22"/>
                <w:lang w:val="sr-Latn-ME"/>
              </w:rPr>
              <w:t>nedjelj</w:t>
            </w:r>
            <w:r w:rsidRPr="00F24057">
              <w:rPr>
                <w:b/>
                <w:bCs/>
                <w:szCs w:val="22"/>
                <w:lang w:val="sr-Latn-ME"/>
              </w:rPr>
              <w:t xml:space="preserve">e </w:t>
            </w:r>
          </w:p>
          <w:p w14:paraId="076F502B" w14:textId="18106E40" w:rsidR="001F6D1D" w:rsidRPr="00F24057" w:rsidRDefault="001F6D1D" w:rsidP="00D70B34">
            <w:pPr>
              <w:jc w:val="center"/>
              <w:rPr>
                <w:b/>
                <w:bCs/>
                <w:szCs w:val="22"/>
                <w:lang w:val="sr-Latn-ME"/>
              </w:rPr>
            </w:pPr>
            <w:r w:rsidRPr="00F24057">
              <w:rPr>
                <w:b/>
                <w:bCs/>
                <w:szCs w:val="22"/>
                <w:lang w:val="sr-Latn-ME"/>
              </w:rPr>
              <w:t>N=80</w:t>
            </w:r>
          </w:p>
        </w:tc>
      </w:tr>
      <w:tr w:rsidR="0093182F" w:rsidRPr="00F24057" w14:paraId="4CC12E75" w14:textId="77777777" w:rsidTr="006F790F">
        <w:trPr>
          <w:trHeight w:val="20"/>
        </w:trPr>
        <w:tc>
          <w:tcPr>
            <w:tcW w:w="1124" w:type="pct"/>
            <w:tcBorders>
              <w:top w:val="single" w:sz="4" w:space="0" w:color="000000"/>
              <w:left w:val="single" w:sz="4" w:space="0" w:color="000000"/>
              <w:bottom w:val="single" w:sz="4" w:space="0" w:color="000000"/>
              <w:right w:val="single" w:sz="4" w:space="0" w:color="000000"/>
            </w:tcBorders>
            <w:vAlign w:val="center"/>
          </w:tcPr>
          <w:p w14:paraId="7C29DB10" w14:textId="77777777" w:rsidR="00CD273C" w:rsidRPr="00F24057" w:rsidRDefault="00CD273C" w:rsidP="00D70B34">
            <w:pPr>
              <w:jc w:val="left"/>
              <w:rPr>
                <w:szCs w:val="22"/>
                <w:lang w:val="sr-Latn-ME"/>
              </w:rPr>
            </w:pPr>
            <w:r w:rsidRPr="00F24057">
              <w:rPr>
                <w:szCs w:val="22"/>
                <w:lang w:val="sr-Latn-ME"/>
              </w:rPr>
              <w:t>≥ mNAPSI 75 (%)</w:t>
            </w:r>
          </w:p>
        </w:tc>
        <w:tc>
          <w:tcPr>
            <w:tcW w:w="694" w:type="pct"/>
            <w:tcBorders>
              <w:top w:val="single" w:sz="4" w:space="0" w:color="000000"/>
              <w:left w:val="single" w:sz="4" w:space="0" w:color="000000"/>
              <w:bottom w:val="single" w:sz="4" w:space="0" w:color="000000"/>
              <w:right w:val="single" w:sz="4" w:space="0" w:color="000000"/>
            </w:tcBorders>
            <w:vAlign w:val="center"/>
          </w:tcPr>
          <w:p w14:paraId="6CC5EA5F" w14:textId="77777777" w:rsidR="00CD273C" w:rsidRPr="00F24057" w:rsidRDefault="00CD273C" w:rsidP="00D70B34">
            <w:pPr>
              <w:jc w:val="center"/>
              <w:rPr>
                <w:szCs w:val="22"/>
                <w:lang w:val="sr-Latn-ME"/>
              </w:rPr>
            </w:pPr>
            <w:r w:rsidRPr="00F24057">
              <w:rPr>
                <w:szCs w:val="22"/>
                <w:lang w:val="sr-Latn-ME"/>
              </w:rPr>
              <w:t>2,9</w:t>
            </w:r>
          </w:p>
        </w:tc>
        <w:tc>
          <w:tcPr>
            <w:tcW w:w="854" w:type="pct"/>
            <w:tcBorders>
              <w:top w:val="single" w:sz="4" w:space="0" w:color="000000"/>
              <w:left w:val="single" w:sz="4" w:space="0" w:color="000000"/>
              <w:bottom w:val="single" w:sz="4" w:space="0" w:color="000000"/>
              <w:right w:val="single" w:sz="4" w:space="0" w:color="000000"/>
            </w:tcBorders>
            <w:vAlign w:val="center"/>
          </w:tcPr>
          <w:p w14:paraId="7FBD3E90" w14:textId="77777777" w:rsidR="00CD273C" w:rsidRPr="00F24057" w:rsidRDefault="00CD273C" w:rsidP="00D70B34">
            <w:pPr>
              <w:jc w:val="center"/>
              <w:rPr>
                <w:szCs w:val="22"/>
                <w:lang w:val="sr-Latn-ME"/>
              </w:rPr>
            </w:pPr>
            <w:r w:rsidRPr="00F24057">
              <w:rPr>
                <w:szCs w:val="22"/>
                <w:lang w:val="sr-Latn-ME"/>
              </w:rPr>
              <w:t>26,0</w:t>
            </w:r>
            <w:r w:rsidRPr="00F24057">
              <w:rPr>
                <w:szCs w:val="22"/>
                <w:vertAlign w:val="superscript"/>
                <w:lang w:val="sr-Latn-ME"/>
              </w:rPr>
              <w:t>a</w:t>
            </w:r>
          </w:p>
        </w:tc>
        <w:tc>
          <w:tcPr>
            <w:tcW w:w="610" w:type="pct"/>
            <w:tcBorders>
              <w:top w:val="single" w:sz="4" w:space="0" w:color="000000"/>
              <w:left w:val="single" w:sz="4" w:space="0" w:color="000000"/>
              <w:bottom w:val="single" w:sz="4" w:space="0" w:color="000000"/>
              <w:right w:val="single" w:sz="4" w:space="0" w:color="000000"/>
            </w:tcBorders>
            <w:vAlign w:val="center"/>
          </w:tcPr>
          <w:p w14:paraId="1A16047D" w14:textId="77777777" w:rsidR="00CD273C" w:rsidRPr="00F24057" w:rsidRDefault="00CD273C" w:rsidP="00D70B34">
            <w:pPr>
              <w:jc w:val="center"/>
              <w:rPr>
                <w:szCs w:val="22"/>
                <w:lang w:val="sr-Latn-ME"/>
              </w:rPr>
            </w:pPr>
            <w:r w:rsidRPr="00F24057">
              <w:rPr>
                <w:szCs w:val="22"/>
                <w:lang w:val="sr-Latn-ME"/>
              </w:rPr>
              <w:t>3,4</w:t>
            </w:r>
          </w:p>
        </w:tc>
        <w:tc>
          <w:tcPr>
            <w:tcW w:w="848" w:type="pct"/>
            <w:tcBorders>
              <w:top w:val="single" w:sz="4" w:space="0" w:color="000000"/>
              <w:left w:val="single" w:sz="4" w:space="0" w:color="000000"/>
              <w:bottom w:val="single" w:sz="4" w:space="0" w:color="000000"/>
              <w:right w:val="single" w:sz="4" w:space="0" w:color="000000"/>
            </w:tcBorders>
            <w:vAlign w:val="center"/>
          </w:tcPr>
          <w:p w14:paraId="59B6F1B8" w14:textId="77777777" w:rsidR="00CD273C" w:rsidRPr="00F24057" w:rsidRDefault="00CD273C" w:rsidP="00D70B34">
            <w:pPr>
              <w:jc w:val="center"/>
              <w:rPr>
                <w:szCs w:val="22"/>
                <w:lang w:val="sr-Latn-ME"/>
              </w:rPr>
            </w:pPr>
            <w:r w:rsidRPr="00F24057">
              <w:rPr>
                <w:szCs w:val="22"/>
                <w:lang w:val="sr-Latn-ME"/>
              </w:rPr>
              <w:t>46,6</w:t>
            </w:r>
            <w:r w:rsidRPr="00F24057">
              <w:rPr>
                <w:szCs w:val="22"/>
                <w:vertAlign w:val="superscript"/>
                <w:lang w:val="sr-Latn-ME"/>
              </w:rPr>
              <w:t>a</w:t>
            </w:r>
          </w:p>
        </w:tc>
        <w:tc>
          <w:tcPr>
            <w:tcW w:w="869" w:type="pct"/>
            <w:tcBorders>
              <w:top w:val="single" w:sz="4" w:space="0" w:color="000000"/>
              <w:left w:val="single" w:sz="4" w:space="0" w:color="000000"/>
              <w:bottom w:val="single" w:sz="4" w:space="0" w:color="000000"/>
              <w:right w:val="single" w:sz="4" w:space="0" w:color="000000"/>
            </w:tcBorders>
            <w:vAlign w:val="center"/>
          </w:tcPr>
          <w:p w14:paraId="5A641687" w14:textId="77777777" w:rsidR="00CD273C" w:rsidRPr="00F24057" w:rsidRDefault="00CD273C" w:rsidP="00D70B34">
            <w:pPr>
              <w:jc w:val="center"/>
              <w:rPr>
                <w:szCs w:val="22"/>
                <w:lang w:val="sr-Latn-ME"/>
              </w:rPr>
            </w:pPr>
            <w:r w:rsidRPr="00F24057">
              <w:rPr>
                <w:szCs w:val="22"/>
                <w:lang w:val="sr-Latn-ME"/>
              </w:rPr>
              <w:t>65,0</w:t>
            </w:r>
          </w:p>
        </w:tc>
      </w:tr>
      <w:tr w:rsidR="0093182F" w:rsidRPr="00F24057" w14:paraId="2B171899" w14:textId="77777777" w:rsidTr="006F790F">
        <w:trPr>
          <w:trHeight w:val="20"/>
        </w:trPr>
        <w:tc>
          <w:tcPr>
            <w:tcW w:w="1124" w:type="pct"/>
            <w:tcBorders>
              <w:top w:val="single" w:sz="4" w:space="0" w:color="000000"/>
              <w:left w:val="single" w:sz="4" w:space="0" w:color="000000"/>
              <w:bottom w:val="single" w:sz="4" w:space="0" w:color="000000"/>
              <w:right w:val="single" w:sz="4" w:space="0" w:color="000000"/>
            </w:tcBorders>
            <w:vAlign w:val="center"/>
          </w:tcPr>
          <w:p w14:paraId="12AC74A3" w14:textId="6D6DF1FB" w:rsidR="00CD273C" w:rsidRPr="00F24057" w:rsidRDefault="00CD273C" w:rsidP="00D70B34">
            <w:pPr>
              <w:jc w:val="left"/>
              <w:rPr>
                <w:szCs w:val="22"/>
                <w:lang w:val="sr-Latn-ME"/>
              </w:rPr>
            </w:pPr>
            <w:r w:rsidRPr="00F24057">
              <w:rPr>
                <w:szCs w:val="22"/>
                <w:lang w:val="sr-Latn-ME"/>
              </w:rPr>
              <w:t>PGA-F: bez bolesti/minimalno i poboljšanje za ≥ 2 stepena (%)</w:t>
            </w:r>
          </w:p>
        </w:tc>
        <w:tc>
          <w:tcPr>
            <w:tcW w:w="694" w:type="pct"/>
            <w:tcBorders>
              <w:top w:val="single" w:sz="4" w:space="0" w:color="000000"/>
              <w:left w:val="single" w:sz="4" w:space="0" w:color="000000"/>
              <w:bottom w:val="single" w:sz="4" w:space="0" w:color="000000"/>
              <w:right w:val="single" w:sz="4" w:space="0" w:color="000000"/>
            </w:tcBorders>
            <w:vAlign w:val="center"/>
          </w:tcPr>
          <w:p w14:paraId="7D033EFE" w14:textId="77777777" w:rsidR="00CD273C" w:rsidRPr="00F24057" w:rsidRDefault="00CD273C" w:rsidP="00D70B34">
            <w:pPr>
              <w:jc w:val="center"/>
              <w:rPr>
                <w:szCs w:val="22"/>
                <w:lang w:val="sr-Latn-ME"/>
              </w:rPr>
            </w:pPr>
            <w:r w:rsidRPr="00F24057">
              <w:rPr>
                <w:szCs w:val="22"/>
                <w:lang w:val="sr-Latn-ME"/>
              </w:rPr>
              <w:t>2,9</w:t>
            </w:r>
          </w:p>
        </w:tc>
        <w:tc>
          <w:tcPr>
            <w:tcW w:w="854" w:type="pct"/>
            <w:tcBorders>
              <w:top w:val="single" w:sz="4" w:space="0" w:color="000000"/>
              <w:left w:val="single" w:sz="4" w:space="0" w:color="000000"/>
              <w:bottom w:val="single" w:sz="4" w:space="0" w:color="000000"/>
              <w:right w:val="single" w:sz="4" w:space="0" w:color="000000"/>
            </w:tcBorders>
            <w:vAlign w:val="center"/>
          </w:tcPr>
          <w:p w14:paraId="009495CE" w14:textId="438E89CA" w:rsidR="00CD273C" w:rsidRPr="00F24057" w:rsidRDefault="003F2764" w:rsidP="00D70B34">
            <w:pPr>
              <w:jc w:val="center"/>
              <w:rPr>
                <w:szCs w:val="22"/>
                <w:lang w:val="sr-Latn-ME"/>
              </w:rPr>
            </w:pPr>
            <w:r w:rsidRPr="00F24057">
              <w:rPr>
                <w:szCs w:val="22"/>
                <w:lang w:val="sr-Latn-ME"/>
              </w:rPr>
              <w:t>29</w:t>
            </w:r>
            <w:r w:rsidR="00CD273C" w:rsidRPr="00F24057">
              <w:rPr>
                <w:szCs w:val="22"/>
                <w:lang w:val="sr-Latn-ME"/>
              </w:rPr>
              <w:t>,</w:t>
            </w:r>
            <w:r w:rsidRPr="00F24057">
              <w:rPr>
                <w:szCs w:val="22"/>
                <w:lang w:val="sr-Latn-ME"/>
              </w:rPr>
              <w:t>7</w:t>
            </w:r>
            <w:r w:rsidR="00CD273C" w:rsidRPr="00F24057">
              <w:rPr>
                <w:szCs w:val="22"/>
                <w:vertAlign w:val="superscript"/>
                <w:lang w:val="sr-Latn-ME"/>
              </w:rPr>
              <w:t>a</w:t>
            </w:r>
          </w:p>
        </w:tc>
        <w:tc>
          <w:tcPr>
            <w:tcW w:w="610" w:type="pct"/>
            <w:tcBorders>
              <w:top w:val="single" w:sz="4" w:space="0" w:color="000000"/>
              <w:left w:val="single" w:sz="4" w:space="0" w:color="000000"/>
              <w:bottom w:val="single" w:sz="4" w:space="0" w:color="000000"/>
              <w:right w:val="single" w:sz="4" w:space="0" w:color="000000"/>
            </w:tcBorders>
            <w:vAlign w:val="center"/>
          </w:tcPr>
          <w:p w14:paraId="5F43B94E" w14:textId="77777777" w:rsidR="00CD273C" w:rsidRPr="00F24057" w:rsidRDefault="00CD273C" w:rsidP="00D70B34">
            <w:pPr>
              <w:jc w:val="center"/>
              <w:rPr>
                <w:szCs w:val="22"/>
                <w:lang w:val="sr-Latn-ME"/>
              </w:rPr>
            </w:pPr>
            <w:r w:rsidRPr="00F24057">
              <w:rPr>
                <w:szCs w:val="22"/>
                <w:lang w:val="sr-Latn-ME"/>
              </w:rPr>
              <w:t>6,9</w:t>
            </w:r>
          </w:p>
        </w:tc>
        <w:tc>
          <w:tcPr>
            <w:tcW w:w="848" w:type="pct"/>
            <w:tcBorders>
              <w:top w:val="single" w:sz="4" w:space="0" w:color="000000"/>
              <w:left w:val="single" w:sz="4" w:space="0" w:color="000000"/>
              <w:bottom w:val="single" w:sz="4" w:space="0" w:color="000000"/>
              <w:right w:val="single" w:sz="4" w:space="0" w:color="000000"/>
            </w:tcBorders>
            <w:vAlign w:val="center"/>
          </w:tcPr>
          <w:p w14:paraId="4428CB64" w14:textId="77777777" w:rsidR="00CD273C" w:rsidRPr="00F24057" w:rsidRDefault="00CD273C" w:rsidP="00D70B34">
            <w:pPr>
              <w:jc w:val="center"/>
              <w:rPr>
                <w:szCs w:val="22"/>
                <w:lang w:val="sr-Latn-ME"/>
              </w:rPr>
            </w:pPr>
            <w:r w:rsidRPr="00F24057">
              <w:rPr>
                <w:szCs w:val="22"/>
                <w:lang w:val="sr-Latn-ME"/>
              </w:rPr>
              <w:t>48,9</w:t>
            </w:r>
            <w:r w:rsidRPr="00F24057">
              <w:rPr>
                <w:szCs w:val="22"/>
                <w:vertAlign w:val="superscript"/>
                <w:lang w:val="sr-Latn-ME"/>
              </w:rPr>
              <w:t>a</w:t>
            </w:r>
          </w:p>
        </w:tc>
        <w:tc>
          <w:tcPr>
            <w:tcW w:w="869" w:type="pct"/>
            <w:tcBorders>
              <w:top w:val="single" w:sz="4" w:space="0" w:color="000000"/>
              <w:left w:val="single" w:sz="4" w:space="0" w:color="000000"/>
              <w:bottom w:val="single" w:sz="4" w:space="0" w:color="000000"/>
              <w:right w:val="single" w:sz="4" w:space="0" w:color="000000"/>
            </w:tcBorders>
            <w:vAlign w:val="center"/>
          </w:tcPr>
          <w:p w14:paraId="6C0F8967" w14:textId="77777777" w:rsidR="00CD273C" w:rsidRPr="00F24057" w:rsidRDefault="00CD273C" w:rsidP="00D70B34">
            <w:pPr>
              <w:jc w:val="center"/>
              <w:rPr>
                <w:szCs w:val="22"/>
                <w:lang w:val="sr-Latn-ME"/>
              </w:rPr>
            </w:pPr>
            <w:r w:rsidRPr="00F24057">
              <w:rPr>
                <w:szCs w:val="22"/>
                <w:lang w:val="sr-Latn-ME"/>
              </w:rPr>
              <w:t>61,3</w:t>
            </w:r>
          </w:p>
        </w:tc>
      </w:tr>
      <w:tr w:rsidR="0093182F" w:rsidRPr="00F24057" w14:paraId="5BA7F8F4" w14:textId="77777777" w:rsidTr="006F790F">
        <w:trPr>
          <w:trHeight w:val="20"/>
        </w:trPr>
        <w:tc>
          <w:tcPr>
            <w:tcW w:w="1124" w:type="pct"/>
            <w:tcBorders>
              <w:top w:val="single" w:sz="4" w:space="0" w:color="000000"/>
              <w:left w:val="single" w:sz="4" w:space="0" w:color="000000"/>
              <w:bottom w:val="single" w:sz="4" w:space="0" w:color="000000"/>
              <w:right w:val="single" w:sz="4" w:space="0" w:color="000000"/>
            </w:tcBorders>
            <w:vAlign w:val="center"/>
          </w:tcPr>
          <w:p w14:paraId="0FAB6D7B" w14:textId="137CEA08" w:rsidR="00CD273C" w:rsidRPr="00F24057" w:rsidRDefault="004F2520" w:rsidP="00D70B34">
            <w:pPr>
              <w:jc w:val="left"/>
              <w:rPr>
                <w:szCs w:val="22"/>
                <w:lang w:val="sr-Latn-ME"/>
              </w:rPr>
            </w:pPr>
            <w:r w:rsidRPr="00F24057">
              <w:rPr>
                <w:szCs w:val="22"/>
                <w:lang w:val="sr-Latn-ME"/>
              </w:rPr>
              <w:t>Promjen</w:t>
            </w:r>
            <w:r w:rsidR="00CD273C" w:rsidRPr="00F24057">
              <w:rPr>
                <w:szCs w:val="22"/>
                <w:lang w:val="sr-Latn-ME"/>
              </w:rPr>
              <w:t>a ukupnog NAPSI rezultata za psorijazu noktiju na rukama (%)</w:t>
            </w:r>
          </w:p>
        </w:tc>
        <w:tc>
          <w:tcPr>
            <w:tcW w:w="694" w:type="pct"/>
            <w:tcBorders>
              <w:top w:val="single" w:sz="4" w:space="0" w:color="000000"/>
              <w:left w:val="single" w:sz="4" w:space="0" w:color="000000"/>
              <w:bottom w:val="single" w:sz="4" w:space="0" w:color="000000"/>
              <w:right w:val="single" w:sz="4" w:space="0" w:color="000000"/>
            </w:tcBorders>
            <w:vAlign w:val="center"/>
          </w:tcPr>
          <w:p w14:paraId="3E93B8C3" w14:textId="77777777" w:rsidR="00CD273C" w:rsidRPr="00F24057" w:rsidRDefault="00CD273C" w:rsidP="00D70B34">
            <w:pPr>
              <w:jc w:val="center"/>
              <w:rPr>
                <w:szCs w:val="22"/>
                <w:lang w:val="sr-Latn-ME"/>
              </w:rPr>
            </w:pPr>
            <w:r w:rsidRPr="00F24057">
              <w:rPr>
                <w:szCs w:val="22"/>
                <w:lang w:val="sr-Latn-ME"/>
              </w:rPr>
              <w:t>-7,8</w:t>
            </w:r>
          </w:p>
        </w:tc>
        <w:tc>
          <w:tcPr>
            <w:tcW w:w="854" w:type="pct"/>
            <w:tcBorders>
              <w:top w:val="single" w:sz="4" w:space="0" w:color="000000"/>
              <w:left w:val="single" w:sz="4" w:space="0" w:color="000000"/>
              <w:bottom w:val="single" w:sz="4" w:space="0" w:color="000000"/>
              <w:right w:val="single" w:sz="4" w:space="0" w:color="000000"/>
            </w:tcBorders>
            <w:vAlign w:val="center"/>
          </w:tcPr>
          <w:p w14:paraId="4423E9B4" w14:textId="77777777" w:rsidR="00CD273C" w:rsidRPr="00F24057" w:rsidRDefault="00CD273C" w:rsidP="00D70B34">
            <w:pPr>
              <w:jc w:val="center"/>
              <w:rPr>
                <w:szCs w:val="22"/>
                <w:lang w:val="sr-Latn-ME"/>
              </w:rPr>
            </w:pPr>
            <w:r w:rsidRPr="00F24057">
              <w:rPr>
                <w:szCs w:val="22"/>
                <w:lang w:val="sr-Latn-ME"/>
              </w:rPr>
              <w:t>-44,2</w:t>
            </w:r>
            <w:r w:rsidRPr="00F24057">
              <w:rPr>
                <w:szCs w:val="22"/>
                <w:vertAlign w:val="superscript"/>
                <w:lang w:val="sr-Latn-ME"/>
              </w:rPr>
              <w:t>a</w:t>
            </w:r>
          </w:p>
        </w:tc>
        <w:tc>
          <w:tcPr>
            <w:tcW w:w="610" w:type="pct"/>
            <w:tcBorders>
              <w:top w:val="single" w:sz="4" w:space="0" w:color="000000"/>
              <w:left w:val="single" w:sz="4" w:space="0" w:color="000000"/>
              <w:bottom w:val="single" w:sz="4" w:space="0" w:color="000000"/>
              <w:right w:val="single" w:sz="4" w:space="0" w:color="000000"/>
            </w:tcBorders>
            <w:vAlign w:val="center"/>
          </w:tcPr>
          <w:p w14:paraId="30C98891" w14:textId="77777777" w:rsidR="00CD273C" w:rsidRPr="00F24057" w:rsidRDefault="00CD273C" w:rsidP="00D70B34">
            <w:pPr>
              <w:jc w:val="center"/>
              <w:rPr>
                <w:szCs w:val="22"/>
                <w:lang w:val="sr-Latn-ME"/>
              </w:rPr>
            </w:pPr>
            <w:r w:rsidRPr="00F24057">
              <w:rPr>
                <w:szCs w:val="22"/>
                <w:lang w:val="sr-Latn-ME"/>
              </w:rPr>
              <w:t>-11,5</w:t>
            </w:r>
          </w:p>
        </w:tc>
        <w:tc>
          <w:tcPr>
            <w:tcW w:w="848" w:type="pct"/>
            <w:tcBorders>
              <w:top w:val="single" w:sz="4" w:space="0" w:color="000000"/>
              <w:left w:val="single" w:sz="4" w:space="0" w:color="000000"/>
              <w:bottom w:val="single" w:sz="4" w:space="0" w:color="000000"/>
              <w:right w:val="single" w:sz="4" w:space="0" w:color="000000"/>
            </w:tcBorders>
            <w:vAlign w:val="center"/>
          </w:tcPr>
          <w:p w14:paraId="3E88E4EA" w14:textId="77777777" w:rsidR="00CD273C" w:rsidRPr="00F24057" w:rsidRDefault="00CD273C" w:rsidP="00D70B34">
            <w:pPr>
              <w:jc w:val="center"/>
              <w:rPr>
                <w:szCs w:val="22"/>
                <w:lang w:val="sr-Latn-ME"/>
              </w:rPr>
            </w:pPr>
            <w:r w:rsidRPr="00F24057">
              <w:rPr>
                <w:szCs w:val="22"/>
                <w:lang w:val="sr-Latn-ME"/>
              </w:rPr>
              <w:t>-56,2</w:t>
            </w:r>
            <w:r w:rsidRPr="00F24057">
              <w:rPr>
                <w:szCs w:val="22"/>
                <w:vertAlign w:val="superscript"/>
                <w:lang w:val="sr-Latn-ME"/>
              </w:rPr>
              <w:t>a</w:t>
            </w:r>
          </w:p>
        </w:tc>
        <w:tc>
          <w:tcPr>
            <w:tcW w:w="869" w:type="pct"/>
            <w:tcBorders>
              <w:top w:val="single" w:sz="4" w:space="0" w:color="000000"/>
              <w:left w:val="single" w:sz="4" w:space="0" w:color="000000"/>
              <w:bottom w:val="single" w:sz="4" w:space="0" w:color="000000"/>
              <w:right w:val="single" w:sz="4" w:space="0" w:color="000000"/>
            </w:tcBorders>
            <w:vAlign w:val="center"/>
          </w:tcPr>
          <w:p w14:paraId="24C2AE5D" w14:textId="77777777" w:rsidR="00CD273C" w:rsidRPr="00F24057" w:rsidRDefault="00CD273C" w:rsidP="00D70B34">
            <w:pPr>
              <w:jc w:val="center"/>
              <w:rPr>
                <w:szCs w:val="22"/>
                <w:lang w:val="sr-Latn-ME"/>
              </w:rPr>
            </w:pPr>
            <w:r w:rsidRPr="00F24057">
              <w:rPr>
                <w:szCs w:val="22"/>
                <w:lang w:val="sr-Latn-ME"/>
              </w:rPr>
              <w:t>-72,2</w:t>
            </w:r>
          </w:p>
        </w:tc>
      </w:tr>
      <w:tr w:rsidR="001F6D1D" w:rsidRPr="00F24057" w14:paraId="1E10124C" w14:textId="77777777" w:rsidTr="00F1226A">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C435490" w14:textId="7E2E36E0" w:rsidR="001F6D1D" w:rsidRPr="00F24057" w:rsidRDefault="0093182F" w:rsidP="00D70B34">
            <w:pPr>
              <w:jc w:val="left"/>
              <w:rPr>
                <w:szCs w:val="22"/>
                <w:lang w:val="sr-Latn-ME"/>
              </w:rPr>
            </w:pPr>
            <w:r w:rsidRPr="00F24057">
              <w:rPr>
                <w:szCs w:val="22"/>
                <w:vertAlign w:val="superscript"/>
                <w:lang w:val="sr-Latn-ME"/>
              </w:rPr>
              <w:t>a</w:t>
            </w:r>
            <w:r w:rsidRPr="00F24057">
              <w:rPr>
                <w:szCs w:val="22"/>
                <w:lang w:val="sr-Latn-ME"/>
              </w:rPr>
              <w:t xml:space="preserve"> p &lt; 0,001, adalimumab vs. </w:t>
            </w:r>
            <w:r w:rsidR="00773A97" w:rsidRPr="00F24057">
              <w:rPr>
                <w:szCs w:val="22"/>
                <w:lang w:val="sr-Latn-ME"/>
              </w:rPr>
              <w:t>p</w:t>
            </w:r>
            <w:r w:rsidRPr="00F24057">
              <w:rPr>
                <w:szCs w:val="22"/>
                <w:lang w:val="sr-Latn-ME"/>
              </w:rPr>
              <w:t>lacebo</w:t>
            </w:r>
          </w:p>
        </w:tc>
      </w:tr>
    </w:tbl>
    <w:p w14:paraId="29A2084C" w14:textId="48250C6C" w:rsidR="00DC548F" w:rsidRPr="00F24057" w:rsidRDefault="00DC548F" w:rsidP="00D70B34">
      <w:pPr>
        <w:rPr>
          <w:szCs w:val="22"/>
          <w:lang w:val="sr-Latn-ME"/>
        </w:rPr>
      </w:pPr>
    </w:p>
    <w:p w14:paraId="505A69A5" w14:textId="4C3D9D3C" w:rsidR="00DC548F" w:rsidRPr="00F24057" w:rsidRDefault="00765DB4" w:rsidP="00D70B34">
      <w:pPr>
        <w:rPr>
          <w:szCs w:val="22"/>
          <w:lang w:val="sr-Latn-ME"/>
        </w:rPr>
      </w:pPr>
      <w:r w:rsidRPr="00F24057">
        <w:rPr>
          <w:szCs w:val="22"/>
          <w:lang w:val="sr-Latn-ME"/>
        </w:rPr>
        <w:t xml:space="preserve">Pacijenti </w:t>
      </w:r>
      <w:r w:rsidR="00885A78" w:rsidRPr="00F24057">
        <w:rPr>
          <w:szCs w:val="22"/>
          <w:lang w:val="sr-Latn-ME"/>
        </w:rPr>
        <w:t>liječe</w:t>
      </w:r>
      <w:r w:rsidRPr="00F24057">
        <w:rPr>
          <w:szCs w:val="22"/>
          <w:lang w:val="sr-Latn-ME"/>
        </w:rPr>
        <w:t xml:space="preserve">ni adalimumabom pokazali su statistički značajna poboljšanja DLQI rezultata u </w:t>
      </w:r>
      <w:r w:rsidR="00885A78" w:rsidRPr="00F24057">
        <w:rPr>
          <w:szCs w:val="22"/>
          <w:lang w:val="sr-Latn-ME"/>
        </w:rPr>
        <w:t>nedjelj</w:t>
      </w:r>
      <w:r w:rsidRPr="00F24057">
        <w:rPr>
          <w:szCs w:val="22"/>
          <w:lang w:val="sr-Latn-ME"/>
        </w:rPr>
        <w:t>i 26 u odnosu na placebo.</w:t>
      </w:r>
    </w:p>
    <w:p w14:paraId="731FC544" w14:textId="31CC8828" w:rsidR="006C3EE7" w:rsidRPr="00F24057" w:rsidRDefault="006C3EE7" w:rsidP="00D70B34">
      <w:pPr>
        <w:rPr>
          <w:szCs w:val="22"/>
          <w:lang w:val="sr-Latn-ME"/>
        </w:rPr>
      </w:pPr>
    </w:p>
    <w:p w14:paraId="6CF7E2A9" w14:textId="2EF0B154" w:rsidR="00B82D18" w:rsidRPr="00F24057" w:rsidRDefault="00B82D18" w:rsidP="00D70B34">
      <w:pPr>
        <w:rPr>
          <w:i/>
          <w:iCs/>
          <w:szCs w:val="22"/>
          <w:lang w:val="sr-Latn-ME"/>
        </w:rPr>
      </w:pPr>
      <w:r w:rsidRPr="00F24057">
        <w:rPr>
          <w:i/>
          <w:iCs/>
          <w:szCs w:val="22"/>
          <w:lang w:val="sr-Latn-ME"/>
        </w:rPr>
        <w:t xml:space="preserve">Gnojno zapaljenje znojnih </w:t>
      </w:r>
      <w:r w:rsidR="009A3407" w:rsidRPr="00F24057">
        <w:rPr>
          <w:i/>
          <w:iCs/>
          <w:szCs w:val="22"/>
          <w:lang w:val="sr-Latn-ME"/>
        </w:rPr>
        <w:t>žlijezd</w:t>
      </w:r>
      <w:r w:rsidRPr="00F24057">
        <w:rPr>
          <w:i/>
          <w:iCs/>
          <w:szCs w:val="22"/>
          <w:lang w:val="sr-Latn-ME"/>
        </w:rPr>
        <w:t xml:space="preserve">a (Hidradenitis suppurativa) </w:t>
      </w:r>
    </w:p>
    <w:p w14:paraId="63901284" w14:textId="5D90AA1A" w:rsidR="004F1450" w:rsidRPr="00F24057" w:rsidRDefault="0030064A" w:rsidP="00D70B34">
      <w:pPr>
        <w:rPr>
          <w:szCs w:val="22"/>
          <w:lang w:val="sr-Latn-ME"/>
        </w:rPr>
      </w:pPr>
      <w:r w:rsidRPr="00F24057">
        <w:rPr>
          <w:szCs w:val="22"/>
          <w:lang w:val="sr-Latn-ME"/>
        </w:rPr>
        <w:t>Bezbjedno</w:t>
      </w:r>
      <w:r w:rsidR="00B82D18" w:rsidRPr="00F24057">
        <w:rPr>
          <w:szCs w:val="22"/>
          <w:lang w:val="sr-Latn-ME"/>
        </w:rPr>
        <w:t xml:space="preserve">st i efikasnost adalimumaba </w:t>
      </w:r>
      <w:r w:rsidR="004F2520" w:rsidRPr="00F24057">
        <w:rPr>
          <w:szCs w:val="22"/>
          <w:lang w:val="sr-Latn-ME"/>
        </w:rPr>
        <w:t>procjen</w:t>
      </w:r>
      <w:r w:rsidR="00B82D18" w:rsidRPr="00F24057">
        <w:rPr>
          <w:szCs w:val="22"/>
          <w:lang w:val="sr-Latn-ME"/>
        </w:rPr>
        <w:t xml:space="preserve">jivale su se u randomizovanim, dvostruko </w:t>
      </w:r>
      <w:r w:rsidR="00972894" w:rsidRPr="00F24057">
        <w:rPr>
          <w:szCs w:val="22"/>
          <w:lang w:val="sr-Latn-ME"/>
        </w:rPr>
        <w:t>slijep</w:t>
      </w:r>
      <w:r w:rsidR="00B82D18" w:rsidRPr="00F24057">
        <w:rPr>
          <w:szCs w:val="22"/>
          <w:lang w:val="sr-Latn-ME"/>
        </w:rPr>
        <w:t>im, placebo kontrolisanim ispitivanjima i jednom otvorenom produžetku ispitivanja kod odraslih pacijenata sa u</w:t>
      </w:r>
      <w:r w:rsidRPr="00F24057">
        <w:rPr>
          <w:szCs w:val="22"/>
          <w:lang w:val="sr-Latn-ME"/>
        </w:rPr>
        <w:t>mjeren</w:t>
      </w:r>
      <w:r w:rsidR="00B82D18" w:rsidRPr="00F24057">
        <w:rPr>
          <w:szCs w:val="22"/>
          <w:lang w:val="sr-Latn-ME"/>
        </w:rPr>
        <w:t xml:space="preserve">im do teškim gnojnim zapaljenjem znojnih </w:t>
      </w:r>
      <w:r w:rsidR="009A3407" w:rsidRPr="00F24057">
        <w:rPr>
          <w:szCs w:val="22"/>
          <w:lang w:val="sr-Latn-ME"/>
        </w:rPr>
        <w:t>žlijezd</w:t>
      </w:r>
      <w:r w:rsidR="00B82D18" w:rsidRPr="00F24057">
        <w:rPr>
          <w:szCs w:val="22"/>
          <w:lang w:val="sr-Latn-ME"/>
        </w:rPr>
        <w:t>a (</w:t>
      </w:r>
      <w:r w:rsidR="00B82D18" w:rsidRPr="00F24057">
        <w:rPr>
          <w:i/>
          <w:iCs/>
          <w:szCs w:val="22"/>
          <w:lang w:val="sr-Latn-ME"/>
        </w:rPr>
        <w:t>Hidradenitis suppurativa</w:t>
      </w:r>
      <w:r w:rsidR="00B82D18" w:rsidRPr="00F24057">
        <w:rPr>
          <w:szCs w:val="22"/>
          <w:lang w:val="sr-Latn-ME"/>
        </w:rPr>
        <w:t xml:space="preserve">, HS) koji nisu podnosili sistemske antibiotike, koji su imali kontraindikacije za njihovu </w:t>
      </w:r>
      <w:r w:rsidRPr="00F24057">
        <w:rPr>
          <w:szCs w:val="22"/>
          <w:lang w:val="sr-Latn-ME"/>
        </w:rPr>
        <w:t>primjen</w:t>
      </w:r>
      <w:r w:rsidR="00B82D18" w:rsidRPr="00F24057">
        <w:rPr>
          <w:szCs w:val="22"/>
          <w:lang w:val="sr-Latn-ME"/>
        </w:rPr>
        <w:t xml:space="preserve">u ili nisu postigli zadovoljavajući odgovor na </w:t>
      </w:r>
      <w:r w:rsidRPr="00F24057">
        <w:rPr>
          <w:szCs w:val="22"/>
          <w:lang w:val="sr-Latn-ME"/>
        </w:rPr>
        <w:t>liječenje</w:t>
      </w:r>
      <w:r w:rsidR="00B82D18" w:rsidRPr="00F24057">
        <w:rPr>
          <w:szCs w:val="22"/>
          <w:lang w:val="sr-Latn-ME"/>
        </w:rPr>
        <w:t xml:space="preserve"> sistemskim antibioticima tokom najmanje 3 </w:t>
      </w:r>
      <w:r w:rsidR="00885A78" w:rsidRPr="00F24057">
        <w:rPr>
          <w:szCs w:val="22"/>
          <w:lang w:val="sr-Latn-ME"/>
        </w:rPr>
        <w:t>mjesec</w:t>
      </w:r>
      <w:r w:rsidR="00B82D18" w:rsidRPr="00F24057">
        <w:rPr>
          <w:szCs w:val="22"/>
          <w:lang w:val="sr-Latn-ME"/>
        </w:rPr>
        <w:t xml:space="preserve">a. Pacijenti u ispitivanjima HS-I i HS-II imali su bolest stadijuma II ili III prema </w:t>
      </w:r>
      <w:r w:rsidR="00B82D18" w:rsidRPr="00F24057">
        <w:rPr>
          <w:i/>
          <w:iCs/>
          <w:szCs w:val="22"/>
          <w:lang w:val="sr-Latn-ME"/>
        </w:rPr>
        <w:t>Hurley</w:t>
      </w:r>
      <w:r w:rsidR="00B82D18" w:rsidRPr="00F24057">
        <w:rPr>
          <w:szCs w:val="22"/>
          <w:lang w:val="sr-Latn-ME"/>
        </w:rPr>
        <w:t xml:space="preserve">-evoj klasifikaciji i najmanje 3 apscesa ili </w:t>
      </w:r>
      <w:r w:rsidR="003F17D2" w:rsidRPr="00F24057">
        <w:rPr>
          <w:szCs w:val="22"/>
          <w:lang w:val="sr-Latn-ME"/>
        </w:rPr>
        <w:t>zapaljenska</w:t>
      </w:r>
      <w:r w:rsidR="00B82D18" w:rsidRPr="00F24057">
        <w:rPr>
          <w:szCs w:val="22"/>
          <w:lang w:val="sr-Latn-ME"/>
        </w:rPr>
        <w:t xml:space="preserve"> nodusa. </w:t>
      </w:r>
    </w:p>
    <w:p w14:paraId="499DEB04" w14:textId="77777777" w:rsidR="004F1450" w:rsidRPr="00F24057" w:rsidRDefault="004F1450" w:rsidP="00D70B34">
      <w:pPr>
        <w:rPr>
          <w:szCs w:val="22"/>
          <w:lang w:val="sr-Latn-ME"/>
        </w:rPr>
      </w:pPr>
    </w:p>
    <w:p w14:paraId="26445C06" w14:textId="77357B73" w:rsidR="004F1450" w:rsidRPr="00F24057" w:rsidRDefault="00B82D18" w:rsidP="00D70B34">
      <w:pPr>
        <w:rPr>
          <w:szCs w:val="22"/>
          <w:lang w:val="sr-Latn-ME"/>
        </w:rPr>
      </w:pPr>
      <w:r w:rsidRPr="00F24057">
        <w:rPr>
          <w:szCs w:val="22"/>
          <w:lang w:val="sr-Latn-ME"/>
        </w:rPr>
        <w:lastRenderedPageBreak/>
        <w:t>Ispitivanje HS-I (PIONEER I) oc</w:t>
      </w:r>
      <w:r w:rsidR="00FF3128" w:rsidRPr="00F24057">
        <w:rPr>
          <w:szCs w:val="22"/>
          <w:lang w:val="sr-Latn-ME"/>
        </w:rPr>
        <w:t>j</w:t>
      </w:r>
      <w:r w:rsidRPr="00F24057">
        <w:rPr>
          <w:szCs w:val="22"/>
          <w:lang w:val="sr-Latn-ME"/>
        </w:rPr>
        <w:t xml:space="preserve">enjivalo je 307 pacijenata tokom 2 perioda </w:t>
      </w:r>
      <w:r w:rsidR="00885A78" w:rsidRPr="00F24057">
        <w:rPr>
          <w:szCs w:val="22"/>
          <w:lang w:val="sr-Latn-ME"/>
        </w:rPr>
        <w:t>liječenj</w:t>
      </w:r>
      <w:r w:rsidRPr="00F24057">
        <w:rPr>
          <w:szCs w:val="22"/>
          <w:lang w:val="sr-Latn-ME"/>
        </w:rPr>
        <w:t xml:space="preserve">a. Tokom perioda A pacijenti su primali placebo ili adalimumab u početnoj dozi od 160 mg u </w:t>
      </w:r>
      <w:r w:rsidR="00885A78" w:rsidRPr="00F24057">
        <w:rPr>
          <w:szCs w:val="22"/>
          <w:lang w:val="sr-Latn-ME"/>
        </w:rPr>
        <w:t>nedjelj</w:t>
      </w:r>
      <w:r w:rsidRPr="00F24057">
        <w:rPr>
          <w:szCs w:val="22"/>
          <w:lang w:val="sr-Latn-ME"/>
        </w:rPr>
        <w:t xml:space="preserve">i 0 i 80 mg u 2. </w:t>
      </w:r>
      <w:r w:rsidR="00885A78" w:rsidRPr="00F24057">
        <w:rPr>
          <w:szCs w:val="22"/>
          <w:lang w:val="sr-Latn-ME"/>
        </w:rPr>
        <w:t>nedjelj</w:t>
      </w:r>
      <w:r w:rsidRPr="00F24057">
        <w:rPr>
          <w:szCs w:val="22"/>
          <w:lang w:val="sr-Latn-ME"/>
        </w:rPr>
        <w:t xml:space="preserve">i, a zatim u dozi od 40 mg svake </w:t>
      </w:r>
      <w:r w:rsidR="00885A78" w:rsidRPr="00F24057">
        <w:rPr>
          <w:szCs w:val="22"/>
          <w:lang w:val="sr-Latn-ME"/>
        </w:rPr>
        <w:t>nedjelj</w:t>
      </w:r>
      <w:r w:rsidRPr="00F24057">
        <w:rPr>
          <w:szCs w:val="22"/>
          <w:lang w:val="sr-Latn-ME"/>
        </w:rPr>
        <w:t xml:space="preserve">e, počevši od 4. </w:t>
      </w:r>
      <w:r w:rsidR="00885A78" w:rsidRPr="00F24057">
        <w:rPr>
          <w:szCs w:val="22"/>
          <w:lang w:val="sr-Latn-ME"/>
        </w:rPr>
        <w:t>nedjelj</w:t>
      </w:r>
      <w:r w:rsidRPr="00F24057">
        <w:rPr>
          <w:szCs w:val="22"/>
          <w:lang w:val="sr-Latn-ME"/>
        </w:rPr>
        <w:t xml:space="preserve">e, pa sve do 11. </w:t>
      </w:r>
      <w:r w:rsidR="00885A78" w:rsidRPr="00F24057">
        <w:rPr>
          <w:szCs w:val="22"/>
          <w:lang w:val="sr-Latn-ME"/>
        </w:rPr>
        <w:t>nedjelj</w:t>
      </w:r>
      <w:r w:rsidRPr="00F24057">
        <w:rPr>
          <w:szCs w:val="22"/>
          <w:lang w:val="sr-Latn-ME"/>
        </w:rPr>
        <w:t xml:space="preserve">e. Tokom ispitivanja nije bila dopuštena istovremena </w:t>
      </w:r>
      <w:r w:rsidR="0030064A" w:rsidRPr="00F24057">
        <w:rPr>
          <w:szCs w:val="22"/>
          <w:lang w:val="sr-Latn-ME"/>
        </w:rPr>
        <w:t>primjen</w:t>
      </w:r>
      <w:r w:rsidRPr="00F24057">
        <w:rPr>
          <w:szCs w:val="22"/>
          <w:lang w:val="sr-Latn-ME"/>
        </w:rPr>
        <w:t xml:space="preserve">a antibiotika. Nakon 12 </w:t>
      </w:r>
      <w:r w:rsidR="00885A78" w:rsidRPr="00F24057">
        <w:rPr>
          <w:szCs w:val="22"/>
          <w:lang w:val="sr-Latn-ME"/>
        </w:rPr>
        <w:t>nedjelj</w:t>
      </w:r>
      <w:r w:rsidRPr="00F24057">
        <w:rPr>
          <w:szCs w:val="22"/>
          <w:lang w:val="sr-Latn-ME"/>
        </w:rPr>
        <w:t xml:space="preserve">a terapije, pacijenti koji su tokom perioda A primali adalimumab ponovo su randomizovani u periodu B u jednu od 3 terapijske grupe (adalimumab u dozi od 40 mg svake </w:t>
      </w:r>
      <w:r w:rsidR="00885A78" w:rsidRPr="00F24057">
        <w:rPr>
          <w:szCs w:val="22"/>
          <w:lang w:val="sr-Latn-ME"/>
        </w:rPr>
        <w:t>nedjelj</w:t>
      </w:r>
      <w:r w:rsidRPr="00F24057">
        <w:rPr>
          <w:szCs w:val="22"/>
          <w:lang w:val="sr-Latn-ME"/>
        </w:rPr>
        <w:t xml:space="preserve">e, adalimumab u dozi od 40 mg svake druge </w:t>
      </w:r>
      <w:r w:rsidR="00885A78" w:rsidRPr="00F24057">
        <w:rPr>
          <w:szCs w:val="22"/>
          <w:lang w:val="sr-Latn-ME"/>
        </w:rPr>
        <w:t>nedjelj</w:t>
      </w:r>
      <w:r w:rsidRPr="00F24057">
        <w:rPr>
          <w:szCs w:val="22"/>
          <w:lang w:val="sr-Latn-ME"/>
        </w:rPr>
        <w:t xml:space="preserve">e ili placebo od </w:t>
      </w:r>
      <w:r w:rsidR="00885A78" w:rsidRPr="00F24057">
        <w:rPr>
          <w:szCs w:val="22"/>
          <w:lang w:val="sr-Latn-ME"/>
        </w:rPr>
        <w:t>nedjelj</w:t>
      </w:r>
      <w:r w:rsidRPr="00F24057">
        <w:rPr>
          <w:szCs w:val="22"/>
          <w:lang w:val="sr-Latn-ME"/>
        </w:rPr>
        <w:t xml:space="preserve">e 12. do 35. </w:t>
      </w:r>
      <w:r w:rsidR="00885A78" w:rsidRPr="00F24057">
        <w:rPr>
          <w:szCs w:val="22"/>
          <w:lang w:val="sr-Latn-ME"/>
        </w:rPr>
        <w:t>nedjelj</w:t>
      </w:r>
      <w:r w:rsidRPr="00F24057">
        <w:rPr>
          <w:szCs w:val="22"/>
          <w:lang w:val="sr-Latn-ME"/>
        </w:rPr>
        <w:t>e). Pacijentima koji su u periodu A bili randomizovani za primanje placeba je u periodu B dod</w:t>
      </w:r>
      <w:r w:rsidR="00972894" w:rsidRPr="00F24057">
        <w:rPr>
          <w:szCs w:val="22"/>
          <w:lang w:val="sr-Latn-ME"/>
        </w:rPr>
        <w:t>ij</w:t>
      </w:r>
      <w:r w:rsidRPr="00F24057">
        <w:rPr>
          <w:szCs w:val="22"/>
          <w:lang w:val="sr-Latn-ME"/>
        </w:rPr>
        <w:t xml:space="preserve">eljeno </w:t>
      </w:r>
      <w:r w:rsidR="0030064A" w:rsidRPr="00F24057">
        <w:rPr>
          <w:szCs w:val="22"/>
          <w:lang w:val="sr-Latn-ME"/>
        </w:rPr>
        <w:t>liječenje</w:t>
      </w:r>
      <w:r w:rsidRPr="00F24057">
        <w:rPr>
          <w:szCs w:val="22"/>
          <w:lang w:val="sr-Latn-ME"/>
        </w:rPr>
        <w:t xml:space="preserve"> adalimumabom u dozi od 40 mg svake </w:t>
      </w:r>
      <w:r w:rsidR="00885A78" w:rsidRPr="00F24057">
        <w:rPr>
          <w:szCs w:val="22"/>
          <w:lang w:val="sr-Latn-ME"/>
        </w:rPr>
        <w:t>nedjelj</w:t>
      </w:r>
      <w:r w:rsidRPr="00F24057">
        <w:rPr>
          <w:szCs w:val="22"/>
          <w:lang w:val="sr-Latn-ME"/>
        </w:rPr>
        <w:t xml:space="preserve">e. </w:t>
      </w:r>
    </w:p>
    <w:p w14:paraId="1EA66A33" w14:textId="77777777" w:rsidR="004F1450" w:rsidRPr="00F24057" w:rsidRDefault="004F1450" w:rsidP="00D70B34">
      <w:pPr>
        <w:rPr>
          <w:szCs w:val="22"/>
          <w:lang w:val="sr-Latn-ME"/>
        </w:rPr>
      </w:pPr>
    </w:p>
    <w:p w14:paraId="7E3A72AE" w14:textId="15D0096A" w:rsidR="004F1450" w:rsidRPr="00F24057" w:rsidRDefault="00B82D18" w:rsidP="00D70B34">
      <w:pPr>
        <w:rPr>
          <w:szCs w:val="22"/>
          <w:lang w:val="sr-Latn-ME"/>
        </w:rPr>
      </w:pPr>
      <w:r w:rsidRPr="00F24057">
        <w:rPr>
          <w:szCs w:val="22"/>
          <w:lang w:val="sr-Latn-ME"/>
        </w:rPr>
        <w:t xml:space="preserve">Ispitivanje HS-II (PIONEER II) </w:t>
      </w:r>
      <w:r w:rsidR="004F2520" w:rsidRPr="00F24057">
        <w:rPr>
          <w:szCs w:val="22"/>
          <w:lang w:val="sr-Latn-ME"/>
        </w:rPr>
        <w:t>procjen</w:t>
      </w:r>
      <w:r w:rsidRPr="00F24057">
        <w:rPr>
          <w:szCs w:val="22"/>
          <w:lang w:val="sr-Latn-ME"/>
        </w:rPr>
        <w:t xml:space="preserve">jivalo je 326 pacijenata tokom 2 perioda </w:t>
      </w:r>
      <w:r w:rsidR="00885A78" w:rsidRPr="00F24057">
        <w:rPr>
          <w:szCs w:val="22"/>
          <w:lang w:val="sr-Latn-ME"/>
        </w:rPr>
        <w:t>liječenj</w:t>
      </w:r>
      <w:r w:rsidRPr="00F24057">
        <w:rPr>
          <w:szCs w:val="22"/>
          <w:lang w:val="sr-Latn-ME"/>
        </w:rPr>
        <w:t xml:space="preserve">a. Tokom perioda A pacijenti su primali placebo ili adalimumab u početnoj dozi od 160 mg u </w:t>
      </w:r>
      <w:r w:rsidR="00885A78" w:rsidRPr="00F24057">
        <w:rPr>
          <w:szCs w:val="22"/>
          <w:lang w:val="sr-Latn-ME"/>
        </w:rPr>
        <w:t>nedjelj</w:t>
      </w:r>
      <w:r w:rsidRPr="00F24057">
        <w:rPr>
          <w:szCs w:val="22"/>
          <w:lang w:val="sr-Latn-ME"/>
        </w:rPr>
        <w:t xml:space="preserve">i 0 i 80 mg u 2. </w:t>
      </w:r>
      <w:r w:rsidR="00885A78" w:rsidRPr="00F24057">
        <w:rPr>
          <w:szCs w:val="22"/>
          <w:lang w:val="sr-Latn-ME"/>
        </w:rPr>
        <w:t>nedjelj</w:t>
      </w:r>
      <w:r w:rsidRPr="00F24057">
        <w:rPr>
          <w:szCs w:val="22"/>
          <w:lang w:val="sr-Latn-ME"/>
        </w:rPr>
        <w:t xml:space="preserve">i, a zatim u dozi od 40 mg svake </w:t>
      </w:r>
      <w:r w:rsidR="00885A78" w:rsidRPr="00F24057">
        <w:rPr>
          <w:szCs w:val="22"/>
          <w:lang w:val="sr-Latn-ME"/>
        </w:rPr>
        <w:t>nedjelj</w:t>
      </w:r>
      <w:r w:rsidRPr="00F24057">
        <w:rPr>
          <w:szCs w:val="22"/>
          <w:lang w:val="sr-Latn-ME"/>
        </w:rPr>
        <w:t xml:space="preserve">e, počevši od </w:t>
      </w:r>
      <w:r w:rsidR="00885A78" w:rsidRPr="00F24057">
        <w:rPr>
          <w:szCs w:val="22"/>
          <w:lang w:val="sr-Latn-ME"/>
        </w:rPr>
        <w:t>nedjelj</w:t>
      </w:r>
      <w:r w:rsidRPr="00F24057">
        <w:rPr>
          <w:szCs w:val="22"/>
          <w:lang w:val="sr-Latn-ME"/>
        </w:rPr>
        <w:t xml:space="preserve">e 4, pa sve do </w:t>
      </w:r>
      <w:r w:rsidR="00885A78" w:rsidRPr="00F24057">
        <w:rPr>
          <w:szCs w:val="22"/>
          <w:lang w:val="sr-Latn-ME"/>
        </w:rPr>
        <w:t>nedjelj</w:t>
      </w:r>
      <w:r w:rsidRPr="00F24057">
        <w:rPr>
          <w:szCs w:val="22"/>
          <w:lang w:val="sr-Latn-ME"/>
        </w:rPr>
        <w:t xml:space="preserve">e 11. Tokom ispitivanja, 19,3% pacijenata nastavilo je terapiju oralnim antibioticima koje su uzimali pri uključivanju u ispitivanje. Nakon 12 </w:t>
      </w:r>
      <w:r w:rsidR="00885A78" w:rsidRPr="00F24057">
        <w:rPr>
          <w:szCs w:val="22"/>
          <w:lang w:val="sr-Latn-ME"/>
        </w:rPr>
        <w:t>nedjelj</w:t>
      </w:r>
      <w:r w:rsidRPr="00F24057">
        <w:rPr>
          <w:szCs w:val="22"/>
          <w:lang w:val="sr-Latn-ME"/>
        </w:rPr>
        <w:t xml:space="preserve">a terapije, pacijenti koji su tokom perioda A primali adalimumab ponovo su randomizovani u periodu B u jednu od 3 terapijske grupe (adalimumab u dozi od 40 mg svake </w:t>
      </w:r>
      <w:r w:rsidR="00885A78" w:rsidRPr="00F24057">
        <w:rPr>
          <w:szCs w:val="22"/>
          <w:lang w:val="sr-Latn-ME"/>
        </w:rPr>
        <w:t>nedjelj</w:t>
      </w:r>
      <w:r w:rsidRPr="00F24057">
        <w:rPr>
          <w:szCs w:val="22"/>
          <w:lang w:val="sr-Latn-ME"/>
        </w:rPr>
        <w:t xml:space="preserve">e, adalimumab u dozi od 40 mg svake druge </w:t>
      </w:r>
      <w:r w:rsidR="00885A78" w:rsidRPr="00F24057">
        <w:rPr>
          <w:szCs w:val="22"/>
          <w:lang w:val="sr-Latn-ME"/>
        </w:rPr>
        <w:t>nedjelj</w:t>
      </w:r>
      <w:r w:rsidRPr="00F24057">
        <w:rPr>
          <w:szCs w:val="22"/>
          <w:lang w:val="sr-Latn-ME"/>
        </w:rPr>
        <w:t xml:space="preserve">e ili placebo od </w:t>
      </w:r>
      <w:r w:rsidR="00885A78" w:rsidRPr="00F24057">
        <w:rPr>
          <w:szCs w:val="22"/>
          <w:lang w:val="sr-Latn-ME"/>
        </w:rPr>
        <w:t>nedjelj</w:t>
      </w:r>
      <w:r w:rsidRPr="00F24057">
        <w:rPr>
          <w:szCs w:val="22"/>
          <w:lang w:val="sr-Latn-ME"/>
        </w:rPr>
        <w:t xml:space="preserve">e 12 do </w:t>
      </w:r>
      <w:r w:rsidR="00885A78" w:rsidRPr="00F24057">
        <w:rPr>
          <w:szCs w:val="22"/>
          <w:lang w:val="sr-Latn-ME"/>
        </w:rPr>
        <w:t>nedjelj</w:t>
      </w:r>
      <w:r w:rsidRPr="00F24057">
        <w:rPr>
          <w:szCs w:val="22"/>
          <w:lang w:val="sr-Latn-ME"/>
        </w:rPr>
        <w:t xml:space="preserve">e 35). Pacijenti koji su u periodu A bili randomizovani za primanje placeba nastavili su da primaju placebo i u periodu B. </w:t>
      </w:r>
    </w:p>
    <w:p w14:paraId="15451C39" w14:textId="77777777" w:rsidR="004F1450" w:rsidRPr="00F24057" w:rsidRDefault="004F1450" w:rsidP="00D70B34">
      <w:pPr>
        <w:rPr>
          <w:szCs w:val="22"/>
          <w:lang w:val="sr-Latn-ME"/>
        </w:rPr>
      </w:pPr>
    </w:p>
    <w:p w14:paraId="37B76A2F" w14:textId="5D5B0FD3" w:rsidR="004F1450" w:rsidRPr="00F24057" w:rsidRDefault="00B82D18" w:rsidP="00D70B34">
      <w:pPr>
        <w:rPr>
          <w:szCs w:val="22"/>
          <w:lang w:val="sr-Latn-ME"/>
        </w:rPr>
      </w:pPr>
      <w:r w:rsidRPr="00F24057">
        <w:rPr>
          <w:szCs w:val="22"/>
          <w:lang w:val="sr-Latn-ME"/>
        </w:rPr>
        <w:t xml:space="preserve">Pacijenti koji su učestvovali u ispitivanjima HS-I i HS-II mogli su učestvovati u otvorenom produžetku ispitivanja u kojem se adalimumab </w:t>
      </w:r>
      <w:r w:rsidR="0030064A" w:rsidRPr="00F24057">
        <w:rPr>
          <w:szCs w:val="22"/>
          <w:lang w:val="sr-Latn-ME"/>
        </w:rPr>
        <w:t>primjen</w:t>
      </w:r>
      <w:r w:rsidRPr="00F24057">
        <w:rPr>
          <w:szCs w:val="22"/>
          <w:lang w:val="sr-Latn-ME"/>
        </w:rPr>
        <w:t xml:space="preserve">jivao svake </w:t>
      </w:r>
      <w:r w:rsidR="00885A78" w:rsidRPr="00F24057">
        <w:rPr>
          <w:szCs w:val="22"/>
          <w:lang w:val="sr-Latn-ME"/>
        </w:rPr>
        <w:t>nedjelj</w:t>
      </w:r>
      <w:r w:rsidRPr="00F24057">
        <w:rPr>
          <w:szCs w:val="22"/>
          <w:lang w:val="sr-Latn-ME"/>
        </w:rPr>
        <w:t xml:space="preserve">e u dozi od 40 mg. Srednja </w:t>
      </w:r>
      <w:r w:rsidR="00972894" w:rsidRPr="00F24057">
        <w:rPr>
          <w:szCs w:val="22"/>
          <w:lang w:val="sr-Latn-ME"/>
        </w:rPr>
        <w:t>vrijedno</w:t>
      </w:r>
      <w:r w:rsidRPr="00F24057">
        <w:rPr>
          <w:szCs w:val="22"/>
          <w:lang w:val="sr-Latn-ME"/>
        </w:rPr>
        <w:t xml:space="preserve">st izloženosti u celokupnoj populaciji </w:t>
      </w:r>
      <w:r w:rsidR="00885A78" w:rsidRPr="00F24057">
        <w:rPr>
          <w:szCs w:val="22"/>
          <w:lang w:val="sr-Latn-ME"/>
        </w:rPr>
        <w:t>liječe</w:t>
      </w:r>
      <w:r w:rsidRPr="00F24057">
        <w:rPr>
          <w:szCs w:val="22"/>
          <w:lang w:val="sr-Latn-ME"/>
        </w:rPr>
        <w:t xml:space="preserve">noj adalimumabom iznosila je 762 dana. Tokom sva 3 ispitivanja pacijenti su svakodnevno koristili antiseptični rastvor za lokalnu upotrebu. </w:t>
      </w:r>
    </w:p>
    <w:p w14:paraId="22FED6C3" w14:textId="77777777" w:rsidR="004F1450" w:rsidRPr="00F24057" w:rsidRDefault="004F1450" w:rsidP="00D70B34">
      <w:pPr>
        <w:rPr>
          <w:szCs w:val="22"/>
          <w:lang w:val="sr-Latn-ME"/>
        </w:rPr>
      </w:pPr>
    </w:p>
    <w:p w14:paraId="7AA654A3" w14:textId="77777777" w:rsidR="004F1450" w:rsidRPr="00F24057" w:rsidRDefault="00B82D18" w:rsidP="00D70B34">
      <w:pPr>
        <w:rPr>
          <w:i/>
          <w:iCs/>
          <w:szCs w:val="22"/>
          <w:u w:val="single"/>
          <w:lang w:val="sr-Latn-ME"/>
        </w:rPr>
      </w:pPr>
      <w:r w:rsidRPr="00F24057">
        <w:rPr>
          <w:i/>
          <w:iCs/>
          <w:szCs w:val="22"/>
          <w:u w:val="single"/>
          <w:lang w:val="sr-Latn-ME"/>
        </w:rPr>
        <w:t xml:space="preserve">Klinički odgovor </w:t>
      </w:r>
    </w:p>
    <w:p w14:paraId="031F1538" w14:textId="4CF5C2C2" w:rsidR="004F1450" w:rsidRPr="00F24057" w:rsidRDefault="00B82D18" w:rsidP="00D70B34">
      <w:pPr>
        <w:rPr>
          <w:szCs w:val="22"/>
          <w:lang w:val="sr-Latn-ME"/>
        </w:rPr>
      </w:pPr>
      <w:r w:rsidRPr="00F24057">
        <w:rPr>
          <w:szCs w:val="22"/>
          <w:lang w:val="sr-Latn-ME"/>
        </w:rPr>
        <w:t>Smanjenje zapaljen</w:t>
      </w:r>
      <w:r w:rsidR="00B33244" w:rsidRPr="00F24057">
        <w:rPr>
          <w:szCs w:val="22"/>
          <w:lang w:val="sr-Latn-ME"/>
        </w:rPr>
        <w:t>j</w:t>
      </w:r>
      <w:r w:rsidRPr="00F24057">
        <w:rPr>
          <w:szCs w:val="22"/>
          <w:lang w:val="sr-Latn-ME"/>
        </w:rPr>
        <w:t>skih lezija i prevencija pogoršanja apscesa i drenirajućih fistula oc</w:t>
      </w:r>
      <w:r w:rsidR="00FF3128" w:rsidRPr="00F24057">
        <w:rPr>
          <w:szCs w:val="22"/>
          <w:lang w:val="sr-Latn-ME"/>
        </w:rPr>
        <w:t>j</w:t>
      </w:r>
      <w:r w:rsidRPr="00F24057">
        <w:rPr>
          <w:szCs w:val="22"/>
          <w:lang w:val="sr-Latn-ME"/>
        </w:rPr>
        <w:t xml:space="preserve">enjivali su se na osnovu kliničkog odgovora gnojnog zapaljenja znojnih </w:t>
      </w:r>
      <w:r w:rsidR="009A3407" w:rsidRPr="00F24057">
        <w:rPr>
          <w:szCs w:val="22"/>
          <w:lang w:val="sr-Latn-ME"/>
        </w:rPr>
        <w:t>žlijezd</w:t>
      </w:r>
      <w:r w:rsidRPr="00F24057">
        <w:rPr>
          <w:szCs w:val="22"/>
          <w:lang w:val="sr-Latn-ME"/>
        </w:rPr>
        <w:t xml:space="preserve">a (engl. </w:t>
      </w:r>
      <w:r w:rsidRPr="00F24057">
        <w:rPr>
          <w:i/>
          <w:iCs/>
          <w:szCs w:val="22"/>
          <w:lang w:val="sr-Latn-ME"/>
        </w:rPr>
        <w:t>Hidradenitis Suppurativa Clinical Response</w:t>
      </w:r>
      <w:r w:rsidRPr="00F24057">
        <w:rPr>
          <w:szCs w:val="22"/>
          <w:lang w:val="sr-Latn-ME"/>
        </w:rPr>
        <w:t xml:space="preserve"> [HiSCR]; smanjenje ukupnog broja apscesa i zapaljen</w:t>
      </w:r>
      <w:r w:rsidR="00B33244" w:rsidRPr="00F24057">
        <w:rPr>
          <w:szCs w:val="22"/>
          <w:lang w:val="sr-Latn-ME"/>
        </w:rPr>
        <w:t>j</w:t>
      </w:r>
      <w:r w:rsidRPr="00F24057">
        <w:rPr>
          <w:szCs w:val="22"/>
          <w:lang w:val="sr-Latn-ME"/>
        </w:rPr>
        <w:t xml:space="preserve">skih nodusa za 50%, bez povećanja broja apscesa i bez povećanja broja drenirajućih fistula u odnosu na početnu </w:t>
      </w:r>
      <w:r w:rsidR="00972894" w:rsidRPr="00F24057">
        <w:rPr>
          <w:szCs w:val="22"/>
          <w:lang w:val="sr-Latn-ME"/>
        </w:rPr>
        <w:t>vrijedno</w:t>
      </w:r>
      <w:r w:rsidRPr="00F24057">
        <w:rPr>
          <w:szCs w:val="22"/>
          <w:lang w:val="sr-Latn-ME"/>
        </w:rPr>
        <w:t xml:space="preserve">st). Smanjenje kožnog bola uzrokovanog gnojnim zapaljenjem znojnih </w:t>
      </w:r>
      <w:r w:rsidR="009A3407" w:rsidRPr="00F24057">
        <w:rPr>
          <w:szCs w:val="22"/>
          <w:lang w:val="sr-Latn-ME"/>
        </w:rPr>
        <w:t>žlijezd</w:t>
      </w:r>
      <w:r w:rsidRPr="00F24057">
        <w:rPr>
          <w:szCs w:val="22"/>
          <w:lang w:val="sr-Latn-ME"/>
        </w:rPr>
        <w:t>a oc</w:t>
      </w:r>
      <w:r w:rsidR="00FF3128" w:rsidRPr="00F24057">
        <w:rPr>
          <w:szCs w:val="22"/>
          <w:lang w:val="sr-Latn-ME"/>
        </w:rPr>
        <w:t>j</w:t>
      </w:r>
      <w:r w:rsidRPr="00F24057">
        <w:rPr>
          <w:szCs w:val="22"/>
          <w:lang w:val="sr-Latn-ME"/>
        </w:rPr>
        <w:t xml:space="preserve">enjivalo se uz pomoć numeričke skale kod pacijenata koji su pri uključivanju u ispitivanje imali početni rezultat od 3 ili više na skali od 11 bodova. </w:t>
      </w:r>
    </w:p>
    <w:p w14:paraId="24CEDA77" w14:textId="77777777" w:rsidR="004F1450" w:rsidRPr="00F24057" w:rsidRDefault="004F1450" w:rsidP="00D70B34">
      <w:pPr>
        <w:rPr>
          <w:szCs w:val="22"/>
          <w:lang w:val="sr-Latn-ME"/>
        </w:rPr>
      </w:pPr>
    </w:p>
    <w:p w14:paraId="0E90258D" w14:textId="3EA57B90" w:rsidR="00B82D18" w:rsidRPr="00F24057" w:rsidRDefault="00B82D18" w:rsidP="00D70B34">
      <w:pPr>
        <w:rPr>
          <w:szCs w:val="22"/>
          <w:lang w:val="sr-Latn-ME"/>
        </w:rPr>
      </w:pPr>
      <w:r w:rsidRPr="00F24057">
        <w:rPr>
          <w:szCs w:val="22"/>
          <w:lang w:val="sr-Latn-ME"/>
        </w:rPr>
        <w:t xml:space="preserve">U </w:t>
      </w:r>
      <w:r w:rsidR="00885A78" w:rsidRPr="00F24057">
        <w:rPr>
          <w:szCs w:val="22"/>
          <w:lang w:val="sr-Latn-ME"/>
        </w:rPr>
        <w:t>nedjelj</w:t>
      </w:r>
      <w:r w:rsidRPr="00F24057">
        <w:rPr>
          <w:szCs w:val="22"/>
          <w:lang w:val="sr-Latn-ME"/>
        </w:rPr>
        <w:t>i 12 HiSCR je postigao značajno veći ud</w:t>
      </w:r>
      <w:r w:rsidR="001E3585" w:rsidRPr="00F24057">
        <w:rPr>
          <w:szCs w:val="22"/>
          <w:lang w:val="sr-Latn-ME"/>
        </w:rPr>
        <w:t>e</w:t>
      </w:r>
      <w:r w:rsidRPr="00F24057">
        <w:rPr>
          <w:szCs w:val="22"/>
          <w:lang w:val="sr-Latn-ME"/>
        </w:rPr>
        <w:t xml:space="preserve">o pacijenata </w:t>
      </w:r>
      <w:r w:rsidR="00885A78" w:rsidRPr="00F24057">
        <w:rPr>
          <w:szCs w:val="22"/>
          <w:lang w:val="sr-Latn-ME"/>
        </w:rPr>
        <w:t>liječe</w:t>
      </w:r>
      <w:r w:rsidRPr="00F24057">
        <w:rPr>
          <w:szCs w:val="22"/>
          <w:lang w:val="sr-Latn-ME"/>
        </w:rPr>
        <w:t xml:space="preserve">nih adalimumabom naspram onih koji su primali placebo. U 12. </w:t>
      </w:r>
      <w:r w:rsidR="00885A78" w:rsidRPr="00F24057">
        <w:rPr>
          <w:szCs w:val="22"/>
          <w:lang w:val="sr-Latn-ME"/>
        </w:rPr>
        <w:t>nedjelj</w:t>
      </w:r>
      <w:r w:rsidRPr="00F24057">
        <w:rPr>
          <w:szCs w:val="22"/>
          <w:lang w:val="sr-Latn-ME"/>
        </w:rPr>
        <w:t>i je značajno veći ud</w:t>
      </w:r>
      <w:r w:rsidR="001E3585" w:rsidRPr="00F24057">
        <w:rPr>
          <w:szCs w:val="22"/>
          <w:lang w:val="sr-Latn-ME"/>
        </w:rPr>
        <w:t>e</w:t>
      </w:r>
      <w:r w:rsidRPr="00F24057">
        <w:rPr>
          <w:szCs w:val="22"/>
          <w:lang w:val="sr-Latn-ME"/>
        </w:rPr>
        <w:t xml:space="preserve">o pacijenata u ispitivanju HS-II doživeo klinički značajno smanjenje kožnog bola uzrokovanog gnojnim zapaljenjem znojnih </w:t>
      </w:r>
      <w:r w:rsidR="009A3407" w:rsidRPr="00F24057">
        <w:rPr>
          <w:szCs w:val="22"/>
          <w:lang w:val="sr-Latn-ME"/>
        </w:rPr>
        <w:t>žlijezd</w:t>
      </w:r>
      <w:r w:rsidRPr="00F24057">
        <w:rPr>
          <w:szCs w:val="22"/>
          <w:lang w:val="sr-Latn-ME"/>
        </w:rPr>
        <w:t>a (</w:t>
      </w:r>
      <w:r w:rsidR="0030064A" w:rsidRPr="00F24057">
        <w:rPr>
          <w:szCs w:val="22"/>
          <w:lang w:val="sr-Latn-ME"/>
        </w:rPr>
        <w:t>vidjeti</w:t>
      </w:r>
      <w:r w:rsidRPr="00F24057">
        <w:rPr>
          <w:szCs w:val="22"/>
          <w:lang w:val="sr-Latn-ME"/>
        </w:rPr>
        <w:t xml:space="preserve"> Tabelu </w:t>
      </w:r>
      <w:r w:rsidR="00A01905" w:rsidRPr="00F24057">
        <w:rPr>
          <w:szCs w:val="22"/>
          <w:lang w:val="sr-Latn-ME"/>
        </w:rPr>
        <w:t>19</w:t>
      </w:r>
      <w:r w:rsidRPr="00F24057">
        <w:rPr>
          <w:szCs w:val="22"/>
          <w:lang w:val="sr-Latn-ME"/>
        </w:rPr>
        <w:t xml:space="preserve">). Kod pacijenata </w:t>
      </w:r>
      <w:r w:rsidR="00885A78" w:rsidRPr="00F24057">
        <w:rPr>
          <w:szCs w:val="22"/>
          <w:lang w:val="sr-Latn-ME"/>
        </w:rPr>
        <w:t>liječe</w:t>
      </w:r>
      <w:r w:rsidRPr="00F24057">
        <w:rPr>
          <w:szCs w:val="22"/>
          <w:lang w:val="sr-Latn-ME"/>
        </w:rPr>
        <w:t xml:space="preserve">nih adalimumabom rizik od pogoršanja bolesti značajno se smanjio tokom prvih 12 </w:t>
      </w:r>
      <w:r w:rsidR="00885A78" w:rsidRPr="00F24057">
        <w:rPr>
          <w:szCs w:val="22"/>
          <w:lang w:val="sr-Latn-ME"/>
        </w:rPr>
        <w:t>nedjelj</w:t>
      </w:r>
      <w:r w:rsidRPr="00F24057">
        <w:rPr>
          <w:szCs w:val="22"/>
          <w:lang w:val="sr-Latn-ME"/>
        </w:rPr>
        <w:t xml:space="preserve">a </w:t>
      </w:r>
      <w:r w:rsidR="00885A78" w:rsidRPr="00F24057">
        <w:rPr>
          <w:szCs w:val="22"/>
          <w:lang w:val="sr-Latn-ME"/>
        </w:rPr>
        <w:t>liječenj</w:t>
      </w:r>
      <w:r w:rsidRPr="00F24057">
        <w:rPr>
          <w:szCs w:val="22"/>
          <w:lang w:val="sr-Latn-ME"/>
        </w:rPr>
        <w:t>a.</w:t>
      </w:r>
    </w:p>
    <w:p w14:paraId="73789DE7" w14:textId="754E894C" w:rsidR="00B82D18" w:rsidRPr="00F24057" w:rsidRDefault="00B82D18" w:rsidP="00D70B34">
      <w:pPr>
        <w:rPr>
          <w:szCs w:val="22"/>
          <w:lang w:val="sr-Latn-ME"/>
        </w:rPr>
      </w:pPr>
    </w:p>
    <w:p w14:paraId="60F6157A" w14:textId="0AA78336" w:rsidR="00B82D18" w:rsidRPr="00F24057" w:rsidRDefault="00A01905" w:rsidP="00D70B34">
      <w:pPr>
        <w:rPr>
          <w:b/>
          <w:bCs/>
          <w:szCs w:val="22"/>
          <w:lang w:val="sr-Latn-ME"/>
        </w:rPr>
      </w:pPr>
      <w:r w:rsidRPr="00F24057">
        <w:rPr>
          <w:b/>
          <w:bCs/>
          <w:szCs w:val="22"/>
          <w:lang w:val="sr-Latn-ME"/>
        </w:rPr>
        <w:t xml:space="preserve">Tabela 19: Rezultati efikasnosti nakon 12 </w:t>
      </w:r>
      <w:r w:rsidR="00885A78" w:rsidRPr="00F24057">
        <w:rPr>
          <w:b/>
          <w:bCs/>
          <w:szCs w:val="22"/>
          <w:lang w:val="sr-Latn-ME"/>
        </w:rPr>
        <w:t>nedjelj</w:t>
      </w:r>
      <w:r w:rsidRPr="00F24057">
        <w:rPr>
          <w:b/>
          <w:bCs/>
          <w:szCs w:val="22"/>
          <w:lang w:val="sr-Latn-ME"/>
        </w:rPr>
        <w:t>a, ispitivanja HS I i II</w:t>
      </w:r>
    </w:p>
    <w:p w14:paraId="13785045" w14:textId="09AC1D3E" w:rsidR="00B82D18" w:rsidRPr="00F24057" w:rsidRDefault="00B82D18" w:rsidP="00D70B34">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1979"/>
        <w:gridCol w:w="1277"/>
        <w:gridCol w:w="2251"/>
        <w:gridCol w:w="1250"/>
        <w:gridCol w:w="2260"/>
      </w:tblGrid>
      <w:tr w:rsidR="00806B06" w:rsidRPr="00F24057" w14:paraId="24DACE19" w14:textId="77777777" w:rsidTr="00ED642E">
        <w:trPr>
          <w:trHeight w:val="20"/>
        </w:trPr>
        <w:tc>
          <w:tcPr>
            <w:tcW w:w="1098" w:type="pct"/>
            <w:vMerge w:val="restart"/>
            <w:tcBorders>
              <w:top w:val="single" w:sz="4" w:space="0" w:color="000000"/>
              <w:left w:val="single" w:sz="4" w:space="0" w:color="000000"/>
              <w:bottom w:val="single" w:sz="4" w:space="0" w:color="000000"/>
              <w:right w:val="single" w:sz="4" w:space="0" w:color="000000"/>
            </w:tcBorders>
          </w:tcPr>
          <w:p w14:paraId="58B4C87C" w14:textId="77777777" w:rsidR="00806B06" w:rsidRPr="00F24057" w:rsidRDefault="00806B06" w:rsidP="00D70B34">
            <w:pPr>
              <w:rPr>
                <w:szCs w:val="22"/>
                <w:lang w:val="sr-Latn-ME"/>
              </w:rPr>
            </w:pPr>
          </w:p>
        </w:tc>
        <w:tc>
          <w:tcPr>
            <w:tcW w:w="1955" w:type="pct"/>
            <w:gridSpan w:val="2"/>
            <w:tcBorders>
              <w:top w:val="single" w:sz="4" w:space="0" w:color="000000"/>
              <w:left w:val="single" w:sz="4" w:space="0" w:color="000000"/>
              <w:bottom w:val="single" w:sz="4" w:space="0" w:color="000000"/>
              <w:right w:val="single" w:sz="4" w:space="0" w:color="000000"/>
            </w:tcBorders>
            <w:vAlign w:val="center"/>
          </w:tcPr>
          <w:p w14:paraId="2A7C2499" w14:textId="77777777" w:rsidR="00806B06" w:rsidRPr="00F24057" w:rsidRDefault="00806B06" w:rsidP="00D70B34">
            <w:pPr>
              <w:jc w:val="center"/>
              <w:rPr>
                <w:szCs w:val="22"/>
                <w:lang w:val="sr-Latn-ME"/>
              </w:rPr>
            </w:pPr>
            <w:r w:rsidRPr="00F24057">
              <w:rPr>
                <w:b/>
                <w:szCs w:val="22"/>
                <w:lang w:val="sr-Latn-ME"/>
              </w:rPr>
              <w:t>Ispitivanje HS I</w:t>
            </w:r>
          </w:p>
        </w:tc>
        <w:tc>
          <w:tcPr>
            <w:tcW w:w="1947" w:type="pct"/>
            <w:gridSpan w:val="2"/>
            <w:tcBorders>
              <w:top w:val="single" w:sz="4" w:space="0" w:color="000000"/>
              <w:left w:val="single" w:sz="4" w:space="0" w:color="000000"/>
              <w:bottom w:val="single" w:sz="4" w:space="0" w:color="000000"/>
              <w:right w:val="single" w:sz="4" w:space="0" w:color="000000"/>
            </w:tcBorders>
            <w:vAlign w:val="center"/>
          </w:tcPr>
          <w:p w14:paraId="7794DC78" w14:textId="77777777" w:rsidR="00806B06" w:rsidRPr="00F24057" w:rsidRDefault="00806B06" w:rsidP="00D70B34">
            <w:pPr>
              <w:jc w:val="center"/>
              <w:rPr>
                <w:szCs w:val="22"/>
                <w:lang w:val="sr-Latn-ME"/>
              </w:rPr>
            </w:pPr>
            <w:r w:rsidRPr="00F24057">
              <w:rPr>
                <w:b/>
                <w:szCs w:val="22"/>
                <w:lang w:val="sr-Latn-ME"/>
              </w:rPr>
              <w:t>Ispitivanje HS II</w:t>
            </w:r>
          </w:p>
        </w:tc>
      </w:tr>
      <w:tr w:rsidR="00806B06" w:rsidRPr="00F24057" w14:paraId="3C509698" w14:textId="77777777" w:rsidTr="00ED642E">
        <w:trPr>
          <w:trHeight w:val="20"/>
        </w:trPr>
        <w:tc>
          <w:tcPr>
            <w:tcW w:w="1098" w:type="pct"/>
            <w:vMerge/>
            <w:tcBorders>
              <w:top w:val="nil"/>
              <w:left w:val="single" w:sz="4" w:space="0" w:color="000000"/>
              <w:bottom w:val="single" w:sz="4" w:space="0" w:color="000000"/>
              <w:right w:val="single" w:sz="4" w:space="0" w:color="000000"/>
            </w:tcBorders>
          </w:tcPr>
          <w:p w14:paraId="79215B23" w14:textId="77777777" w:rsidR="00806B06" w:rsidRPr="00F24057" w:rsidRDefault="00806B06" w:rsidP="00D70B34">
            <w:pPr>
              <w:rPr>
                <w:szCs w:val="22"/>
                <w:lang w:val="sr-Latn-ME"/>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FB2478D" w14:textId="77777777" w:rsidR="00806B06" w:rsidRPr="00F24057" w:rsidRDefault="00806B06" w:rsidP="00D70B34">
            <w:pPr>
              <w:jc w:val="center"/>
              <w:rPr>
                <w:szCs w:val="22"/>
                <w:lang w:val="sr-Latn-ME"/>
              </w:rPr>
            </w:pPr>
            <w:r w:rsidRPr="00F24057">
              <w:rPr>
                <w:b/>
                <w:szCs w:val="22"/>
                <w:lang w:val="sr-Latn-ME"/>
              </w:rPr>
              <w:t>placebo</w:t>
            </w:r>
          </w:p>
        </w:tc>
        <w:tc>
          <w:tcPr>
            <w:tcW w:w="1248" w:type="pct"/>
            <w:tcBorders>
              <w:top w:val="single" w:sz="4" w:space="0" w:color="000000"/>
              <w:left w:val="single" w:sz="4" w:space="0" w:color="000000"/>
              <w:bottom w:val="single" w:sz="4" w:space="0" w:color="000000"/>
              <w:right w:val="single" w:sz="4" w:space="0" w:color="000000"/>
            </w:tcBorders>
            <w:vAlign w:val="center"/>
          </w:tcPr>
          <w:p w14:paraId="779ADC3D" w14:textId="050E535E" w:rsidR="005833CA" w:rsidRPr="00F24057" w:rsidRDefault="005833CA" w:rsidP="00D70B34">
            <w:pPr>
              <w:jc w:val="center"/>
              <w:rPr>
                <w:b/>
                <w:szCs w:val="22"/>
                <w:lang w:val="sr-Latn-ME"/>
              </w:rPr>
            </w:pPr>
            <w:r w:rsidRPr="00F24057">
              <w:rPr>
                <w:b/>
                <w:szCs w:val="22"/>
                <w:lang w:val="sr-Latn-ME"/>
              </w:rPr>
              <w:t>a</w:t>
            </w:r>
            <w:r w:rsidR="00806B06" w:rsidRPr="00F24057">
              <w:rPr>
                <w:b/>
                <w:szCs w:val="22"/>
                <w:lang w:val="sr-Latn-ME"/>
              </w:rPr>
              <w:t>dalimumab</w:t>
            </w:r>
          </w:p>
          <w:p w14:paraId="456FAD2F" w14:textId="4D170EBC" w:rsidR="00806B06" w:rsidRPr="00F24057" w:rsidRDefault="00806B06" w:rsidP="00D70B34">
            <w:pPr>
              <w:jc w:val="center"/>
              <w:rPr>
                <w:szCs w:val="22"/>
                <w:lang w:val="sr-Latn-ME"/>
              </w:rPr>
            </w:pPr>
            <w:r w:rsidRPr="00F24057">
              <w:rPr>
                <w:b/>
                <w:szCs w:val="22"/>
                <w:lang w:val="sr-Latn-ME"/>
              </w:rPr>
              <w:t xml:space="preserve">40 mg svake </w:t>
            </w:r>
            <w:r w:rsidR="00885A78" w:rsidRPr="00F24057">
              <w:rPr>
                <w:b/>
                <w:szCs w:val="22"/>
                <w:lang w:val="sr-Latn-ME"/>
              </w:rPr>
              <w:t>nedjelj</w:t>
            </w:r>
            <w:r w:rsidRPr="00F24057">
              <w:rPr>
                <w:b/>
                <w:szCs w:val="22"/>
                <w:lang w:val="sr-Latn-ME"/>
              </w:rPr>
              <w:t>e</w:t>
            </w:r>
          </w:p>
        </w:tc>
        <w:tc>
          <w:tcPr>
            <w:tcW w:w="693" w:type="pct"/>
            <w:tcBorders>
              <w:top w:val="single" w:sz="4" w:space="0" w:color="000000"/>
              <w:left w:val="single" w:sz="4" w:space="0" w:color="000000"/>
              <w:bottom w:val="single" w:sz="4" w:space="0" w:color="000000"/>
              <w:right w:val="single" w:sz="4" w:space="0" w:color="000000"/>
            </w:tcBorders>
            <w:vAlign w:val="center"/>
          </w:tcPr>
          <w:p w14:paraId="6853D06B" w14:textId="77777777" w:rsidR="00806B06" w:rsidRPr="00F24057" w:rsidRDefault="00806B06" w:rsidP="00D70B34">
            <w:pPr>
              <w:jc w:val="center"/>
              <w:rPr>
                <w:szCs w:val="22"/>
                <w:lang w:val="sr-Latn-ME"/>
              </w:rPr>
            </w:pPr>
            <w:r w:rsidRPr="00F24057">
              <w:rPr>
                <w:b/>
                <w:szCs w:val="22"/>
                <w:lang w:val="sr-Latn-ME"/>
              </w:rPr>
              <w:t>placebo</w:t>
            </w:r>
          </w:p>
        </w:tc>
        <w:tc>
          <w:tcPr>
            <w:tcW w:w="1254" w:type="pct"/>
            <w:tcBorders>
              <w:top w:val="single" w:sz="4" w:space="0" w:color="000000"/>
              <w:left w:val="single" w:sz="4" w:space="0" w:color="000000"/>
              <w:bottom w:val="single" w:sz="4" w:space="0" w:color="000000"/>
              <w:right w:val="single" w:sz="4" w:space="0" w:color="000000"/>
            </w:tcBorders>
            <w:vAlign w:val="center"/>
          </w:tcPr>
          <w:p w14:paraId="3CFB0343" w14:textId="77777777" w:rsidR="005833CA" w:rsidRPr="00F24057" w:rsidRDefault="00806B06" w:rsidP="00D70B34">
            <w:pPr>
              <w:jc w:val="center"/>
              <w:rPr>
                <w:b/>
                <w:szCs w:val="22"/>
                <w:lang w:val="sr-Latn-ME"/>
              </w:rPr>
            </w:pPr>
            <w:r w:rsidRPr="00F24057">
              <w:rPr>
                <w:b/>
                <w:szCs w:val="22"/>
                <w:lang w:val="sr-Latn-ME"/>
              </w:rPr>
              <w:t xml:space="preserve">adalimumab </w:t>
            </w:r>
          </w:p>
          <w:p w14:paraId="726F8BBC" w14:textId="11A5D5DA" w:rsidR="00806B06" w:rsidRPr="00F24057" w:rsidRDefault="00806B06" w:rsidP="00D70B34">
            <w:pPr>
              <w:jc w:val="center"/>
              <w:rPr>
                <w:szCs w:val="22"/>
                <w:lang w:val="sr-Latn-ME"/>
              </w:rPr>
            </w:pPr>
            <w:r w:rsidRPr="00F24057">
              <w:rPr>
                <w:b/>
                <w:szCs w:val="22"/>
                <w:lang w:val="sr-Latn-ME"/>
              </w:rPr>
              <w:t xml:space="preserve">40 mg svake </w:t>
            </w:r>
            <w:r w:rsidR="00885A78" w:rsidRPr="00F24057">
              <w:rPr>
                <w:b/>
                <w:szCs w:val="22"/>
                <w:lang w:val="sr-Latn-ME"/>
              </w:rPr>
              <w:t>nedjelj</w:t>
            </w:r>
            <w:r w:rsidRPr="00F24057">
              <w:rPr>
                <w:b/>
                <w:szCs w:val="22"/>
                <w:lang w:val="sr-Latn-ME"/>
              </w:rPr>
              <w:t>e</w:t>
            </w:r>
          </w:p>
        </w:tc>
      </w:tr>
      <w:tr w:rsidR="00806B06" w:rsidRPr="00F24057" w14:paraId="5DAD7B78" w14:textId="77777777" w:rsidTr="00ED642E">
        <w:trPr>
          <w:trHeight w:val="20"/>
        </w:trPr>
        <w:tc>
          <w:tcPr>
            <w:tcW w:w="1098" w:type="pct"/>
            <w:tcBorders>
              <w:top w:val="single" w:sz="4" w:space="0" w:color="000000"/>
              <w:left w:val="single" w:sz="4" w:space="0" w:color="000000"/>
              <w:bottom w:val="single" w:sz="4" w:space="0" w:color="000000"/>
              <w:right w:val="single" w:sz="4" w:space="0" w:color="000000"/>
            </w:tcBorders>
            <w:vAlign w:val="center"/>
          </w:tcPr>
          <w:p w14:paraId="7AAE2340" w14:textId="040AD5C5" w:rsidR="00806B06" w:rsidRPr="00F24057" w:rsidRDefault="00806B06" w:rsidP="00D70B34">
            <w:pPr>
              <w:jc w:val="left"/>
              <w:rPr>
                <w:szCs w:val="22"/>
                <w:lang w:val="sr-Latn-ME"/>
              </w:rPr>
            </w:pPr>
            <w:r w:rsidRPr="00F24057">
              <w:rPr>
                <w:szCs w:val="22"/>
                <w:lang w:val="sr-Latn-ME"/>
              </w:rPr>
              <w:t xml:space="preserve">Klinički odgovor gnojnog </w:t>
            </w:r>
            <w:r w:rsidR="00851D16" w:rsidRPr="00F24057">
              <w:rPr>
                <w:szCs w:val="22"/>
                <w:lang w:val="sr-Latn-ME"/>
              </w:rPr>
              <w:t xml:space="preserve">zapaljenja znojnih </w:t>
            </w:r>
            <w:r w:rsidR="009A3407" w:rsidRPr="00F24057">
              <w:rPr>
                <w:szCs w:val="22"/>
                <w:lang w:val="sr-Latn-ME"/>
              </w:rPr>
              <w:t>žlijezd</w:t>
            </w:r>
            <w:r w:rsidR="00851D16" w:rsidRPr="00F24057">
              <w:rPr>
                <w:szCs w:val="22"/>
                <w:lang w:val="sr-Latn-ME"/>
              </w:rPr>
              <w:t xml:space="preserve">a </w:t>
            </w:r>
            <w:r w:rsidRPr="00F24057">
              <w:rPr>
                <w:szCs w:val="22"/>
                <w:lang w:val="sr-Latn-ME"/>
              </w:rPr>
              <w:t>(HiSCR)</w:t>
            </w:r>
            <w:r w:rsidRPr="00F24057">
              <w:rPr>
                <w:szCs w:val="22"/>
                <w:vertAlign w:val="superscript"/>
                <w:lang w:val="sr-Latn-ME"/>
              </w:rPr>
              <w:t>a</w:t>
            </w:r>
          </w:p>
        </w:tc>
        <w:tc>
          <w:tcPr>
            <w:tcW w:w="708" w:type="pct"/>
            <w:tcBorders>
              <w:top w:val="single" w:sz="4" w:space="0" w:color="000000"/>
              <w:left w:val="single" w:sz="4" w:space="0" w:color="000000"/>
              <w:bottom w:val="single" w:sz="4" w:space="0" w:color="000000"/>
              <w:right w:val="single" w:sz="4" w:space="0" w:color="000000"/>
            </w:tcBorders>
            <w:vAlign w:val="center"/>
          </w:tcPr>
          <w:p w14:paraId="058B4CE2" w14:textId="77777777" w:rsidR="00806B06" w:rsidRPr="00F24057" w:rsidRDefault="00806B06" w:rsidP="00D70B34">
            <w:pPr>
              <w:jc w:val="center"/>
              <w:rPr>
                <w:szCs w:val="22"/>
                <w:lang w:val="sr-Latn-ME"/>
              </w:rPr>
            </w:pPr>
            <w:r w:rsidRPr="00F24057">
              <w:rPr>
                <w:szCs w:val="22"/>
                <w:lang w:val="sr-Latn-ME"/>
              </w:rPr>
              <w:t>N = 154</w:t>
            </w:r>
          </w:p>
          <w:p w14:paraId="4C112CAE" w14:textId="77777777" w:rsidR="00806B06" w:rsidRPr="00F24057" w:rsidRDefault="00806B06" w:rsidP="00D70B34">
            <w:pPr>
              <w:jc w:val="center"/>
              <w:rPr>
                <w:szCs w:val="22"/>
                <w:lang w:val="sr-Latn-ME"/>
              </w:rPr>
            </w:pPr>
            <w:r w:rsidRPr="00F24057">
              <w:rPr>
                <w:szCs w:val="22"/>
                <w:lang w:val="sr-Latn-ME"/>
              </w:rPr>
              <w:t>40 (26,0%)</w:t>
            </w:r>
          </w:p>
        </w:tc>
        <w:tc>
          <w:tcPr>
            <w:tcW w:w="1248" w:type="pct"/>
            <w:tcBorders>
              <w:top w:val="single" w:sz="4" w:space="0" w:color="000000"/>
              <w:left w:val="single" w:sz="4" w:space="0" w:color="000000"/>
              <w:bottom w:val="single" w:sz="4" w:space="0" w:color="000000"/>
              <w:right w:val="single" w:sz="4" w:space="0" w:color="000000"/>
            </w:tcBorders>
            <w:vAlign w:val="center"/>
          </w:tcPr>
          <w:p w14:paraId="49EBD9FD" w14:textId="77777777" w:rsidR="00806B06" w:rsidRPr="00F24057" w:rsidRDefault="00806B06" w:rsidP="00D70B34">
            <w:pPr>
              <w:jc w:val="center"/>
              <w:rPr>
                <w:szCs w:val="22"/>
                <w:lang w:val="sr-Latn-ME"/>
              </w:rPr>
            </w:pPr>
            <w:r w:rsidRPr="00F24057">
              <w:rPr>
                <w:szCs w:val="22"/>
                <w:lang w:val="sr-Latn-ME"/>
              </w:rPr>
              <w:t>N = 153</w:t>
            </w:r>
          </w:p>
          <w:p w14:paraId="7816A363" w14:textId="77777777" w:rsidR="00806B06" w:rsidRPr="00F24057" w:rsidRDefault="00806B06" w:rsidP="00D70B34">
            <w:pPr>
              <w:jc w:val="center"/>
              <w:rPr>
                <w:szCs w:val="22"/>
                <w:lang w:val="sr-Latn-ME"/>
              </w:rPr>
            </w:pPr>
            <w:r w:rsidRPr="00F24057">
              <w:rPr>
                <w:szCs w:val="22"/>
                <w:lang w:val="sr-Latn-ME"/>
              </w:rPr>
              <w:t>64 (41,8%) *</w:t>
            </w:r>
          </w:p>
        </w:tc>
        <w:tc>
          <w:tcPr>
            <w:tcW w:w="693" w:type="pct"/>
            <w:tcBorders>
              <w:top w:val="single" w:sz="4" w:space="0" w:color="000000"/>
              <w:left w:val="single" w:sz="4" w:space="0" w:color="000000"/>
              <w:bottom w:val="single" w:sz="4" w:space="0" w:color="000000"/>
              <w:right w:val="single" w:sz="4" w:space="0" w:color="000000"/>
            </w:tcBorders>
            <w:vAlign w:val="center"/>
          </w:tcPr>
          <w:p w14:paraId="1786FD0F" w14:textId="77777777" w:rsidR="00806B06" w:rsidRPr="00F24057" w:rsidRDefault="00806B06" w:rsidP="00D70B34">
            <w:pPr>
              <w:jc w:val="center"/>
              <w:rPr>
                <w:szCs w:val="22"/>
                <w:lang w:val="sr-Latn-ME"/>
              </w:rPr>
            </w:pPr>
            <w:r w:rsidRPr="00F24057">
              <w:rPr>
                <w:szCs w:val="22"/>
                <w:lang w:val="sr-Latn-ME"/>
              </w:rPr>
              <w:t>N=163</w:t>
            </w:r>
          </w:p>
          <w:p w14:paraId="30A6F819" w14:textId="77777777" w:rsidR="00806B06" w:rsidRPr="00F24057" w:rsidRDefault="00806B06" w:rsidP="00D70B34">
            <w:pPr>
              <w:jc w:val="center"/>
              <w:rPr>
                <w:szCs w:val="22"/>
                <w:lang w:val="sr-Latn-ME"/>
              </w:rPr>
            </w:pPr>
            <w:r w:rsidRPr="00F24057">
              <w:rPr>
                <w:szCs w:val="22"/>
                <w:lang w:val="sr-Latn-ME"/>
              </w:rPr>
              <w:t>45 (27,6%)</w:t>
            </w:r>
          </w:p>
        </w:tc>
        <w:tc>
          <w:tcPr>
            <w:tcW w:w="1254" w:type="pct"/>
            <w:tcBorders>
              <w:top w:val="single" w:sz="4" w:space="0" w:color="000000"/>
              <w:left w:val="single" w:sz="4" w:space="0" w:color="000000"/>
              <w:bottom w:val="single" w:sz="4" w:space="0" w:color="000000"/>
              <w:right w:val="single" w:sz="4" w:space="0" w:color="000000"/>
            </w:tcBorders>
            <w:vAlign w:val="center"/>
          </w:tcPr>
          <w:p w14:paraId="1088B425" w14:textId="77777777" w:rsidR="00806B06" w:rsidRPr="00F24057" w:rsidRDefault="00806B06" w:rsidP="00D70B34">
            <w:pPr>
              <w:jc w:val="center"/>
              <w:rPr>
                <w:szCs w:val="22"/>
                <w:lang w:val="sr-Latn-ME"/>
              </w:rPr>
            </w:pPr>
            <w:r w:rsidRPr="00F24057">
              <w:rPr>
                <w:szCs w:val="22"/>
                <w:lang w:val="sr-Latn-ME"/>
              </w:rPr>
              <w:t>N=163</w:t>
            </w:r>
          </w:p>
          <w:p w14:paraId="6773B9D8" w14:textId="77777777" w:rsidR="00806B06" w:rsidRPr="00F24057" w:rsidRDefault="00806B06" w:rsidP="00D70B34">
            <w:pPr>
              <w:jc w:val="center"/>
              <w:rPr>
                <w:szCs w:val="22"/>
                <w:lang w:val="sr-Latn-ME"/>
              </w:rPr>
            </w:pPr>
            <w:r w:rsidRPr="00F24057">
              <w:rPr>
                <w:szCs w:val="22"/>
                <w:lang w:val="sr-Latn-ME"/>
              </w:rPr>
              <w:t>96 (58,9%) ***</w:t>
            </w:r>
          </w:p>
        </w:tc>
      </w:tr>
      <w:tr w:rsidR="00806B06" w:rsidRPr="00F24057" w14:paraId="15928912" w14:textId="77777777" w:rsidTr="00ED642E">
        <w:trPr>
          <w:trHeight w:val="20"/>
        </w:trPr>
        <w:tc>
          <w:tcPr>
            <w:tcW w:w="1098" w:type="pct"/>
            <w:tcBorders>
              <w:top w:val="single" w:sz="4" w:space="0" w:color="000000"/>
              <w:left w:val="single" w:sz="4" w:space="0" w:color="000000"/>
              <w:bottom w:val="single" w:sz="4" w:space="0" w:color="000000"/>
              <w:right w:val="single" w:sz="4" w:space="0" w:color="000000"/>
            </w:tcBorders>
            <w:vAlign w:val="center"/>
          </w:tcPr>
          <w:p w14:paraId="636688ED" w14:textId="77777777" w:rsidR="00806B06" w:rsidRPr="00F24057" w:rsidRDefault="00806B06" w:rsidP="00D70B34">
            <w:pPr>
              <w:jc w:val="left"/>
              <w:rPr>
                <w:szCs w:val="22"/>
                <w:lang w:val="sr-Latn-ME"/>
              </w:rPr>
            </w:pPr>
            <w:r w:rsidRPr="00F24057">
              <w:rPr>
                <w:szCs w:val="22"/>
                <w:lang w:val="sr-Latn-ME"/>
              </w:rPr>
              <w:t>Smanjenje kožnog bola za ≥30%</w:t>
            </w:r>
            <w:r w:rsidRPr="00F24057">
              <w:rPr>
                <w:szCs w:val="22"/>
                <w:vertAlign w:val="superscript"/>
                <w:lang w:val="sr-Latn-ME"/>
              </w:rPr>
              <w:t>b</w:t>
            </w:r>
          </w:p>
        </w:tc>
        <w:tc>
          <w:tcPr>
            <w:tcW w:w="708" w:type="pct"/>
            <w:tcBorders>
              <w:top w:val="single" w:sz="4" w:space="0" w:color="000000"/>
              <w:left w:val="single" w:sz="4" w:space="0" w:color="000000"/>
              <w:bottom w:val="single" w:sz="4" w:space="0" w:color="000000"/>
              <w:right w:val="single" w:sz="4" w:space="0" w:color="000000"/>
            </w:tcBorders>
            <w:vAlign w:val="center"/>
          </w:tcPr>
          <w:p w14:paraId="6F9FE03C" w14:textId="77777777" w:rsidR="00806B06" w:rsidRPr="00F24057" w:rsidRDefault="00806B06" w:rsidP="00D70B34">
            <w:pPr>
              <w:jc w:val="center"/>
              <w:rPr>
                <w:szCs w:val="22"/>
                <w:lang w:val="sr-Latn-ME"/>
              </w:rPr>
            </w:pPr>
            <w:r w:rsidRPr="00F24057">
              <w:rPr>
                <w:szCs w:val="22"/>
                <w:lang w:val="sr-Latn-ME"/>
              </w:rPr>
              <w:t>N = 109</w:t>
            </w:r>
          </w:p>
          <w:p w14:paraId="636A4C77" w14:textId="77777777" w:rsidR="00806B06" w:rsidRPr="00F24057" w:rsidRDefault="00806B06" w:rsidP="00D70B34">
            <w:pPr>
              <w:jc w:val="center"/>
              <w:rPr>
                <w:szCs w:val="22"/>
                <w:lang w:val="sr-Latn-ME"/>
              </w:rPr>
            </w:pPr>
            <w:r w:rsidRPr="00F24057">
              <w:rPr>
                <w:szCs w:val="22"/>
                <w:lang w:val="sr-Latn-ME"/>
              </w:rPr>
              <w:t>27 (24,8%)</w:t>
            </w:r>
          </w:p>
        </w:tc>
        <w:tc>
          <w:tcPr>
            <w:tcW w:w="1248" w:type="pct"/>
            <w:tcBorders>
              <w:top w:val="single" w:sz="4" w:space="0" w:color="000000"/>
              <w:left w:val="single" w:sz="4" w:space="0" w:color="000000"/>
              <w:bottom w:val="single" w:sz="4" w:space="0" w:color="000000"/>
              <w:right w:val="single" w:sz="4" w:space="0" w:color="000000"/>
            </w:tcBorders>
            <w:vAlign w:val="center"/>
          </w:tcPr>
          <w:p w14:paraId="00045603" w14:textId="77777777" w:rsidR="00806B06" w:rsidRPr="00F24057" w:rsidRDefault="00806B06" w:rsidP="00D70B34">
            <w:pPr>
              <w:jc w:val="center"/>
              <w:rPr>
                <w:szCs w:val="22"/>
                <w:lang w:val="sr-Latn-ME"/>
              </w:rPr>
            </w:pPr>
            <w:r w:rsidRPr="00F24057">
              <w:rPr>
                <w:szCs w:val="22"/>
                <w:lang w:val="sr-Latn-ME"/>
              </w:rPr>
              <w:t>N = 122</w:t>
            </w:r>
          </w:p>
          <w:p w14:paraId="41647054" w14:textId="77777777" w:rsidR="00806B06" w:rsidRPr="00F24057" w:rsidRDefault="00806B06" w:rsidP="00D70B34">
            <w:pPr>
              <w:jc w:val="center"/>
              <w:rPr>
                <w:szCs w:val="22"/>
                <w:lang w:val="sr-Latn-ME"/>
              </w:rPr>
            </w:pPr>
            <w:r w:rsidRPr="00F24057">
              <w:rPr>
                <w:szCs w:val="22"/>
                <w:lang w:val="sr-Latn-ME"/>
              </w:rPr>
              <w:t>34 (27,9%)</w:t>
            </w:r>
          </w:p>
        </w:tc>
        <w:tc>
          <w:tcPr>
            <w:tcW w:w="693" w:type="pct"/>
            <w:tcBorders>
              <w:top w:val="single" w:sz="4" w:space="0" w:color="000000"/>
              <w:left w:val="single" w:sz="4" w:space="0" w:color="000000"/>
              <w:bottom w:val="single" w:sz="4" w:space="0" w:color="000000"/>
              <w:right w:val="single" w:sz="4" w:space="0" w:color="000000"/>
            </w:tcBorders>
            <w:vAlign w:val="center"/>
          </w:tcPr>
          <w:p w14:paraId="45362C0B" w14:textId="77777777" w:rsidR="00806B06" w:rsidRPr="00F24057" w:rsidRDefault="00806B06" w:rsidP="00D70B34">
            <w:pPr>
              <w:jc w:val="center"/>
              <w:rPr>
                <w:szCs w:val="22"/>
                <w:lang w:val="sr-Latn-ME"/>
              </w:rPr>
            </w:pPr>
            <w:r w:rsidRPr="00F24057">
              <w:rPr>
                <w:szCs w:val="22"/>
                <w:lang w:val="sr-Latn-ME"/>
              </w:rPr>
              <w:t>N=111</w:t>
            </w:r>
          </w:p>
          <w:p w14:paraId="4A448E6B" w14:textId="77777777" w:rsidR="00806B06" w:rsidRPr="00F24057" w:rsidRDefault="00806B06" w:rsidP="00D70B34">
            <w:pPr>
              <w:jc w:val="center"/>
              <w:rPr>
                <w:szCs w:val="22"/>
                <w:lang w:val="sr-Latn-ME"/>
              </w:rPr>
            </w:pPr>
            <w:r w:rsidRPr="00F24057">
              <w:rPr>
                <w:szCs w:val="22"/>
                <w:lang w:val="sr-Latn-ME"/>
              </w:rPr>
              <w:t>23 (20,7%)</w:t>
            </w:r>
          </w:p>
        </w:tc>
        <w:tc>
          <w:tcPr>
            <w:tcW w:w="1254" w:type="pct"/>
            <w:tcBorders>
              <w:top w:val="single" w:sz="4" w:space="0" w:color="000000"/>
              <w:left w:val="single" w:sz="4" w:space="0" w:color="000000"/>
              <w:bottom w:val="single" w:sz="4" w:space="0" w:color="000000"/>
              <w:right w:val="single" w:sz="4" w:space="0" w:color="000000"/>
            </w:tcBorders>
            <w:vAlign w:val="center"/>
          </w:tcPr>
          <w:p w14:paraId="43187257" w14:textId="77777777" w:rsidR="00806B06" w:rsidRPr="00F24057" w:rsidRDefault="00806B06" w:rsidP="00D70B34">
            <w:pPr>
              <w:jc w:val="center"/>
              <w:rPr>
                <w:szCs w:val="22"/>
                <w:lang w:val="sr-Latn-ME"/>
              </w:rPr>
            </w:pPr>
            <w:r w:rsidRPr="00F24057">
              <w:rPr>
                <w:szCs w:val="22"/>
                <w:lang w:val="sr-Latn-ME"/>
              </w:rPr>
              <w:t>N=105</w:t>
            </w:r>
          </w:p>
          <w:p w14:paraId="1BE75AC9" w14:textId="77777777" w:rsidR="00806B06" w:rsidRPr="00F24057" w:rsidRDefault="00806B06" w:rsidP="00D70B34">
            <w:pPr>
              <w:jc w:val="center"/>
              <w:rPr>
                <w:szCs w:val="22"/>
                <w:lang w:val="sr-Latn-ME"/>
              </w:rPr>
            </w:pPr>
            <w:r w:rsidRPr="00F24057">
              <w:rPr>
                <w:szCs w:val="22"/>
                <w:lang w:val="sr-Latn-ME"/>
              </w:rPr>
              <w:t>48 (45,7%) ***</w:t>
            </w:r>
          </w:p>
        </w:tc>
      </w:tr>
      <w:tr w:rsidR="00806B06" w:rsidRPr="00F24057" w14:paraId="175227CF" w14:textId="77777777" w:rsidTr="00F1226A">
        <w:trPr>
          <w:trHeight w:val="20"/>
        </w:trPr>
        <w:tc>
          <w:tcPr>
            <w:tcW w:w="5000" w:type="pct"/>
            <w:gridSpan w:val="5"/>
            <w:tcBorders>
              <w:top w:val="single" w:sz="4" w:space="0" w:color="000000"/>
              <w:left w:val="single" w:sz="4" w:space="0" w:color="000000"/>
              <w:bottom w:val="single" w:sz="4" w:space="0" w:color="000000"/>
              <w:right w:val="single" w:sz="4" w:space="0" w:color="000000"/>
            </w:tcBorders>
          </w:tcPr>
          <w:p w14:paraId="5EA37D03" w14:textId="26C747B7" w:rsidR="0010477F" w:rsidRPr="00F24057" w:rsidRDefault="0010477F" w:rsidP="00D70B34">
            <w:pPr>
              <w:rPr>
                <w:szCs w:val="22"/>
                <w:lang w:val="sr-Latn-ME"/>
              </w:rPr>
            </w:pPr>
            <w:r w:rsidRPr="00F24057">
              <w:rPr>
                <w:szCs w:val="22"/>
                <w:lang w:val="sr-Latn-ME"/>
              </w:rPr>
              <w:t>* p &lt; 0,05</w:t>
            </w:r>
            <w:r w:rsidR="006D244E" w:rsidRPr="00F24057">
              <w:rPr>
                <w:szCs w:val="22"/>
                <w:lang w:val="sr-Latn-ME"/>
              </w:rPr>
              <w:t xml:space="preserve">, </w:t>
            </w:r>
            <w:r w:rsidRPr="00F24057">
              <w:rPr>
                <w:szCs w:val="22"/>
                <w:lang w:val="sr-Latn-ME"/>
              </w:rPr>
              <w:t xml:space="preserve">*** p &lt; 0,001 adalimumab naspram placeba </w:t>
            </w:r>
          </w:p>
          <w:p w14:paraId="2F9F5E5B" w14:textId="30ABF0A3" w:rsidR="0010477F" w:rsidRPr="00F24057" w:rsidRDefault="0010477F" w:rsidP="00D70B34">
            <w:pPr>
              <w:rPr>
                <w:szCs w:val="22"/>
                <w:lang w:val="sr-Latn-ME"/>
              </w:rPr>
            </w:pPr>
            <w:r w:rsidRPr="00F24057">
              <w:rPr>
                <w:szCs w:val="22"/>
                <w:vertAlign w:val="superscript"/>
                <w:lang w:val="sr-Latn-ME"/>
              </w:rPr>
              <w:t>a</w:t>
            </w:r>
            <w:r w:rsidRPr="00F24057">
              <w:rPr>
                <w:szCs w:val="22"/>
                <w:lang w:val="sr-Latn-ME"/>
              </w:rPr>
              <w:t xml:space="preserve"> Među svim randomizovanim pacijentima </w:t>
            </w:r>
          </w:p>
          <w:p w14:paraId="1A039AB1" w14:textId="65FE957B" w:rsidR="00806B06" w:rsidRPr="00F24057" w:rsidRDefault="0010477F" w:rsidP="00D70B34">
            <w:pPr>
              <w:rPr>
                <w:szCs w:val="22"/>
                <w:lang w:val="sr-Latn-ME"/>
              </w:rPr>
            </w:pPr>
            <w:r w:rsidRPr="00F24057">
              <w:rPr>
                <w:szCs w:val="22"/>
                <w:vertAlign w:val="superscript"/>
                <w:lang w:val="sr-Latn-ME"/>
              </w:rPr>
              <w:lastRenderedPageBreak/>
              <w:t>b</w:t>
            </w:r>
            <w:r w:rsidRPr="00F24057">
              <w:rPr>
                <w:szCs w:val="22"/>
                <w:lang w:val="sr-Latn-ME"/>
              </w:rPr>
              <w:t xml:space="preserve"> Među pacijentima sa </w:t>
            </w:r>
            <w:r w:rsidR="004F2520" w:rsidRPr="00F24057">
              <w:rPr>
                <w:szCs w:val="22"/>
                <w:lang w:val="sr-Latn-ME"/>
              </w:rPr>
              <w:t>proc</w:t>
            </w:r>
            <w:r w:rsidR="00A8527B" w:rsidRPr="00F24057">
              <w:rPr>
                <w:szCs w:val="22"/>
                <w:lang w:val="sr-Latn-ME"/>
              </w:rPr>
              <w:t>i</w:t>
            </w:r>
            <w:r w:rsidR="004F2520" w:rsidRPr="00F24057">
              <w:rPr>
                <w:szCs w:val="22"/>
                <w:lang w:val="sr-Latn-ME"/>
              </w:rPr>
              <w:t>jen</w:t>
            </w:r>
            <w:r w:rsidRPr="00F24057">
              <w:rPr>
                <w:szCs w:val="22"/>
                <w:lang w:val="sr-Latn-ME"/>
              </w:rPr>
              <w:t xml:space="preserve">jenim početnim kožnim bolom uzrokovanim gnojnim </w:t>
            </w:r>
            <w:r w:rsidR="00C00267" w:rsidRPr="00F24057">
              <w:rPr>
                <w:szCs w:val="22"/>
                <w:lang w:val="sr-Latn-ME"/>
              </w:rPr>
              <w:t xml:space="preserve">zapaljenjem znojnih </w:t>
            </w:r>
            <w:r w:rsidR="009A3407" w:rsidRPr="00F24057">
              <w:rPr>
                <w:szCs w:val="22"/>
                <w:lang w:val="sr-Latn-ME"/>
              </w:rPr>
              <w:t>žlijezd</w:t>
            </w:r>
            <w:r w:rsidR="00C00267" w:rsidRPr="00F24057">
              <w:rPr>
                <w:szCs w:val="22"/>
                <w:lang w:val="sr-Latn-ME"/>
              </w:rPr>
              <w:t xml:space="preserve">a </w:t>
            </w:r>
            <w:r w:rsidRPr="00F24057">
              <w:rPr>
                <w:szCs w:val="22"/>
                <w:lang w:val="sr-Latn-ME"/>
              </w:rPr>
              <w:t>≥ 3 prema numeričkoj skali od 0 – 10; 0 = bez kožnog bola, 10 = jako veliki kožni bol</w:t>
            </w:r>
          </w:p>
        </w:tc>
      </w:tr>
    </w:tbl>
    <w:p w14:paraId="2AEA9384" w14:textId="0429E714" w:rsidR="00B82D18" w:rsidRPr="00F24057" w:rsidRDefault="00B82D18" w:rsidP="00D70B34">
      <w:pPr>
        <w:rPr>
          <w:szCs w:val="22"/>
          <w:lang w:val="sr-Latn-ME"/>
        </w:rPr>
      </w:pPr>
    </w:p>
    <w:p w14:paraId="3DC9BA36" w14:textId="25DFB4B8" w:rsidR="001D7017" w:rsidRPr="00F24057" w:rsidRDefault="0030064A" w:rsidP="00D70B34">
      <w:pPr>
        <w:ind w:left="-5"/>
        <w:rPr>
          <w:szCs w:val="22"/>
          <w:lang w:val="sr-Latn-ME"/>
        </w:rPr>
      </w:pPr>
      <w:r w:rsidRPr="00F24057">
        <w:rPr>
          <w:szCs w:val="22"/>
          <w:lang w:val="sr-Latn-ME"/>
        </w:rPr>
        <w:t>Liječenje</w:t>
      </w:r>
      <w:r w:rsidR="001D7017" w:rsidRPr="00F24057">
        <w:rPr>
          <w:szCs w:val="22"/>
          <w:lang w:val="sr-Latn-ME"/>
        </w:rPr>
        <w:t xml:space="preserve"> adalimumabom u dozi od 40 mg svake </w:t>
      </w:r>
      <w:r w:rsidR="00885A78" w:rsidRPr="00F24057">
        <w:rPr>
          <w:szCs w:val="22"/>
          <w:lang w:val="sr-Latn-ME"/>
        </w:rPr>
        <w:t>nedjelj</w:t>
      </w:r>
      <w:r w:rsidR="001D7017" w:rsidRPr="00F24057">
        <w:rPr>
          <w:szCs w:val="22"/>
          <w:lang w:val="sr-Latn-ME"/>
        </w:rPr>
        <w:t>e značajno je smanjilo rizik od pogoršanja apscesa i drenirajućih fistula. Približno dvostruko veći ud</w:t>
      </w:r>
      <w:r w:rsidR="009A3407" w:rsidRPr="00F24057">
        <w:rPr>
          <w:szCs w:val="22"/>
          <w:lang w:val="sr-Latn-ME"/>
        </w:rPr>
        <w:t>i</w:t>
      </w:r>
      <w:r w:rsidR="001D7017" w:rsidRPr="00F24057">
        <w:rPr>
          <w:szCs w:val="22"/>
          <w:lang w:val="sr-Latn-ME"/>
        </w:rPr>
        <w:t xml:space="preserve">o pacijenata u grupi koja je u prvih 12 </w:t>
      </w:r>
      <w:r w:rsidR="00885A78" w:rsidRPr="00F24057">
        <w:rPr>
          <w:szCs w:val="22"/>
          <w:lang w:val="sr-Latn-ME"/>
        </w:rPr>
        <w:t>nedjelj</w:t>
      </w:r>
      <w:r w:rsidR="001D7017" w:rsidRPr="00F24057">
        <w:rPr>
          <w:szCs w:val="22"/>
          <w:lang w:val="sr-Latn-ME"/>
        </w:rPr>
        <w:t xml:space="preserve">a ispitivanja HS-I i HS-II primala placebo, u odnosu na one koji su </w:t>
      </w:r>
      <w:r w:rsidR="00885A78" w:rsidRPr="00F24057">
        <w:rPr>
          <w:szCs w:val="22"/>
          <w:lang w:val="sr-Latn-ME"/>
        </w:rPr>
        <w:t>liječe</w:t>
      </w:r>
      <w:r w:rsidR="001D7017" w:rsidRPr="00F24057">
        <w:rPr>
          <w:szCs w:val="22"/>
          <w:lang w:val="sr-Latn-ME"/>
        </w:rPr>
        <w:t>ni adalimumabom, doživeo je pogoršanje apscesa (23,0% u odnosu na 11,4%) i drenirajućih fistula (30,0% u odnosu na 13,9%).</w:t>
      </w:r>
    </w:p>
    <w:p w14:paraId="4193EF86" w14:textId="77777777" w:rsidR="001D7017" w:rsidRPr="00F24057" w:rsidRDefault="001D7017" w:rsidP="00D70B34">
      <w:pPr>
        <w:ind w:left="-5"/>
        <w:rPr>
          <w:szCs w:val="22"/>
          <w:lang w:val="sr-Latn-ME"/>
        </w:rPr>
      </w:pPr>
    </w:p>
    <w:p w14:paraId="7EF98ED7" w14:textId="789EC5BB" w:rsidR="001D7017" w:rsidRPr="00F24057" w:rsidRDefault="001D7017" w:rsidP="00D70B34">
      <w:pPr>
        <w:ind w:left="-5"/>
        <w:rPr>
          <w:szCs w:val="22"/>
          <w:lang w:val="sr-Latn-ME"/>
        </w:rPr>
      </w:pPr>
      <w:r w:rsidRPr="00F24057">
        <w:rPr>
          <w:szCs w:val="22"/>
          <w:lang w:val="sr-Latn-ME"/>
        </w:rPr>
        <w:t xml:space="preserve">Veća poboljšanja od početka ispitivanja do 12. </w:t>
      </w:r>
      <w:r w:rsidR="00885A78" w:rsidRPr="00F24057">
        <w:rPr>
          <w:szCs w:val="22"/>
          <w:lang w:val="sr-Latn-ME"/>
        </w:rPr>
        <w:t>nedjelj</w:t>
      </w:r>
      <w:r w:rsidRPr="00F24057">
        <w:rPr>
          <w:szCs w:val="22"/>
          <w:lang w:val="sr-Latn-ME"/>
        </w:rPr>
        <w:t>e u odnosu na placebo za</w:t>
      </w:r>
      <w:r w:rsidR="004F2520" w:rsidRPr="00F24057">
        <w:rPr>
          <w:szCs w:val="22"/>
          <w:lang w:val="sr-Latn-ME"/>
        </w:rPr>
        <w:t>biljež</w:t>
      </w:r>
      <w:r w:rsidRPr="00F24057">
        <w:rPr>
          <w:szCs w:val="22"/>
          <w:lang w:val="sr-Latn-ME"/>
        </w:rPr>
        <w:t xml:space="preserve">ena su za kvalitet života vezan za zdravlje, specifičan za kožne bolesti, koji se određivao indeksom kvaliteta života kod dermatoloških bolesti (engl. </w:t>
      </w:r>
      <w:r w:rsidRPr="00F24057">
        <w:rPr>
          <w:i/>
          <w:szCs w:val="22"/>
          <w:lang w:val="sr-Latn-ME"/>
        </w:rPr>
        <w:t xml:space="preserve">Dermatology Life Quality Index </w:t>
      </w:r>
      <w:r w:rsidRPr="00F24057">
        <w:rPr>
          <w:szCs w:val="22"/>
          <w:lang w:val="sr-Latn-ME"/>
        </w:rPr>
        <w:t xml:space="preserve">[DLQI]; ispitivanja HS-I i HS-II), opšte zadovoljstvo pacijenata farmakološkim </w:t>
      </w:r>
      <w:r w:rsidR="0030064A" w:rsidRPr="00F24057">
        <w:rPr>
          <w:szCs w:val="22"/>
          <w:lang w:val="sr-Latn-ME"/>
        </w:rPr>
        <w:t>liječenje</w:t>
      </w:r>
      <w:r w:rsidRPr="00F24057">
        <w:rPr>
          <w:szCs w:val="22"/>
          <w:lang w:val="sr-Latn-ME"/>
        </w:rPr>
        <w:t xml:space="preserve">m, koje se određivalo upitnikom za </w:t>
      </w:r>
      <w:r w:rsidR="004F2520" w:rsidRPr="00F24057">
        <w:rPr>
          <w:szCs w:val="22"/>
          <w:lang w:val="sr-Latn-ME"/>
        </w:rPr>
        <w:t>procjen</w:t>
      </w:r>
      <w:r w:rsidRPr="00F24057">
        <w:rPr>
          <w:szCs w:val="22"/>
          <w:lang w:val="sr-Latn-ME"/>
        </w:rPr>
        <w:t xml:space="preserve">u zadovoljstva farmakološkim </w:t>
      </w:r>
      <w:r w:rsidR="0030064A" w:rsidRPr="00F24057">
        <w:rPr>
          <w:szCs w:val="22"/>
          <w:lang w:val="sr-Latn-ME"/>
        </w:rPr>
        <w:t>liječenje</w:t>
      </w:r>
      <w:r w:rsidRPr="00F24057">
        <w:rPr>
          <w:szCs w:val="22"/>
          <w:lang w:val="sr-Latn-ME"/>
        </w:rPr>
        <w:t xml:space="preserve">m (engl. </w:t>
      </w:r>
      <w:r w:rsidRPr="00F24057">
        <w:rPr>
          <w:i/>
          <w:szCs w:val="22"/>
          <w:lang w:val="sr-Latn-ME"/>
        </w:rPr>
        <w:t xml:space="preserve">Treatment Satisfaction Questionnaire - medication </w:t>
      </w:r>
      <w:r w:rsidRPr="00F24057">
        <w:rPr>
          <w:szCs w:val="22"/>
          <w:lang w:val="sr-Latn-ME"/>
        </w:rPr>
        <w:t>[TSQM]; ispitivanja HS-I i HS-II) i fizičko zdravlje, koje se određivalo na osnovu rezultata za celokupnu fizičku komponentu upitnika SF-36 (ispitivanje HS-I).</w:t>
      </w:r>
    </w:p>
    <w:p w14:paraId="601030F6" w14:textId="77777777" w:rsidR="001D7017" w:rsidRPr="00F24057" w:rsidRDefault="001D7017" w:rsidP="00D70B34">
      <w:pPr>
        <w:ind w:left="-5"/>
        <w:rPr>
          <w:szCs w:val="22"/>
          <w:lang w:val="sr-Latn-ME"/>
        </w:rPr>
      </w:pPr>
    </w:p>
    <w:p w14:paraId="46E9DD85" w14:textId="7610F5CE" w:rsidR="001D7017" w:rsidRPr="00F24057" w:rsidRDefault="001D7017" w:rsidP="00D70B34">
      <w:pPr>
        <w:ind w:left="-5"/>
        <w:rPr>
          <w:szCs w:val="22"/>
          <w:lang w:val="sr-Latn-ME"/>
        </w:rPr>
      </w:pPr>
      <w:r w:rsidRPr="00F24057">
        <w:rPr>
          <w:szCs w:val="22"/>
          <w:lang w:val="sr-Latn-ME"/>
        </w:rPr>
        <w:t xml:space="preserve">Među pacijentima koji su u 12. </w:t>
      </w:r>
      <w:r w:rsidR="00885A78" w:rsidRPr="00F24057">
        <w:rPr>
          <w:szCs w:val="22"/>
          <w:lang w:val="sr-Latn-ME"/>
        </w:rPr>
        <w:t>nedjelj</w:t>
      </w:r>
      <w:r w:rsidRPr="00F24057">
        <w:rPr>
          <w:szCs w:val="22"/>
          <w:lang w:val="sr-Latn-ME"/>
        </w:rPr>
        <w:t xml:space="preserve">i ostvarili bar delimičan odgovor na </w:t>
      </w:r>
      <w:r w:rsidR="0030064A" w:rsidRPr="00F24057">
        <w:rPr>
          <w:szCs w:val="22"/>
          <w:lang w:val="sr-Latn-ME"/>
        </w:rPr>
        <w:t>liječenje</w:t>
      </w:r>
      <w:r w:rsidRPr="00F24057">
        <w:rPr>
          <w:szCs w:val="22"/>
          <w:lang w:val="sr-Latn-ME"/>
        </w:rPr>
        <w:t xml:space="preserve"> adalimumabom u dozi od 40 mg svake </w:t>
      </w:r>
      <w:r w:rsidR="00885A78" w:rsidRPr="00F24057">
        <w:rPr>
          <w:szCs w:val="22"/>
          <w:lang w:val="sr-Latn-ME"/>
        </w:rPr>
        <w:t>nedjelj</w:t>
      </w:r>
      <w:r w:rsidRPr="00F24057">
        <w:rPr>
          <w:szCs w:val="22"/>
          <w:lang w:val="sr-Latn-ME"/>
        </w:rPr>
        <w:t>e, stopa HiSCR-a za</w:t>
      </w:r>
      <w:r w:rsidR="004F2520" w:rsidRPr="00F24057">
        <w:rPr>
          <w:szCs w:val="22"/>
          <w:lang w:val="sr-Latn-ME"/>
        </w:rPr>
        <w:t>biljež</w:t>
      </w:r>
      <w:r w:rsidRPr="00F24057">
        <w:rPr>
          <w:szCs w:val="22"/>
          <w:lang w:val="sr-Latn-ME"/>
        </w:rPr>
        <w:t xml:space="preserve">ena u </w:t>
      </w:r>
      <w:r w:rsidR="00885A78" w:rsidRPr="00F24057">
        <w:rPr>
          <w:szCs w:val="22"/>
          <w:lang w:val="sr-Latn-ME"/>
        </w:rPr>
        <w:t>nedjelj</w:t>
      </w:r>
      <w:r w:rsidRPr="00F24057">
        <w:rPr>
          <w:szCs w:val="22"/>
          <w:lang w:val="sr-Latn-ME"/>
        </w:rPr>
        <w:t xml:space="preserve">i 36 bila je veća kod onih pacijenata koji su nastavili da primaju adalimumab svake </w:t>
      </w:r>
      <w:r w:rsidR="00885A78" w:rsidRPr="00F24057">
        <w:rPr>
          <w:szCs w:val="22"/>
          <w:lang w:val="sr-Latn-ME"/>
        </w:rPr>
        <w:t>nedjelj</w:t>
      </w:r>
      <w:r w:rsidRPr="00F24057">
        <w:rPr>
          <w:szCs w:val="22"/>
          <w:lang w:val="sr-Latn-ME"/>
        </w:rPr>
        <w:t xml:space="preserve">e nego kod pacijenata kojima je učestalost doziranja smanjena na jednom svake druge </w:t>
      </w:r>
      <w:r w:rsidR="00885A78" w:rsidRPr="00F24057">
        <w:rPr>
          <w:szCs w:val="22"/>
          <w:lang w:val="sr-Latn-ME"/>
        </w:rPr>
        <w:t>nedjelj</w:t>
      </w:r>
      <w:r w:rsidRPr="00F24057">
        <w:rPr>
          <w:szCs w:val="22"/>
          <w:lang w:val="sr-Latn-ME"/>
        </w:rPr>
        <w:t xml:space="preserve">e ili onih kojima je </w:t>
      </w:r>
      <w:r w:rsidR="0030064A" w:rsidRPr="00F24057">
        <w:rPr>
          <w:szCs w:val="22"/>
          <w:lang w:val="sr-Latn-ME"/>
        </w:rPr>
        <w:t>liječenje</w:t>
      </w:r>
      <w:r w:rsidRPr="00F24057">
        <w:rPr>
          <w:szCs w:val="22"/>
          <w:lang w:val="sr-Latn-ME"/>
        </w:rPr>
        <w:t xml:space="preserve"> ukinuto (</w:t>
      </w:r>
      <w:r w:rsidR="0030064A" w:rsidRPr="00F24057">
        <w:rPr>
          <w:szCs w:val="22"/>
          <w:lang w:val="sr-Latn-ME"/>
        </w:rPr>
        <w:t>vidjeti</w:t>
      </w:r>
      <w:r w:rsidRPr="00F24057">
        <w:rPr>
          <w:szCs w:val="22"/>
          <w:lang w:val="sr-Latn-ME"/>
        </w:rPr>
        <w:t xml:space="preserve"> Tabelu 2</w:t>
      </w:r>
      <w:r w:rsidR="00B44468" w:rsidRPr="00F24057">
        <w:rPr>
          <w:szCs w:val="22"/>
          <w:lang w:val="sr-Latn-ME"/>
        </w:rPr>
        <w:t>0</w:t>
      </w:r>
      <w:r w:rsidRPr="00F24057">
        <w:rPr>
          <w:szCs w:val="22"/>
          <w:lang w:val="sr-Latn-ME"/>
        </w:rPr>
        <w:t>).</w:t>
      </w:r>
    </w:p>
    <w:p w14:paraId="56929F9D" w14:textId="6D8EBB73" w:rsidR="00B82D18" w:rsidRPr="00F24057" w:rsidRDefault="00B82D18" w:rsidP="00D70B34">
      <w:pPr>
        <w:rPr>
          <w:szCs w:val="22"/>
          <w:lang w:val="sr-Latn-ME"/>
        </w:rPr>
      </w:pPr>
    </w:p>
    <w:p w14:paraId="030FC315" w14:textId="6870AA24" w:rsidR="006E3EBA" w:rsidRPr="00F24057" w:rsidRDefault="006E3EBA" w:rsidP="00D70B34">
      <w:pPr>
        <w:rPr>
          <w:szCs w:val="22"/>
          <w:lang w:val="sr-Latn-ME"/>
        </w:rPr>
      </w:pPr>
      <w:r w:rsidRPr="00F24057">
        <w:rPr>
          <w:b/>
          <w:szCs w:val="22"/>
          <w:lang w:val="sr-Latn-ME"/>
        </w:rPr>
        <w:t>Tabela 20.</w:t>
      </w:r>
      <w:r w:rsidRPr="00F24057">
        <w:rPr>
          <w:szCs w:val="22"/>
          <w:lang w:val="sr-Latn-ME"/>
        </w:rPr>
        <w:t xml:space="preserve"> </w:t>
      </w:r>
      <w:r w:rsidRPr="00F24057">
        <w:rPr>
          <w:b/>
          <w:szCs w:val="22"/>
          <w:lang w:val="sr-Latn-ME"/>
        </w:rPr>
        <w:t>Ud</w:t>
      </w:r>
      <w:r w:rsidR="009A3407" w:rsidRPr="00F24057">
        <w:rPr>
          <w:b/>
          <w:szCs w:val="22"/>
          <w:lang w:val="sr-Latn-ME"/>
        </w:rPr>
        <w:t>i</w:t>
      </w:r>
      <w:r w:rsidRPr="00F24057">
        <w:rPr>
          <w:b/>
          <w:szCs w:val="22"/>
          <w:lang w:val="sr-Latn-ME"/>
        </w:rPr>
        <w:t>o pacijenata</w:t>
      </w:r>
      <w:r w:rsidR="00C0295E" w:rsidRPr="00F24057">
        <w:rPr>
          <w:b/>
          <w:szCs w:val="22"/>
          <w:vertAlign w:val="superscript"/>
          <w:lang w:val="sr-Latn-ME"/>
        </w:rPr>
        <w:t>a</w:t>
      </w:r>
      <w:r w:rsidRPr="00F24057">
        <w:rPr>
          <w:b/>
          <w:szCs w:val="22"/>
          <w:lang w:val="sr-Latn-ME"/>
        </w:rPr>
        <w:t xml:space="preserve"> koji su postigli HiSCR</w:t>
      </w:r>
      <w:r w:rsidRPr="00F24057">
        <w:rPr>
          <w:b/>
          <w:szCs w:val="22"/>
          <w:vertAlign w:val="superscript"/>
          <w:lang w:val="sr-Latn-ME"/>
        </w:rPr>
        <w:t xml:space="preserve">b </w:t>
      </w:r>
      <w:r w:rsidRPr="00F24057">
        <w:rPr>
          <w:b/>
          <w:szCs w:val="22"/>
          <w:lang w:val="sr-Latn-ME"/>
        </w:rPr>
        <w:t xml:space="preserve">u 24. i 36. </w:t>
      </w:r>
      <w:r w:rsidR="00885A78" w:rsidRPr="00F24057">
        <w:rPr>
          <w:b/>
          <w:szCs w:val="22"/>
          <w:lang w:val="sr-Latn-ME"/>
        </w:rPr>
        <w:t>nedjelj</w:t>
      </w:r>
      <w:r w:rsidRPr="00F24057">
        <w:rPr>
          <w:b/>
          <w:szCs w:val="22"/>
          <w:lang w:val="sr-Latn-ME"/>
        </w:rPr>
        <w:t>i nakon preraspod</w:t>
      </w:r>
      <w:r w:rsidR="001D051D" w:rsidRPr="00F24057">
        <w:rPr>
          <w:b/>
          <w:szCs w:val="22"/>
          <w:lang w:val="sr-Latn-ME"/>
        </w:rPr>
        <w:t>j</w:t>
      </w:r>
      <w:r w:rsidRPr="00F24057">
        <w:rPr>
          <w:b/>
          <w:szCs w:val="22"/>
          <w:lang w:val="sr-Latn-ME"/>
        </w:rPr>
        <w:t xml:space="preserve">ele </w:t>
      </w:r>
      <w:r w:rsidR="00885A78" w:rsidRPr="00F24057">
        <w:rPr>
          <w:b/>
          <w:szCs w:val="22"/>
          <w:lang w:val="sr-Latn-ME"/>
        </w:rPr>
        <w:t>liječenj</w:t>
      </w:r>
      <w:r w:rsidRPr="00F24057">
        <w:rPr>
          <w:b/>
          <w:szCs w:val="22"/>
          <w:lang w:val="sr-Latn-ME"/>
        </w:rPr>
        <w:t xml:space="preserve">a u 12. </w:t>
      </w:r>
      <w:r w:rsidR="00885A78" w:rsidRPr="00F24057">
        <w:rPr>
          <w:b/>
          <w:szCs w:val="22"/>
          <w:lang w:val="sr-Latn-ME"/>
        </w:rPr>
        <w:t>nedjelj</w:t>
      </w:r>
      <w:r w:rsidRPr="00F24057">
        <w:rPr>
          <w:b/>
          <w:szCs w:val="22"/>
          <w:lang w:val="sr-Latn-ME"/>
        </w:rPr>
        <w:t xml:space="preserve">i, do kada su primali adalimumab svake </w:t>
      </w:r>
      <w:r w:rsidR="00885A78" w:rsidRPr="00F24057">
        <w:rPr>
          <w:b/>
          <w:szCs w:val="22"/>
          <w:lang w:val="sr-Latn-ME"/>
        </w:rPr>
        <w:t>nedjelj</w:t>
      </w:r>
      <w:r w:rsidRPr="00F24057">
        <w:rPr>
          <w:b/>
          <w:szCs w:val="22"/>
          <w:lang w:val="sr-Latn-ME"/>
        </w:rPr>
        <w:t>e</w:t>
      </w:r>
    </w:p>
    <w:p w14:paraId="17BA176D" w14:textId="77777777" w:rsidR="00B44468" w:rsidRPr="00F24057" w:rsidRDefault="00B44468" w:rsidP="00D70B34">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1751"/>
        <w:gridCol w:w="2085"/>
        <w:gridCol w:w="2918"/>
        <w:gridCol w:w="2263"/>
      </w:tblGrid>
      <w:tr w:rsidR="00CF351E" w:rsidRPr="00F24057" w14:paraId="26F49DA3" w14:textId="77777777" w:rsidTr="00BF25CE">
        <w:trPr>
          <w:trHeight w:val="20"/>
        </w:trPr>
        <w:tc>
          <w:tcPr>
            <w:tcW w:w="971" w:type="pct"/>
            <w:tcBorders>
              <w:top w:val="single" w:sz="4" w:space="0" w:color="000000"/>
              <w:left w:val="single" w:sz="4" w:space="0" w:color="000000"/>
              <w:bottom w:val="single" w:sz="4" w:space="0" w:color="000000"/>
              <w:right w:val="single" w:sz="4" w:space="0" w:color="000000"/>
            </w:tcBorders>
          </w:tcPr>
          <w:p w14:paraId="696C90CC" w14:textId="77777777" w:rsidR="00CF351E" w:rsidRPr="00F24057" w:rsidRDefault="00CF351E" w:rsidP="00D70B34">
            <w:pPr>
              <w:rPr>
                <w:szCs w:val="22"/>
                <w:lang w:val="sr-Latn-ME"/>
              </w:rPr>
            </w:pPr>
          </w:p>
        </w:tc>
        <w:tc>
          <w:tcPr>
            <w:tcW w:w="1156" w:type="pct"/>
            <w:tcBorders>
              <w:top w:val="single" w:sz="4" w:space="0" w:color="000000"/>
              <w:left w:val="single" w:sz="4" w:space="0" w:color="000000"/>
              <w:bottom w:val="single" w:sz="4" w:space="0" w:color="000000"/>
              <w:right w:val="single" w:sz="4" w:space="0" w:color="000000"/>
            </w:tcBorders>
            <w:vAlign w:val="center"/>
          </w:tcPr>
          <w:p w14:paraId="635A7102" w14:textId="77777777" w:rsidR="00C0295E" w:rsidRPr="00F24057" w:rsidRDefault="00CF351E" w:rsidP="00D70B34">
            <w:pPr>
              <w:jc w:val="center"/>
              <w:rPr>
                <w:b/>
                <w:szCs w:val="22"/>
                <w:lang w:val="sr-Latn-ME"/>
              </w:rPr>
            </w:pPr>
            <w:r w:rsidRPr="00F24057">
              <w:rPr>
                <w:b/>
                <w:szCs w:val="22"/>
                <w:lang w:val="sr-Latn-ME"/>
              </w:rPr>
              <w:t xml:space="preserve">Placebo </w:t>
            </w:r>
          </w:p>
          <w:p w14:paraId="06DA9573" w14:textId="0415CDB1" w:rsidR="00CF351E" w:rsidRPr="00F24057" w:rsidRDefault="00CF351E" w:rsidP="00D70B34">
            <w:pPr>
              <w:jc w:val="center"/>
              <w:rPr>
                <w:b/>
                <w:szCs w:val="22"/>
                <w:lang w:val="sr-Latn-ME"/>
              </w:rPr>
            </w:pPr>
            <w:r w:rsidRPr="00F24057">
              <w:rPr>
                <w:b/>
                <w:szCs w:val="22"/>
                <w:lang w:val="sr-Latn-ME"/>
              </w:rPr>
              <w:t>(ukidanje</w:t>
            </w:r>
            <w:r w:rsidR="00C0295E" w:rsidRPr="00F24057">
              <w:rPr>
                <w:b/>
                <w:szCs w:val="22"/>
                <w:lang w:val="sr-Latn-ME"/>
              </w:rPr>
              <w:t xml:space="preserve"> </w:t>
            </w:r>
            <w:r w:rsidR="00885A78" w:rsidRPr="00F24057">
              <w:rPr>
                <w:b/>
                <w:szCs w:val="22"/>
                <w:lang w:val="sr-Latn-ME"/>
              </w:rPr>
              <w:t>liječenj</w:t>
            </w:r>
            <w:r w:rsidRPr="00F24057">
              <w:rPr>
                <w:b/>
                <w:szCs w:val="22"/>
                <w:lang w:val="sr-Latn-ME"/>
              </w:rPr>
              <w:t>a)</w:t>
            </w:r>
          </w:p>
          <w:p w14:paraId="492C8207" w14:textId="5B87E149" w:rsidR="00CF351E" w:rsidRPr="00F24057" w:rsidRDefault="00CF351E" w:rsidP="00D70B34">
            <w:pPr>
              <w:jc w:val="center"/>
              <w:rPr>
                <w:szCs w:val="22"/>
                <w:lang w:val="sr-Latn-ME"/>
              </w:rPr>
            </w:pPr>
            <w:r w:rsidRPr="00F24057">
              <w:rPr>
                <w:b/>
                <w:szCs w:val="22"/>
                <w:lang w:val="sr-Latn-ME"/>
              </w:rPr>
              <w:t>N = 73</w:t>
            </w:r>
          </w:p>
        </w:tc>
        <w:tc>
          <w:tcPr>
            <w:tcW w:w="1618" w:type="pct"/>
            <w:tcBorders>
              <w:top w:val="single" w:sz="4" w:space="0" w:color="000000"/>
              <w:left w:val="single" w:sz="4" w:space="0" w:color="000000"/>
              <w:bottom w:val="single" w:sz="4" w:space="0" w:color="000000"/>
              <w:right w:val="single" w:sz="4" w:space="0" w:color="000000"/>
            </w:tcBorders>
            <w:vAlign w:val="center"/>
          </w:tcPr>
          <w:p w14:paraId="34E1117C" w14:textId="6D33404C" w:rsidR="0031079F" w:rsidRPr="00F24057" w:rsidRDefault="00CF351E" w:rsidP="00D70B34">
            <w:pPr>
              <w:jc w:val="center"/>
              <w:rPr>
                <w:b/>
                <w:szCs w:val="22"/>
                <w:lang w:val="sr-Latn-ME"/>
              </w:rPr>
            </w:pPr>
            <w:r w:rsidRPr="00F24057">
              <w:rPr>
                <w:b/>
                <w:szCs w:val="22"/>
                <w:lang w:val="sr-Latn-ME"/>
              </w:rPr>
              <w:t>Adalimumab</w:t>
            </w:r>
          </w:p>
          <w:p w14:paraId="2C87F439" w14:textId="0E75F568" w:rsidR="00CF351E" w:rsidRPr="00F24057" w:rsidRDefault="00CF351E" w:rsidP="00D70B34">
            <w:pPr>
              <w:jc w:val="center"/>
              <w:rPr>
                <w:b/>
                <w:szCs w:val="22"/>
                <w:lang w:val="sr-Latn-ME"/>
              </w:rPr>
            </w:pPr>
            <w:r w:rsidRPr="00F24057">
              <w:rPr>
                <w:b/>
                <w:szCs w:val="22"/>
                <w:lang w:val="sr-Latn-ME"/>
              </w:rPr>
              <w:t xml:space="preserve">40 mg svake druge </w:t>
            </w:r>
            <w:r w:rsidR="00885A78" w:rsidRPr="00F24057">
              <w:rPr>
                <w:b/>
                <w:szCs w:val="22"/>
                <w:lang w:val="sr-Latn-ME"/>
              </w:rPr>
              <w:t>nedjelj</w:t>
            </w:r>
            <w:r w:rsidRPr="00F24057">
              <w:rPr>
                <w:b/>
                <w:szCs w:val="22"/>
                <w:lang w:val="sr-Latn-ME"/>
              </w:rPr>
              <w:t>e</w:t>
            </w:r>
          </w:p>
          <w:p w14:paraId="4B85101F" w14:textId="1FC3906A" w:rsidR="00CF351E" w:rsidRPr="00F24057" w:rsidRDefault="00CF351E" w:rsidP="00D70B34">
            <w:pPr>
              <w:jc w:val="center"/>
              <w:rPr>
                <w:szCs w:val="22"/>
                <w:lang w:val="sr-Latn-ME"/>
              </w:rPr>
            </w:pPr>
            <w:r w:rsidRPr="00F24057">
              <w:rPr>
                <w:b/>
                <w:szCs w:val="22"/>
                <w:lang w:val="sr-Latn-ME"/>
              </w:rPr>
              <w:t>N = 70</w:t>
            </w:r>
          </w:p>
        </w:tc>
        <w:tc>
          <w:tcPr>
            <w:tcW w:w="1255" w:type="pct"/>
            <w:tcBorders>
              <w:top w:val="single" w:sz="4" w:space="0" w:color="000000"/>
              <w:left w:val="single" w:sz="4" w:space="0" w:color="000000"/>
              <w:bottom w:val="single" w:sz="4" w:space="0" w:color="000000"/>
              <w:right w:val="single" w:sz="4" w:space="0" w:color="000000"/>
            </w:tcBorders>
            <w:vAlign w:val="center"/>
          </w:tcPr>
          <w:p w14:paraId="4AC85D56" w14:textId="2A26A91C" w:rsidR="00CF351E" w:rsidRPr="00F24057" w:rsidRDefault="0031079F" w:rsidP="00D70B34">
            <w:pPr>
              <w:jc w:val="center"/>
              <w:rPr>
                <w:szCs w:val="22"/>
                <w:lang w:val="sr-Latn-ME"/>
              </w:rPr>
            </w:pPr>
            <w:r w:rsidRPr="00F24057">
              <w:rPr>
                <w:b/>
                <w:szCs w:val="22"/>
                <w:lang w:val="sr-Latn-ME"/>
              </w:rPr>
              <w:t>A</w:t>
            </w:r>
            <w:r w:rsidR="00CF351E" w:rsidRPr="00F24057">
              <w:rPr>
                <w:b/>
                <w:szCs w:val="22"/>
                <w:lang w:val="sr-Latn-ME"/>
              </w:rPr>
              <w:t>dalimumab</w:t>
            </w:r>
          </w:p>
          <w:p w14:paraId="03B1918D" w14:textId="635E0FE3" w:rsidR="00CF351E" w:rsidRPr="00F24057" w:rsidRDefault="00CF351E" w:rsidP="00D70B34">
            <w:pPr>
              <w:jc w:val="center"/>
              <w:rPr>
                <w:szCs w:val="22"/>
                <w:lang w:val="sr-Latn-ME"/>
              </w:rPr>
            </w:pPr>
            <w:r w:rsidRPr="00F24057">
              <w:rPr>
                <w:b/>
                <w:szCs w:val="22"/>
                <w:lang w:val="sr-Latn-ME"/>
              </w:rPr>
              <w:t xml:space="preserve">40 mg svake </w:t>
            </w:r>
            <w:r w:rsidR="00885A78" w:rsidRPr="00F24057">
              <w:rPr>
                <w:b/>
                <w:szCs w:val="22"/>
                <w:lang w:val="sr-Latn-ME"/>
              </w:rPr>
              <w:t>nedjelj</w:t>
            </w:r>
            <w:r w:rsidRPr="00F24057">
              <w:rPr>
                <w:b/>
                <w:szCs w:val="22"/>
                <w:lang w:val="sr-Latn-ME"/>
              </w:rPr>
              <w:t>e</w:t>
            </w:r>
          </w:p>
          <w:p w14:paraId="4E297183" w14:textId="76B0EDA5" w:rsidR="00CF351E" w:rsidRPr="00F24057" w:rsidRDefault="00CF351E" w:rsidP="00D70B34">
            <w:pPr>
              <w:jc w:val="center"/>
              <w:rPr>
                <w:szCs w:val="22"/>
                <w:lang w:val="sr-Latn-ME"/>
              </w:rPr>
            </w:pPr>
            <w:r w:rsidRPr="00F24057">
              <w:rPr>
                <w:b/>
                <w:szCs w:val="22"/>
                <w:lang w:val="sr-Latn-ME"/>
              </w:rPr>
              <w:t>N = 70</w:t>
            </w:r>
          </w:p>
        </w:tc>
      </w:tr>
      <w:tr w:rsidR="00CF351E" w:rsidRPr="00F24057" w14:paraId="33BF015D" w14:textId="77777777" w:rsidTr="00BF25CE">
        <w:trPr>
          <w:trHeight w:val="20"/>
        </w:trPr>
        <w:tc>
          <w:tcPr>
            <w:tcW w:w="971" w:type="pct"/>
            <w:tcBorders>
              <w:top w:val="single" w:sz="4" w:space="0" w:color="000000"/>
              <w:left w:val="single" w:sz="4" w:space="0" w:color="000000"/>
              <w:bottom w:val="single" w:sz="4" w:space="0" w:color="000000"/>
              <w:right w:val="single" w:sz="4" w:space="0" w:color="000000"/>
            </w:tcBorders>
          </w:tcPr>
          <w:p w14:paraId="11503109" w14:textId="1A1F0B0F" w:rsidR="00CF351E" w:rsidRPr="00F24057" w:rsidRDefault="00885A78" w:rsidP="00D70B34">
            <w:pPr>
              <w:rPr>
                <w:szCs w:val="22"/>
                <w:lang w:val="sr-Latn-ME"/>
              </w:rPr>
            </w:pPr>
            <w:r w:rsidRPr="00F24057">
              <w:rPr>
                <w:szCs w:val="22"/>
                <w:lang w:val="sr-Latn-ME"/>
              </w:rPr>
              <w:t>Nedjelj</w:t>
            </w:r>
            <w:r w:rsidR="00CF351E" w:rsidRPr="00F24057">
              <w:rPr>
                <w:szCs w:val="22"/>
                <w:lang w:val="sr-Latn-ME"/>
              </w:rPr>
              <w:t>a 24</w:t>
            </w:r>
          </w:p>
        </w:tc>
        <w:tc>
          <w:tcPr>
            <w:tcW w:w="1156" w:type="pct"/>
            <w:tcBorders>
              <w:top w:val="single" w:sz="4" w:space="0" w:color="000000"/>
              <w:left w:val="single" w:sz="4" w:space="0" w:color="000000"/>
              <w:bottom w:val="single" w:sz="4" w:space="0" w:color="000000"/>
              <w:right w:val="single" w:sz="4" w:space="0" w:color="000000"/>
            </w:tcBorders>
            <w:vAlign w:val="center"/>
          </w:tcPr>
          <w:p w14:paraId="4C75F04C" w14:textId="77777777" w:rsidR="00CF351E" w:rsidRPr="00F24057" w:rsidRDefault="00CF351E" w:rsidP="00D70B34">
            <w:pPr>
              <w:jc w:val="center"/>
              <w:rPr>
                <w:szCs w:val="22"/>
                <w:lang w:val="sr-Latn-ME"/>
              </w:rPr>
            </w:pPr>
            <w:r w:rsidRPr="00F24057">
              <w:rPr>
                <w:szCs w:val="22"/>
                <w:lang w:val="sr-Latn-ME"/>
              </w:rPr>
              <w:t>24 (32,9%)</w:t>
            </w:r>
          </w:p>
        </w:tc>
        <w:tc>
          <w:tcPr>
            <w:tcW w:w="1618" w:type="pct"/>
            <w:tcBorders>
              <w:top w:val="single" w:sz="4" w:space="0" w:color="000000"/>
              <w:left w:val="single" w:sz="4" w:space="0" w:color="000000"/>
              <w:bottom w:val="single" w:sz="4" w:space="0" w:color="000000"/>
              <w:right w:val="single" w:sz="4" w:space="0" w:color="000000"/>
            </w:tcBorders>
            <w:vAlign w:val="center"/>
          </w:tcPr>
          <w:p w14:paraId="63907F21" w14:textId="77777777" w:rsidR="00CF351E" w:rsidRPr="00F24057" w:rsidRDefault="00CF351E" w:rsidP="00D70B34">
            <w:pPr>
              <w:jc w:val="center"/>
              <w:rPr>
                <w:szCs w:val="22"/>
                <w:lang w:val="sr-Latn-ME"/>
              </w:rPr>
            </w:pPr>
            <w:r w:rsidRPr="00F24057">
              <w:rPr>
                <w:szCs w:val="22"/>
                <w:lang w:val="sr-Latn-ME"/>
              </w:rPr>
              <w:t>36 (51,4%)</w:t>
            </w:r>
          </w:p>
        </w:tc>
        <w:tc>
          <w:tcPr>
            <w:tcW w:w="1255" w:type="pct"/>
            <w:tcBorders>
              <w:top w:val="single" w:sz="4" w:space="0" w:color="000000"/>
              <w:left w:val="single" w:sz="4" w:space="0" w:color="000000"/>
              <w:bottom w:val="single" w:sz="4" w:space="0" w:color="000000"/>
              <w:right w:val="single" w:sz="4" w:space="0" w:color="000000"/>
            </w:tcBorders>
            <w:vAlign w:val="center"/>
          </w:tcPr>
          <w:p w14:paraId="396A07EE" w14:textId="77777777" w:rsidR="00CF351E" w:rsidRPr="00F24057" w:rsidRDefault="00CF351E" w:rsidP="00D70B34">
            <w:pPr>
              <w:jc w:val="center"/>
              <w:rPr>
                <w:szCs w:val="22"/>
                <w:lang w:val="sr-Latn-ME"/>
              </w:rPr>
            </w:pPr>
            <w:r w:rsidRPr="00F24057">
              <w:rPr>
                <w:szCs w:val="22"/>
                <w:lang w:val="sr-Latn-ME"/>
              </w:rPr>
              <w:t>40 (57,1%)</w:t>
            </w:r>
          </w:p>
        </w:tc>
      </w:tr>
      <w:tr w:rsidR="00CF351E" w:rsidRPr="00F24057" w14:paraId="6D830EC4" w14:textId="77777777" w:rsidTr="00BF25CE">
        <w:trPr>
          <w:trHeight w:val="20"/>
        </w:trPr>
        <w:tc>
          <w:tcPr>
            <w:tcW w:w="971" w:type="pct"/>
            <w:tcBorders>
              <w:top w:val="single" w:sz="4" w:space="0" w:color="000000"/>
              <w:left w:val="single" w:sz="4" w:space="0" w:color="000000"/>
              <w:bottom w:val="single" w:sz="4" w:space="0" w:color="000000"/>
              <w:right w:val="single" w:sz="4" w:space="0" w:color="000000"/>
            </w:tcBorders>
          </w:tcPr>
          <w:p w14:paraId="41A426B3" w14:textId="4AC0DA7E" w:rsidR="00CF351E" w:rsidRPr="00F24057" w:rsidRDefault="00885A78" w:rsidP="00D70B34">
            <w:pPr>
              <w:rPr>
                <w:szCs w:val="22"/>
                <w:lang w:val="sr-Latn-ME"/>
              </w:rPr>
            </w:pPr>
            <w:r w:rsidRPr="00F24057">
              <w:rPr>
                <w:szCs w:val="22"/>
                <w:lang w:val="sr-Latn-ME"/>
              </w:rPr>
              <w:t>Nedjelj</w:t>
            </w:r>
            <w:r w:rsidR="00CF351E" w:rsidRPr="00F24057">
              <w:rPr>
                <w:szCs w:val="22"/>
                <w:lang w:val="sr-Latn-ME"/>
              </w:rPr>
              <w:t>a 36</w:t>
            </w:r>
          </w:p>
        </w:tc>
        <w:tc>
          <w:tcPr>
            <w:tcW w:w="1156" w:type="pct"/>
            <w:tcBorders>
              <w:top w:val="single" w:sz="4" w:space="0" w:color="000000"/>
              <w:left w:val="single" w:sz="4" w:space="0" w:color="000000"/>
              <w:bottom w:val="single" w:sz="4" w:space="0" w:color="000000"/>
              <w:right w:val="single" w:sz="4" w:space="0" w:color="000000"/>
            </w:tcBorders>
            <w:vAlign w:val="center"/>
          </w:tcPr>
          <w:p w14:paraId="516D79AB" w14:textId="77777777" w:rsidR="00CF351E" w:rsidRPr="00F24057" w:rsidRDefault="00CF351E" w:rsidP="00D70B34">
            <w:pPr>
              <w:jc w:val="center"/>
              <w:rPr>
                <w:szCs w:val="22"/>
                <w:lang w:val="sr-Latn-ME"/>
              </w:rPr>
            </w:pPr>
            <w:r w:rsidRPr="00F24057">
              <w:rPr>
                <w:szCs w:val="22"/>
                <w:lang w:val="sr-Latn-ME"/>
              </w:rPr>
              <w:t>22 (30,1%)</w:t>
            </w:r>
          </w:p>
        </w:tc>
        <w:tc>
          <w:tcPr>
            <w:tcW w:w="1618" w:type="pct"/>
            <w:tcBorders>
              <w:top w:val="single" w:sz="4" w:space="0" w:color="000000"/>
              <w:left w:val="single" w:sz="4" w:space="0" w:color="000000"/>
              <w:bottom w:val="single" w:sz="4" w:space="0" w:color="000000"/>
              <w:right w:val="single" w:sz="4" w:space="0" w:color="000000"/>
            </w:tcBorders>
            <w:vAlign w:val="center"/>
          </w:tcPr>
          <w:p w14:paraId="6FE16A63" w14:textId="77777777" w:rsidR="00CF351E" w:rsidRPr="00F24057" w:rsidRDefault="00CF351E" w:rsidP="00D70B34">
            <w:pPr>
              <w:jc w:val="center"/>
              <w:rPr>
                <w:szCs w:val="22"/>
                <w:lang w:val="sr-Latn-ME"/>
              </w:rPr>
            </w:pPr>
            <w:r w:rsidRPr="00F24057">
              <w:rPr>
                <w:szCs w:val="22"/>
                <w:lang w:val="sr-Latn-ME"/>
              </w:rPr>
              <w:t>28 (40,0%)</w:t>
            </w:r>
          </w:p>
        </w:tc>
        <w:tc>
          <w:tcPr>
            <w:tcW w:w="1255" w:type="pct"/>
            <w:tcBorders>
              <w:top w:val="single" w:sz="4" w:space="0" w:color="000000"/>
              <w:left w:val="single" w:sz="4" w:space="0" w:color="000000"/>
              <w:bottom w:val="single" w:sz="4" w:space="0" w:color="000000"/>
              <w:right w:val="single" w:sz="4" w:space="0" w:color="000000"/>
            </w:tcBorders>
            <w:vAlign w:val="center"/>
          </w:tcPr>
          <w:p w14:paraId="35BB4CEE" w14:textId="77777777" w:rsidR="00CF351E" w:rsidRPr="00F24057" w:rsidRDefault="00CF351E" w:rsidP="00D70B34">
            <w:pPr>
              <w:jc w:val="center"/>
              <w:rPr>
                <w:szCs w:val="22"/>
                <w:lang w:val="sr-Latn-ME"/>
              </w:rPr>
            </w:pPr>
            <w:r w:rsidRPr="00F24057">
              <w:rPr>
                <w:szCs w:val="22"/>
                <w:lang w:val="sr-Latn-ME"/>
              </w:rPr>
              <w:t>39 (55,7%)</w:t>
            </w:r>
          </w:p>
        </w:tc>
      </w:tr>
      <w:tr w:rsidR="00CF351E" w:rsidRPr="00F24057" w14:paraId="7532ED36" w14:textId="77777777" w:rsidTr="00F1226A">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C806736" w14:textId="438CE7DA" w:rsidR="009A5111" w:rsidRPr="00F24057" w:rsidRDefault="009A5111" w:rsidP="00D70B34">
            <w:pPr>
              <w:rPr>
                <w:szCs w:val="22"/>
                <w:lang w:val="sr-Latn-ME"/>
              </w:rPr>
            </w:pPr>
            <w:r w:rsidRPr="00F24057">
              <w:rPr>
                <w:szCs w:val="22"/>
                <w:vertAlign w:val="superscript"/>
                <w:lang w:val="sr-Latn-ME"/>
              </w:rPr>
              <w:t>a</w:t>
            </w:r>
            <w:r w:rsidRPr="00F24057">
              <w:rPr>
                <w:szCs w:val="22"/>
                <w:lang w:val="sr-Latn-ME"/>
              </w:rPr>
              <w:t xml:space="preserve"> Pacijenti koji su ostvarili bar d</w:t>
            </w:r>
            <w:r w:rsidR="00431FC5" w:rsidRPr="00F24057">
              <w:rPr>
                <w:szCs w:val="22"/>
                <w:lang w:val="sr-Latn-ME"/>
              </w:rPr>
              <w:t>j</w:t>
            </w:r>
            <w:r w:rsidRPr="00F24057">
              <w:rPr>
                <w:szCs w:val="22"/>
                <w:lang w:val="sr-Latn-ME"/>
              </w:rPr>
              <w:t xml:space="preserve">elimičan odgovor na </w:t>
            </w:r>
            <w:r w:rsidR="0030064A" w:rsidRPr="00F24057">
              <w:rPr>
                <w:szCs w:val="22"/>
                <w:lang w:val="sr-Latn-ME"/>
              </w:rPr>
              <w:t>liječenje</w:t>
            </w:r>
            <w:r w:rsidRPr="00F24057">
              <w:rPr>
                <w:szCs w:val="22"/>
                <w:lang w:val="sr-Latn-ME"/>
              </w:rPr>
              <w:t xml:space="preserve"> adalimumabom u dozi od 40 mg svake </w:t>
            </w:r>
            <w:r w:rsidR="00885A78" w:rsidRPr="00F24057">
              <w:rPr>
                <w:szCs w:val="22"/>
                <w:lang w:val="sr-Latn-ME"/>
              </w:rPr>
              <w:t>nedjelj</w:t>
            </w:r>
            <w:r w:rsidRPr="00F24057">
              <w:rPr>
                <w:szCs w:val="22"/>
                <w:lang w:val="sr-Latn-ME"/>
              </w:rPr>
              <w:t xml:space="preserve">e nakon 12 </w:t>
            </w:r>
            <w:r w:rsidR="00885A78" w:rsidRPr="00F24057">
              <w:rPr>
                <w:szCs w:val="22"/>
                <w:lang w:val="sr-Latn-ME"/>
              </w:rPr>
              <w:t>nedjelj</w:t>
            </w:r>
            <w:r w:rsidRPr="00F24057">
              <w:rPr>
                <w:szCs w:val="22"/>
                <w:lang w:val="sr-Latn-ME"/>
              </w:rPr>
              <w:t xml:space="preserve">a </w:t>
            </w:r>
            <w:r w:rsidR="00885A78" w:rsidRPr="00F24057">
              <w:rPr>
                <w:szCs w:val="22"/>
                <w:lang w:val="sr-Latn-ME"/>
              </w:rPr>
              <w:t>liječenj</w:t>
            </w:r>
            <w:r w:rsidRPr="00F24057">
              <w:rPr>
                <w:szCs w:val="22"/>
                <w:lang w:val="sr-Latn-ME"/>
              </w:rPr>
              <w:t xml:space="preserve">a. </w:t>
            </w:r>
          </w:p>
          <w:p w14:paraId="3A30978E" w14:textId="6F0E5AB8" w:rsidR="00CF351E" w:rsidRPr="00F24057" w:rsidRDefault="009A5111" w:rsidP="00D70B34">
            <w:pPr>
              <w:rPr>
                <w:szCs w:val="22"/>
                <w:lang w:val="sr-Latn-ME"/>
              </w:rPr>
            </w:pPr>
            <w:r w:rsidRPr="00F24057">
              <w:rPr>
                <w:szCs w:val="22"/>
                <w:vertAlign w:val="superscript"/>
                <w:lang w:val="sr-Latn-ME"/>
              </w:rPr>
              <w:t>b</w:t>
            </w:r>
            <w:r w:rsidRPr="00F24057">
              <w:rPr>
                <w:szCs w:val="22"/>
                <w:lang w:val="sr-Latn-ME"/>
              </w:rPr>
              <w:t xml:space="preserve"> Pacijenti koji su ispunjavali protokolom utvrđene kriterijume za gubitak odgovora ili izostanak poboljšanja morali su da prekinu ispitivanja i vodili su se kao pacijenti bez odgovora</w:t>
            </w:r>
            <w:r w:rsidR="008301DB" w:rsidRPr="00F24057">
              <w:rPr>
                <w:szCs w:val="22"/>
                <w:lang w:val="sr-Latn-ME"/>
              </w:rPr>
              <w:t>.</w:t>
            </w:r>
          </w:p>
        </w:tc>
      </w:tr>
    </w:tbl>
    <w:p w14:paraId="390A0452" w14:textId="50549561" w:rsidR="00B82D18" w:rsidRPr="00F24057" w:rsidRDefault="00B82D18" w:rsidP="00D70B34">
      <w:pPr>
        <w:rPr>
          <w:szCs w:val="22"/>
          <w:lang w:val="sr-Latn-ME"/>
        </w:rPr>
      </w:pPr>
    </w:p>
    <w:p w14:paraId="11818B49" w14:textId="41BCC8AB" w:rsidR="00A032F1" w:rsidRPr="00F24057" w:rsidRDefault="00A032F1" w:rsidP="00D70B34">
      <w:pPr>
        <w:ind w:left="-5"/>
        <w:rPr>
          <w:szCs w:val="22"/>
          <w:lang w:val="sr-Latn-ME"/>
        </w:rPr>
      </w:pPr>
      <w:r w:rsidRPr="00F24057">
        <w:rPr>
          <w:szCs w:val="22"/>
          <w:lang w:val="sr-Latn-ME"/>
        </w:rPr>
        <w:t xml:space="preserve">Među pacijentima koji su u 12. </w:t>
      </w:r>
      <w:r w:rsidR="00885A78" w:rsidRPr="00F24057">
        <w:rPr>
          <w:szCs w:val="22"/>
          <w:lang w:val="sr-Latn-ME"/>
        </w:rPr>
        <w:t>nedjelj</w:t>
      </w:r>
      <w:r w:rsidRPr="00F24057">
        <w:rPr>
          <w:szCs w:val="22"/>
          <w:lang w:val="sr-Latn-ME"/>
        </w:rPr>
        <w:t xml:space="preserve">i ostvarili bar delimičan odgovor i koji su nastavili terapiju adalimumabom svake </w:t>
      </w:r>
      <w:r w:rsidR="00885A78" w:rsidRPr="00F24057">
        <w:rPr>
          <w:szCs w:val="22"/>
          <w:lang w:val="sr-Latn-ME"/>
        </w:rPr>
        <w:t>nedjelj</w:t>
      </w:r>
      <w:r w:rsidRPr="00F24057">
        <w:rPr>
          <w:szCs w:val="22"/>
          <w:lang w:val="sr-Latn-ME"/>
        </w:rPr>
        <w:t xml:space="preserve">e, stopa HiSCR-a u 48. </w:t>
      </w:r>
      <w:r w:rsidR="00885A78" w:rsidRPr="00F24057">
        <w:rPr>
          <w:szCs w:val="22"/>
          <w:lang w:val="sr-Latn-ME"/>
        </w:rPr>
        <w:t>nedjelj</w:t>
      </w:r>
      <w:r w:rsidRPr="00F24057">
        <w:rPr>
          <w:szCs w:val="22"/>
          <w:lang w:val="sr-Latn-ME"/>
        </w:rPr>
        <w:t xml:space="preserve">i iznosila je 68,3%, a u 96. </w:t>
      </w:r>
      <w:r w:rsidR="00885A78" w:rsidRPr="00F24057">
        <w:rPr>
          <w:szCs w:val="22"/>
          <w:lang w:val="sr-Latn-ME"/>
        </w:rPr>
        <w:t>nedjelj</w:t>
      </w:r>
      <w:r w:rsidRPr="00F24057">
        <w:rPr>
          <w:szCs w:val="22"/>
          <w:lang w:val="sr-Latn-ME"/>
        </w:rPr>
        <w:t xml:space="preserve">i 65,1%. Pri dugoročnijem </w:t>
      </w:r>
      <w:r w:rsidR="00885A78" w:rsidRPr="00F24057">
        <w:rPr>
          <w:szCs w:val="22"/>
          <w:lang w:val="sr-Latn-ME"/>
        </w:rPr>
        <w:t>liječenj</w:t>
      </w:r>
      <w:r w:rsidRPr="00F24057">
        <w:rPr>
          <w:szCs w:val="22"/>
          <w:lang w:val="sr-Latn-ME"/>
        </w:rPr>
        <w:t xml:space="preserve">u adalimumabom u dozi od 40 mg svake </w:t>
      </w:r>
      <w:r w:rsidR="00885A78" w:rsidRPr="00F24057">
        <w:rPr>
          <w:szCs w:val="22"/>
          <w:lang w:val="sr-Latn-ME"/>
        </w:rPr>
        <w:t>nedjelj</w:t>
      </w:r>
      <w:r w:rsidRPr="00F24057">
        <w:rPr>
          <w:szCs w:val="22"/>
          <w:lang w:val="sr-Latn-ME"/>
        </w:rPr>
        <w:t xml:space="preserve">e tokom 96 </w:t>
      </w:r>
      <w:r w:rsidR="00885A78" w:rsidRPr="00F24057">
        <w:rPr>
          <w:szCs w:val="22"/>
          <w:lang w:val="sr-Latn-ME"/>
        </w:rPr>
        <w:t>nedjelj</w:t>
      </w:r>
      <w:r w:rsidRPr="00F24057">
        <w:rPr>
          <w:szCs w:val="22"/>
          <w:lang w:val="sr-Latn-ME"/>
        </w:rPr>
        <w:t xml:space="preserve">a nisu otkriveni novi podaci povezani sa </w:t>
      </w:r>
      <w:r w:rsidR="0030064A" w:rsidRPr="00F24057">
        <w:rPr>
          <w:szCs w:val="22"/>
          <w:lang w:val="sr-Latn-ME"/>
        </w:rPr>
        <w:t>bezbjedno</w:t>
      </w:r>
      <w:r w:rsidRPr="00F24057">
        <w:rPr>
          <w:szCs w:val="22"/>
          <w:lang w:val="sr-Latn-ME"/>
        </w:rPr>
        <w:t>šću.</w:t>
      </w:r>
    </w:p>
    <w:p w14:paraId="544971A8" w14:textId="77777777" w:rsidR="00A032F1" w:rsidRPr="00F24057" w:rsidRDefault="00A032F1" w:rsidP="00D70B34">
      <w:pPr>
        <w:ind w:left="-5"/>
        <w:rPr>
          <w:szCs w:val="22"/>
          <w:lang w:val="sr-Latn-ME"/>
        </w:rPr>
      </w:pPr>
    </w:p>
    <w:p w14:paraId="31C92120" w14:textId="7EF0C0E5" w:rsidR="00A032F1" w:rsidRPr="00F24057" w:rsidRDefault="00A032F1" w:rsidP="00D70B34">
      <w:pPr>
        <w:ind w:left="-5"/>
        <w:rPr>
          <w:szCs w:val="22"/>
          <w:lang w:val="sr-Latn-ME"/>
        </w:rPr>
      </w:pPr>
      <w:r w:rsidRPr="00F24057">
        <w:rPr>
          <w:szCs w:val="22"/>
          <w:lang w:val="sr-Latn-ME"/>
        </w:rPr>
        <w:t xml:space="preserve">Među pacijentima kojima je </w:t>
      </w:r>
      <w:r w:rsidR="0030064A" w:rsidRPr="00F24057">
        <w:rPr>
          <w:szCs w:val="22"/>
          <w:lang w:val="sr-Latn-ME"/>
        </w:rPr>
        <w:t>liječenje</w:t>
      </w:r>
      <w:r w:rsidRPr="00F24057">
        <w:rPr>
          <w:szCs w:val="22"/>
          <w:lang w:val="sr-Latn-ME"/>
        </w:rPr>
        <w:t xml:space="preserve"> adalimumabom ukinuto nakon 12. </w:t>
      </w:r>
      <w:r w:rsidR="00885A78" w:rsidRPr="00F24057">
        <w:rPr>
          <w:szCs w:val="22"/>
          <w:lang w:val="sr-Latn-ME"/>
        </w:rPr>
        <w:t>nedjelj</w:t>
      </w:r>
      <w:r w:rsidRPr="00F24057">
        <w:rPr>
          <w:szCs w:val="22"/>
          <w:lang w:val="sr-Latn-ME"/>
        </w:rPr>
        <w:t>e u ispitivanjima HS-I i HS-II, stopa HiSCR-a za</w:t>
      </w:r>
      <w:r w:rsidR="004F2520" w:rsidRPr="00F24057">
        <w:rPr>
          <w:szCs w:val="22"/>
          <w:lang w:val="sr-Latn-ME"/>
        </w:rPr>
        <w:t>biljež</w:t>
      </w:r>
      <w:r w:rsidRPr="00F24057">
        <w:rPr>
          <w:szCs w:val="22"/>
          <w:lang w:val="sr-Latn-ME"/>
        </w:rPr>
        <w:t xml:space="preserve">ena 12 </w:t>
      </w:r>
      <w:r w:rsidR="00885A78" w:rsidRPr="00F24057">
        <w:rPr>
          <w:szCs w:val="22"/>
          <w:lang w:val="sr-Latn-ME"/>
        </w:rPr>
        <w:t>nedjelj</w:t>
      </w:r>
      <w:r w:rsidRPr="00F24057">
        <w:rPr>
          <w:szCs w:val="22"/>
          <w:lang w:val="sr-Latn-ME"/>
        </w:rPr>
        <w:t xml:space="preserve">a nakon ponovnog uvođenja adalimumaba u dozi od 40 mg svake </w:t>
      </w:r>
      <w:r w:rsidR="00885A78" w:rsidRPr="00F24057">
        <w:rPr>
          <w:szCs w:val="22"/>
          <w:lang w:val="sr-Latn-ME"/>
        </w:rPr>
        <w:t>nedjelj</w:t>
      </w:r>
      <w:r w:rsidRPr="00F24057">
        <w:rPr>
          <w:szCs w:val="22"/>
          <w:lang w:val="sr-Latn-ME"/>
        </w:rPr>
        <w:t xml:space="preserve">e vratila se na nivoe slične onima </w:t>
      </w:r>
      <w:r w:rsidR="00885A78" w:rsidRPr="00F24057">
        <w:rPr>
          <w:szCs w:val="22"/>
          <w:lang w:val="sr-Latn-ME"/>
        </w:rPr>
        <w:t xml:space="preserve">prije </w:t>
      </w:r>
      <w:r w:rsidRPr="00F24057">
        <w:rPr>
          <w:szCs w:val="22"/>
          <w:lang w:val="sr-Latn-ME"/>
        </w:rPr>
        <w:t xml:space="preserve">prekida </w:t>
      </w:r>
      <w:r w:rsidR="00885A78" w:rsidRPr="00F24057">
        <w:rPr>
          <w:szCs w:val="22"/>
          <w:lang w:val="sr-Latn-ME"/>
        </w:rPr>
        <w:t>liječenj</w:t>
      </w:r>
      <w:r w:rsidRPr="00F24057">
        <w:rPr>
          <w:szCs w:val="22"/>
          <w:lang w:val="sr-Latn-ME"/>
        </w:rPr>
        <w:t>a (56,0 %).</w:t>
      </w:r>
    </w:p>
    <w:p w14:paraId="57F3910A" w14:textId="3AE6A589" w:rsidR="00B82D18" w:rsidRPr="00F24057" w:rsidRDefault="00B82D18" w:rsidP="00D70B34">
      <w:pPr>
        <w:rPr>
          <w:szCs w:val="22"/>
          <w:lang w:val="sr-Latn-ME"/>
        </w:rPr>
      </w:pPr>
    </w:p>
    <w:p w14:paraId="5B8E235E" w14:textId="64157ED6" w:rsidR="007E10B1" w:rsidRPr="00F24057" w:rsidRDefault="00DA2306" w:rsidP="00D70B34">
      <w:pPr>
        <w:rPr>
          <w:i/>
          <w:szCs w:val="22"/>
          <w:lang w:val="sr-Latn-ME"/>
        </w:rPr>
      </w:pPr>
      <w:r w:rsidRPr="00F24057">
        <w:rPr>
          <w:i/>
          <w:iCs/>
          <w:szCs w:val="22"/>
          <w:lang w:val="sr-Latn-ME"/>
        </w:rPr>
        <w:t>Crohn</w:t>
      </w:r>
      <w:r w:rsidR="007E10B1" w:rsidRPr="00F24057">
        <w:rPr>
          <w:i/>
          <w:szCs w:val="22"/>
          <w:lang w:val="sr-Latn-ME"/>
        </w:rPr>
        <w:t>-ova bolest</w:t>
      </w:r>
      <w:r w:rsidR="0053394F" w:rsidRPr="00F24057">
        <w:rPr>
          <w:i/>
          <w:szCs w:val="22"/>
          <w:lang w:val="sr-Latn-ME"/>
        </w:rPr>
        <w:t xml:space="preserve"> (engl. Crohn’s disease, CD)</w:t>
      </w:r>
    </w:p>
    <w:p w14:paraId="76EFBBD1" w14:textId="683BFCC4" w:rsidR="007E10B1" w:rsidRPr="00F24057" w:rsidRDefault="0030064A" w:rsidP="00D70B34">
      <w:pPr>
        <w:rPr>
          <w:szCs w:val="22"/>
          <w:lang w:val="sr-Latn-ME"/>
        </w:rPr>
      </w:pPr>
      <w:r w:rsidRPr="00F24057">
        <w:rPr>
          <w:szCs w:val="22"/>
          <w:lang w:val="sr-Latn-ME"/>
        </w:rPr>
        <w:t>Bezbjedno</w:t>
      </w:r>
      <w:r w:rsidR="007E10B1" w:rsidRPr="00F24057">
        <w:rPr>
          <w:szCs w:val="22"/>
          <w:lang w:val="sr-Latn-ME"/>
        </w:rPr>
        <w:t xml:space="preserve">st i efikasnost adalimumaba ispitivane su u randomizovanim, dvostruko </w:t>
      </w:r>
      <w:r w:rsidR="00972894" w:rsidRPr="00F24057">
        <w:rPr>
          <w:szCs w:val="22"/>
          <w:lang w:val="sr-Latn-ME"/>
        </w:rPr>
        <w:t>slijep</w:t>
      </w:r>
      <w:r w:rsidR="007E10B1" w:rsidRPr="00F24057">
        <w:rPr>
          <w:szCs w:val="22"/>
          <w:lang w:val="sr-Latn-ME"/>
        </w:rPr>
        <w:t>im, placebo</w:t>
      </w:r>
      <w:r w:rsidR="006A5CE9" w:rsidRPr="00F24057">
        <w:rPr>
          <w:szCs w:val="22"/>
          <w:lang w:val="sr-Latn-ME"/>
        </w:rPr>
        <w:t xml:space="preserve"> </w:t>
      </w:r>
      <w:r w:rsidR="007E10B1" w:rsidRPr="00F24057">
        <w:rPr>
          <w:szCs w:val="22"/>
          <w:lang w:val="sr-Latn-ME"/>
        </w:rPr>
        <w:t>kontrolisanim studijama na preko 1500 pacijenata sa u</w:t>
      </w:r>
      <w:r w:rsidRPr="00F24057">
        <w:rPr>
          <w:szCs w:val="22"/>
          <w:lang w:val="sr-Latn-ME"/>
        </w:rPr>
        <w:t>mjeren</w:t>
      </w:r>
      <w:r w:rsidR="007E10B1" w:rsidRPr="00F24057">
        <w:rPr>
          <w:szCs w:val="22"/>
          <w:lang w:val="sr-Latn-ME"/>
        </w:rPr>
        <w:t xml:space="preserve">o do izrazito aktivnom </w:t>
      </w:r>
      <w:r w:rsidR="00DA2306" w:rsidRPr="00F24057">
        <w:rPr>
          <w:i/>
          <w:iCs/>
          <w:szCs w:val="22"/>
          <w:lang w:val="sr-Latn-ME"/>
        </w:rPr>
        <w:t>Crohn</w:t>
      </w:r>
      <w:r w:rsidR="007E10B1" w:rsidRPr="00F24057">
        <w:rPr>
          <w:szCs w:val="22"/>
          <w:lang w:val="sr-Latn-ME"/>
        </w:rPr>
        <w:t xml:space="preserve">-ovom bolešću (engl. </w:t>
      </w:r>
      <w:r w:rsidR="00DA2306" w:rsidRPr="00F24057">
        <w:rPr>
          <w:i/>
          <w:iCs/>
          <w:szCs w:val="22"/>
          <w:lang w:val="sr-Latn-ME"/>
        </w:rPr>
        <w:t>Crohn</w:t>
      </w:r>
      <w:r w:rsidR="007E10B1" w:rsidRPr="00F24057">
        <w:rPr>
          <w:i/>
          <w:szCs w:val="22"/>
          <w:lang w:val="sr-Latn-ME"/>
        </w:rPr>
        <w:t xml:space="preserve">'s Disease Activity Index </w:t>
      </w:r>
      <w:r w:rsidR="007E10B1" w:rsidRPr="00F24057">
        <w:rPr>
          <w:szCs w:val="22"/>
          <w:lang w:val="sr-Latn-ME"/>
        </w:rPr>
        <w:t xml:space="preserve">(CDAI) ≥ 220 i ≤ 450). Istovremena </w:t>
      </w:r>
      <w:r w:rsidRPr="00F24057">
        <w:rPr>
          <w:szCs w:val="22"/>
          <w:lang w:val="sr-Latn-ME"/>
        </w:rPr>
        <w:t>primjen</w:t>
      </w:r>
      <w:r w:rsidR="007E10B1" w:rsidRPr="00F24057">
        <w:rPr>
          <w:szCs w:val="22"/>
          <w:lang w:val="sr-Latn-ME"/>
        </w:rPr>
        <w:t xml:space="preserve">a stabilnih doza aminosalicilata, kortikosteroida i/ili imunomodulatornih </w:t>
      </w:r>
      <w:r w:rsidRPr="00F24057">
        <w:rPr>
          <w:szCs w:val="22"/>
          <w:lang w:val="sr-Latn-ME"/>
        </w:rPr>
        <w:t>ljekov</w:t>
      </w:r>
      <w:r w:rsidR="007E10B1" w:rsidRPr="00F24057">
        <w:rPr>
          <w:szCs w:val="22"/>
          <w:lang w:val="sr-Latn-ME"/>
        </w:rPr>
        <w:t xml:space="preserve">a bila je dozvoljena, pa je 80% pacijenata nastavilo da uzima bar jedan od ovih </w:t>
      </w:r>
      <w:r w:rsidRPr="00F24057">
        <w:rPr>
          <w:szCs w:val="22"/>
          <w:lang w:val="sr-Latn-ME"/>
        </w:rPr>
        <w:t>ljekov</w:t>
      </w:r>
      <w:r w:rsidR="007E10B1" w:rsidRPr="00F24057">
        <w:rPr>
          <w:szCs w:val="22"/>
          <w:lang w:val="sr-Latn-ME"/>
        </w:rPr>
        <w:t>a.</w:t>
      </w:r>
    </w:p>
    <w:p w14:paraId="50007726" w14:textId="77777777" w:rsidR="007E10B1" w:rsidRPr="00F24057" w:rsidRDefault="007E10B1" w:rsidP="00D70B34">
      <w:pPr>
        <w:rPr>
          <w:szCs w:val="22"/>
          <w:lang w:val="sr-Latn-ME"/>
        </w:rPr>
      </w:pPr>
    </w:p>
    <w:p w14:paraId="660525A1" w14:textId="753ABFAD" w:rsidR="007E10B1" w:rsidRPr="00F24057" w:rsidRDefault="007E10B1" w:rsidP="00D70B34">
      <w:pPr>
        <w:rPr>
          <w:szCs w:val="22"/>
          <w:lang w:val="sr-Latn-ME"/>
        </w:rPr>
      </w:pPr>
      <w:r w:rsidRPr="00F24057">
        <w:rPr>
          <w:szCs w:val="22"/>
          <w:lang w:val="sr-Latn-ME"/>
        </w:rPr>
        <w:lastRenderedPageBreak/>
        <w:t xml:space="preserve">Indukcija kliničke remisije (definisana kao CDAI &lt; 150) ispitivana je u dva ispitivanja, CD studija I (CLASSIC I) i CD studija II (GAIN). U CD studiji I, 299 pacijenata koji nikad nisu primali terapiju TNF antagonistima randomizovano je u 4 terapijske grupe: placebo </w:t>
      </w:r>
      <w:r w:rsidR="00323E0C" w:rsidRPr="00F24057">
        <w:rPr>
          <w:szCs w:val="22"/>
          <w:lang w:val="sr-Latn-ME"/>
        </w:rPr>
        <w:t xml:space="preserve">u početnoj </w:t>
      </w:r>
      <w:r w:rsidR="00885A78" w:rsidRPr="00F24057">
        <w:rPr>
          <w:szCs w:val="22"/>
          <w:lang w:val="sr-Latn-ME"/>
        </w:rPr>
        <w:t>nedjelj</w:t>
      </w:r>
      <w:r w:rsidR="00323E0C" w:rsidRPr="00F24057">
        <w:rPr>
          <w:szCs w:val="22"/>
          <w:lang w:val="sr-Latn-ME"/>
        </w:rPr>
        <w:t xml:space="preserve">i (označena kao nulta </w:t>
      </w:r>
      <w:r w:rsidR="00885A78" w:rsidRPr="00F24057">
        <w:rPr>
          <w:szCs w:val="22"/>
          <w:lang w:val="sr-Latn-ME"/>
        </w:rPr>
        <w:t>nedjelj</w:t>
      </w:r>
      <w:r w:rsidR="00323E0C" w:rsidRPr="00F24057">
        <w:rPr>
          <w:szCs w:val="22"/>
          <w:lang w:val="sr-Latn-ME"/>
        </w:rPr>
        <w:t xml:space="preserve">a, </w:t>
      </w:r>
      <w:r w:rsidR="00080447" w:rsidRPr="00F24057">
        <w:rPr>
          <w:i/>
          <w:iCs/>
          <w:szCs w:val="22"/>
          <w:lang w:val="sr-Latn-ME"/>
        </w:rPr>
        <w:t>Week 0</w:t>
      </w:r>
      <w:r w:rsidR="00323E0C" w:rsidRPr="00F24057">
        <w:rPr>
          <w:szCs w:val="22"/>
          <w:lang w:val="sr-Latn-ME"/>
        </w:rPr>
        <w:t xml:space="preserve">), </w:t>
      </w:r>
      <w:r w:rsidRPr="00F24057">
        <w:rPr>
          <w:szCs w:val="22"/>
          <w:lang w:val="sr-Latn-ME"/>
        </w:rPr>
        <w:t xml:space="preserve">i posle 2 </w:t>
      </w:r>
      <w:r w:rsidR="00885A78" w:rsidRPr="00F24057">
        <w:rPr>
          <w:szCs w:val="22"/>
          <w:lang w:val="sr-Latn-ME"/>
        </w:rPr>
        <w:t>nedjelj</w:t>
      </w:r>
      <w:r w:rsidRPr="00F24057">
        <w:rPr>
          <w:szCs w:val="22"/>
          <w:lang w:val="sr-Latn-ME"/>
        </w:rPr>
        <w:t xml:space="preserve">e, 160 mg adalimumaba </w:t>
      </w:r>
      <w:r w:rsidR="00323E0C" w:rsidRPr="00F24057">
        <w:rPr>
          <w:szCs w:val="22"/>
          <w:lang w:val="sr-Latn-ME"/>
        </w:rPr>
        <w:t xml:space="preserve">u početnoj </w:t>
      </w:r>
      <w:r w:rsidR="00885A78" w:rsidRPr="00F24057">
        <w:rPr>
          <w:szCs w:val="22"/>
          <w:lang w:val="sr-Latn-ME"/>
        </w:rPr>
        <w:t>nedjelj</w:t>
      </w:r>
      <w:r w:rsidR="00323E0C" w:rsidRPr="00F24057">
        <w:rPr>
          <w:szCs w:val="22"/>
          <w:lang w:val="sr-Latn-ME"/>
        </w:rPr>
        <w:t xml:space="preserve">i (označena kao nulta </w:t>
      </w:r>
      <w:r w:rsidR="00885A78" w:rsidRPr="00F24057">
        <w:rPr>
          <w:szCs w:val="22"/>
          <w:lang w:val="sr-Latn-ME"/>
        </w:rPr>
        <w:t>nedjelj</w:t>
      </w:r>
      <w:r w:rsidR="00323E0C" w:rsidRPr="00F24057">
        <w:rPr>
          <w:szCs w:val="22"/>
          <w:lang w:val="sr-Latn-ME"/>
        </w:rPr>
        <w:t xml:space="preserve">a, </w:t>
      </w:r>
      <w:r w:rsidR="00080447" w:rsidRPr="00F24057">
        <w:rPr>
          <w:i/>
          <w:iCs/>
          <w:szCs w:val="22"/>
          <w:lang w:val="sr-Latn-ME"/>
        </w:rPr>
        <w:t>Week 0</w:t>
      </w:r>
      <w:r w:rsidR="00323E0C" w:rsidRPr="00F24057">
        <w:rPr>
          <w:szCs w:val="22"/>
          <w:lang w:val="sr-Latn-ME"/>
        </w:rPr>
        <w:t xml:space="preserve">), </w:t>
      </w:r>
      <w:r w:rsidRPr="00F24057">
        <w:rPr>
          <w:szCs w:val="22"/>
          <w:lang w:val="sr-Latn-ME"/>
        </w:rPr>
        <w:t xml:space="preserve">i 80 mg posle 2 </w:t>
      </w:r>
      <w:r w:rsidR="00885A78" w:rsidRPr="00F24057">
        <w:rPr>
          <w:szCs w:val="22"/>
          <w:lang w:val="sr-Latn-ME"/>
        </w:rPr>
        <w:t>nedjelj</w:t>
      </w:r>
      <w:r w:rsidRPr="00F24057">
        <w:rPr>
          <w:szCs w:val="22"/>
          <w:lang w:val="sr-Latn-ME"/>
        </w:rPr>
        <w:t xml:space="preserve">e, 80 mg adalimumaba </w:t>
      </w:r>
      <w:r w:rsidR="00BE1AC5" w:rsidRPr="00F24057">
        <w:rPr>
          <w:szCs w:val="22"/>
          <w:lang w:val="sr-Latn-ME"/>
        </w:rPr>
        <w:t xml:space="preserve">u početnoj </w:t>
      </w:r>
      <w:r w:rsidR="00885A78" w:rsidRPr="00F24057">
        <w:rPr>
          <w:szCs w:val="22"/>
          <w:lang w:val="sr-Latn-ME"/>
        </w:rPr>
        <w:t>nedjelj</w:t>
      </w:r>
      <w:r w:rsidR="00BE1AC5" w:rsidRPr="00F24057">
        <w:rPr>
          <w:szCs w:val="22"/>
          <w:lang w:val="sr-Latn-ME"/>
        </w:rPr>
        <w:t xml:space="preserve">i (označena kao nulta </w:t>
      </w:r>
      <w:r w:rsidR="00885A78" w:rsidRPr="00F24057">
        <w:rPr>
          <w:szCs w:val="22"/>
          <w:lang w:val="sr-Latn-ME"/>
        </w:rPr>
        <w:t>nedjelj</w:t>
      </w:r>
      <w:r w:rsidR="00BE1AC5" w:rsidRPr="00F24057">
        <w:rPr>
          <w:szCs w:val="22"/>
          <w:lang w:val="sr-Latn-ME"/>
        </w:rPr>
        <w:t xml:space="preserve">a, </w:t>
      </w:r>
      <w:r w:rsidR="00080447" w:rsidRPr="00F24057">
        <w:rPr>
          <w:i/>
          <w:iCs/>
          <w:szCs w:val="22"/>
          <w:lang w:val="sr-Latn-ME"/>
        </w:rPr>
        <w:t>Week 0</w:t>
      </w:r>
      <w:r w:rsidR="00BE1AC5" w:rsidRPr="00F24057">
        <w:rPr>
          <w:szCs w:val="22"/>
          <w:lang w:val="sr-Latn-ME"/>
        </w:rPr>
        <w:t xml:space="preserve">), </w:t>
      </w:r>
      <w:r w:rsidRPr="00F24057">
        <w:rPr>
          <w:szCs w:val="22"/>
          <w:lang w:val="sr-Latn-ME"/>
        </w:rPr>
        <w:t xml:space="preserve">i 40 mg posle 2 </w:t>
      </w:r>
      <w:r w:rsidR="00885A78" w:rsidRPr="00F24057">
        <w:rPr>
          <w:szCs w:val="22"/>
          <w:lang w:val="sr-Latn-ME"/>
        </w:rPr>
        <w:t>nedjelj</w:t>
      </w:r>
      <w:r w:rsidRPr="00F24057">
        <w:rPr>
          <w:szCs w:val="22"/>
          <w:lang w:val="sr-Latn-ME"/>
        </w:rPr>
        <w:t xml:space="preserve">e i 40 mg adalimumaba </w:t>
      </w:r>
      <w:r w:rsidR="00BE1AC5" w:rsidRPr="00F24057">
        <w:rPr>
          <w:szCs w:val="22"/>
          <w:lang w:val="sr-Latn-ME"/>
        </w:rPr>
        <w:t xml:space="preserve">u početnoj </w:t>
      </w:r>
      <w:r w:rsidR="00885A78" w:rsidRPr="00F24057">
        <w:rPr>
          <w:szCs w:val="22"/>
          <w:lang w:val="sr-Latn-ME"/>
        </w:rPr>
        <w:t>nedjelj</w:t>
      </w:r>
      <w:r w:rsidR="00BE1AC5" w:rsidRPr="00F24057">
        <w:rPr>
          <w:szCs w:val="22"/>
          <w:lang w:val="sr-Latn-ME"/>
        </w:rPr>
        <w:t xml:space="preserve">i (označena kao nulta </w:t>
      </w:r>
      <w:r w:rsidR="00885A78" w:rsidRPr="00F24057">
        <w:rPr>
          <w:szCs w:val="22"/>
          <w:lang w:val="sr-Latn-ME"/>
        </w:rPr>
        <w:t>nedjelj</w:t>
      </w:r>
      <w:r w:rsidR="00BE1AC5" w:rsidRPr="00F24057">
        <w:rPr>
          <w:szCs w:val="22"/>
          <w:lang w:val="sr-Latn-ME"/>
        </w:rPr>
        <w:t xml:space="preserve">a, </w:t>
      </w:r>
      <w:r w:rsidR="00080447" w:rsidRPr="00F24057">
        <w:rPr>
          <w:i/>
          <w:iCs/>
          <w:szCs w:val="22"/>
          <w:lang w:val="sr-Latn-ME"/>
        </w:rPr>
        <w:t>Week 0</w:t>
      </w:r>
      <w:r w:rsidR="00BE1AC5" w:rsidRPr="00F24057">
        <w:rPr>
          <w:szCs w:val="22"/>
          <w:lang w:val="sr-Latn-ME"/>
        </w:rPr>
        <w:t xml:space="preserve">), </w:t>
      </w:r>
      <w:r w:rsidRPr="00F24057">
        <w:rPr>
          <w:szCs w:val="22"/>
          <w:lang w:val="sr-Latn-ME"/>
        </w:rPr>
        <w:t xml:space="preserve">i 20 mg posle 2 </w:t>
      </w:r>
      <w:r w:rsidR="00885A78" w:rsidRPr="00F24057">
        <w:rPr>
          <w:szCs w:val="22"/>
          <w:lang w:val="sr-Latn-ME"/>
        </w:rPr>
        <w:t>nedjelj</w:t>
      </w:r>
      <w:r w:rsidRPr="00F24057">
        <w:rPr>
          <w:szCs w:val="22"/>
          <w:lang w:val="sr-Latn-ME"/>
        </w:rPr>
        <w:t xml:space="preserve">e. U CD studiji II, 325 pacijenata kod kojih je odgovor prestao ili koji nisu reagovali na terapiju infliksimabom randomizovano je u </w:t>
      </w:r>
      <w:r w:rsidR="009A3407" w:rsidRPr="00F24057">
        <w:rPr>
          <w:szCs w:val="22"/>
          <w:lang w:val="sr-Latn-ME"/>
        </w:rPr>
        <w:t xml:space="preserve">dvije </w:t>
      </w:r>
      <w:r w:rsidRPr="00F24057">
        <w:rPr>
          <w:szCs w:val="22"/>
          <w:lang w:val="sr-Latn-ME"/>
        </w:rPr>
        <w:t xml:space="preserve">grupe: jedna grupa koja je primala 160 mg adalimumaba </w:t>
      </w:r>
      <w:r w:rsidR="00BE1AC5" w:rsidRPr="00F24057">
        <w:rPr>
          <w:szCs w:val="22"/>
          <w:lang w:val="sr-Latn-ME"/>
        </w:rPr>
        <w:t xml:space="preserve">u početnoj </w:t>
      </w:r>
      <w:r w:rsidR="00885A78" w:rsidRPr="00F24057">
        <w:rPr>
          <w:szCs w:val="22"/>
          <w:lang w:val="sr-Latn-ME"/>
        </w:rPr>
        <w:t>nedjelj</w:t>
      </w:r>
      <w:r w:rsidR="00BE1AC5" w:rsidRPr="00F24057">
        <w:rPr>
          <w:szCs w:val="22"/>
          <w:lang w:val="sr-Latn-ME"/>
        </w:rPr>
        <w:t xml:space="preserve">i (označena kao nulta </w:t>
      </w:r>
      <w:r w:rsidR="00885A78" w:rsidRPr="00F24057">
        <w:rPr>
          <w:szCs w:val="22"/>
          <w:lang w:val="sr-Latn-ME"/>
        </w:rPr>
        <w:t>nedjelj</w:t>
      </w:r>
      <w:r w:rsidR="00BE1AC5" w:rsidRPr="00F24057">
        <w:rPr>
          <w:szCs w:val="22"/>
          <w:lang w:val="sr-Latn-ME"/>
        </w:rPr>
        <w:t xml:space="preserve">a, </w:t>
      </w:r>
      <w:r w:rsidR="00080447" w:rsidRPr="00F24057">
        <w:rPr>
          <w:i/>
          <w:iCs/>
          <w:szCs w:val="22"/>
          <w:lang w:val="sr-Latn-ME"/>
        </w:rPr>
        <w:t>Week 0</w:t>
      </w:r>
      <w:r w:rsidR="00BE1AC5" w:rsidRPr="00F24057">
        <w:rPr>
          <w:szCs w:val="22"/>
          <w:lang w:val="sr-Latn-ME"/>
        </w:rPr>
        <w:t xml:space="preserve">), </w:t>
      </w:r>
      <w:r w:rsidRPr="00F24057">
        <w:rPr>
          <w:szCs w:val="22"/>
          <w:lang w:val="sr-Latn-ME"/>
        </w:rPr>
        <w:t xml:space="preserve">i 80 mg adalimumaba </w:t>
      </w:r>
      <w:r w:rsidR="009A3407" w:rsidRPr="00F24057">
        <w:rPr>
          <w:szCs w:val="22"/>
          <w:lang w:val="sr-Latn-ME"/>
        </w:rPr>
        <w:t xml:space="preserve">dvije </w:t>
      </w:r>
      <w:r w:rsidR="00885A78" w:rsidRPr="00F24057">
        <w:rPr>
          <w:szCs w:val="22"/>
          <w:lang w:val="sr-Latn-ME"/>
        </w:rPr>
        <w:t>nedjelj</w:t>
      </w:r>
      <w:r w:rsidRPr="00F24057">
        <w:rPr>
          <w:szCs w:val="22"/>
          <w:lang w:val="sr-Latn-ME"/>
        </w:rPr>
        <w:t>e kasnije, i druga grupa koja je primala placebo u istom periodu. Pacijenti kod kojih nije bilo odgovora nakon prve doze isključeni su iz daljeg toka istraživanja, i stoga nisu bili dalje evaluirani.</w:t>
      </w:r>
    </w:p>
    <w:p w14:paraId="216F089E" w14:textId="77777777" w:rsidR="007E10B1" w:rsidRPr="00F24057" w:rsidRDefault="007E10B1" w:rsidP="00D70B34">
      <w:pPr>
        <w:rPr>
          <w:szCs w:val="22"/>
          <w:lang w:val="sr-Latn-ME"/>
        </w:rPr>
      </w:pPr>
    </w:p>
    <w:p w14:paraId="6E81701F" w14:textId="2B10AE0F" w:rsidR="007E10B1" w:rsidRPr="00F24057" w:rsidRDefault="007E10B1" w:rsidP="00D70B34">
      <w:pPr>
        <w:rPr>
          <w:szCs w:val="22"/>
          <w:lang w:val="sr-Latn-ME"/>
        </w:rPr>
      </w:pPr>
      <w:r w:rsidRPr="00F24057">
        <w:rPr>
          <w:szCs w:val="22"/>
          <w:lang w:val="sr-Latn-ME"/>
        </w:rPr>
        <w:t xml:space="preserve">Održavanje kliničke remisije ispitivano je u CD studiji III (CHARM), u kojoj je 854 pacijenata primilo 80 mg adalimumaba </w:t>
      </w:r>
      <w:r w:rsidR="00BE1AC5" w:rsidRPr="00F24057">
        <w:rPr>
          <w:szCs w:val="22"/>
          <w:lang w:val="sr-Latn-ME"/>
        </w:rPr>
        <w:t xml:space="preserve">u početnoj </w:t>
      </w:r>
      <w:r w:rsidR="00885A78" w:rsidRPr="00F24057">
        <w:rPr>
          <w:szCs w:val="22"/>
          <w:lang w:val="sr-Latn-ME"/>
        </w:rPr>
        <w:t>nedjelj</w:t>
      </w:r>
      <w:r w:rsidR="00BE1AC5" w:rsidRPr="00F24057">
        <w:rPr>
          <w:szCs w:val="22"/>
          <w:lang w:val="sr-Latn-ME"/>
        </w:rPr>
        <w:t xml:space="preserve">i (označena kao nulta </w:t>
      </w:r>
      <w:r w:rsidR="00885A78" w:rsidRPr="00F24057">
        <w:rPr>
          <w:szCs w:val="22"/>
          <w:lang w:val="sr-Latn-ME"/>
        </w:rPr>
        <w:t>nedjelj</w:t>
      </w:r>
      <w:r w:rsidR="00BE1AC5" w:rsidRPr="00F24057">
        <w:rPr>
          <w:szCs w:val="22"/>
          <w:lang w:val="sr-Latn-ME"/>
        </w:rPr>
        <w:t xml:space="preserve">a, </w:t>
      </w:r>
      <w:r w:rsidR="00080447" w:rsidRPr="00F24057">
        <w:rPr>
          <w:i/>
          <w:iCs/>
          <w:szCs w:val="22"/>
          <w:lang w:val="sr-Latn-ME"/>
        </w:rPr>
        <w:t>Week 0</w:t>
      </w:r>
      <w:r w:rsidR="00BE1AC5" w:rsidRPr="00F24057">
        <w:rPr>
          <w:szCs w:val="22"/>
          <w:lang w:val="sr-Latn-ME"/>
        </w:rPr>
        <w:t>),</w:t>
      </w:r>
      <w:r w:rsidRPr="00F24057">
        <w:rPr>
          <w:szCs w:val="22"/>
          <w:lang w:val="sr-Latn-ME"/>
        </w:rPr>
        <w:t xml:space="preserve"> a 40 mg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kasnije. U 4. </w:t>
      </w:r>
      <w:r w:rsidR="00885A78" w:rsidRPr="00F24057">
        <w:rPr>
          <w:szCs w:val="22"/>
          <w:lang w:val="sr-Latn-ME"/>
        </w:rPr>
        <w:t>nedjelj</w:t>
      </w:r>
      <w:r w:rsidRPr="00F24057">
        <w:rPr>
          <w:szCs w:val="22"/>
          <w:lang w:val="sr-Latn-ME"/>
        </w:rPr>
        <w:t xml:space="preserve">i pacijenti su randomizovani u grupe koje su primale 40 mg adalimumaba svake </w:t>
      </w:r>
      <w:r w:rsidR="00885A78" w:rsidRPr="00F24057">
        <w:rPr>
          <w:szCs w:val="22"/>
          <w:lang w:val="sr-Latn-ME"/>
        </w:rPr>
        <w:t>nedjelj</w:t>
      </w:r>
      <w:r w:rsidRPr="00F24057">
        <w:rPr>
          <w:szCs w:val="22"/>
          <w:lang w:val="sr-Latn-ME"/>
        </w:rPr>
        <w:t xml:space="preserve">e, 40 mg adalimumaba svake druge </w:t>
      </w:r>
      <w:r w:rsidR="00885A78" w:rsidRPr="00F24057">
        <w:rPr>
          <w:szCs w:val="22"/>
          <w:lang w:val="sr-Latn-ME"/>
        </w:rPr>
        <w:t>nedjelj</w:t>
      </w:r>
      <w:r w:rsidRPr="00F24057">
        <w:rPr>
          <w:szCs w:val="22"/>
          <w:lang w:val="sr-Latn-ME"/>
        </w:rPr>
        <w:t xml:space="preserve">e ili placebo tokom 56 </w:t>
      </w:r>
      <w:r w:rsidR="00885A78" w:rsidRPr="00F24057">
        <w:rPr>
          <w:szCs w:val="22"/>
          <w:lang w:val="sr-Latn-ME"/>
        </w:rPr>
        <w:t>nedjelj</w:t>
      </w:r>
      <w:r w:rsidRPr="00F24057">
        <w:rPr>
          <w:szCs w:val="22"/>
          <w:lang w:val="sr-Latn-ME"/>
        </w:rPr>
        <w:t xml:space="preserve">a. Pacijenti sa kliničkim odgovorom (smanjenje CDAI ≥ 70) u 4. </w:t>
      </w:r>
      <w:r w:rsidR="00885A78" w:rsidRPr="00F24057">
        <w:rPr>
          <w:szCs w:val="22"/>
          <w:lang w:val="sr-Latn-ME"/>
        </w:rPr>
        <w:t>nedjelj</w:t>
      </w:r>
      <w:r w:rsidRPr="00F24057">
        <w:rPr>
          <w:szCs w:val="22"/>
          <w:lang w:val="sr-Latn-ME"/>
        </w:rPr>
        <w:t xml:space="preserve">i stratifikovani su i analizirani odvojeno od pacijenata bez kliničkog odgovora u 4. </w:t>
      </w:r>
      <w:r w:rsidR="00885A78" w:rsidRPr="00F24057">
        <w:rPr>
          <w:szCs w:val="22"/>
          <w:lang w:val="sr-Latn-ME"/>
        </w:rPr>
        <w:t>nedjelj</w:t>
      </w:r>
      <w:r w:rsidRPr="00F24057">
        <w:rPr>
          <w:szCs w:val="22"/>
          <w:lang w:val="sr-Latn-ME"/>
        </w:rPr>
        <w:t xml:space="preserve">i. Dozvoljeno je smanjenje doze kortikosteroida nakon 8 </w:t>
      </w:r>
      <w:r w:rsidR="00885A78" w:rsidRPr="00F24057">
        <w:rPr>
          <w:szCs w:val="22"/>
          <w:lang w:val="sr-Latn-ME"/>
        </w:rPr>
        <w:t>nedjelj</w:t>
      </w:r>
      <w:r w:rsidRPr="00F24057">
        <w:rPr>
          <w:szCs w:val="22"/>
          <w:lang w:val="sr-Latn-ME"/>
        </w:rPr>
        <w:t>a.</w:t>
      </w:r>
    </w:p>
    <w:p w14:paraId="3D695A8D" w14:textId="459C242A" w:rsidR="007E10B1" w:rsidRPr="00F24057" w:rsidRDefault="007E10B1" w:rsidP="00D70B34">
      <w:pPr>
        <w:rPr>
          <w:szCs w:val="22"/>
          <w:lang w:val="sr-Latn-ME"/>
        </w:rPr>
      </w:pPr>
    </w:p>
    <w:p w14:paraId="171DB75F" w14:textId="34F74828" w:rsidR="00135265" w:rsidRPr="00F24057" w:rsidRDefault="00135265" w:rsidP="00D70B34">
      <w:pPr>
        <w:rPr>
          <w:szCs w:val="22"/>
          <w:lang w:val="sr-Latn-ME"/>
        </w:rPr>
      </w:pPr>
      <w:r w:rsidRPr="00F24057">
        <w:rPr>
          <w:szCs w:val="22"/>
          <w:lang w:val="sr-Latn-ME"/>
        </w:rPr>
        <w:t>Indukcija remisije i stopa kliničkog odgovora u CD studiji I i CD studiji II prikazani su u Tabeli 21.</w:t>
      </w:r>
    </w:p>
    <w:p w14:paraId="0F42E948" w14:textId="77777777" w:rsidR="00135265" w:rsidRPr="00F24057" w:rsidRDefault="00135265" w:rsidP="00D70B34">
      <w:pPr>
        <w:rPr>
          <w:b/>
          <w:szCs w:val="22"/>
          <w:lang w:val="sr-Latn-ME"/>
        </w:rPr>
      </w:pPr>
    </w:p>
    <w:p w14:paraId="6A1071BB" w14:textId="03FDF002" w:rsidR="00135265" w:rsidRPr="00F24057" w:rsidRDefault="00135265" w:rsidP="00D70B34">
      <w:pPr>
        <w:rPr>
          <w:b/>
          <w:szCs w:val="22"/>
          <w:lang w:val="sr-Latn-ME"/>
        </w:rPr>
      </w:pPr>
      <w:r w:rsidRPr="00F24057">
        <w:rPr>
          <w:b/>
          <w:szCs w:val="22"/>
          <w:lang w:val="sr-Latn-ME"/>
        </w:rPr>
        <w:t>Tabela 21. Indukcija kliničke remisije i kliničkog odgovora (</w:t>
      </w:r>
      <w:r w:rsidR="00972894" w:rsidRPr="00F24057">
        <w:rPr>
          <w:b/>
          <w:szCs w:val="22"/>
          <w:lang w:val="sr-Latn-ME"/>
        </w:rPr>
        <w:t>procenat</w:t>
      </w:r>
      <w:r w:rsidRPr="00F24057">
        <w:rPr>
          <w:b/>
          <w:szCs w:val="22"/>
          <w:lang w:val="sr-Latn-ME"/>
        </w:rPr>
        <w:t xml:space="preserve"> pacijenata)</w:t>
      </w:r>
    </w:p>
    <w:p w14:paraId="5F7AB514" w14:textId="77777777" w:rsidR="00C0295E" w:rsidRPr="00F24057" w:rsidRDefault="00C0295E" w:rsidP="00D70B34">
      <w:pPr>
        <w:rPr>
          <w:b/>
          <w:szCs w:val="22"/>
          <w:lang w:val="sr-Latn-ME"/>
        </w:rPr>
      </w:pPr>
    </w:p>
    <w:tbl>
      <w:tblPr>
        <w:tblW w:w="5000" w:type="pct"/>
        <w:tblCellMar>
          <w:top w:w="49" w:type="dxa"/>
          <w:left w:w="85" w:type="dxa"/>
          <w:right w:w="85" w:type="dxa"/>
        </w:tblCellMar>
        <w:tblLook w:val="04A0" w:firstRow="1" w:lastRow="0" w:firstColumn="1" w:lastColumn="0" w:noHBand="0" w:noVBand="1"/>
      </w:tblPr>
      <w:tblGrid>
        <w:gridCol w:w="1749"/>
        <w:gridCol w:w="1071"/>
        <w:gridCol w:w="1520"/>
        <w:gridCol w:w="1580"/>
        <w:gridCol w:w="1580"/>
        <w:gridCol w:w="1517"/>
      </w:tblGrid>
      <w:tr w:rsidR="00A76CF2" w:rsidRPr="00F24057" w14:paraId="71B9AEE7"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tcPr>
          <w:p w14:paraId="4843B52B" w14:textId="77777777" w:rsidR="00A76CF2" w:rsidRPr="00F24057" w:rsidRDefault="00A76CF2" w:rsidP="00D70B34">
            <w:pPr>
              <w:rPr>
                <w:szCs w:val="22"/>
                <w:lang w:val="sr-Latn-ME"/>
              </w:rPr>
            </w:pPr>
          </w:p>
        </w:tc>
        <w:tc>
          <w:tcPr>
            <w:tcW w:w="2313" w:type="pct"/>
            <w:gridSpan w:val="3"/>
            <w:tcBorders>
              <w:top w:val="single" w:sz="4" w:space="0" w:color="000000"/>
              <w:left w:val="single" w:sz="4" w:space="0" w:color="000000"/>
              <w:bottom w:val="single" w:sz="4" w:space="0" w:color="000000"/>
              <w:right w:val="single" w:sz="4" w:space="0" w:color="000000"/>
            </w:tcBorders>
            <w:vAlign w:val="center"/>
          </w:tcPr>
          <w:p w14:paraId="1BEB7392" w14:textId="77777777" w:rsidR="007329AC" w:rsidRPr="00F24057" w:rsidRDefault="00A76CF2" w:rsidP="00D70B34">
            <w:pPr>
              <w:jc w:val="center"/>
              <w:rPr>
                <w:b/>
                <w:szCs w:val="22"/>
                <w:lang w:val="sr-Latn-ME"/>
              </w:rPr>
            </w:pPr>
            <w:r w:rsidRPr="00F24057">
              <w:rPr>
                <w:b/>
                <w:szCs w:val="22"/>
                <w:lang w:val="sr-Latn-ME"/>
              </w:rPr>
              <w:t xml:space="preserve">CD studija I: </w:t>
            </w:r>
          </w:p>
          <w:p w14:paraId="688A008B" w14:textId="58F3CC24" w:rsidR="00A76CF2" w:rsidRPr="00F24057" w:rsidRDefault="00A76CF2" w:rsidP="00D70B34">
            <w:pPr>
              <w:jc w:val="center"/>
              <w:rPr>
                <w:szCs w:val="22"/>
                <w:lang w:val="sr-Latn-ME"/>
              </w:rPr>
            </w:pPr>
            <w:r w:rsidRPr="00F24057">
              <w:rPr>
                <w:b/>
                <w:szCs w:val="22"/>
                <w:lang w:val="sr-Latn-ME"/>
              </w:rPr>
              <w:t>pacijenti koji nisu ranije primali infliksimab</w:t>
            </w:r>
          </w:p>
        </w:tc>
        <w:tc>
          <w:tcPr>
            <w:tcW w:w="1717" w:type="pct"/>
            <w:gridSpan w:val="2"/>
            <w:tcBorders>
              <w:top w:val="single" w:sz="4" w:space="0" w:color="000000"/>
              <w:left w:val="single" w:sz="4" w:space="0" w:color="000000"/>
              <w:bottom w:val="single" w:sz="4" w:space="0" w:color="000000"/>
              <w:right w:val="single" w:sz="4" w:space="0" w:color="000000"/>
            </w:tcBorders>
            <w:vAlign w:val="center"/>
          </w:tcPr>
          <w:p w14:paraId="2891846A" w14:textId="77777777" w:rsidR="007329AC" w:rsidRPr="00F24057" w:rsidRDefault="00A76CF2" w:rsidP="00D70B34">
            <w:pPr>
              <w:jc w:val="center"/>
              <w:rPr>
                <w:b/>
                <w:szCs w:val="22"/>
                <w:lang w:val="sr-Latn-ME"/>
              </w:rPr>
            </w:pPr>
            <w:r w:rsidRPr="00F24057">
              <w:rPr>
                <w:b/>
                <w:szCs w:val="22"/>
                <w:lang w:val="sr-Latn-ME"/>
              </w:rPr>
              <w:t xml:space="preserve">CD studija II: </w:t>
            </w:r>
          </w:p>
          <w:p w14:paraId="1143D11B" w14:textId="32BD707F" w:rsidR="00A76CF2" w:rsidRPr="00F24057" w:rsidRDefault="00A76CF2" w:rsidP="00D70B34">
            <w:pPr>
              <w:jc w:val="center"/>
              <w:rPr>
                <w:szCs w:val="22"/>
                <w:lang w:val="sr-Latn-ME"/>
              </w:rPr>
            </w:pPr>
            <w:r w:rsidRPr="00F24057">
              <w:rPr>
                <w:b/>
                <w:szCs w:val="22"/>
                <w:lang w:val="sr-Latn-ME"/>
              </w:rPr>
              <w:t>pacijenti koji su primali infliksimab</w:t>
            </w:r>
          </w:p>
        </w:tc>
      </w:tr>
      <w:tr w:rsidR="007329AC" w:rsidRPr="00F24057" w14:paraId="0D64AD09"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tcPr>
          <w:p w14:paraId="7B77D9A9" w14:textId="77777777" w:rsidR="00A76CF2" w:rsidRPr="00F24057" w:rsidRDefault="00A76CF2" w:rsidP="00D70B34">
            <w:pPr>
              <w:rPr>
                <w:szCs w:val="22"/>
                <w:lang w:val="sr-Latn-ME"/>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3FE63170" w14:textId="2C58FC06" w:rsidR="00A76CF2" w:rsidRPr="00F24057" w:rsidRDefault="00A76CF2" w:rsidP="00D70B34">
            <w:pPr>
              <w:jc w:val="center"/>
              <w:rPr>
                <w:szCs w:val="22"/>
                <w:lang w:val="sr-Latn-ME"/>
              </w:rPr>
            </w:pPr>
            <w:r w:rsidRPr="00F24057">
              <w:rPr>
                <w:b/>
                <w:szCs w:val="22"/>
                <w:lang w:val="sr-Latn-ME"/>
              </w:rPr>
              <w:t>Placebo</w:t>
            </w:r>
          </w:p>
          <w:p w14:paraId="7D037811" w14:textId="77777777" w:rsidR="00A76CF2" w:rsidRPr="00F24057" w:rsidRDefault="00A76CF2" w:rsidP="00D70B34">
            <w:pPr>
              <w:jc w:val="center"/>
              <w:rPr>
                <w:szCs w:val="22"/>
                <w:lang w:val="sr-Latn-ME"/>
              </w:rPr>
            </w:pPr>
            <w:r w:rsidRPr="00F24057">
              <w:rPr>
                <w:b/>
                <w:szCs w:val="22"/>
                <w:lang w:val="sr-Latn-ME"/>
              </w:rPr>
              <w:t>N=74</w:t>
            </w:r>
          </w:p>
        </w:tc>
        <w:tc>
          <w:tcPr>
            <w:tcW w:w="843" w:type="pct"/>
            <w:tcBorders>
              <w:top w:val="single" w:sz="4" w:space="0" w:color="000000"/>
              <w:left w:val="single" w:sz="4" w:space="0" w:color="000000"/>
              <w:bottom w:val="single" w:sz="4" w:space="0" w:color="000000"/>
              <w:right w:val="single" w:sz="4" w:space="0" w:color="000000"/>
            </w:tcBorders>
            <w:vAlign w:val="center"/>
          </w:tcPr>
          <w:p w14:paraId="092210FA" w14:textId="6CC94C9E" w:rsidR="00A76CF2" w:rsidRPr="00F24057" w:rsidRDefault="00A76CF2" w:rsidP="00D70B34">
            <w:pPr>
              <w:jc w:val="center"/>
              <w:rPr>
                <w:szCs w:val="22"/>
                <w:lang w:val="sr-Latn-ME"/>
              </w:rPr>
            </w:pPr>
            <w:r w:rsidRPr="00F24057">
              <w:rPr>
                <w:b/>
                <w:szCs w:val="22"/>
                <w:lang w:val="sr-Latn-ME"/>
              </w:rPr>
              <w:t>Adalimumab</w:t>
            </w:r>
          </w:p>
          <w:p w14:paraId="2DACC581" w14:textId="77777777" w:rsidR="00A76CF2" w:rsidRPr="00F24057" w:rsidRDefault="00A76CF2" w:rsidP="00D70B34">
            <w:pPr>
              <w:jc w:val="center"/>
              <w:rPr>
                <w:b/>
                <w:szCs w:val="22"/>
                <w:lang w:val="sr-Latn-ME"/>
              </w:rPr>
            </w:pPr>
            <w:r w:rsidRPr="00F24057">
              <w:rPr>
                <w:b/>
                <w:szCs w:val="22"/>
                <w:lang w:val="sr-Latn-ME"/>
              </w:rPr>
              <w:t xml:space="preserve">80/40 mg </w:t>
            </w:r>
          </w:p>
          <w:p w14:paraId="7AF1F067" w14:textId="0F182E16" w:rsidR="00A76CF2" w:rsidRPr="00F24057" w:rsidRDefault="00A76CF2" w:rsidP="00D70B34">
            <w:pPr>
              <w:jc w:val="center"/>
              <w:rPr>
                <w:szCs w:val="22"/>
                <w:lang w:val="sr-Latn-ME"/>
              </w:rPr>
            </w:pPr>
            <w:r w:rsidRPr="00F24057">
              <w:rPr>
                <w:b/>
                <w:szCs w:val="22"/>
                <w:lang w:val="sr-Latn-ME"/>
              </w:rPr>
              <w:t>N = 75</w:t>
            </w:r>
          </w:p>
        </w:tc>
        <w:tc>
          <w:tcPr>
            <w:tcW w:w="876" w:type="pct"/>
            <w:tcBorders>
              <w:top w:val="single" w:sz="4" w:space="0" w:color="000000"/>
              <w:left w:val="single" w:sz="4" w:space="0" w:color="000000"/>
              <w:bottom w:val="single" w:sz="4" w:space="0" w:color="000000"/>
              <w:right w:val="single" w:sz="4" w:space="0" w:color="000000"/>
            </w:tcBorders>
            <w:vAlign w:val="center"/>
          </w:tcPr>
          <w:p w14:paraId="2EA0985B" w14:textId="018D2C75" w:rsidR="00A76CF2" w:rsidRPr="00F24057" w:rsidRDefault="00A76CF2" w:rsidP="00D70B34">
            <w:pPr>
              <w:jc w:val="center"/>
              <w:rPr>
                <w:szCs w:val="22"/>
                <w:lang w:val="sr-Latn-ME"/>
              </w:rPr>
            </w:pPr>
            <w:r w:rsidRPr="00F24057">
              <w:rPr>
                <w:b/>
                <w:szCs w:val="22"/>
                <w:lang w:val="sr-Latn-ME"/>
              </w:rPr>
              <w:t>Adalimumab</w:t>
            </w:r>
          </w:p>
          <w:p w14:paraId="62019520" w14:textId="1FEF3D14" w:rsidR="00A76CF2" w:rsidRPr="00F24057" w:rsidRDefault="00A76CF2" w:rsidP="00D70B34">
            <w:pPr>
              <w:jc w:val="center"/>
              <w:rPr>
                <w:szCs w:val="22"/>
                <w:lang w:val="sr-Latn-ME"/>
              </w:rPr>
            </w:pPr>
            <w:r w:rsidRPr="00F24057">
              <w:rPr>
                <w:b/>
                <w:szCs w:val="22"/>
                <w:lang w:val="sr-Latn-ME"/>
              </w:rPr>
              <w:t>160/80 mg</w:t>
            </w:r>
          </w:p>
          <w:p w14:paraId="71C2E40F" w14:textId="77777777" w:rsidR="00A76CF2" w:rsidRPr="00F24057" w:rsidRDefault="00A76CF2" w:rsidP="00D70B34">
            <w:pPr>
              <w:jc w:val="center"/>
              <w:rPr>
                <w:szCs w:val="22"/>
                <w:lang w:val="sr-Latn-ME"/>
              </w:rPr>
            </w:pPr>
            <w:r w:rsidRPr="00F24057">
              <w:rPr>
                <w:b/>
                <w:szCs w:val="22"/>
                <w:lang w:val="sr-Latn-ME"/>
              </w:rPr>
              <w:t>N = 76</w:t>
            </w:r>
          </w:p>
        </w:tc>
        <w:tc>
          <w:tcPr>
            <w:tcW w:w="876" w:type="pct"/>
            <w:tcBorders>
              <w:top w:val="single" w:sz="4" w:space="0" w:color="000000"/>
              <w:left w:val="single" w:sz="4" w:space="0" w:color="000000"/>
              <w:bottom w:val="single" w:sz="4" w:space="0" w:color="000000"/>
              <w:right w:val="single" w:sz="4" w:space="0" w:color="000000"/>
            </w:tcBorders>
            <w:vAlign w:val="center"/>
          </w:tcPr>
          <w:p w14:paraId="5CB401D1" w14:textId="3806E110" w:rsidR="00A76CF2" w:rsidRPr="00F24057" w:rsidRDefault="00A76CF2" w:rsidP="00D70B34">
            <w:pPr>
              <w:jc w:val="center"/>
              <w:rPr>
                <w:szCs w:val="22"/>
                <w:lang w:val="sr-Latn-ME"/>
              </w:rPr>
            </w:pPr>
            <w:r w:rsidRPr="00F24057">
              <w:rPr>
                <w:b/>
                <w:szCs w:val="22"/>
                <w:lang w:val="sr-Latn-ME"/>
              </w:rPr>
              <w:t>Placebo</w:t>
            </w:r>
          </w:p>
          <w:p w14:paraId="00B69E33" w14:textId="77777777" w:rsidR="00A76CF2" w:rsidRPr="00F24057" w:rsidRDefault="00A76CF2" w:rsidP="00D70B34">
            <w:pPr>
              <w:jc w:val="center"/>
              <w:rPr>
                <w:szCs w:val="22"/>
                <w:lang w:val="sr-Latn-ME"/>
              </w:rPr>
            </w:pPr>
            <w:r w:rsidRPr="00F24057">
              <w:rPr>
                <w:b/>
                <w:szCs w:val="22"/>
                <w:lang w:val="sr-Latn-ME"/>
              </w:rPr>
              <w:t>N=166</w:t>
            </w:r>
          </w:p>
        </w:tc>
        <w:tc>
          <w:tcPr>
            <w:tcW w:w="841" w:type="pct"/>
            <w:tcBorders>
              <w:top w:val="single" w:sz="4" w:space="0" w:color="000000"/>
              <w:left w:val="single" w:sz="4" w:space="0" w:color="000000"/>
              <w:bottom w:val="single" w:sz="4" w:space="0" w:color="000000"/>
              <w:right w:val="single" w:sz="4" w:space="0" w:color="000000"/>
            </w:tcBorders>
            <w:vAlign w:val="center"/>
          </w:tcPr>
          <w:p w14:paraId="78DFB3E2" w14:textId="7AF4FC03" w:rsidR="00A76CF2" w:rsidRPr="00F24057" w:rsidRDefault="00A76CF2" w:rsidP="00D70B34">
            <w:pPr>
              <w:jc w:val="center"/>
              <w:rPr>
                <w:szCs w:val="22"/>
                <w:lang w:val="sr-Latn-ME"/>
              </w:rPr>
            </w:pPr>
            <w:r w:rsidRPr="00F24057">
              <w:rPr>
                <w:b/>
                <w:szCs w:val="22"/>
                <w:lang w:val="sr-Latn-ME"/>
              </w:rPr>
              <w:t>Adalimumab</w:t>
            </w:r>
          </w:p>
          <w:p w14:paraId="58FA22DC" w14:textId="77777777" w:rsidR="00A76CF2" w:rsidRPr="00F24057" w:rsidRDefault="00A76CF2" w:rsidP="00D70B34">
            <w:pPr>
              <w:jc w:val="center"/>
              <w:rPr>
                <w:b/>
                <w:szCs w:val="22"/>
                <w:lang w:val="sr-Latn-ME"/>
              </w:rPr>
            </w:pPr>
            <w:r w:rsidRPr="00F24057">
              <w:rPr>
                <w:b/>
                <w:szCs w:val="22"/>
                <w:lang w:val="sr-Latn-ME"/>
              </w:rPr>
              <w:t xml:space="preserve">160/80 mg </w:t>
            </w:r>
          </w:p>
          <w:p w14:paraId="3904EF7F" w14:textId="2374F57B" w:rsidR="00A76CF2" w:rsidRPr="00F24057" w:rsidRDefault="00A76CF2" w:rsidP="00D70B34">
            <w:pPr>
              <w:jc w:val="center"/>
              <w:rPr>
                <w:szCs w:val="22"/>
                <w:lang w:val="sr-Latn-ME"/>
              </w:rPr>
            </w:pPr>
            <w:r w:rsidRPr="00F24057">
              <w:rPr>
                <w:b/>
                <w:szCs w:val="22"/>
                <w:lang w:val="sr-Latn-ME"/>
              </w:rPr>
              <w:t>N = 159</w:t>
            </w:r>
          </w:p>
        </w:tc>
      </w:tr>
      <w:tr w:rsidR="007329AC" w:rsidRPr="00F24057" w14:paraId="00273279"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6A4EFA33" w14:textId="4A030303" w:rsidR="00A76CF2" w:rsidRPr="00F24057" w:rsidRDefault="00885A78" w:rsidP="00D70B34">
            <w:pPr>
              <w:jc w:val="left"/>
              <w:rPr>
                <w:szCs w:val="22"/>
                <w:lang w:val="sr-Latn-ME"/>
              </w:rPr>
            </w:pPr>
            <w:r w:rsidRPr="00F24057">
              <w:rPr>
                <w:szCs w:val="22"/>
                <w:lang w:val="sr-Latn-ME"/>
              </w:rPr>
              <w:t>Nedjelj</w:t>
            </w:r>
            <w:r w:rsidR="00A76CF2" w:rsidRPr="00F24057">
              <w:rPr>
                <w:szCs w:val="22"/>
                <w:lang w:val="sr-Latn-ME"/>
              </w:rPr>
              <w:t>a 4</w:t>
            </w:r>
          </w:p>
        </w:tc>
        <w:tc>
          <w:tcPr>
            <w:tcW w:w="594" w:type="pct"/>
            <w:tcBorders>
              <w:top w:val="single" w:sz="4" w:space="0" w:color="000000"/>
              <w:left w:val="single" w:sz="4" w:space="0" w:color="000000"/>
              <w:bottom w:val="single" w:sz="4" w:space="0" w:color="000000"/>
              <w:right w:val="single" w:sz="4" w:space="0" w:color="000000"/>
            </w:tcBorders>
            <w:vAlign w:val="center"/>
          </w:tcPr>
          <w:p w14:paraId="72E15EC0" w14:textId="77777777" w:rsidR="00A76CF2" w:rsidRPr="00F24057" w:rsidRDefault="00A76CF2" w:rsidP="00D70B34">
            <w:pPr>
              <w:jc w:val="center"/>
              <w:rPr>
                <w:szCs w:val="22"/>
                <w:lang w:val="sr-Latn-ME"/>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4AFCDEFD" w14:textId="77777777" w:rsidR="00A76CF2" w:rsidRPr="00F24057" w:rsidRDefault="00A76CF2" w:rsidP="00D70B34">
            <w:pPr>
              <w:jc w:val="center"/>
              <w:rPr>
                <w:szCs w:val="22"/>
                <w:lang w:val="sr-Latn-ME"/>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620377D5" w14:textId="77777777" w:rsidR="00A76CF2" w:rsidRPr="00F24057" w:rsidRDefault="00A76CF2" w:rsidP="00D70B34">
            <w:pPr>
              <w:jc w:val="center"/>
              <w:rPr>
                <w:szCs w:val="22"/>
                <w:lang w:val="sr-Latn-ME"/>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3A19241C" w14:textId="77777777" w:rsidR="00A76CF2" w:rsidRPr="00F24057" w:rsidRDefault="00A76CF2" w:rsidP="00D70B34">
            <w:pPr>
              <w:jc w:val="center"/>
              <w:rPr>
                <w:szCs w:val="22"/>
                <w:lang w:val="sr-Latn-ME"/>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718B1811" w14:textId="77777777" w:rsidR="00A76CF2" w:rsidRPr="00F24057" w:rsidRDefault="00A76CF2" w:rsidP="00D70B34">
            <w:pPr>
              <w:jc w:val="center"/>
              <w:rPr>
                <w:szCs w:val="22"/>
                <w:lang w:val="sr-Latn-ME"/>
              </w:rPr>
            </w:pPr>
          </w:p>
        </w:tc>
      </w:tr>
      <w:tr w:rsidR="007329AC" w:rsidRPr="00F24057" w14:paraId="19C1CE97"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7AC80DD1" w14:textId="77777777" w:rsidR="00A76CF2" w:rsidRPr="00F24057" w:rsidRDefault="00A76CF2" w:rsidP="00D70B34">
            <w:pPr>
              <w:jc w:val="left"/>
              <w:rPr>
                <w:szCs w:val="22"/>
                <w:lang w:val="sr-Latn-ME"/>
              </w:rPr>
            </w:pPr>
            <w:r w:rsidRPr="00F24057">
              <w:rPr>
                <w:szCs w:val="22"/>
                <w:lang w:val="sr-Latn-ME"/>
              </w:rPr>
              <w:t>Klinička remisija</w:t>
            </w:r>
          </w:p>
        </w:tc>
        <w:tc>
          <w:tcPr>
            <w:tcW w:w="594" w:type="pct"/>
            <w:tcBorders>
              <w:top w:val="single" w:sz="4" w:space="0" w:color="000000"/>
              <w:left w:val="single" w:sz="4" w:space="0" w:color="000000"/>
              <w:bottom w:val="single" w:sz="4" w:space="0" w:color="000000"/>
              <w:right w:val="single" w:sz="4" w:space="0" w:color="000000"/>
            </w:tcBorders>
            <w:vAlign w:val="center"/>
          </w:tcPr>
          <w:p w14:paraId="67C6FE2A" w14:textId="77777777" w:rsidR="00A76CF2" w:rsidRPr="00F24057" w:rsidRDefault="00A76CF2" w:rsidP="00D70B34">
            <w:pPr>
              <w:jc w:val="center"/>
              <w:rPr>
                <w:szCs w:val="22"/>
                <w:lang w:val="sr-Latn-ME"/>
              </w:rPr>
            </w:pPr>
            <w:r w:rsidRPr="00F24057">
              <w:rPr>
                <w:szCs w:val="22"/>
                <w:lang w:val="sr-Latn-ME"/>
              </w:rPr>
              <w:t>12%</w:t>
            </w:r>
          </w:p>
        </w:tc>
        <w:tc>
          <w:tcPr>
            <w:tcW w:w="843" w:type="pct"/>
            <w:tcBorders>
              <w:top w:val="single" w:sz="4" w:space="0" w:color="000000"/>
              <w:left w:val="single" w:sz="4" w:space="0" w:color="000000"/>
              <w:bottom w:val="single" w:sz="4" w:space="0" w:color="000000"/>
              <w:right w:val="single" w:sz="4" w:space="0" w:color="000000"/>
            </w:tcBorders>
            <w:vAlign w:val="center"/>
          </w:tcPr>
          <w:p w14:paraId="5811876B" w14:textId="77777777" w:rsidR="00A76CF2" w:rsidRPr="00F24057" w:rsidRDefault="00A76CF2" w:rsidP="00D70B34">
            <w:pPr>
              <w:jc w:val="center"/>
              <w:rPr>
                <w:szCs w:val="22"/>
                <w:lang w:val="sr-Latn-ME"/>
              </w:rPr>
            </w:pPr>
            <w:r w:rsidRPr="00F24057">
              <w:rPr>
                <w:szCs w:val="22"/>
                <w:lang w:val="sr-Latn-ME"/>
              </w:rPr>
              <w:t>24%</w:t>
            </w:r>
          </w:p>
        </w:tc>
        <w:tc>
          <w:tcPr>
            <w:tcW w:w="876" w:type="pct"/>
            <w:tcBorders>
              <w:top w:val="single" w:sz="4" w:space="0" w:color="000000"/>
              <w:left w:val="single" w:sz="4" w:space="0" w:color="000000"/>
              <w:bottom w:val="single" w:sz="4" w:space="0" w:color="000000"/>
              <w:right w:val="single" w:sz="4" w:space="0" w:color="000000"/>
            </w:tcBorders>
            <w:vAlign w:val="center"/>
          </w:tcPr>
          <w:p w14:paraId="3384FEDF" w14:textId="77777777" w:rsidR="00A76CF2" w:rsidRPr="00F24057" w:rsidRDefault="00A76CF2" w:rsidP="00D70B34">
            <w:pPr>
              <w:jc w:val="center"/>
              <w:rPr>
                <w:szCs w:val="22"/>
                <w:lang w:val="sr-Latn-ME"/>
              </w:rPr>
            </w:pPr>
            <w:r w:rsidRPr="00F24057">
              <w:rPr>
                <w:szCs w:val="22"/>
                <w:lang w:val="sr-Latn-ME"/>
              </w:rPr>
              <w:t>36%*</w:t>
            </w:r>
          </w:p>
        </w:tc>
        <w:tc>
          <w:tcPr>
            <w:tcW w:w="876" w:type="pct"/>
            <w:tcBorders>
              <w:top w:val="single" w:sz="4" w:space="0" w:color="000000"/>
              <w:left w:val="single" w:sz="4" w:space="0" w:color="000000"/>
              <w:bottom w:val="single" w:sz="4" w:space="0" w:color="000000"/>
              <w:right w:val="single" w:sz="4" w:space="0" w:color="000000"/>
            </w:tcBorders>
            <w:vAlign w:val="center"/>
          </w:tcPr>
          <w:p w14:paraId="1032732D" w14:textId="77777777" w:rsidR="00A76CF2" w:rsidRPr="00F24057" w:rsidRDefault="00A76CF2" w:rsidP="00D70B34">
            <w:pPr>
              <w:jc w:val="center"/>
              <w:rPr>
                <w:szCs w:val="22"/>
                <w:lang w:val="sr-Latn-ME"/>
              </w:rPr>
            </w:pPr>
            <w:r w:rsidRPr="00F24057">
              <w:rPr>
                <w:szCs w:val="22"/>
                <w:lang w:val="sr-Latn-ME"/>
              </w:rPr>
              <w:t>7%</w:t>
            </w:r>
          </w:p>
        </w:tc>
        <w:tc>
          <w:tcPr>
            <w:tcW w:w="841" w:type="pct"/>
            <w:tcBorders>
              <w:top w:val="single" w:sz="4" w:space="0" w:color="000000"/>
              <w:left w:val="single" w:sz="4" w:space="0" w:color="000000"/>
              <w:bottom w:val="single" w:sz="4" w:space="0" w:color="000000"/>
              <w:right w:val="single" w:sz="4" w:space="0" w:color="000000"/>
            </w:tcBorders>
            <w:vAlign w:val="center"/>
          </w:tcPr>
          <w:p w14:paraId="7A7947BB" w14:textId="77777777" w:rsidR="00A76CF2" w:rsidRPr="00F24057" w:rsidRDefault="00A76CF2" w:rsidP="00D70B34">
            <w:pPr>
              <w:jc w:val="center"/>
              <w:rPr>
                <w:szCs w:val="22"/>
                <w:lang w:val="sr-Latn-ME"/>
              </w:rPr>
            </w:pPr>
            <w:r w:rsidRPr="00F24057">
              <w:rPr>
                <w:szCs w:val="22"/>
                <w:lang w:val="sr-Latn-ME"/>
              </w:rPr>
              <w:t>21%*</w:t>
            </w:r>
          </w:p>
        </w:tc>
      </w:tr>
      <w:tr w:rsidR="007329AC" w:rsidRPr="00F24057" w14:paraId="2A48FB3C"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392E67F1" w14:textId="505D568E" w:rsidR="00A76CF2" w:rsidRPr="00F24057" w:rsidRDefault="00A76CF2" w:rsidP="00D70B34">
            <w:pPr>
              <w:jc w:val="left"/>
              <w:rPr>
                <w:szCs w:val="22"/>
                <w:lang w:val="sr-Latn-ME"/>
              </w:rPr>
            </w:pPr>
            <w:r w:rsidRPr="00F24057">
              <w:rPr>
                <w:szCs w:val="22"/>
                <w:lang w:val="sr-Latn-ME"/>
              </w:rPr>
              <w:t xml:space="preserve">Klinički </w:t>
            </w:r>
            <w:r w:rsidR="00C0295E" w:rsidRPr="00F24057">
              <w:rPr>
                <w:szCs w:val="22"/>
                <w:lang w:val="sr-Latn-ME"/>
              </w:rPr>
              <w:t>o</w:t>
            </w:r>
            <w:r w:rsidRPr="00F24057">
              <w:rPr>
                <w:szCs w:val="22"/>
                <w:lang w:val="sr-Latn-ME"/>
              </w:rPr>
              <w:t>dgovor</w:t>
            </w:r>
            <w:r w:rsidR="00C0295E" w:rsidRPr="00F24057">
              <w:rPr>
                <w:szCs w:val="22"/>
                <w:lang w:val="sr-Latn-ME"/>
              </w:rPr>
              <w:t xml:space="preserve"> </w:t>
            </w:r>
            <w:r w:rsidRPr="00F24057">
              <w:rPr>
                <w:szCs w:val="22"/>
                <w:lang w:val="sr-Latn-ME"/>
              </w:rPr>
              <w:t>(CR-100)</w:t>
            </w:r>
          </w:p>
        </w:tc>
        <w:tc>
          <w:tcPr>
            <w:tcW w:w="594" w:type="pct"/>
            <w:tcBorders>
              <w:top w:val="single" w:sz="4" w:space="0" w:color="000000"/>
              <w:left w:val="single" w:sz="4" w:space="0" w:color="000000"/>
              <w:bottom w:val="single" w:sz="4" w:space="0" w:color="000000"/>
              <w:right w:val="single" w:sz="4" w:space="0" w:color="000000"/>
            </w:tcBorders>
            <w:vAlign w:val="center"/>
          </w:tcPr>
          <w:p w14:paraId="44566C48" w14:textId="77777777" w:rsidR="00A76CF2" w:rsidRPr="00F24057" w:rsidRDefault="00A76CF2" w:rsidP="00D70B34">
            <w:pPr>
              <w:jc w:val="center"/>
              <w:rPr>
                <w:szCs w:val="22"/>
                <w:lang w:val="sr-Latn-ME"/>
              </w:rPr>
            </w:pPr>
            <w:r w:rsidRPr="00F24057">
              <w:rPr>
                <w:szCs w:val="22"/>
                <w:lang w:val="sr-Latn-ME"/>
              </w:rPr>
              <w:t>24%</w:t>
            </w:r>
          </w:p>
        </w:tc>
        <w:tc>
          <w:tcPr>
            <w:tcW w:w="843" w:type="pct"/>
            <w:tcBorders>
              <w:top w:val="single" w:sz="4" w:space="0" w:color="000000"/>
              <w:left w:val="single" w:sz="4" w:space="0" w:color="000000"/>
              <w:bottom w:val="single" w:sz="4" w:space="0" w:color="000000"/>
              <w:right w:val="single" w:sz="4" w:space="0" w:color="000000"/>
            </w:tcBorders>
            <w:vAlign w:val="center"/>
          </w:tcPr>
          <w:p w14:paraId="4284D6EE" w14:textId="77777777" w:rsidR="00A76CF2" w:rsidRPr="00F24057" w:rsidRDefault="00A76CF2" w:rsidP="00D70B34">
            <w:pPr>
              <w:jc w:val="center"/>
              <w:rPr>
                <w:szCs w:val="22"/>
                <w:lang w:val="sr-Latn-ME"/>
              </w:rPr>
            </w:pPr>
            <w:r w:rsidRPr="00F24057">
              <w:rPr>
                <w:szCs w:val="22"/>
                <w:lang w:val="sr-Latn-ME"/>
              </w:rPr>
              <w:t>37%</w:t>
            </w:r>
          </w:p>
        </w:tc>
        <w:tc>
          <w:tcPr>
            <w:tcW w:w="876" w:type="pct"/>
            <w:tcBorders>
              <w:top w:val="single" w:sz="4" w:space="0" w:color="000000"/>
              <w:left w:val="single" w:sz="4" w:space="0" w:color="000000"/>
              <w:bottom w:val="single" w:sz="4" w:space="0" w:color="000000"/>
              <w:right w:val="single" w:sz="4" w:space="0" w:color="000000"/>
            </w:tcBorders>
            <w:vAlign w:val="center"/>
          </w:tcPr>
          <w:p w14:paraId="7D363AF4" w14:textId="50270554" w:rsidR="00A76CF2" w:rsidRPr="00F24057" w:rsidRDefault="00A76CF2" w:rsidP="00D70B34">
            <w:pPr>
              <w:jc w:val="center"/>
              <w:rPr>
                <w:szCs w:val="22"/>
                <w:lang w:val="sr-Latn-ME"/>
              </w:rPr>
            </w:pPr>
            <w:r w:rsidRPr="00F24057">
              <w:rPr>
                <w:szCs w:val="22"/>
                <w:lang w:val="sr-Latn-ME"/>
              </w:rPr>
              <w:t>49%</w:t>
            </w:r>
            <w:r w:rsidR="001867E4" w:rsidRPr="00F24057">
              <w:rPr>
                <w:szCs w:val="22"/>
                <w:lang w:val="sr-Latn-ME"/>
              </w:rPr>
              <w:t>**</w:t>
            </w:r>
          </w:p>
        </w:tc>
        <w:tc>
          <w:tcPr>
            <w:tcW w:w="876" w:type="pct"/>
            <w:tcBorders>
              <w:top w:val="single" w:sz="4" w:space="0" w:color="000000"/>
              <w:left w:val="single" w:sz="4" w:space="0" w:color="000000"/>
              <w:bottom w:val="single" w:sz="4" w:space="0" w:color="000000"/>
              <w:right w:val="single" w:sz="4" w:space="0" w:color="000000"/>
            </w:tcBorders>
            <w:vAlign w:val="center"/>
          </w:tcPr>
          <w:p w14:paraId="2480A252" w14:textId="77777777" w:rsidR="00A76CF2" w:rsidRPr="00F24057" w:rsidRDefault="00A76CF2" w:rsidP="00D70B34">
            <w:pPr>
              <w:jc w:val="center"/>
              <w:rPr>
                <w:szCs w:val="22"/>
                <w:lang w:val="sr-Latn-ME"/>
              </w:rPr>
            </w:pPr>
            <w:r w:rsidRPr="00F24057">
              <w:rPr>
                <w:szCs w:val="22"/>
                <w:lang w:val="sr-Latn-ME"/>
              </w:rPr>
              <w:t>25%</w:t>
            </w:r>
          </w:p>
        </w:tc>
        <w:tc>
          <w:tcPr>
            <w:tcW w:w="841" w:type="pct"/>
            <w:tcBorders>
              <w:top w:val="single" w:sz="4" w:space="0" w:color="000000"/>
              <w:left w:val="single" w:sz="4" w:space="0" w:color="000000"/>
              <w:bottom w:val="single" w:sz="4" w:space="0" w:color="000000"/>
              <w:right w:val="single" w:sz="4" w:space="0" w:color="000000"/>
            </w:tcBorders>
            <w:vAlign w:val="center"/>
          </w:tcPr>
          <w:p w14:paraId="75DFEB0B" w14:textId="77777777" w:rsidR="00A76CF2" w:rsidRPr="00F24057" w:rsidRDefault="00A76CF2" w:rsidP="00D70B34">
            <w:pPr>
              <w:jc w:val="center"/>
              <w:rPr>
                <w:szCs w:val="22"/>
                <w:lang w:val="sr-Latn-ME"/>
              </w:rPr>
            </w:pPr>
            <w:r w:rsidRPr="00F24057">
              <w:rPr>
                <w:szCs w:val="22"/>
                <w:lang w:val="sr-Latn-ME"/>
              </w:rPr>
              <w:t>38%**</w:t>
            </w:r>
          </w:p>
        </w:tc>
      </w:tr>
    </w:tbl>
    <w:p w14:paraId="2050AF4D" w14:textId="6331C119" w:rsidR="00A41CB4" w:rsidRPr="00F24057" w:rsidRDefault="00A41CB4" w:rsidP="00D70B34">
      <w:pPr>
        <w:rPr>
          <w:szCs w:val="22"/>
          <w:lang w:val="sr-Latn-ME"/>
        </w:rPr>
      </w:pPr>
      <w:r w:rsidRPr="00F24057">
        <w:rPr>
          <w:szCs w:val="22"/>
          <w:lang w:val="sr-Latn-ME"/>
        </w:rPr>
        <w:t>Sve p-</w:t>
      </w:r>
      <w:r w:rsidR="00972894" w:rsidRPr="00F24057">
        <w:rPr>
          <w:szCs w:val="22"/>
          <w:lang w:val="sr-Latn-ME"/>
        </w:rPr>
        <w:t>vrijedno</w:t>
      </w:r>
      <w:r w:rsidRPr="00F24057">
        <w:rPr>
          <w:szCs w:val="22"/>
          <w:lang w:val="sr-Latn-ME"/>
        </w:rPr>
        <w:t>sti odnose se na poređenje adalimumaba i placeba</w:t>
      </w:r>
    </w:p>
    <w:p w14:paraId="5261CE46" w14:textId="77777777" w:rsidR="00A41CB4" w:rsidRPr="00F24057" w:rsidRDefault="00A41CB4" w:rsidP="00D70B34">
      <w:pPr>
        <w:rPr>
          <w:szCs w:val="22"/>
          <w:lang w:val="sr-Latn-ME"/>
        </w:rPr>
      </w:pPr>
      <w:r w:rsidRPr="00F24057">
        <w:rPr>
          <w:b/>
          <w:szCs w:val="22"/>
          <w:lang w:val="sr-Latn-ME"/>
        </w:rPr>
        <w:t>*</w:t>
      </w:r>
      <w:r w:rsidRPr="00F24057">
        <w:rPr>
          <w:szCs w:val="22"/>
          <w:lang w:val="sr-Latn-ME"/>
        </w:rPr>
        <w:t>p &lt; 0,001</w:t>
      </w:r>
    </w:p>
    <w:p w14:paraId="0D334134" w14:textId="60D67185" w:rsidR="00A41CB4" w:rsidRPr="00F24057" w:rsidRDefault="00A41CB4" w:rsidP="00D70B34">
      <w:pPr>
        <w:rPr>
          <w:szCs w:val="22"/>
          <w:lang w:val="sr-Latn-ME"/>
        </w:rPr>
      </w:pPr>
      <w:r w:rsidRPr="00F24057">
        <w:rPr>
          <w:szCs w:val="22"/>
          <w:lang w:val="sr-Latn-ME"/>
        </w:rPr>
        <w:t>** p &lt; 0,01</w:t>
      </w:r>
    </w:p>
    <w:p w14:paraId="1DCDEC63" w14:textId="7FF2491C" w:rsidR="009F26A9" w:rsidRPr="00F24057" w:rsidRDefault="009F26A9" w:rsidP="00D70B34">
      <w:pPr>
        <w:rPr>
          <w:szCs w:val="22"/>
          <w:lang w:val="sr-Latn-ME"/>
        </w:rPr>
      </w:pPr>
    </w:p>
    <w:p w14:paraId="27E10095" w14:textId="7BB9096E" w:rsidR="00EA013D" w:rsidRPr="00F24057" w:rsidRDefault="00EA013D" w:rsidP="00D70B34">
      <w:pPr>
        <w:rPr>
          <w:szCs w:val="22"/>
          <w:lang w:val="sr-Latn-ME"/>
        </w:rPr>
      </w:pPr>
      <w:r w:rsidRPr="00F24057">
        <w:rPr>
          <w:szCs w:val="22"/>
          <w:lang w:val="sr-Latn-ME"/>
        </w:rPr>
        <w:t xml:space="preserve">Slične stope remisije do 8. </w:t>
      </w:r>
      <w:r w:rsidR="00885A78" w:rsidRPr="00F24057">
        <w:rPr>
          <w:szCs w:val="22"/>
          <w:lang w:val="sr-Latn-ME"/>
        </w:rPr>
        <w:t>nedjelj</w:t>
      </w:r>
      <w:r w:rsidRPr="00F24057">
        <w:rPr>
          <w:szCs w:val="22"/>
          <w:lang w:val="sr-Latn-ME"/>
        </w:rPr>
        <w:t xml:space="preserve">e uočene su za grupe koje su primale indukcione režime od 160/80 mg i 80/40 mg, a stopa neželjenih dejstava bila je veća u grupi 160/80 mg. </w:t>
      </w:r>
    </w:p>
    <w:p w14:paraId="43E02FE5" w14:textId="77777777" w:rsidR="00EA013D" w:rsidRPr="00F24057" w:rsidRDefault="00EA013D" w:rsidP="00D70B34">
      <w:pPr>
        <w:rPr>
          <w:szCs w:val="22"/>
          <w:lang w:val="sr-Latn-ME"/>
        </w:rPr>
      </w:pPr>
    </w:p>
    <w:p w14:paraId="57C6A78C" w14:textId="4832946B" w:rsidR="00EA013D" w:rsidRPr="00F24057" w:rsidRDefault="00EA013D" w:rsidP="00D70B34">
      <w:pPr>
        <w:rPr>
          <w:szCs w:val="22"/>
          <w:lang w:val="sr-Latn-ME"/>
        </w:rPr>
      </w:pPr>
      <w:r w:rsidRPr="00F24057">
        <w:rPr>
          <w:szCs w:val="22"/>
          <w:lang w:val="sr-Latn-ME"/>
        </w:rPr>
        <w:t xml:space="preserve">U CD studiji III, u 4. </w:t>
      </w:r>
      <w:r w:rsidR="00885A78" w:rsidRPr="00F24057">
        <w:rPr>
          <w:szCs w:val="22"/>
          <w:lang w:val="sr-Latn-ME"/>
        </w:rPr>
        <w:t>nedjelj</w:t>
      </w:r>
      <w:r w:rsidRPr="00F24057">
        <w:rPr>
          <w:szCs w:val="22"/>
          <w:lang w:val="sr-Latn-ME"/>
        </w:rPr>
        <w:t xml:space="preserve">i, 58% pacijenata (499/854) imalo je klinički odgovor i uključeno je u primarnu analizu. 48% pacijenata koji su imali klinički odgovor u 4. </w:t>
      </w:r>
      <w:r w:rsidR="00885A78" w:rsidRPr="00F24057">
        <w:rPr>
          <w:szCs w:val="22"/>
          <w:lang w:val="sr-Latn-ME"/>
        </w:rPr>
        <w:t>nedjelj</w:t>
      </w:r>
      <w:r w:rsidRPr="00F24057">
        <w:rPr>
          <w:szCs w:val="22"/>
          <w:lang w:val="sr-Latn-ME"/>
        </w:rPr>
        <w:t>i već je ranije koristilo neki drugi antagonist TNF-a. Održanje remisije i stopa kliničkog odgovora nalaze se u Tabeli 2</w:t>
      </w:r>
      <w:r w:rsidR="00C12053" w:rsidRPr="00F24057">
        <w:rPr>
          <w:szCs w:val="22"/>
          <w:lang w:val="sr-Latn-ME"/>
        </w:rPr>
        <w:t>2</w:t>
      </w:r>
      <w:r w:rsidRPr="00F24057">
        <w:rPr>
          <w:szCs w:val="22"/>
          <w:lang w:val="sr-Latn-ME"/>
        </w:rPr>
        <w:t xml:space="preserve">. Klinička remisija se održala relativno konstantnom bez obzira na prethodno </w:t>
      </w:r>
      <w:r w:rsidR="0030064A" w:rsidRPr="00F24057">
        <w:rPr>
          <w:szCs w:val="22"/>
          <w:lang w:val="sr-Latn-ME"/>
        </w:rPr>
        <w:t>liječenje</w:t>
      </w:r>
      <w:r w:rsidRPr="00F24057">
        <w:rPr>
          <w:szCs w:val="22"/>
          <w:lang w:val="sr-Latn-ME"/>
        </w:rPr>
        <w:t xml:space="preserve"> antagonistima TNF-a. </w:t>
      </w:r>
    </w:p>
    <w:p w14:paraId="29788457" w14:textId="77777777" w:rsidR="00EA013D" w:rsidRPr="00F24057" w:rsidRDefault="00EA013D" w:rsidP="00D70B34">
      <w:pPr>
        <w:rPr>
          <w:szCs w:val="22"/>
          <w:lang w:val="sr-Latn-ME"/>
        </w:rPr>
      </w:pPr>
    </w:p>
    <w:p w14:paraId="7DE0140A" w14:textId="2FD09570" w:rsidR="00EA013D" w:rsidRPr="00F24057" w:rsidRDefault="00EA013D" w:rsidP="00D70B34">
      <w:pPr>
        <w:rPr>
          <w:szCs w:val="22"/>
          <w:lang w:val="sr-Latn-ME"/>
        </w:rPr>
      </w:pPr>
      <w:r w:rsidRPr="00F24057">
        <w:rPr>
          <w:szCs w:val="22"/>
          <w:lang w:val="sr-Latn-ME"/>
        </w:rPr>
        <w:t xml:space="preserve">Hospitalizacije i hirurške intervencije povezane sa bolešću bile su statistički značajno smanjenje prilikom terapije adalimumabom u poređenju sa placebom u 56. </w:t>
      </w:r>
      <w:r w:rsidR="00885A78" w:rsidRPr="00F24057">
        <w:rPr>
          <w:szCs w:val="22"/>
          <w:lang w:val="sr-Latn-ME"/>
        </w:rPr>
        <w:t>nedjelj</w:t>
      </w:r>
      <w:r w:rsidRPr="00F24057">
        <w:rPr>
          <w:szCs w:val="22"/>
          <w:lang w:val="sr-Latn-ME"/>
        </w:rPr>
        <w:t>i.</w:t>
      </w:r>
    </w:p>
    <w:p w14:paraId="0CEBAB64" w14:textId="77777777" w:rsidR="009F26A9" w:rsidRPr="00F24057" w:rsidRDefault="009F26A9" w:rsidP="00D70B34">
      <w:pPr>
        <w:rPr>
          <w:szCs w:val="22"/>
          <w:lang w:val="sr-Latn-ME"/>
        </w:rPr>
      </w:pPr>
    </w:p>
    <w:p w14:paraId="4445EDDB" w14:textId="0A1CC408" w:rsidR="00C12053" w:rsidRPr="00F24057" w:rsidRDefault="00C12053" w:rsidP="00D70B34">
      <w:pPr>
        <w:rPr>
          <w:b/>
          <w:szCs w:val="22"/>
          <w:lang w:val="sr-Latn-ME"/>
        </w:rPr>
      </w:pPr>
      <w:r w:rsidRPr="00F24057">
        <w:rPr>
          <w:b/>
          <w:szCs w:val="22"/>
          <w:lang w:val="sr-Latn-ME"/>
        </w:rPr>
        <w:t>Tabela 22</w:t>
      </w:r>
      <w:r w:rsidR="006E74BE" w:rsidRPr="00F24057">
        <w:rPr>
          <w:b/>
          <w:szCs w:val="22"/>
          <w:lang w:val="sr-Latn-ME"/>
        </w:rPr>
        <w:t>.</w:t>
      </w:r>
      <w:r w:rsidRPr="00F24057">
        <w:rPr>
          <w:b/>
          <w:szCs w:val="22"/>
          <w:lang w:val="sr-Latn-ME"/>
        </w:rPr>
        <w:t xml:space="preserve"> Održavanje kliničke remisije i kliničkog odgovora (</w:t>
      </w:r>
      <w:r w:rsidR="00972894" w:rsidRPr="00F24057">
        <w:rPr>
          <w:b/>
          <w:szCs w:val="22"/>
          <w:lang w:val="sr-Latn-ME"/>
        </w:rPr>
        <w:t>procenat</w:t>
      </w:r>
      <w:r w:rsidRPr="00F24057">
        <w:rPr>
          <w:b/>
          <w:szCs w:val="22"/>
          <w:lang w:val="sr-Latn-ME"/>
        </w:rPr>
        <w:t xml:space="preserve"> pacijenata)</w:t>
      </w:r>
    </w:p>
    <w:p w14:paraId="12243A26" w14:textId="5766E9A0" w:rsidR="00135265" w:rsidRPr="00F24057" w:rsidRDefault="00135265" w:rsidP="00D70B34">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3397"/>
        <w:gridCol w:w="1275"/>
        <w:gridCol w:w="2287"/>
        <w:gridCol w:w="2058"/>
      </w:tblGrid>
      <w:tr w:rsidR="00901C60" w:rsidRPr="00F24057" w14:paraId="42AEC3C2"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tcPr>
          <w:p w14:paraId="353D7BF5" w14:textId="77777777" w:rsidR="00901C60" w:rsidRPr="00F24057" w:rsidRDefault="00901C60" w:rsidP="00D70B34">
            <w:pPr>
              <w:rPr>
                <w:szCs w:val="22"/>
                <w:lang w:val="sr-Latn-ME"/>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12C94910" w14:textId="77777777" w:rsidR="00901C60" w:rsidRPr="00F24057" w:rsidRDefault="00901C60" w:rsidP="00D70B34">
            <w:pPr>
              <w:jc w:val="center"/>
              <w:rPr>
                <w:szCs w:val="22"/>
                <w:lang w:val="sr-Latn-ME"/>
              </w:rPr>
            </w:pPr>
            <w:r w:rsidRPr="00F24057">
              <w:rPr>
                <w:b/>
                <w:szCs w:val="22"/>
                <w:lang w:val="sr-Latn-ME"/>
              </w:rPr>
              <w:t>Placebo</w:t>
            </w:r>
          </w:p>
        </w:tc>
        <w:tc>
          <w:tcPr>
            <w:tcW w:w="1268" w:type="pct"/>
            <w:tcBorders>
              <w:top w:val="single" w:sz="4" w:space="0" w:color="000000"/>
              <w:left w:val="single" w:sz="4" w:space="0" w:color="000000"/>
              <w:bottom w:val="single" w:sz="4" w:space="0" w:color="000000"/>
              <w:right w:val="single" w:sz="4" w:space="0" w:color="000000"/>
            </w:tcBorders>
            <w:vAlign w:val="center"/>
          </w:tcPr>
          <w:p w14:paraId="4F04A33C" w14:textId="0EA2C4A0" w:rsidR="00901C60" w:rsidRPr="00F24057" w:rsidRDefault="00901C60" w:rsidP="00D70B34">
            <w:pPr>
              <w:jc w:val="center"/>
              <w:rPr>
                <w:szCs w:val="22"/>
                <w:lang w:val="sr-Latn-ME"/>
              </w:rPr>
            </w:pPr>
            <w:r w:rsidRPr="00F24057">
              <w:rPr>
                <w:b/>
                <w:szCs w:val="22"/>
                <w:lang w:val="sr-Latn-ME"/>
              </w:rPr>
              <w:t xml:space="preserve">Adalimumab 40 mg svake druge </w:t>
            </w:r>
            <w:r w:rsidR="00885A78" w:rsidRPr="00F24057">
              <w:rPr>
                <w:b/>
                <w:szCs w:val="22"/>
                <w:lang w:val="sr-Latn-ME"/>
              </w:rPr>
              <w:t>nedjelj</w:t>
            </w:r>
            <w:r w:rsidRPr="00F24057">
              <w:rPr>
                <w:b/>
                <w:szCs w:val="22"/>
                <w:lang w:val="sr-Latn-ME"/>
              </w:rPr>
              <w:t>e</w:t>
            </w:r>
          </w:p>
        </w:tc>
        <w:tc>
          <w:tcPr>
            <w:tcW w:w="1141" w:type="pct"/>
            <w:tcBorders>
              <w:top w:val="single" w:sz="4" w:space="0" w:color="000000"/>
              <w:left w:val="single" w:sz="4" w:space="0" w:color="000000"/>
              <w:bottom w:val="single" w:sz="4" w:space="0" w:color="000000"/>
              <w:right w:val="single" w:sz="4" w:space="0" w:color="000000"/>
            </w:tcBorders>
            <w:vAlign w:val="center"/>
          </w:tcPr>
          <w:p w14:paraId="7FF70604" w14:textId="4C2933B0" w:rsidR="00901C60" w:rsidRPr="00F24057" w:rsidRDefault="00901C60" w:rsidP="00D70B34">
            <w:pPr>
              <w:jc w:val="center"/>
              <w:rPr>
                <w:szCs w:val="22"/>
                <w:lang w:val="sr-Latn-ME"/>
              </w:rPr>
            </w:pPr>
            <w:r w:rsidRPr="00F24057">
              <w:rPr>
                <w:b/>
                <w:szCs w:val="22"/>
                <w:lang w:val="sr-Latn-ME"/>
              </w:rPr>
              <w:t xml:space="preserve">Adalimumab 40 mg svake </w:t>
            </w:r>
            <w:r w:rsidR="00885A78" w:rsidRPr="00F24057">
              <w:rPr>
                <w:b/>
                <w:szCs w:val="22"/>
                <w:lang w:val="sr-Latn-ME"/>
              </w:rPr>
              <w:t>nedjelj</w:t>
            </w:r>
            <w:r w:rsidRPr="00F24057">
              <w:rPr>
                <w:b/>
                <w:szCs w:val="22"/>
                <w:lang w:val="sr-Latn-ME"/>
              </w:rPr>
              <w:t>e</w:t>
            </w:r>
          </w:p>
        </w:tc>
      </w:tr>
      <w:tr w:rsidR="00901C60" w:rsidRPr="00F24057" w14:paraId="21D56BC6"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vAlign w:val="center"/>
          </w:tcPr>
          <w:p w14:paraId="4598D081" w14:textId="0FD798D9" w:rsidR="00901C60" w:rsidRPr="00F24057" w:rsidRDefault="00885A78" w:rsidP="00D70B34">
            <w:pPr>
              <w:jc w:val="left"/>
              <w:rPr>
                <w:szCs w:val="22"/>
                <w:lang w:val="sr-Latn-ME"/>
              </w:rPr>
            </w:pPr>
            <w:r w:rsidRPr="00F24057">
              <w:rPr>
                <w:b/>
                <w:szCs w:val="22"/>
                <w:lang w:val="sr-Latn-ME"/>
              </w:rPr>
              <w:lastRenderedPageBreak/>
              <w:t>Nedjelj</w:t>
            </w:r>
            <w:r w:rsidR="00901C60" w:rsidRPr="00F24057">
              <w:rPr>
                <w:b/>
                <w:szCs w:val="22"/>
                <w:lang w:val="sr-Latn-ME"/>
              </w:rPr>
              <w:t>a 26</w:t>
            </w:r>
          </w:p>
        </w:tc>
        <w:tc>
          <w:tcPr>
            <w:tcW w:w="707" w:type="pct"/>
            <w:tcBorders>
              <w:top w:val="single" w:sz="4" w:space="0" w:color="000000"/>
              <w:left w:val="single" w:sz="4" w:space="0" w:color="000000"/>
              <w:bottom w:val="single" w:sz="4" w:space="0" w:color="000000"/>
              <w:right w:val="single" w:sz="4" w:space="0" w:color="000000"/>
            </w:tcBorders>
            <w:vAlign w:val="center"/>
          </w:tcPr>
          <w:p w14:paraId="1283B557" w14:textId="77777777" w:rsidR="00901C60" w:rsidRPr="00F24057" w:rsidRDefault="00901C60" w:rsidP="00D70B34">
            <w:pPr>
              <w:jc w:val="center"/>
              <w:rPr>
                <w:szCs w:val="22"/>
                <w:lang w:val="sr-Latn-ME"/>
              </w:rPr>
            </w:pPr>
            <w:r w:rsidRPr="00F24057">
              <w:rPr>
                <w:b/>
                <w:szCs w:val="22"/>
                <w:lang w:val="sr-Latn-ME"/>
              </w:rPr>
              <w:t>N=170</w:t>
            </w:r>
          </w:p>
        </w:tc>
        <w:tc>
          <w:tcPr>
            <w:tcW w:w="1268" w:type="pct"/>
            <w:tcBorders>
              <w:top w:val="single" w:sz="4" w:space="0" w:color="000000"/>
              <w:left w:val="single" w:sz="4" w:space="0" w:color="000000"/>
              <w:bottom w:val="single" w:sz="4" w:space="0" w:color="000000"/>
              <w:right w:val="single" w:sz="4" w:space="0" w:color="000000"/>
            </w:tcBorders>
            <w:vAlign w:val="center"/>
          </w:tcPr>
          <w:p w14:paraId="61D0813A" w14:textId="77777777" w:rsidR="00901C60" w:rsidRPr="00F24057" w:rsidRDefault="00901C60" w:rsidP="00D70B34">
            <w:pPr>
              <w:jc w:val="center"/>
              <w:rPr>
                <w:szCs w:val="22"/>
                <w:lang w:val="sr-Latn-ME"/>
              </w:rPr>
            </w:pPr>
            <w:r w:rsidRPr="00F24057">
              <w:rPr>
                <w:b/>
                <w:szCs w:val="22"/>
                <w:lang w:val="sr-Latn-ME"/>
              </w:rPr>
              <w:t>N=172</w:t>
            </w:r>
          </w:p>
        </w:tc>
        <w:tc>
          <w:tcPr>
            <w:tcW w:w="1141" w:type="pct"/>
            <w:tcBorders>
              <w:top w:val="single" w:sz="4" w:space="0" w:color="000000"/>
              <w:left w:val="single" w:sz="4" w:space="0" w:color="000000"/>
              <w:bottom w:val="single" w:sz="4" w:space="0" w:color="000000"/>
              <w:right w:val="single" w:sz="4" w:space="0" w:color="000000"/>
            </w:tcBorders>
            <w:vAlign w:val="center"/>
          </w:tcPr>
          <w:p w14:paraId="16FA77DF" w14:textId="77777777" w:rsidR="00901C60" w:rsidRPr="00F24057" w:rsidRDefault="00901C60" w:rsidP="00D70B34">
            <w:pPr>
              <w:jc w:val="center"/>
              <w:rPr>
                <w:szCs w:val="22"/>
                <w:lang w:val="sr-Latn-ME"/>
              </w:rPr>
            </w:pPr>
            <w:r w:rsidRPr="00F24057">
              <w:rPr>
                <w:b/>
                <w:szCs w:val="22"/>
                <w:lang w:val="sr-Latn-ME"/>
              </w:rPr>
              <w:t>N=157</w:t>
            </w:r>
          </w:p>
        </w:tc>
      </w:tr>
      <w:tr w:rsidR="00901C60" w:rsidRPr="00F24057" w14:paraId="6F055EF9"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vAlign w:val="center"/>
          </w:tcPr>
          <w:p w14:paraId="13944288" w14:textId="77777777" w:rsidR="00901C60" w:rsidRPr="00F24057" w:rsidRDefault="00901C60" w:rsidP="00D70B34">
            <w:pPr>
              <w:jc w:val="left"/>
              <w:rPr>
                <w:szCs w:val="22"/>
                <w:lang w:val="sr-Latn-ME"/>
              </w:rPr>
            </w:pPr>
            <w:r w:rsidRPr="00F24057">
              <w:rPr>
                <w:szCs w:val="22"/>
                <w:lang w:val="sr-Latn-ME"/>
              </w:rPr>
              <w:t>Klinička remisija</w:t>
            </w:r>
          </w:p>
        </w:tc>
        <w:tc>
          <w:tcPr>
            <w:tcW w:w="707" w:type="pct"/>
            <w:tcBorders>
              <w:top w:val="single" w:sz="4" w:space="0" w:color="000000"/>
              <w:left w:val="single" w:sz="4" w:space="0" w:color="000000"/>
              <w:bottom w:val="single" w:sz="4" w:space="0" w:color="000000"/>
              <w:right w:val="single" w:sz="4" w:space="0" w:color="000000"/>
            </w:tcBorders>
            <w:vAlign w:val="center"/>
          </w:tcPr>
          <w:p w14:paraId="39C90657" w14:textId="77777777" w:rsidR="00901C60" w:rsidRPr="00F24057" w:rsidRDefault="00901C60" w:rsidP="00D70B34">
            <w:pPr>
              <w:jc w:val="center"/>
              <w:rPr>
                <w:szCs w:val="22"/>
                <w:lang w:val="sr-Latn-ME"/>
              </w:rPr>
            </w:pPr>
            <w:r w:rsidRPr="00F24057">
              <w:rPr>
                <w:szCs w:val="22"/>
                <w:lang w:val="sr-Latn-ME"/>
              </w:rPr>
              <w:t>17%</w:t>
            </w:r>
          </w:p>
        </w:tc>
        <w:tc>
          <w:tcPr>
            <w:tcW w:w="1268" w:type="pct"/>
            <w:tcBorders>
              <w:top w:val="single" w:sz="4" w:space="0" w:color="000000"/>
              <w:left w:val="single" w:sz="4" w:space="0" w:color="000000"/>
              <w:bottom w:val="single" w:sz="4" w:space="0" w:color="000000"/>
              <w:right w:val="single" w:sz="4" w:space="0" w:color="000000"/>
            </w:tcBorders>
            <w:vAlign w:val="center"/>
          </w:tcPr>
          <w:p w14:paraId="70051484" w14:textId="77777777" w:rsidR="00901C60" w:rsidRPr="00F24057" w:rsidRDefault="00901C60" w:rsidP="00D70B34">
            <w:pPr>
              <w:jc w:val="center"/>
              <w:rPr>
                <w:szCs w:val="22"/>
                <w:lang w:val="sr-Latn-ME"/>
              </w:rPr>
            </w:pPr>
            <w:r w:rsidRPr="00F24057">
              <w:rPr>
                <w:szCs w:val="22"/>
                <w:lang w:val="sr-Latn-ME"/>
              </w:rPr>
              <w:t>40%*</w:t>
            </w:r>
          </w:p>
        </w:tc>
        <w:tc>
          <w:tcPr>
            <w:tcW w:w="1141" w:type="pct"/>
            <w:tcBorders>
              <w:top w:val="single" w:sz="4" w:space="0" w:color="000000"/>
              <w:left w:val="single" w:sz="4" w:space="0" w:color="000000"/>
              <w:bottom w:val="single" w:sz="4" w:space="0" w:color="000000"/>
              <w:right w:val="single" w:sz="4" w:space="0" w:color="000000"/>
            </w:tcBorders>
            <w:vAlign w:val="center"/>
          </w:tcPr>
          <w:p w14:paraId="0DF0EEC9" w14:textId="77777777" w:rsidR="00901C60" w:rsidRPr="00F24057" w:rsidRDefault="00901C60" w:rsidP="00D70B34">
            <w:pPr>
              <w:jc w:val="center"/>
              <w:rPr>
                <w:szCs w:val="22"/>
                <w:lang w:val="sr-Latn-ME"/>
              </w:rPr>
            </w:pPr>
            <w:r w:rsidRPr="00F24057">
              <w:rPr>
                <w:szCs w:val="22"/>
                <w:lang w:val="sr-Latn-ME"/>
              </w:rPr>
              <w:t>47%*</w:t>
            </w:r>
          </w:p>
        </w:tc>
      </w:tr>
      <w:tr w:rsidR="00901C60" w:rsidRPr="00F24057" w14:paraId="6A3E5EEA"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vAlign w:val="center"/>
          </w:tcPr>
          <w:p w14:paraId="3C195B03" w14:textId="77777777" w:rsidR="00901C60" w:rsidRPr="00F24057" w:rsidRDefault="00901C60" w:rsidP="00D70B34">
            <w:pPr>
              <w:jc w:val="left"/>
              <w:rPr>
                <w:szCs w:val="22"/>
                <w:lang w:val="sr-Latn-ME"/>
              </w:rPr>
            </w:pPr>
            <w:r w:rsidRPr="00F24057">
              <w:rPr>
                <w:szCs w:val="22"/>
                <w:lang w:val="sr-Latn-ME"/>
              </w:rPr>
              <w:t>Klinički odgovor (CR-100)</w:t>
            </w:r>
          </w:p>
        </w:tc>
        <w:tc>
          <w:tcPr>
            <w:tcW w:w="707" w:type="pct"/>
            <w:tcBorders>
              <w:top w:val="single" w:sz="4" w:space="0" w:color="000000"/>
              <w:left w:val="single" w:sz="4" w:space="0" w:color="000000"/>
              <w:bottom w:val="single" w:sz="4" w:space="0" w:color="000000"/>
              <w:right w:val="single" w:sz="4" w:space="0" w:color="000000"/>
            </w:tcBorders>
            <w:vAlign w:val="center"/>
          </w:tcPr>
          <w:p w14:paraId="33C552F0" w14:textId="77777777" w:rsidR="00901C60" w:rsidRPr="00F24057" w:rsidRDefault="00901C60" w:rsidP="00D70B34">
            <w:pPr>
              <w:jc w:val="center"/>
              <w:rPr>
                <w:szCs w:val="22"/>
                <w:lang w:val="sr-Latn-ME"/>
              </w:rPr>
            </w:pPr>
            <w:r w:rsidRPr="00F24057">
              <w:rPr>
                <w:szCs w:val="22"/>
                <w:lang w:val="sr-Latn-ME"/>
              </w:rPr>
              <w:t>27%</w:t>
            </w:r>
          </w:p>
        </w:tc>
        <w:tc>
          <w:tcPr>
            <w:tcW w:w="1268" w:type="pct"/>
            <w:tcBorders>
              <w:top w:val="single" w:sz="4" w:space="0" w:color="000000"/>
              <w:left w:val="single" w:sz="4" w:space="0" w:color="000000"/>
              <w:bottom w:val="single" w:sz="4" w:space="0" w:color="000000"/>
              <w:right w:val="single" w:sz="4" w:space="0" w:color="000000"/>
            </w:tcBorders>
            <w:vAlign w:val="center"/>
          </w:tcPr>
          <w:p w14:paraId="340B9AA7" w14:textId="77777777" w:rsidR="00901C60" w:rsidRPr="00F24057" w:rsidRDefault="00901C60" w:rsidP="00D70B34">
            <w:pPr>
              <w:jc w:val="center"/>
              <w:rPr>
                <w:szCs w:val="22"/>
                <w:lang w:val="sr-Latn-ME"/>
              </w:rPr>
            </w:pPr>
            <w:r w:rsidRPr="00F24057">
              <w:rPr>
                <w:szCs w:val="22"/>
                <w:lang w:val="sr-Latn-ME"/>
              </w:rPr>
              <w:t>52%*</w:t>
            </w:r>
          </w:p>
        </w:tc>
        <w:tc>
          <w:tcPr>
            <w:tcW w:w="1141" w:type="pct"/>
            <w:tcBorders>
              <w:top w:val="single" w:sz="4" w:space="0" w:color="000000"/>
              <w:left w:val="single" w:sz="4" w:space="0" w:color="000000"/>
              <w:bottom w:val="single" w:sz="4" w:space="0" w:color="000000"/>
              <w:right w:val="single" w:sz="4" w:space="0" w:color="000000"/>
            </w:tcBorders>
            <w:vAlign w:val="center"/>
          </w:tcPr>
          <w:p w14:paraId="3C38CDDD" w14:textId="77777777" w:rsidR="00901C60" w:rsidRPr="00F24057" w:rsidRDefault="00901C60" w:rsidP="00D70B34">
            <w:pPr>
              <w:jc w:val="center"/>
              <w:rPr>
                <w:szCs w:val="22"/>
                <w:lang w:val="sr-Latn-ME"/>
              </w:rPr>
            </w:pPr>
            <w:r w:rsidRPr="00F24057">
              <w:rPr>
                <w:szCs w:val="22"/>
                <w:lang w:val="sr-Latn-ME"/>
              </w:rPr>
              <w:t>52%*</w:t>
            </w:r>
          </w:p>
        </w:tc>
      </w:tr>
      <w:tr w:rsidR="00901C60" w:rsidRPr="00F24057" w14:paraId="3B798125"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vAlign w:val="center"/>
          </w:tcPr>
          <w:p w14:paraId="75CC29B8" w14:textId="321F4F0C" w:rsidR="00901C60" w:rsidRPr="00F24057" w:rsidRDefault="00901C60" w:rsidP="001A7847">
            <w:pPr>
              <w:tabs>
                <w:tab w:val="clear" w:pos="284"/>
              </w:tabs>
              <w:ind w:left="284"/>
              <w:jc w:val="left"/>
              <w:rPr>
                <w:szCs w:val="22"/>
                <w:lang w:val="sr-Latn-ME"/>
              </w:rPr>
            </w:pPr>
            <w:r w:rsidRPr="00F24057">
              <w:rPr>
                <w:szCs w:val="22"/>
                <w:lang w:val="sr-Latn-ME"/>
              </w:rPr>
              <w:t xml:space="preserve">Pacijenti u remisiji bez upotrebe steroida </w:t>
            </w:r>
            <w:r w:rsidR="004A5745" w:rsidRPr="00F24057">
              <w:rPr>
                <w:szCs w:val="22"/>
                <w:lang w:val="sr-Latn-ME"/>
              </w:rPr>
              <w:t>≥</w:t>
            </w:r>
            <w:r w:rsidRPr="00F24057">
              <w:rPr>
                <w:szCs w:val="22"/>
                <w:lang w:val="sr-Latn-ME"/>
              </w:rPr>
              <w:t xml:space="preserve"> 90 dana</w:t>
            </w:r>
            <w:r w:rsidR="008D3F2A" w:rsidRPr="00F24057">
              <w:rPr>
                <w:szCs w:val="22"/>
                <w:vertAlign w:val="superscript"/>
                <w:lang w:val="sr-Latn-ME"/>
              </w:rPr>
              <w:t>a</w:t>
            </w:r>
          </w:p>
        </w:tc>
        <w:tc>
          <w:tcPr>
            <w:tcW w:w="707" w:type="pct"/>
            <w:tcBorders>
              <w:top w:val="single" w:sz="4" w:space="0" w:color="000000"/>
              <w:left w:val="single" w:sz="4" w:space="0" w:color="000000"/>
              <w:bottom w:val="single" w:sz="4" w:space="0" w:color="000000"/>
              <w:right w:val="single" w:sz="4" w:space="0" w:color="000000"/>
            </w:tcBorders>
            <w:vAlign w:val="center"/>
          </w:tcPr>
          <w:p w14:paraId="34697B92" w14:textId="77777777" w:rsidR="00901C60" w:rsidRPr="00F24057" w:rsidRDefault="00901C60" w:rsidP="00D70B34">
            <w:pPr>
              <w:jc w:val="center"/>
              <w:rPr>
                <w:szCs w:val="22"/>
                <w:lang w:val="sr-Latn-ME"/>
              </w:rPr>
            </w:pPr>
            <w:r w:rsidRPr="00F24057">
              <w:rPr>
                <w:szCs w:val="22"/>
                <w:lang w:val="sr-Latn-ME"/>
              </w:rPr>
              <w:t>3% (2/66)</w:t>
            </w:r>
          </w:p>
        </w:tc>
        <w:tc>
          <w:tcPr>
            <w:tcW w:w="1268" w:type="pct"/>
            <w:tcBorders>
              <w:top w:val="single" w:sz="4" w:space="0" w:color="000000"/>
              <w:left w:val="single" w:sz="4" w:space="0" w:color="000000"/>
              <w:bottom w:val="single" w:sz="4" w:space="0" w:color="000000"/>
              <w:right w:val="single" w:sz="4" w:space="0" w:color="000000"/>
            </w:tcBorders>
            <w:vAlign w:val="center"/>
          </w:tcPr>
          <w:p w14:paraId="4DB6501A" w14:textId="77777777" w:rsidR="00901C60" w:rsidRPr="00F24057" w:rsidRDefault="00901C60" w:rsidP="00D70B34">
            <w:pPr>
              <w:jc w:val="center"/>
              <w:rPr>
                <w:szCs w:val="22"/>
                <w:lang w:val="sr-Latn-ME"/>
              </w:rPr>
            </w:pPr>
            <w:r w:rsidRPr="00F24057">
              <w:rPr>
                <w:szCs w:val="22"/>
                <w:lang w:val="sr-Latn-ME"/>
              </w:rPr>
              <w:t>19% (11/58)**</w:t>
            </w:r>
          </w:p>
        </w:tc>
        <w:tc>
          <w:tcPr>
            <w:tcW w:w="1141" w:type="pct"/>
            <w:tcBorders>
              <w:top w:val="single" w:sz="4" w:space="0" w:color="000000"/>
              <w:left w:val="single" w:sz="4" w:space="0" w:color="000000"/>
              <w:bottom w:val="single" w:sz="4" w:space="0" w:color="000000"/>
              <w:right w:val="single" w:sz="4" w:space="0" w:color="000000"/>
            </w:tcBorders>
            <w:vAlign w:val="center"/>
          </w:tcPr>
          <w:p w14:paraId="662BDAE5" w14:textId="77777777" w:rsidR="00901C60" w:rsidRPr="00F24057" w:rsidRDefault="00901C60" w:rsidP="00D70B34">
            <w:pPr>
              <w:jc w:val="center"/>
              <w:rPr>
                <w:szCs w:val="22"/>
                <w:lang w:val="sr-Latn-ME"/>
              </w:rPr>
            </w:pPr>
            <w:r w:rsidRPr="00F24057">
              <w:rPr>
                <w:szCs w:val="22"/>
                <w:lang w:val="sr-Latn-ME"/>
              </w:rPr>
              <w:t>15% (11/74)**</w:t>
            </w:r>
          </w:p>
        </w:tc>
      </w:tr>
      <w:tr w:rsidR="00901C60" w:rsidRPr="00F24057" w14:paraId="2102EE51"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vAlign w:val="center"/>
          </w:tcPr>
          <w:p w14:paraId="3F5C4F3E" w14:textId="32E468ED" w:rsidR="00901C60" w:rsidRPr="00F24057" w:rsidRDefault="00885A78" w:rsidP="00D70B34">
            <w:pPr>
              <w:jc w:val="left"/>
              <w:rPr>
                <w:szCs w:val="22"/>
                <w:lang w:val="sr-Latn-ME"/>
              </w:rPr>
            </w:pPr>
            <w:r w:rsidRPr="00F24057">
              <w:rPr>
                <w:b/>
                <w:szCs w:val="22"/>
                <w:lang w:val="sr-Latn-ME"/>
              </w:rPr>
              <w:t>Nedjelj</w:t>
            </w:r>
            <w:r w:rsidR="00901C60" w:rsidRPr="00F24057">
              <w:rPr>
                <w:b/>
                <w:szCs w:val="22"/>
                <w:lang w:val="sr-Latn-ME"/>
              </w:rPr>
              <w:t>a 56</w:t>
            </w:r>
          </w:p>
        </w:tc>
        <w:tc>
          <w:tcPr>
            <w:tcW w:w="707" w:type="pct"/>
            <w:tcBorders>
              <w:top w:val="single" w:sz="4" w:space="0" w:color="000000"/>
              <w:left w:val="single" w:sz="4" w:space="0" w:color="000000"/>
              <w:bottom w:val="single" w:sz="4" w:space="0" w:color="000000"/>
              <w:right w:val="single" w:sz="4" w:space="0" w:color="000000"/>
            </w:tcBorders>
            <w:vAlign w:val="center"/>
          </w:tcPr>
          <w:p w14:paraId="5358DF74" w14:textId="77777777" w:rsidR="00901C60" w:rsidRPr="00F24057" w:rsidRDefault="00901C60" w:rsidP="00D70B34">
            <w:pPr>
              <w:jc w:val="center"/>
              <w:rPr>
                <w:szCs w:val="22"/>
                <w:lang w:val="sr-Latn-ME"/>
              </w:rPr>
            </w:pPr>
            <w:r w:rsidRPr="00F24057">
              <w:rPr>
                <w:b/>
                <w:szCs w:val="22"/>
                <w:lang w:val="sr-Latn-ME"/>
              </w:rPr>
              <w:t>N=170</w:t>
            </w:r>
          </w:p>
        </w:tc>
        <w:tc>
          <w:tcPr>
            <w:tcW w:w="1268" w:type="pct"/>
            <w:tcBorders>
              <w:top w:val="single" w:sz="4" w:space="0" w:color="000000"/>
              <w:left w:val="single" w:sz="4" w:space="0" w:color="000000"/>
              <w:bottom w:val="single" w:sz="4" w:space="0" w:color="000000"/>
              <w:right w:val="single" w:sz="4" w:space="0" w:color="000000"/>
            </w:tcBorders>
            <w:vAlign w:val="center"/>
          </w:tcPr>
          <w:p w14:paraId="13814E7E" w14:textId="77777777" w:rsidR="00901C60" w:rsidRPr="00F24057" w:rsidRDefault="00901C60" w:rsidP="00D70B34">
            <w:pPr>
              <w:jc w:val="center"/>
              <w:rPr>
                <w:szCs w:val="22"/>
                <w:lang w:val="sr-Latn-ME"/>
              </w:rPr>
            </w:pPr>
            <w:r w:rsidRPr="00F24057">
              <w:rPr>
                <w:b/>
                <w:szCs w:val="22"/>
                <w:lang w:val="sr-Latn-ME"/>
              </w:rPr>
              <w:t>N=172</w:t>
            </w:r>
          </w:p>
        </w:tc>
        <w:tc>
          <w:tcPr>
            <w:tcW w:w="1141" w:type="pct"/>
            <w:tcBorders>
              <w:top w:val="single" w:sz="4" w:space="0" w:color="000000"/>
              <w:left w:val="single" w:sz="4" w:space="0" w:color="000000"/>
              <w:bottom w:val="single" w:sz="4" w:space="0" w:color="000000"/>
              <w:right w:val="single" w:sz="4" w:space="0" w:color="000000"/>
            </w:tcBorders>
            <w:vAlign w:val="center"/>
          </w:tcPr>
          <w:p w14:paraId="62ACFA15" w14:textId="77777777" w:rsidR="00901C60" w:rsidRPr="00F24057" w:rsidRDefault="00901C60" w:rsidP="00D70B34">
            <w:pPr>
              <w:jc w:val="center"/>
              <w:rPr>
                <w:szCs w:val="22"/>
                <w:lang w:val="sr-Latn-ME"/>
              </w:rPr>
            </w:pPr>
            <w:r w:rsidRPr="00F24057">
              <w:rPr>
                <w:b/>
                <w:szCs w:val="22"/>
                <w:lang w:val="sr-Latn-ME"/>
              </w:rPr>
              <w:t>N=157</w:t>
            </w:r>
          </w:p>
        </w:tc>
      </w:tr>
      <w:tr w:rsidR="00901C60" w:rsidRPr="00F24057" w14:paraId="3826A014"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vAlign w:val="center"/>
          </w:tcPr>
          <w:p w14:paraId="087D687B" w14:textId="77777777" w:rsidR="00901C60" w:rsidRPr="00F24057" w:rsidRDefault="00901C60" w:rsidP="00D70B34">
            <w:pPr>
              <w:jc w:val="left"/>
              <w:rPr>
                <w:szCs w:val="22"/>
                <w:lang w:val="sr-Latn-ME"/>
              </w:rPr>
            </w:pPr>
            <w:r w:rsidRPr="00F24057">
              <w:rPr>
                <w:szCs w:val="22"/>
                <w:lang w:val="sr-Latn-ME"/>
              </w:rPr>
              <w:t>Klinička remisija</w:t>
            </w:r>
          </w:p>
        </w:tc>
        <w:tc>
          <w:tcPr>
            <w:tcW w:w="707" w:type="pct"/>
            <w:tcBorders>
              <w:top w:val="single" w:sz="4" w:space="0" w:color="000000"/>
              <w:left w:val="single" w:sz="4" w:space="0" w:color="000000"/>
              <w:bottom w:val="single" w:sz="4" w:space="0" w:color="000000"/>
              <w:right w:val="single" w:sz="4" w:space="0" w:color="000000"/>
            </w:tcBorders>
            <w:vAlign w:val="center"/>
          </w:tcPr>
          <w:p w14:paraId="4E1DDBFF" w14:textId="77777777" w:rsidR="00901C60" w:rsidRPr="00F24057" w:rsidRDefault="00901C60" w:rsidP="00D70B34">
            <w:pPr>
              <w:jc w:val="center"/>
              <w:rPr>
                <w:szCs w:val="22"/>
                <w:lang w:val="sr-Latn-ME"/>
              </w:rPr>
            </w:pPr>
            <w:r w:rsidRPr="00F24057">
              <w:rPr>
                <w:szCs w:val="22"/>
                <w:lang w:val="sr-Latn-ME"/>
              </w:rPr>
              <w:t>12%</w:t>
            </w:r>
          </w:p>
        </w:tc>
        <w:tc>
          <w:tcPr>
            <w:tcW w:w="1268" w:type="pct"/>
            <w:tcBorders>
              <w:top w:val="single" w:sz="4" w:space="0" w:color="000000"/>
              <w:left w:val="single" w:sz="4" w:space="0" w:color="000000"/>
              <w:bottom w:val="single" w:sz="4" w:space="0" w:color="000000"/>
              <w:right w:val="single" w:sz="4" w:space="0" w:color="000000"/>
            </w:tcBorders>
            <w:vAlign w:val="center"/>
          </w:tcPr>
          <w:p w14:paraId="6A8DB102" w14:textId="66479CE5" w:rsidR="00901C60" w:rsidRPr="00F24057" w:rsidRDefault="00901C60" w:rsidP="00D70B34">
            <w:pPr>
              <w:jc w:val="center"/>
              <w:rPr>
                <w:szCs w:val="22"/>
                <w:lang w:val="sr-Latn-ME"/>
              </w:rPr>
            </w:pPr>
            <w:r w:rsidRPr="00F24057">
              <w:rPr>
                <w:szCs w:val="22"/>
                <w:lang w:val="sr-Latn-ME"/>
              </w:rPr>
              <w:t>36%</w:t>
            </w:r>
            <w:r w:rsidR="00257C06" w:rsidRPr="00F24057">
              <w:rPr>
                <w:szCs w:val="22"/>
                <w:lang w:val="sr-Latn-ME"/>
              </w:rPr>
              <w:t>*</w:t>
            </w:r>
          </w:p>
        </w:tc>
        <w:tc>
          <w:tcPr>
            <w:tcW w:w="1141" w:type="pct"/>
            <w:tcBorders>
              <w:top w:val="single" w:sz="4" w:space="0" w:color="000000"/>
              <w:left w:val="single" w:sz="4" w:space="0" w:color="000000"/>
              <w:bottom w:val="single" w:sz="4" w:space="0" w:color="000000"/>
              <w:right w:val="single" w:sz="4" w:space="0" w:color="000000"/>
            </w:tcBorders>
            <w:vAlign w:val="center"/>
          </w:tcPr>
          <w:p w14:paraId="58CC7EBB" w14:textId="786F4315" w:rsidR="00901C60" w:rsidRPr="00F24057" w:rsidRDefault="00901C60" w:rsidP="00D70B34">
            <w:pPr>
              <w:jc w:val="center"/>
              <w:rPr>
                <w:szCs w:val="22"/>
                <w:lang w:val="sr-Latn-ME"/>
              </w:rPr>
            </w:pPr>
            <w:r w:rsidRPr="00F24057">
              <w:rPr>
                <w:szCs w:val="22"/>
                <w:lang w:val="sr-Latn-ME"/>
              </w:rPr>
              <w:t>41%</w:t>
            </w:r>
            <w:r w:rsidR="00B6547D" w:rsidRPr="00F24057">
              <w:rPr>
                <w:szCs w:val="22"/>
                <w:lang w:val="sr-Latn-ME"/>
              </w:rPr>
              <w:t>*</w:t>
            </w:r>
          </w:p>
        </w:tc>
      </w:tr>
      <w:tr w:rsidR="00901C60" w:rsidRPr="00F24057" w14:paraId="2F18F86C"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vAlign w:val="center"/>
          </w:tcPr>
          <w:p w14:paraId="3CD7F86E" w14:textId="77777777" w:rsidR="00901C60" w:rsidRPr="00F24057" w:rsidRDefault="00901C60" w:rsidP="00D70B34">
            <w:pPr>
              <w:jc w:val="left"/>
              <w:rPr>
                <w:szCs w:val="22"/>
                <w:lang w:val="sr-Latn-ME"/>
              </w:rPr>
            </w:pPr>
            <w:r w:rsidRPr="00F24057">
              <w:rPr>
                <w:szCs w:val="22"/>
                <w:lang w:val="sr-Latn-ME"/>
              </w:rPr>
              <w:t>Klinički odgovor (CR-100)</w:t>
            </w:r>
          </w:p>
        </w:tc>
        <w:tc>
          <w:tcPr>
            <w:tcW w:w="707" w:type="pct"/>
            <w:tcBorders>
              <w:top w:val="single" w:sz="4" w:space="0" w:color="000000"/>
              <w:left w:val="single" w:sz="4" w:space="0" w:color="000000"/>
              <w:bottom w:val="single" w:sz="4" w:space="0" w:color="000000"/>
              <w:right w:val="single" w:sz="4" w:space="0" w:color="000000"/>
            </w:tcBorders>
            <w:vAlign w:val="center"/>
          </w:tcPr>
          <w:p w14:paraId="446273A5" w14:textId="77777777" w:rsidR="00901C60" w:rsidRPr="00F24057" w:rsidRDefault="00901C60" w:rsidP="00D70B34">
            <w:pPr>
              <w:jc w:val="center"/>
              <w:rPr>
                <w:szCs w:val="22"/>
                <w:lang w:val="sr-Latn-ME"/>
              </w:rPr>
            </w:pPr>
            <w:r w:rsidRPr="00F24057">
              <w:rPr>
                <w:szCs w:val="22"/>
                <w:lang w:val="sr-Latn-ME"/>
              </w:rPr>
              <w:t>17%</w:t>
            </w:r>
          </w:p>
        </w:tc>
        <w:tc>
          <w:tcPr>
            <w:tcW w:w="1268" w:type="pct"/>
            <w:tcBorders>
              <w:top w:val="single" w:sz="4" w:space="0" w:color="000000"/>
              <w:left w:val="single" w:sz="4" w:space="0" w:color="000000"/>
              <w:bottom w:val="single" w:sz="4" w:space="0" w:color="000000"/>
              <w:right w:val="single" w:sz="4" w:space="0" w:color="000000"/>
            </w:tcBorders>
            <w:vAlign w:val="center"/>
          </w:tcPr>
          <w:p w14:paraId="0FFB590F" w14:textId="77C162BB" w:rsidR="00901C60" w:rsidRPr="00F24057" w:rsidRDefault="00901C60" w:rsidP="00D70B34">
            <w:pPr>
              <w:jc w:val="center"/>
              <w:rPr>
                <w:szCs w:val="22"/>
                <w:lang w:val="sr-Latn-ME"/>
              </w:rPr>
            </w:pPr>
            <w:r w:rsidRPr="00F24057">
              <w:rPr>
                <w:szCs w:val="22"/>
                <w:lang w:val="sr-Latn-ME"/>
              </w:rPr>
              <w:t>41%</w:t>
            </w:r>
            <w:r w:rsidR="00B6547D" w:rsidRPr="00F24057">
              <w:rPr>
                <w:szCs w:val="22"/>
                <w:lang w:val="sr-Latn-ME"/>
              </w:rPr>
              <w:t>*</w:t>
            </w:r>
          </w:p>
        </w:tc>
        <w:tc>
          <w:tcPr>
            <w:tcW w:w="1141" w:type="pct"/>
            <w:tcBorders>
              <w:top w:val="single" w:sz="4" w:space="0" w:color="000000"/>
              <w:left w:val="single" w:sz="4" w:space="0" w:color="000000"/>
              <w:bottom w:val="single" w:sz="4" w:space="0" w:color="000000"/>
              <w:right w:val="single" w:sz="4" w:space="0" w:color="000000"/>
            </w:tcBorders>
            <w:vAlign w:val="center"/>
          </w:tcPr>
          <w:p w14:paraId="38945F4E" w14:textId="50F59558" w:rsidR="00901C60" w:rsidRPr="00F24057" w:rsidRDefault="00901C60" w:rsidP="00D70B34">
            <w:pPr>
              <w:jc w:val="center"/>
              <w:rPr>
                <w:szCs w:val="22"/>
                <w:lang w:val="sr-Latn-ME"/>
              </w:rPr>
            </w:pPr>
            <w:r w:rsidRPr="00F24057">
              <w:rPr>
                <w:szCs w:val="22"/>
                <w:lang w:val="sr-Latn-ME"/>
              </w:rPr>
              <w:t>48%</w:t>
            </w:r>
            <w:r w:rsidR="00B6547D" w:rsidRPr="00F24057">
              <w:rPr>
                <w:szCs w:val="22"/>
                <w:lang w:val="sr-Latn-ME"/>
              </w:rPr>
              <w:t>*</w:t>
            </w:r>
          </w:p>
        </w:tc>
      </w:tr>
      <w:tr w:rsidR="00901C60" w:rsidRPr="00F24057" w14:paraId="6829CE94" w14:textId="77777777" w:rsidTr="007F0E59">
        <w:trPr>
          <w:trHeight w:val="20"/>
        </w:trPr>
        <w:tc>
          <w:tcPr>
            <w:tcW w:w="1884" w:type="pct"/>
            <w:tcBorders>
              <w:top w:val="single" w:sz="4" w:space="0" w:color="000000"/>
              <w:left w:val="single" w:sz="4" w:space="0" w:color="000000"/>
              <w:bottom w:val="single" w:sz="4" w:space="0" w:color="000000"/>
              <w:right w:val="single" w:sz="4" w:space="0" w:color="000000"/>
            </w:tcBorders>
            <w:vAlign w:val="center"/>
          </w:tcPr>
          <w:p w14:paraId="6BFF0CD7" w14:textId="5DEEEDA2" w:rsidR="00901C60" w:rsidRPr="00F24057" w:rsidRDefault="00901C60" w:rsidP="001A7847">
            <w:pPr>
              <w:tabs>
                <w:tab w:val="clear" w:pos="284"/>
              </w:tabs>
              <w:ind w:left="284"/>
              <w:jc w:val="left"/>
              <w:rPr>
                <w:szCs w:val="22"/>
                <w:lang w:val="sr-Latn-ME"/>
              </w:rPr>
            </w:pPr>
            <w:r w:rsidRPr="00F24057">
              <w:rPr>
                <w:szCs w:val="22"/>
                <w:lang w:val="sr-Latn-ME"/>
              </w:rPr>
              <w:t xml:space="preserve">Pacijenti u remisiji bez upotrebe steroida </w:t>
            </w:r>
            <w:r w:rsidR="004A5745" w:rsidRPr="00F24057">
              <w:rPr>
                <w:szCs w:val="22"/>
                <w:lang w:val="sr-Latn-ME"/>
              </w:rPr>
              <w:t>≥</w:t>
            </w:r>
            <w:r w:rsidRPr="00F24057">
              <w:rPr>
                <w:szCs w:val="22"/>
                <w:lang w:val="sr-Latn-ME"/>
              </w:rPr>
              <w:t xml:space="preserve"> 90 dana</w:t>
            </w:r>
            <w:r w:rsidR="008D3F2A" w:rsidRPr="00F24057">
              <w:rPr>
                <w:szCs w:val="22"/>
                <w:vertAlign w:val="superscript"/>
                <w:lang w:val="sr-Latn-ME"/>
              </w:rPr>
              <w:t>a</w:t>
            </w:r>
          </w:p>
        </w:tc>
        <w:tc>
          <w:tcPr>
            <w:tcW w:w="707" w:type="pct"/>
            <w:tcBorders>
              <w:top w:val="single" w:sz="4" w:space="0" w:color="000000"/>
              <w:left w:val="single" w:sz="4" w:space="0" w:color="000000"/>
              <w:bottom w:val="single" w:sz="4" w:space="0" w:color="000000"/>
              <w:right w:val="single" w:sz="4" w:space="0" w:color="000000"/>
            </w:tcBorders>
            <w:vAlign w:val="center"/>
          </w:tcPr>
          <w:p w14:paraId="329C8A7E" w14:textId="77777777" w:rsidR="00901C60" w:rsidRPr="00F24057" w:rsidRDefault="00901C60" w:rsidP="00D70B34">
            <w:pPr>
              <w:jc w:val="center"/>
              <w:rPr>
                <w:szCs w:val="22"/>
                <w:lang w:val="sr-Latn-ME"/>
              </w:rPr>
            </w:pPr>
            <w:r w:rsidRPr="00F24057">
              <w:rPr>
                <w:szCs w:val="22"/>
                <w:lang w:val="sr-Latn-ME"/>
              </w:rPr>
              <w:t>5% (3/66)</w:t>
            </w:r>
          </w:p>
        </w:tc>
        <w:tc>
          <w:tcPr>
            <w:tcW w:w="1268" w:type="pct"/>
            <w:tcBorders>
              <w:top w:val="single" w:sz="4" w:space="0" w:color="000000"/>
              <w:left w:val="single" w:sz="4" w:space="0" w:color="000000"/>
              <w:bottom w:val="single" w:sz="4" w:space="0" w:color="000000"/>
              <w:right w:val="single" w:sz="4" w:space="0" w:color="000000"/>
            </w:tcBorders>
            <w:vAlign w:val="center"/>
          </w:tcPr>
          <w:p w14:paraId="3A79DD50" w14:textId="77777777" w:rsidR="00901C60" w:rsidRPr="00F24057" w:rsidRDefault="00901C60" w:rsidP="00D70B34">
            <w:pPr>
              <w:jc w:val="center"/>
              <w:rPr>
                <w:szCs w:val="22"/>
                <w:lang w:val="sr-Latn-ME"/>
              </w:rPr>
            </w:pPr>
            <w:r w:rsidRPr="00F24057">
              <w:rPr>
                <w:szCs w:val="22"/>
                <w:lang w:val="sr-Latn-ME"/>
              </w:rPr>
              <w:t>29% (17/58)*</w:t>
            </w:r>
          </w:p>
        </w:tc>
        <w:tc>
          <w:tcPr>
            <w:tcW w:w="1141" w:type="pct"/>
            <w:tcBorders>
              <w:top w:val="single" w:sz="4" w:space="0" w:color="000000"/>
              <w:left w:val="single" w:sz="4" w:space="0" w:color="000000"/>
              <w:bottom w:val="single" w:sz="4" w:space="0" w:color="000000"/>
              <w:right w:val="single" w:sz="4" w:space="0" w:color="000000"/>
            </w:tcBorders>
            <w:vAlign w:val="center"/>
          </w:tcPr>
          <w:p w14:paraId="702C2239" w14:textId="5418DDDF" w:rsidR="00901C60" w:rsidRPr="00F24057" w:rsidRDefault="00901C60" w:rsidP="00D70B34">
            <w:pPr>
              <w:jc w:val="center"/>
              <w:rPr>
                <w:szCs w:val="22"/>
                <w:lang w:val="sr-Latn-ME"/>
              </w:rPr>
            </w:pPr>
            <w:r w:rsidRPr="00F24057">
              <w:rPr>
                <w:szCs w:val="22"/>
                <w:lang w:val="sr-Latn-ME"/>
              </w:rPr>
              <w:t>20% (15/74)*</w:t>
            </w:r>
            <w:r w:rsidR="004A5745" w:rsidRPr="00F24057">
              <w:rPr>
                <w:szCs w:val="22"/>
                <w:lang w:val="sr-Latn-ME"/>
              </w:rPr>
              <w:t>*</w:t>
            </w:r>
          </w:p>
        </w:tc>
      </w:tr>
    </w:tbl>
    <w:p w14:paraId="0210D9B5" w14:textId="77777777" w:rsidR="00257C06" w:rsidRPr="00F24057" w:rsidRDefault="00257C06" w:rsidP="00D70B34">
      <w:pPr>
        <w:rPr>
          <w:szCs w:val="22"/>
          <w:lang w:val="sr-Latn-ME"/>
        </w:rPr>
      </w:pPr>
      <w:r w:rsidRPr="00F24057">
        <w:rPr>
          <w:szCs w:val="22"/>
          <w:lang w:val="sr-Latn-ME"/>
        </w:rPr>
        <w:t>* p &lt; 0,001 poređenje adalimumaba i placeba, upareno poređenje udela</w:t>
      </w:r>
    </w:p>
    <w:p w14:paraId="3F72D8EA" w14:textId="77777777" w:rsidR="00257C06" w:rsidRPr="00F24057" w:rsidRDefault="00257C06" w:rsidP="00D70B34">
      <w:pPr>
        <w:rPr>
          <w:szCs w:val="22"/>
          <w:lang w:val="sr-Latn-ME"/>
        </w:rPr>
      </w:pPr>
      <w:r w:rsidRPr="00F24057">
        <w:rPr>
          <w:szCs w:val="22"/>
          <w:lang w:val="sr-Latn-ME"/>
        </w:rPr>
        <w:t xml:space="preserve">** p &lt; 0,02 poređenje adalimumaba i placeba, upareno poređenje udela </w:t>
      </w:r>
    </w:p>
    <w:p w14:paraId="55F8CC02" w14:textId="3203F784" w:rsidR="00257C06" w:rsidRPr="00F24057" w:rsidRDefault="00257C06" w:rsidP="00D70B34">
      <w:pPr>
        <w:rPr>
          <w:szCs w:val="22"/>
          <w:lang w:val="sr-Latn-ME"/>
        </w:rPr>
      </w:pPr>
      <w:r w:rsidRPr="00F24057">
        <w:rPr>
          <w:szCs w:val="22"/>
          <w:vertAlign w:val="superscript"/>
          <w:lang w:val="sr-Latn-ME"/>
        </w:rPr>
        <w:t>a</w:t>
      </w:r>
      <w:r w:rsidRPr="00F24057">
        <w:rPr>
          <w:szCs w:val="22"/>
          <w:lang w:val="sr-Latn-ME"/>
        </w:rPr>
        <w:t xml:space="preserve"> samo oni koji su na početku uzimali kortikosteroide</w:t>
      </w:r>
    </w:p>
    <w:p w14:paraId="221D8A80" w14:textId="62570F23" w:rsidR="007329AC" w:rsidRPr="00F24057" w:rsidRDefault="007329AC" w:rsidP="00D70B34">
      <w:pPr>
        <w:rPr>
          <w:szCs w:val="22"/>
          <w:lang w:val="sr-Latn-ME"/>
        </w:rPr>
      </w:pPr>
    </w:p>
    <w:p w14:paraId="740C1802" w14:textId="10858FA1" w:rsidR="00CA43CD" w:rsidRPr="00F24057" w:rsidRDefault="00CA43CD" w:rsidP="00D70B34">
      <w:pPr>
        <w:rPr>
          <w:szCs w:val="22"/>
          <w:lang w:val="sr-Latn-ME"/>
        </w:rPr>
      </w:pPr>
      <w:r w:rsidRPr="00F24057">
        <w:rPr>
          <w:szCs w:val="22"/>
          <w:lang w:val="sr-Latn-ME"/>
        </w:rPr>
        <w:t xml:space="preserve">Među pacijentima koji u 4. </w:t>
      </w:r>
      <w:r w:rsidR="00885A78" w:rsidRPr="00F24057">
        <w:rPr>
          <w:szCs w:val="22"/>
          <w:lang w:val="sr-Latn-ME"/>
        </w:rPr>
        <w:t>nedjelj</w:t>
      </w:r>
      <w:r w:rsidRPr="00F24057">
        <w:rPr>
          <w:szCs w:val="22"/>
          <w:lang w:val="sr-Latn-ME"/>
        </w:rPr>
        <w:t xml:space="preserve">i nisu imali klinički odgovor, 43% pacijenata koji su primali adalimumab imalo je klinički odgovor do 12. </w:t>
      </w:r>
      <w:r w:rsidR="00885A78" w:rsidRPr="00F24057">
        <w:rPr>
          <w:szCs w:val="22"/>
          <w:lang w:val="sr-Latn-ME"/>
        </w:rPr>
        <w:t>nedjelj</w:t>
      </w:r>
      <w:r w:rsidRPr="00F24057">
        <w:rPr>
          <w:szCs w:val="22"/>
          <w:lang w:val="sr-Latn-ME"/>
        </w:rPr>
        <w:t>e u odnosu na 30% u grupi pacijenata koji su uzimali placebo. Ovi rezultati ukazuju na to da neki pacijenti koji nisu odgovorili na terapiju do 4</w:t>
      </w:r>
      <w:r w:rsidR="001A7847" w:rsidRPr="00F24057">
        <w:rPr>
          <w:szCs w:val="22"/>
          <w:lang w:val="sr-Latn-ME"/>
        </w:rPr>
        <w:t>.</w:t>
      </w:r>
      <w:r w:rsidRPr="00F24057">
        <w:rPr>
          <w:szCs w:val="22"/>
          <w:lang w:val="sr-Latn-ME"/>
        </w:rPr>
        <w:t xml:space="preserve"> </w:t>
      </w:r>
      <w:r w:rsidR="00885A78" w:rsidRPr="00F24057">
        <w:rPr>
          <w:szCs w:val="22"/>
          <w:lang w:val="sr-Latn-ME"/>
        </w:rPr>
        <w:t>nedjelj</w:t>
      </w:r>
      <w:r w:rsidRPr="00F24057">
        <w:rPr>
          <w:szCs w:val="22"/>
          <w:lang w:val="sr-Latn-ME"/>
        </w:rPr>
        <w:t xml:space="preserve">e, imaju koristi ukoliko se terapija nastavi do 12. </w:t>
      </w:r>
      <w:r w:rsidR="00885A78" w:rsidRPr="00F24057">
        <w:rPr>
          <w:szCs w:val="22"/>
          <w:lang w:val="sr-Latn-ME"/>
        </w:rPr>
        <w:t>nedjelj</w:t>
      </w:r>
      <w:r w:rsidRPr="00F24057">
        <w:rPr>
          <w:szCs w:val="22"/>
          <w:lang w:val="sr-Latn-ME"/>
        </w:rPr>
        <w:t xml:space="preserve">e. Produženje terapije duže od 12 </w:t>
      </w:r>
      <w:r w:rsidR="00885A78" w:rsidRPr="00F24057">
        <w:rPr>
          <w:szCs w:val="22"/>
          <w:lang w:val="sr-Latn-ME"/>
        </w:rPr>
        <w:t>nedjelj</w:t>
      </w:r>
      <w:r w:rsidRPr="00F24057">
        <w:rPr>
          <w:szCs w:val="22"/>
          <w:lang w:val="sr-Latn-ME"/>
        </w:rPr>
        <w:t>a nije dalo bolji klinički rezultat (</w:t>
      </w:r>
      <w:r w:rsidR="007B39D0" w:rsidRPr="00F24057">
        <w:rPr>
          <w:szCs w:val="22"/>
          <w:lang w:val="sr-Latn-ME"/>
        </w:rPr>
        <w:t xml:space="preserve">pogledati dio </w:t>
      </w:r>
      <w:r w:rsidRPr="00F24057">
        <w:rPr>
          <w:szCs w:val="22"/>
          <w:lang w:val="sr-Latn-ME"/>
        </w:rPr>
        <w:t xml:space="preserve">4.2). </w:t>
      </w:r>
    </w:p>
    <w:p w14:paraId="6F68EA49" w14:textId="77777777" w:rsidR="00CA43CD" w:rsidRPr="00F24057" w:rsidRDefault="00CA43CD" w:rsidP="00D70B34">
      <w:pPr>
        <w:rPr>
          <w:szCs w:val="22"/>
          <w:lang w:val="sr-Latn-ME"/>
        </w:rPr>
      </w:pPr>
    </w:p>
    <w:p w14:paraId="0F01F280" w14:textId="07F8FF97" w:rsidR="00CA43CD" w:rsidRPr="00F24057" w:rsidRDefault="00CA43CD" w:rsidP="00D70B34">
      <w:pPr>
        <w:rPr>
          <w:szCs w:val="22"/>
          <w:lang w:val="sr-Latn-ME"/>
        </w:rPr>
      </w:pPr>
      <w:r w:rsidRPr="00F24057">
        <w:rPr>
          <w:szCs w:val="22"/>
          <w:lang w:val="sr-Latn-ME"/>
        </w:rPr>
        <w:t>117/276 pacijenata u CD studiji I i 272/777 pacijenata u CD studiji II i III su praćeni tokom najmanje 3 godine u otvorenom d</w:t>
      </w:r>
      <w:r w:rsidR="00001D88" w:rsidRPr="00F24057">
        <w:rPr>
          <w:szCs w:val="22"/>
          <w:lang w:val="sr-Latn-ME"/>
        </w:rPr>
        <w:t>ij</w:t>
      </w:r>
      <w:r w:rsidRPr="00F24057">
        <w:rPr>
          <w:szCs w:val="22"/>
          <w:lang w:val="sr-Latn-ME"/>
        </w:rPr>
        <w:t>elu terapije adalimumabom. 88, odnosno 189 pacijenata je i dalje bilo u kliničkoj remisiji. Klinički odgovor (CD-100) je održan kod 102, odnosno 233 pacijenta.</w:t>
      </w:r>
    </w:p>
    <w:p w14:paraId="40ECAC39" w14:textId="5297DFDF" w:rsidR="007329AC" w:rsidRPr="00F24057" w:rsidRDefault="007329AC" w:rsidP="00D70B34">
      <w:pPr>
        <w:rPr>
          <w:szCs w:val="22"/>
          <w:lang w:val="sr-Latn-ME"/>
        </w:rPr>
      </w:pPr>
    </w:p>
    <w:p w14:paraId="41261610" w14:textId="6DD7245D" w:rsidR="00241118" w:rsidRPr="00F24057" w:rsidRDefault="00241118" w:rsidP="00D70B34">
      <w:pPr>
        <w:rPr>
          <w:i/>
          <w:szCs w:val="22"/>
          <w:lang w:val="sr-Latn-ME"/>
        </w:rPr>
      </w:pPr>
      <w:r w:rsidRPr="00F24057">
        <w:rPr>
          <w:i/>
          <w:szCs w:val="22"/>
          <w:u w:val="single"/>
          <w:lang w:val="sr-Latn-ME"/>
        </w:rPr>
        <w:t>Kvalitet života</w:t>
      </w:r>
      <w:r w:rsidRPr="00F24057">
        <w:rPr>
          <w:i/>
          <w:szCs w:val="22"/>
          <w:lang w:val="sr-Latn-ME"/>
        </w:rPr>
        <w:t xml:space="preserve"> </w:t>
      </w:r>
    </w:p>
    <w:p w14:paraId="6D292932" w14:textId="3DA61ECC" w:rsidR="00241118" w:rsidRPr="00F24057" w:rsidRDefault="00241118" w:rsidP="00D70B34">
      <w:pPr>
        <w:rPr>
          <w:szCs w:val="22"/>
          <w:lang w:val="sr-Latn-ME"/>
        </w:rPr>
      </w:pPr>
      <w:r w:rsidRPr="00F24057">
        <w:rPr>
          <w:szCs w:val="22"/>
          <w:lang w:val="sr-Latn-ME"/>
        </w:rPr>
        <w:t xml:space="preserve">U CD studiji I i CD studiji II u 4. </w:t>
      </w:r>
      <w:r w:rsidR="00885A78" w:rsidRPr="00F24057">
        <w:rPr>
          <w:szCs w:val="22"/>
          <w:lang w:val="sr-Latn-ME"/>
        </w:rPr>
        <w:t>nedjelj</w:t>
      </w:r>
      <w:r w:rsidRPr="00F24057">
        <w:rPr>
          <w:szCs w:val="22"/>
          <w:lang w:val="sr-Latn-ME"/>
        </w:rPr>
        <w:t xml:space="preserve">i kod pacijenata koji su randomizovani da primaju adalimumab 80/40 mg i 160/80 mg došlo je do statistički značajnog poboljšanja ukupnog rezultata prema upitniku o </w:t>
      </w:r>
      <w:r w:rsidR="003F17D2" w:rsidRPr="00F24057">
        <w:rPr>
          <w:szCs w:val="22"/>
          <w:lang w:val="sr-Latn-ME"/>
        </w:rPr>
        <w:t>zapaljenskoj</w:t>
      </w:r>
      <w:r w:rsidRPr="00F24057">
        <w:rPr>
          <w:szCs w:val="22"/>
          <w:lang w:val="sr-Latn-ME"/>
        </w:rPr>
        <w:t xml:space="preserve"> bolesti </w:t>
      </w:r>
      <w:r w:rsidR="004F2520" w:rsidRPr="00F24057">
        <w:rPr>
          <w:szCs w:val="22"/>
          <w:lang w:val="sr-Latn-ME"/>
        </w:rPr>
        <w:t>crijev</w:t>
      </w:r>
      <w:r w:rsidRPr="00F24057">
        <w:rPr>
          <w:szCs w:val="22"/>
          <w:lang w:val="sr-Latn-ME"/>
        </w:rPr>
        <w:t xml:space="preserve">a (engl. </w:t>
      </w:r>
      <w:r w:rsidRPr="00F24057">
        <w:rPr>
          <w:i/>
          <w:szCs w:val="22"/>
          <w:lang w:val="sr-Latn-ME"/>
        </w:rPr>
        <w:t>Inflammatory bowel disease questionnaire</w:t>
      </w:r>
      <w:r w:rsidRPr="00F24057">
        <w:rPr>
          <w:szCs w:val="22"/>
          <w:lang w:val="sr-Latn-ME"/>
        </w:rPr>
        <w:t xml:space="preserve">; IBDQ) za specifičnu bolest u odnosu na grupu pacijenata koji su uzimali placebo. U CD studiji III, grupe pacijenata koje su uzimale adalimumab imale su u </w:t>
      </w:r>
      <w:r w:rsidR="00885A78" w:rsidRPr="00F24057">
        <w:rPr>
          <w:szCs w:val="22"/>
          <w:lang w:val="sr-Latn-ME"/>
        </w:rPr>
        <w:t>nedjelj</w:t>
      </w:r>
      <w:r w:rsidRPr="00F24057">
        <w:rPr>
          <w:szCs w:val="22"/>
          <w:lang w:val="sr-Latn-ME"/>
        </w:rPr>
        <w:t>ama 26 i 56 bolje rezultate od grupe koja je uzimala placebo.</w:t>
      </w:r>
    </w:p>
    <w:p w14:paraId="27744DB2" w14:textId="51767D2A" w:rsidR="007329AC" w:rsidRPr="00F24057" w:rsidRDefault="007329AC" w:rsidP="00D70B34">
      <w:pPr>
        <w:rPr>
          <w:szCs w:val="22"/>
          <w:lang w:val="sr-Latn-ME"/>
        </w:rPr>
      </w:pPr>
    </w:p>
    <w:p w14:paraId="26DD24AB" w14:textId="598A58A5" w:rsidR="003E37F6" w:rsidRPr="00F24057" w:rsidRDefault="003E37F6" w:rsidP="00D70B34">
      <w:pPr>
        <w:rPr>
          <w:i/>
          <w:szCs w:val="22"/>
          <w:lang w:val="sr-Latn-ME"/>
        </w:rPr>
      </w:pPr>
      <w:r w:rsidRPr="00F24057">
        <w:rPr>
          <w:i/>
          <w:szCs w:val="22"/>
          <w:lang w:val="sr-Latn-ME"/>
        </w:rPr>
        <w:t xml:space="preserve">Ulcerozni kolitis </w:t>
      </w:r>
    </w:p>
    <w:p w14:paraId="0CD46FC4" w14:textId="04888293" w:rsidR="003E37F6" w:rsidRPr="00F24057" w:rsidRDefault="0030064A" w:rsidP="00D70B34">
      <w:pPr>
        <w:rPr>
          <w:szCs w:val="22"/>
          <w:lang w:val="sr-Latn-ME"/>
        </w:rPr>
      </w:pPr>
      <w:r w:rsidRPr="00F24057">
        <w:rPr>
          <w:szCs w:val="22"/>
          <w:lang w:val="sr-Latn-ME"/>
        </w:rPr>
        <w:t>Bezbjedno</w:t>
      </w:r>
      <w:r w:rsidR="003E37F6" w:rsidRPr="00F24057">
        <w:rPr>
          <w:szCs w:val="22"/>
          <w:lang w:val="sr-Latn-ME"/>
        </w:rPr>
        <w:t xml:space="preserve">st i efikasnost višestrukih doza adalimumaba ispitivana je u randomizovanim, dvostruko </w:t>
      </w:r>
      <w:r w:rsidR="00972894" w:rsidRPr="00F24057">
        <w:rPr>
          <w:szCs w:val="22"/>
          <w:lang w:val="sr-Latn-ME"/>
        </w:rPr>
        <w:t>slijep</w:t>
      </w:r>
      <w:r w:rsidR="003E37F6" w:rsidRPr="00F24057">
        <w:rPr>
          <w:szCs w:val="22"/>
          <w:lang w:val="sr-Latn-ME"/>
        </w:rPr>
        <w:t>im, placebo-kontrolisanim studijama, kod odraslih pacijenata sa u</w:t>
      </w:r>
      <w:r w:rsidRPr="00F24057">
        <w:rPr>
          <w:szCs w:val="22"/>
          <w:lang w:val="sr-Latn-ME"/>
        </w:rPr>
        <w:t>mjeren</w:t>
      </w:r>
      <w:r w:rsidR="003E37F6" w:rsidRPr="00F24057">
        <w:rPr>
          <w:szCs w:val="22"/>
          <w:lang w:val="sr-Latn-ME"/>
        </w:rPr>
        <w:t>o do izrazito aktivnim ulceroznim kolitisom (</w:t>
      </w:r>
      <w:r w:rsidR="003E37F6" w:rsidRPr="00F24057">
        <w:rPr>
          <w:i/>
          <w:iCs/>
          <w:szCs w:val="22"/>
          <w:lang w:val="sr-Latn-ME"/>
        </w:rPr>
        <w:t>Mayo</w:t>
      </w:r>
      <w:r w:rsidR="003E37F6" w:rsidRPr="00F24057">
        <w:rPr>
          <w:szCs w:val="22"/>
          <w:lang w:val="sr-Latn-ME"/>
        </w:rPr>
        <w:t xml:space="preserve"> skor od 6-12, uz </w:t>
      </w:r>
      <w:r w:rsidR="00972894" w:rsidRPr="00F24057">
        <w:rPr>
          <w:szCs w:val="22"/>
          <w:lang w:val="sr-Latn-ME"/>
        </w:rPr>
        <w:t>vrijedno</w:t>
      </w:r>
      <w:r w:rsidR="003E37F6" w:rsidRPr="00F24057">
        <w:rPr>
          <w:szCs w:val="22"/>
          <w:lang w:val="sr-Latn-ME"/>
        </w:rPr>
        <w:t>st endoskopskog subskora od 2-3).</w:t>
      </w:r>
    </w:p>
    <w:p w14:paraId="211C0DC5" w14:textId="77777777" w:rsidR="003E37F6" w:rsidRPr="00F24057" w:rsidRDefault="003E37F6" w:rsidP="00D70B34">
      <w:pPr>
        <w:rPr>
          <w:szCs w:val="22"/>
          <w:lang w:val="sr-Latn-ME"/>
        </w:rPr>
      </w:pPr>
    </w:p>
    <w:p w14:paraId="4CD07C28" w14:textId="50FAB24F" w:rsidR="003E37F6" w:rsidRPr="00F24057" w:rsidRDefault="003E37F6" w:rsidP="00D70B34">
      <w:pPr>
        <w:rPr>
          <w:szCs w:val="22"/>
          <w:lang w:val="sr-Latn-ME"/>
        </w:rPr>
      </w:pPr>
      <w:r w:rsidRPr="00F24057">
        <w:rPr>
          <w:szCs w:val="22"/>
          <w:lang w:val="sr-Latn-ME"/>
        </w:rPr>
        <w:t xml:space="preserve">U studiji UC-I, 390 pacijenata koji nikad nisu primali terapiju antagonistima TNF-a randomizovano da primi ili placebo </w:t>
      </w:r>
      <w:r w:rsidR="001667CA" w:rsidRPr="00F24057">
        <w:rPr>
          <w:szCs w:val="22"/>
          <w:lang w:val="sr-Latn-ME"/>
        </w:rPr>
        <w:t xml:space="preserve">u početnoj </w:t>
      </w:r>
      <w:r w:rsidR="00885A78" w:rsidRPr="00F24057">
        <w:rPr>
          <w:szCs w:val="22"/>
          <w:lang w:val="sr-Latn-ME"/>
        </w:rPr>
        <w:t>nedjelj</w:t>
      </w:r>
      <w:r w:rsidR="001667CA" w:rsidRPr="00F24057">
        <w:rPr>
          <w:szCs w:val="22"/>
          <w:lang w:val="sr-Latn-ME"/>
        </w:rPr>
        <w:t xml:space="preserve">i (označena kao nulta </w:t>
      </w:r>
      <w:r w:rsidR="00885A78" w:rsidRPr="00F24057">
        <w:rPr>
          <w:szCs w:val="22"/>
          <w:lang w:val="sr-Latn-ME"/>
        </w:rPr>
        <w:t>nedjelj</w:t>
      </w:r>
      <w:r w:rsidR="001667CA" w:rsidRPr="00F24057">
        <w:rPr>
          <w:szCs w:val="22"/>
          <w:lang w:val="sr-Latn-ME"/>
        </w:rPr>
        <w:t xml:space="preserve">a, </w:t>
      </w:r>
      <w:r w:rsidR="00080447" w:rsidRPr="00F24057">
        <w:rPr>
          <w:i/>
          <w:iCs/>
          <w:szCs w:val="22"/>
          <w:lang w:val="sr-Latn-ME"/>
        </w:rPr>
        <w:t>Week 0</w:t>
      </w:r>
      <w:r w:rsidR="001667CA" w:rsidRPr="00F24057">
        <w:rPr>
          <w:szCs w:val="22"/>
          <w:lang w:val="sr-Latn-ME"/>
        </w:rPr>
        <w:t xml:space="preserve">), </w:t>
      </w:r>
      <w:r w:rsidRPr="00F24057">
        <w:rPr>
          <w:szCs w:val="22"/>
          <w:lang w:val="sr-Latn-ME"/>
        </w:rPr>
        <w:t xml:space="preserve">i posle 2 </w:t>
      </w:r>
      <w:r w:rsidR="00885A78" w:rsidRPr="00F24057">
        <w:rPr>
          <w:szCs w:val="22"/>
          <w:lang w:val="sr-Latn-ME"/>
        </w:rPr>
        <w:t>nedjelj</w:t>
      </w:r>
      <w:r w:rsidRPr="00F24057">
        <w:rPr>
          <w:szCs w:val="22"/>
          <w:lang w:val="sr-Latn-ME"/>
        </w:rPr>
        <w:t xml:space="preserve">e, odnosno adalimumab 160 mg </w:t>
      </w:r>
      <w:r w:rsidR="001667CA" w:rsidRPr="00F24057">
        <w:rPr>
          <w:szCs w:val="22"/>
          <w:lang w:val="sr-Latn-ME"/>
        </w:rPr>
        <w:t xml:space="preserve">u početnoj </w:t>
      </w:r>
      <w:r w:rsidR="00885A78" w:rsidRPr="00F24057">
        <w:rPr>
          <w:szCs w:val="22"/>
          <w:lang w:val="sr-Latn-ME"/>
        </w:rPr>
        <w:t>nedjelj</w:t>
      </w:r>
      <w:r w:rsidR="001667CA" w:rsidRPr="00F24057">
        <w:rPr>
          <w:szCs w:val="22"/>
          <w:lang w:val="sr-Latn-ME"/>
        </w:rPr>
        <w:t xml:space="preserve">i (označena kao nulta </w:t>
      </w:r>
      <w:r w:rsidR="00885A78" w:rsidRPr="00F24057">
        <w:rPr>
          <w:szCs w:val="22"/>
          <w:lang w:val="sr-Latn-ME"/>
        </w:rPr>
        <w:t>nedjelj</w:t>
      </w:r>
      <w:r w:rsidR="001667CA" w:rsidRPr="00F24057">
        <w:rPr>
          <w:szCs w:val="22"/>
          <w:lang w:val="sr-Latn-ME"/>
        </w:rPr>
        <w:t xml:space="preserve">a, </w:t>
      </w:r>
      <w:r w:rsidR="00080447" w:rsidRPr="00F24057">
        <w:rPr>
          <w:i/>
          <w:iCs/>
          <w:szCs w:val="22"/>
          <w:lang w:val="sr-Latn-ME"/>
        </w:rPr>
        <w:t>Week 0</w:t>
      </w:r>
      <w:r w:rsidR="001667CA" w:rsidRPr="00F24057">
        <w:rPr>
          <w:szCs w:val="22"/>
          <w:lang w:val="sr-Latn-ME"/>
        </w:rPr>
        <w:t xml:space="preserve">), </w:t>
      </w:r>
      <w:r w:rsidRPr="00F24057">
        <w:rPr>
          <w:szCs w:val="22"/>
          <w:lang w:val="sr-Latn-ME"/>
        </w:rPr>
        <w:t xml:space="preserve">i 80 mg posle 2 </w:t>
      </w:r>
      <w:r w:rsidR="00885A78" w:rsidRPr="00F24057">
        <w:rPr>
          <w:szCs w:val="22"/>
          <w:lang w:val="sr-Latn-ME"/>
        </w:rPr>
        <w:t>nedjelj</w:t>
      </w:r>
      <w:r w:rsidRPr="00F24057">
        <w:rPr>
          <w:szCs w:val="22"/>
          <w:lang w:val="sr-Latn-ME"/>
        </w:rPr>
        <w:t xml:space="preserve">e, ili adalimumab 80 mg </w:t>
      </w:r>
      <w:r w:rsidR="001667CA" w:rsidRPr="00F24057">
        <w:rPr>
          <w:szCs w:val="22"/>
          <w:lang w:val="sr-Latn-ME"/>
        </w:rPr>
        <w:t xml:space="preserve">u početnoj </w:t>
      </w:r>
      <w:r w:rsidR="00885A78" w:rsidRPr="00F24057">
        <w:rPr>
          <w:szCs w:val="22"/>
          <w:lang w:val="sr-Latn-ME"/>
        </w:rPr>
        <w:t>nedjelj</w:t>
      </w:r>
      <w:r w:rsidR="001667CA" w:rsidRPr="00F24057">
        <w:rPr>
          <w:szCs w:val="22"/>
          <w:lang w:val="sr-Latn-ME"/>
        </w:rPr>
        <w:t xml:space="preserve">i (označena kao nulta </w:t>
      </w:r>
      <w:r w:rsidR="00885A78" w:rsidRPr="00F24057">
        <w:rPr>
          <w:szCs w:val="22"/>
          <w:lang w:val="sr-Latn-ME"/>
        </w:rPr>
        <w:t>nedjelj</w:t>
      </w:r>
      <w:r w:rsidR="001667CA" w:rsidRPr="00F24057">
        <w:rPr>
          <w:szCs w:val="22"/>
          <w:lang w:val="sr-Latn-ME"/>
        </w:rPr>
        <w:t xml:space="preserve">a, </w:t>
      </w:r>
      <w:r w:rsidR="00080447" w:rsidRPr="00F24057">
        <w:rPr>
          <w:i/>
          <w:iCs/>
          <w:szCs w:val="22"/>
          <w:lang w:val="sr-Latn-ME"/>
        </w:rPr>
        <w:t>Week 0</w:t>
      </w:r>
      <w:r w:rsidR="001667CA" w:rsidRPr="00F24057">
        <w:rPr>
          <w:szCs w:val="22"/>
          <w:lang w:val="sr-Latn-ME"/>
        </w:rPr>
        <w:t xml:space="preserve">), </w:t>
      </w:r>
      <w:r w:rsidRPr="00F24057">
        <w:rPr>
          <w:szCs w:val="22"/>
          <w:lang w:val="sr-Latn-ME"/>
        </w:rPr>
        <w:t xml:space="preserve">i 40 mg posle 2 </w:t>
      </w:r>
      <w:r w:rsidR="00885A78" w:rsidRPr="00F24057">
        <w:rPr>
          <w:szCs w:val="22"/>
          <w:lang w:val="sr-Latn-ME"/>
        </w:rPr>
        <w:t>nedjelj</w:t>
      </w:r>
      <w:r w:rsidRPr="00F24057">
        <w:rPr>
          <w:szCs w:val="22"/>
          <w:lang w:val="sr-Latn-ME"/>
        </w:rPr>
        <w:t xml:space="preserve">e. Nakon 2. </w:t>
      </w:r>
      <w:r w:rsidR="00885A78" w:rsidRPr="00F24057">
        <w:rPr>
          <w:szCs w:val="22"/>
          <w:lang w:val="sr-Latn-ME"/>
        </w:rPr>
        <w:t>nedjelj</w:t>
      </w:r>
      <w:r w:rsidRPr="00F24057">
        <w:rPr>
          <w:szCs w:val="22"/>
          <w:lang w:val="sr-Latn-ME"/>
        </w:rPr>
        <w:t xml:space="preserve">e, pacijenti iz </w:t>
      </w:r>
      <w:r w:rsidR="00671751" w:rsidRPr="00F24057">
        <w:rPr>
          <w:szCs w:val="22"/>
          <w:lang w:val="sr-Latn-ME"/>
        </w:rPr>
        <w:t>obije</w:t>
      </w:r>
      <w:r w:rsidRPr="00F24057">
        <w:rPr>
          <w:szCs w:val="22"/>
          <w:lang w:val="sr-Latn-ME"/>
        </w:rPr>
        <w:t xml:space="preserve"> grupe koji su primali adalimumab, nastavili su da primaju dozu od 40 mg adalimumaba na svake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Klinička remisija (definisana kao </w:t>
      </w:r>
      <w:r w:rsidRPr="00F24057">
        <w:rPr>
          <w:i/>
          <w:iCs/>
          <w:szCs w:val="22"/>
          <w:lang w:val="sr-Latn-ME"/>
        </w:rPr>
        <w:t>Mayo</w:t>
      </w:r>
      <w:r w:rsidRPr="00F24057">
        <w:rPr>
          <w:szCs w:val="22"/>
          <w:lang w:val="sr-Latn-ME"/>
        </w:rPr>
        <w:t xml:space="preserve"> skor ≤ 2 bez subskora &gt; 1) </w:t>
      </w:r>
      <w:r w:rsidR="0030064A" w:rsidRPr="00F24057">
        <w:rPr>
          <w:szCs w:val="22"/>
          <w:lang w:val="sr-Latn-ME"/>
        </w:rPr>
        <w:t>mjeren</w:t>
      </w:r>
      <w:r w:rsidRPr="00F24057">
        <w:rPr>
          <w:szCs w:val="22"/>
          <w:lang w:val="sr-Latn-ME"/>
        </w:rPr>
        <w:t xml:space="preserve">a je u 8. </w:t>
      </w:r>
      <w:r w:rsidR="00885A78" w:rsidRPr="00F24057">
        <w:rPr>
          <w:szCs w:val="22"/>
          <w:lang w:val="sr-Latn-ME"/>
        </w:rPr>
        <w:t>nedjelj</w:t>
      </w:r>
      <w:r w:rsidRPr="00F24057">
        <w:rPr>
          <w:szCs w:val="22"/>
          <w:lang w:val="sr-Latn-ME"/>
        </w:rPr>
        <w:t>i.</w:t>
      </w:r>
    </w:p>
    <w:p w14:paraId="743718C1" w14:textId="77777777" w:rsidR="000B593D" w:rsidRPr="00F24057" w:rsidRDefault="000B593D" w:rsidP="000B593D">
      <w:pPr>
        <w:rPr>
          <w:szCs w:val="22"/>
          <w:lang w:val="sr-Latn-ME"/>
        </w:rPr>
      </w:pPr>
    </w:p>
    <w:p w14:paraId="00BD9556" w14:textId="191A12C6" w:rsidR="000B593D" w:rsidRPr="00F24057" w:rsidRDefault="000B593D" w:rsidP="000B593D">
      <w:pPr>
        <w:rPr>
          <w:szCs w:val="22"/>
          <w:lang w:val="sr-Latn-ME"/>
        </w:rPr>
      </w:pPr>
      <w:r w:rsidRPr="00F24057">
        <w:rPr>
          <w:szCs w:val="22"/>
          <w:lang w:val="sr-Latn-ME"/>
        </w:rPr>
        <w:t xml:space="preserve">U studiji UC-II, 248 pacijenata je primilo 160 mg adalimumaba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t>
      </w:r>
      <w:r w:rsidR="00080447" w:rsidRPr="00F24057">
        <w:rPr>
          <w:i/>
          <w:iCs/>
          <w:szCs w:val="22"/>
          <w:lang w:val="sr-Latn-ME"/>
        </w:rPr>
        <w:t>Week 0</w:t>
      </w:r>
      <w:r w:rsidRPr="00F24057">
        <w:rPr>
          <w:szCs w:val="22"/>
          <w:lang w:val="sr-Latn-ME"/>
        </w:rPr>
        <w:t xml:space="preserve">), 80 mg nakon 2 </w:t>
      </w:r>
      <w:r w:rsidR="00885A78" w:rsidRPr="00F24057">
        <w:rPr>
          <w:szCs w:val="22"/>
          <w:lang w:val="sr-Latn-ME"/>
        </w:rPr>
        <w:t>nedjelj</w:t>
      </w:r>
      <w:r w:rsidRPr="00F24057">
        <w:rPr>
          <w:szCs w:val="22"/>
          <w:lang w:val="sr-Latn-ME"/>
        </w:rPr>
        <w:t xml:space="preserve">e, a zatim 40 mg svake druge </w:t>
      </w:r>
      <w:r w:rsidR="00885A78" w:rsidRPr="00F24057">
        <w:rPr>
          <w:szCs w:val="22"/>
          <w:lang w:val="sr-Latn-ME"/>
        </w:rPr>
        <w:t>nedjelj</w:t>
      </w:r>
      <w:r w:rsidRPr="00F24057">
        <w:rPr>
          <w:szCs w:val="22"/>
          <w:lang w:val="sr-Latn-ME"/>
        </w:rPr>
        <w:t xml:space="preserve">e, dok je 246 pacijenata primalo placebo. Klinička remisija je </w:t>
      </w:r>
      <w:r w:rsidR="0030064A" w:rsidRPr="00F24057">
        <w:rPr>
          <w:szCs w:val="22"/>
          <w:lang w:val="sr-Latn-ME"/>
        </w:rPr>
        <w:t>mjeren</w:t>
      </w:r>
      <w:r w:rsidRPr="00F24057">
        <w:rPr>
          <w:szCs w:val="22"/>
          <w:lang w:val="sr-Latn-ME"/>
        </w:rPr>
        <w:t xml:space="preserve">a u 8. </w:t>
      </w:r>
      <w:r w:rsidR="00885A78" w:rsidRPr="00F24057">
        <w:rPr>
          <w:szCs w:val="22"/>
          <w:lang w:val="sr-Latn-ME"/>
        </w:rPr>
        <w:t>nedjelj</w:t>
      </w:r>
      <w:r w:rsidRPr="00F24057">
        <w:rPr>
          <w:szCs w:val="22"/>
          <w:lang w:val="sr-Latn-ME"/>
        </w:rPr>
        <w:t xml:space="preserve">i, a održavanje remisije u 52. </w:t>
      </w:r>
      <w:r w:rsidR="00885A78" w:rsidRPr="00F24057">
        <w:rPr>
          <w:szCs w:val="22"/>
          <w:lang w:val="sr-Latn-ME"/>
        </w:rPr>
        <w:t>nedjelj</w:t>
      </w:r>
      <w:r w:rsidRPr="00F24057">
        <w:rPr>
          <w:szCs w:val="22"/>
          <w:lang w:val="sr-Latn-ME"/>
        </w:rPr>
        <w:t>i.</w:t>
      </w:r>
    </w:p>
    <w:p w14:paraId="696E16C1" w14:textId="77777777" w:rsidR="003E37F6" w:rsidRPr="00F24057" w:rsidRDefault="003E37F6" w:rsidP="00D70B34">
      <w:pPr>
        <w:rPr>
          <w:szCs w:val="22"/>
          <w:lang w:val="sr-Latn-ME"/>
        </w:rPr>
      </w:pPr>
    </w:p>
    <w:p w14:paraId="7DDBEFB0" w14:textId="680079FF" w:rsidR="003E37F6" w:rsidRPr="00F24057" w:rsidRDefault="003E37F6" w:rsidP="00D70B34">
      <w:pPr>
        <w:rPr>
          <w:szCs w:val="22"/>
          <w:lang w:val="sr-Latn-ME"/>
        </w:rPr>
      </w:pPr>
      <w:r w:rsidRPr="00F24057">
        <w:rPr>
          <w:szCs w:val="22"/>
          <w:lang w:val="sr-Latn-ME"/>
        </w:rPr>
        <w:t xml:space="preserve">Kod pacijenata koji su primili indukcionu dozu adalimumaba od 160/80 mg postignut je statistički značajno veći </w:t>
      </w:r>
      <w:r w:rsidR="00972894" w:rsidRPr="00F24057">
        <w:rPr>
          <w:szCs w:val="22"/>
          <w:lang w:val="sr-Latn-ME"/>
        </w:rPr>
        <w:t>procenat</w:t>
      </w:r>
      <w:r w:rsidRPr="00F24057">
        <w:rPr>
          <w:szCs w:val="22"/>
          <w:lang w:val="sr-Latn-ME"/>
        </w:rPr>
        <w:t xml:space="preserve"> kliničke remisije u odnosu na placebo, u 8. </w:t>
      </w:r>
      <w:r w:rsidR="00885A78" w:rsidRPr="00F24057">
        <w:rPr>
          <w:szCs w:val="22"/>
          <w:lang w:val="sr-Latn-ME"/>
        </w:rPr>
        <w:t>nedjelj</w:t>
      </w:r>
      <w:r w:rsidRPr="00F24057">
        <w:rPr>
          <w:szCs w:val="22"/>
          <w:lang w:val="sr-Latn-ME"/>
        </w:rPr>
        <w:t xml:space="preserve">i, u studiji UC-I (18% odnosno 9%, p=0,031) i u studiji UC-II (17% odnosno 9%, p=0,019). U studiji UC-II, 21/41 (51%) pacijenata </w:t>
      </w:r>
      <w:r w:rsidR="00885A78" w:rsidRPr="00F24057">
        <w:rPr>
          <w:szCs w:val="22"/>
          <w:lang w:val="sr-Latn-ME"/>
        </w:rPr>
        <w:t>liječe</w:t>
      </w:r>
      <w:r w:rsidRPr="00F24057">
        <w:rPr>
          <w:szCs w:val="22"/>
          <w:lang w:val="sr-Latn-ME"/>
        </w:rPr>
        <w:t xml:space="preserve">nih adalimumabom koji su bili u remisiji u 8. </w:t>
      </w:r>
      <w:r w:rsidR="00885A78" w:rsidRPr="00F24057">
        <w:rPr>
          <w:szCs w:val="22"/>
          <w:lang w:val="sr-Latn-ME"/>
        </w:rPr>
        <w:t>nedjelj</w:t>
      </w:r>
      <w:r w:rsidRPr="00F24057">
        <w:rPr>
          <w:szCs w:val="22"/>
          <w:lang w:val="sr-Latn-ME"/>
        </w:rPr>
        <w:t xml:space="preserve">i, održalo je remisiju i u 52. </w:t>
      </w:r>
      <w:r w:rsidR="00885A78" w:rsidRPr="00F24057">
        <w:rPr>
          <w:szCs w:val="22"/>
          <w:lang w:val="sr-Latn-ME"/>
        </w:rPr>
        <w:t>nedjelj</w:t>
      </w:r>
      <w:r w:rsidRPr="00F24057">
        <w:rPr>
          <w:szCs w:val="22"/>
          <w:lang w:val="sr-Latn-ME"/>
        </w:rPr>
        <w:t>i.</w:t>
      </w:r>
    </w:p>
    <w:p w14:paraId="264042AF" w14:textId="77777777" w:rsidR="003E37F6" w:rsidRPr="00F24057" w:rsidRDefault="003E37F6" w:rsidP="00D70B34">
      <w:pPr>
        <w:rPr>
          <w:szCs w:val="22"/>
          <w:lang w:val="sr-Latn-ME"/>
        </w:rPr>
      </w:pPr>
    </w:p>
    <w:p w14:paraId="798724E6" w14:textId="0201940B" w:rsidR="003E37F6" w:rsidRPr="00F24057" w:rsidRDefault="003E37F6" w:rsidP="00D70B34">
      <w:pPr>
        <w:rPr>
          <w:szCs w:val="22"/>
          <w:lang w:val="sr-Latn-ME"/>
        </w:rPr>
      </w:pPr>
      <w:r w:rsidRPr="00F24057">
        <w:rPr>
          <w:szCs w:val="22"/>
          <w:lang w:val="sr-Latn-ME"/>
        </w:rPr>
        <w:lastRenderedPageBreak/>
        <w:t>Rezultati za ukupnu populaciju pacijenata u studiji UC-II prikazani su u Tabeli 23.</w:t>
      </w:r>
    </w:p>
    <w:p w14:paraId="6AFCD7CC" w14:textId="77777777" w:rsidR="003E37F6" w:rsidRPr="00F24057" w:rsidRDefault="003E37F6" w:rsidP="00D70B34">
      <w:pPr>
        <w:rPr>
          <w:szCs w:val="22"/>
          <w:lang w:val="sr-Latn-ME"/>
        </w:rPr>
      </w:pPr>
    </w:p>
    <w:p w14:paraId="509F9665" w14:textId="753E6396" w:rsidR="003E37F6" w:rsidRPr="00F24057" w:rsidRDefault="003E37F6" w:rsidP="00D70B34">
      <w:pPr>
        <w:rPr>
          <w:b/>
          <w:szCs w:val="22"/>
          <w:lang w:val="sr-Latn-ME"/>
        </w:rPr>
      </w:pPr>
      <w:r w:rsidRPr="00F24057">
        <w:rPr>
          <w:b/>
          <w:szCs w:val="22"/>
          <w:lang w:val="sr-Latn-ME"/>
        </w:rPr>
        <w:t>Tabela 23. Odgovor, remisija i zac</w:t>
      </w:r>
      <w:r w:rsidR="0044761A" w:rsidRPr="00F24057">
        <w:rPr>
          <w:b/>
          <w:szCs w:val="22"/>
          <w:lang w:val="sr-Latn-ME"/>
        </w:rPr>
        <w:t>j</w:t>
      </w:r>
      <w:r w:rsidRPr="00F24057">
        <w:rPr>
          <w:b/>
          <w:szCs w:val="22"/>
          <w:lang w:val="sr-Latn-ME"/>
        </w:rPr>
        <w:t>eljenje mukoze u studiji UC-II (</w:t>
      </w:r>
      <w:r w:rsidR="00972894" w:rsidRPr="00F24057">
        <w:rPr>
          <w:b/>
          <w:szCs w:val="22"/>
          <w:lang w:val="sr-Latn-ME"/>
        </w:rPr>
        <w:t>procenat</w:t>
      </w:r>
      <w:r w:rsidRPr="00F24057">
        <w:rPr>
          <w:b/>
          <w:szCs w:val="22"/>
          <w:lang w:val="sr-Latn-ME"/>
        </w:rPr>
        <w:t xml:space="preserve"> pacijenata)</w:t>
      </w:r>
    </w:p>
    <w:p w14:paraId="49AC92E4" w14:textId="77777777" w:rsidR="003E37F6" w:rsidRPr="00F24057" w:rsidRDefault="003E37F6" w:rsidP="00D70B34">
      <w:pPr>
        <w:rPr>
          <w:szCs w:val="22"/>
          <w:lang w:val="sr-Latn-ME"/>
        </w:rPr>
      </w:pPr>
    </w:p>
    <w:tbl>
      <w:tblPr>
        <w:tblW w:w="5000" w:type="pct"/>
        <w:tblCellMar>
          <w:top w:w="22" w:type="dxa"/>
          <w:left w:w="85" w:type="dxa"/>
          <w:bottom w:w="5" w:type="dxa"/>
          <w:right w:w="85" w:type="dxa"/>
        </w:tblCellMar>
        <w:tblLook w:val="04A0" w:firstRow="1" w:lastRow="0" w:firstColumn="1" w:lastColumn="0" w:noHBand="0" w:noVBand="1"/>
      </w:tblPr>
      <w:tblGrid>
        <w:gridCol w:w="3309"/>
        <w:gridCol w:w="1784"/>
        <w:gridCol w:w="3934"/>
      </w:tblGrid>
      <w:tr w:rsidR="0051260A" w:rsidRPr="00F24057" w14:paraId="12E59F27" w14:textId="77777777" w:rsidTr="00277701">
        <w:trPr>
          <w:trHeight w:val="20"/>
        </w:trPr>
        <w:tc>
          <w:tcPr>
            <w:tcW w:w="1833" w:type="pct"/>
            <w:tcBorders>
              <w:top w:val="single" w:sz="4" w:space="0" w:color="000000"/>
              <w:left w:val="nil"/>
              <w:bottom w:val="single" w:sz="4" w:space="0" w:color="000000"/>
              <w:right w:val="nil"/>
            </w:tcBorders>
          </w:tcPr>
          <w:p w14:paraId="7B1BF626" w14:textId="77777777" w:rsidR="0051260A" w:rsidRPr="00F24057" w:rsidRDefault="0051260A" w:rsidP="00D70B34">
            <w:pPr>
              <w:rPr>
                <w:szCs w:val="22"/>
                <w:lang w:val="sr-Latn-ME"/>
              </w:rPr>
            </w:pPr>
          </w:p>
        </w:tc>
        <w:tc>
          <w:tcPr>
            <w:tcW w:w="988" w:type="pct"/>
            <w:tcBorders>
              <w:top w:val="single" w:sz="4" w:space="0" w:color="000000"/>
              <w:left w:val="nil"/>
              <w:bottom w:val="single" w:sz="4" w:space="0" w:color="000000"/>
              <w:right w:val="nil"/>
            </w:tcBorders>
            <w:vAlign w:val="center"/>
          </w:tcPr>
          <w:p w14:paraId="7ABF0ED8" w14:textId="77777777" w:rsidR="0051260A" w:rsidRPr="00F24057" w:rsidRDefault="0051260A" w:rsidP="00D70B34">
            <w:pPr>
              <w:jc w:val="center"/>
              <w:rPr>
                <w:szCs w:val="22"/>
                <w:lang w:val="sr-Latn-ME"/>
              </w:rPr>
            </w:pPr>
            <w:r w:rsidRPr="00F24057">
              <w:rPr>
                <w:b/>
                <w:szCs w:val="22"/>
                <w:lang w:val="sr-Latn-ME"/>
              </w:rPr>
              <w:t>Placebo</w:t>
            </w:r>
          </w:p>
        </w:tc>
        <w:tc>
          <w:tcPr>
            <w:tcW w:w="2180" w:type="pct"/>
            <w:tcBorders>
              <w:top w:val="single" w:sz="4" w:space="0" w:color="000000"/>
              <w:left w:val="nil"/>
              <w:bottom w:val="single" w:sz="4" w:space="0" w:color="000000"/>
              <w:right w:val="nil"/>
            </w:tcBorders>
            <w:vAlign w:val="center"/>
          </w:tcPr>
          <w:p w14:paraId="0EA96072" w14:textId="0F3701B6" w:rsidR="0051260A" w:rsidRPr="00F24057" w:rsidRDefault="0051260A" w:rsidP="00D70B34">
            <w:pPr>
              <w:jc w:val="center"/>
              <w:rPr>
                <w:szCs w:val="22"/>
                <w:lang w:val="sr-Latn-ME"/>
              </w:rPr>
            </w:pPr>
            <w:r w:rsidRPr="00F24057">
              <w:rPr>
                <w:b/>
                <w:szCs w:val="22"/>
                <w:lang w:val="sr-Latn-ME"/>
              </w:rPr>
              <w:t xml:space="preserve">Adalimumab 40 mg svake druge </w:t>
            </w:r>
            <w:r w:rsidR="00885A78" w:rsidRPr="00F24057">
              <w:rPr>
                <w:b/>
                <w:szCs w:val="22"/>
                <w:lang w:val="sr-Latn-ME"/>
              </w:rPr>
              <w:t>nedjelj</w:t>
            </w:r>
            <w:r w:rsidRPr="00F24057">
              <w:rPr>
                <w:b/>
                <w:szCs w:val="22"/>
                <w:lang w:val="sr-Latn-ME"/>
              </w:rPr>
              <w:t>e</w:t>
            </w:r>
          </w:p>
        </w:tc>
      </w:tr>
      <w:tr w:rsidR="0051260A" w:rsidRPr="00F24057" w14:paraId="05998EDF" w14:textId="77777777" w:rsidTr="00277701">
        <w:trPr>
          <w:trHeight w:val="20"/>
        </w:trPr>
        <w:tc>
          <w:tcPr>
            <w:tcW w:w="1833" w:type="pct"/>
            <w:tcBorders>
              <w:top w:val="single" w:sz="4" w:space="0" w:color="000000"/>
              <w:left w:val="nil"/>
              <w:bottom w:val="single" w:sz="4" w:space="0" w:color="000000"/>
              <w:right w:val="nil"/>
            </w:tcBorders>
          </w:tcPr>
          <w:p w14:paraId="0E175551" w14:textId="349A363F" w:rsidR="0051260A" w:rsidRPr="00F24057" w:rsidRDefault="0051260A" w:rsidP="00D70B34">
            <w:pPr>
              <w:rPr>
                <w:b/>
                <w:bCs/>
                <w:szCs w:val="22"/>
                <w:lang w:val="sr-Latn-ME"/>
              </w:rPr>
            </w:pPr>
            <w:r w:rsidRPr="00F24057">
              <w:rPr>
                <w:b/>
                <w:bCs/>
                <w:szCs w:val="22"/>
                <w:lang w:val="sr-Latn-ME"/>
              </w:rPr>
              <w:t xml:space="preserve">52. </w:t>
            </w:r>
            <w:r w:rsidR="00885A78" w:rsidRPr="00F24057">
              <w:rPr>
                <w:b/>
                <w:bCs/>
                <w:szCs w:val="22"/>
                <w:lang w:val="sr-Latn-ME"/>
              </w:rPr>
              <w:t>nedjelj</w:t>
            </w:r>
            <w:r w:rsidRPr="00F24057">
              <w:rPr>
                <w:b/>
                <w:bCs/>
                <w:szCs w:val="22"/>
                <w:lang w:val="sr-Latn-ME"/>
              </w:rPr>
              <w:t xml:space="preserve">a </w:t>
            </w:r>
          </w:p>
        </w:tc>
        <w:tc>
          <w:tcPr>
            <w:tcW w:w="988" w:type="pct"/>
            <w:tcBorders>
              <w:top w:val="single" w:sz="4" w:space="0" w:color="000000"/>
              <w:left w:val="nil"/>
              <w:bottom w:val="single" w:sz="4" w:space="0" w:color="000000"/>
              <w:right w:val="nil"/>
            </w:tcBorders>
            <w:vAlign w:val="center"/>
          </w:tcPr>
          <w:p w14:paraId="3030B61B" w14:textId="77777777" w:rsidR="0051260A" w:rsidRPr="00F24057" w:rsidRDefault="0051260A" w:rsidP="00D70B34">
            <w:pPr>
              <w:jc w:val="center"/>
              <w:rPr>
                <w:szCs w:val="22"/>
                <w:lang w:val="sr-Latn-ME"/>
              </w:rPr>
            </w:pPr>
            <w:r w:rsidRPr="00F24057">
              <w:rPr>
                <w:b/>
                <w:szCs w:val="22"/>
                <w:lang w:val="sr-Latn-ME"/>
              </w:rPr>
              <w:t>N=246</w:t>
            </w:r>
          </w:p>
        </w:tc>
        <w:tc>
          <w:tcPr>
            <w:tcW w:w="2180" w:type="pct"/>
            <w:tcBorders>
              <w:top w:val="single" w:sz="4" w:space="0" w:color="000000"/>
              <w:left w:val="nil"/>
              <w:bottom w:val="single" w:sz="4" w:space="0" w:color="000000"/>
              <w:right w:val="nil"/>
            </w:tcBorders>
            <w:vAlign w:val="center"/>
          </w:tcPr>
          <w:p w14:paraId="57C6EDB1" w14:textId="77777777" w:rsidR="0051260A" w:rsidRPr="00F24057" w:rsidRDefault="0051260A" w:rsidP="00D70B34">
            <w:pPr>
              <w:jc w:val="center"/>
              <w:rPr>
                <w:szCs w:val="22"/>
                <w:lang w:val="sr-Latn-ME"/>
              </w:rPr>
            </w:pPr>
            <w:r w:rsidRPr="00F24057">
              <w:rPr>
                <w:b/>
                <w:szCs w:val="22"/>
                <w:lang w:val="sr-Latn-ME"/>
              </w:rPr>
              <w:t>N=248</w:t>
            </w:r>
          </w:p>
        </w:tc>
      </w:tr>
      <w:tr w:rsidR="0051260A" w:rsidRPr="00F24057" w14:paraId="0B1489F9" w14:textId="77777777" w:rsidTr="00277701">
        <w:trPr>
          <w:trHeight w:val="20"/>
        </w:trPr>
        <w:tc>
          <w:tcPr>
            <w:tcW w:w="1833" w:type="pct"/>
            <w:tcBorders>
              <w:top w:val="single" w:sz="4" w:space="0" w:color="000000"/>
              <w:left w:val="nil"/>
              <w:bottom w:val="nil"/>
              <w:right w:val="nil"/>
            </w:tcBorders>
          </w:tcPr>
          <w:p w14:paraId="6F0AC63E" w14:textId="77777777" w:rsidR="0051260A" w:rsidRPr="00F24057" w:rsidRDefault="0051260A" w:rsidP="00D70B34">
            <w:pPr>
              <w:tabs>
                <w:tab w:val="clear" w:pos="284"/>
              </w:tabs>
              <w:ind w:left="142"/>
              <w:rPr>
                <w:szCs w:val="22"/>
                <w:lang w:val="sr-Latn-ME"/>
              </w:rPr>
            </w:pPr>
            <w:r w:rsidRPr="00F24057">
              <w:rPr>
                <w:szCs w:val="22"/>
                <w:lang w:val="sr-Latn-ME"/>
              </w:rPr>
              <w:t>Klinički odgovor</w:t>
            </w:r>
          </w:p>
        </w:tc>
        <w:tc>
          <w:tcPr>
            <w:tcW w:w="988" w:type="pct"/>
            <w:tcBorders>
              <w:top w:val="single" w:sz="4" w:space="0" w:color="000000"/>
              <w:left w:val="nil"/>
              <w:bottom w:val="nil"/>
              <w:right w:val="nil"/>
            </w:tcBorders>
            <w:vAlign w:val="center"/>
          </w:tcPr>
          <w:p w14:paraId="0B64326F" w14:textId="77777777" w:rsidR="0051260A" w:rsidRPr="00F24057" w:rsidRDefault="0051260A" w:rsidP="00D70B34">
            <w:pPr>
              <w:jc w:val="center"/>
              <w:rPr>
                <w:szCs w:val="22"/>
                <w:lang w:val="sr-Latn-ME"/>
              </w:rPr>
            </w:pPr>
            <w:r w:rsidRPr="00F24057">
              <w:rPr>
                <w:szCs w:val="22"/>
                <w:lang w:val="sr-Latn-ME"/>
              </w:rPr>
              <w:t>18%</w:t>
            </w:r>
          </w:p>
        </w:tc>
        <w:tc>
          <w:tcPr>
            <w:tcW w:w="2180" w:type="pct"/>
            <w:tcBorders>
              <w:top w:val="single" w:sz="4" w:space="0" w:color="000000"/>
              <w:left w:val="nil"/>
              <w:bottom w:val="nil"/>
              <w:right w:val="nil"/>
            </w:tcBorders>
            <w:vAlign w:val="center"/>
          </w:tcPr>
          <w:p w14:paraId="1DEF942F" w14:textId="77777777" w:rsidR="0051260A" w:rsidRPr="00F24057" w:rsidRDefault="0051260A" w:rsidP="00D70B34">
            <w:pPr>
              <w:jc w:val="center"/>
              <w:rPr>
                <w:szCs w:val="22"/>
                <w:lang w:val="sr-Latn-ME"/>
              </w:rPr>
            </w:pPr>
            <w:r w:rsidRPr="00F24057">
              <w:rPr>
                <w:szCs w:val="22"/>
                <w:lang w:val="sr-Latn-ME"/>
              </w:rPr>
              <w:t>30%*</w:t>
            </w:r>
          </w:p>
        </w:tc>
      </w:tr>
      <w:tr w:rsidR="0051260A" w:rsidRPr="00F24057" w14:paraId="4CECE86B" w14:textId="77777777" w:rsidTr="00277701">
        <w:trPr>
          <w:trHeight w:val="20"/>
        </w:trPr>
        <w:tc>
          <w:tcPr>
            <w:tcW w:w="1833" w:type="pct"/>
            <w:tcBorders>
              <w:top w:val="nil"/>
              <w:left w:val="nil"/>
              <w:bottom w:val="nil"/>
              <w:right w:val="nil"/>
            </w:tcBorders>
          </w:tcPr>
          <w:p w14:paraId="2DFDC018" w14:textId="77777777" w:rsidR="0051260A" w:rsidRPr="00F24057" w:rsidRDefault="0051260A" w:rsidP="00D70B34">
            <w:pPr>
              <w:tabs>
                <w:tab w:val="clear" w:pos="284"/>
              </w:tabs>
              <w:ind w:left="142"/>
              <w:rPr>
                <w:szCs w:val="22"/>
                <w:lang w:val="sr-Latn-ME"/>
              </w:rPr>
            </w:pPr>
            <w:r w:rsidRPr="00F24057">
              <w:rPr>
                <w:szCs w:val="22"/>
                <w:lang w:val="sr-Latn-ME"/>
              </w:rPr>
              <w:t>Klinička remisija</w:t>
            </w:r>
          </w:p>
        </w:tc>
        <w:tc>
          <w:tcPr>
            <w:tcW w:w="988" w:type="pct"/>
            <w:tcBorders>
              <w:top w:val="nil"/>
              <w:left w:val="nil"/>
              <w:bottom w:val="nil"/>
              <w:right w:val="nil"/>
            </w:tcBorders>
            <w:vAlign w:val="center"/>
          </w:tcPr>
          <w:p w14:paraId="7ABF19C1" w14:textId="77777777" w:rsidR="0051260A" w:rsidRPr="00F24057" w:rsidRDefault="0051260A" w:rsidP="00D70B34">
            <w:pPr>
              <w:jc w:val="center"/>
              <w:rPr>
                <w:szCs w:val="22"/>
                <w:lang w:val="sr-Latn-ME"/>
              </w:rPr>
            </w:pPr>
            <w:r w:rsidRPr="00F24057">
              <w:rPr>
                <w:szCs w:val="22"/>
                <w:lang w:val="sr-Latn-ME"/>
              </w:rPr>
              <w:t>9%</w:t>
            </w:r>
          </w:p>
        </w:tc>
        <w:tc>
          <w:tcPr>
            <w:tcW w:w="2180" w:type="pct"/>
            <w:tcBorders>
              <w:top w:val="nil"/>
              <w:left w:val="nil"/>
              <w:bottom w:val="nil"/>
              <w:right w:val="nil"/>
            </w:tcBorders>
            <w:vAlign w:val="center"/>
          </w:tcPr>
          <w:p w14:paraId="104BF46E" w14:textId="77777777" w:rsidR="0051260A" w:rsidRPr="00F24057" w:rsidRDefault="0051260A" w:rsidP="00D70B34">
            <w:pPr>
              <w:jc w:val="center"/>
              <w:rPr>
                <w:szCs w:val="22"/>
                <w:lang w:val="sr-Latn-ME"/>
              </w:rPr>
            </w:pPr>
            <w:r w:rsidRPr="00F24057">
              <w:rPr>
                <w:szCs w:val="22"/>
                <w:lang w:val="sr-Latn-ME"/>
              </w:rPr>
              <w:t>17%*</w:t>
            </w:r>
          </w:p>
        </w:tc>
      </w:tr>
      <w:tr w:rsidR="0051260A" w:rsidRPr="00F24057" w14:paraId="1CAA8C75" w14:textId="77777777" w:rsidTr="00277701">
        <w:trPr>
          <w:trHeight w:val="20"/>
        </w:trPr>
        <w:tc>
          <w:tcPr>
            <w:tcW w:w="1833" w:type="pct"/>
            <w:tcBorders>
              <w:top w:val="nil"/>
              <w:left w:val="nil"/>
              <w:bottom w:val="nil"/>
              <w:right w:val="nil"/>
            </w:tcBorders>
          </w:tcPr>
          <w:p w14:paraId="379D1D26" w14:textId="4AE49CAC" w:rsidR="0051260A" w:rsidRPr="00F24057" w:rsidRDefault="0051260A" w:rsidP="00D70B34">
            <w:pPr>
              <w:tabs>
                <w:tab w:val="clear" w:pos="284"/>
              </w:tabs>
              <w:ind w:left="142"/>
              <w:rPr>
                <w:szCs w:val="22"/>
                <w:lang w:val="sr-Latn-ME"/>
              </w:rPr>
            </w:pPr>
            <w:r w:rsidRPr="00F24057">
              <w:rPr>
                <w:szCs w:val="22"/>
                <w:lang w:val="sr-Latn-ME"/>
              </w:rPr>
              <w:t>Zac</w:t>
            </w:r>
            <w:r w:rsidR="0044761A" w:rsidRPr="00F24057">
              <w:rPr>
                <w:szCs w:val="22"/>
                <w:lang w:val="sr-Latn-ME"/>
              </w:rPr>
              <w:t>j</w:t>
            </w:r>
            <w:r w:rsidRPr="00F24057">
              <w:rPr>
                <w:szCs w:val="22"/>
                <w:lang w:val="sr-Latn-ME"/>
              </w:rPr>
              <w:t>eljenje mukoze</w:t>
            </w:r>
          </w:p>
        </w:tc>
        <w:tc>
          <w:tcPr>
            <w:tcW w:w="988" w:type="pct"/>
            <w:tcBorders>
              <w:top w:val="nil"/>
              <w:left w:val="nil"/>
              <w:bottom w:val="nil"/>
              <w:right w:val="nil"/>
            </w:tcBorders>
            <w:vAlign w:val="center"/>
          </w:tcPr>
          <w:p w14:paraId="21741133" w14:textId="77777777" w:rsidR="0051260A" w:rsidRPr="00F24057" w:rsidRDefault="0051260A" w:rsidP="00D70B34">
            <w:pPr>
              <w:jc w:val="center"/>
              <w:rPr>
                <w:szCs w:val="22"/>
                <w:lang w:val="sr-Latn-ME"/>
              </w:rPr>
            </w:pPr>
            <w:r w:rsidRPr="00F24057">
              <w:rPr>
                <w:szCs w:val="22"/>
                <w:lang w:val="sr-Latn-ME"/>
              </w:rPr>
              <w:t>15%</w:t>
            </w:r>
          </w:p>
        </w:tc>
        <w:tc>
          <w:tcPr>
            <w:tcW w:w="2180" w:type="pct"/>
            <w:tcBorders>
              <w:top w:val="nil"/>
              <w:left w:val="nil"/>
              <w:bottom w:val="nil"/>
              <w:right w:val="nil"/>
            </w:tcBorders>
            <w:vAlign w:val="center"/>
          </w:tcPr>
          <w:p w14:paraId="7CC4958F" w14:textId="77777777" w:rsidR="0051260A" w:rsidRPr="00F24057" w:rsidRDefault="0051260A" w:rsidP="00D70B34">
            <w:pPr>
              <w:jc w:val="center"/>
              <w:rPr>
                <w:szCs w:val="22"/>
                <w:lang w:val="sr-Latn-ME"/>
              </w:rPr>
            </w:pPr>
            <w:r w:rsidRPr="00F24057">
              <w:rPr>
                <w:szCs w:val="22"/>
                <w:lang w:val="sr-Latn-ME"/>
              </w:rPr>
              <w:t>25%*</w:t>
            </w:r>
          </w:p>
        </w:tc>
      </w:tr>
      <w:tr w:rsidR="0051260A" w:rsidRPr="00F24057" w14:paraId="34248ED9" w14:textId="77777777" w:rsidTr="00277701">
        <w:trPr>
          <w:trHeight w:val="20"/>
        </w:trPr>
        <w:tc>
          <w:tcPr>
            <w:tcW w:w="1833" w:type="pct"/>
            <w:tcBorders>
              <w:top w:val="nil"/>
              <w:left w:val="nil"/>
              <w:bottom w:val="nil"/>
              <w:right w:val="nil"/>
            </w:tcBorders>
          </w:tcPr>
          <w:p w14:paraId="55DB2192" w14:textId="6382317D" w:rsidR="0051260A" w:rsidRPr="00F24057" w:rsidRDefault="0051260A" w:rsidP="00D70B34">
            <w:pPr>
              <w:tabs>
                <w:tab w:val="clear" w:pos="284"/>
              </w:tabs>
              <w:ind w:left="142"/>
              <w:rPr>
                <w:szCs w:val="22"/>
                <w:lang w:val="sr-Latn-ME"/>
              </w:rPr>
            </w:pPr>
            <w:r w:rsidRPr="00F24057">
              <w:rPr>
                <w:szCs w:val="22"/>
                <w:lang w:val="sr-Latn-ME"/>
              </w:rPr>
              <w:t xml:space="preserve">Remisija bez steroida </w:t>
            </w:r>
            <w:r w:rsidR="002A07D4" w:rsidRPr="00F24057">
              <w:rPr>
                <w:szCs w:val="22"/>
                <w:lang w:val="sr-Latn-ME"/>
              </w:rPr>
              <w:t>≥</w:t>
            </w:r>
            <w:r w:rsidRPr="00F24057">
              <w:rPr>
                <w:szCs w:val="22"/>
                <w:lang w:val="sr-Latn-ME"/>
              </w:rPr>
              <w:t xml:space="preserve"> 90 dana</w:t>
            </w:r>
            <w:r w:rsidRPr="00F24057">
              <w:rPr>
                <w:szCs w:val="22"/>
                <w:vertAlign w:val="superscript"/>
                <w:lang w:val="sr-Latn-ME"/>
              </w:rPr>
              <w:t>a</w:t>
            </w:r>
          </w:p>
        </w:tc>
        <w:tc>
          <w:tcPr>
            <w:tcW w:w="988" w:type="pct"/>
            <w:tcBorders>
              <w:top w:val="nil"/>
              <w:left w:val="nil"/>
              <w:bottom w:val="nil"/>
              <w:right w:val="nil"/>
            </w:tcBorders>
            <w:vAlign w:val="center"/>
          </w:tcPr>
          <w:p w14:paraId="6E08A1F3" w14:textId="3DF9F51D" w:rsidR="0051260A" w:rsidRPr="00F24057" w:rsidRDefault="0051260A" w:rsidP="00D70B34">
            <w:pPr>
              <w:jc w:val="center"/>
              <w:rPr>
                <w:szCs w:val="22"/>
                <w:lang w:val="sr-Latn-ME"/>
              </w:rPr>
            </w:pPr>
            <w:r w:rsidRPr="00F24057">
              <w:rPr>
                <w:szCs w:val="22"/>
                <w:lang w:val="sr-Latn-ME"/>
              </w:rPr>
              <w:t>6%</w:t>
            </w:r>
          </w:p>
        </w:tc>
        <w:tc>
          <w:tcPr>
            <w:tcW w:w="2180" w:type="pct"/>
            <w:tcBorders>
              <w:top w:val="nil"/>
              <w:left w:val="nil"/>
              <w:bottom w:val="nil"/>
              <w:right w:val="nil"/>
            </w:tcBorders>
            <w:vAlign w:val="center"/>
          </w:tcPr>
          <w:p w14:paraId="5C39E575" w14:textId="54141016" w:rsidR="0051260A" w:rsidRPr="00F24057" w:rsidRDefault="0051260A" w:rsidP="00D70B34">
            <w:pPr>
              <w:jc w:val="center"/>
              <w:rPr>
                <w:szCs w:val="22"/>
                <w:lang w:val="sr-Latn-ME"/>
              </w:rPr>
            </w:pPr>
            <w:r w:rsidRPr="00F24057">
              <w:rPr>
                <w:szCs w:val="22"/>
                <w:lang w:val="sr-Latn-ME"/>
              </w:rPr>
              <w:t>13%*</w:t>
            </w:r>
          </w:p>
        </w:tc>
      </w:tr>
      <w:tr w:rsidR="002A07D4" w:rsidRPr="00F24057" w14:paraId="20C58D76" w14:textId="77777777" w:rsidTr="00277701">
        <w:trPr>
          <w:trHeight w:val="20"/>
        </w:trPr>
        <w:tc>
          <w:tcPr>
            <w:tcW w:w="1833" w:type="pct"/>
            <w:tcBorders>
              <w:top w:val="nil"/>
              <w:left w:val="nil"/>
              <w:bottom w:val="nil"/>
              <w:right w:val="nil"/>
            </w:tcBorders>
          </w:tcPr>
          <w:p w14:paraId="36E400F6" w14:textId="77777777" w:rsidR="002A07D4" w:rsidRPr="00F24057" w:rsidRDefault="002A07D4" w:rsidP="00D70B34">
            <w:pPr>
              <w:rPr>
                <w:szCs w:val="22"/>
                <w:lang w:val="sr-Latn-ME"/>
              </w:rPr>
            </w:pPr>
          </w:p>
        </w:tc>
        <w:tc>
          <w:tcPr>
            <w:tcW w:w="988" w:type="pct"/>
            <w:tcBorders>
              <w:top w:val="nil"/>
              <w:left w:val="nil"/>
              <w:bottom w:val="nil"/>
              <w:right w:val="nil"/>
            </w:tcBorders>
            <w:vAlign w:val="center"/>
          </w:tcPr>
          <w:p w14:paraId="6405BAA7" w14:textId="23D93212" w:rsidR="002A07D4" w:rsidRPr="00F24057" w:rsidRDefault="002A07D4" w:rsidP="00D70B34">
            <w:pPr>
              <w:jc w:val="center"/>
              <w:rPr>
                <w:bCs/>
                <w:szCs w:val="22"/>
                <w:lang w:val="sr-Latn-ME"/>
              </w:rPr>
            </w:pPr>
            <w:r w:rsidRPr="00F24057">
              <w:rPr>
                <w:bCs/>
                <w:szCs w:val="22"/>
                <w:lang w:val="sr-Latn-ME"/>
              </w:rPr>
              <w:t>(N=140)</w:t>
            </w:r>
          </w:p>
        </w:tc>
        <w:tc>
          <w:tcPr>
            <w:tcW w:w="2180" w:type="pct"/>
            <w:tcBorders>
              <w:top w:val="nil"/>
              <w:left w:val="nil"/>
              <w:bottom w:val="nil"/>
              <w:right w:val="nil"/>
            </w:tcBorders>
            <w:vAlign w:val="center"/>
          </w:tcPr>
          <w:p w14:paraId="4AD677FA" w14:textId="5E629901" w:rsidR="002A07D4" w:rsidRPr="00F24057" w:rsidRDefault="002A07D4" w:rsidP="00D70B34">
            <w:pPr>
              <w:jc w:val="center"/>
              <w:rPr>
                <w:bCs/>
                <w:szCs w:val="22"/>
                <w:lang w:val="sr-Latn-ME"/>
              </w:rPr>
            </w:pPr>
            <w:r w:rsidRPr="00F24057">
              <w:rPr>
                <w:bCs/>
                <w:szCs w:val="22"/>
                <w:lang w:val="sr-Latn-ME"/>
              </w:rPr>
              <w:t>(N=150)</w:t>
            </w:r>
          </w:p>
        </w:tc>
      </w:tr>
      <w:tr w:rsidR="00A90A66" w:rsidRPr="00F24057" w14:paraId="233EC230" w14:textId="77777777" w:rsidTr="00277701">
        <w:trPr>
          <w:trHeight w:val="20"/>
        </w:trPr>
        <w:tc>
          <w:tcPr>
            <w:tcW w:w="1833" w:type="pct"/>
            <w:tcBorders>
              <w:top w:val="nil"/>
              <w:left w:val="nil"/>
              <w:bottom w:val="nil"/>
              <w:right w:val="nil"/>
            </w:tcBorders>
          </w:tcPr>
          <w:p w14:paraId="5262174B" w14:textId="2F083D96" w:rsidR="00A90A66" w:rsidRPr="00F24057" w:rsidRDefault="00A90A66" w:rsidP="00D70B34">
            <w:pPr>
              <w:rPr>
                <w:szCs w:val="22"/>
                <w:lang w:val="sr-Latn-ME"/>
              </w:rPr>
            </w:pPr>
            <w:r w:rsidRPr="00F24057">
              <w:rPr>
                <w:b/>
                <w:bCs/>
                <w:szCs w:val="22"/>
                <w:lang w:val="sr-Latn-ME"/>
              </w:rPr>
              <w:t xml:space="preserve">8. i 52. </w:t>
            </w:r>
            <w:r w:rsidR="00885A78" w:rsidRPr="00F24057">
              <w:rPr>
                <w:b/>
                <w:bCs/>
                <w:szCs w:val="22"/>
                <w:lang w:val="sr-Latn-ME"/>
              </w:rPr>
              <w:t>nedjelj</w:t>
            </w:r>
            <w:r w:rsidRPr="00F24057">
              <w:rPr>
                <w:b/>
                <w:bCs/>
                <w:szCs w:val="22"/>
                <w:lang w:val="sr-Latn-ME"/>
              </w:rPr>
              <w:t xml:space="preserve">a </w:t>
            </w:r>
          </w:p>
        </w:tc>
        <w:tc>
          <w:tcPr>
            <w:tcW w:w="988" w:type="pct"/>
            <w:tcBorders>
              <w:top w:val="nil"/>
              <w:left w:val="nil"/>
              <w:bottom w:val="nil"/>
              <w:right w:val="nil"/>
            </w:tcBorders>
            <w:vAlign w:val="center"/>
          </w:tcPr>
          <w:p w14:paraId="18247D07" w14:textId="6F35FF6C" w:rsidR="00A90A66" w:rsidRPr="00F24057" w:rsidRDefault="00A90A66" w:rsidP="00D70B34">
            <w:pPr>
              <w:rPr>
                <w:szCs w:val="22"/>
                <w:lang w:val="sr-Latn-ME"/>
              </w:rPr>
            </w:pPr>
          </w:p>
        </w:tc>
        <w:tc>
          <w:tcPr>
            <w:tcW w:w="2180" w:type="pct"/>
            <w:tcBorders>
              <w:top w:val="nil"/>
              <w:left w:val="nil"/>
              <w:bottom w:val="nil"/>
              <w:right w:val="nil"/>
            </w:tcBorders>
            <w:vAlign w:val="center"/>
          </w:tcPr>
          <w:p w14:paraId="4ADD34C8" w14:textId="2555FF75" w:rsidR="00A90A66" w:rsidRPr="00F24057" w:rsidRDefault="00A90A66" w:rsidP="00D70B34">
            <w:pPr>
              <w:rPr>
                <w:szCs w:val="22"/>
                <w:lang w:val="sr-Latn-ME"/>
              </w:rPr>
            </w:pPr>
          </w:p>
        </w:tc>
      </w:tr>
      <w:tr w:rsidR="0051260A" w:rsidRPr="00F24057" w14:paraId="32C96746" w14:textId="77777777" w:rsidTr="00277701">
        <w:trPr>
          <w:trHeight w:val="20"/>
        </w:trPr>
        <w:tc>
          <w:tcPr>
            <w:tcW w:w="1833" w:type="pct"/>
            <w:tcBorders>
              <w:top w:val="nil"/>
              <w:left w:val="nil"/>
              <w:bottom w:val="nil"/>
              <w:right w:val="nil"/>
            </w:tcBorders>
          </w:tcPr>
          <w:p w14:paraId="7988F066" w14:textId="6C73B6E7" w:rsidR="0051260A" w:rsidRPr="00F24057" w:rsidRDefault="00A90A66" w:rsidP="00D70B34">
            <w:pPr>
              <w:tabs>
                <w:tab w:val="clear" w:pos="284"/>
              </w:tabs>
              <w:ind w:left="142"/>
              <w:rPr>
                <w:szCs w:val="22"/>
                <w:lang w:val="sr-Latn-ME"/>
              </w:rPr>
            </w:pPr>
            <w:r w:rsidRPr="00F24057">
              <w:rPr>
                <w:szCs w:val="22"/>
                <w:lang w:val="sr-Latn-ME"/>
              </w:rPr>
              <w:t>Održavan odgovor</w:t>
            </w:r>
          </w:p>
        </w:tc>
        <w:tc>
          <w:tcPr>
            <w:tcW w:w="988" w:type="pct"/>
            <w:tcBorders>
              <w:top w:val="nil"/>
              <w:left w:val="nil"/>
              <w:bottom w:val="nil"/>
              <w:right w:val="nil"/>
            </w:tcBorders>
            <w:vAlign w:val="center"/>
          </w:tcPr>
          <w:p w14:paraId="157B6388" w14:textId="77777777" w:rsidR="0051260A" w:rsidRPr="00F24057" w:rsidRDefault="0051260A" w:rsidP="00D70B34">
            <w:pPr>
              <w:jc w:val="center"/>
              <w:rPr>
                <w:szCs w:val="22"/>
                <w:lang w:val="sr-Latn-ME"/>
              </w:rPr>
            </w:pPr>
            <w:r w:rsidRPr="00F24057">
              <w:rPr>
                <w:szCs w:val="22"/>
                <w:lang w:val="sr-Latn-ME"/>
              </w:rPr>
              <w:t>12%</w:t>
            </w:r>
          </w:p>
        </w:tc>
        <w:tc>
          <w:tcPr>
            <w:tcW w:w="2180" w:type="pct"/>
            <w:tcBorders>
              <w:top w:val="nil"/>
              <w:left w:val="nil"/>
              <w:bottom w:val="nil"/>
              <w:right w:val="nil"/>
            </w:tcBorders>
            <w:vAlign w:val="center"/>
          </w:tcPr>
          <w:p w14:paraId="39A6103B" w14:textId="77777777" w:rsidR="0051260A" w:rsidRPr="00F24057" w:rsidRDefault="0051260A" w:rsidP="00D70B34">
            <w:pPr>
              <w:jc w:val="center"/>
              <w:rPr>
                <w:szCs w:val="22"/>
                <w:lang w:val="sr-Latn-ME"/>
              </w:rPr>
            </w:pPr>
            <w:r w:rsidRPr="00F24057">
              <w:rPr>
                <w:szCs w:val="22"/>
                <w:lang w:val="sr-Latn-ME"/>
              </w:rPr>
              <w:t>24%**</w:t>
            </w:r>
          </w:p>
        </w:tc>
      </w:tr>
      <w:tr w:rsidR="0051260A" w:rsidRPr="00F24057" w14:paraId="099BD58D" w14:textId="77777777" w:rsidTr="00277701">
        <w:trPr>
          <w:trHeight w:val="20"/>
        </w:trPr>
        <w:tc>
          <w:tcPr>
            <w:tcW w:w="1833" w:type="pct"/>
            <w:tcBorders>
              <w:top w:val="nil"/>
              <w:left w:val="nil"/>
              <w:bottom w:val="nil"/>
              <w:right w:val="nil"/>
            </w:tcBorders>
          </w:tcPr>
          <w:p w14:paraId="738BB8FA" w14:textId="77777777" w:rsidR="0051260A" w:rsidRPr="00F24057" w:rsidRDefault="0051260A" w:rsidP="00D70B34">
            <w:pPr>
              <w:tabs>
                <w:tab w:val="clear" w:pos="284"/>
              </w:tabs>
              <w:ind w:left="142"/>
              <w:rPr>
                <w:szCs w:val="22"/>
                <w:lang w:val="sr-Latn-ME"/>
              </w:rPr>
            </w:pPr>
            <w:r w:rsidRPr="00F24057">
              <w:rPr>
                <w:szCs w:val="22"/>
                <w:lang w:val="sr-Latn-ME"/>
              </w:rPr>
              <w:t>Održavana remisija</w:t>
            </w:r>
          </w:p>
        </w:tc>
        <w:tc>
          <w:tcPr>
            <w:tcW w:w="988" w:type="pct"/>
            <w:tcBorders>
              <w:top w:val="nil"/>
              <w:left w:val="nil"/>
              <w:bottom w:val="nil"/>
              <w:right w:val="nil"/>
            </w:tcBorders>
            <w:vAlign w:val="center"/>
          </w:tcPr>
          <w:p w14:paraId="524432C6" w14:textId="77777777" w:rsidR="0051260A" w:rsidRPr="00F24057" w:rsidRDefault="0051260A" w:rsidP="00D70B34">
            <w:pPr>
              <w:jc w:val="center"/>
              <w:rPr>
                <w:szCs w:val="22"/>
                <w:lang w:val="sr-Latn-ME"/>
              </w:rPr>
            </w:pPr>
            <w:r w:rsidRPr="00F24057">
              <w:rPr>
                <w:szCs w:val="22"/>
                <w:lang w:val="sr-Latn-ME"/>
              </w:rPr>
              <w:t>4%</w:t>
            </w:r>
          </w:p>
        </w:tc>
        <w:tc>
          <w:tcPr>
            <w:tcW w:w="2180" w:type="pct"/>
            <w:tcBorders>
              <w:top w:val="nil"/>
              <w:left w:val="nil"/>
              <w:bottom w:val="nil"/>
              <w:right w:val="nil"/>
            </w:tcBorders>
            <w:vAlign w:val="center"/>
          </w:tcPr>
          <w:p w14:paraId="1D5CBBC2" w14:textId="37AD4AC8" w:rsidR="0051260A" w:rsidRPr="00F24057" w:rsidRDefault="0051260A" w:rsidP="00D70B34">
            <w:pPr>
              <w:jc w:val="center"/>
              <w:rPr>
                <w:szCs w:val="22"/>
                <w:lang w:val="sr-Latn-ME"/>
              </w:rPr>
            </w:pPr>
            <w:r w:rsidRPr="00F24057">
              <w:rPr>
                <w:szCs w:val="22"/>
                <w:lang w:val="sr-Latn-ME"/>
              </w:rPr>
              <w:t>8%</w:t>
            </w:r>
            <w:r w:rsidR="005A54D2" w:rsidRPr="00F24057">
              <w:rPr>
                <w:szCs w:val="22"/>
                <w:lang w:val="sr-Latn-ME"/>
              </w:rPr>
              <w:t>*</w:t>
            </w:r>
          </w:p>
        </w:tc>
      </w:tr>
      <w:tr w:rsidR="0051260A" w:rsidRPr="00F24057" w14:paraId="5A0F2B7D" w14:textId="77777777" w:rsidTr="00277701">
        <w:trPr>
          <w:trHeight w:val="20"/>
        </w:trPr>
        <w:tc>
          <w:tcPr>
            <w:tcW w:w="1833" w:type="pct"/>
            <w:tcBorders>
              <w:top w:val="nil"/>
              <w:left w:val="nil"/>
              <w:bottom w:val="single" w:sz="4" w:space="0" w:color="000000"/>
              <w:right w:val="nil"/>
            </w:tcBorders>
          </w:tcPr>
          <w:p w14:paraId="3A5C2E0E" w14:textId="552FAD54" w:rsidR="0051260A" w:rsidRPr="00F24057" w:rsidRDefault="0051260A" w:rsidP="00D70B34">
            <w:pPr>
              <w:tabs>
                <w:tab w:val="clear" w:pos="284"/>
              </w:tabs>
              <w:ind w:left="142"/>
              <w:rPr>
                <w:szCs w:val="22"/>
                <w:lang w:val="sr-Latn-ME"/>
              </w:rPr>
            </w:pPr>
            <w:r w:rsidRPr="00F24057">
              <w:rPr>
                <w:szCs w:val="22"/>
                <w:lang w:val="sr-Latn-ME"/>
              </w:rPr>
              <w:t>Održavano zac</w:t>
            </w:r>
            <w:r w:rsidR="0044761A" w:rsidRPr="00F24057">
              <w:rPr>
                <w:szCs w:val="22"/>
                <w:lang w:val="sr-Latn-ME"/>
              </w:rPr>
              <w:t>j</w:t>
            </w:r>
            <w:r w:rsidRPr="00F24057">
              <w:rPr>
                <w:szCs w:val="22"/>
                <w:lang w:val="sr-Latn-ME"/>
              </w:rPr>
              <w:t>eljenje mukoze</w:t>
            </w:r>
          </w:p>
        </w:tc>
        <w:tc>
          <w:tcPr>
            <w:tcW w:w="988" w:type="pct"/>
            <w:tcBorders>
              <w:top w:val="nil"/>
              <w:left w:val="nil"/>
              <w:bottom w:val="single" w:sz="4" w:space="0" w:color="000000"/>
              <w:right w:val="nil"/>
            </w:tcBorders>
            <w:vAlign w:val="center"/>
          </w:tcPr>
          <w:p w14:paraId="7D5FB2E3" w14:textId="77777777" w:rsidR="0051260A" w:rsidRPr="00F24057" w:rsidRDefault="0051260A" w:rsidP="00D70B34">
            <w:pPr>
              <w:jc w:val="center"/>
              <w:rPr>
                <w:szCs w:val="22"/>
                <w:lang w:val="sr-Latn-ME"/>
              </w:rPr>
            </w:pPr>
            <w:r w:rsidRPr="00F24057">
              <w:rPr>
                <w:szCs w:val="22"/>
                <w:lang w:val="sr-Latn-ME"/>
              </w:rPr>
              <w:t>11%</w:t>
            </w:r>
          </w:p>
        </w:tc>
        <w:tc>
          <w:tcPr>
            <w:tcW w:w="2180" w:type="pct"/>
            <w:tcBorders>
              <w:top w:val="nil"/>
              <w:left w:val="nil"/>
              <w:bottom w:val="single" w:sz="4" w:space="0" w:color="000000"/>
              <w:right w:val="nil"/>
            </w:tcBorders>
            <w:vAlign w:val="center"/>
          </w:tcPr>
          <w:p w14:paraId="5B5EAC91" w14:textId="77777777" w:rsidR="0051260A" w:rsidRPr="00F24057" w:rsidRDefault="0051260A" w:rsidP="00D70B34">
            <w:pPr>
              <w:jc w:val="center"/>
              <w:rPr>
                <w:szCs w:val="22"/>
                <w:lang w:val="sr-Latn-ME"/>
              </w:rPr>
            </w:pPr>
            <w:r w:rsidRPr="00F24057">
              <w:rPr>
                <w:szCs w:val="22"/>
                <w:lang w:val="sr-Latn-ME"/>
              </w:rPr>
              <w:t>19%*</w:t>
            </w:r>
          </w:p>
        </w:tc>
      </w:tr>
    </w:tbl>
    <w:p w14:paraId="454FB4EE" w14:textId="77777777" w:rsidR="00E74BCE" w:rsidRPr="00F24057" w:rsidRDefault="00E74BCE" w:rsidP="00D70B34">
      <w:pPr>
        <w:rPr>
          <w:szCs w:val="22"/>
          <w:lang w:val="sr-Latn-ME"/>
        </w:rPr>
      </w:pPr>
      <w:r w:rsidRPr="00F24057">
        <w:rPr>
          <w:szCs w:val="22"/>
          <w:lang w:val="sr-Latn-ME"/>
        </w:rPr>
        <w:t xml:space="preserve">Klinička remisija je postignuta ako je </w:t>
      </w:r>
      <w:r w:rsidRPr="00F24057">
        <w:rPr>
          <w:i/>
          <w:iCs/>
          <w:szCs w:val="22"/>
          <w:lang w:val="sr-Latn-ME"/>
        </w:rPr>
        <w:t>Mayo</w:t>
      </w:r>
      <w:r w:rsidRPr="00F24057">
        <w:rPr>
          <w:szCs w:val="22"/>
          <w:lang w:val="sr-Latn-ME"/>
        </w:rPr>
        <w:t xml:space="preserve"> skor ≤ 2 bez subskora &gt; 1; </w:t>
      </w:r>
    </w:p>
    <w:p w14:paraId="1DDCF377" w14:textId="70A7AEE7" w:rsidR="00E74BCE" w:rsidRPr="00F24057" w:rsidRDefault="00E74BCE" w:rsidP="00D70B34">
      <w:pPr>
        <w:rPr>
          <w:szCs w:val="22"/>
          <w:lang w:val="sr-Latn-ME"/>
        </w:rPr>
      </w:pPr>
      <w:r w:rsidRPr="00F24057">
        <w:rPr>
          <w:szCs w:val="22"/>
          <w:lang w:val="sr-Latn-ME"/>
        </w:rPr>
        <w:t xml:space="preserve">Klinički odgovor je postignut ukoliko je smanjenje </w:t>
      </w:r>
      <w:r w:rsidRPr="00F24057">
        <w:rPr>
          <w:i/>
          <w:iCs/>
          <w:szCs w:val="22"/>
          <w:lang w:val="sr-Latn-ME"/>
        </w:rPr>
        <w:t>Mayo</w:t>
      </w:r>
      <w:r w:rsidRPr="00F24057">
        <w:rPr>
          <w:szCs w:val="22"/>
          <w:lang w:val="sr-Latn-ME"/>
        </w:rPr>
        <w:t xml:space="preserve"> skora u odnosu na početnu </w:t>
      </w:r>
      <w:r w:rsidR="00972894" w:rsidRPr="00F24057">
        <w:rPr>
          <w:szCs w:val="22"/>
          <w:lang w:val="sr-Latn-ME"/>
        </w:rPr>
        <w:t>vrijedno</w:t>
      </w:r>
      <w:r w:rsidRPr="00F24057">
        <w:rPr>
          <w:szCs w:val="22"/>
          <w:lang w:val="sr-Latn-ME"/>
        </w:rPr>
        <w:t xml:space="preserve">st ≥3 poena i </w:t>
      </w:r>
    </w:p>
    <w:p w14:paraId="4074F060" w14:textId="1CD8A7A1" w:rsidR="00E74BCE" w:rsidRPr="00F24057" w:rsidRDefault="00E74BCE" w:rsidP="00D70B34">
      <w:pPr>
        <w:rPr>
          <w:szCs w:val="22"/>
          <w:lang w:val="sr-Latn-ME"/>
        </w:rPr>
      </w:pPr>
      <w:r w:rsidRPr="00F24057">
        <w:rPr>
          <w:szCs w:val="22"/>
          <w:lang w:val="sr-Latn-ME"/>
        </w:rPr>
        <w:t xml:space="preserve">≥30% uz smanjenje subskora rektalnog krvarenja (RBS≥1) ili apsolutne </w:t>
      </w:r>
      <w:r w:rsidR="00972894" w:rsidRPr="00F24057">
        <w:rPr>
          <w:szCs w:val="22"/>
          <w:lang w:val="sr-Latn-ME"/>
        </w:rPr>
        <w:t>vrijedno</w:t>
      </w:r>
      <w:r w:rsidRPr="00F24057">
        <w:rPr>
          <w:szCs w:val="22"/>
          <w:lang w:val="sr-Latn-ME"/>
        </w:rPr>
        <w:t>sti RBS od 0 ili 1;</w:t>
      </w:r>
    </w:p>
    <w:p w14:paraId="61366C0A" w14:textId="77777777" w:rsidR="00E74BCE" w:rsidRPr="00F24057" w:rsidRDefault="00E74BCE" w:rsidP="00D70B34">
      <w:pPr>
        <w:rPr>
          <w:szCs w:val="22"/>
          <w:lang w:val="sr-Latn-ME"/>
        </w:rPr>
      </w:pPr>
      <w:r w:rsidRPr="00F24057">
        <w:rPr>
          <w:szCs w:val="22"/>
          <w:lang w:val="sr-Latn-ME"/>
        </w:rPr>
        <w:t>*p &lt; 0,05 za poređenje adalimumab vs. placebo</w:t>
      </w:r>
    </w:p>
    <w:p w14:paraId="22CB9B79" w14:textId="77777777" w:rsidR="00E74BCE" w:rsidRPr="00F24057" w:rsidRDefault="00E74BCE" w:rsidP="00D70B34">
      <w:pPr>
        <w:rPr>
          <w:szCs w:val="22"/>
          <w:lang w:val="sr-Latn-ME"/>
        </w:rPr>
      </w:pPr>
      <w:r w:rsidRPr="00F24057">
        <w:rPr>
          <w:szCs w:val="22"/>
          <w:lang w:val="sr-Latn-ME"/>
        </w:rPr>
        <w:t xml:space="preserve">**p &lt; 0,001 za poređenje adalimumab vs. placebo </w:t>
      </w:r>
    </w:p>
    <w:p w14:paraId="26E24A8B" w14:textId="124FC299" w:rsidR="00E74BCE" w:rsidRPr="00F24057" w:rsidRDefault="00E74BCE" w:rsidP="00D70B34">
      <w:pPr>
        <w:rPr>
          <w:szCs w:val="22"/>
          <w:lang w:val="sr-Latn-ME"/>
        </w:rPr>
      </w:pPr>
      <w:r w:rsidRPr="00F24057">
        <w:rPr>
          <w:szCs w:val="22"/>
          <w:vertAlign w:val="superscript"/>
          <w:lang w:val="sr-Latn-ME"/>
        </w:rPr>
        <w:t>a</w:t>
      </w:r>
      <w:r w:rsidRPr="00F24057">
        <w:rPr>
          <w:szCs w:val="22"/>
          <w:lang w:val="sr-Latn-ME"/>
        </w:rPr>
        <w:t xml:space="preserve"> </w:t>
      </w:r>
      <w:r w:rsidR="00972894" w:rsidRPr="00F24057">
        <w:rPr>
          <w:szCs w:val="22"/>
          <w:lang w:val="sr-Latn-ME"/>
        </w:rPr>
        <w:t>procenat</w:t>
      </w:r>
      <w:r w:rsidRPr="00F24057">
        <w:rPr>
          <w:szCs w:val="22"/>
          <w:lang w:val="sr-Latn-ME"/>
        </w:rPr>
        <w:t xml:space="preserve"> onih ispitanika koji su primali kortikosteroide na početku studije</w:t>
      </w:r>
    </w:p>
    <w:p w14:paraId="7C6D4C74" w14:textId="081AF488" w:rsidR="007329AC" w:rsidRPr="00F24057" w:rsidRDefault="007329AC" w:rsidP="00D70B34">
      <w:pPr>
        <w:rPr>
          <w:szCs w:val="22"/>
          <w:lang w:val="sr-Latn-ME"/>
        </w:rPr>
      </w:pPr>
    </w:p>
    <w:p w14:paraId="5823AAC1" w14:textId="58FB907D" w:rsidR="00673CC1" w:rsidRPr="00F24057" w:rsidRDefault="00673CC1" w:rsidP="00D70B34">
      <w:pPr>
        <w:rPr>
          <w:szCs w:val="22"/>
          <w:lang w:val="sr-Latn-ME"/>
        </w:rPr>
      </w:pPr>
      <w:r w:rsidRPr="00F24057">
        <w:rPr>
          <w:szCs w:val="22"/>
          <w:lang w:val="sr-Latn-ME"/>
        </w:rPr>
        <w:t xml:space="preserve">Kod onih pacijenata koji su imali odgovor u 8. </w:t>
      </w:r>
      <w:r w:rsidR="00885A78" w:rsidRPr="00F24057">
        <w:rPr>
          <w:szCs w:val="22"/>
          <w:lang w:val="sr-Latn-ME"/>
        </w:rPr>
        <w:t>nedjelj</w:t>
      </w:r>
      <w:r w:rsidRPr="00F24057">
        <w:rPr>
          <w:szCs w:val="22"/>
          <w:lang w:val="sr-Latn-ME"/>
        </w:rPr>
        <w:t xml:space="preserve">i, 47% je imalo odgovor, 29% je bilo u remisiji, u 41% slučajeva je došlo do zaceljenja mukoze, dok je u 52. </w:t>
      </w:r>
      <w:r w:rsidR="00885A78" w:rsidRPr="00F24057">
        <w:rPr>
          <w:szCs w:val="22"/>
          <w:lang w:val="sr-Latn-ME"/>
        </w:rPr>
        <w:t>nedjelj</w:t>
      </w:r>
      <w:r w:rsidRPr="00F24057">
        <w:rPr>
          <w:szCs w:val="22"/>
          <w:lang w:val="sr-Latn-ME"/>
        </w:rPr>
        <w:t xml:space="preserve">i 20% bilo u remisiji bez </w:t>
      </w:r>
      <w:r w:rsidR="0030064A" w:rsidRPr="00F24057">
        <w:rPr>
          <w:szCs w:val="22"/>
          <w:lang w:val="sr-Latn-ME"/>
        </w:rPr>
        <w:t>primjen</w:t>
      </w:r>
      <w:r w:rsidRPr="00F24057">
        <w:rPr>
          <w:szCs w:val="22"/>
          <w:lang w:val="sr-Latn-ME"/>
        </w:rPr>
        <w:t>e steroida ≥ 90 dana.</w:t>
      </w:r>
    </w:p>
    <w:p w14:paraId="24114360" w14:textId="77777777" w:rsidR="00673CC1" w:rsidRPr="00F24057" w:rsidRDefault="00673CC1" w:rsidP="00D70B34">
      <w:pPr>
        <w:rPr>
          <w:szCs w:val="22"/>
          <w:lang w:val="sr-Latn-ME"/>
        </w:rPr>
      </w:pPr>
    </w:p>
    <w:p w14:paraId="6B5A8AA6" w14:textId="1146424D" w:rsidR="00673CC1" w:rsidRPr="00F24057" w:rsidRDefault="00673CC1" w:rsidP="00D70B34">
      <w:pPr>
        <w:rPr>
          <w:szCs w:val="22"/>
          <w:lang w:val="sr-Latn-ME"/>
        </w:rPr>
      </w:pPr>
      <w:r w:rsidRPr="00F24057">
        <w:rPr>
          <w:szCs w:val="22"/>
          <w:lang w:val="sr-Latn-ME"/>
        </w:rPr>
        <w:t>Kod približno 40% pacijenata u studiji UC-II prethodna terapija infliksimabom nije bila usp</w:t>
      </w:r>
      <w:r w:rsidR="004F2520" w:rsidRPr="00F24057">
        <w:rPr>
          <w:szCs w:val="22"/>
          <w:lang w:val="sr-Latn-ME"/>
        </w:rPr>
        <w:t>j</w:t>
      </w:r>
      <w:r w:rsidRPr="00F24057">
        <w:rPr>
          <w:szCs w:val="22"/>
          <w:lang w:val="sr-Latn-ME"/>
        </w:rPr>
        <w:t xml:space="preserve">ešna. Efikasnost adalimumaba kod ovih pacijenata bila je manja u poređenju sa pacijentima koji prethodno nisu primali antiTNF terapiju. Među pacijentima kod kojih je prethodna </w:t>
      </w:r>
      <w:r w:rsidR="0030064A" w:rsidRPr="00F24057">
        <w:rPr>
          <w:szCs w:val="22"/>
          <w:lang w:val="sr-Latn-ME"/>
        </w:rPr>
        <w:t>primjen</w:t>
      </w:r>
      <w:r w:rsidRPr="00F24057">
        <w:rPr>
          <w:szCs w:val="22"/>
          <w:lang w:val="sr-Latn-ME"/>
        </w:rPr>
        <w:t>a anti-TNF terapije bila bezusp</w:t>
      </w:r>
      <w:r w:rsidR="004F2520" w:rsidRPr="00F24057">
        <w:rPr>
          <w:szCs w:val="22"/>
          <w:lang w:val="sr-Latn-ME"/>
        </w:rPr>
        <w:t>j</w:t>
      </w:r>
      <w:r w:rsidRPr="00F24057">
        <w:rPr>
          <w:szCs w:val="22"/>
          <w:lang w:val="sr-Latn-ME"/>
        </w:rPr>
        <w:t xml:space="preserve">ešna, remisiju u 52. </w:t>
      </w:r>
      <w:r w:rsidR="00885A78" w:rsidRPr="00F24057">
        <w:rPr>
          <w:szCs w:val="22"/>
          <w:lang w:val="sr-Latn-ME"/>
        </w:rPr>
        <w:t>nedjelj</w:t>
      </w:r>
      <w:r w:rsidRPr="00F24057">
        <w:rPr>
          <w:szCs w:val="22"/>
          <w:lang w:val="sr-Latn-ME"/>
        </w:rPr>
        <w:t>i dostiglo je 3% pacijenata koji su primali placebo i 10% pacijenata koji su primali adalimumab.</w:t>
      </w:r>
    </w:p>
    <w:p w14:paraId="0D23B896" w14:textId="2E6D084B" w:rsidR="007329AC" w:rsidRPr="00F24057" w:rsidRDefault="007329AC" w:rsidP="00D70B34">
      <w:pPr>
        <w:rPr>
          <w:szCs w:val="22"/>
          <w:lang w:val="sr-Latn-ME"/>
        </w:rPr>
      </w:pPr>
    </w:p>
    <w:p w14:paraId="5EA8B2D2" w14:textId="611CA948" w:rsidR="002C79EF" w:rsidRPr="00F24057" w:rsidRDefault="002C79EF" w:rsidP="00D70B34">
      <w:pPr>
        <w:rPr>
          <w:szCs w:val="22"/>
          <w:lang w:val="sr-Latn-ME"/>
        </w:rPr>
      </w:pPr>
      <w:r w:rsidRPr="00F24057">
        <w:rPr>
          <w:szCs w:val="22"/>
          <w:lang w:val="sr-Latn-ME"/>
        </w:rPr>
        <w:t xml:space="preserve">Pacijenti iz studija UC I i UC II imali su opciju za prelaz u otvoren, dugoročni produžetak studije (UC-III). Nakon trogodišnje </w:t>
      </w:r>
      <w:r w:rsidR="0030064A" w:rsidRPr="00F24057">
        <w:rPr>
          <w:szCs w:val="22"/>
          <w:lang w:val="sr-Latn-ME"/>
        </w:rPr>
        <w:t>primjen</w:t>
      </w:r>
      <w:r w:rsidRPr="00F24057">
        <w:rPr>
          <w:szCs w:val="22"/>
          <w:lang w:val="sr-Latn-ME"/>
        </w:rPr>
        <w:t xml:space="preserve">e adalimumaba, 75% (301/402) pacijenata je i dalje bilo u kliničkoj remisiji prema parcijalnom </w:t>
      </w:r>
      <w:r w:rsidRPr="00F24057">
        <w:rPr>
          <w:i/>
          <w:iCs/>
          <w:szCs w:val="22"/>
          <w:lang w:val="sr-Latn-ME"/>
        </w:rPr>
        <w:t>Mayo</w:t>
      </w:r>
      <w:r w:rsidRPr="00F24057">
        <w:rPr>
          <w:szCs w:val="22"/>
          <w:lang w:val="sr-Latn-ME"/>
        </w:rPr>
        <w:t xml:space="preserve">-skoru. </w:t>
      </w:r>
    </w:p>
    <w:p w14:paraId="5E15BB56" w14:textId="77777777" w:rsidR="002C79EF" w:rsidRPr="00F24057" w:rsidRDefault="002C79EF" w:rsidP="00D70B34">
      <w:pPr>
        <w:rPr>
          <w:szCs w:val="22"/>
          <w:lang w:val="sr-Latn-ME"/>
        </w:rPr>
      </w:pPr>
    </w:p>
    <w:p w14:paraId="08E10679" w14:textId="02C0B1C8" w:rsidR="002C79EF" w:rsidRPr="00F24057" w:rsidRDefault="002C79EF" w:rsidP="00D70B34">
      <w:pPr>
        <w:rPr>
          <w:i/>
          <w:szCs w:val="22"/>
          <w:lang w:val="sr-Latn-ME"/>
        </w:rPr>
      </w:pPr>
      <w:r w:rsidRPr="00F24057">
        <w:rPr>
          <w:i/>
          <w:szCs w:val="22"/>
          <w:u w:val="single"/>
          <w:lang w:val="sr-Latn-ME"/>
        </w:rPr>
        <w:t>Stopa hospitalizacija</w:t>
      </w:r>
      <w:r w:rsidRPr="00F24057">
        <w:rPr>
          <w:i/>
          <w:szCs w:val="22"/>
          <w:lang w:val="sr-Latn-ME"/>
        </w:rPr>
        <w:t xml:space="preserve"> </w:t>
      </w:r>
    </w:p>
    <w:p w14:paraId="3BC1FDD0" w14:textId="191B2B71" w:rsidR="002C79EF" w:rsidRPr="00F24057" w:rsidRDefault="002C79EF" w:rsidP="00D70B34">
      <w:pPr>
        <w:rPr>
          <w:szCs w:val="22"/>
          <w:lang w:val="sr-Latn-ME"/>
        </w:rPr>
      </w:pPr>
      <w:r w:rsidRPr="00F24057">
        <w:rPr>
          <w:szCs w:val="22"/>
          <w:lang w:val="sr-Latn-ME"/>
        </w:rPr>
        <w:t xml:space="preserve">Tokom 52 </w:t>
      </w:r>
      <w:r w:rsidR="00885A78" w:rsidRPr="00F24057">
        <w:rPr>
          <w:szCs w:val="22"/>
          <w:lang w:val="sr-Latn-ME"/>
        </w:rPr>
        <w:t>nedjelj</w:t>
      </w:r>
      <w:r w:rsidRPr="00F24057">
        <w:rPr>
          <w:szCs w:val="22"/>
          <w:lang w:val="sr-Latn-ME"/>
        </w:rPr>
        <w:t xml:space="preserve">e studija UC-I i UC-II, </w:t>
      </w:r>
      <w:r w:rsidR="00911D74" w:rsidRPr="00F24057">
        <w:rPr>
          <w:szCs w:val="22"/>
          <w:lang w:val="sr-Latn-ME"/>
        </w:rPr>
        <w:t>primijećene</w:t>
      </w:r>
      <w:r w:rsidRPr="00F24057">
        <w:rPr>
          <w:szCs w:val="22"/>
          <w:lang w:val="sr-Latn-ME"/>
        </w:rPr>
        <w:t xml:space="preserve"> su niže stope hospitalizacija svih uzroka, kao i hospitalizacija uzrokovanih ulceroznim kolitisom, za pacijente </w:t>
      </w:r>
      <w:r w:rsidR="00885A78" w:rsidRPr="00F24057">
        <w:rPr>
          <w:szCs w:val="22"/>
          <w:lang w:val="sr-Latn-ME"/>
        </w:rPr>
        <w:t>liječe</w:t>
      </w:r>
      <w:r w:rsidRPr="00F24057">
        <w:rPr>
          <w:szCs w:val="22"/>
          <w:lang w:val="sr-Latn-ME"/>
        </w:rPr>
        <w:t xml:space="preserve">ne adalimumabom u odnosu na placebo grupu. Broj hospitalizacija svih uzroka kod pacijenata </w:t>
      </w:r>
      <w:r w:rsidR="00885A78" w:rsidRPr="00F24057">
        <w:rPr>
          <w:szCs w:val="22"/>
          <w:lang w:val="sr-Latn-ME"/>
        </w:rPr>
        <w:t>liječe</w:t>
      </w:r>
      <w:r w:rsidRPr="00F24057">
        <w:rPr>
          <w:szCs w:val="22"/>
          <w:lang w:val="sr-Latn-ME"/>
        </w:rPr>
        <w:t xml:space="preserve">nih adalimumabom bio je 0,18 po pacijent-godini u odnosu na 0,26 po pacijent-godini u placebo grupi, dok su odgovarajuće </w:t>
      </w:r>
      <w:r w:rsidR="00972894" w:rsidRPr="00F24057">
        <w:rPr>
          <w:szCs w:val="22"/>
          <w:lang w:val="sr-Latn-ME"/>
        </w:rPr>
        <w:t>vrijedno</w:t>
      </w:r>
      <w:r w:rsidRPr="00F24057">
        <w:rPr>
          <w:szCs w:val="22"/>
          <w:lang w:val="sr-Latn-ME"/>
        </w:rPr>
        <w:t>sti kod hospitalizacija uzrokovanih ulceroznim kolitisom iznosile 0,12 po pacijent-godini u odnosu na 0,22 po pacijent-godini.</w:t>
      </w:r>
    </w:p>
    <w:p w14:paraId="702D89C4" w14:textId="77777777" w:rsidR="002C79EF" w:rsidRPr="00F24057" w:rsidRDefault="002C79EF" w:rsidP="00D70B34">
      <w:pPr>
        <w:rPr>
          <w:szCs w:val="22"/>
          <w:lang w:val="sr-Latn-ME"/>
        </w:rPr>
      </w:pPr>
    </w:p>
    <w:p w14:paraId="1C32F4B3" w14:textId="47B99A0E" w:rsidR="002C79EF" w:rsidRPr="00F24057" w:rsidRDefault="002C79EF" w:rsidP="00D70B34">
      <w:pPr>
        <w:rPr>
          <w:i/>
          <w:szCs w:val="22"/>
          <w:lang w:val="sr-Latn-ME"/>
        </w:rPr>
      </w:pPr>
      <w:r w:rsidRPr="00F24057">
        <w:rPr>
          <w:i/>
          <w:szCs w:val="22"/>
          <w:u w:val="single"/>
          <w:lang w:val="sr-Latn-ME"/>
        </w:rPr>
        <w:t>Kvalitet života</w:t>
      </w:r>
      <w:r w:rsidRPr="00F24057">
        <w:rPr>
          <w:i/>
          <w:szCs w:val="22"/>
          <w:lang w:val="sr-Latn-ME"/>
        </w:rPr>
        <w:t xml:space="preserve"> </w:t>
      </w:r>
    </w:p>
    <w:p w14:paraId="69E22C39" w14:textId="593EAB04" w:rsidR="002C79EF" w:rsidRPr="00F24057" w:rsidRDefault="002C79EF" w:rsidP="00D70B34">
      <w:pPr>
        <w:rPr>
          <w:szCs w:val="22"/>
          <w:lang w:val="sr-Latn-ME"/>
        </w:rPr>
      </w:pPr>
      <w:r w:rsidRPr="00F24057">
        <w:rPr>
          <w:szCs w:val="22"/>
          <w:lang w:val="sr-Latn-ME"/>
        </w:rPr>
        <w:t xml:space="preserve">U studiji UC-II, </w:t>
      </w:r>
      <w:r w:rsidR="0030064A" w:rsidRPr="00F24057">
        <w:rPr>
          <w:szCs w:val="22"/>
          <w:lang w:val="sr-Latn-ME"/>
        </w:rPr>
        <w:t>liječenje</w:t>
      </w:r>
      <w:r w:rsidRPr="00F24057">
        <w:rPr>
          <w:szCs w:val="22"/>
          <w:lang w:val="sr-Latn-ME"/>
        </w:rPr>
        <w:t xml:space="preserve"> adalimumabom dovelo je do poboljšanja rezultata u upitniku o </w:t>
      </w:r>
      <w:r w:rsidR="003F17D2" w:rsidRPr="00F24057">
        <w:rPr>
          <w:szCs w:val="22"/>
          <w:lang w:val="sr-Latn-ME"/>
        </w:rPr>
        <w:t>zapaljenskoj</w:t>
      </w:r>
      <w:r w:rsidRPr="00F24057">
        <w:rPr>
          <w:szCs w:val="22"/>
          <w:lang w:val="sr-Latn-ME"/>
        </w:rPr>
        <w:t xml:space="preserve"> bolesti </w:t>
      </w:r>
      <w:r w:rsidR="004F2520" w:rsidRPr="00F24057">
        <w:rPr>
          <w:szCs w:val="22"/>
          <w:lang w:val="sr-Latn-ME"/>
        </w:rPr>
        <w:t>crijev</w:t>
      </w:r>
      <w:r w:rsidRPr="00F24057">
        <w:rPr>
          <w:szCs w:val="22"/>
          <w:lang w:val="sr-Latn-ME"/>
        </w:rPr>
        <w:t xml:space="preserve">a (engl. </w:t>
      </w:r>
      <w:r w:rsidRPr="00F24057">
        <w:rPr>
          <w:i/>
          <w:szCs w:val="22"/>
          <w:lang w:val="sr-Latn-ME"/>
        </w:rPr>
        <w:t xml:space="preserve">Inflammatory Bowel Disease Questionnaire, </w:t>
      </w:r>
      <w:r w:rsidRPr="00F24057">
        <w:rPr>
          <w:szCs w:val="22"/>
          <w:lang w:val="sr-Latn-ME"/>
        </w:rPr>
        <w:t>IBDQ).</w:t>
      </w:r>
    </w:p>
    <w:p w14:paraId="27E3E8C2" w14:textId="6D652733" w:rsidR="007329AC" w:rsidRPr="00F24057" w:rsidRDefault="007329AC" w:rsidP="00D70B34">
      <w:pPr>
        <w:rPr>
          <w:szCs w:val="22"/>
          <w:lang w:val="sr-Latn-ME"/>
        </w:rPr>
      </w:pPr>
    </w:p>
    <w:p w14:paraId="20219F3A" w14:textId="078C10EB" w:rsidR="00B3293A" w:rsidRPr="00F24057" w:rsidRDefault="00B3293A" w:rsidP="00D70B34">
      <w:pPr>
        <w:rPr>
          <w:i/>
          <w:szCs w:val="22"/>
          <w:lang w:val="sr-Latn-ME"/>
        </w:rPr>
      </w:pPr>
      <w:r w:rsidRPr="00F24057">
        <w:rPr>
          <w:i/>
          <w:szCs w:val="22"/>
          <w:lang w:val="sr-Latn-ME"/>
        </w:rPr>
        <w:t>Uveitis</w:t>
      </w:r>
    </w:p>
    <w:p w14:paraId="44E63AA7" w14:textId="4150863F" w:rsidR="00B3293A" w:rsidRPr="00F24057" w:rsidRDefault="0030064A" w:rsidP="00D70B34">
      <w:pPr>
        <w:rPr>
          <w:szCs w:val="22"/>
          <w:lang w:val="sr-Latn-ME"/>
        </w:rPr>
      </w:pPr>
      <w:r w:rsidRPr="00F24057">
        <w:rPr>
          <w:szCs w:val="22"/>
          <w:lang w:val="sr-Latn-ME"/>
        </w:rPr>
        <w:t>Bezbjedno</w:t>
      </w:r>
      <w:r w:rsidR="00B3293A" w:rsidRPr="00F24057">
        <w:rPr>
          <w:szCs w:val="22"/>
          <w:lang w:val="sr-Latn-ME"/>
        </w:rPr>
        <w:t xml:space="preserve">st i efikasnost adalimumaba </w:t>
      </w:r>
      <w:r w:rsidR="004F2520" w:rsidRPr="00F24057">
        <w:rPr>
          <w:szCs w:val="22"/>
          <w:lang w:val="sr-Latn-ME"/>
        </w:rPr>
        <w:t>procjen</w:t>
      </w:r>
      <w:r w:rsidR="00B3293A" w:rsidRPr="00F24057">
        <w:rPr>
          <w:szCs w:val="22"/>
          <w:lang w:val="sr-Latn-ME"/>
        </w:rPr>
        <w:t xml:space="preserve">jivani su kod odraslih pacijenata sa neinfektivnim intermedijarnim, posteriornim i panuveitisom, isključujući pacijente sa izolovanim anteriornim </w:t>
      </w:r>
      <w:r w:rsidR="00B3293A" w:rsidRPr="00F24057">
        <w:rPr>
          <w:szCs w:val="22"/>
          <w:lang w:val="sr-Latn-ME"/>
        </w:rPr>
        <w:lastRenderedPageBreak/>
        <w:t xml:space="preserve">uveitisom, u dva randomizovana, dvostruko maskirana, placebom kontrolisana ispitivanja (UV I i II). Pacijenti su primali placebo ili adalimumab u početnoj dozi od 80 mg, nakon koje je sledila doza od 40 mg svake druge </w:t>
      </w:r>
      <w:r w:rsidR="00885A78" w:rsidRPr="00F24057">
        <w:rPr>
          <w:szCs w:val="22"/>
          <w:lang w:val="sr-Latn-ME"/>
        </w:rPr>
        <w:t>nedjelj</w:t>
      </w:r>
      <w:r w:rsidR="00B3293A" w:rsidRPr="00F24057">
        <w:rPr>
          <w:szCs w:val="22"/>
          <w:lang w:val="sr-Latn-ME"/>
        </w:rPr>
        <w:t xml:space="preserve">e, počevši </w:t>
      </w:r>
      <w:r w:rsidR="00885A78" w:rsidRPr="00F24057">
        <w:rPr>
          <w:szCs w:val="22"/>
          <w:lang w:val="sr-Latn-ME"/>
        </w:rPr>
        <w:t>nedjelj</w:t>
      </w:r>
      <w:r w:rsidR="00B3293A" w:rsidRPr="00F24057">
        <w:rPr>
          <w:szCs w:val="22"/>
          <w:lang w:val="sr-Latn-ME"/>
        </w:rPr>
        <w:t xml:space="preserve">u dana nakon početne doze. Bila je dozvoljena istovremena </w:t>
      </w:r>
      <w:r w:rsidRPr="00F24057">
        <w:rPr>
          <w:szCs w:val="22"/>
          <w:lang w:val="sr-Latn-ME"/>
        </w:rPr>
        <w:t>primjen</w:t>
      </w:r>
      <w:r w:rsidR="00B3293A" w:rsidRPr="00F24057">
        <w:rPr>
          <w:szCs w:val="22"/>
          <w:lang w:val="sr-Latn-ME"/>
        </w:rPr>
        <w:t>a stabilnih doza jednog nebiološkog imunosupresiva.</w:t>
      </w:r>
    </w:p>
    <w:p w14:paraId="145C41D7" w14:textId="77777777" w:rsidR="00B3293A" w:rsidRPr="00F24057" w:rsidRDefault="00B3293A" w:rsidP="00D70B34">
      <w:pPr>
        <w:rPr>
          <w:szCs w:val="22"/>
          <w:lang w:val="sr-Latn-ME"/>
        </w:rPr>
      </w:pPr>
    </w:p>
    <w:p w14:paraId="4F64F68D" w14:textId="743FC1F1" w:rsidR="00B3293A" w:rsidRPr="00F24057" w:rsidRDefault="00B3293A" w:rsidP="00D70B34">
      <w:pPr>
        <w:rPr>
          <w:szCs w:val="22"/>
          <w:lang w:val="sr-Latn-ME"/>
        </w:rPr>
      </w:pPr>
      <w:r w:rsidRPr="00F24057">
        <w:rPr>
          <w:szCs w:val="22"/>
          <w:lang w:val="sr-Latn-ME"/>
        </w:rPr>
        <w:t xml:space="preserve">Ispitivanje UV I </w:t>
      </w:r>
      <w:r w:rsidR="004F2520" w:rsidRPr="00F24057">
        <w:rPr>
          <w:szCs w:val="22"/>
          <w:lang w:val="sr-Latn-ME"/>
        </w:rPr>
        <w:t>procjen</w:t>
      </w:r>
      <w:r w:rsidRPr="00F24057">
        <w:rPr>
          <w:szCs w:val="22"/>
          <w:lang w:val="sr-Latn-ME"/>
        </w:rPr>
        <w:t xml:space="preserve">jivalo je 217 pacijenata sa aktivnim uveitisom uprkos </w:t>
      </w:r>
      <w:r w:rsidR="00885A78" w:rsidRPr="00F24057">
        <w:rPr>
          <w:szCs w:val="22"/>
          <w:lang w:val="sr-Latn-ME"/>
        </w:rPr>
        <w:t>liječenj</w:t>
      </w:r>
      <w:r w:rsidRPr="00F24057">
        <w:rPr>
          <w:szCs w:val="22"/>
          <w:lang w:val="sr-Latn-ME"/>
        </w:rPr>
        <w:t xml:space="preserve">u kortikosteroidima (oralni prednizon u dozi od 10 do 60 mg/dan). Svi pacijenti su pri uključivanju u ispitivanje 2 </w:t>
      </w:r>
      <w:r w:rsidR="00885A78" w:rsidRPr="00F24057">
        <w:rPr>
          <w:szCs w:val="22"/>
          <w:lang w:val="sr-Latn-ME"/>
        </w:rPr>
        <w:t>nedjelj</w:t>
      </w:r>
      <w:r w:rsidRPr="00F24057">
        <w:rPr>
          <w:szCs w:val="22"/>
          <w:lang w:val="sr-Latn-ME"/>
        </w:rPr>
        <w:t xml:space="preserve">e primali standardizovanu dozu prednizona od 60 mg/dan, nakon čega je </w:t>
      </w:r>
      <w:r w:rsidR="009811CA" w:rsidRPr="00F24057">
        <w:rPr>
          <w:szCs w:val="22"/>
          <w:lang w:val="sr-Latn-ME"/>
        </w:rPr>
        <w:t>usljed</w:t>
      </w:r>
      <w:r w:rsidRPr="00F24057">
        <w:rPr>
          <w:szCs w:val="22"/>
          <w:lang w:val="sr-Latn-ME"/>
        </w:rPr>
        <w:t xml:space="preserve">ilo obavezno postepeno smanjivanje doze, uz potpuni prestanak </w:t>
      </w:r>
      <w:r w:rsidR="0030064A" w:rsidRPr="00F24057">
        <w:rPr>
          <w:szCs w:val="22"/>
          <w:lang w:val="sr-Latn-ME"/>
        </w:rPr>
        <w:t>primjen</w:t>
      </w:r>
      <w:r w:rsidRPr="00F24057">
        <w:rPr>
          <w:szCs w:val="22"/>
          <w:lang w:val="sr-Latn-ME"/>
        </w:rPr>
        <w:t xml:space="preserve">e kortikosteroida do 15. </w:t>
      </w:r>
      <w:r w:rsidR="00885A78" w:rsidRPr="00F24057">
        <w:rPr>
          <w:szCs w:val="22"/>
          <w:lang w:val="sr-Latn-ME"/>
        </w:rPr>
        <w:t>nedjelj</w:t>
      </w:r>
      <w:r w:rsidRPr="00F24057">
        <w:rPr>
          <w:szCs w:val="22"/>
          <w:lang w:val="sr-Latn-ME"/>
        </w:rPr>
        <w:t xml:space="preserve">e. </w:t>
      </w:r>
    </w:p>
    <w:p w14:paraId="1819771A" w14:textId="77777777" w:rsidR="00B3293A" w:rsidRPr="00F24057" w:rsidRDefault="00B3293A" w:rsidP="00D70B34">
      <w:pPr>
        <w:rPr>
          <w:szCs w:val="22"/>
          <w:lang w:val="sr-Latn-ME"/>
        </w:rPr>
      </w:pPr>
    </w:p>
    <w:p w14:paraId="6F536FEA" w14:textId="1A38128E" w:rsidR="00B3293A" w:rsidRPr="00F24057" w:rsidRDefault="00B3293A" w:rsidP="00D70B34">
      <w:pPr>
        <w:rPr>
          <w:szCs w:val="22"/>
          <w:lang w:val="sr-Latn-ME"/>
        </w:rPr>
      </w:pPr>
      <w:r w:rsidRPr="00F24057">
        <w:rPr>
          <w:szCs w:val="22"/>
          <w:lang w:val="sr-Latn-ME"/>
        </w:rPr>
        <w:t xml:space="preserve">Ispitivanje UV II evaluiralo je 226 pacijenata sa neaktivnim uveitisom kojima je na početku ispitivanja za kontrolu bolesti bilo potrebno hronično </w:t>
      </w:r>
      <w:r w:rsidR="0030064A" w:rsidRPr="00F24057">
        <w:rPr>
          <w:szCs w:val="22"/>
          <w:lang w:val="sr-Latn-ME"/>
        </w:rPr>
        <w:t>liječenje</w:t>
      </w:r>
      <w:r w:rsidRPr="00F24057">
        <w:rPr>
          <w:szCs w:val="22"/>
          <w:lang w:val="sr-Latn-ME"/>
        </w:rPr>
        <w:t xml:space="preserve"> kortikosteroidima (oralni prednizon u dozi od 10 do 35 mg/dan). Nakon toga je </w:t>
      </w:r>
      <w:r w:rsidR="009811CA" w:rsidRPr="00F24057">
        <w:rPr>
          <w:szCs w:val="22"/>
          <w:lang w:val="sr-Latn-ME"/>
        </w:rPr>
        <w:t>usljed</w:t>
      </w:r>
      <w:r w:rsidRPr="00F24057">
        <w:rPr>
          <w:szCs w:val="22"/>
          <w:lang w:val="sr-Latn-ME"/>
        </w:rPr>
        <w:t xml:space="preserve">ilo obavezno postepeno smanjivanje doze i potpuni prestanak </w:t>
      </w:r>
      <w:r w:rsidR="0030064A" w:rsidRPr="00F24057">
        <w:rPr>
          <w:szCs w:val="22"/>
          <w:lang w:val="sr-Latn-ME"/>
        </w:rPr>
        <w:t>primjen</w:t>
      </w:r>
      <w:r w:rsidRPr="00F24057">
        <w:rPr>
          <w:szCs w:val="22"/>
          <w:lang w:val="sr-Latn-ME"/>
        </w:rPr>
        <w:t xml:space="preserve">e kortikosteroida do 19. </w:t>
      </w:r>
      <w:r w:rsidR="00885A78" w:rsidRPr="00F24057">
        <w:rPr>
          <w:szCs w:val="22"/>
          <w:lang w:val="sr-Latn-ME"/>
        </w:rPr>
        <w:t>nedjelj</w:t>
      </w:r>
      <w:r w:rsidRPr="00F24057">
        <w:rPr>
          <w:szCs w:val="22"/>
          <w:lang w:val="sr-Latn-ME"/>
        </w:rPr>
        <w:t xml:space="preserve">e. </w:t>
      </w:r>
    </w:p>
    <w:p w14:paraId="3244D985" w14:textId="77777777" w:rsidR="00B3293A" w:rsidRPr="00F24057" w:rsidRDefault="00B3293A" w:rsidP="00D70B34">
      <w:pPr>
        <w:rPr>
          <w:szCs w:val="22"/>
          <w:lang w:val="sr-Latn-ME"/>
        </w:rPr>
      </w:pPr>
    </w:p>
    <w:p w14:paraId="6EF9450A" w14:textId="5F19BEC3" w:rsidR="00B3293A" w:rsidRPr="00F24057" w:rsidRDefault="00B3293A" w:rsidP="00D70B34">
      <w:pPr>
        <w:rPr>
          <w:szCs w:val="22"/>
          <w:lang w:val="sr-Latn-ME"/>
        </w:rPr>
      </w:pPr>
      <w:r w:rsidRPr="00F24057">
        <w:rPr>
          <w:szCs w:val="22"/>
          <w:lang w:val="sr-Latn-ME"/>
        </w:rPr>
        <w:t>Primarni parametar praćenja efikasnosti u oba ispitivanja bio je „</w:t>
      </w:r>
      <w:r w:rsidR="009811CA" w:rsidRPr="00F24057">
        <w:rPr>
          <w:szCs w:val="22"/>
          <w:lang w:val="sr-Latn-ME"/>
        </w:rPr>
        <w:t>vreme</w:t>
      </w:r>
      <w:r w:rsidR="007E5568" w:rsidRPr="00F24057">
        <w:rPr>
          <w:szCs w:val="22"/>
          <w:lang w:val="sr-Latn-ME"/>
        </w:rPr>
        <w:t xml:space="preserve"> </w:t>
      </w:r>
      <w:r w:rsidRPr="00F24057">
        <w:rPr>
          <w:szCs w:val="22"/>
          <w:lang w:val="sr-Latn-ME"/>
        </w:rPr>
        <w:t>do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a“. Ne</w:t>
      </w:r>
      <w:r w:rsidR="004F2520" w:rsidRPr="00F24057">
        <w:rPr>
          <w:szCs w:val="22"/>
          <w:lang w:val="sr-Latn-ME"/>
        </w:rPr>
        <w:t>uspje</w:t>
      </w:r>
      <w:r w:rsidRPr="00F24057">
        <w:rPr>
          <w:szCs w:val="22"/>
          <w:lang w:val="sr-Latn-ME"/>
        </w:rPr>
        <w:t xml:space="preserve">h </w:t>
      </w:r>
      <w:r w:rsidR="00885A78" w:rsidRPr="00F24057">
        <w:rPr>
          <w:szCs w:val="22"/>
          <w:lang w:val="sr-Latn-ME"/>
        </w:rPr>
        <w:t>liječenj</w:t>
      </w:r>
      <w:r w:rsidRPr="00F24057">
        <w:rPr>
          <w:szCs w:val="22"/>
          <w:lang w:val="sr-Latn-ME"/>
        </w:rPr>
        <w:t>a definisao se višekomponentnim ishodom zasnovanim na zapaljen</w:t>
      </w:r>
      <w:r w:rsidR="00B33244" w:rsidRPr="00F24057">
        <w:rPr>
          <w:szCs w:val="22"/>
          <w:lang w:val="sr-Latn-ME"/>
        </w:rPr>
        <w:t>j</w:t>
      </w:r>
      <w:r w:rsidRPr="00F24057">
        <w:rPr>
          <w:szCs w:val="22"/>
          <w:lang w:val="sr-Latn-ME"/>
        </w:rPr>
        <w:t>skim horioretinalnim i/ili zapaljen</w:t>
      </w:r>
      <w:r w:rsidR="00B33244" w:rsidRPr="00F24057">
        <w:rPr>
          <w:szCs w:val="22"/>
          <w:lang w:val="sr-Latn-ME"/>
        </w:rPr>
        <w:t>j</w:t>
      </w:r>
      <w:r w:rsidRPr="00F24057">
        <w:rPr>
          <w:szCs w:val="22"/>
          <w:lang w:val="sr-Latn-ME"/>
        </w:rPr>
        <w:t xml:space="preserve">skim retinalnim vaskularnim lezijama, stepenu u odnosu na broj ćelija u prednjoj očnoj komori (engl. </w:t>
      </w:r>
      <w:r w:rsidRPr="00F24057">
        <w:rPr>
          <w:i/>
          <w:szCs w:val="22"/>
          <w:lang w:val="sr-Latn-ME"/>
        </w:rPr>
        <w:t xml:space="preserve">anterior chamber </w:t>
      </w:r>
      <w:r w:rsidRPr="00F24057">
        <w:rPr>
          <w:szCs w:val="22"/>
          <w:lang w:val="sr-Latn-ME"/>
        </w:rPr>
        <w:t xml:space="preserve">[AC] </w:t>
      </w:r>
      <w:r w:rsidRPr="00F24057">
        <w:rPr>
          <w:i/>
          <w:szCs w:val="22"/>
          <w:lang w:val="sr-Latn-ME"/>
        </w:rPr>
        <w:t>cell grade</w:t>
      </w:r>
      <w:r w:rsidRPr="00F24057">
        <w:rPr>
          <w:szCs w:val="22"/>
          <w:lang w:val="sr-Latn-ME"/>
        </w:rPr>
        <w:t xml:space="preserve">), stepenu zamućenja staklastog tela (engl. </w:t>
      </w:r>
      <w:r w:rsidRPr="00F24057">
        <w:rPr>
          <w:i/>
          <w:szCs w:val="22"/>
          <w:lang w:val="sr-Latn-ME"/>
        </w:rPr>
        <w:t xml:space="preserve">vitreous haze </w:t>
      </w:r>
      <w:r w:rsidRPr="00F24057">
        <w:rPr>
          <w:szCs w:val="22"/>
          <w:lang w:val="sr-Latn-ME"/>
        </w:rPr>
        <w:t xml:space="preserve">[VH] </w:t>
      </w:r>
      <w:r w:rsidRPr="00F24057">
        <w:rPr>
          <w:i/>
          <w:szCs w:val="22"/>
          <w:lang w:val="sr-Latn-ME"/>
        </w:rPr>
        <w:t>grade</w:t>
      </w:r>
      <w:r w:rsidRPr="00F24057">
        <w:rPr>
          <w:szCs w:val="22"/>
          <w:lang w:val="sr-Latn-ME"/>
        </w:rPr>
        <w:t xml:space="preserve">) i najboljoj korigovanoj oštrini vida (engl. </w:t>
      </w:r>
      <w:r w:rsidRPr="00F24057">
        <w:rPr>
          <w:i/>
          <w:szCs w:val="22"/>
          <w:lang w:val="sr-Latn-ME"/>
        </w:rPr>
        <w:t xml:space="preserve">best corrected visual acuity, </w:t>
      </w:r>
      <w:r w:rsidRPr="00F24057">
        <w:rPr>
          <w:szCs w:val="22"/>
          <w:lang w:val="sr-Latn-ME"/>
        </w:rPr>
        <w:t>BCVA).</w:t>
      </w:r>
    </w:p>
    <w:p w14:paraId="401A337F" w14:textId="48365545" w:rsidR="00EF2BAC" w:rsidRPr="00F24057" w:rsidRDefault="00EF2BAC" w:rsidP="00D70B34">
      <w:pPr>
        <w:rPr>
          <w:szCs w:val="22"/>
          <w:lang w:val="sr-Latn-ME"/>
        </w:rPr>
      </w:pPr>
    </w:p>
    <w:p w14:paraId="67721281" w14:textId="718FEF20" w:rsidR="00EF2BAC" w:rsidRPr="00F24057" w:rsidRDefault="00EF2BAC" w:rsidP="00D70B34">
      <w:pPr>
        <w:rPr>
          <w:szCs w:val="22"/>
          <w:lang w:val="sr-Latn-ME"/>
        </w:rPr>
      </w:pPr>
      <w:r w:rsidRPr="00F24057">
        <w:rPr>
          <w:szCs w:val="22"/>
          <w:lang w:val="sr-Latn-ME"/>
        </w:rPr>
        <w:t xml:space="preserve">Pacijenti koji su završili studije UV I i UV II </w:t>
      </w:r>
      <w:r w:rsidR="00703DAD" w:rsidRPr="00F24057">
        <w:rPr>
          <w:szCs w:val="22"/>
          <w:lang w:val="sr-Latn-ME"/>
        </w:rPr>
        <w:t>zadovoljavali su kriterijum</w:t>
      </w:r>
      <w:r w:rsidRPr="00F24057">
        <w:rPr>
          <w:szCs w:val="22"/>
          <w:lang w:val="sr-Latn-ME"/>
        </w:rPr>
        <w:t xml:space="preserve"> da </w:t>
      </w:r>
      <w:r w:rsidR="00D06400" w:rsidRPr="00F24057">
        <w:rPr>
          <w:szCs w:val="22"/>
          <w:lang w:val="sr-Latn-ME"/>
        </w:rPr>
        <w:t>bud</w:t>
      </w:r>
      <w:r w:rsidRPr="00F24057">
        <w:rPr>
          <w:szCs w:val="22"/>
          <w:lang w:val="sr-Latn-ME"/>
        </w:rPr>
        <w:t>u</w:t>
      </w:r>
      <w:r w:rsidR="00D06400" w:rsidRPr="00F24057">
        <w:rPr>
          <w:szCs w:val="22"/>
          <w:lang w:val="sr-Latn-ME"/>
        </w:rPr>
        <w:t xml:space="preserve"> uključeni u</w:t>
      </w:r>
      <w:r w:rsidRPr="00F24057">
        <w:rPr>
          <w:szCs w:val="22"/>
          <w:lang w:val="sr-Latn-ME"/>
        </w:rPr>
        <w:t xml:space="preserve"> nekontrolisan</w:t>
      </w:r>
      <w:r w:rsidR="003E4F76" w:rsidRPr="00F24057">
        <w:rPr>
          <w:szCs w:val="22"/>
          <w:lang w:val="sr-Latn-ME"/>
        </w:rPr>
        <w:t>i</w:t>
      </w:r>
      <w:r w:rsidRPr="00F24057">
        <w:rPr>
          <w:szCs w:val="22"/>
          <w:lang w:val="sr-Latn-ME"/>
        </w:rPr>
        <w:t xml:space="preserve"> dugoročn</w:t>
      </w:r>
      <w:r w:rsidR="003E4F76" w:rsidRPr="00F24057">
        <w:rPr>
          <w:szCs w:val="22"/>
          <w:lang w:val="sr-Latn-ME"/>
        </w:rPr>
        <w:t>i</w:t>
      </w:r>
      <w:r w:rsidRPr="00F24057">
        <w:rPr>
          <w:szCs w:val="22"/>
          <w:lang w:val="sr-Latn-ME"/>
        </w:rPr>
        <w:t xml:space="preserve"> produže</w:t>
      </w:r>
      <w:r w:rsidR="003E4F76" w:rsidRPr="00F24057">
        <w:rPr>
          <w:szCs w:val="22"/>
          <w:lang w:val="sr-Latn-ME"/>
        </w:rPr>
        <w:t>tak</w:t>
      </w:r>
      <w:r w:rsidRPr="00F24057">
        <w:rPr>
          <w:szCs w:val="22"/>
          <w:lang w:val="sr-Latn-ME"/>
        </w:rPr>
        <w:t xml:space="preserve"> studij</w:t>
      </w:r>
      <w:r w:rsidR="003E4F76" w:rsidRPr="00F24057">
        <w:rPr>
          <w:szCs w:val="22"/>
          <w:lang w:val="sr-Latn-ME"/>
        </w:rPr>
        <w:t>e</w:t>
      </w:r>
      <w:r w:rsidRPr="00F24057">
        <w:rPr>
          <w:szCs w:val="22"/>
          <w:lang w:val="sr-Latn-ME"/>
        </w:rPr>
        <w:t xml:space="preserve"> sa prvobitno planiranim trajanjem od 78 </w:t>
      </w:r>
      <w:r w:rsidR="00885A78" w:rsidRPr="00F24057">
        <w:rPr>
          <w:szCs w:val="22"/>
          <w:lang w:val="sr-Latn-ME"/>
        </w:rPr>
        <w:t>nedjelj</w:t>
      </w:r>
      <w:r w:rsidRPr="00F24057">
        <w:rPr>
          <w:szCs w:val="22"/>
          <w:lang w:val="sr-Latn-ME"/>
        </w:rPr>
        <w:t>a. Pacijentima je bilo dozvoljeno da nastave sa uzimanjem ispitivan</w:t>
      </w:r>
      <w:r w:rsidR="00A46DF2" w:rsidRPr="00F24057">
        <w:rPr>
          <w:szCs w:val="22"/>
          <w:lang w:val="sr-Latn-ME"/>
        </w:rPr>
        <w:t>og</w:t>
      </w:r>
      <w:r w:rsidRPr="00F24057">
        <w:rPr>
          <w:szCs w:val="22"/>
          <w:lang w:val="sr-Latn-ME"/>
        </w:rPr>
        <w:t xml:space="preserve"> </w:t>
      </w:r>
      <w:r w:rsidR="00885A78" w:rsidRPr="00F24057">
        <w:rPr>
          <w:szCs w:val="22"/>
          <w:lang w:val="sr-Latn-ME"/>
        </w:rPr>
        <w:t xml:space="preserve">lijeka </w:t>
      </w:r>
      <w:r w:rsidRPr="00F24057">
        <w:rPr>
          <w:szCs w:val="22"/>
          <w:lang w:val="sr-Latn-ME"/>
        </w:rPr>
        <w:t xml:space="preserve">nakon 78. </w:t>
      </w:r>
      <w:r w:rsidR="00885A78" w:rsidRPr="00F24057">
        <w:rPr>
          <w:szCs w:val="22"/>
          <w:lang w:val="sr-Latn-ME"/>
        </w:rPr>
        <w:t>nedjelj</w:t>
      </w:r>
      <w:r w:rsidRPr="00F24057">
        <w:rPr>
          <w:szCs w:val="22"/>
          <w:lang w:val="sr-Latn-ME"/>
        </w:rPr>
        <w:t>e dok ne dobiju pristup adalimumabu.</w:t>
      </w:r>
    </w:p>
    <w:p w14:paraId="60228C9F" w14:textId="77777777" w:rsidR="00B3293A" w:rsidRPr="00F24057" w:rsidRDefault="00B3293A" w:rsidP="00D70B34">
      <w:pPr>
        <w:rPr>
          <w:szCs w:val="22"/>
          <w:lang w:val="sr-Latn-ME"/>
        </w:rPr>
      </w:pPr>
    </w:p>
    <w:p w14:paraId="6BDA7329" w14:textId="28798EFF" w:rsidR="00B3293A" w:rsidRPr="00F24057" w:rsidRDefault="00B3293A" w:rsidP="00D70B34">
      <w:pPr>
        <w:rPr>
          <w:i/>
          <w:szCs w:val="22"/>
          <w:lang w:val="sr-Latn-ME"/>
        </w:rPr>
      </w:pPr>
      <w:r w:rsidRPr="00F24057">
        <w:rPr>
          <w:i/>
          <w:szCs w:val="22"/>
          <w:u w:val="single"/>
          <w:lang w:val="sr-Latn-ME"/>
        </w:rPr>
        <w:t>Klinički odgovor</w:t>
      </w:r>
      <w:r w:rsidRPr="00F24057">
        <w:rPr>
          <w:i/>
          <w:szCs w:val="22"/>
          <w:lang w:val="sr-Latn-ME"/>
        </w:rPr>
        <w:t xml:space="preserve"> </w:t>
      </w:r>
    </w:p>
    <w:p w14:paraId="3680E6B4" w14:textId="1DB96755" w:rsidR="00B3293A" w:rsidRPr="00F24057" w:rsidRDefault="00B3293A" w:rsidP="00D70B34">
      <w:pPr>
        <w:rPr>
          <w:szCs w:val="22"/>
          <w:lang w:val="sr-Latn-ME"/>
        </w:rPr>
      </w:pPr>
      <w:r w:rsidRPr="00F24057">
        <w:rPr>
          <w:szCs w:val="22"/>
          <w:lang w:val="sr-Latn-ME"/>
        </w:rPr>
        <w:t>Rezultati iz oba ispitivanja pokazali su statistički značajno smanjenje rizika od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 xml:space="preserve">a kod pacijenata </w:t>
      </w:r>
      <w:r w:rsidR="00885A78" w:rsidRPr="00F24057">
        <w:rPr>
          <w:szCs w:val="22"/>
          <w:lang w:val="sr-Latn-ME"/>
        </w:rPr>
        <w:t>liječe</w:t>
      </w:r>
      <w:r w:rsidRPr="00F24057">
        <w:rPr>
          <w:szCs w:val="22"/>
          <w:lang w:val="sr-Latn-ME"/>
        </w:rPr>
        <w:t>nih adalimumabom u odnosu na one koji su primali placebo (</w:t>
      </w:r>
      <w:r w:rsidR="0030064A" w:rsidRPr="00F24057">
        <w:rPr>
          <w:szCs w:val="22"/>
          <w:lang w:val="sr-Latn-ME"/>
        </w:rPr>
        <w:t>vidjeti</w:t>
      </w:r>
      <w:r w:rsidRPr="00F24057">
        <w:rPr>
          <w:szCs w:val="22"/>
          <w:lang w:val="sr-Latn-ME"/>
        </w:rPr>
        <w:t xml:space="preserve"> Tabelu 2</w:t>
      </w:r>
      <w:r w:rsidR="007E1743" w:rsidRPr="00F24057">
        <w:rPr>
          <w:szCs w:val="22"/>
          <w:lang w:val="sr-Latn-ME"/>
        </w:rPr>
        <w:t>4</w:t>
      </w:r>
      <w:r w:rsidRPr="00F24057">
        <w:rPr>
          <w:szCs w:val="22"/>
          <w:lang w:val="sr-Latn-ME"/>
        </w:rPr>
        <w:t>). Oba ispitivanja su pokazala rano i održano dejstvo adalimumaba na stopu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a u odnosu na placebo (</w:t>
      </w:r>
      <w:r w:rsidR="0030064A" w:rsidRPr="00F24057">
        <w:rPr>
          <w:szCs w:val="22"/>
          <w:lang w:val="sr-Latn-ME"/>
        </w:rPr>
        <w:t>vidjeti</w:t>
      </w:r>
      <w:r w:rsidRPr="00F24057">
        <w:rPr>
          <w:szCs w:val="22"/>
          <w:lang w:val="sr-Latn-ME"/>
        </w:rPr>
        <w:t xml:space="preserve"> Sliku 2).</w:t>
      </w:r>
    </w:p>
    <w:p w14:paraId="33A19592" w14:textId="3D2C237C" w:rsidR="007329AC" w:rsidRPr="00F24057" w:rsidRDefault="007329AC" w:rsidP="00D70B34">
      <w:pPr>
        <w:rPr>
          <w:szCs w:val="22"/>
          <w:lang w:val="sr-Latn-ME"/>
        </w:rPr>
      </w:pPr>
    </w:p>
    <w:p w14:paraId="1B8D8C96" w14:textId="43B54D97" w:rsidR="007E1743" w:rsidRPr="00F24057" w:rsidRDefault="007E1743" w:rsidP="00D70B34">
      <w:pPr>
        <w:rPr>
          <w:b/>
          <w:szCs w:val="22"/>
          <w:lang w:val="sr-Latn-ME"/>
        </w:rPr>
      </w:pPr>
      <w:r w:rsidRPr="00F24057">
        <w:rPr>
          <w:b/>
          <w:szCs w:val="22"/>
          <w:lang w:val="sr-Latn-ME"/>
        </w:rPr>
        <w:t xml:space="preserve">Tabela 24. </w:t>
      </w:r>
      <w:r w:rsidR="009811CA" w:rsidRPr="00F24057">
        <w:rPr>
          <w:b/>
          <w:szCs w:val="22"/>
          <w:lang w:val="sr-Latn-ME"/>
        </w:rPr>
        <w:t>Vr</w:t>
      </w:r>
      <w:r w:rsidR="0044761A" w:rsidRPr="00F24057">
        <w:rPr>
          <w:b/>
          <w:szCs w:val="22"/>
          <w:lang w:val="sr-Latn-ME"/>
        </w:rPr>
        <w:t>ij</w:t>
      </w:r>
      <w:r w:rsidR="009811CA" w:rsidRPr="00F24057">
        <w:rPr>
          <w:b/>
          <w:szCs w:val="22"/>
          <w:lang w:val="sr-Latn-ME"/>
        </w:rPr>
        <w:t>eme</w:t>
      </w:r>
      <w:r w:rsidR="007E5568" w:rsidRPr="00F24057">
        <w:rPr>
          <w:b/>
          <w:szCs w:val="22"/>
          <w:lang w:val="sr-Latn-ME"/>
        </w:rPr>
        <w:t xml:space="preserve"> </w:t>
      </w:r>
      <w:r w:rsidRPr="00F24057">
        <w:rPr>
          <w:b/>
          <w:szCs w:val="22"/>
          <w:lang w:val="sr-Latn-ME"/>
        </w:rPr>
        <w:t>do ne</w:t>
      </w:r>
      <w:r w:rsidR="004F2520" w:rsidRPr="00F24057">
        <w:rPr>
          <w:b/>
          <w:szCs w:val="22"/>
          <w:lang w:val="sr-Latn-ME"/>
        </w:rPr>
        <w:t>uspje</w:t>
      </w:r>
      <w:r w:rsidRPr="00F24057">
        <w:rPr>
          <w:b/>
          <w:szCs w:val="22"/>
          <w:lang w:val="sr-Latn-ME"/>
        </w:rPr>
        <w:t xml:space="preserve">ha </w:t>
      </w:r>
      <w:r w:rsidR="00885A78" w:rsidRPr="00F24057">
        <w:rPr>
          <w:b/>
          <w:szCs w:val="22"/>
          <w:lang w:val="sr-Latn-ME"/>
        </w:rPr>
        <w:t>liječenj</w:t>
      </w:r>
      <w:r w:rsidRPr="00F24057">
        <w:rPr>
          <w:b/>
          <w:szCs w:val="22"/>
          <w:lang w:val="sr-Latn-ME"/>
        </w:rPr>
        <w:t>a u ispitivanjima UV I i UV II</w:t>
      </w:r>
    </w:p>
    <w:p w14:paraId="615A2762" w14:textId="77777777" w:rsidR="007E1743" w:rsidRPr="00F24057" w:rsidRDefault="007E1743" w:rsidP="00D70B34">
      <w:pPr>
        <w:rPr>
          <w:szCs w:val="22"/>
          <w:lang w:val="sr-Latn-ME"/>
        </w:rPr>
      </w:pPr>
    </w:p>
    <w:tbl>
      <w:tblPr>
        <w:tblW w:w="5000" w:type="pct"/>
        <w:tblCellMar>
          <w:top w:w="24" w:type="dxa"/>
          <w:left w:w="85" w:type="dxa"/>
          <w:bottom w:w="5" w:type="dxa"/>
          <w:right w:w="85" w:type="dxa"/>
        </w:tblCellMar>
        <w:tblLook w:val="04A0" w:firstRow="1" w:lastRow="0" w:firstColumn="1" w:lastColumn="0" w:noHBand="0" w:noVBand="1"/>
      </w:tblPr>
      <w:tblGrid>
        <w:gridCol w:w="1684"/>
        <w:gridCol w:w="617"/>
        <w:gridCol w:w="1096"/>
        <w:gridCol w:w="2361"/>
        <w:gridCol w:w="658"/>
        <w:gridCol w:w="1351"/>
        <w:gridCol w:w="1250"/>
      </w:tblGrid>
      <w:tr w:rsidR="00277701" w:rsidRPr="00F24057" w14:paraId="61E01AB3" w14:textId="77777777" w:rsidTr="00107804">
        <w:trPr>
          <w:trHeight w:val="20"/>
        </w:trPr>
        <w:tc>
          <w:tcPr>
            <w:tcW w:w="934" w:type="pct"/>
            <w:tcBorders>
              <w:top w:val="single" w:sz="4" w:space="0" w:color="000000"/>
              <w:left w:val="single" w:sz="4" w:space="0" w:color="auto"/>
              <w:bottom w:val="single" w:sz="4" w:space="0" w:color="000000"/>
              <w:right w:val="single" w:sz="4" w:space="0" w:color="auto"/>
            </w:tcBorders>
            <w:vAlign w:val="center"/>
          </w:tcPr>
          <w:p w14:paraId="5D48F201" w14:textId="5A97F59C" w:rsidR="009D699D" w:rsidRPr="00F24057" w:rsidRDefault="009D699D" w:rsidP="00D70B34">
            <w:pPr>
              <w:rPr>
                <w:b/>
                <w:szCs w:val="22"/>
                <w:lang w:val="sr-Latn-ME"/>
              </w:rPr>
            </w:pPr>
            <w:r w:rsidRPr="00F24057">
              <w:rPr>
                <w:b/>
                <w:szCs w:val="22"/>
                <w:lang w:val="sr-Latn-ME"/>
              </w:rPr>
              <w:t>Analiza</w:t>
            </w:r>
          </w:p>
          <w:p w14:paraId="642432B8" w14:textId="2E4197BE" w:rsidR="00434D88" w:rsidRPr="00F24057" w:rsidRDefault="0030064A" w:rsidP="00D70B34">
            <w:pPr>
              <w:ind w:left="426"/>
              <w:rPr>
                <w:szCs w:val="22"/>
                <w:lang w:val="sr-Latn-ME"/>
              </w:rPr>
            </w:pPr>
            <w:r w:rsidRPr="00F24057">
              <w:rPr>
                <w:b/>
                <w:szCs w:val="22"/>
                <w:lang w:val="sr-Latn-ME"/>
              </w:rPr>
              <w:t>Liječenje</w:t>
            </w:r>
          </w:p>
        </w:tc>
        <w:tc>
          <w:tcPr>
            <w:tcW w:w="342" w:type="pct"/>
            <w:tcBorders>
              <w:top w:val="single" w:sz="4" w:space="0" w:color="000000"/>
              <w:left w:val="nil"/>
              <w:bottom w:val="single" w:sz="4" w:space="0" w:color="000000"/>
              <w:right w:val="single" w:sz="4" w:space="0" w:color="auto"/>
            </w:tcBorders>
            <w:vAlign w:val="center"/>
          </w:tcPr>
          <w:p w14:paraId="027F9086" w14:textId="2609CE8A" w:rsidR="009D699D" w:rsidRPr="00F24057" w:rsidRDefault="009D699D" w:rsidP="00D70B34">
            <w:pPr>
              <w:jc w:val="center"/>
              <w:rPr>
                <w:b/>
                <w:bCs/>
                <w:szCs w:val="22"/>
                <w:lang w:val="sr-Latn-ME"/>
              </w:rPr>
            </w:pPr>
            <w:r w:rsidRPr="00F24057">
              <w:rPr>
                <w:b/>
                <w:bCs/>
                <w:szCs w:val="22"/>
                <w:lang w:val="sr-Latn-ME"/>
              </w:rPr>
              <w:t>N</w:t>
            </w:r>
          </w:p>
        </w:tc>
        <w:tc>
          <w:tcPr>
            <w:tcW w:w="608" w:type="pct"/>
            <w:tcBorders>
              <w:top w:val="single" w:sz="4" w:space="0" w:color="000000"/>
              <w:left w:val="single" w:sz="4" w:space="0" w:color="auto"/>
              <w:bottom w:val="single" w:sz="4" w:space="0" w:color="000000"/>
              <w:right w:val="single" w:sz="4" w:space="0" w:color="auto"/>
            </w:tcBorders>
            <w:vAlign w:val="center"/>
          </w:tcPr>
          <w:p w14:paraId="7A21565B" w14:textId="0B21DF59" w:rsidR="009D699D" w:rsidRPr="00F24057" w:rsidRDefault="009D699D" w:rsidP="00107804">
            <w:pPr>
              <w:tabs>
                <w:tab w:val="clear" w:pos="284"/>
              </w:tabs>
              <w:jc w:val="center"/>
              <w:rPr>
                <w:b/>
                <w:szCs w:val="22"/>
                <w:lang w:val="sr-Latn-ME"/>
              </w:rPr>
            </w:pPr>
            <w:r w:rsidRPr="00F24057">
              <w:rPr>
                <w:b/>
                <w:szCs w:val="22"/>
                <w:lang w:val="sr-Latn-ME"/>
              </w:rPr>
              <w:t>Ne</w:t>
            </w:r>
            <w:r w:rsidR="004F2520" w:rsidRPr="00F24057">
              <w:rPr>
                <w:b/>
                <w:szCs w:val="22"/>
                <w:lang w:val="sr-Latn-ME"/>
              </w:rPr>
              <w:t>uspje</w:t>
            </w:r>
            <w:r w:rsidRPr="00F24057">
              <w:rPr>
                <w:b/>
                <w:szCs w:val="22"/>
                <w:lang w:val="sr-Latn-ME"/>
              </w:rPr>
              <w:t>h</w:t>
            </w:r>
            <w:r w:rsidR="00107804" w:rsidRPr="00F24057">
              <w:rPr>
                <w:b/>
                <w:szCs w:val="22"/>
                <w:lang w:val="sr-Latn-ME"/>
              </w:rPr>
              <w:t xml:space="preserve"> </w:t>
            </w:r>
            <w:r w:rsidRPr="00F24057">
              <w:rPr>
                <w:b/>
                <w:szCs w:val="22"/>
                <w:lang w:val="sr-Latn-ME"/>
              </w:rPr>
              <w:t>N</w:t>
            </w:r>
            <w:r w:rsidR="00277701" w:rsidRPr="00F24057">
              <w:rPr>
                <w:b/>
                <w:szCs w:val="22"/>
                <w:lang w:val="sr-Latn-ME"/>
              </w:rPr>
              <w:t xml:space="preserve"> </w:t>
            </w:r>
            <w:r w:rsidRPr="00F24057">
              <w:rPr>
                <w:b/>
                <w:szCs w:val="22"/>
                <w:lang w:val="sr-Latn-ME"/>
              </w:rPr>
              <w:t>(%)</w:t>
            </w:r>
          </w:p>
        </w:tc>
        <w:tc>
          <w:tcPr>
            <w:tcW w:w="1309" w:type="pct"/>
            <w:tcBorders>
              <w:top w:val="single" w:sz="4" w:space="0" w:color="000000"/>
              <w:left w:val="single" w:sz="4" w:space="0" w:color="auto"/>
              <w:bottom w:val="single" w:sz="4" w:space="0" w:color="000000"/>
              <w:right w:val="single" w:sz="4" w:space="0" w:color="auto"/>
            </w:tcBorders>
            <w:vAlign w:val="center"/>
          </w:tcPr>
          <w:p w14:paraId="25273037" w14:textId="077FE498" w:rsidR="009D699D" w:rsidRPr="00F24057" w:rsidRDefault="009D699D" w:rsidP="00D70B34">
            <w:pPr>
              <w:jc w:val="center"/>
              <w:rPr>
                <w:szCs w:val="22"/>
                <w:lang w:val="sr-Latn-ME"/>
              </w:rPr>
            </w:pPr>
            <w:r w:rsidRPr="00F24057">
              <w:rPr>
                <w:b/>
                <w:szCs w:val="22"/>
                <w:lang w:val="sr-Latn-ME"/>
              </w:rPr>
              <w:t>Medijan</w:t>
            </w:r>
            <w:r w:rsidR="00277701" w:rsidRPr="00F24057">
              <w:rPr>
                <w:b/>
                <w:szCs w:val="22"/>
                <w:lang w:val="sr-Latn-ME"/>
              </w:rPr>
              <w:t xml:space="preserve">a </w:t>
            </w:r>
            <w:r w:rsidRPr="00F24057">
              <w:rPr>
                <w:b/>
                <w:szCs w:val="22"/>
                <w:lang w:val="sr-Latn-ME"/>
              </w:rPr>
              <w:t>vremena do ne</w:t>
            </w:r>
            <w:r w:rsidR="004F2520" w:rsidRPr="00F24057">
              <w:rPr>
                <w:b/>
                <w:szCs w:val="22"/>
                <w:lang w:val="sr-Latn-ME"/>
              </w:rPr>
              <w:t>uspje</w:t>
            </w:r>
            <w:r w:rsidRPr="00F24057">
              <w:rPr>
                <w:b/>
                <w:szCs w:val="22"/>
                <w:lang w:val="sr-Latn-ME"/>
              </w:rPr>
              <w:t>ha (</w:t>
            </w:r>
            <w:r w:rsidR="00885A78" w:rsidRPr="00F24057">
              <w:rPr>
                <w:b/>
                <w:szCs w:val="22"/>
                <w:lang w:val="sr-Latn-ME"/>
              </w:rPr>
              <w:t>mjesec</w:t>
            </w:r>
            <w:r w:rsidRPr="00F24057">
              <w:rPr>
                <w:b/>
                <w:szCs w:val="22"/>
                <w:lang w:val="sr-Latn-ME"/>
              </w:rPr>
              <w:t>i)</w:t>
            </w:r>
          </w:p>
        </w:tc>
        <w:tc>
          <w:tcPr>
            <w:tcW w:w="365" w:type="pct"/>
            <w:tcBorders>
              <w:top w:val="single" w:sz="4" w:space="0" w:color="000000"/>
              <w:left w:val="single" w:sz="4" w:space="0" w:color="auto"/>
              <w:bottom w:val="single" w:sz="4" w:space="0" w:color="000000"/>
              <w:right w:val="single" w:sz="4" w:space="0" w:color="auto"/>
            </w:tcBorders>
            <w:vAlign w:val="center"/>
          </w:tcPr>
          <w:p w14:paraId="5C457CE5" w14:textId="77777777" w:rsidR="009D699D" w:rsidRPr="00F24057" w:rsidRDefault="009D699D" w:rsidP="00D70B34">
            <w:pPr>
              <w:jc w:val="center"/>
              <w:rPr>
                <w:szCs w:val="22"/>
                <w:lang w:val="sr-Latn-ME"/>
              </w:rPr>
            </w:pPr>
            <w:r w:rsidRPr="00F24057">
              <w:rPr>
                <w:b/>
                <w:szCs w:val="22"/>
                <w:lang w:val="sr-Latn-ME"/>
              </w:rPr>
              <w:t>HR</w:t>
            </w:r>
            <w:r w:rsidRPr="00F24057">
              <w:rPr>
                <w:b/>
                <w:szCs w:val="22"/>
                <w:vertAlign w:val="superscript"/>
                <w:lang w:val="sr-Latn-ME"/>
              </w:rPr>
              <w:t>a</w:t>
            </w:r>
          </w:p>
          <w:p w14:paraId="653CDEEA" w14:textId="77777777" w:rsidR="009D699D" w:rsidRPr="00F24057" w:rsidRDefault="009D699D" w:rsidP="00D70B34">
            <w:pPr>
              <w:jc w:val="center"/>
              <w:rPr>
                <w:szCs w:val="22"/>
                <w:lang w:val="sr-Latn-ME"/>
              </w:rPr>
            </w:pPr>
          </w:p>
        </w:tc>
        <w:tc>
          <w:tcPr>
            <w:tcW w:w="749" w:type="pct"/>
            <w:tcBorders>
              <w:top w:val="single" w:sz="4" w:space="0" w:color="000000"/>
              <w:left w:val="single" w:sz="4" w:space="0" w:color="auto"/>
              <w:bottom w:val="single" w:sz="4" w:space="0" w:color="000000"/>
              <w:right w:val="single" w:sz="4" w:space="0" w:color="auto"/>
            </w:tcBorders>
            <w:vAlign w:val="center"/>
          </w:tcPr>
          <w:p w14:paraId="7B3E0E6F" w14:textId="065FF503" w:rsidR="009D699D" w:rsidRPr="00F24057" w:rsidRDefault="009D699D" w:rsidP="00D70B34">
            <w:pPr>
              <w:jc w:val="center"/>
              <w:rPr>
                <w:szCs w:val="22"/>
                <w:lang w:val="sr-Latn-ME"/>
              </w:rPr>
            </w:pPr>
            <w:r w:rsidRPr="00F24057">
              <w:rPr>
                <w:b/>
                <w:szCs w:val="22"/>
                <w:lang w:val="sr-Latn-ME"/>
              </w:rPr>
              <w:t>95% CI za</w:t>
            </w:r>
            <w:r w:rsidR="00277701" w:rsidRPr="00F24057">
              <w:rPr>
                <w:b/>
                <w:szCs w:val="22"/>
                <w:lang w:val="sr-Latn-ME"/>
              </w:rPr>
              <w:t xml:space="preserve"> </w:t>
            </w:r>
            <w:r w:rsidRPr="00F24057">
              <w:rPr>
                <w:b/>
                <w:szCs w:val="22"/>
                <w:lang w:val="sr-Latn-ME"/>
              </w:rPr>
              <w:t>HR</w:t>
            </w:r>
            <w:r w:rsidRPr="00F24057">
              <w:rPr>
                <w:b/>
                <w:szCs w:val="22"/>
                <w:vertAlign w:val="superscript"/>
                <w:lang w:val="sr-Latn-ME"/>
              </w:rPr>
              <w:t>a</w:t>
            </w:r>
          </w:p>
        </w:tc>
        <w:tc>
          <w:tcPr>
            <w:tcW w:w="693" w:type="pct"/>
            <w:tcBorders>
              <w:top w:val="single" w:sz="4" w:space="0" w:color="000000"/>
              <w:left w:val="single" w:sz="4" w:space="0" w:color="auto"/>
              <w:bottom w:val="single" w:sz="4" w:space="0" w:color="000000"/>
              <w:right w:val="single" w:sz="4" w:space="0" w:color="auto"/>
            </w:tcBorders>
            <w:vAlign w:val="center"/>
          </w:tcPr>
          <w:p w14:paraId="16BCBE60" w14:textId="1E30BEB9" w:rsidR="009D699D" w:rsidRPr="00F24057" w:rsidRDefault="009D699D" w:rsidP="00D70B34">
            <w:pPr>
              <w:jc w:val="center"/>
              <w:rPr>
                <w:szCs w:val="22"/>
                <w:lang w:val="sr-Latn-ME"/>
              </w:rPr>
            </w:pPr>
            <w:r w:rsidRPr="00F24057">
              <w:rPr>
                <w:b/>
                <w:i/>
                <w:szCs w:val="22"/>
                <w:lang w:val="sr-Latn-ME"/>
              </w:rPr>
              <w:t>p</w:t>
            </w:r>
            <w:r w:rsidR="002F2886" w:rsidRPr="00F24057">
              <w:rPr>
                <w:b/>
                <w:i/>
                <w:szCs w:val="22"/>
                <w:lang w:val="sr-Latn-ME"/>
              </w:rPr>
              <w:t>-</w:t>
            </w:r>
            <w:r w:rsidR="00972894" w:rsidRPr="00F24057">
              <w:rPr>
                <w:b/>
                <w:szCs w:val="22"/>
                <w:lang w:val="sr-Latn-ME"/>
              </w:rPr>
              <w:t>vrijedno</w:t>
            </w:r>
            <w:r w:rsidRPr="00F24057">
              <w:rPr>
                <w:b/>
                <w:szCs w:val="22"/>
                <w:lang w:val="sr-Latn-ME"/>
              </w:rPr>
              <w:t>st</w:t>
            </w:r>
            <w:r w:rsidRPr="00F24057">
              <w:rPr>
                <w:b/>
                <w:szCs w:val="22"/>
                <w:vertAlign w:val="superscript"/>
                <w:lang w:val="sr-Latn-ME"/>
              </w:rPr>
              <w:t>b</w:t>
            </w:r>
          </w:p>
        </w:tc>
      </w:tr>
      <w:tr w:rsidR="009D699D" w:rsidRPr="00F24057" w14:paraId="4A2407ED" w14:textId="77777777" w:rsidTr="00F1226A">
        <w:trPr>
          <w:trHeight w:val="20"/>
        </w:trPr>
        <w:tc>
          <w:tcPr>
            <w:tcW w:w="5000" w:type="pct"/>
            <w:gridSpan w:val="7"/>
            <w:tcBorders>
              <w:top w:val="single" w:sz="4" w:space="0" w:color="000000"/>
              <w:left w:val="single" w:sz="4" w:space="0" w:color="auto"/>
              <w:bottom w:val="single" w:sz="4" w:space="0" w:color="auto"/>
              <w:right w:val="single" w:sz="4" w:space="0" w:color="auto"/>
            </w:tcBorders>
            <w:vAlign w:val="center"/>
          </w:tcPr>
          <w:p w14:paraId="235334F9" w14:textId="00524388" w:rsidR="009D699D" w:rsidRPr="00F24057" w:rsidRDefault="009811CA" w:rsidP="00D70B34">
            <w:pPr>
              <w:jc w:val="center"/>
              <w:rPr>
                <w:szCs w:val="22"/>
                <w:lang w:val="sr-Latn-ME"/>
              </w:rPr>
            </w:pPr>
            <w:r w:rsidRPr="00F24057">
              <w:rPr>
                <w:b/>
                <w:szCs w:val="22"/>
                <w:lang w:val="sr-Latn-ME"/>
              </w:rPr>
              <w:t>Vr</w:t>
            </w:r>
            <w:r w:rsidR="0044761A" w:rsidRPr="00F24057">
              <w:rPr>
                <w:b/>
                <w:szCs w:val="22"/>
                <w:lang w:val="sr-Latn-ME"/>
              </w:rPr>
              <w:t>ij</w:t>
            </w:r>
            <w:r w:rsidRPr="00F24057">
              <w:rPr>
                <w:b/>
                <w:szCs w:val="22"/>
                <w:lang w:val="sr-Latn-ME"/>
              </w:rPr>
              <w:t>eme</w:t>
            </w:r>
            <w:r w:rsidR="007E5568" w:rsidRPr="00F24057">
              <w:rPr>
                <w:b/>
                <w:szCs w:val="22"/>
                <w:lang w:val="sr-Latn-ME"/>
              </w:rPr>
              <w:t xml:space="preserve"> </w:t>
            </w:r>
            <w:r w:rsidR="009D699D" w:rsidRPr="00F24057">
              <w:rPr>
                <w:b/>
                <w:szCs w:val="22"/>
                <w:lang w:val="sr-Latn-ME"/>
              </w:rPr>
              <w:t>do ne</w:t>
            </w:r>
            <w:r w:rsidR="004F2520" w:rsidRPr="00F24057">
              <w:rPr>
                <w:b/>
                <w:szCs w:val="22"/>
                <w:lang w:val="sr-Latn-ME"/>
              </w:rPr>
              <w:t>uspje</w:t>
            </w:r>
            <w:r w:rsidR="009D699D" w:rsidRPr="00F24057">
              <w:rPr>
                <w:b/>
                <w:szCs w:val="22"/>
                <w:lang w:val="sr-Latn-ME"/>
              </w:rPr>
              <w:t xml:space="preserve">ha </w:t>
            </w:r>
            <w:r w:rsidR="00885A78" w:rsidRPr="00F24057">
              <w:rPr>
                <w:b/>
                <w:szCs w:val="22"/>
                <w:lang w:val="sr-Latn-ME"/>
              </w:rPr>
              <w:t>liječenj</w:t>
            </w:r>
            <w:r w:rsidR="009D699D" w:rsidRPr="00F24057">
              <w:rPr>
                <w:b/>
                <w:szCs w:val="22"/>
                <w:lang w:val="sr-Latn-ME"/>
              </w:rPr>
              <w:t xml:space="preserve">a u 6. </w:t>
            </w:r>
            <w:r w:rsidR="00885A78" w:rsidRPr="00F24057">
              <w:rPr>
                <w:b/>
                <w:szCs w:val="22"/>
                <w:lang w:val="sr-Latn-ME"/>
              </w:rPr>
              <w:t>nedjelj</w:t>
            </w:r>
            <w:r w:rsidR="009D699D" w:rsidRPr="00F24057">
              <w:rPr>
                <w:b/>
                <w:szCs w:val="22"/>
                <w:lang w:val="sr-Latn-ME"/>
              </w:rPr>
              <w:t>i ili nakon toga u ispitivanju UV I</w:t>
            </w:r>
          </w:p>
        </w:tc>
      </w:tr>
      <w:tr w:rsidR="002C3D38" w:rsidRPr="00F24057" w14:paraId="7FD5E9C3" w14:textId="77777777" w:rsidTr="00F1226A">
        <w:trPr>
          <w:trHeight w:val="20"/>
        </w:trPr>
        <w:tc>
          <w:tcPr>
            <w:tcW w:w="5000" w:type="pct"/>
            <w:gridSpan w:val="7"/>
            <w:tcBorders>
              <w:top w:val="single" w:sz="4" w:space="0" w:color="000000"/>
              <w:left w:val="single" w:sz="4" w:space="0" w:color="auto"/>
              <w:bottom w:val="single" w:sz="4" w:space="0" w:color="FFFFFF" w:themeColor="background1"/>
              <w:right w:val="single" w:sz="4" w:space="0" w:color="auto"/>
            </w:tcBorders>
            <w:vAlign w:val="center"/>
          </w:tcPr>
          <w:p w14:paraId="4115E3EE" w14:textId="52EA27E4" w:rsidR="002C3D38" w:rsidRPr="00F24057" w:rsidRDefault="002C3D38" w:rsidP="00D70B34">
            <w:pPr>
              <w:jc w:val="left"/>
              <w:rPr>
                <w:szCs w:val="22"/>
                <w:lang w:val="sr-Latn-ME"/>
              </w:rPr>
            </w:pPr>
            <w:r w:rsidRPr="00F24057">
              <w:rPr>
                <w:szCs w:val="22"/>
                <w:lang w:val="sr-Latn-ME"/>
              </w:rPr>
              <w:t>primarna analiza (ITT)</w:t>
            </w:r>
          </w:p>
        </w:tc>
      </w:tr>
      <w:tr w:rsidR="00277701" w:rsidRPr="00F24057" w14:paraId="0D52E3BD" w14:textId="77777777" w:rsidTr="00107804">
        <w:trPr>
          <w:trHeight w:val="20"/>
        </w:trPr>
        <w:tc>
          <w:tcPr>
            <w:tcW w:w="934"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34AFC1B7" w14:textId="64E9394D" w:rsidR="009D699D" w:rsidRPr="00F24057" w:rsidRDefault="009D699D" w:rsidP="00D70B34">
            <w:pPr>
              <w:ind w:left="426"/>
              <w:rPr>
                <w:b/>
                <w:szCs w:val="22"/>
                <w:lang w:val="sr-Latn-ME"/>
              </w:rPr>
            </w:pPr>
            <w:r w:rsidRPr="00F24057">
              <w:rPr>
                <w:szCs w:val="22"/>
                <w:lang w:val="sr-Latn-ME"/>
              </w:rPr>
              <w:t>placebo</w:t>
            </w:r>
          </w:p>
        </w:tc>
        <w:tc>
          <w:tcPr>
            <w:tcW w:w="342" w:type="pct"/>
            <w:tcBorders>
              <w:top w:val="single" w:sz="4" w:space="0" w:color="auto"/>
              <w:left w:val="single" w:sz="4" w:space="0" w:color="auto"/>
              <w:bottom w:val="single" w:sz="4" w:space="0" w:color="auto"/>
              <w:right w:val="single" w:sz="4" w:space="0" w:color="auto"/>
            </w:tcBorders>
            <w:vAlign w:val="center"/>
          </w:tcPr>
          <w:p w14:paraId="20939EA6" w14:textId="120E63B9" w:rsidR="009D699D" w:rsidRPr="00F24057" w:rsidRDefault="009D699D" w:rsidP="00D70B34">
            <w:pPr>
              <w:jc w:val="center"/>
              <w:rPr>
                <w:b/>
                <w:szCs w:val="22"/>
                <w:lang w:val="sr-Latn-ME"/>
              </w:rPr>
            </w:pPr>
            <w:r w:rsidRPr="00F24057">
              <w:rPr>
                <w:szCs w:val="22"/>
                <w:lang w:val="sr-Latn-ME"/>
              </w:rPr>
              <w:t>107</w:t>
            </w:r>
          </w:p>
        </w:tc>
        <w:tc>
          <w:tcPr>
            <w:tcW w:w="608" w:type="pct"/>
            <w:tcBorders>
              <w:top w:val="single" w:sz="4" w:space="0" w:color="auto"/>
              <w:left w:val="single" w:sz="4" w:space="0" w:color="auto"/>
              <w:bottom w:val="single" w:sz="4" w:space="0" w:color="auto"/>
              <w:right w:val="single" w:sz="4" w:space="0" w:color="auto"/>
            </w:tcBorders>
            <w:vAlign w:val="center"/>
          </w:tcPr>
          <w:p w14:paraId="0EAFE976" w14:textId="733A4160" w:rsidR="009D699D" w:rsidRPr="00F24057" w:rsidRDefault="009D699D" w:rsidP="00D70B34">
            <w:pPr>
              <w:jc w:val="center"/>
              <w:rPr>
                <w:b/>
                <w:szCs w:val="22"/>
                <w:lang w:val="sr-Latn-ME"/>
              </w:rPr>
            </w:pPr>
            <w:r w:rsidRPr="00F24057">
              <w:rPr>
                <w:szCs w:val="22"/>
                <w:lang w:val="sr-Latn-ME"/>
              </w:rPr>
              <w:t>84 (78,5)</w:t>
            </w:r>
          </w:p>
        </w:tc>
        <w:tc>
          <w:tcPr>
            <w:tcW w:w="1309" w:type="pct"/>
            <w:tcBorders>
              <w:top w:val="single" w:sz="4" w:space="0" w:color="auto"/>
              <w:left w:val="single" w:sz="4" w:space="0" w:color="auto"/>
              <w:bottom w:val="single" w:sz="4" w:space="0" w:color="auto"/>
              <w:right w:val="single" w:sz="4" w:space="0" w:color="auto"/>
            </w:tcBorders>
            <w:vAlign w:val="center"/>
          </w:tcPr>
          <w:p w14:paraId="5E511F5D" w14:textId="23299084" w:rsidR="009D699D" w:rsidRPr="00F24057" w:rsidRDefault="009D699D" w:rsidP="00D70B34">
            <w:pPr>
              <w:jc w:val="center"/>
              <w:rPr>
                <w:b/>
                <w:szCs w:val="22"/>
                <w:lang w:val="sr-Latn-ME"/>
              </w:rPr>
            </w:pPr>
            <w:r w:rsidRPr="00F24057">
              <w:rPr>
                <w:szCs w:val="22"/>
                <w:lang w:val="sr-Latn-ME"/>
              </w:rPr>
              <w:t>3,0</w:t>
            </w:r>
          </w:p>
        </w:tc>
        <w:tc>
          <w:tcPr>
            <w:tcW w:w="365" w:type="pct"/>
            <w:tcBorders>
              <w:top w:val="single" w:sz="4" w:space="0" w:color="auto"/>
              <w:left w:val="single" w:sz="4" w:space="0" w:color="auto"/>
              <w:bottom w:val="single" w:sz="4" w:space="0" w:color="auto"/>
              <w:right w:val="single" w:sz="4" w:space="0" w:color="auto"/>
            </w:tcBorders>
            <w:vAlign w:val="center"/>
          </w:tcPr>
          <w:p w14:paraId="0C45A3B9" w14:textId="0C99D03A" w:rsidR="009D699D" w:rsidRPr="00F24057" w:rsidRDefault="009D699D" w:rsidP="00D70B34">
            <w:pPr>
              <w:jc w:val="center"/>
              <w:rPr>
                <w:b/>
                <w:szCs w:val="22"/>
                <w:lang w:val="sr-Latn-ME"/>
              </w:rPr>
            </w:pPr>
            <w:r w:rsidRPr="00F24057">
              <w:rPr>
                <w:szCs w:val="22"/>
                <w:lang w:val="sr-Latn-ME"/>
              </w:rPr>
              <w:t>--</w:t>
            </w:r>
          </w:p>
        </w:tc>
        <w:tc>
          <w:tcPr>
            <w:tcW w:w="749" w:type="pct"/>
            <w:tcBorders>
              <w:top w:val="single" w:sz="4" w:space="0" w:color="auto"/>
              <w:left w:val="single" w:sz="4" w:space="0" w:color="auto"/>
              <w:bottom w:val="single" w:sz="4" w:space="0" w:color="auto"/>
              <w:right w:val="single" w:sz="4" w:space="0" w:color="auto"/>
            </w:tcBorders>
            <w:vAlign w:val="center"/>
          </w:tcPr>
          <w:p w14:paraId="33153528" w14:textId="0E6EA0C5" w:rsidR="009D699D" w:rsidRPr="00F24057" w:rsidRDefault="009D699D" w:rsidP="00D70B34">
            <w:pPr>
              <w:jc w:val="center"/>
              <w:rPr>
                <w:b/>
                <w:szCs w:val="22"/>
                <w:lang w:val="sr-Latn-ME"/>
              </w:rPr>
            </w:pPr>
            <w:r w:rsidRPr="00F24057">
              <w:rPr>
                <w:szCs w:val="22"/>
                <w:lang w:val="sr-Latn-ME"/>
              </w:rPr>
              <w:t>--</w:t>
            </w:r>
          </w:p>
        </w:tc>
        <w:tc>
          <w:tcPr>
            <w:tcW w:w="693" w:type="pct"/>
            <w:tcBorders>
              <w:top w:val="single" w:sz="4" w:space="0" w:color="auto"/>
              <w:left w:val="single" w:sz="4" w:space="0" w:color="auto"/>
              <w:bottom w:val="single" w:sz="4" w:space="0" w:color="auto"/>
              <w:right w:val="single" w:sz="4" w:space="0" w:color="auto"/>
            </w:tcBorders>
            <w:vAlign w:val="center"/>
          </w:tcPr>
          <w:p w14:paraId="55A746C5" w14:textId="6386526E" w:rsidR="009D699D" w:rsidRPr="00F24057" w:rsidRDefault="009D699D" w:rsidP="00D70B34">
            <w:pPr>
              <w:jc w:val="center"/>
              <w:rPr>
                <w:szCs w:val="22"/>
                <w:lang w:val="sr-Latn-ME"/>
              </w:rPr>
            </w:pPr>
            <w:r w:rsidRPr="00F24057">
              <w:rPr>
                <w:szCs w:val="22"/>
                <w:lang w:val="sr-Latn-ME"/>
              </w:rPr>
              <w:t>--</w:t>
            </w:r>
          </w:p>
        </w:tc>
      </w:tr>
      <w:tr w:rsidR="00277701" w:rsidRPr="00F24057" w14:paraId="345A41DA" w14:textId="77777777" w:rsidTr="00107804">
        <w:trPr>
          <w:trHeight w:val="20"/>
        </w:trPr>
        <w:tc>
          <w:tcPr>
            <w:tcW w:w="934" w:type="pct"/>
            <w:tcBorders>
              <w:top w:val="single" w:sz="4" w:space="0" w:color="FFFFFF" w:themeColor="background1"/>
              <w:left w:val="single" w:sz="4" w:space="0" w:color="auto"/>
              <w:bottom w:val="single" w:sz="4" w:space="0" w:color="000000"/>
              <w:right w:val="single" w:sz="4" w:space="0" w:color="auto"/>
            </w:tcBorders>
            <w:vAlign w:val="center"/>
          </w:tcPr>
          <w:p w14:paraId="085C89B8" w14:textId="6B861C2C" w:rsidR="009D699D" w:rsidRPr="00F24057" w:rsidRDefault="009D699D" w:rsidP="00D70B34">
            <w:pPr>
              <w:ind w:left="426"/>
              <w:rPr>
                <w:szCs w:val="22"/>
                <w:lang w:val="sr-Latn-ME"/>
              </w:rPr>
            </w:pPr>
            <w:r w:rsidRPr="00F24057">
              <w:rPr>
                <w:szCs w:val="22"/>
                <w:lang w:val="sr-Latn-ME"/>
              </w:rPr>
              <w:t>adalimumab</w:t>
            </w:r>
          </w:p>
        </w:tc>
        <w:tc>
          <w:tcPr>
            <w:tcW w:w="342" w:type="pct"/>
            <w:tcBorders>
              <w:top w:val="single" w:sz="4" w:space="0" w:color="auto"/>
              <w:left w:val="single" w:sz="4" w:space="0" w:color="auto"/>
              <w:bottom w:val="single" w:sz="4" w:space="0" w:color="000000"/>
            </w:tcBorders>
            <w:vAlign w:val="center"/>
          </w:tcPr>
          <w:p w14:paraId="11AC2057" w14:textId="03D6045C" w:rsidR="009D699D" w:rsidRPr="00F24057" w:rsidRDefault="009D699D" w:rsidP="00D70B34">
            <w:pPr>
              <w:ind w:left="6"/>
              <w:jc w:val="center"/>
              <w:rPr>
                <w:szCs w:val="22"/>
                <w:lang w:val="sr-Latn-ME"/>
              </w:rPr>
            </w:pPr>
            <w:r w:rsidRPr="00F24057">
              <w:rPr>
                <w:szCs w:val="22"/>
                <w:lang w:val="sr-Latn-ME"/>
              </w:rPr>
              <w:t>110</w:t>
            </w:r>
          </w:p>
        </w:tc>
        <w:tc>
          <w:tcPr>
            <w:tcW w:w="608" w:type="pct"/>
            <w:tcBorders>
              <w:top w:val="single" w:sz="4" w:space="0" w:color="auto"/>
              <w:left w:val="single" w:sz="4" w:space="0" w:color="auto"/>
              <w:bottom w:val="single" w:sz="4" w:space="0" w:color="000000"/>
            </w:tcBorders>
            <w:vAlign w:val="center"/>
          </w:tcPr>
          <w:p w14:paraId="779A7CF4" w14:textId="30C80B2D" w:rsidR="009D699D" w:rsidRPr="00F24057" w:rsidRDefault="009D699D" w:rsidP="00D70B34">
            <w:pPr>
              <w:ind w:left="6"/>
              <w:jc w:val="center"/>
              <w:rPr>
                <w:szCs w:val="22"/>
                <w:lang w:val="sr-Latn-ME"/>
              </w:rPr>
            </w:pPr>
            <w:r w:rsidRPr="00F24057">
              <w:rPr>
                <w:szCs w:val="22"/>
                <w:lang w:val="sr-Latn-ME"/>
              </w:rPr>
              <w:t>60 (54,5)</w:t>
            </w:r>
          </w:p>
        </w:tc>
        <w:tc>
          <w:tcPr>
            <w:tcW w:w="1309" w:type="pct"/>
            <w:tcBorders>
              <w:top w:val="single" w:sz="4" w:space="0" w:color="auto"/>
              <w:left w:val="single" w:sz="4" w:space="0" w:color="auto"/>
              <w:bottom w:val="single" w:sz="4" w:space="0" w:color="000000"/>
            </w:tcBorders>
            <w:vAlign w:val="center"/>
          </w:tcPr>
          <w:p w14:paraId="48112660" w14:textId="69987A51" w:rsidR="009D699D" w:rsidRPr="00F24057" w:rsidRDefault="009D699D" w:rsidP="00D70B34">
            <w:pPr>
              <w:ind w:left="6"/>
              <w:jc w:val="center"/>
              <w:rPr>
                <w:szCs w:val="22"/>
                <w:lang w:val="sr-Latn-ME"/>
              </w:rPr>
            </w:pPr>
            <w:r w:rsidRPr="00F24057">
              <w:rPr>
                <w:szCs w:val="22"/>
                <w:lang w:val="sr-Latn-ME"/>
              </w:rPr>
              <w:t>5,6</w:t>
            </w:r>
          </w:p>
        </w:tc>
        <w:tc>
          <w:tcPr>
            <w:tcW w:w="365" w:type="pct"/>
            <w:tcBorders>
              <w:top w:val="single" w:sz="4" w:space="0" w:color="auto"/>
              <w:left w:val="single" w:sz="4" w:space="0" w:color="auto"/>
              <w:bottom w:val="single" w:sz="4" w:space="0" w:color="000000"/>
            </w:tcBorders>
            <w:vAlign w:val="center"/>
          </w:tcPr>
          <w:p w14:paraId="23DCABD2" w14:textId="4471F53E" w:rsidR="009D699D" w:rsidRPr="00F24057" w:rsidRDefault="009D699D" w:rsidP="00D70B34">
            <w:pPr>
              <w:ind w:left="6"/>
              <w:jc w:val="center"/>
              <w:rPr>
                <w:szCs w:val="22"/>
                <w:lang w:val="sr-Latn-ME"/>
              </w:rPr>
            </w:pPr>
            <w:r w:rsidRPr="00F24057">
              <w:rPr>
                <w:szCs w:val="22"/>
                <w:lang w:val="sr-Latn-ME"/>
              </w:rPr>
              <w:t>0,50</w:t>
            </w:r>
          </w:p>
        </w:tc>
        <w:tc>
          <w:tcPr>
            <w:tcW w:w="749" w:type="pct"/>
            <w:tcBorders>
              <w:top w:val="single" w:sz="4" w:space="0" w:color="auto"/>
              <w:left w:val="single" w:sz="4" w:space="0" w:color="auto"/>
              <w:bottom w:val="single" w:sz="4" w:space="0" w:color="000000"/>
              <w:right w:val="single" w:sz="4" w:space="0" w:color="auto"/>
            </w:tcBorders>
            <w:vAlign w:val="center"/>
          </w:tcPr>
          <w:p w14:paraId="61DF5079" w14:textId="54FF0227" w:rsidR="009D699D" w:rsidRPr="00F24057" w:rsidRDefault="009D699D" w:rsidP="00D70B34">
            <w:pPr>
              <w:ind w:left="6"/>
              <w:jc w:val="center"/>
              <w:rPr>
                <w:szCs w:val="22"/>
                <w:lang w:val="sr-Latn-ME"/>
              </w:rPr>
            </w:pPr>
            <w:r w:rsidRPr="00F24057">
              <w:rPr>
                <w:szCs w:val="22"/>
                <w:lang w:val="sr-Latn-ME"/>
              </w:rPr>
              <w:t>0,36; 0,70</w:t>
            </w:r>
          </w:p>
        </w:tc>
        <w:tc>
          <w:tcPr>
            <w:tcW w:w="693" w:type="pct"/>
            <w:tcBorders>
              <w:top w:val="nil"/>
              <w:left w:val="single" w:sz="4" w:space="0" w:color="auto"/>
              <w:bottom w:val="single" w:sz="4" w:space="0" w:color="000000"/>
              <w:right w:val="single" w:sz="4" w:space="0" w:color="auto"/>
            </w:tcBorders>
            <w:vAlign w:val="center"/>
          </w:tcPr>
          <w:p w14:paraId="3404B9D7" w14:textId="5B6F8F75" w:rsidR="009D699D" w:rsidRPr="00F24057" w:rsidRDefault="009D699D" w:rsidP="00D70B34">
            <w:pPr>
              <w:jc w:val="center"/>
              <w:rPr>
                <w:szCs w:val="22"/>
                <w:lang w:val="sr-Latn-ME"/>
              </w:rPr>
            </w:pPr>
            <w:r w:rsidRPr="00F24057">
              <w:rPr>
                <w:szCs w:val="22"/>
                <w:lang w:val="sr-Latn-ME"/>
              </w:rPr>
              <w:t>&lt; 0,001</w:t>
            </w:r>
          </w:p>
        </w:tc>
      </w:tr>
      <w:tr w:rsidR="009D699D" w:rsidRPr="00F24057" w14:paraId="7C6EF8EA" w14:textId="77777777" w:rsidTr="00F1226A">
        <w:trPr>
          <w:trHeight w:val="20"/>
        </w:trPr>
        <w:tc>
          <w:tcPr>
            <w:tcW w:w="5000" w:type="pct"/>
            <w:gridSpan w:val="7"/>
            <w:tcBorders>
              <w:top w:val="single" w:sz="4" w:space="0" w:color="000000"/>
              <w:left w:val="single" w:sz="4" w:space="0" w:color="auto"/>
              <w:bottom w:val="single" w:sz="4" w:space="0" w:color="auto"/>
              <w:right w:val="single" w:sz="4" w:space="0" w:color="auto"/>
            </w:tcBorders>
            <w:vAlign w:val="center"/>
          </w:tcPr>
          <w:p w14:paraId="62AF5C26" w14:textId="7647FB9B" w:rsidR="009D699D" w:rsidRPr="00F24057" w:rsidRDefault="009811CA" w:rsidP="00D70B34">
            <w:pPr>
              <w:jc w:val="center"/>
              <w:rPr>
                <w:szCs w:val="22"/>
                <w:lang w:val="sr-Latn-ME"/>
              </w:rPr>
            </w:pPr>
            <w:r w:rsidRPr="00F24057">
              <w:rPr>
                <w:b/>
                <w:szCs w:val="22"/>
                <w:lang w:val="sr-Latn-ME"/>
              </w:rPr>
              <w:t>Vr</w:t>
            </w:r>
            <w:r w:rsidR="0044761A" w:rsidRPr="00F24057">
              <w:rPr>
                <w:b/>
                <w:szCs w:val="22"/>
                <w:lang w:val="sr-Latn-ME"/>
              </w:rPr>
              <w:t>ij</w:t>
            </w:r>
            <w:r w:rsidRPr="00F24057">
              <w:rPr>
                <w:b/>
                <w:szCs w:val="22"/>
                <w:lang w:val="sr-Latn-ME"/>
              </w:rPr>
              <w:t>eme</w:t>
            </w:r>
            <w:r w:rsidR="007E5568" w:rsidRPr="00F24057">
              <w:rPr>
                <w:b/>
                <w:szCs w:val="22"/>
                <w:lang w:val="sr-Latn-ME"/>
              </w:rPr>
              <w:t xml:space="preserve"> </w:t>
            </w:r>
            <w:r w:rsidR="009D699D" w:rsidRPr="00F24057">
              <w:rPr>
                <w:b/>
                <w:szCs w:val="22"/>
                <w:lang w:val="sr-Latn-ME"/>
              </w:rPr>
              <w:t>do ne</w:t>
            </w:r>
            <w:r w:rsidR="004F2520" w:rsidRPr="00F24057">
              <w:rPr>
                <w:b/>
                <w:szCs w:val="22"/>
                <w:lang w:val="sr-Latn-ME"/>
              </w:rPr>
              <w:t>uspje</w:t>
            </w:r>
            <w:r w:rsidR="009D699D" w:rsidRPr="00F24057">
              <w:rPr>
                <w:b/>
                <w:szCs w:val="22"/>
                <w:lang w:val="sr-Latn-ME"/>
              </w:rPr>
              <w:t xml:space="preserve">ha </w:t>
            </w:r>
            <w:r w:rsidR="00885A78" w:rsidRPr="00F24057">
              <w:rPr>
                <w:b/>
                <w:szCs w:val="22"/>
                <w:lang w:val="sr-Latn-ME"/>
              </w:rPr>
              <w:t>liječenj</w:t>
            </w:r>
            <w:r w:rsidR="009D699D" w:rsidRPr="00F24057">
              <w:rPr>
                <w:b/>
                <w:szCs w:val="22"/>
                <w:lang w:val="sr-Latn-ME"/>
              </w:rPr>
              <w:t xml:space="preserve">a u 2. </w:t>
            </w:r>
            <w:r w:rsidR="00885A78" w:rsidRPr="00F24057">
              <w:rPr>
                <w:b/>
                <w:szCs w:val="22"/>
                <w:lang w:val="sr-Latn-ME"/>
              </w:rPr>
              <w:t>nedjelj</w:t>
            </w:r>
            <w:r w:rsidR="009D699D" w:rsidRPr="00F24057">
              <w:rPr>
                <w:b/>
                <w:szCs w:val="22"/>
                <w:lang w:val="sr-Latn-ME"/>
              </w:rPr>
              <w:t>i ili nakon toga u ispitivanju UV II</w:t>
            </w:r>
          </w:p>
        </w:tc>
      </w:tr>
      <w:tr w:rsidR="002C3D38" w:rsidRPr="00F24057" w14:paraId="234B6D05" w14:textId="77777777" w:rsidTr="00F1226A">
        <w:trPr>
          <w:trHeight w:val="20"/>
        </w:trPr>
        <w:tc>
          <w:tcPr>
            <w:tcW w:w="5000" w:type="pct"/>
            <w:gridSpan w:val="7"/>
            <w:tcBorders>
              <w:top w:val="single" w:sz="4" w:space="0" w:color="auto"/>
              <w:left w:val="single" w:sz="4" w:space="0" w:color="auto"/>
              <w:bottom w:val="single" w:sz="4" w:space="0" w:color="FFFFFF" w:themeColor="background1"/>
              <w:right w:val="single" w:sz="4" w:space="0" w:color="auto"/>
            </w:tcBorders>
            <w:vAlign w:val="center"/>
          </w:tcPr>
          <w:p w14:paraId="28C4DC7D" w14:textId="10E9F1D7" w:rsidR="002C3D38" w:rsidRPr="00F24057" w:rsidRDefault="002C3D38" w:rsidP="00D70B34">
            <w:pPr>
              <w:jc w:val="left"/>
              <w:rPr>
                <w:szCs w:val="22"/>
                <w:lang w:val="sr-Latn-ME"/>
              </w:rPr>
            </w:pPr>
            <w:r w:rsidRPr="00F24057">
              <w:rPr>
                <w:szCs w:val="22"/>
                <w:lang w:val="sr-Latn-ME"/>
              </w:rPr>
              <w:t>primarna analiza (ITT)</w:t>
            </w:r>
          </w:p>
        </w:tc>
      </w:tr>
      <w:tr w:rsidR="00277701" w:rsidRPr="00F24057" w14:paraId="46330BD3" w14:textId="77777777" w:rsidTr="00107804">
        <w:trPr>
          <w:trHeight w:val="20"/>
        </w:trPr>
        <w:tc>
          <w:tcPr>
            <w:tcW w:w="934"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66D3A917" w14:textId="62DA31B9" w:rsidR="009D699D" w:rsidRPr="00F24057" w:rsidRDefault="009D699D" w:rsidP="00D70B34">
            <w:pPr>
              <w:ind w:left="426"/>
              <w:rPr>
                <w:szCs w:val="22"/>
                <w:lang w:val="sr-Latn-ME"/>
              </w:rPr>
            </w:pPr>
            <w:r w:rsidRPr="00F24057">
              <w:rPr>
                <w:szCs w:val="22"/>
                <w:lang w:val="sr-Latn-ME"/>
              </w:rPr>
              <w:t>placebo</w:t>
            </w:r>
          </w:p>
        </w:tc>
        <w:tc>
          <w:tcPr>
            <w:tcW w:w="342" w:type="pct"/>
            <w:tcBorders>
              <w:top w:val="single" w:sz="4" w:space="0" w:color="auto"/>
              <w:left w:val="single" w:sz="4" w:space="0" w:color="auto"/>
              <w:bottom w:val="single" w:sz="4" w:space="0" w:color="auto"/>
              <w:right w:val="single" w:sz="4" w:space="0" w:color="auto"/>
            </w:tcBorders>
            <w:vAlign w:val="center"/>
          </w:tcPr>
          <w:p w14:paraId="071FD00A" w14:textId="67B27D1E" w:rsidR="009D699D" w:rsidRPr="00F24057" w:rsidRDefault="009D699D" w:rsidP="00D70B34">
            <w:pPr>
              <w:jc w:val="center"/>
              <w:rPr>
                <w:szCs w:val="22"/>
                <w:lang w:val="sr-Latn-ME"/>
              </w:rPr>
            </w:pPr>
            <w:r w:rsidRPr="00F24057">
              <w:rPr>
                <w:szCs w:val="22"/>
                <w:lang w:val="sr-Latn-ME"/>
              </w:rPr>
              <w:t>111</w:t>
            </w:r>
          </w:p>
        </w:tc>
        <w:tc>
          <w:tcPr>
            <w:tcW w:w="608" w:type="pct"/>
            <w:tcBorders>
              <w:top w:val="single" w:sz="4" w:space="0" w:color="auto"/>
              <w:left w:val="single" w:sz="4" w:space="0" w:color="auto"/>
              <w:bottom w:val="single" w:sz="4" w:space="0" w:color="auto"/>
              <w:right w:val="single" w:sz="4" w:space="0" w:color="auto"/>
            </w:tcBorders>
            <w:vAlign w:val="center"/>
          </w:tcPr>
          <w:p w14:paraId="6F46D49D" w14:textId="1CCFAA64" w:rsidR="009D699D" w:rsidRPr="00F24057" w:rsidRDefault="009D699D" w:rsidP="00D70B34">
            <w:pPr>
              <w:jc w:val="center"/>
              <w:rPr>
                <w:szCs w:val="22"/>
                <w:lang w:val="sr-Latn-ME"/>
              </w:rPr>
            </w:pPr>
            <w:r w:rsidRPr="00F24057">
              <w:rPr>
                <w:szCs w:val="22"/>
                <w:lang w:val="sr-Latn-ME"/>
              </w:rPr>
              <w:t>61 (55,0)</w:t>
            </w:r>
          </w:p>
        </w:tc>
        <w:tc>
          <w:tcPr>
            <w:tcW w:w="1309" w:type="pct"/>
            <w:tcBorders>
              <w:top w:val="single" w:sz="4" w:space="0" w:color="auto"/>
              <w:left w:val="single" w:sz="4" w:space="0" w:color="auto"/>
              <w:bottom w:val="single" w:sz="4" w:space="0" w:color="auto"/>
              <w:right w:val="single" w:sz="4" w:space="0" w:color="auto"/>
            </w:tcBorders>
            <w:vAlign w:val="center"/>
          </w:tcPr>
          <w:p w14:paraId="75C61418" w14:textId="4B759A8C" w:rsidR="009D699D" w:rsidRPr="00F24057" w:rsidRDefault="009D699D" w:rsidP="00D70B34">
            <w:pPr>
              <w:jc w:val="center"/>
              <w:rPr>
                <w:szCs w:val="22"/>
                <w:lang w:val="sr-Latn-ME"/>
              </w:rPr>
            </w:pPr>
            <w:r w:rsidRPr="00F24057">
              <w:rPr>
                <w:szCs w:val="22"/>
                <w:lang w:val="sr-Latn-ME"/>
              </w:rPr>
              <w:t>8,3</w:t>
            </w:r>
          </w:p>
        </w:tc>
        <w:tc>
          <w:tcPr>
            <w:tcW w:w="365" w:type="pct"/>
            <w:tcBorders>
              <w:top w:val="single" w:sz="4" w:space="0" w:color="auto"/>
              <w:left w:val="nil"/>
              <w:bottom w:val="single" w:sz="4" w:space="0" w:color="auto"/>
              <w:right w:val="single" w:sz="4" w:space="0" w:color="auto"/>
            </w:tcBorders>
            <w:vAlign w:val="center"/>
          </w:tcPr>
          <w:p w14:paraId="4AFDE2B1" w14:textId="5A31DC6F" w:rsidR="009D699D" w:rsidRPr="00F24057" w:rsidRDefault="009D699D" w:rsidP="00D70B34">
            <w:pPr>
              <w:jc w:val="center"/>
              <w:rPr>
                <w:szCs w:val="22"/>
                <w:lang w:val="sr-Latn-ME"/>
              </w:rPr>
            </w:pPr>
            <w:r w:rsidRPr="00F24057">
              <w:rPr>
                <w:szCs w:val="22"/>
                <w:lang w:val="sr-Latn-ME"/>
              </w:rPr>
              <w:t>--</w:t>
            </w:r>
          </w:p>
        </w:tc>
        <w:tc>
          <w:tcPr>
            <w:tcW w:w="749" w:type="pct"/>
            <w:tcBorders>
              <w:top w:val="single" w:sz="4" w:space="0" w:color="auto"/>
              <w:left w:val="single" w:sz="4" w:space="0" w:color="auto"/>
              <w:bottom w:val="single" w:sz="4" w:space="0" w:color="auto"/>
              <w:right w:val="single" w:sz="4" w:space="0" w:color="auto"/>
            </w:tcBorders>
            <w:vAlign w:val="center"/>
          </w:tcPr>
          <w:p w14:paraId="08EE7174" w14:textId="45E27906" w:rsidR="009D699D" w:rsidRPr="00F24057" w:rsidRDefault="009D699D" w:rsidP="00D70B34">
            <w:pPr>
              <w:jc w:val="center"/>
              <w:rPr>
                <w:szCs w:val="22"/>
                <w:lang w:val="sr-Latn-ME"/>
              </w:rPr>
            </w:pPr>
            <w:r w:rsidRPr="00F24057">
              <w:rPr>
                <w:szCs w:val="22"/>
                <w:lang w:val="sr-Latn-ME"/>
              </w:rPr>
              <w:t>--</w:t>
            </w:r>
          </w:p>
        </w:tc>
        <w:tc>
          <w:tcPr>
            <w:tcW w:w="693" w:type="pct"/>
            <w:tcBorders>
              <w:top w:val="single" w:sz="4" w:space="0" w:color="auto"/>
              <w:left w:val="single" w:sz="4" w:space="0" w:color="auto"/>
              <w:bottom w:val="single" w:sz="4" w:space="0" w:color="auto"/>
              <w:right w:val="single" w:sz="4" w:space="0" w:color="auto"/>
            </w:tcBorders>
            <w:vAlign w:val="center"/>
          </w:tcPr>
          <w:p w14:paraId="3E8317C1" w14:textId="1C49A7D5" w:rsidR="009D699D" w:rsidRPr="00F24057" w:rsidRDefault="009D699D" w:rsidP="00D70B34">
            <w:pPr>
              <w:jc w:val="center"/>
              <w:rPr>
                <w:szCs w:val="22"/>
                <w:lang w:val="sr-Latn-ME"/>
              </w:rPr>
            </w:pPr>
            <w:r w:rsidRPr="00F24057">
              <w:rPr>
                <w:szCs w:val="22"/>
                <w:lang w:val="sr-Latn-ME"/>
              </w:rPr>
              <w:t>--</w:t>
            </w:r>
          </w:p>
        </w:tc>
      </w:tr>
      <w:tr w:rsidR="00277701" w:rsidRPr="00F24057" w14:paraId="5399E15A" w14:textId="77777777" w:rsidTr="00107804">
        <w:trPr>
          <w:trHeight w:val="20"/>
        </w:trPr>
        <w:tc>
          <w:tcPr>
            <w:tcW w:w="934" w:type="pct"/>
            <w:tcBorders>
              <w:top w:val="single" w:sz="4" w:space="0" w:color="FFFFFF" w:themeColor="background1"/>
              <w:left w:val="single" w:sz="4" w:space="0" w:color="auto"/>
              <w:bottom w:val="single" w:sz="4" w:space="0" w:color="000000"/>
              <w:right w:val="single" w:sz="4" w:space="0" w:color="auto"/>
            </w:tcBorders>
            <w:vAlign w:val="center"/>
          </w:tcPr>
          <w:p w14:paraId="4850246A" w14:textId="4576CBDA" w:rsidR="009D699D" w:rsidRPr="00F24057" w:rsidRDefault="009D699D" w:rsidP="00D70B34">
            <w:pPr>
              <w:ind w:left="426"/>
              <w:rPr>
                <w:szCs w:val="22"/>
                <w:lang w:val="sr-Latn-ME"/>
              </w:rPr>
            </w:pPr>
            <w:r w:rsidRPr="00F24057">
              <w:rPr>
                <w:szCs w:val="22"/>
                <w:lang w:val="sr-Latn-ME"/>
              </w:rPr>
              <w:t>adalimumab</w:t>
            </w:r>
          </w:p>
        </w:tc>
        <w:tc>
          <w:tcPr>
            <w:tcW w:w="342" w:type="pct"/>
            <w:tcBorders>
              <w:top w:val="single" w:sz="4" w:space="0" w:color="auto"/>
              <w:left w:val="single" w:sz="4" w:space="0" w:color="auto"/>
              <w:bottom w:val="single" w:sz="4" w:space="0" w:color="000000"/>
              <w:right w:val="single" w:sz="4" w:space="0" w:color="auto"/>
            </w:tcBorders>
            <w:vAlign w:val="center"/>
          </w:tcPr>
          <w:p w14:paraId="2867BC99" w14:textId="79774FDF" w:rsidR="009D699D" w:rsidRPr="00F24057" w:rsidRDefault="009D699D" w:rsidP="00D70B34">
            <w:pPr>
              <w:jc w:val="center"/>
              <w:rPr>
                <w:szCs w:val="22"/>
                <w:lang w:val="sr-Latn-ME"/>
              </w:rPr>
            </w:pPr>
            <w:r w:rsidRPr="00F24057">
              <w:rPr>
                <w:szCs w:val="22"/>
                <w:lang w:val="sr-Latn-ME"/>
              </w:rPr>
              <w:t>115</w:t>
            </w:r>
          </w:p>
        </w:tc>
        <w:tc>
          <w:tcPr>
            <w:tcW w:w="608" w:type="pct"/>
            <w:tcBorders>
              <w:top w:val="single" w:sz="4" w:space="0" w:color="auto"/>
              <w:left w:val="single" w:sz="4" w:space="0" w:color="auto"/>
              <w:bottom w:val="single" w:sz="4" w:space="0" w:color="000000"/>
              <w:right w:val="single" w:sz="4" w:space="0" w:color="auto"/>
            </w:tcBorders>
            <w:vAlign w:val="center"/>
          </w:tcPr>
          <w:p w14:paraId="715AE94C" w14:textId="293F34A8" w:rsidR="009D699D" w:rsidRPr="00F24057" w:rsidRDefault="009D699D" w:rsidP="00D70B34">
            <w:pPr>
              <w:jc w:val="center"/>
              <w:rPr>
                <w:szCs w:val="22"/>
                <w:lang w:val="sr-Latn-ME"/>
              </w:rPr>
            </w:pPr>
            <w:r w:rsidRPr="00F24057">
              <w:rPr>
                <w:szCs w:val="22"/>
                <w:lang w:val="sr-Latn-ME"/>
              </w:rPr>
              <w:t>45 (39,1)</w:t>
            </w:r>
          </w:p>
        </w:tc>
        <w:tc>
          <w:tcPr>
            <w:tcW w:w="1309" w:type="pct"/>
            <w:tcBorders>
              <w:top w:val="single" w:sz="4" w:space="0" w:color="auto"/>
              <w:left w:val="single" w:sz="4" w:space="0" w:color="auto"/>
              <w:bottom w:val="single" w:sz="4" w:space="0" w:color="000000"/>
              <w:right w:val="single" w:sz="4" w:space="0" w:color="auto"/>
            </w:tcBorders>
            <w:vAlign w:val="center"/>
          </w:tcPr>
          <w:p w14:paraId="06E42D25" w14:textId="726A4160" w:rsidR="009D699D" w:rsidRPr="00F24057" w:rsidRDefault="009D699D" w:rsidP="00D70B34">
            <w:pPr>
              <w:jc w:val="center"/>
              <w:rPr>
                <w:szCs w:val="22"/>
                <w:lang w:val="sr-Latn-ME"/>
              </w:rPr>
            </w:pPr>
            <w:r w:rsidRPr="00F24057">
              <w:rPr>
                <w:szCs w:val="22"/>
                <w:lang w:val="sr-Latn-ME"/>
              </w:rPr>
              <w:t>NP</w:t>
            </w:r>
            <w:r w:rsidRPr="00F24057">
              <w:rPr>
                <w:szCs w:val="22"/>
                <w:vertAlign w:val="superscript"/>
                <w:lang w:val="sr-Latn-ME"/>
              </w:rPr>
              <w:t>c</w:t>
            </w:r>
          </w:p>
        </w:tc>
        <w:tc>
          <w:tcPr>
            <w:tcW w:w="365" w:type="pct"/>
            <w:tcBorders>
              <w:top w:val="single" w:sz="4" w:space="0" w:color="auto"/>
              <w:left w:val="nil"/>
              <w:bottom w:val="single" w:sz="4" w:space="0" w:color="000000"/>
              <w:right w:val="single" w:sz="4" w:space="0" w:color="auto"/>
            </w:tcBorders>
            <w:vAlign w:val="center"/>
          </w:tcPr>
          <w:p w14:paraId="01FF11A3" w14:textId="77777777" w:rsidR="009D699D" w:rsidRPr="00F24057" w:rsidRDefault="009D699D" w:rsidP="00D70B34">
            <w:pPr>
              <w:jc w:val="center"/>
              <w:rPr>
                <w:szCs w:val="22"/>
                <w:lang w:val="sr-Latn-ME"/>
              </w:rPr>
            </w:pPr>
            <w:r w:rsidRPr="00F24057">
              <w:rPr>
                <w:szCs w:val="22"/>
                <w:lang w:val="sr-Latn-ME"/>
              </w:rPr>
              <w:t>0,57</w:t>
            </w:r>
          </w:p>
        </w:tc>
        <w:tc>
          <w:tcPr>
            <w:tcW w:w="749" w:type="pct"/>
            <w:tcBorders>
              <w:top w:val="single" w:sz="4" w:space="0" w:color="auto"/>
              <w:left w:val="single" w:sz="4" w:space="0" w:color="auto"/>
              <w:bottom w:val="single" w:sz="4" w:space="0" w:color="000000"/>
              <w:right w:val="single" w:sz="4" w:space="0" w:color="auto"/>
            </w:tcBorders>
            <w:vAlign w:val="center"/>
          </w:tcPr>
          <w:p w14:paraId="7AA49691" w14:textId="55B0FDA2" w:rsidR="009D699D" w:rsidRPr="00F24057" w:rsidRDefault="009D699D" w:rsidP="00D70B34">
            <w:pPr>
              <w:jc w:val="center"/>
              <w:rPr>
                <w:szCs w:val="22"/>
                <w:lang w:val="sr-Latn-ME"/>
              </w:rPr>
            </w:pPr>
            <w:r w:rsidRPr="00F24057">
              <w:rPr>
                <w:szCs w:val="22"/>
                <w:lang w:val="sr-Latn-ME"/>
              </w:rPr>
              <w:t>0,39; 0,84</w:t>
            </w:r>
          </w:p>
        </w:tc>
        <w:tc>
          <w:tcPr>
            <w:tcW w:w="693" w:type="pct"/>
            <w:tcBorders>
              <w:top w:val="single" w:sz="4" w:space="0" w:color="auto"/>
              <w:left w:val="single" w:sz="4" w:space="0" w:color="auto"/>
              <w:bottom w:val="single" w:sz="4" w:space="0" w:color="000000"/>
              <w:right w:val="single" w:sz="4" w:space="0" w:color="auto"/>
            </w:tcBorders>
            <w:vAlign w:val="center"/>
          </w:tcPr>
          <w:p w14:paraId="17312660" w14:textId="77777777" w:rsidR="009D699D" w:rsidRPr="00F24057" w:rsidRDefault="009D699D" w:rsidP="00D70B34">
            <w:pPr>
              <w:jc w:val="center"/>
              <w:rPr>
                <w:szCs w:val="22"/>
                <w:lang w:val="sr-Latn-ME"/>
              </w:rPr>
            </w:pPr>
            <w:r w:rsidRPr="00F24057">
              <w:rPr>
                <w:szCs w:val="22"/>
                <w:lang w:val="sr-Latn-ME"/>
              </w:rPr>
              <w:t>0,004</w:t>
            </w:r>
          </w:p>
        </w:tc>
      </w:tr>
    </w:tbl>
    <w:p w14:paraId="49FC44A4" w14:textId="7E7EF9D8" w:rsidR="00DC6B71" w:rsidRPr="00F24057" w:rsidRDefault="00DC6B71" w:rsidP="00D70B34">
      <w:pPr>
        <w:rPr>
          <w:szCs w:val="22"/>
          <w:lang w:val="sr-Latn-ME"/>
        </w:rPr>
      </w:pPr>
      <w:r w:rsidRPr="00F24057">
        <w:rPr>
          <w:szCs w:val="22"/>
          <w:lang w:val="sr-Latn-ME"/>
        </w:rPr>
        <w:t>Napomena: Ne</w:t>
      </w:r>
      <w:r w:rsidR="004F2520" w:rsidRPr="00F24057">
        <w:rPr>
          <w:szCs w:val="22"/>
          <w:lang w:val="sr-Latn-ME"/>
        </w:rPr>
        <w:t>uspje</w:t>
      </w:r>
      <w:r w:rsidRPr="00F24057">
        <w:rPr>
          <w:szCs w:val="22"/>
          <w:lang w:val="sr-Latn-ME"/>
        </w:rPr>
        <w:t xml:space="preserve">h </w:t>
      </w:r>
      <w:r w:rsidR="00885A78" w:rsidRPr="00F24057">
        <w:rPr>
          <w:szCs w:val="22"/>
          <w:lang w:val="sr-Latn-ME"/>
        </w:rPr>
        <w:t>liječenj</w:t>
      </w:r>
      <w:r w:rsidRPr="00F24057">
        <w:rPr>
          <w:szCs w:val="22"/>
          <w:lang w:val="sr-Latn-ME"/>
        </w:rPr>
        <w:t xml:space="preserve">a u 6. </w:t>
      </w:r>
      <w:r w:rsidR="00885A78" w:rsidRPr="00F24057">
        <w:rPr>
          <w:szCs w:val="22"/>
          <w:lang w:val="sr-Latn-ME"/>
        </w:rPr>
        <w:t>nedjelj</w:t>
      </w:r>
      <w:r w:rsidRPr="00F24057">
        <w:rPr>
          <w:szCs w:val="22"/>
          <w:lang w:val="sr-Latn-ME"/>
        </w:rPr>
        <w:t xml:space="preserve">i ili nakon nje (ispitivanje UV I), odnosno u 2. </w:t>
      </w:r>
      <w:r w:rsidR="00885A78" w:rsidRPr="00F24057">
        <w:rPr>
          <w:szCs w:val="22"/>
          <w:lang w:val="sr-Latn-ME"/>
        </w:rPr>
        <w:t>nedjelj</w:t>
      </w:r>
      <w:r w:rsidRPr="00F24057">
        <w:rPr>
          <w:szCs w:val="22"/>
          <w:lang w:val="sr-Latn-ME"/>
        </w:rPr>
        <w:t>i ili nakon nje (ispitivanje UV II) smatrao se događajem. Pacijenti koji su izašli iz ispitivanja zbog razloga koji nisu bili ne</w:t>
      </w:r>
      <w:r w:rsidR="004F2520" w:rsidRPr="00F24057">
        <w:rPr>
          <w:szCs w:val="22"/>
          <w:lang w:val="sr-Latn-ME"/>
        </w:rPr>
        <w:t>uspje</w:t>
      </w:r>
      <w:r w:rsidRPr="00F24057">
        <w:rPr>
          <w:szCs w:val="22"/>
          <w:lang w:val="sr-Latn-ME"/>
        </w:rPr>
        <w:t xml:space="preserve">h </w:t>
      </w:r>
      <w:r w:rsidR="00885A78" w:rsidRPr="00F24057">
        <w:rPr>
          <w:szCs w:val="22"/>
          <w:lang w:val="sr-Latn-ME"/>
        </w:rPr>
        <w:t>liječenj</w:t>
      </w:r>
      <w:r w:rsidRPr="00F24057">
        <w:rPr>
          <w:szCs w:val="22"/>
          <w:lang w:val="sr-Latn-ME"/>
        </w:rPr>
        <w:t xml:space="preserve">a bili su cenzurisani u trenutku izlaska iz ispitivanja. </w:t>
      </w:r>
    </w:p>
    <w:p w14:paraId="14B073FF" w14:textId="00603F98" w:rsidR="00DC6B71" w:rsidRPr="00F24057" w:rsidRDefault="00DC6B71" w:rsidP="00D70B34">
      <w:pPr>
        <w:rPr>
          <w:szCs w:val="22"/>
          <w:lang w:val="sr-Latn-ME"/>
        </w:rPr>
      </w:pPr>
      <w:r w:rsidRPr="00F24057">
        <w:rPr>
          <w:szCs w:val="22"/>
          <w:vertAlign w:val="superscript"/>
          <w:lang w:val="sr-Latn-ME"/>
        </w:rPr>
        <w:t>a</w:t>
      </w:r>
      <w:r w:rsidRPr="00F24057">
        <w:rPr>
          <w:szCs w:val="22"/>
          <w:lang w:val="sr-Latn-ME"/>
        </w:rPr>
        <w:t xml:space="preserve"> HR za adalimumab u odnosu na placebo iz regresije proporcionalnih hazarda, uz </w:t>
      </w:r>
      <w:r w:rsidR="0030064A" w:rsidRPr="00F24057">
        <w:rPr>
          <w:szCs w:val="22"/>
          <w:lang w:val="sr-Latn-ME"/>
        </w:rPr>
        <w:t>liječenje</w:t>
      </w:r>
      <w:r w:rsidRPr="00F24057">
        <w:rPr>
          <w:szCs w:val="22"/>
          <w:lang w:val="sr-Latn-ME"/>
        </w:rPr>
        <w:t xml:space="preserve"> kao faktor. </w:t>
      </w:r>
    </w:p>
    <w:p w14:paraId="5F554DD2" w14:textId="6D07629F" w:rsidR="00DC6B71" w:rsidRPr="00F24057" w:rsidRDefault="00DC6B71" w:rsidP="00D70B34">
      <w:pPr>
        <w:rPr>
          <w:szCs w:val="22"/>
          <w:lang w:val="sr-Latn-ME"/>
        </w:rPr>
      </w:pPr>
      <w:r w:rsidRPr="00F24057">
        <w:rPr>
          <w:szCs w:val="22"/>
          <w:vertAlign w:val="superscript"/>
          <w:lang w:val="sr-Latn-ME"/>
        </w:rPr>
        <w:t>b</w:t>
      </w:r>
      <w:r w:rsidRPr="00F24057">
        <w:rPr>
          <w:szCs w:val="22"/>
          <w:lang w:val="sr-Latn-ME"/>
        </w:rPr>
        <w:t xml:space="preserve"> Dvostrana </w:t>
      </w:r>
      <w:r w:rsidRPr="00F24057">
        <w:rPr>
          <w:i/>
          <w:szCs w:val="22"/>
          <w:lang w:val="sr-Latn-ME"/>
        </w:rPr>
        <w:t>p</w:t>
      </w:r>
      <w:r w:rsidRPr="00F24057">
        <w:rPr>
          <w:szCs w:val="22"/>
          <w:lang w:val="sr-Latn-ME"/>
        </w:rPr>
        <w:t>-</w:t>
      </w:r>
      <w:r w:rsidR="00972894" w:rsidRPr="00F24057">
        <w:rPr>
          <w:szCs w:val="22"/>
          <w:lang w:val="sr-Latn-ME"/>
        </w:rPr>
        <w:t>vrijedno</w:t>
      </w:r>
      <w:r w:rsidRPr="00F24057">
        <w:rPr>
          <w:szCs w:val="22"/>
          <w:lang w:val="sr-Latn-ME"/>
        </w:rPr>
        <w:t>st iz log</w:t>
      </w:r>
      <w:r w:rsidR="00383EFD" w:rsidRPr="00F24057">
        <w:rPr>
          <w:szCs w:val="22"/>
          <w:lang w:val="sr-Latn-ME"/>
        </w:rPr>
        <w:t>-</w:t>
      </w:r>
      <w:r w:rsidRPr="00F24057">
        <w:rPr>
          <w:szCs w:val="22"/>
          <w:lang w:val="sr-Latn-ME"/>
        </w:rPr>
        <w:t xml:space="preserve">rank testa. </w:t>
      </w:r>
    </w:p>
    <w:p w14:paraId="79D0AD82" w14:textId="41650830" w:rsidR="00DC6B71" w:rsidRPr="00F24057" w:rsidRDefault="00DC6B71" w:rsidP="00D70B34">
      <w:pPr>
        <w:rPr>
          <w:szCs w:val="22"/>
          <w:lang w:val="sr-Latn-ME"/>
        </w:rPr>
      </w:pPr>
      <w:r w:rsidRPr="00F24057">
        <w:rPr>
          <w:szCs w:val="22"/>
          <w:vertAlign w:val="superscript"/>
          <w:lang w:val="sr-Latn-ME"/>
        </w:rPr>
        <w:t>c</w:t>
      </w:r>
      <w:r w:rsidRPr="00F24057">
        <w:rPr>
          <w:szCs w:val="22"/>
          <w:lang w:val="sr-Latn-ME"/>
        </w:rPr>
        <w:t xml:space="preserve"> NP = ne može se </w:t>
      </w:r>
      <w:r w:rsidR="00506CC0" w:rsidRPr="00F24057">
        <w:rPr>
          <w:szCs w:val="22"/>
          <w:lang w:val="sr-Latn-ME"/>
        </w:rPr>
        <w:t>procijeniti</w:t>
      </w:r>
      <w:r w:rsidRPr="00F24057">
        <w:rPr>
          <w:szCs w:val="22"/>
          <w:lang w:val="sr-Latn-ME"/>
        </w:rPr>
        <w:t>. Manje od polovine pacijenata pod rizikom imalo je događaj.</w:t>
      </w:r>
    </w:p>
    <w:p w14:paraId="270F6DC5" w14:textId="288523C7" w:rsidR="007E10B1" w:rsidRPr="00F24057" w:rsidRDefault="007E10B1" w:rsidP="00D70B34">
      <w:pPr>
        <w:rPr>
          <w:szCs w:val="22"/>
          <w:lang w:val="sr-Latn-ME"/>
        </w:rPr>
      </w:pPr>
    </w:p>
    <w:p w14:paraId="26E0C651" w14:textId="10B0E92B" w:rsidR="00777C80" w:rsidRPr="00F24057" w:rsidRDefault="005C52DD" w:rsidP="00D70B34">
      <w:pPr>
        <w:rPr>
          <w:b/>
          <w:szCs w:val="22"/>
          <w:lang w:val="sr-Latn-ME"/>
        </w:rPr>
      </w:pPr>
      <w:r w:rsidRPr="00F24057">
        <w:rPr>
          <w:b/>
          <w:szCs w:val="22"/>
          <w:lang w:val="sr-Latn-ME"/>
        </w:rPr>
        <w:lastRenderedPageBreak/>
        <w:t xml:space="preserve">Slika 2: </w:t>
      </w:r>
      <w:r w:rsidRPr="00F24057">
        <w:rPr>
          <w:b/>
          <w:i/>
          <w:iCs/>
          <w:szCs w:val="22"/>
          <w:lang w:val="sr-Latn-ME"/>
        </w:rPr>
        <w:t>Kaplan-Meier</w:t>
      </w:r>
      <w:r w:rsidR="00277701" w:rsidRPr="00F24057">
        <w:rPr>
          <w:b/>
          <w:szCs w:val="22"/>
          <w:lang w:val="sr-Latn-ME"/>
        </w:rPr>
        <w:t>-</w:t>
      </w:r>
      <w:r w:rsidRPr="00F24057">
        <w:rPr>
          <w:b/>
          <w:szCs w:val="22"/>
          <w:lang w:val="sr-Latn-ME"/>
        </w:rPr>
        <w:t xml:space="preserve">ove krive koje sažeto prikazuju </w:t>
      </w:r>
      <w:r w:rsidR="009811CA" w:rsidRPr="00F24057">
        <w:rPr>
          <w:b/>
          <w:szCs w:val="22"/>
          <w:lang w:val="sr-Latn-ME"/>
        </w:rPr>
        <w:t>vr</w:t>
      </w:r>
      <w:r w:rsidR="00D02388" w:rsidRPr="00F24057">
        <w:rPr>
          <w:b/>
          <w:szCs w:val="22"/>
          <w:lang w:val="sr-Latn-ME"/>
        </w:rPr>
        <w:t>ij</w:t>
      </w:r>
      <w:r w:rsidR="009811CA" w:rsidRPr="00F24057">
        <w:rPr>
          <w:b/>
          <w:szCs w:val="22"/>
          <w:lang w:val="sr-Latn-ME"/>
        </w:rPr>
        <w:t>eme</w:t>
      </w:r>
      <w:r w:rsidR="007E5568" w:rsidRPr="00F24057">
        <w:rPr>
          <w:b/>
          <w:szCs w:val="22"/>
          <w:lang w:val="sr-Latn-ME"/>
        </w:rPr>
        <w:t xml:space="preserve"> </w:t>
      </w:r>
      <w:r w:rsidRPr="00F24057">
        <w:rPr>
          <w:b/>
          <w:szCs w:val="22"/>
          <w:lang w:val="sr-Latn-ME"/>
        </w:rPr>
        <w:t>do ne</w:t>
      </w:r>
      <w:r w:rsidR="004F2520" w:rsidRPr="00F24057">
        <w:rPr>
          <w:b/>
          <w:szCs w:val="22"/>
          <w:lang w:val="sr-Latn-ME"/>
        </w:rPr>
        <w:t>uspje</w:t>
      </w:r>
      <w:r w:rsidRPr="00F24057">
        <w:rPr>
          <w:b/>
          <w:szCs w:val="22"/>
          <w:lang w:val="sr-Latn-ME"/>
        </w:rPr>
        <w:t xml:space="preserve">ha </w:t>
      </w:r>
      <w:r w:rsidR="00885A78" w:rsidRPr="00F24057">
        <w:rPr>
          <w:b/>
          <w:szCs w:val="22"/>
          <w:lang w:val="sr-Latn-ME"/>
        </w:rPr>
        <w:t>liječenj</w:t>
      </w:r>
      <w:r w:rsidRPr="00F24057">
        <w:rPr>
          <w:b/>
          <w:szCs w:val="22"/>
          <w:lang w:val="sr-Latn-ME"/>
        </w:rPr>
        <w:t xml:space="preserve">a u 6. </w:t>
      </w:r>
      <w:r w:rsidR="00885A78" w:rsidRPr="00F24057">
        <w:rPr>
          <w:b/>
          <w:szCs w:val="22"/>
          <w:lang w:val="sr-Latn-ME"/>
        </w:rPr>
        <w:t>nedjelj</w:t>
      </w:r>
      <w:r w:rsidRPr="00F24057">
        <w:rPr>
          <w:b/>
          <w:szCs w:val="22"/>
          <w:lang w:val="sr-Latn-ME"/>
        </w:rPr>
        <w:t xml:space="preserve">i ili nakon toga (ispitivanje UV I) odnosno u 2. </w:t>
      </w:r>
      <w:r w:rsidR="00885A78" w:rsidRPr="00F24057">
        <w:rPr>
          <w:b/>
          <w:szCs w:val="22"/>
          <w:lang w:val="sr-Latn-ME"/>
        </w:rPr>
        <w:t>nedjelj</w:t>
      </w:r>
      <w:r w:rsidRPr="00F24057">
        <w:rPr>
          <w:b/>
          <w:szCs w:val="22"/>
          <w:lang w:val="sr-Latn-ME"/>
        </w:rPr>
        <w:t>i ili nakon toga (ispitivanje UV II)</w:t>
      </w:r>
    </w:p>
    <w:p w14:paraId="57A80C4F" w14:textId="27A166F7" w:rsidR="00777C80" w:rsidRPr="00F24057" w:rsidRDefault="0013068B" w:rsidP="00D70B34">
      <w:pPr>
        <w:rPr>
          <w:szCs w:val="22"/>
          <w:lang w:val="sr-Latn-ME"/>
        </w:rPr>
      </w:pPr>
      <w:r w:rsidRPr="00F24057">
        <w:rPr>
          <w:b/>
          <w:bCs/>
          <w:noProof/>
          <w:szCs w:val="22"/>
        </w:rPr>
        <w:drawing>
          <wp:inline distT="0" distB="0" distL="0" distR="0" wp14:anchorId="75F7DFF4" wp14:editId="5B7AB033">
            <wp:extent cx="4505325" cy="4064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1316" cy="4078537"/>
                    </a:xfrm>
                    <a:prstGeom prst="rect">
                      <a:avLst/>
                    </a:prstGeom>
                    <a:noFill/>
                    <a:ln>
                      <a:noFill/>
                    </a:ln>
                  </pic:spPr>
                </pic:pic>
              </a:graphicData>
            </a:graphic>
          </wp:inline>
        </w:drawing>
      </w:r>
    </w:p>
    <w:p w14:paraId="78C6F09B" w14:textId="03096EB6" w:rsidR="00777C80" w:rsidRPr="00F24057" w:rsidRDefault="00777C80" w:rsidP="00D70B34">
      <w:pPr>
        <w:rPr>
          <w:szCs w:val="22"/>
          <w:lang w:val="sr-Latn-ME"/>
        </w:rPr>
      </w:pPr>
    </w:p>
    <w:p w14:paraId="6C76933D" w14:textId="2947C56D" w:rsidR="00E821C7" w:rsidRPr="00F24057" w:rsidRDefault="00E821C7" w:rsidP="00D70B34">
      <w:pPr>
        <w:ind w:left="-5"/>
        <w:rPr>
          <w:szCs w:val="22"/>
          <w:lang w:val="sr-Latn-ME"/>
        </w:rPr>
      </w:pPr>
      <w:r w:rsidRPr="00F24057">
        <w:rPr>
          <w:szCs w:val="22"/>
          <w:lang w:val="sr-Latn-ME"/>
        </w:rPr>
        <w:t xml:space="preserve">Napomena: P# = Placebo (broj događaja/broj pacijenata pod rizikom); A# = Adalimumab (broj događaja/broj pacijenata pod rizikom). </w:t>
      </w:r>
    </w:p>
    <w:p w14:paraId="416DB7BF" w14:textId="77777777" w:rsidR="00E821C7" w:rsidRPr="00F24057" w:rsidRDefault="00E821C7" w:rsidP="00D70B34">
      <w:pPr>
        <w:ind w:left="-5"/>
        <w:rPr>
          <w:szCs w:val="22"/>
          <w:lang w:val="sr-Latn-ME"/>
        </w:rPr>
      </w:pPr>
    </w:p>
    <w:p w14:paraId="1BFB860C" w14:textId="3B0A74C9" w:rsidR="00E821C7" w:rsidRPr="00F24057" w:rsidRDefault="00E821C7" w:rsidP="00D70B34">
      <w:pPr>
        <w:ind w:left="-5"/>
        <w:rPr>
          <w:szCs w:val="22"/>
          <w:lang w:val="sr-Latn-ME"/>
        </w:rPr>
      </w:pPr>
      <w:r w:rsidRPr="00F24057">
        <w:rPr>
          <w:szCs w:val="22"/>
          <w:lang w:val="sr-Latn-ME"/>
        </w:rPr>
        <w:t xml:space="preserve">U ispitivanju UV I </w:t>
      </w:r>
      <w:r w:rsidR="00911D74" w:rsidRPr="00F24057">
        <w:rPr>
          <w:szCs w:val="22"/>
          <w:lang w:val="sr-Latn-ME"/>
        </w:rPr>
        <w:t>primijećene</w:t>
      </w:r>
      <w:r w:rsidRPr="00F24057">
        <w:rPr>
          <w:szCs w:val="22"/>
          <w:lang w:val="sr-Latn-ME"/>
        </w:rPr>
        <w:t xml:space="preserve"> su statistički značajne razlike u korist adalimumaba naspram placeba za svaku komponentu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 xml:space="preserve">a. U ispitivanju UV II, statistički značajne razlike </w:t>
      </w:r>
      <w:r w:rsidR="00911D74" w:rsidRPr="00F24057">
        <w:rPr>
          <w:szCs w:val="22"/>
          <w:lang w:val="sr-Latn-ME"/>
        </w:rPr>
        <w:t>primijećene</w:t>
      </w:r>
      <w:r w:rsidRPr="00F24057">
        <w:rPr>
          <w:szCs w:val="22"/>
          <w:lang w:val="sr-Latn-ME"/>
        </w:rPr>
        <w:t xml:space="preserve"> su samo za oštrinu vida, ali su druge komponente brojčano bile u korist adalimumaba. </w:t>
      </w:r>
    </w:p>
    <w:p w14:paraId="6ACFF6BE" w14:textId="77777777" w:rsidR="00277701" w:rsidRPr="00F24057" w:rsidRDefault="00277701" w:rsidP="00D70B34">
      <w:pPr>
        <w:ind w:left="-5"/>
        <w:jc w:val="left"/>
        <w:rPr>
          <w:szCs w:val="22"/>
          <w:lang w:val="sr-Latn-ME"/>
        </w:rPr>
      </w:pPr>
    </w:p>
    <w:p w14:paraId="1B5229A4" w14:textId="0B3D7109" w:rsidR="00E821C7" w:rsidRPr="00F24057" w:rsidRDefault="00E821C7" w:rsidP="00D70B34">
      <w:pPr>
        <w:ind w:left="-5"/>
        <w:rPr>
          <w:szCs w:val="22"/>
          <w:lang w:val="sr-Latn-ME"/>
        </w:rPr>
      </w:pPr>
      <w:r w:rsidRPr="00F24057">
        <w:rPr>
          <w:szCs w:val="22"/>
          <w:lang w:val="sr-Latn-ME"/>
        </w:rPr>
        <w:t>Od ukupno 4</w:t>
      </w:r>
      <w:r w:rsidR="008142A2" w:rsidRPr="00F24057">
        <w:rPr>
          <w:szCs w:val="22"/>
          <w:lang w:val="sr-Latn-ME"/>
        </w:rPr>
        <w:t>24</w:t>
      </w:r>
      <w:r w:rsidRPr="00F24057">
        <w:rPr>
          <w:szCs w:val="22"/>
          <w:lang w:val="sr-Latn-ME"/>
        </w:rPr>
        <w:t xml:space="preserve"> ispitanika uključenih u nekontrolisani dugoročni produžetak ispitivanja UV I i UV II, </w:t>
      </w:r>
      <w:r w:rsidR="009F1262" w:rsidRPr="00F24057">
        <w:rPr>
          <w:szCs w:val="22"/>
          <w:lang w:val="sr-Latn-ME"/>
        </w:rPr>
        <w:t>60</w:t>
      </w:r>
      <w:r w:rsidRPr="00F24057">
        <w:rPr>
          <w:szCs w:val="22"/>
          <w:lang w:val="sr-Latn-ME"/>
        </w:rPr>
        <w:t xml:space="preserve"> ispitanika je smatrano nepodobnim (npr. kod njih su se razvile komplikacije kao posl</w:t>
      </w:r>
      <w:r w:rsidR="00972894" w:rsidRPr="00F24057">
        <w:rPr>
          <w:szCs w:val="22"/>
          <w:lang w:val="sr-Latn-ME"/>
        </w:rPr>
        <w:t>j</w:t>
      </w:r>
      <w:r w:rsidRPr="00F24057">
        <w:rPr>
          <w:szCs w:val="22"/>
          <w:lang w:val="sr-Latn-ME"/>
        </w:rPr>
        <w:t>edica dijabetične retinopatije, zbog operacije katarakte ili vitrektomije) i zato nisu bili uključeni u primarnu analizu efikasnosti. Od preostalog 3</w:t>
      </w:r>
      <w:r w:rsidR="00567A48" w:rsidRPr="00F24057">
        <w:rPr>
          <w:szCs w:val="22"/>
          <w:lang w:val="sr-Latn-ME"/>
        </w:rPr>
        <w:t>64</w:t>
      </w:r>
      <w:r w:rsidRPr="00F24057">
        <w:rPr>
          <w:szCs w:val="22"/>
          <w:lang w:val="sr-Latn-ME"/>
        </w:rPr>
        <w:t xml:space="preserve"> pacijenta, 2</w:t>
      </w:r>
      <w:r w:rsidR="00567A48" w:rsidRPr="00F24057">
        <w:rPr>
          <w:szCs w:val="22"/>
          <w:lang w:val="sr-Latn-ME"/>
        </w:rPr>
        <w:t>69</w:t>
      </w:r>
      <w:r w:rsidRPr="00F24057">
        <w:rPr>
          <w:szCs w:val="22"/>
          <w:lang w:val="sr-Latn-ME"/>
        </w:rPr>
        <w:t xml:space="preserve"> oc</w:t>
      </w:r>
      <w:r w:rsidR="00FF3128" w:rsidRPr="00F24057">
        <w:rPr>
          <w:szCs w:val="22"/>
          <w:lang w:val="sr-Latn-ME"/>
        </w:rPr>
        <w:t>j</w:t>
      </w:r>
      <w:r w:rsidRPr="00F24057">
        <w:rPr>
          <w:szCs w:val="22"/>
          <w:lang w:val="sr-Latn-ME"/>
        </w:rPr>
        <w:t xml:space="preserve">enjivih pacijenata </w:t>
      </w:r>
      <w:r w:rsidR="00567A48" w:rsidRPr="00F24057">
        <w:rPr>
          <w:szCs w:val="22"/>
          <w:lang w:val="sr-Latn-ME"/>
        </w:rPr>
        <w:t xml:space="preserve">(74%) </w:t>
      </w:r>
      <w:r w:rsidRPr="00F24057">
        <w:rPr>
          <w:szCs w:val="22"/>
          <w:lang w:val="sr-Latn-ME"/>
        </w:rPr>
        <w:t xml:space="preserve">učestvovalo je u otvorenom </w:t>
      </w:r>
      <w:r w:rsidR="00885A78" w:rsidRPr="00F24057">
        <w:rPr>
          <w:szCs w:val="22"/>
          <w:lang w:val="sr-Latn-ME"/>
        </w:rPr>
        <w:t>liječenj</w:t>
      </w:r>
      <w:r w:rsidRPr="00F24057">
        <w:rPr>
          <w:szCs w:val="22"/>
          <w:lang w:val="sr-Latn-ME"/>
        </w:rPr>
        <w:t xml:space="preserve">u adalimumabom tokom 78 </w:t>
      </w:r>
      <w:r w:rsidR="00885A78" w:rsidRPr="00F24057">
        <w:rPr>
          <w:szCs w:val="22"/>
          <w:lang w:val="sr-Latn-ME"/>
        </w:rPr>
        <w:t>nedjelj</w:t>
      </w:r>
      <w:r w:rsidRPr="00F24057">
        <w:rPr>
          <w:szCs w:val="22"/>
          <w:lang w:val="sr-Latn-ME"/>
        </w:rPr>
        <w:t>a. Prema pristupu zasnovanom na zapaženim podacima, kod 2</w:t>
      </w:r>
      <w:r w:rsidR="009B24E6" w:rsidRPr="00F24057">
        <w:rPr>
          <w:szCs w:val="22"/>
          <w:lang w:val="sr-Latn-ME"/>
        </w:rPr>
        <w:t>16</w:t>
      </w:r>
      <w:r w:rsidRPr="00F24057">
        <w:rPr>
          <w:szCs w:val="22"/>
          <w:lang w:val="sr-Latn-ME"/>
        </w:rPr>
        <w:t xml:space="preserve"> (80,</w:t>
      </w:r>
      <w:r w:rsidR="009B24E6" w:rsidRPr="00F24057">
        <w:rPr>
          <w:szCs w:val="22"/>
          <w:lang w:val="sr-Latn-ME"/>
        </w:rPr>
        <w:t>3</w:t>
      </w:r>
      <w:r w:rsidRPr="00F24057">
        <w:rPr>
          <w:szCs w:val="22"/>
          <w:lang w:val="sr-Latn-ME"/>
        </w:rPr>
        <w:t xml:space="preserve">%) pacijenta bolest je bila u mirovanju (bez aktivnih inflamatornih lezija, stepen prema broju ćelija u prednjoj očnoj komori (engl. </w:t>
      </w:r>
      <w:r w:rsidRPr="00F24057">
        <w:rPr>
          <w:i/>
          <w:szCs w:val="22"/>
          <w:lang w:val="sr-Latn-ME"/>
        </w:rPr>
        <w:t xml:space="preserve">anterior chamber </w:t>
      </w:r>
      <w:r w:rsidRPr="00F24057">
        <w:rPr>
          <w:szCs w:val="22"/>
          <w:lang w:val="sr-Latn-ME"/>
        </w:rPr>
        <w:t xml:space="preserve">[AC] </w:t>
      </w:r>
      <w:r w:rsidRPr="00F24057">
        <w:rPr>
          <w:i/>
          <w:szCs w:val="22"/>
          <w:lang w:val="sr-Latn-ME"/>
        </w:rPr>
        <w:t>cell grade</w:t>
      </w:r>
      <w:r w:rsidRPr="00F24057">
        <w:rPr>
          <w:szCs w:val="22"/>
          <w:lang w:val="sr-Latn-ME"/>
        </w:rPr>
        <w:t>)</w:t>
      </w:r>
      <w:r w:rsidR="00E85EE3" w:rsidRPr="00F24057">
        <w:rPr>
          <w:szCs w:val="22"/>
          <w:lang w:val="sr-Latn-ME"/>
        </w:rPr>
        <w:t xml:space="preserve"> </w:t>
      </w:r>
      <w:r w:rsidRPr="00F24057">
        <w:rPr>
          <w:szCs w:val="22"/>
          <w:lang w:val="sr-Latn-ME"/>
        </w:rPr>
        <w:t xml:space="preserve">≤ 0,5 +, stepen zamućenja staklastog tela (engl. </w:t>
      </w:r>
      <w:r w:rsidRPr="00F24057">
        <w:rPr>
          <w:i/>
          <w:szCs w:val="22"/>
          <w:lang w:val="sr-Latn-ME"/>
        </w:rPr>
        <w:t xml:space="preserve">vitreous haze </w:t>
      </w:r>
      <w:r w:rsidRPr="00F24057">
        <w:rPr>
          <w:szCs w:val="22"/>
          <w:lang w:val="sr-Latn-ME"/>
        </w:rPr>
        <w:t xml:space="preserve">[VH] </w:t>
      </w:r>
      <w:r w:rsidRPr="00F24057">
        <w:rPr>
          <w:i/>
          <w:szCs w:val="22"/>
          <w:lang w:val="sr-Latn-ME"/>
        </w:rPr>
        <w:t>grade</w:t>
      </w:r>
      <w:r w:rsidRPr="00F24057">
        <w:rPr>
          <w:szCs w:val="22"/>
          <w:lang w:val="sr-Latn-ME"/>
        </w:rPr>
        <w:t xml:space="preserve">) ≤ 0,5+) uz istovremenu </w:t>
      </w:r>
      <w:r w:rsidR="0030064A" w:rsidRPr="00F24057">
        <w:rPr>
          <w:szCs w:val="22"/>
          <w:lang w:val="sr-Latn-ME"/>
        </w:rPr>
        <w:t>primjen</w:t>
      </w:r>
      <w:r w:rsidRPr="00F24057">
        <w:rPr>
          <w:szCs w:val="22"/>
          <w:lang w:val="sr-Latn-ME"/>
        </w:rPr>
        <w:t>u steroida u dozi od ≤ 7,5 mg na dan, dok je kod njih 1</w:t>
      </w:r>
      <w:r w:rsidR="00FF2260" w:rsidRPr="00F24057">
        <w:rPr>
          <w:szCs w:val="22"/>
          <w:lang w:val="sr-Latn-ME"/>
        </w:rPr>
        <w:t>78</w:t>
      </w:r>
      <w:r w:rsidRPr="00F24057">
        <w:rPr>
          <w:szCs w:val="22"/>
          <w:lang w:val="sr-Latn-ME"/>
        </w:rPr>
        <w:t xml:space="preserve"> (66,</w:t>
      </w:r>
      <w:r w:rsidR="00FF2260" w:rsidRPr="00F24057">
        <w:rPr>
          <w:szCs w:val="22"/>
          <w:lang w:val="sr-Latn-ME"/>
        </w:rPr>
        <w:t>2</w:t>
      </w:r>
      <w:r w:rsidRPr="00F24057">
        <w:rPr>
          <w:szCs w:val="22"/>
          <w:lang w:val="sr-Latn-ME"/>
        </w:rPr>
        <w:t xml:space="preserve">%) bolest bila u mirovanju bez </w:t>
      </w:r>
      <w:r w:rsidR="0030064A" w:rsidRPr="00F24057">
        <w:rPr>
          <w:szCs w:val="22"/>
          <w:lang w:val="sr-Latn-ME"/>
        </w:rPr>
        <w:t>primjen</w:t>
      </w:r>
      <w:r w:rsidRPr="00F24057">
        <w:rPr>
          <w:szCs w:val="22"/>
          <w:lang w:val="sr-Latn-ME"/>
        </w:rPr>
        <w:t xml:space="preserve">e steroida. U 78. </w:t>
      </w:r>
      <w:r w:rsidR="00885A78" w:rsidRPr="00F24057">
        <w:rPr>
          <w:szCs w:val="22"/>
          <w:lang w:val="sr-Latn-ME"/>
        </w:rPr>
        <w:t>nedjelj</w:t>
      </w:r>
      <w:r w:rsidRPr="00F24057">
        <w:rPr>
          <w:szCs w:val="22"/>
          <w:lang w:val="sr-Latn-ME"/>
        </w:rPr>
        <w:t xml:space="preserve">i najbolja korigovana oštrina vida (engl. </w:t>
      </w:r>
      <w:r w:rsidRPr="00F24057">
        <w:rPr>
          <w:i/>
          <w:szCs w:val="22"/>
          <w:lang w:val="sr-Latn-ME"/>
        </w:rPr>
        <w:t>best corrected visual acuity</w:t>
      </w:r>
      <w:r w:rsidRPr="00F24057">
        <w:rPr>
          <w:szCs w:val="22"/>
          <w:lang w:val="sr-Latn-ME"/>
        </w:rPr>
        <w:t>, BCVA) se ili poboljšala ili održala na istom nivou (pogoršanje za &lt; 5 slova) kod 88,</w:t>
      </w:r>
      <w:r w:rsidR="00FF2260" w:rsidRPr="00F24057">
        <w:rPr>
          <w:szCs w:val="22"/>
          <w:lang w:val="sr-Latn-ME"/>
        </w:rPr>
        <w:t>6</w:t>
      </w:r>
      <w:r w:rsidRPr="00F24057">
        <w:rPr>
          <w:szCs w:val="22"/>
          <w:lang w:val="sr-Latn-ME"/>
        </w:rPr>
        <w:t xml:space="preserve">% očiju. </w:t>
      </w:r>
      <w:r w:rsidR="00BC030F" w:rsidRPr="00F24057">
        <w:rPr>
          <w:szCs w:val="22"/>
          <w:lang w:val="sr-Latn-ME"/>
        </w:rPr>
        <w:t>Podaci za peri</w:t>
      </w:r>
      <w:r w:rsidR="009C499B" w:rsidRPr="00F24057">
        <w:rPr>
          <w:szCs w:val="22"/>
          <w:lang w:val="sr-Latn-ME"/>
        </w:rPr>
        <w:t>od</w:t>
      </w:r>
      <w:r w:rsidR="00BC030F" w:rsidRPr="00F24057">
        <w:rPr>
          <w:szCs w:val="22"/>
          <w:lang w:val="sr-Latn-ME"/>
        </w:rPr>
        <w:t xml:space="preserve"> posle 78</w:t>
      </w:r>
      <w:r w:rsidR="00093015" w:rsidRPr="00F24057">
        <w:rPr>
          <w:szCs w:val="22"/>
          <w:lang w:val="sr-Latn-ME"/>
        </w:rPr>
        <w:t xml:space="preserve">. </w:t>
      </w:r>
      <w:r w:rsidR="00885A78" w:rsidRPr="00F24057">
        <w:rPr>
          <w:szCs w:val="22"/>
          <w:lang w:val="sr-Latn-ME"/>
        </w:rPr>
        <w:t>nedjelj</w:t>
      </w:r>
      <w:r w:rsidR="00093015" w:rsidRPr="00F24057">
        <w:rPr>
          <w:szCs w:val="22"/>
          <w:lang w:val="sr-Latn-ME"/>
        </w:rPr>
        <w:t>e bi</w:t>
      </w:r>
      <w:r w:rsidR="00237521" w:rsidRPr="00F24057">
        <w:rPr>
          <w:szCs w:val="22"/>
          <w:lang w:val="sr-Latn-ME"/>
        </w:rPr>
        <w:t>li</w:t>
      </w:r>
      <w:r w:rsidR="00093015" w:rsidRPr="00F24057">
        <w:rPr>
          <w:szCs w:val="22"/>
          <w:lang w:val="sr-Latn-ME"/>
        </w:rPr>
        <w:t xml:space="preserve"> </w:t>
      </w:r>
      <w:r w:rsidR="00237521" w:rsidRPr="00F24057">
        <w:rPr>
          <w:szCs w:val="22"/>
          <w:lang w:val="sr-Latn-ME"/>
        </w:rPr>
        <w:t>su</w:t>
      </w:r>
      <w:r w:rsidR="00093015" w:rsidRPr="00F24057">
        <w:rPr>
          <w:szCs w:val="22"/>
          <w:lang w:val="sr-Latn-ME"/>
        </w:rPr>
        <w:t xml:space="preserve"> konzistentn</w:t>
      </w:r>
      <w:r w:rsidR="00237521" w:rsidRPr="00F24057">
        <w:rPr>
          <w:szCs w:val="22"/>
          <w:lang w:val="sr-Latn-ME"/>
        </w:rPr>
        <w:t>i</w:t>
      </w:r>
      <w:r w:rsidR="00093015" w:rsidRPr="00F24057">
        <w:rPr>
          <w:szCs w:val="22"/>
          <w:lang w:val="sr-Latn-ME"/>
        </w:rPr>
        <w:t xml:space="preserve"> sa ovim rezultatima</w:t>
      </w:r>
      <w:r w:rsidR="00820408" w:rsidRPr="00F24057">
        <w:rPr>
          <w:szCs w:val="22"/>
          <w:lang w:val="sr-Latn-ME"/>
        </w:rPr>
        <w:t xml:space="preserve">, ali se broj ispitanika smanjio posle </w:t>
      </w:r>
      <w:r w:rsidR="009C499B" w:rsidRPr="00F24057">
        <w:rPr>
          <w:szCs w:val="22"/>
          <w:lang w:val="sr-Latn-ME"/>
        </w:rPr>
        <w:t>ovog perioda.</w:t>
      </w:r>
      <w:r w:rsidR="00237521" w:rsidRPr="00F24057">
        <w:rPr>
          <w:szCs w:val="22"/>
          <w:lang w:val="sr-Latn-ME"/>
        </w:rPr>
        <w:t xml:space="preserve"> </w:t>
      </w:r>
      <w:r w:rsidRPr="00F24057">
        <w:rPr>
          <w:szCs w:val="22"/>
          <w:lang w:val="sr-Latn-ME"/>
        </w:rPr>
        <w:t>Među pacijentima koji su prekinuli učešće u ispitivanju</w:t>
      </w:r>
      <w:r w:rsidR="00C60A63" w:rsidRPr="00F24057">
        <w:rPr>
          <w:szCs w:val="22"/>
          <w:lang w:val="sr-Latn-ME"/>
        </w:rPr>
        <w:t xml:space="preserve">, </w:t>
      </w:r>
      <w:r w:rsidRPr="00F24057">
        <w:rPr>
          <w:szCs w:val="22"/>
          <w:lang w:val="sr-Latn-ME"/>
        </w:rPr>
        <w:t>njih 1</w:t>
      </w:r>
      <w:r w:rsidR="00F30922" w:rsidRPr="00F24057">
        <w:rPr>
          <w:szCs w:val="22"/>
          <w:lang w:val="sr-Latn-ME"/>
        </w:rPr>
        <w:t>8</w:t>
      </w:r>
      <w:r w:rsidRPr="00F24057">
        <w:rPr>
          <w:szCs w:val="22"/>
          <w:lang w:val="sr-Latn-ME"/>
        </w:rPr>
        <w:t xml:space="preserve">% to je učinilo zbog neželjenih dejstava, a njih </w:t>
      </w:r>
      <w:r w:rsidR="00F30922" w:rsidRPr="00F24057">
        <w:rPr>
          <w:szCs w:val="22"/>
          <w:lang w:val="sr-Latn-ME"/>
        </w:rPr>
        <w:t>8</w:t>
      </w:r>
      <w:r w:rsidRPr="00F24057">
        <w:rPr>
          <w:szCs w:val="22"/>
          <w:lang w:val="sr-Latn-ME"/>
        </w:rPr>
        <w:t xml:space="preserve">% zbog nedovoljno dobrog odgovora na </w:t>
      </w:r>
      <w:r w:rsidR="0030064A" w:rsidRPr="00F24057">
        <w:rPr>
          <w:szCs w:val="22"/>
          <w:lang w:val="sr-Latn-ME"/>
        </w:rPr>
        <w:t>liječenje</w:t>
      </w:r>
      <w:r w:rsidRPr="00F24057">
        <w:rPr>
          <w:szCs w:val="22"/>
          <w:lang w:val="sr-Latn-ME"/>
        </w:rPr>
        <w:t xml:space="preserve"> adalimumabom.</w:t>
      </w:r>
    </w:p>
    <w:p w14:paraId="112ADC02" w14:textId="77777777" w:rsidR="00277701" w:rsidRPr="00F24057" w:rsidRDefault="00277701" w:rsidP="00D70B34">
      <w:pPr>
        <w:rPr>
          <w:i/>
          <w:szCs w:val="22"/>
          <w:u w:val="single"/>
          <w:lang w:val="sr-Latn-ME"/>
        </w:rPr>
      </w:pPr>
    </w:p>
    <w:p w14:paraId="7A95766A" w14:textId="4739D846" w:rsidR="00DB6179" w:rsidRPr="00F24057" w:rsidRDefault="00DB6179" w:rsidP="00D70B34">
      <w:pPr>
        <w:rPr>
          <w:i/>
          <w:szCs w:val="22"/>
          <w:lang w:val="sr-Latn-ME"/>
        </w:rPr>
      </w:pPr>
      <w:r w:rsidRPr="00F24057">
        <w:rPr>
          <w:i/>
          <w:szCs w:val="22"/>
          <w:u w:val="single"/>
          <w:lang w:val="sr-Latn-ME"/>
        </w:rPr>
        <w:t>Kvalitet života</w:t>
      </w:r>
      <w:r w:rsidRPr="00F24057">
        <w:rPr>
          <w:i/>
          <w:szCs w:val="22"/>
          <w:lang w:val="sr-Latn-ME"/>
        </w:rPr>
        <w:t xml:space="preserve"> </w:t>
      </w:r>
    </w:p>
    <w:p w14:paraId="52ECC056" w14:textId="18474E4B" w:rsidR="00DB6179" w:rsidRPr="00F24057" w:rsidRDefault="00DB6179" w:rsidP="00D70B34">
      <w:pPr>
        <w:rPr>
          <w:szCs w:val="22"/>
          <w:lang w:val="sr-Latn-ME"/>
        </w:rPr>
      </w:pPr>
      <w:r w:rsidRPr="00F24057">
        <w:rPr>
          <w:szCs w:val="22"/>
          <w:lang w:val="sr-Latn-ME"/>
        </w:rPr>
        <w:t xml:space="preserve">U oba klinička ispitivanja upitnikom NEI VFQ-25 su se određivali ishodi s obzirom na funkcionisanje povezano sa vidom koje su prijavljivali pacijenti. Većina podrezultata brojčano je išla u prilog adalimumabu, a srednje </w:t>
      </w:r>
      <w:r w:rsidR="00972894" w:rsidRPr="00F24057">
        <w:rPr>
          <w:szCs w:val="22"/>
          <w:lang w:val="sr-Latn-ME"/>
        </w:rPr>
        <w:t>vrijedno</w:t>
      </w:r>
      <w:r w:rsidRPr="00F24057">
        <w:rPr>
          <w:szCs w:val="22"/>
          <w:lang w:val="sr-Latn-ME"/>
        </w:rPr>
        <w:t xml:space="preserve">sti razlike bile su statistički značajne za opšti vid, bol u oku, vid na </w:t>
      </w:r>
      <w:r w:rsidRPr="00F24057">
        <w:rPr>
          <w:szCs w:val="22"/>
          <w:lang w:val="sr-Latn-ME"/>
        </w:rPr>
        <w:lastRenderedPageBreak/>
        <w:t xml:space="preserve">blizinu, mentalno zdravlje i ukupan rezultat u ispitivanju UV I, kao i za opšti vid i mentalno zdravlje u ispitivanju UV II. Efekti povezani sa vidom koji nisu brojčano išli u prilog adalimumabu bili su efekti na vid u boji u ispitivanju UV I, odnosno efekti na vid u boji, periferni vid i vid na blizinu u ispitivanju UV II. </w:t>
      </w:r>
    </w:p>
    <w:p w14:paraId="1BE8EE19" w14:textId="5202EE7B" w:rsidR="00777C80" w:rsidRPr="00F24057" w:rsidRDefault="00777C80" w:rsidP="00D70B34">
      <w:pPr>
        <w:rPr>
          <w:szCs w:val="22"/>
          <w:lang w:val="sr-Latn-ME"/>
        </w:rPr>
      </w:pPr>
    </w:p>
    <w:p w14:paraId="2570B0A9" w14:textId="60A0204E" w:rsidR="00C461A9" w:rsidRPr="00F24057" w:rsidRDefault="00C461A9" w:rsidP="00D70B34">
      <w:pPr>
        <w:rPr>
          <w:szCs w:val="22"/>
          <w:lang w:val="sr-Latn-ME"/>
        </w:rPr>
      </w:pPr>
      <w:r w:rsidRPr="00F24057">
        <w:rPr>
          <w:szCs w:val="22"/>
          <w:u w:val="single"/>
          <w:lang w:val="sr-Latn-ME"/>
        </w:rPr>
        <w:t>Imunogenost</w:t>
      </w:r>
      <w:r w:rsidRPr="00F24057">
        <w:rPr>
          <w:szCs w:val="22"/>
          <w:lang w:val="sr-Latn-ME"/>
        </w:rPr>
        <w:t xml:space="preserve"> </w:t>
      </w:r>
    </w:p>
    <w:p w14:paraId="7A04449F" w14:textId="77777777" w:rsidR="00C461A9" w:rsidRPr="00F24057" w:rsidRDefault="00C461A9" w:rsidP="00D70B34">
      <w:pPr>
        <w:rPr>
          <w:szCs w:val="22"/>
          <w:lang w:val="sr-Latn-ME"/>
        </w:rPr>
      </w:pPr>
    </w:p>
    <w:p w14:paraId="5583B468" w14:textId="20D32BAD" w:rsidR="00777C80" w:rsidRPr="00F24057" w:rsidRDefault="00C461A9" w:rsidP="00D70B34">
      <w:pPr>
        <w:rPr>
          <w:szCs w:val="22"/>
          <w:lang w:val="sr-Latn-ME"/>
        </w:rPr>
      </w:pPr>
      <w:r w:rsidRPr="00F24057">
        <w:rPr>
          <w:szCs w:val="22"/>
          <w:lang w:val="sr-Latn-ME"/>
        </w:rPr>
        <w:t xml:space="preserve">Tokom </w:t>
      </w:r>
      <w:r w:rsidR="00885A78" w:rsidRPr="00F24057">
        <w:rPr>
          <w:szCs w:val="22"/>
          <w:lang w:val="sr-Latn-ME"/>
        </w:rPr>
        <w:t>liječenj</w:t>
      </w:r>
      <w:r w:rsidRPr="00F24057">
        <w:rPr>
          <w:szCs w:val="22"/>
          <w:lang w:val="sr-Latn-ME"/>
        </w:rPr>
        <w:t xml:space="preserve">a adalimumabom mogu se razviti </w:t>
      </w:r>
      <w:r w:rsidR="00AA29FD" w:rsidRPr="00F24057">
        <w:rPr>
          <w:szCs w:val="22"/>
          <w:lang w:val="sr-Latn-ME"/>
        </w:rPr>
        <w:t>antitijel</w:t>
      </w:r>
      <w:r w:rsidRPr="00F24057">
        <w:rPr>
          <w:szCs w:val="22"/>
          <w:lang w:val="sr-Latn-ME"/>
        </w:rPr>
        <w:t xml:space="preserve">a na adalimumab. Stvaranje </w:t>
      </w:r>
      <w:r w:rsidR="00AA29FD" w:rsidRPr="00F24057">
        <w:rPr>
          <w:szCs w:val="22"/>
          <w:lang w:val="sr-Latn-ME"/>
        </w:rPr>
        <w:t>antitijel</w:t>
      </w:r>
      <w:r w:rsidRPr="00F24057">
        <w:rPr>
          <w:szCs w:val="22"/>
          <w:lang w:val="sr-Latn-ME"/>
        </w:rPr>
        <w:t xml:space="preserve">a na adalimumab povezano je sa bržim klirensom i smanjenom efikasnošću adalimumaba. Nema očigledne korelacije između prisustva </w:t>
      </w:r>
      <w:r w:rsidR="00AA29FD" w:rsidRPr="00F24057">
        <w:rPr>
          <w:szCs w:val="22"/>
          <w:lang w:val="sr-Latn-ME"/>
        </w:rPr>
        <w:t>antitijel</w:t>
      </w:r>
      <w:r w:rsidRPr="00F24057">
        <w:rPr>
          <w:szCs w:val="22"/>
          <w:lang w:val="sr-Latn-ME"/>
        </w:rPr>
        <w:t xml:space="preserve">a na adalimumab sa pojavom neželjenih događaja. </w:t>
      </w:r>
    </w:p>
    <w:p w14:paraId="5AC63AD8" w14:textId="77777777" w:rsidR="00777C80" w:rsidRPr="00F24057" w:rsidRDefault="00777C80" w:rsidP="00D70B34">
      <w:pPr>
        <w:rPr>
          <w:szCs w:val="22"/>
          <w:lang w:val="sr-Latn-ME"/>
        </w:rPr>
      </w:pPr>
    </w:p>
    <w:p w14:paraId="210B93AA" w14:textId="4E626CBE" w:rsidR="00B82D18" w:rsidRPr="00F24057" w:rsidRDefault="00F6041A" w:rsidP="00D70B34">
      <w:pPr>
        <w:rPr>
          <w:szCs w:val="22"/>
          <w:u w:val="single"/>
          <w:lang w:val="sr-Latn-ME"/>
        </w:rPr>
      </w:pPr>
      <w:r w:rsidRPr="00F24057">
        <w:rPr>
          <w:szCs w:val="22"/>
          <w:u w:val="single"/>
          <w:lang w:val="sr-Latn-ME"/>
        </w:rPr>
        <w:t>Pedijatrijska populacija</w:t>
      </w:r>
    </w:p>
    <w:p w14:paraId="30F29FA6" w14:textId="77777777" w:rsidR="005D404B" w:rsidRPr="00F24057" w:rsidRDefault="005D404B" w:rsidP="00D70B34">
      <w:pPr>
        <w:rPr>
          <w:szCs w:val="22"/>
          <w:u w:val="single"/>
          <w:lang w:val="sr-Latn-ME"/>
        </w:rPr>
      </w:pPr>
    </w:p>
    <w:p w14:paraId="60EB5B4B" w14:textId="234F6B5B" w:rsidR="00803F7C" w:rsidRPr="00F24057" w:rsidRDefault="00803F7C" w:rsidP="00D70B34">
      <w:pPr>
        <w:rPr>
          <w:i/>
          <w:szCs w:val="22"/>
          <w:lang w:val="sr-Latn-ME"/>
        </w:rPr>
      </w:pPr>
      <w:r w:rsidRPr="00F24057">
        <w:rPr>
          <w:i/>
          <w:szCs w:val="22"/>
          <w:lang w:val="sr-Latn-ME"/>
        </w:rPr>
        <w:t xml:space="preserve">Juvenilni idiopatski artritis (JIA) </w:t>
      </w:r>
    </w:p>
    <w:p w14:paraId="38D640A0" w14:textId="77777777" w:rsidR="00803F7C" w:rsidRPr="00F24057" w:rsidRDefault="00803F7C" w:rsidP="00D70B34">
      <w:pPr>
        <w:rPr>
          <w:szCs w:val="22"/>
          <w:u w:val="single"/>
          <w:lang w:val="sr-Latn-ME"/>
        </w:rPr>
      </w:pPr>
    </w:p>
    <w:p w14:paraId="401A47CE" w14:textId="0E7A074E" w:rsidR="00803F7C" w:rsidRPr="00F24057" w:rsidRDefault="00803F7C" w:rsidP="00D70B34">
      <w:pPr>
        <w:rPr>
          <w:i/>
          <w:szCs w:val="22"/>
          <w:u w:val="single"/>
          <w:lang w:val="sr-Latn-ME"/>
        </w:rPr>
      </w:pPr>
      <w:r w:rsidRPr="00F24057">
        <w:rPr>
          <w:i/>
          <w:szCs w:val="22"/>
          <w:u w:val="single"/>
          <w:lang w:val="sr-Latn-ME"/>
        </w:rPr>
        <w:t xml:space="preserve">Poliartikularni juvenilni idiopatski artritis (pJIA) </w:t>
      </w:r>
    </w:p>
    <w:p w14:paraId="595CA528" w14:textId="46D06B75" w:rsidR="00803F7C" w:rsidRPr="00F24057" w:rsidRDefault="0030064A" w:rsidP="00D70B34">
      <w:pPr>
        <w:rPr>
          <w:szCs w:val="22"/>
          <w:lang w:val="sr-Latn-ME"/>
        </w:rPr>
      </w:pPr>
      <w:r w:rsidRPr="00F24057">
        <w:rPr>
          <w:szCs w:val="22"/>
          <w:lang w:val="sr-Latn-ME"/>
        </w:rPr>
        <w:t>Bezbjedno</w:t>
      </w:r>
      <w:r w:rsidR="00803F7C" w:rsidRPr="00F24057">
        <w:rPr>
          <w:szCs w:val="22"/>
          <w:lang w:val="sr-Latn-ME"/>
        </w:rPr>
        <w:t xml:space="preserve">st i efikasnost adalimumaba su </w:t>
      </w:r>
      <w:r w:rsidR="004F2520" w:rsidRPr="00F24057">
        <w:rPr>
          <w:szCs w:val="22"/>
          <w:lang w:val="sr-Latn-ME"/>
        </w:rPr>
        <w:t>procjen</w:t>
      </w:r>
      <w:r w:rsidR="00803F7C" w:rsidRPr="00F24057">
        <w:rPr>
          <w:szCs w:val="22"/>
          <w:lang w:val="sr-Latn-ME"/>
        </w:rPr>
        <w:t xml:space="preserve">jivane u </w:t>
      </w:r>
      <w:r w:rsidR="009A3407" w:rsidRPr="00F24057">
        <w:rPr>
          <w:szCs w:val="22"/>
          <w:lang w:val="sr-Latn-ME"/>
        </w:rPr>
        <w:t xml:space="preserve">dvije </w:t>
      </w:r>
      <w:r w:rsidR="00803F7C" w:rsidRPr="00F24057">
        <w:rPr>
          <w:szCs w:val="22"/>
          <w:lang w:val="sr-Latn-ME"/>
        </w:rPr>
        <w:t xml:space="preserve">studije (pJIA I i II) kod </w:t>
      </w:r>
      <w:r w:rsidRPr="00F24057">
        <w:rPr>
          <w:szCs w:val="22"/>
          <w:lang w:val="sr-Latn-ME"/>
        </w:rPr>
        <w:t>djece</w:t>
      </w:r>
      <w:r w:rsidR="00803F7C" w:rsidRPr="00F24057">
        <w:rPr>
          <w:szCs w:val="22"/>
          <w:lang w:val="sr-Latn-ME"/>
        </w:rPr>
        <w:t xml:space="preserve"> sa aktivnim poliartikularnim ili juvenilnim idiopatskim artritisom poliartikularnog toka, koja su imala različite tipove manifestacija JIA (najčešće reumatoid-negativni ili pozitivni poliartritis i prošireni oligoartritis). </w:t>
      </w:r>
    </w:p>
    <w:p w14:paraId="7A4EA74A" w14:textId="77777777" w:rsidR="00803F7C" w:rsidRPr="00F24057" w:rsidRDefault="00803F7C" w:rsidP="00D70B34">
      <w:pPr>
        <w:rPr>
          <w:szCs w:val="22"/>
          <w:lang w:val="sr-Latn-ME"/>
        </w:rPr>
      </w:pPr>
    </w:p>
    <w:p w14:paraId="4B417178" w14:textId="3674CD40" w:rsidR="00803F7C" w:rsidRPr="00F24057" w:rsidRDefault="00803F7C" w:rsidP="00D70B34">
      <w:pPr>
        <w:rPr>
          <w:szCs w:val="22"/>
          <w:u w:val="single"/>
          <w:lang w:val="sr-Latn-ME"/>
        </w:rPr>
      </w:pPr>
      <w:r w:rsidRPr="00F24057">
        <w:rPr>
          <w:szCs w:val="22"/>
          <w:u w:val="single"/>
          <w:lang w:val="sr-Latn-ME"/>
        </w:rPr>
        <w:t>pJIA I</w:t>
      </w:r>
    </w:p>
    <w:p w14:paraId="445CFE6E" w14:textId="77777777" w:rsidR="00277701" w:rsidRPr="00F24057" w:rsidRDefault="00277701" w:rsidP="00D70B34">
      <w:pPr>
        <w:rPr>
          <w:szCs w:val="22"/>
          <w:lang w:val="sr-Latn-ME"/>
        </w:rPr>
      </w:pPr>
    </w:p>
    <w:p w14:paraId="2AC20280" w14:textId="5DAC0C46" w:rsidR="00F6041A" w:rsidRPr="00F24057" w:rsidRDefault="0030064A" w:rsidP="00D70B34">
      <w:pPr>
        <w:rPr>
          <w:szCs w:val="22"/>
          <w:lang w:val="sr-Latn-ME"/>
        </w:rPr>
      </w:pPr>
      <w:r w:rsidRPr="00F24057">
        <w:rPr>
          <w:szCs w:val="22"/>
          <w:lang w:val="sr-Latn-ME"/>
        </w:rPr>
        <w:t>Bezbjedno</w:t>
      </w:r>
      <w:r w:rsidR="00803F7C" w:rsidRPr="00F24057">
        <w:rPr>
          <w:szCs w:val="22"/>
          <w:lang w:val="sr-Latn-ME"/>
        </w:rPr>
        <w:t xml:space="preserve">st i efikasnost adalimumaba su </w:t>
      </w:r>
      <w:r w:rsidR="004F2520" w:rsidRPr="00F24057">
        <w:rPr>
          <w:szCs w:val="22"/>
          <w:lang w:val="sr-Latn-ME"/>
        </w:rPr>
        <w:t>procjen</w:t>
      </w:r>
      <w:r w:rsidR="00803F7C" w:rsidRPr="00F24057">
        <w:rPr>
          <w:szCs w:val="22"/>
          <w:lang w:val="sr-Latn-ME"/>
        </w:rPr>
        <w:t>jivane u multicentričnom, randomizovanom, dvostruko</w:t>
      </w:r>
      <w:r w:rsidR="00CC20CD" w:rsidRPr="00F24057">
        <w:rPr>
          <w:szCs w:val="22"/>
          <w:lang w:val="sr-Latn-ME"/>
        </w:rPr>
        <w:t xml:space="preserve"> </w:t>
      </w:r>
      <w:r w:rsidR="00972894" w:rsidRPr="00F24057">
        <w:rPr>
          <w:szCs w:val="22"/>
          <w:lang w:val="sr-Latn-ME"/>
        </w:rPr>
        <w:t>slijep</w:t>
      </w:r>
      <w:r w:rsidR="00803F7C" w:rsidRPr="00F24057">
        <w:rPr>
          <w:szCs w:val="22"/>
          <w:lang w:val="sr-Latn-ME"/>
        </w:rPr>
        <w:t>om ispitivanju paralelnih grupa sa 171 d</w:t>
      </w:r>
      <w:r w:rsidR="009A3407" w:rsidRPr="00F24057">
        <w:rPr>
          <w:szCs w:val="22"/>
          <w:lang w:val="sr-Latn-ME"/>
        </w:rPr>
        <w:t>j</w:t>
      </w:r>
      <w:r w:rsidR="00803F7C" w:rsidRPr="00F24057">
        <w:rPr>
          <w:szCs w:val="22"/>
          <w:lang w:val="sr-Latn-ME"/>
        </w:rPr>
        <w:t xml:space="preserve">etetom (uzrasta od 4-17 godina) sa poliartikularnim juvenilnim idiopatskim artritisom. U otvorenoj inicijalnoj fazi (engl. </w:t>
      </w:r>
      <w:r w:rsidR="00803F7C" w:rsidRPr="00F24057">
        <w:rPr>
          <w:i/>
          <w:szCs w:val="22"/>
          <w:lang w:val="sr-Latn-ME"/>
        </w:rPr>
        <w:t>open-label lead in</w:t>
      </w:r>
      <w:r w:rsidR="00803F7C" w:rsidRPr="00F24057">
        <w:rPr>
          <w:szCs w:val="22"/>
          <w:lang w:val="sr-Latn-ME"/>
        </w:rPr>
        <w:t>-OL LI), pacijenti su pod</w:t>
      </w:r>
      <w:r w:rsidR="00972894" w:rsidRPr="00F24057">
        <w:rPr>
          <w:szCs w:val="22"/>
          <w:lang w:val="sr-Latn-ME"/>
        </w:rPr>
        <w:t>ij</w:t>
      </w:r>
      <w:r w:rsidR="00803F7C" w:rsidRPr="00F24057">
        <w:rPr>
          <w:szCs w:val="22"/>
          <w:lang w:val="sr-Latn-ME"/>
        </w:rPr>
        <w:t xml:space="preserve">eljeni u </w:t>
      </w:r>
      <w:r w:rsidR="009A3407" w:rsidRPr="00F24057">
        <w:rPr>
          <w:szCs w:val="22"/>
          <w:lang w:val="sr-Latn-ME"/>
        </w:rPr>
        <w:t xml:space="preserve">dvije </w:t>
      </w:r>
      <w:r w:rsidR="00803F7C" w:rsidRPr="00F24057">
        <w:rPr>
          <w:szCs w:val="22"/>
          <w:lang w:val="sr-Latn-ME"/>
        </w:rPr>
        <w:t xml:space="preserve">grupe, </w:t>
      </w:r>
      <w:r w:rsidR="00885A78" w:rsidRPr="00F24057">
        <w:rPr>
          <w:szCs w:val="22"/>
          <w:lang w:val="sr-Latn-ME"/>
        </w:rPr>
        <w:t>liječe</w:t>
      </w:r>
      <w:r w:rsidR="00803F7C" w:rsidRPr="00F24057">
        <w:rPr>
          <w:szCs w:val="22"/>
          <w:lang w:val="sr-Latn-ME"/>
        </w:rPr>
        <w:t>ni metotreksatom</w:t>
      </w:r>
      <w:r w:rsidR="00E45B89" w:rsidRPr="00F24057">
        <w:rPr>
          <w:szCs w:val="22"/>
          <w:lang w:val="sr-Latn-ME"/>
        </w:rPr>
        <w:t xml:space="preserve"> (grupa označena s MTX)</w:t>
      </w:r>
      <w:r w:rsidR="00803F7C" w:rsidRPr="00F24057">
        <w:rPr>
          <w:szCs w:val="22"/>
          <w:lang w:val="sr-Latn-ME"/>
        </w:rPr>
        <w:t xml:space="preserve"> i ne</w:t>
      </w:r>
      <w:r w:rsidR="00885A78" w:rsidRPr="00F24057">
        <w:rPr>
          <w:szCs w:val="22"/>
          <w:lang w:val="sr-Latn-ME"/>
        </w:rPr>
        <w:t>liječe</w:t>
      </w:r>
      <w:r w:rsidR="00803F7C" w:rsidRPr="00F24057">
        <w:rPr>
          <w:szCs w:val="22"/>
          <w:lang w:val="sr-Latn-ME"/>
        </w:rPr>
        <w:t>ni metotreksatom</w:t>
      </w:r>
      <w:r w:rsidR="00E45B89" w:rsidRPr="00F24057">
        <w:rPr>
          <w:szCs w:val="22"/>
          <w:lang w:val="sr-Latn-ME"/>
        </w:rPr>
        <w:t xml:space="preserve"> (grupa označena s ne-MTX)</w:t>
      </w:r>
      <w:r w:rsidR="00803F7C" w:rsidRPr="00F24057">
        <w:rPr>
          <w:szCs w:val="22"/>
          <w:lang w:val="sr-Latn-ME"/>
        </w:rPr>
        <w:t>. Pacijenti koji su bili u grupi ne</w:t>
      </w:r>
      <w:r w:rsidR="00885A78" w:rsidRPr="00F24057">
        <w:rPr>
          <w:szCs w:val="22"/>
          <w:lang w:val="sr-Latn-ME"/>
        </w:rPr>
        <w:t>liječe</w:t>
      </w:r>
      <w:r w:rsidR="00803F7C" w:rsidRPr="00F24057">
        <w:rPr>
          <w:szCs w:val="22"/>
          <w:lang w:val="sr-Latn-ME"/>
        </w:rPr>
        <w:t xml:space="preserve">nih metotreksatom su bili ili pacijenti koji nikada nisu primali metotreksat ili su prestali da primaju metotreksat najmanje 2 </w:t>
      </w:r>
      <w:r w:rsidR="00885A78" w:rsidRPr="00F24057">
        <w:rPr>
          <w:szCs w:val="22"/>
          <w:lang w:val="sr-Latn-ME"/>
        </w:rPr>
        <w:t>nedjelj</w:t>
      </w:r>
      <w:r w:rsidR="00803F7C" w:rsidRPr="00F24057">
        <w:rPr>
          <w:szCs w:val="22"/>
          <w:lang w:val="sr-Latn-ME"/>
        </w:rPr>
        <w:t xml:space="preserve">e </w:t>
      </w:r>
      <w:r w:rsidR="00885A78" w:rsidRPr="00F24057">
        <w:rPr>
          <w:szCs w:val="22"/>
          <w:lang w:val="sr-Latn-ME"/>
        </w:rPr>
        <w:t xml:space="preserve">prije </w:t>
      </w:r>
      <w:r w:rsidR="00803F7C" w:rsidRPr="00F24057">
        <w:rPr>
          <w:szCs w:val="22"/>
          <w:lang w:val="sr-Latn-ME"/>
        </w:rPr>
        <w:t xml:space="preserve">početka ispitivanja. Pacijenti su primali stabilne doze nesteroidnih antiinflamatornih </w:t>
      </w:r>
      <w:r w:rsidRPr="00F24057">
        <w:rPr>
          <w:szCs w:val="22"/>
          <w:lang w:val="sr-Latn-ME"/>
        </w:rPr>
        <w:t>ljekov</w:t>
      </w:r>
      <w:r w:rsidR="00803F7C" w:rsidRPr="00F24057">
        <w:rPr>
          <w:szCs w:val="22"/>
          <w:lang w:val="sr-Latn-ME"/>
        </w:rPr>
        <w:t xml:space="preserve">a i/ili prednizona (≤ 0,2 mg/kg/dnevno ili maksimalno 10 mg/dnevno). U OL LI fazi svi pacijenti su tokom 16 </w:t>
      </w:r>
      <w:r w:rsidR="00885A78" w:rsidRPr="00F24057">
        <w:rPr>
          <w:szCs w:val="22"/>
          <w:lang w:val="sr-Latn-ME"/>
        </w:rPr>
        <w:t>nedjelj</w:t>
      </w:r>
      <w:r w:rsidR="00803F7C" w:rsidRPr="00F24057">
        <w:rPr>
          <w:szCs w:val="22"/>
          <w:lang w:val="sr-Latn-ME"/>
        </w:rPr>
        <w:t>a primali 24 mg/m</w:t>
      </w:r>
      <w:r w:rsidR="00803F7C" w:rsidRPr="00F24057">
        <w:rPr>
          <w:szCs w:val="22"/>
          <w:vertAlign w:val="superscript"/>
          <w:lang w:val="sr-Latn-ME"/>
        </w:rPr>
        <w:t xml:space="preserve">2 </w:t>
      </w:r>
      <w:r w:rsidR="00803F7C" w:rsidRPr="00F24057">
        <w:rPr>
          <w:szCs w:val="22"/>
          <w:lang w:val="sr-Latn-ME"/>
        </w:rPr>
        <w:t xml:space="preserve">do maksimalnih 40 mg adalimumaba svake druge </w:t>
      </w:r>
      <w:r w:rsidR="00885A78" w:rsidRPr="00F24057">
        <w:rPr>
          <w:szCs w:val="22"/>
          <w:lang w:val="sr-Latn-ME"/>
        </w:rPr>
        <w:t>nedjelj</w:t>
      </w:r>
      <w:r w:rsidR="00803F7C" w:rsidRPr="00F24057">
        <w:rPr>
          <w:szCs w:val="22"/>
          <w:lang w:val="sr-Latn-ME"/>
        </w:rPr>
        <w:t>e. Raspod</w:t>
      </w:r>
      <w:r w:rsidR="001D051D" w:rsidRPr="00F24057">
        <w:rPr>
          <w:szCs w:val="22"/>
          <w:lang w:val="sr-Latn-ME"/>
        </w:rPr>
        <w:t>j</w:t>
      </w:r>
      <w:r w:rsidR="00803F7C" w:rsidRPr="00F24057">
        <w:rPr>
          <w:szCs w:val="22"/>
          <w:lang w:val="sr-Latn-ME"/>
        </w:rPr>
        <w:t xml:space="preserve">ela pacijenata prema uzrasnim grupama kao i minimalna, srednja i maksimalna doza primljene u OL LI fazi su prikazani u Tabeli </w:t>
      </w:r>
      <w:r w:rsidR="00771666" w:rsidRPr="00F24057">
        <w:rPr>
          <w:szCs w:val="22"/>
          <w:lang w:val="sr-Latn-ME"/>
        </w:rPr>
        <w:t>25</w:t>
      </w:r>
      <w:r w:rsidR="00803F7C" w:rsidRPr="00F24057">
        <w:rPr>
          <w:szCs w:val="22"/>
          <w:lang w:val="sr-Latn-ME"/>
        </w:rPr>
        <w:t>.</w:t>
      </w:r>
    </w:p>
    <w:p w14:paraId="6D86CBAA" w14:textId="6740325D" w:rsidR="00771666" w:rsidRPr="00F24057" w:rsidRDefault="00771666" w:rsidP="00D70B34">
      <w:pPr>
        <w:rPr>
          <w:szCs w:val="22"/>
          <w:lang w:val="sr-Latn-ME"/>
        </w:rPr>
      </w:pPr>
    </w:p>
    <w:p w14:paraId="5624EED3" w14:textId="2B075D04" w:rsidR="00771666" w:rsidRPr="00F24057" w:rsidRDefault="00771666" w:rsidP="00D70B34">
      <w:pPr>
        <w:rPr>
          <w:b/>
          <w:szCs w:val="22"/>
          <w:lang w:val="sr-Latn-ME"/>
        </w:rPr>
      </w:pPr>
      <w:r w:rsidRPr="00F24057">
        <w:rPr>
          <w:b/>
          <w:szCs w:val="22"/>
          <w:lang w:val="sr-Latn-ME"/>
        </w:rPr>
        <w:t>Tabela 25. Raspod</w:t>
      </w:r>
      <w:r w:rsidR="001D051D" w:rsidRPr="00F24057">
        <w:rPr>
          <w:b/>
          <w:szCs w:val="22"/>
          <w:lang w:val="sr-Latn-ME"/>
        </w:rPr>
        <w:t>j</w:t>
      </w:r>
      <w:r w:rsidRPr="00F24057">
        <w:rPr>
          <w:b/>
          <w:szCs w:val="22"/>
          <w:lang w:val="sr-Latn-ME"/>
        </w:rPr>
        <w:t>ela pacijenata prema uzrasnim grupama i dozi adalimumaba primljenoj u otvorenoj uvodnoj fazi ispitivanja</w:t>
      </w:r>
    </w:p>
    <w:p w14:paraId="75FC2175" w14:textId="77777777" w:rsidR="00771666" w:rsidRPr="00F24057" w:rsidRDefault="00771666" w:rsidP="00D70B34">
      <w:pPr>
        <w:rPr>
          <w:b/>
          <w:szCs w:val="22"/>
          <w:lang w:val="sr-Latn-ME"/>
        </w:rPr>
      </w:pPr>
    </w:p>
    <w:tbl>
      <w:tblPr>
        <w:tblW w:w="5000" w:type="pct"/>
        <w:tblCellMar>
          <w:top w:w="49" w:type="dxa"/>
          <w:left w:w="85" w:type="dxa"/>
          <w:right w:w="85" w:type="dxa"/>
        </w:tblCellMar>
        <w:tblLook w:val="04A0" w:firstRow="1" w:lastRow="0" w:firstColumn="1" w:lastColumn="0" w:noHBand="0" w:noVBand="1"/>
      </w:tblPr>
      <w:tblGrid>
        <w:gridCol w:w="1696"/>
        <w:gridCol w:w="3402"/>
        <w:gridCol w:w="3919"/>
      </w:tblGrid>
      <w:tr w:rsidR="00771666" w:rsidRPr="00F24057" w14:paraId="3412FAF5" w14:textId="77777777" w:rsidTr="00E579CE">
        <w:trPr>
          <w:trHeight w:val="20"/>
        </w:trPr>
        <w:tc>
          <w:tcPr>
            <w:tcW w:w="940" w:type="pct"/>
            <w:tcBorders>
              <w:top w:val="single" w:sz="4" w:space="0" w:color="000000"/>
              <w:left w:val="single" w:sz="4" w:space="0" w:color="000000"/>
              <w:bottom w:val="single" w:sz="4" w:space="0" w:color="000000"/>
              <w:right w:val="single" w:sz="4" w:space="0" w:color="000000"/>
            </w:tcBorders>
            <w:vAlign w:val="center"/>
          </w:tcPr>
          <w:p w14:paraId="61EAF10A" w14:textId="77777777" w:rsidR="00771666" w:rsidRPr="00F24057" w:rsidRDefault="00771666" w:rsidP="00E579CE">
            <w:pPr>
              <w:tabs>
                <w:tab w:val="clear" w:pos="284"/>
              </w:tabs>
              <w:jc w:val="center"/>
              <w:rPr>
                <w:szCs w:val="22"/>
                <w:lang w:val="sr-Latn-ME"/>
              </w:rPr>
            </w:pPr>
            <w:r w:rsidRPr="00F24057">
              <w:rPr>
                <w:b/>
                <w:szCs w:val="22"/>
                <w:lang w:val="sr-Latn-ME"/>
              </w:rPr>
              <w:t>Uzrasna grupa</w:t>
            </w:r>
          </w:p>
        </w:tc>
        <w:tc>
          <w:tcPr>
            <w:tcW w:w="1886" w:type="pct"/>
            <w:tcBorders>
              <w:top w:val="single" w:sz="4" w:space="0" w:color="000000"/>
              <w:left w:val="single" w:sz="4" w:space="0" w:color="000000"/>
              <w:bottom w:val="single" w:sz="4" w:space="0" w:color="000000"/>
              <w:right w:val="single" w:sz="4" w:space="0" w:color="000000"/>
            </w:tcBorders>
            <w:vAlign w:val="center"/>
          </w:tcPr>
          <w:p w14:paraId="0D2DE50D" w14:textId="6BB53A84" w:rsidR="00771666" w:rsidRPr="00F24057" w:rsidRDefault="00771666" w:rsidP="00D70B34">
            <w:pPr>
              <w:jc w:val="center"/>
              <w:rPr>
                <w:szCs w:val="22"/>
                <w:lang w:val="sr-Latn-ME"/>
              </w:rPr>
            </w:pPr>
            <w:r w:rsidRPr="00F24057">
              <w:rPr>
                <w:b/>
                <w:szCs w:val="22"/>
                <w:lang w:val="sr-Latn-ME"/>
              </w:rPr>
              <w:t>Broj pacijenata na početku n</w:t>
            </w:r>
            <w:r w:rsidR="00277701" w:rsidRPr="00F24057">
              <w:rPr>
                <w:b/>
                <w:szCs w:val="22"/>
                <w:lang w:val="sr-Latn-ME"/>
              </w:rPr>
              <w:t xml:space="preserve"> </w:t>
            </w:r>
            <w:r w:rsidRPr="00F24057">
              <w:rPr>
                <w:b/>
                <w:szCs w:val="22"/>
                <w:lang w:val="sr-Latn-ME"/>
              </w:rPr>
              <w:t>(%)</w:t>
            </w:r>
          </w:p>
        </w:tc>
        <w:tc>
          <w:tcPr>
            <w:tcW w:w="2173" w:type="pct"/>
            <w:tcBorders>
              <w:top w:val="single" w:sz="4" w:space="0" w:color="000000"/>
              <w:left w:val="single" w:sz="4" w:space="0" w:color="000000"/>
              <w:bottom w:val="single" w:sz="4" w:space="0" w:color="000000"/>
              <w:right w:val="single" w:sz="4" w:space="0" w:color="000000"/>
            </w:tcBorders>
            <w:vAlign w:val="center"/>
          </w:tcPr>
          <w:p w14:paraId="34B8E416" w14:textId="77777777" w:rsidR="00771666" w:rsidRPr="00F24057" w:rsidRDefault="00771666" w:rsidP="00D70B34">
            <w:pPr>
              <w:jc w:val="center"/>
              <w:rPr>
                <w:szCs w:val="22"/>
                <w:lang w:val="sr-Latn-ME"/>
              </w:rPr>
            </w:pPr>
            <w:r w:rsidRPr="00F24057">
              <w:rPr>
                <w:b/>
                <w:szCs w:val="22"/>
                <w:lang w:val="sr-Latn-ME"/>
              </w:rPr>
              <w:t>Minimalna, srednja i maksimalna doza</w:t>
            </w:r>
          </w:p>
        </w:tc>
      </w:tr>
      <w:tr w:rsidR="00771666" w:rsidRPr="00F24057" w14:paraId="46E39721" w14:textId="77777777" w:rsidTr="00E579CE">
        <w:trPr>
          <w:trHeight w:val="20"/>
        </w:trPr>
        <w:tc>
          <w:tcPr>
            <w:tcW w:w="940" w:type="pct"/>
            <w:tcBorders>
              <w:top w:val="single" w:sz="4" w:space="0" w:color="000000"/>
              <w:left w:val="single" w:sz="4" w:space="0" w:color="000000"/>
              <w:bottom w:val="single" w:sz="4" w:space="0" w:color="000000"/>
              <w:right w:val="single" w:sz="4" w:space="0" w:color="000000"/>
            </w:tcBorders>
          </w:tcPr>
          <w:p w14:paraId="5732501C" w14:textId="77777777" w:rsidR="00771666" w:rsidRPr="00F24057" w:rsidRDefault="00771666" w:rsidP="00D70B34">
            <w:pPr>
              <w:rPr>
                <w:szCs w:val="22"/>
                <w:lang w:val="sr-Latn-ME"/>
              </w:rPr>
            </w:pPr>
            <w:r w:rsidRPr="00F24057">
              <w:rPr>
                <w:szCs w:val="22"/>
                <w:lang w:val="sr-Latn-ME"/>
              </w:rPr>
              <w:t>4-7 godina</w:t>
            </w:r>
          </w:p>
        </w:tc>
        <w:tc>
          <w:tcPr>
            <w:tcW w:w="1886" w:type="pct"/>
            <w:tcBorders>
              <w:top w:val="single" w:sz="4" w:space="0" w:color="000000"/>
              <w:left w:val="single" w:sz="4" w:space="0" w:color="000000"/>
              <w:bottom w:val="single" w:sz="4" w:space="0" w:color="000000"/>
              <w:right w:val="single" w:sz="4" w:space="0" w:color="000000"/>
            </w:tcBorders>
            <w:vAlign w:val="center"/>
          </w:tcPr>
          <w:p w14:paraId="40382A79" w14:textId="77777777" w:rsidR="00771666" w:rsidRPr="00F24057" w:rsidRDefault="00771666" w:rsidP="00D70B34">
            <w:pPr>
              <w:jc w:val="center"/>
              <w:rPr>
                <w:szCs w:val="22"/>
                <w:lang w:val="sr-Latn-ME"/>
              </w:rPr>
            </w:pPr>
            <w:r w:rsidRPr="00F24057">
              <w:rPr>
                <w:szCs w:val="22"/>
                <w:lang w:val="sr-Latn-ME"/>
              </w:rPr>
              <w:t>31 (18,1)</w:t>
            </w:r>
          </w:p>
        </w:tc>
        <w:tc>
          <w:tcPr>
            <w:tcW w:w="2173" w:type="pct"/>
            <w:tcBorders>
              <w:top w:val="single" w:sz="4" w:space="0" w:color="000000"/>
              <w:left w:val="single" w:sz="4" w:space="0" w:color="000000"/>
              <w:bottom w:val="single" w:sz="4" w:space="0" w:color="000000"/>
              <w:right w:val="single" w:sz="4" w:space="0" w:color="000000"/>
            </w:tcBorders>
            <w:vAlign w:val="center"/>
          </w:tcPr>
          <w:p w14:paraId="45C237CD" w14:textId="77777777" w:rsidR="00771666" w:rsidRPr="00F24057" w:rsidRDefault="00771666" w:rsidP="00D70B34">
            <w:pPr>
              <w:jc w:val="center"/>
              <w:rPr>
                <w:szCs w:val="22"/>
                <w:lang w:val="sr-Latn-ME"/>
              </w:rPr>
            </w:pPr>
            <w:r w:rsidRPr="00F24057">
              <w:rPr>
                <w:szCs w:val="22"/>
                <w:lang w:val="sr-Latn-ME"/>
              </w:rPr>
              <w:t>10, 20 i 25 mg</w:t>
            </w:r>
          </w:p>
        </w:tc>
      </w:tr>
      <w:tr w:rsidR="00771666" w:rsidRPr="00F24057" w14:paraId="44441259" w14:textId="77777777" w:rsidTr="00E579CE">
        <w:trPr>
          <w:trHeight w:val="20"/>
        </w:trPr>
        <w:tc>
          <w:tcPr>
            <w:tcW w:w="940" w:type="pct"/>
            <w:tcBorders>
              <w:top w:val="single" w:sz="4" w:space="0" w:color="000000"/>
              <w:left w:val="single" w:sz="4" w:space="0" w:color="000000"/>
              <w:bottom w:val="single" w:sz="4" w:space="0" w:color="000000"/>
              <w:right w:val="single" w:sz="4" w:space="0" w:color="000000"/>
            </w:tcBorders>
          </w:tcPr>
          <w:p w14:paraId="242996CB" w14:textId="77777777" w:rsidR="00771666" w:rsidRPr="00F24057" w:rsidRDefault="00771666" w:rsidP="00D70B34">
            <w:pPr>
              <w:rPr>
                <w:szCs w:val="22"/>
                <w:lang w:val="sr-Latn-ME"/>
              </w:rPr>
            </w:pPr>
            <w:r w:rsidRPr="00F24057">
              <w:rPr>
                <w:szCs w:val="22"/>
                <w:lang w:val="sr-Latn-ME"/>
              </w:rPr>
              <w:t>8-12 godina</w:t>
            </w:r>
          </w:p>
        </w:tc>
        <w:tc>
          <w:tcPr>
            <w:tcW w:w="1886" w:type="pct"/>
            <w:tcBorders>
              <w:top w:val="single" w:sz="4" w:space="0" w:color="000000"/>
              <w:left w:val="single" w:sz="4" w:space="0" w:color="000000"/>
              <w:bottom w:val="single" w:sz="4" w:space="0" w:color="000000"/>
              <w:right w:val="single" w:sz="4" w:space="0" w:color="000000"/>
            </w:tcBorders>
            <w:vAlign w:val="center"/>
          </w:tcPr>
          <w:p w14:paraId="6A8AC05C" w14:textId="77777777" w:rsidR="00771666" w:rsidRPr="00F24057" w:rsidRDefault="00771666" w:rsidP="00D70B34">
            <w:pPr>
              <w:jc w:val="center"/>
              <w:rPr>
                <w:szCs w:val="22"/>
                <w:lang w:val="sr-Latn-ME"/>
              </w:rPr>
            </w:pPr>
            <w:r w:rsidRPr="00F24057">
              <w:rPr>
                <w:szCs w:val="22"/>
                <w:lang w:val="sr-Latn-ME"/>
              </w:rPr>
              <w:t>71 (41,5)</w:t>
            </w:r>
          </w:p>
        </w:tc>
        <w:tc>
          <w:tcPr>
            <w:tcW w:w="2173" w:type="pct"/>
            <w:tcBorders>
              <w:top w:val="single" w:sz="4" w:space="0" w:color="000000"/>
              <w:left w:val="single" w:sz="4" w:space="0" w:color="000000"/>
              <w:bottom w:val="single" w:sz="4" w:space="0" w:color="000000"/>
              <w:right w:val="single" w:sz="4" w:space="0" w:color="000000"/>
            </w:tcBorders>
            <w:vAlign w:val="center"/>
          </w:tcPr>
          <w:p w14:paraId="680288B9" w14:textId="77777777" w:rsidR="00771666" w:rsidRPr="00F24057" w:rsidRDefault="00771666" w:rsidP="00D70B34">
            <w:pPr>
              <w:jc w:val="center"/>
              <w:rPr>
                <w:szCs w:val="22"/>
                <w:lang w:val="sr-Latn-ME"/>
              </w:rPr>
            </w:pPr>
            <w:r w:rsidRPr="00F24057">
              <w:rPr>
                <w:szCs w:val="22"/>
                <w:lang w:val="sr-Latn-ME"/>
              </w:rPr>
              <w:t>20, 25 i 40 mg</w:t>
            </w:r>
          </w:p>
        </w:tc>
      </w:tr>
      <w:tr w:rsidR="00771666" w:rsidRPr="00F24057" w14:paraId="4ABBD241" w14:textId="77777777" w:rsidTr="00E579CE">
        <w:trPr>
          <w:trHeight w:val="20"/>
        </w:trPr>
        <w:tc>
          <w:tcPr>
            <w:tcW w:w="940" w:type="pct"/>
            <w:tcBorders>
              <w:top w:val="single" w:sz="4" w:space="0" w:color="000000"/>
              <w:left w:val="single" w:sz="4" w:space="0" w:color="000000"/>
              <w:bottom w:val="single" w:sz="4" w:space="0" w:color="000000"/>
              <w:right w:val="single" w:sz="4" w:space="0" w:color="000000"/>
            </w:tcBorders>
          </w:tcPr>
          <w:p w14:paraId="0280C4D1" w14:textId="77777777" w:rsidR="00771666" w:rsidRPr="00F24057" w:rsidRDefault="00771666" w:rsidP="00D70B34">
            <w:pPr>
              <w:rPr>
                <w:szCs w:val="22"/>
                <w:lang w:val="sr-Latn-ME"/>
              </w:rPr>
            </w:pPr>
            <w:r w:rsidRPr="00F24057">
              <w:rPr>
                <w:szCs w:val="22"/>
                <w:lang w:val="sr-Latn-ME"/>
              </w:rPr>
              <w:t>13-17 godina</w:t>
            </w:r>
          </w:p>
        </w:tc>
        <w:tc>
          <w:tcPr>
            <w:tcW w:w="1886" w:type="pct"/>
            <w:tcBorders>
              <w:top w:val="single" w:sz="4" w:space="0" w:color="000000"/>
              <w:left w:val="single" w:sz="4" w:space="0" w:color="000000"/>
              <w:bottom w:val="single" w:sz="4" w:space="0" w:color="000000"/>
              <w:right w:val="single" w:sz="4" w:space="0" w:color="000000"/>
            </w:tcBorders>
            <w:vAlign w:val="center"/>
          </w:tcPr>
          <w:p w14:paraId="210B294B" w14:textId="77777777" w:rsidR="00771666" w:rsidRPr="00F24057" w:rsidRDefault="00771666" w:rsidP="00D70B34">
            <w:pPr>
              <w:jc w:val="center"/>
              <w:rPr>
                <w:szCs w:val="22"/>
                <w:lang w:val="sr-Latn-ME"/>
              </w:rPr>
            </w:pPr>
            <w:r w:rsidRPr="00F24057">
              <w:rPr>
                <w:szCs w:val="22"/>
                <w:lang w:val="sr-Latn-ME"/>
              </w:rPr>
              <w:t>69 (40,4)</w:t>
            </w:r>
          </w:p>
        </w:tc>
        <w:tc>
          <w:tcPr>
            <w:tcW w:w="2173" w:type="pct"/>
            <w:tcBorders>
              <w:top w:val="single" w:sz="4" w:space="0" w:color="000000"/>
              <w:left w:val="single" w:sz="4" w:space="0" w:color="000000"/>
              <w:bottom w:val="single" w:sz="4" w:space="0" w:color="000000"/>
              <w:right w:val="single" w:sz="4" w:space="0" w:color="000000"/>
            </w:tcBorders>
            <w:vAlign w:val="center"/>
          </w:tcPr>
          <w:p w14:paraId="443BF1E6" w14:textId="77777777" w:rsidR="00771666" w:rsidRPr="00F24057" w:rsidRDefault="00771666" w:rsidP="00D70B34">
            <w:pPr>
              <w:jc w:val="center"/>
              <w:rPr>
                <w:szCs w:val="22"/>
                <w:lang w:val="sr-Latn-ME"/>
              </w:rPr>
            </w:pPr>
            <w:r w:rsidRPr="00F24057">
              <w:rPr>
                <w:szCs w:val="22"/>
                <w:lang w:val="sr-Latn-ME"/>
              </w:rPr>
              <w:t>25, 40 i 40 mg</w:t>
            </w:r>
          </w:p>
        </w:tc>
      </w:tr>
    </w:tbl>
    <w:p w14:paraId="60D12462" w14:textId="77777777" w:rsidR="00771666" w:rsidRPr="00F24057" w:rsidRDefault="00771666" w:rsidP="00D70B34">
      <w:pPr>
        <w:rPr>
          <w:szCs w:val="22"/>
          <w:lang w:val="sr-Latn-ME"/>
        </w:rPr>
      </w:pPr>
    </w:p>
    <w:p w14:paraId="227DEF51" w14:textId="1DE9C51B" w:rsidR="00771666" w:rsidRPr="00F24057" w:rsidRDefault="00771666" w:rsidP="00D70B34">
      <w:pPr>
        <w:rPr>
          <w:szCs w:val="22"/>
          <w:lang w:val="sr-Latn-ME"/>
        </w:rPr>
      </w:pPr>
      <w:r w:rsidRPr="00F24057">
        <w:rPr>
          <w:szCs w:val="22"/>
          <w:lang w:val="sr-Latn-ME"/>
        </w:rPr>
        <w:t xml:space="preserve">Pacijenti sa pedijatrijskim ACR 30 odgovorom u 16. </w:t>
      </w:r>
      <w:r w:rsidR="00885A78" w:rsidRPr="00F24057">
        <w:rPr>
          <w:szCs w:val="22"/>
          <w:lang w:val="sr-Latn-ME"/>
        </w:rPr>
        <w:t>nedjelj</w:t>
      </w:r>
      <w:r w:rsidRPr="00F24057">
        <w:rPr>
          <w:szCs w:val="22"/>
          <w:lang w:val="sr-Latn-ME"/>
        </w:rPr>
        <w:t xml:space="preserve">i su randomizovani u dvostruko </w:t>
      </w:r>
      <w:r w:rsidR="00972894" w:rsidRPr="00F24057">
        <w:rPr>
          <w:szCs w:val="22"/>
          <w:lang w:val="sr-Latn-ME"/>
        </w:rPr>
        <w:t>slijep</w:t>
      </w:r>
      <w:r w:rsidRPr="00F24057">
        <w:rPr>
          <w:szCs w:val="22"/>
          <w:lang w:val="sr-Latn-ME"/>
        </w:rPr>
        <w:t>oj fazi i primali su ili 24 mg/m</w:t>
      </w:r>
      <w:r w:rsidRPr="00F24057">
        <w:rPr>
          <w:szCs w:val="22"/>
          <w:vertAlign w:val="superscript"/>
          <w:lang w:val="sr-Latn-ME"/>
        </w:rPr>
        <w:t xml:space="preserve">2 </w:t>
      </w:r>
      <w:r w:rsidRPr="00F24057">
        <w:rPr>
          <w:szCs w:val="22"/>
          <w:lang w:val="sr-Latn-ME"/>
        </w:rPr>
        <w:t xml:space="preserve">do maksimalnih 40 mg adalimumaba ili placebo svake druge </w:t>
      </w:r>
      <w:r w:rsidR="00885A78" w:rsidRPr="00F24057">
        <w:rPr>
          <w:szCs w:val="22"/>
          <w:lang w:val="sr-Latn-ME"/>
        </w:rPr>
        <w:t>nedjelj</w:t>
      </w:r>
      <w:r w:rsidRPr="00F24057">
        <w:rPr>
          <w:szCs w:val="22"/>
          <w:lang w:val="sr-Latn-ME"/>
        </w:rPr>
        <w:t xml:space="preserve">e tokom dodatne 32 </w:t>
      </w:r>
      <w:r w:rsidR="00885A78" w:rsidRPr="00F24057">
        <w:rPr>
          <w:szCs w:val="22"/>
          <w:lang w:val="sr-Latn-ME"/>
        </w:rPr>
        <w:t>nedjelj</w:t>
      </w:r>
      <w:r w:rsidRPr="00F24057">
        <w:rPr>
          <w:szCs w:val="22"/>
          <w:lang w:val="sr-Latn-ME"/>
        </w:rPr>
        <w:t>e ili do ponovnog aktiviranja bolesti. Reaktivacija bolesti je definisana kao pogoršanje ≥ 30% od početnog stanja u ≥ 3 od 6 pedijatrijskih ACR glavnih kriterijuma, ≥ 2 aktivna zgloba, i poboljšanj</w:t>
      </w:r>
      <w:r w:rsidR="003B02AA" w:rsidRPr="00F24057">
        <w:rPr>
          <w:szCs w:val="22"/>
          <w:lang w:val="sr-Latn-ME"/>
        </w:rPr>
        <w:t>e</w:t>
      </w:r>
      <w:r w:rsidRPr="00F24057">
        <w:rPr>
          <w:szCs w:val="22"/>
          <w:lang w:val="sr-Latn-ME"/>
        </w:rPr>
        <w:t xml:space="preserve"> &gt; 30% u ne više od 1 od 6 kriterijuma. Nakon 32 </w:t>
      </w:r>
      <w:r w:rsidR="00885A78" w:rsidRPr="00F24057">
        <w:rPr>
          <w:szCs w:val="22"/>
          <w:lang w:val="sr-Latn-ME"/>
        </w:rPr>
        <w:t>nedjelj</w:t>
      </w:r>
      <w:r w:rsidRPr="00F24057">
        <w:rPr>
          <w:szCs w:val="22"/>
          <w:lang w:val="sr-Latn-ME"/>
        </w:rPr>
        <w:t xml:space="preserve">e ili </w:t>
      </w:r>
      <w:r w:rsidR="009811CA" w:rsidRPr="00F24057">
        <w:rPr>
          <w:szCs w:val="22"/>
          <w:lang w:val="sr-Latn-ME"/>
        </w:rPr>
        <w:t>usljed</w:t>
      </w:r>
      <w:r w:rsidRPr="00F24057">
        <w:rPr>
          <w:szCs w:val="22"/>
          <w:lang w:val="sr-Latn-ME"/>
        </w:rPr>
        <w:t xml:space="preserve"> reaktivacije bolesti, pacijenti su uključivani u otvorenu produženu fazu kliničkog ispitivanja.</w:t>
      </w:r>
    </w:p>
    <w:p w14:paraId="6FBC87CF" w14:textId="77777777" w:rsidR="00771666" w:rsidRPr="00F24057" w:rsidRDefault="00771666" w:rsidP="00D70B34">
      <w:pPr>
        <w:rPr>
          <w:szCs w:val="22"/>
          <w:lang w:val="sr-Latn-ME"/>
        </w:rPr>
      </w:pPr>
    </w:p>
    <w:p w14:paraId="5452B8E3" w14:textId="7B49EC24" w:rsidR="00771666" w:rsidRPr="00F24057" w:rsidRDefault="00771666" w:rsidP="00D70B34">
      <w:pPr>
        <w:rPr>
          <w:b/>
          <w:szCs w:val="22"/>
          <w:lang w:val="sr-Latn-ME"/>
        </w:rPr>
      </w:pPr>
      <w:r w:rsidRPr="00F24057">
        <w:rPr>
          <w:b/>
          <w:szCs w:val="22"/>
          <w:lang w:val="sr-Latn-ME"/>
        </w:rPr>
        <w:t xml:space="preserve">Tabela </w:t>
      </w:r>
      <w:r w:rsidR="00461900" w:rsidRPr="00F24057">
        <w:rPr>
          <w:b/>
          <w:szCs w:val="22"/>
          <w:lang w:val="sr-Latn-ME"/>
        </w:rPr>
        <w:t>26</w:t>
      </w:r>
      <w:r w:rsidR="002B5CFB" w:rsidRPr="00F24057">
        <w:rPr>
          <w:b/>
          <w:szCs w:val="22"/>
          <w:lang w:val="sr-Latn-ME"/>
        </w:rPr>
        <w:t>.</w:t>
      </w:r>
      <w:r w:rsidRPr="00F24057">
        <w:rPr>
          <w:b/>
          <w:szCs w:val="22"/>
          <w:lang w:val="sr-Latn-ME"/>
        </w:rPr>
        <w:t xml:space="preserve"> Pedijatrijski ACR 30 odgovor u studiji sa poliartikularnim juvenilnim idiopatskim artritisom</w:t>
      </w:r>
    </w:p>
    <w:p w14:paraId="24DCC483" w14:textId="77777777" w:rsidR="00771666" w:rsidRPr="00F24057" w:rsidRDefault="00771666" w:rsidP="00D70B34">
      <w:pPr>
        <w:rPr>
          <w:b/>
          <w:szCs w:val="22"/>
          <w:lang w:val="sr-Latn-ME"/>
        </w:rPr>
      </w:pPr>
    </w:p>
    <w:tbl>
      <w:tblPr>
        <w:tblW w:w="5000" w:type="pct"/>
        <w:tblCellMar>
          <w:top w:w="46" w:type="dxa"/>
          <w:left w:w="85" w:type="dxa"/>
          <w:right w:w="85" w:type="dxa"/>
        </w:tblCellMar>
        <w:tblLook w:val="04A0" w:firstRow="1" w:lastRow="0" w:firstColumn="1" w:lastColumn="0" w:noHBand="0" w:noVBand="1"/>
      </w:tblPr>
      <w:tblGrid>
        <w:gridCol w:w="2972"/>
        <w:gridCol w:w="1529"/>
        <w:gridCol w:w="1479"/>
        <w:gridCol w:w="1405"/>
        <w:gridCol w:w="1632"/>
      </w:tblGrid>
      <w:tr w:rsidR="00461900" w:rsidRPr="00F24057" w14:paraId="548F2926" w14:textId="77777777" w:rsidTr="00E579CE">
        <w:trPr>
          <w:trHeight w:val="20"/>
        </w:trPr>
        <w:tc>
          <w:tcPr>
            <w:tcW w:w="1648" w:type="pct"/>
            <w:tcBorders>
              <w:top w:val="single" w:sz="4" w:space="0" w:color="000000"/>
              <w:left w:val="single" w:sz="4" w:space="0" w:color="000000"/>
              <w:bottom w:val="single" w:sz="4" w:space="0" w:color="000000"/>
              <w:right w:val="single" w:sz="4" w:space="0" w:color="000000"/>
            </w:tcBorders>
            <w:vAlign w:val="center"/>
          </w:tcPr>
          <w:p w14:paraId="048BBABB" w14:textId="54883C37" w:rsidR="00461900" w:rsidRPr="00F24057" w:rsidRDefault="00461900" w:rsidP="00D70B34">
            <w:pPr>
              <w:jc w:val="left"/>
              <w:rPr>
                <w:b/>
                <w:bCs/>
                <w:szCs w:val="22"/>
                <w:lang w:val="sr-Latn-ME"/>
              </w:rPr>
            </w:pPr>
            <w:r w:rsidRPr="00F24057">
              <w:rPr>
                <w:b/>
                <w:bCs/>
                <w:szCs w:val="22"/>
                <w:lang w:val="sr-Latn-ME"/>
              </w:rPr>
              <w:lastRenderedPageBreak/>
              <w:t>Raspod</w:t>
            </w:r>
            <w:r w:rsidR="001D051D" w:rsidRPr="00F24057">
              <w:rPr>
                <w:b/>
                <w:bCs/>
                <w:szCs w:val="22"/>
                <w:lang w:val="sr-Latn-ME"/>
              </w:rPr>
              <w:t>j</w:t>
            </w:r>
            <w:r w:rsidRPr="00F24057">
              <w:rPr>
                <w:b/>
                <w:bCs/>
                <w:szCs w:val="22"/>
                <w:lang w:val="sr-Latn-ME"/>
              </w:rPr>
              <w:t>ela</w:t>
            </w:r>
          </w:p>
        </w:tc>
        <w:tc>
          <w:tcPr>
            <w:tcW w:w="1667" w:type="pct"/>
            <w:gridSpan w:val="2"/>
            <w:tcBorders>
              <w:top w:val="single" w:sz="4" w:space="0" w:color="000000"/>
              <w:left w:val="single" w:sz="4" w:space="0" w:color="000000"/>
              <w:bottom w:val="single" w:sz="4" w:space="0" w:color="000000"/>
              <w:right w:val="single" w:sz="4" w:space="0" w:color="000000"/>
            </w:tcBorders>
            <w:vAlign w:val="center"/>
          </w:tcPr>
          <w:p w14:paraId="7F873860" w14:textId="77777777" w:rsidR="00461900" w:rsidRPr="00F24057" w:rsidRDefault="00461900" w:rsidP="00D70B34">
            <w:pPr>
              <w:jc w:val="center"/>
              <w:rPr>
                <w:b/>
                <w:bCs/>
                <w:szCs w:val="22"/>
                <w:lang w:val="sr-Latn-ME"/>
              </w:rPr>
            </w:pPr>
            <w:r w:rsidRPr="00F24057">
              <w:rPr>
                <w:b/>
                <w:bCs/>
                <w:szCs w:val="22"/>
                <w:lang w:val="sr-Latn-ME"/>
              </w:rPr>
              <w:t>MTX</w:t>
            </w:r>
          </w:p>
        </w:tc>
        <w:tc>
          <w:tcPr>
            <w:tcW w:w="1685" w:type="pct"/>
            <w:gridSpan w:val="2"/>
            <w:tcBorders>
              <w:top w:val="single" w:sz="4" w:space="0" w:color="000000"/>
              <w:left w:val="single" w:sz="4" w:space="0" w:color="000000"/>
              <w:bottom w:val="single" w:sz="4" w:space="0" w:color="000000"/>
              <w:right w:val="single" w:sz="4" w:space="0" w:color="000000"/>
            </w:tcBorders>
            <w:vAlign w:val="center"/>
          </w:tcPr>
          <w:p w14:paraId="40353716" w14:textId="1C3D34FC" w:rsidR="00461900" w:rsidRPr="00F24057" w:rsidRDefault="00461900" w:rsidP="00D70B34">
            <w:pPr>
              <w:jc w:val="center"/>
              <w:rPr>
                <w:b/>
                <w:bCs/>
                <w:szCs w:val="22"/>
                <w:lang w:val="sr-Latn-ME"/>
              </w:rPr>
            </w:pPr>
            <w:r w:rsidRPr="00F24057">
              <w:rPr>
                <w:b/>
                <w:bCs/>
                <w:szCs w:val="22"/>
                <w:lang w:val="sr-Latn-ME"/>
              </w:rPr>
              <w:t>Bez MTX</w:t>
            </w:r>
          </w:p>
        </w:tc>
      </w:tr>
      <w:tr w:rsidR="00461900" w:rsidRPr="00F24057" w14:paraId="02378045" w14:textId="77777777" w:rsidTr="00E579CE">
        <w:trPr>
          <w:trHeight w:val="20"/>
        </w:trPr>
        <w:tc>
          <w:tcPr>
            <w:tcW w:w="1648" w:type="pct"/>
            <w:tcBorders>
              <w:top w:val="single" w:sz="4" w:space="0" w:color="000000"/>
              <w:left w:val="single" w:sz="4" w:space="0" w:color="000000"/>
              <w:bottom w:val="single" w:sz="4" w:space="0" w:color="000000"/>
              <w:right w:val="single" w:sz="4" w:space="0" w:color="000000"/>
            </w:tcBorders>
            <w:vAlign w:val="center"/>
          </w:tcPr>
          <w:p w14:paraId="132A7A2A" w14:textId="77777777" w:rsidR="00461900" w:rsidRPr="00F24057" w:rsidRDefault="00461900" w:rsidP="00D70B34">
            <w:pPr>
              <w:jc w:val="left"/>
              <w:rPr>
                <w:szCs w:val="22"/>
                <w:lang w:val="sr-Latn-ME"/>
              </w:rPr>
            </w:pPr>
            <w:r w:rsidRPr="00F24057">
              <w:rPr>
                <w:szCs w:val="22"/>
                <w:lang w:val="sr-Latn-ME"/>
              </w:rPr>
              <w:t>Faza</w:t>
            </w:r>
          </w:p>
        </w:tc>
        <w:tc>
          <w:tcPr>
            <w:tcW w:w="1667" w:type="pct"/>
            <w:gridSpan w:val="2"/>
            <w:tcBorders>
              <w:top w:val="single" w:sz="4" w:space="0" w:color="000000"/>
              <w:left w:val="single" w:sz="4" w:space="0" w:color="000000"/>
              <w:bottom w:val="single" w:sz="4" w:space="0" w:color="000000"/>
              <w:right w:val="single" w:sz="4" w:space="0" w:color="000000"/>
            </w:tcBorders>
            <w:vAlign w:val="center"/>
          </w:tcPr>
          <w:p w14:paraId="5F9D4B30" w14:textId="77777777" w:rsidR="00461900" w:rsidRPr="00F24057" w:rsidRDefault="00461900" w:rsidP="00D70B34">
            <w:pPr>
              <w:jc w:val="center"/>
              <w:rPr>
                <w:szCs w:val="22"/>
                <w:lang w:val="sr-Latn-ME"/>
              </w:rPr>
            </w:pPr>
          </w:p>
        </w:tc>
        <w:tc>
          <w:tcPr>
            <w:tcW w:w="1685" w:type="pct"/>
            <w:gridSpan w:val="2"/>
            <w:tcBorders>
              <w:top w:val="single" w:sz="4" w:space="0" w:color="000000"/>
              <w:left w:val="single" w:sz="4" w:space="0" w:color="000000"/>
              <w:bottom w:val="single" w:sz="4" w:space="0" w:color="000000"/>
              <w:right w:val="single" w:sz="4" w:space="0" w:color="000000"/>
            </w:tcBorders>
            <w:vAlign w:val="center"/>
          </w:tcPr>
          <w:p w14:paraId="14DD2094" w14:textId="77777777" w:rsidR="00461900" w:rsidRPr="00F24057" w:rsidRDefault="00461900" w:rsidP="00D70B34">
            <w:pPr>
              <w:jc w:val="center"/>
              <w:rPr>
                <w:szCs w:val="22"/>
                <w:lang w:val="sr-Latn-ME"/>
              </w:rPr>
            </w:pPr>
          </w:p>
        </w:tc>
      </w:tr>
      <w:tr w:rsidR="00461900" w:rsidRPr="00F24057" w14:paraId="5B2FA3F5" w14:textId="77777777" w:rsidTr="00E579CE">
        <w:trPr>
          <w:trHeight w:val="20"/>
        </w:trPr>
        <w:tc>
          <w:tcPr>
            <w:tcW w:w="1648" w:type="pct"/>
            <w:tcBorders>
              <w:top w:val="single" w:sz="4" w:space="0" w:color="000000"/>
              <w:left w:val="single" w:sz="4" w:space="0" w:color="000000"/>
              <w:bottom w:val="single" w:sz="4" w:space="0" w:color="000000"/>
              <w:right w:val="single" w:sz="4" w:space="0" w:color="000000"/>
            </w:tcBorders>
            <w:vAlign w:val="center"/>
          </w:tcPr>
          <w:p w14:paraId="26409AE1" w14:textId="77777777" w:rsidR="00461900" w:rsidRPr="00F24057" w:rsidRDefault="00461900" w:rsidP="00D70B34">
            <w:pPr>
              <w:jc w:val="left"/>
              <w:rPr>
                <w:szCs w:val="22"/>
                <w:lang w:val="sr-Latn-ME"/>
              </w:rPr>
            </w:pPr>
            <w:r w:rsidRPr="00F24057">
              <w:rPr>
                <w:szCs w:val="22"/>
                <w:lang w:val="sr-Latn-ME"/>
              </w:rPr>
              <w:t xml:space="preserve">Otvorena uvodna faza </w:t>
            </w:r>
          </w:p>
          <w:p w14:paraId="0175362F" w14:textId="26F53CA0" w:rsidR="00461900" w:rsidRPr="00F24057" w:rsidRDefault="00461900" w:rsidP="00D70B34">
            <w:pPr>
              <w:jc w:val="left"/>
              <w:rPr>
                <w:szCs w:val="22"/>
                <w:lang w:val="sr-Latn-ME"/>
              </w:rPr>
            </w:pPr>
            <w:r w:rsidRPr="00F24057">
              <w:rPr>
                <w:szCs w:val="22"/>
                <w:lang w:val="sr-Latn-ME"/>
              </w:rPr>
              <w:t>(</w:t>
            </w:r>
            <w:r w:rsidRPr="00F24057">
              <w:rPr>
                <w:i/>
                <w:iCs/>
                <w:szCs w:val="22"/>
                <w:lang w:val="sr-Latn-ME"/>
              </w:rPr>
              <w:t>open-label lead</w:t>
            </w:r>
            <w:r w:rsidRPr="00F24057">
              <w:rPr>
                <w:szCs w:val="22"/>
                <w:lang w:val="sr-Latn-ME"/>
              </w:rPr>
              <w:t xml:space="preserve"> in-OL LI)</w:t>
            </w:r>
            <w:r w:rsidR="00277701" w:rsidRPr="00F24057">
              <w:rPr>
                <w:szCs w:val="22"/>
                <w:lang w:val="sr-Latn-ME"/>
              </w:rPr>
              <w:t xml:space="preserve"> </w:t>
            </w:r>
            <w:r w:rsidRPr="00F24057">
              <w:rPr>
                <w:szCs w:val="22"/>
                <w:lang w:val="sr-Latn-ME"/>
              </w:rPr>
              <w:t xml:space="preserve">– 16 </w:t>
            </w:r>
            <w:r w:rsidR="00885A78" w:rsidRPr="00F24057">
              <w:rPr>
                <w:szCs w:val="22"/>
                <w:lang w:val="sr-Latn-ME"/>
              </w:rPr>
              <w:t>nedjelj</w:t>
            </w:r>
            <w:r w:rsidRPr="00F24057">
              <w:rPr>
                <w:szCs w:val="22"/>
                <w:lang w:val="sr-Latn-ME"/>
              </w:rPr>
              <w:t>a</w:t>
            </w:r>
          </w:p>
        </w:tc>
        <w:tc>
          <w:tcPr>
            <w:tcW w:w="1667" w:type="pct"/>
            <w:gridSpan w:val="2"/>
            <w:tcBorders>
              <w:top w:val="single" w:sz="4" w:space="0" w:color="000000"/>
              <w:left w:val="single" w:sz="4" w:space="0" w:color="000000"/>
              <w:bottom w:val="single" w:sz="4" w:space="0" w:color="000000"/>
              <w:right w:val="single" w:sz="4" w:space="0" w:color="000000"/>
            </w:tcBorders>
            <w:vAlign w:val="center"/>
          </w:tcPr>
          <w:p w14:paraId="08AC4CD2" w14:textId="77777777" w:rsidR="00461900" w:rsidRPr="00F24057" w:rsidRDefault="00461900" w:rsidP="00D70B34">
            <w:pPr>
              <w:jc w:val="center"/>
              <w:rPr>
                <w:szCs w:val="22"/>
                <w:lang w:val="sr-Latn-ME"/>
              </w:rPr>
            </w:pPr>
          </w:p>
        </w:tc>
        <w:tc>
          <w:tcPr>
            <w:tcW w:w="1685" w:type="pct"/>
            <w:gridSpan w:val="2"/>
            <w:tcBorders>
              <w:top w:val="single" w:sz="4" w:space="0" w:color="000000"/>
              <w:left w:val="single" w:sz="4" w:space="0" w:color="000000"/>
              <w:bottom w:val="single" w:sz="4" w:space="0" w:color="000000"/>
              <w:right w:val="single" w:sz="4" w:space="0" w:color="000000"/>
            </w:tcBorders>
            <w:vAlign w:val="center"/>
          </w:tcPr>
          <w:p w14:paraId="3DED7F0B" w14:textId="77777777" w:rsidR="00461900" w:rsidRPr="00F24057" w:rsidRDefault="00461900" w:rsidP="00D70B34">
            <w:pPr>
              <w:jc w:val="center"/>
              <w:rPr>
                <w:szCs w:val="22"/>
                <w:lang w:val="sr-Latn-ME"/>
              </w:rPr>
            </w:pPr>
          </w:p>
        </w:tc>
      </w:tr>
      <w:tr w:rsidR="00461900" w:rsidRPr="00F24057" w14:paraId="057CC8B9" w14:textId="77777777" w:rsidTr="00E579CE">
        <w:trPr>
          <w:trHeight w:val="20"/>
        </w:trPr>
        <w:tc>
          <w:tcPr>
            <w:tcW w:w="1648" w:type="pct"/>
            <w:tcBorders>
              <w:top w:val="single" w:sz="4" w:space="0" w:color="000000"/>
              <w:left w:val="single" w:sz="4" w:space="0" w:color="000000"/>
              <w:bottom w:val="single" w:sz="4" w:space="0" w:color="000000"/>
              <w:right w:val="single" w:sz="4" w:space="0" w:color="000000"/>
            </w:tcBorders>
            <w:vAlign w:val="center"/>
          </w:tcPr>
          <w:p w14:paraId="4DB1DB79" w14:textId="77777777" w:rsidR="00461900" w:rsidRPr="00F24057" w:rsidRDefault="00461900" w:rsidP="002B5CFB">
            <w:pPr>
              <w:tabs>
                <w:tab w:val="clear" w:pos="284"/>
              </w:tabs>
              <w:ind w:left="284"/>
              <w:jc w:val="left"/>
              <w:rPr>
                <w:szCs w:val="22"/>
                <w:lang w:val="sr-Latn-ME"/>
              </w:rPr>
            </w:pPr>
            <w:r w:rsidRPr="00F24057">
              <w:rPr>
                <w:szCs w:val="22"/>
                <w:lang w:val="sr-Latn-ME"/>
              </w:rPr>
              <w:t>Ped ACR 30 odgovor (n/N)</w:t>
            </w:r>
          </w:p>
        </w:tc>
        <w:tc>
          <w:tcPr>
            <w:tcW w:w="1667" w:type="pct"/>
            <w:gridSpan w:val="2"/>
            <w:tcBorders>
              <w:top w:val="single" w:sz="4" w:space="0" w:color="000000"/>
              <w:left w:val="single" w:sz="4" w:space="0" w:color="000000"/>
              <w:bottom w:val="single" w:sz="4" w:space="0" w:color="000000"/>
              <w:right w:val="single" w:sz="4" w:space="0" w:color="000000"/>
            </w:tcBorders>
            <w:vAlign w:val="center"/>
          </w:tcPr>
          <w:p w14:paraId="3B3D9942" w14:textId="77777777" w:rsidR="00461900" w:rsidRPr="00F24057" w:rsidRDefault="00461900" w:rsidP="00D70B34">
            <w:pPr>
              <w:jc w:val="center"/>
              <w:rPr>
                <w:szCs w:val="22"/>
                <w:lang w:val="sr-Latn-ME"/>
              </w:rPr>
            </w:pPr>
            <w:r w:rsidRPr="00F24057">
              <w:rPr>
                <w:szCs w:val="22"/>
                <w:lang w:val="sr-Latn-ME"/>
              </w:rPr>
              <w:t>94,1% (80/85)</w:t>
            </w:r>
          </w:p>
        </w:tc>
        <w:tc>
          <w:tcPr>
            <w:tcW w:w="1685" w:type="pct"/>
            <w:gridSpan w:val="2"/>
            <w:tcBorders>
              <w:top w:val="single" w:sz="4" w:space="0" w:color="000000"/>
              <w:left w:val="single" w:sz="4" w:space="0" w:color="000000"/>
              <w:bottom w:val="single" w:sz="4" w:space="0" w:color="000000"/>
              <w:right w:val="single" w:sz="4" w:space="0" w:color="000000"/>
            </w:tcBorders>
            <w:vAlign w:val="center"/>
          </w:tcPr>
          <w:p w14:paraId="75E8F7F1" w14:textId="0CFD587D" w:rsidR="00461900" w:rsidRPr="00F24057" w:rsidRDefault="00461900" w:rsidP="00D70B34">
            <w:pPr>
              <w:jc w:val="center"/>
              <w:rPr>
                <w:szCs w:val="22"/>
                <w:lang w:val="sr-Latn-ME"/>
              </w:rPr>
            </w:pPr>
            <w:r w:rsidRPr="00F24057">
              <w:rPr>
                <w:szCs w:val="22"/>
                <w:lang w:val="sr-Latn-ME"/>
              </w:rPr>
              <w:t>74,4% (64/86)</w:t>
            </w:r>
          </w:p>
        </w:tc>
      </w:tr>
      <w:tr w:rsidR="00461900" w:rsidRPr="00F24057" w14:paraId="5FEF3280" w14:textId="77777777" w:rsidTr="00F1226A">
        <w:trPr>
          <w:trHeight w:val="2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5A829DDE" w14:textId="5CA16DC1" w:rsidR="00461900" w:rsidRPr="00F24057" w:rsidRDefault="00461900" w:rsidP="00D70B34">
            <w:pPr>
              <w:jc w:val="center"/>
              <w:rPr>
                <w:szCs w:val="22"/>
                <w:lang w:val="sr-Latn-ME"/>
              </w:rPr>
            </w:pPr>
            <w:r w:rsidRPr="00F24057">
              <w:rPr>
                <w:szCs w:val="22"/>
                <w:lang w:val="sr-Latn-ME"/>
              </w:rPr>
              <w:t>Rezultat efikasnosti</w:t>
            </w:r>
          </w:p>
        </w:tc>
      </w:tr>
      <w:tr w:rsidR="00771666" w:rsidRPr="00F24057" w14:paraId="1565340D" w14:textId="77777777" w:rsidTr="00E579CE">
        <w:trPr>
          <w:trHeight w:val="20"/>
        </w:trPr>
        <w:tc>
          <w:tcPr>
            <w:tcW w:w="1648" w:type="pct"/>
            <w:tcBorders>
              <w:top w:val="single" w:sz="4" w:space="0" w:color="000000"/>
              <w:left w:val="single" w:sz="4" w:space="0" w:color="000000"/>
              <w:bottom w:val="single" w:sz="4" w:space="0" w:color="000000"/>
              <w:right w:val="single" w:sz="4" w:space="0" w:color="000000"/>
            </w:tcBorders>
            <w:vAlign w:val="center"/>
          </w:tcPr>
          <w:p w14:paraId="76714511" w14:textId="7B58889E" w:rsidR="00771666" w:rsidRPr="00F24057" w:rsidRDefault="00771666" w:rsidP="00D70B34">
            <w:pPr>
              <w:jc w:val="left"/>
              <w:rPr>
                <w:b/>
                <w:bCs/>
                <w:szCs w:val="22"/>
                <w:lang w:val="sr-Latn-ME"/>
              </w:rPr>
            </w:pPr>
            <w:r w:rsidRPr="00F24057">
              <w:rPr>
                <w:b/>
                <w:bCs/>
                <w:szCs w:val="22"/>
                <w:lang w:val="sr-Latn-ME"/>
              </w:rPr>
              <w:t xml:space="preserve">Dvostruko </w:t>
            </w:r>
            <w:r w:rsidR="00972894" w:rsidRPr="00F24057">
              <w:rPr>
                <w:b/>
                <w:bCs/>
                <w:szCs w:val="22"/>
                <w:lang w:val="sr-Latn-ME"/>
              </w:rPr>
              <w:t>slijep</w:t>
            </w:r>
            <w:r w:rsidRPr="00F24057">
              <w:rPr>
                <w:b/>
                <w:bCs/>
                <w:szCs w:val="22"/>
                <w:lang w:val="sr-Latn-ME"/>
              </w:rPr>
              <w:t xml:space="preserve">o – 32 </w:t>
            </w:r>
            <w:r w:rsidR="00885A78" w:rsidRPr="00F24057">
              <w:rPr>
                <w:b/>
                <w:bCs/>
                <w:szCs w:val="22"/>
                <w:lang w:val="sr-Latn-ME"/>
              </w:rPr>
              <w:t>nedjelj</w:t>
            </w:r>
            <w:r w:rsidRPr="00F24057">
              <w:rPr>
                <w:b/>
                <w:bCs/>
                <w:szCs w:val="22"/>
                <w:lang w:val="sr-Latn-ME"/>
              </w:rPr>
              <w:t>e</w:t>
            </w:r>
          </w:p>
        </w:tc>
        <w:tc>
          <w:tcPr>
            <w:tcW w:w="848" w:type="pct"/>
            <w:tcBorders>
              <w:top w:val="single" w:sz="4" w:space="0" w:color="000000"/>
              <w:left w:val="single" w:sz="4" w:space="0" w:color="000000"/>
              <w:bottom w:val="single" w:sz="4" w:space="0" w:color="000000"/>
              <w:right w:val="single" w:sz="4" w:space="0" w:color="000000"/>
            </w:tcBorders>
            <w:vAlign w:val="center"/>
          </w:tcPr>
          <w:p w14:paraId="7273A4F1" w14:textId="77777777" w:rsidR="00771666" w:rsidRPr="00F24057" w:rsidRDefault="00771666" w:rsidP="00D70B34">
            <w:pPr>
              <w:jc w:val="left"/>
              <w:rPr>
                <w:b/>
                <w:bCs/>
                <w:szCs w:val="22"/>
                <w:lang w:val="sr-Latn-ME"/>
              </w:rPr>
            </w:pPr>
            <w:r w:rsidRPr="00F24057">
              <w:rPr>
                <w:b/>
                <w:bCs/>
                <w:szCs w:val="22"/>
                <w:lang w:val="sr-Latn-ME"/>
              </w:rPr>
              <w:t>Adalimumab/ MTX (N=38)</w:t>
            </w:r>
          </w:p>
        </w:tc>
        <w:tc>
          <w:tcPr>
            <w:tcW w:w="820" w:type="pct"/>
            <w:tcBorders>
              <w:top w:val="single" w:sz="4" w:space="0" w:color="000000"/>
              <w:left w:val="single" w:sz="4" w:space="0" w:color="000000"/>
              <w:bottom w:val="single" w:sz="4" w:space="0" w:color="000000"/>
              <w:right w:val="single" w:sz="4" w:space="0" w:color="000000"/>
            </w:tcBorders>
            <w:vAlign w:val="center"/>
          </w:tcPr>
          <w:p w14:paraId="598BB6D9" w14:textId="77777777" w:rsidR="00771666" w:rsidRPr="00F24057" w:rsidRDefault="00771666" w:rsidP="00D70B34">
            <w:pPr>
              <w:jc w:val="left"/>
              <w:rPr>
                <w:b/>
                <w:bCs/>
                <w:szCs w:val="22"/>
                <w:lang w:val="sr-Latn-ME"/>
              </w:rPr>
            </w:pPr>
            <w:r w:rsidRPr="00F24057">
              <w:rPr>
                <w:b/>
                <w:bCs/>
                <w:szCs w:val="22"/>
                <w:lang w:val="sr-Latn-ME"/>
              </w:rPr>
              <w:t>Placebo/MTX (N=37)</w:t>
            </w:r>
          </w:p>
        </w:tc>
        <w:tc>
          <w:tcPr>
            <w:tcW w:w="779" w:type="pct"/>
            <w:tcBorders>
              <w:top w:val="single" w:sz="4" w:space="0" w:color="000000"/>
              <w:left w:val="single" w:sz="4" w:space="0" w:color="000000"/>
              <w:bottom w:val="single" w:sz="4" w:space="0" w:color="000000"/>
              <w:right w:val="single" w:sz="4" w:space="0" w:color="000000"/>
            </w:tcBorders>
            <w:vAlign w:val="center"/>
          </w:tcPr>
          <w:p w14:paraId="5FF28210" w14:textId="77777777" w:rsidR="00771666" w:rsidRPr="00F24057" w:rsidRDefault="00771666" w:rsidP="00D70B34">
            <w:pPr>
              <w:jc w:val="left"/>
              <w:rPr>
                <w:b/>
                <w:bCs/>
                <w:szCs w:val="22"/>
                <w:lang w:val="sr-Latn-ME"/>
              </w:rPr>
            </w:pPr>
            <w:r w:rsidRPr="00F24057">
              <w:rPr>
                <w:b/>
                <w:bCs/>
                <w:szCs w:val="22"/>
                <w:lang w:val="sr-Latn-ME"/>
              </w:rPr>
              <w:t>Adalimumab (N=30)</w:t>
            </w:r>
          </w:p>
        </w:tc>
        <w:tc>
          <w:tcPr>
            <w:tcW w:w="906" w:type="pct"/>
            <w:tcBorders>
              <w:top w:val="single" w:sz="4" w:space="0" w:color="000000"/>
              <w:left w:val="single" w:sz="4" w:space="0" w:color="000000"/>
              <w:bottom w:val="single" w:sz="4" w:space="0" w:color="000000"/>
              <w:right w:val="single" w:sz="4" w:space="0" w:color="000000"/>
            </w:tcBorders>
            <w:vAlign w:val="center"/>
          </w:tcPr>
          <w:p w14:paraId="75749AD8" w14:textId="77777777" w:rsidR="00771666" w:rsidRPr="00F24057" w:rsidRDefault="00771666" w:rsidP="00D70B34">
            <w:pPr>
              <w:jc w:val="left"/>
              <w:rPr>
                <w:b/>
                <w:bCs/>
                <w:szCs w:val="22"/>
                <w:lang w:val="sr-Latn-ME"/>
              </w:rPr>
            </w:pPr>
            <w:r w:rsidRPr="00F24057">
              <w:rPr>
                <w:b/>
                <w:bCs/>
                <w:szCs w:val="22"/>
                <w:lang w:val="sr-Latn-ME"/>
              </w:rPr>
              <w:t>Placebo (N=28)</w:t>
            </w:r>
          </w:p>
        </w:tc>
      </w:tr>
      <w:tr w:rsidR="00771666" w:rsidRPr="00F24057" w14:paraId="1B587AB6" w14:textId="77777777" w:rsidTr="00E579CE">
        <w:trPr>
          <w:trHeight w:val="20"/>
        </w:trPr>
        <w:tc>
          <w:tcPr>
            <w:tcW w:w="1648" w:type="pct"/>
            <w:tcBorders>
              <w:top w:val="single" w:sz="4" w:space="0" w:color="000000"/>
              <w:left w:val="single" w:sz="4" w:space="0" w:color="000000"/>
              <w:bottom w:val="single" w:sz="4" w:space="0" w:color="000000"/>
              <w:right w:val="single" w:sz="4" w:space="0" w:color="000000"/>
            </w:tcBorders>
            <w:vAlign w:val="center"/>
          </w:tcPr>
          <w:p w14:paraId="668A99A2" w14:textId="51F9E389" w:rsidR="00771666" w:rsidRPr="00F24057" w:rsidRDefault="00771666" w:rsidP="00D70B34">
            <w:pPr>
              <w:jc w:val="left"/>
              <w:rPr>
                <w:szCs w:val="22"/>
                <w:lang w:val="sr-Latn-ME"/>
              </w:rPr>
            </w:pPr>
            <w:r w:rsidRPr="00F24057">
              <w:rPr>
                <w:szCs w:val="22"/>
                <w:lang w:val="sr-Latn-ME"/>
              </w:rPr>
              <w:t>Reaktivacija bolesti pri kraju perioda od 32</w:t>
            </w:r>
            <w:r w:rsidR="00277701" w:rsidRPr="00F24057">
              <w:rPr>
                <w:szCs w:val="22"/>
                <w:lang w:val="sr-Latn-ME"/>
              </w:rPr>
              <w:t xml:space="preserve"> </w:t>
            </w:r>
            <w:r w:rsidR="00885A78" w:rsidRPr="00F24057">
              <w:rPr>
                <w:szCs w:val="22"/>
                <w:lang w:val="sr-Latn-ME"/>
              </w:rPr>
              <w:t>nedjelj</w:t>
            </w:r>
            <w:r w:rsidRPr="00F24057">
              <w:rPr>
                <w:szCs w:val="22"/>
                <w:lang w:val="sr-Latn-ME"/>
              </w:rPr>
              <w:t>e (n/N)</w:t>
            </w:r>
            <w:r w:rsidR="00FE4E80" w:rsidRPr="00F24057">
              <w:rPr>
                <w:szCs w:val="22"/>
                <w:vertAlign w:val="superscript"/>
                <w:lang w:val="sr-Latn-ME"/>
              </w:rPr>
              <w:t>a</w:t>
            </w:r>
          </w:p>
        </w:tc>
        <w:tc>
          <w:tcPr>
            <w:tcW w:w="848" w:type="pct"/>
            <w:tcBorders>
              <w:top w:val="single" w:sz="4" w:space="0" w:color="000000"/>
              <w:left w:val="single" w:sz="4" w:space="0" w:color="000000"/>
              <w:bottom w:val="single" w:sz="4" w:space="0" w:color="000000"/>
              <w:right w:val="single" w:sz="4" w:space="0" w:color="000000"/>
            </w:tcBorders>
            <w:vAlign w:val="center"/>
          </w:tcPr>
          <w:p w14:paraId="6E34BD8E" w14:textId="77777777" w:rsidR="00771666" w:rsidRPr="00F24057" w:rsidRDefault="00771666" w:rsidP="00D70B34">
            <w:pPr>
              <w:jc w:val="center"/>
              <w:rPr>
                <w:szCs w:val="22"/>
                <w:lang w:val="sr-Latn-ME"/>
              </w:rPr>
            </w:pPr>
            <w:r w:rsidRPr="00F24057">
              <w:rPr>
                <w:szCs w:val="22"/>
                <w:lang w:val="sr-Latn-ME"/>
              </w:rPr>
              <w:t>36,8% (14/38)</w:t>
            </w:r>
          </w:p>
        </w:tc>
        <w:tc>
          <w:tcPr>
            <w:tcW w:w="820" w:type="pct"/>
            <w:tcBorders>
              <w:top w:val="single" w:sz="4" w:space="0" w:color="000000"/>
              <w:left w:val="single" w:sz="4" w:space="0" w:color="000000"/>
              <w:bottom w:val="single" w:sz="4" w:space="0" w:color="000000"/>
              <w:right w:val="single" w:sz="4" w:space="0" w:color="000000"/>
            </w:tcBorders>
            <w:vAlign w:val="center"/>
          </w:tcPr>
          <w:p w14:paraId="7858EB64" w14:textId="77777777" w:rsidR="00771666" w:rsidRPr="00F24057" w:rsidRDefault="00771666" w:rsidP="00D70B34">
            <w:pPr>
              <w:jc w:val="center"/>
              <w:rPr>
                <w:szCs w:val="22"/>
                <w:lang w:val="sr-Latn-ME"/>
              </w:rPr>
            </w:pPr>
            <w:r w:rsidRPr="00F24057">
              <w:rPr>
                <w:szCs w:val="22"/>
                <w:lang w:val="sr-Latn-ME"/>
              </w:rPr>
              <w:t>64,9% (24/37)</w:t>
            </w:r>
            <w:r w:rsidRPr="00F24057">
              <w:rPr>
                <w:szCs w:val="22"/>
                <w:vertAlign w:val="superscript"/>
                <w:lang w:val="sr-Latn-ME"/>
              </w:rPr>
              <w:t>b</w:t>
            </w:r>
          </w:p>
        </w:tc>
        <w:tc>
          <w:tcPr>
            <w:tcW w:w="779" w:type="pct"/>
            <w:tcBorders>
              <w:top w:val="single" w:sz="4" w:space="0" w:color="000000"/>
              <w:left w:val="single" w:sz="4" w:space="0" w:color="000000"/>
              <w:bottom w:val="single" w:sz="4" w:space="0" w:color="000000"/>
              <w:right w:val="single" w:sz="4" w:space="0" w:color="000000"/>
            </w:tcBorders>
            <w:vAlign w:val="center"/>
          </w:tcPr>
          <w:p w14:paraId="064B5072" w14:textId="77777777" w:rsidR="00771666" w:rsidRPr="00F24057" w:rsidRDefault="00771666" w:rsidP="00D70B34">
            <w:pPr>
              <w:jc w:val="center"/>
              <w:rPr>
                <w:szCs w:val="22"/>
                <w:lang w:val="sr-Latn-ME"/>
              </w:rPr>
            </w:pPr>
            <w:r w:rsidRPr="00F24057">
              <w:rPr>
                <w:szCs w:val="22"/>
                <w:lang w:val="sr-Latn-ME"/>
              </w:rPr>
              <w:t>43,3% (13/30)</w:t>
            </w:r>
          </w:p>
        </w:tc>
        <w:tc>
          <w:tcPr>
            <w:tcW w:w="906" w:type="pct"/>
            <w:tcBorders>
              <w:top w:val="single" w:sz="4" w:space="0" w:color="000000"/>
              <w:left w:val="single" w:sz="4" w:space="0" w:color="000000"/>
              <w:bottom w:val="single" w:sz="4" w:space="0" w:color="000000"/>
              <w:right w:val="single" w:sz="4" w:space="0" w:color="000000"/>
            </w:tcBorders>
            <w:vAlign w:val="center"/>
          </w:tcPr>
          <w:p w14:paraId="1259D54C" w14:textId="77777777" w:rsidR="00771666" w:rsidRPr="00F24057" w:rsidRDefault="00771666" w:rsidP="00D70B34">
            <w:pPr>
              <w:jc w:val="center"/>
              <w:rPr>
                <w:szCs w:val="22"/>
                <w:lang w:val="sr-Latn-ME"/>
              </w:rPr>
            </w:pPr>
            <w:r w:rsidRPr="00F24057">
              <w:rPr>
                <w:szCs w:val="22"/>
                <w:lang w:val="sr-Latn-ME"/>
              </w:rPr>
              <w:t>71,4% (20/28)</w:t>
            </w:r>
            <w:r w:rsidRPr="00F24057">
              <w:rPr>
                <w:szCs w:val="22"/>
                <w:vertAlign w:val="superscript"/>
                <w:lang w:val="sr-Latn-ME"/>
              </w:rPr>
              <w:t>c</w:t>
            </w:r>
          </w:p>
        </w:tc>
      </w:tr>
      <w:tr w:rsidR="00ED0D13" w:rsidRPr="00F24057" w14:paraId="056BA8A7" w14:textId="77777777" w:rsidTr="00E579CE">
        <w:trPr>
          <w:trHeight w:val="20"/>
        </w:trPr>
        <w:tc>
          <w:tcPr>
            <w:tcW w:w="1648" w:type="pct"/>
            <w:tcBorders>
              <w:top w:val="single" w:sz="4" w:space="0" w:color="000000"/>
              <w:left w:val="single" w:sz="4" w:space="0" w:color="000000"/>
              <w:bottom w:val="single" w:sz="4" w:space="0" w:color="000000"/>
              <w:right w:val="single" w:sz="4" w:space="0" w:color="000000"/>
            </w:tcBorders>
            <w:vAlign w:val="center"/>
          </w:tcPr>
          <w:p w14:paraId="5E37F777" w14:textId="4C1EA999" w:rsidR="00ED0D13" w:rsidRPr="00F24057" w:rsidRDefault="00972894" w:rsidP="00D70B34">
            <w:pPr>
              <w:jc w:val="left"/>
              <w:rPr>
                <w:szCs w:val="22"/>
                <w:lang w:val="sr-Latn-ME"/>
              </w:rPr>
            </w:pPr>
            <w:r w:rsidRPr="00F24057">
              <w:rPr>
                <w:szCs w:val="22"/>
                <w:lang w:val="sr-Latn-ME"/>
              </w:rPr>
              <w:t>Prosje</w:t>
            </w:r>
            <w:r w:rsidR="00ED0D13" w:rsidRPr="00F24057">
              <w:rPr>
                <w:szCs w:val="22"/>
                <w:lang w:val="sr-Latn-ME"/>
              </w:rPr>
              <w:t xml:space="preserve">čno </w:t>
            </w:r>
            <w:r w:rsidR="009811CA" w:rsidRPr="00F24057">
              <w:rPr>
                <w:szCs w:val="22"/>
                <w:lang w:val="sr-Latn-ME"/>
              </w:rPr>
              <w:t>vr</w:t>
            </w:r>
            <w:r w:rsidR="00D02388" w:rsidRPr="00F24057">
              <w:rPr>
                <w:szCs w:val="22"/>
                <w:lang w:val="sr-Latn-ME"/>
              </w:rPr>
              <w:t>ij</w:t>
            </w:r>
            <w:r w:rsidR="009811CA" w:rsidRPr="00F24057">
              <w:rPr>
                <w:szCs w:val="22"/>
                <w:lang w:val="sr-Latn-ME"/>
              </w:rPr>
              <w:t>eme</w:t>
            </w:r>
            <w:r w:rsidR="007E5568" w:rsidRPr="00F24057">
              <w:rPr>
                <w:szCs w:val="22"/>
                <w:lang w:val="sr-Latn-ME"/>
              </w:rPr>
              <w:t xml:space="preserve"> </w:t>
            </w:r>
            <w:r w:rsidR="00ED0D13" w:rsidRPr="00F24057">
              <w:rPr>
                <w:szCs w:val="22"/>
                <w:lang w:val="sr-Latn-ME"/>
              </w:rPr>
              <w:t>do reaktivacije bolesti</w:t>
            </w:r>
          </w:p>
        </w:tc>
        <w:tc>
          <w:tcPr>
            <w:tcW w:w="848" w:type="pct"/>
            <w:tcBorders>
              <w:top w:val="single" w:sz="4" w:space="0" w:color="000000"/>
              <w:left w:val="single" w:sz="4" w:space="0" w:color="000000"/>
              <w:bottom w:val="single" w:sz="4" w:space="0" w:color="000000"/>
              <w:right w:val="single" w:sz="4" w:space="0" w:color="000000"/>
            </w:tcBorders>
            <w:vAlign w:val="center"/>
          </w:tcPr>
          <w:p w14:paraId="241D7E9A" w14:textId="204F778A" w:rsidR="00ED0D13" w:rsidRPr="00F24057" w:rsidRDefault="00ED0D13" w:rsidP="00D70B34">
            <w:pPr>
              <w:jc w:val="center"/>
              <w:rPr>
                <w:szCs w:val="22"/>
                <w:lang w:val="sr-Latn-ME"/>
              </w:rPr>
            </w:pPr>
            <w:r w:rsidRPr="00F24057">
              <w:rPr>
                <w:szCs w:val="22"/>
                <w:lang w:val="sr-Latn-ME"/>
              </w:rPr>
              <w:t xml:space="preserve">&gt; 32 </w:t>
            </w:r>
            <w:r w:rsidR="00885A78" w:rsidRPr="00F24057">
              <w:rPr>
                <w:szCs w:val="22"/>
                <w:lang w:val="sr-Latn-ME"/>
              </w:rPr>
              <w:t>nedjelj</w:t>
            </w:r>
            <w:r w:rsidRPr="00F24057">
              <w:rPr>
                <w:szCs w:val="22"/>
                <w:lang w:val="sr-Latn-ME"/>
              </w:rPr>
              <w:t>e</w:t>
            </w:r>
          </w:p>
        </w:tc>
        <w:tc>
          <w:tcPr>
            <w:tcW w:w="820" w:type="pct"/>
            <w:tcBorders>
              <w:top w:val="single" w:sz="4" w:space="0" w:color="000000"/>
              <w:left w:val="single" w:sz="4" w:space="0" w:color="000000"/>
              <w:bottom w:val="single" w:sz="4" w:space="0" w:color="000000"/>
              <w:right w:val="single" w:sz="4" w:space="0" w:color="000000"/>
            </w:tcBorders>
            <w:vAlign w:val="center"/>
          </w:tcPr>
          <w:p w14:paraId="1A8EA2C7" w14:textId="3C9961F7" w:rsidR="00ED0D13" w:rsidRPr="00F24057" w:rsidRDefault="00ED0D13" w:rsidP="00D70B34">
            <w:pPr>
              <w:jc w:val="center"/>
              <w:rPr>
                <w:szCs w:val="22"/>
                <w:lang w:val="sr-Latn-ME"/>
              </w:rPr>
            </w:pPr>
            <w:r w:rsidRPr="00F24057">
              <w:rPr>
                <w:szCs w:val="22"/>
                <w:lang w:val="sr-Latn-ME"/>
              </w:rPr>
              <w:t xml:space="preserve">20 </w:t>
            </w:r>
            <w:r w:rsidR="00885A78" w:rsidRPr="00F24057">
              <w:rPr>
                <w:szCs w:val="22"/>
                <w:lang w:val="sr-Latn-ME"/>
              </w:rPr>
              <w:t>nedjelj</w:t>
            </w:r>
            <w:r w:rsidRPr="00F24057">
              <w:rPr>
                <w:szCs w:val="22"/>
                <w:lang w:val="sr-Latn-ME"/>
              </w:rPr>
              <w:t>a</w:t>
            </w:r>
          </w:p>
        </w:tc>
        <w:tc>
          <w:tcPr>
            <w:tcW w:w="779" w:type="pct"/>
            <w:tcBorders>
              <w:top w:val="single" w:sz="4" w:space="0" w:color="000000"/>
              <w:left w:val="single" w:sz="4" w:space="0" w:color="000000"/>
              <w:bottom w:val="single" w:sz="4" w:space="0" w:color="000000"/>
              <w:right w:val="single" w:sz="4" w:space="0" w:color="000000"/>
            </w:tcBorders>
            <w:vAlign w:val="center"/>
          </w:tcPr>
          <w:p w14:paraId="6D07750C" w14:textId="131264F9" w:rsidR="00ED0D13" w:rsidRPr="00F24057" w:rsidRDefault="00ED0D13" w:rsidP="00D70B34">
            <w:pPr>
              <w:jc w:val="center"/>
              <w:rPr>
                <w:szCs w:val="22"/>
                <w:lang w:val="sr-Latn-ME"/>
              </w:rPr>
            </w:pPr>
            <w:r w:rsidRPr="00F24057">
              <w:rPr>
                <w:szCs w:val="22"/>
                <w:lang w:val="sr-Latn-ME"/>
              </w:rPr>
              <w:t xml:space="preserve">&gt; 32 </w:t>
            </w:r>
            <w:r w:rsidR="00885A78" w:rsidRPr="00F24057">
              <w:rPr>
                <w:szCs w:val="22"/>
                <w:lang w:val="sr-Latn-ME"/>
              </w:rPr>
              <w:t>nedjelj</w:t>
            </w:r>
            <w:r w:rsidRPr="00F24057">
              <w:rPr>
                <w:szCs w:val="22"/>
                <w:lang w:val="sr-Latn-ME"/>
              </w:rPr>
              <w:t>e</w:t>
            </w:r>
          </w:p>
        </w:tc>
        <w:tc>
          <w:tcPr>
            <w:tcW w:w="906" w:type="pct"/>
            <w:tcBorders>
              <w:top w:val="single" w:sz="4" w:space="0" w:color="000000"/>
              <w:left w:val="single" w:sz="4" w:space="0" w:color="000000"/>
              <w:bottom w:val="single" w:sz="4" w:space="0" w:color="000000"/>
              <w:right w:val="single" w:sz="4" w:space="0" w:color="000000"/>
            </w:tcBorders>
            <w:vAlign w:val="center"/>
          </w:tcPr>
          <w:p w14:paraId="52223582" w14:textId="133D300D" w:rsidR="00ED0D13" w:rsidRPr="00F24057" w:rsidRDefault="00ED0D13" w:rsidP="00D70B34">
            <w:pPr>
              <w:jc w:val="center"/>
              <w:rPr>
                <w:szCs w:val="22"/>
                <w:lang w:val="sr-Latn-ME"/>
              </w:rPr>
            </w:pPr>
            <w:r w:rsidRPr="00F24057">
              <w:rPr>
                <w:szCs w:val="22"/>
                <w:lang w:val="sr-Latn-ME"/>
              </w:rPr>
              <w:t xml:space="preserve">14 </w:t>
            </w:r>
            <w:r w:rsidR="00885A78" w:rsidRPr="00F24057">
              <w:rPr>
                <w:szCs w:val="22"/>
                <w:lang w:val="sr-Latn-ME"/>
              </w:rPr>
              <w:t>nedjelj</w:t>
            </w:r>
            <w:r w:rsidRPr="00F24057">
              <w:rPr>
                <w:szCs w:val="22"/>
                <w:lang w:val="sr-Latn-ME"/>
              </w:rPr>
              <w:t>a</w:t>
            </w:r>
          </w:p>
        </w:tc>
      </w:tr>
    </w:tbl>
    <w:p w14:paraId="3F6C45CA" w14:textId="3277405B" w:rsidR="00EE582C" w:rsidRPr="00F24057" w:rsidRDefault="00EE582C" w:rsidP="00D70B34">
      <w:pPr>
        <w:rPr>
          <w:szCs w:val="22"/>
          <w:lang w:val="sr-Latn-ME"/>
        </w:rPr>
      </w:pPr>
      <w:r w:rsidRPr="00F24057">
        <w:rPr>
          <w:szCs w:val="22"/>
          <w:vertAlign w:val="superscript"/>
          <w:lang w:val="sr-Latn-ME"/>
        </w:rPr>
        <w:t>a</w:t>
      </w:r>
      <w:r w:rsidRPr="00F24057">
        <w:rPr>
          <w:szCs w:val="22"/>
          <w:lang w:val="sr-Latn-ME"/>
        </w:rPr>
        <w:t xml:space="preserve"> Ped ACR 30/50/70 odgovori u </w:t>
      </w:r>
      <w:r w:rsidR="00885A78" w:rsidRPr="00F24057">
        <w:rPr>
          <w:szCs w:val="22"/>
          <w:lang w:val="sr-Latn-ME"/>
        </w:rPr>
        <w:t>nedjelj</w:t>
      </w:r>
      <w:r w:rsidRPr="00F24057">
        <w:rPr>
          <w:szCs w:val="22"/>
          <w:lang w:val="sr-Latn-ME"/>
        </w:rPr>
        <w:t>i 48 su značajno veći nego kod pacijenata koji su primali placebo</w:t>
      </w:r>
      <w:r w:rsidR="003E5C78" w:rsidRPr="00F24057">
        <w:rPr>
          <w:szCs w:val="22"/>
          <w:lang w:val="sr-Latn-ME"/>
        </w:rPr>
        <w:t xml:space="preserve"> </w:t>
      </w:r>
    </w:p>
    <w:p w14:paraId="33573F65" w14:textId="4454B874" w:rsidR="00EE582C" w:rsidRPr="00F24057" w:rsidRDefault="00EE582C" w:rsidP="00D70B34">
      <w:pPr>
        <w:rPr>
          <w:szCs w:val="22"/>
          <w:lang w:val="sr-Latn-ME"/>
        </w:rPr>
      </w:pPr>
      <w:r w:rsidRPr="00F24057">
        <w:rPr>
          <w:szCs w:val="22"/>
          <w:vertAlign w:val="superscript"/>
          <w:lang w:val="sr-Latn-ME"/>
        </w:rPr>
        <w:t>b</w:t>
      </w:r>
      <w:r w:rsidRPr="00F24057">
        <w:rPr>
          <w:szCs w:val="22"/>
          <w:lang w:val="sr-Latn-ME"/>
        </w:rPr>
        <w:t xml:space="preserve"> p = 0,015 </w:t>
      </w:r>
    </w:p>
    <w:p w14:paraId="519565AB" w14:textId="6CAB3196" w:rsidR="00EE582C" w:rsidRPr="00F24057" w:rsidRDefault="00EE582C" w:rsidP="00D70B34">
      <w:pPr>
        <w:rPr>
          <w:szCs w:val="22"/>
          <w:lang w:val="sr-Latn-ME"/>
        </w:rPr>
      </w:pPr>
      <w:r w:rsidRPr="00F24057">
        <w:rPr>
          <w:szCs w:val="22"/>
          <w:vertAlign w:val="superscript"/>
          <w:lang w:val="sr-Latn-ME"/>
        </w:rPr>
        <w:t>c</w:t>
      </w:r>
      <w:r w:rsidR="00277701" w:rsidRPr="00F24057">
        <w:rPr>
          <w:szCs w:val="22"/>
          <w:lang w:val="sr-Latn-ME"/>
        </w:rPr>
        <w:t xml:space="preserve"> </w:t>
      </w:r>
      <w:r w:rsidRPr="00F24057">
        <w:rPr>
          <w:szCs w:val="22"/>
          <w:lang w:val="sr-Latn-ME"/>
        </w:rPr>
        <w:t>p = 0,031</w:t>
      </w:r>
    </w:p>
    <w:p w14:paraId="47FB4CC6" w14:textId="77777777" w:rsidR="00EE582C" w:rsidRPr="00F24057" w:rsidRDefault="00EE582C" w:rsidP="00D70B34">
      <w:pPr>
        <w:rPr>
          <w:szCs w:val="22"/>
          <w:lang w:val="sr-Latn-ME"/>
        </w:rPr>
      </w:pPr>
    </w:p>
    <w:p w14:paraId="6B6A3EE4" w14:textId="4C960F89" w:rsidR="00EE582C" w:rsidRPr="00F24057" w:rsidRDefault="00EE582C" w:rsidP="00D70B34">
      <w:pPr>
        <w:rPr>
          <w:szCs w:val="22"/>
          <w:lang w:val="sr-Latn-ME"/>
        </w:rPr>
      </w:pPr>
      <w:r w:rsidRPr="00F24057">
        <w:rPr>
          <w:szCs w:val="22"/>
          <w:lang w:val="sr-Latn-ME"/>
        </w:rPr>
        <w:t xml:space="preserve">Među pacijentima koji su u </w:t>
      </w:r>
      <w:r w:rsidR="00885A78" w:rsidRPr="00F24057">
        <w:rPr>
          <w:szCs w:val="22"/>
          <w:lang w:val="sr-Latn-ME"/>
        </w:rPr>
        <w:t>nedjelj</w:t>
      </w:r>
      <w:r w:rsidRPr="00F24057">
        <w:rPr>
          <w:szCs w:val="22"/>
          <w:lang w:val="sr-Latn-ME"/>
        </w:rPr>
        <w:t xml:space="preserve">i 16 odgovorili na terapiju (n=144), pedijatrijski ACR 30/50/70/90 odgovori su održavani i do 6 godina u OLE fazi kod pacijenata koji su primali adalimumab do kraja ispitivanja. Ukupno 19 slučajeva, od kojih je na početku terapije 11 bilo u uzrastu od 4 – 12 godina, a 8 u uzrastu od 13 – 17 godina, primali su terapiju 6 ili više godina. </w:t>
      </w:r>
    </w:p>
    <w:p w14:paraId="079A61B1" w14:textId="77777777" w:rsidR="00EE582C" w:rsidRPr="00F24057" w:rsidRDefault="00EE582C" w:rsidP="00D70B34">
      <w:pPr>
        <w:rPr>
          <w:szCs w:val="22"/>
          <w:lang w:val="sr-Latn-ME"/>
        </w:rPr>
      </w:pPr>
    </w:p>
    <w:p w14:paraId="65FB8EA3" w14:textId="333244F5" w:rsidR="00EE582C" w:rsidRPr="00F24057" w:rsidRDefault="00EE582C" w:rsidP="00D70B34">
      <w:pPr>
        <w:rPr>
          <w:szCs w:val="22"/>
          <w:lang w:val="sr-Latn-ME"/>
        </w:rPr>
      </w:pPr>
      <w:r w:rsidRPr="00F24057">
        <w:rPr>
          <w:szCs w:val="22"/>
          <w:lang w:val="sr-Latn-ME"/>
        </w:rPr>
        <w:t xml:space="preserve">Ukupni odgovori su bili uopšteno bolji i kod manjeg broja pacijenata su se javila </w:t>
      </w:r>
      <w:r w:rsidR="00AA29FD" w:rsidRPr="00F24057">
        <w:rPr>
          <w:szCs w:val="22"/>
          <w:lang w:val="sr-Latn-ME"/>
        </w:rPr>
        <w:t>antitijel</w:t>
      </w:r>
      <w:r w:rsidRPr="00F24057">
        <w:rPr>
          <w:szCs w:val="22"/>
          <w:lang w:val="sr-Latn-ME"/>
        </w:rPr>
        <w:t xml:space="preserve">a prilikom kombinovane terapije adalimumabom i metotreksatom u poređenju sa monoterapijom </w:t>
      </w:r>
      <w:r w:rsidR="00885A78" w:rsidRPr="00F24057">
        <w:rPr>
          <w:szCs w:val="22"/>
          <w:lang w:val="sr-Latn-ME"/>
        </w:rPr>
        <w:t>lijekom</w:t>
      </w:r>
      <w:r w:rsidRPr="00F24057">
        <w:rPr>
          <w:szCs w:val="22"/>
          <w:lang w:val="sr-Latn-ME"/>
        </w:rPr>
        <w:t xml:space="preserve"> adalimumab. Uzimajući ove rezultate u obzir, preporučuje se upotreba adalimumaba u kombinaciji sa metotreksatom i upotreba adalimumaba u monoterapiji kod pacijenata kod kojih se </w:t>
      </w:r>
      <w:r w:rsidR="0030064A" w:rsidRPr="00F24057">
        <w:rPr>
          <w:szCs w:val="22"/>
          <w:lang w:val="sr-Latn-ME"/>
        </w:rPr>
        <w:t>primjen</w:t>
      </w:r>
      <w:r w:rsidRPr="00F24057">
        <w:rPr>
          <w:szCs w:val="22"/>
          <w:lang w:val="sr-Latn-ME"/>
        </w:rPr>
        <w:t>a metotreksata ne preporučuje (</w:t>
      </w:r>
      <w:r w:rsidR="007B39D0" w:rsidRPr="00F24057">
        <w:rPr>
          <w:szCs w:val="22"/>
          <w:lang w:val="sr-Latn-ME"/>
        </w:rPr>
        <w:t xml:space="preserve">pogledati dio </w:t>
      </w:r>
      <w:r w:rsidRPr="00F24057">
        <w:rPr>
          <w:szCs w:val="22"/>
          <w:lang w:val="sr-Latn-ME"/>
        </w:rPr>
        <w:t>4.2).</w:t>
      </w:r>
    </w:p>
    <w:p w14:paraId="4DBB6074" w14:textId="28701144" w:rsidR="00771666" w:rsidRPr="00F24057" w:rsidRDefault="00771666" w:rsidP="00D70B34">
      <w:pPr>
        <w:rPr>
          <w:szCs w:val="22"/>
          <w:lang w:val="sr-Latn-ME"/>
        </w:rPr>
      </w:pPr>
    </w:p>
    <w:p w14:paraId="064EF876" w14:textId="10B0F9B3" w:rsidR="00735F7C" w:rsidRPr="00F24057" w:rsidRDefault="00735F7C" w:rsidP="00D70B34">
      <w:pPr>
        <w:rPr>
          <w:szCs w:val="22"/>
          <w:u w:val="single"/>
          <w:lang w:val="sr-Latn-ME"/>
        </w:rPr>
      </w:pPr>
      <w:r w:rsidRPr="00F24057">
        <w:rPr>
          <w:szCs w:val="22"/>
          <w:u w:val="single"/>
          <w:lang w:val="sr-Latn-ME"/>
        </w:rPr>
        <w:t xml:space="preserve">pJIA II </w:t>
      </w:r>
    </w:p>
    <w:p w14:paraId="3E94ECFD" w14:textId="77777777" w:rsidR="00735F7C" w:rsidRPr="00F24057" w:rsidRDefault="00735F7C" w:rsidP="00D70B34">
      <w:pPr>
        <w:rPr>
          <w:szCs w:val="22"/>
          <w:lang w:val="sr-Latn-ME"/>
        </w:rPr>
      </w:pPr>
    </w:p>
    <w:p w14:paraId="5D2AD335" w14:textId="097AFB0D" w:rsidR="00735F7C" w:rsidRPr="00F24057" w:rsidRDefault="0030064A" w:rsidP="00D70B34">
      <w:pPr>
        <w:rPr>
          <w:szCs w:val="22"/>
          <w:lang w:val="sr-Latn-ME"/>
        </w:rPr>
      </w:pPr>
      <w:r w:rsidRPr="00F24057">
        <w:rPr>
          <w:szCs w:val="22"/>
          <w:lang w:val="sr-Latn-ME"/>
        </w:rPr>
        <w:t>Bezbjedno</w:t>
      </w:r>
      <w:r w:rsidR="00735F7C" w:rsidRPr="00F24057">
        <w:rPr>
          <w:szCs w:val="22"/>
          <w:lang w:val="sr-Latn-ME"/>
        </w:rPr>
        <w:t xml:space="preserve">st i efikasnost adalimumaba su </w:t>
      </w:r>
      <w:r w:rsidR="004F2520" w:rsidRPr="00F24057">
        <w:rPr>
          <w:szCs w:val="22"/>
          <w:lang w:val="sr-Latn-ME"/>
        </w:rPr>
        <w:t>procjen</w:t>
      </w:r>
      <w:r w:rsidR="00735F7C" w:rsidRPr="00F24057">
        <w:rPr>
          <w:szCs w:val="22"/>
          <w:lang w:val="sr-Latn-ME"/>
        </w:rPr>
        <w:t>jivane u otvorenoj, multicentričnoj studiji sa 32 d</w:t>
      </w:r>
      <w:r w:rsidR="009A3407" w:rsidRPr="00F24057">
        <w:rPr>
          <w:szCs w:val="22"/>
          <w:lang w:val="sr-Latn-ME"/>
        </w:rPr>
        <w:t>j</w:t>
      </w:r>
      <w:r w:rsidR="00735F7C" w:rsidRPr="00F24057">
        <w:rPr>
          <w:szCs w:val="22"/>
          <w:lang w:val="sr-Latn-ME"/>
        </w:rPr>
        <w:t>eteta</w:t>
      </w:r>
      <w:r w:rsidR="009A3407" w:rsidRPr="00F24057">
        <w:rPr>
          <w:szCs w:val="22"/>
          <w:lang w:val="sr-Latn-ME"/>
        </w:rPr>
        <w:t xml:space="preserve"> </w:t>
      </w:r>
      <w:r w:rsidR="00735F7C" w:rsidRPr="00F24057">
        <w:rPr>
          <w:szCs w:val="22"/>
          <w:lang w:val="sr-Latn-ME"/>
        </w:rPr>
        <w:t xml:space="preserve">(uzrasta od 2 - &lt; 4 godine i starije, </w:t>
      </w:r>
      <w:r w:rsidR="007E5568" w:rsidRPr="00F24057">
        <w:rPr>
          <w:szCs w:val="22"/>
          <w:lang w:val="sr-Latn-ME"/>
        </w:rPr>
        <w:t>tjeles</w:t>
      </w:r>
      <w:r w:rsidR="00735F7C" w:rsidRPr="00F24057">
        <w:rPr>
          <w:szCs w:val="22"/>
          <w:lang w:val="sr-Latn-ME"/>
        </w:rPr>
        <w:t xml:space="preserve">ne mase </w:t>
      </w:r>
      <w:r w:rsidR="00B67806" w:rsidRPr="00F24057">
        <w:rPr>
          <w:szCs w:val="22"/>
          <w:lang w:val="sr-Latn-ME"/>
        </w:rPr>
        <w:t>&lt;</w:t>
      </w:r>
      <w:r w:rsidR="00735F7C" w:rsidRPr="00F24057">
        <w:rPr>
          <w:szCs w:val="22"/>
          <w:lang w:val="sr-Latn-ME"/>
        </w:rPr>
        <w:t xml:space="preserve"> 15 kg) sa u</w:t>
      </w:r>
      <w:r w:rsidRPr="00F24057">
        <w:rPr>
          <w:szCs w:val="22"/>
          <w:lang w:val="sr-Latn-ME"/>
        </w:rPr>
        <w:t>mjeren</w:t>
      </w:r>
      <w:r w:rsidR="00735F7C" w:rsidRPr="00F24057">
        <w:rPr>
          <w:szCs w:val="22"/>
          <w:lang w:val="sr-Latn-ME"/>
        </w:rPr>
        <w:t xml:space="preserve">im do teškim aktivnim poliartikularnim juvenilnim idiopatskim artritisom. Pacijenti su primali adalimumab u dozi od 24 mg/m² do maksimalnih 20 mg svake druge </w:t>
      </w:r>
      <w:r w:rsidR="00885A78" w:rsidRPr="00F24057">
        <w:rPr>
          <w:szCs w:val="22"/>
          <w:lang w:val="sr-Latn-ME"/>
        </w:rPr>
        <w:t>nedjelj</w:t>
      </w:r>
      <w:r w:rsidR="00735F7C" w:rsidRPr="00F24057">
        <w:rPr>
          <w:szCs w:val="22"/>
          <w:lang w:val="sr-Latn-ME"/>
        </w:rPr>
        <w:t xml:space="preserve">e kao pojedinačnu dozu, supkutanom injekcijom, najmanje 24 </w:t>
      </w:r>
      <w:r w:rsidR="00885A78" w:rsidRPr="00F24057">
        <w:rPr>
          <w:szCs w:val="22"/>
          <w:lang w:val="sr-Latn-ME"/>
        </w:rPr>
        <w:t>nedjelj</w:t>
      </w:r>
      <w:r w:rsidR="00735F7C" w:rsidRPr="00F24057">
        <w:rPr>
          <w:szCs w:val="22"/>
          <w:lang w:val="sr-Latn-ME"/>
        </w:rPr>
        <w:t>e. Tokom st</w:t>
      </w:r>
      <w:r w:rsidR="001D051D" w:rsidRPr="00F24057">
        <w:rPr>
          <w:szCs w:val="22"/>
          <w:lang w:val="sr-Latn-ME"/>
        </w:rPr>
        <w:t>u</w:t>
      </w:r>
      <w:r w:rsidR="00735F7C" w:rsidRPr="00F24057">
        <w:rPr>
          <w:szCs w:val="22"/>
          <w:lang w:val="sr-Latn-ME"/>
        </w:rPr>
        <w:t>dije, većina ispitanika je istovremeno primala metotreksat, a manji broj je primao kortikosteroide ili NSAIL.</w:t>
      </w:r>
    </w:p>
    <w:p w14:paraId="06CAB439" w14:textId="77777777" w:rsidR="00735F7C" w:rsidRPr="00F24057" w:rsidRDefault="00735F7C" w:rsidP="00D70B34">
      <w:pPr>
        <w:rPr>
          <w:szCs w:val="22"/>
          <w:lang w:val="sr-Latn-ME"/>
        </w:rPr>
      </w:pPr>
    </w:p>
    <w:p w14:paraId="4EF5820D" w14:textId="2A723D81" w:rsidR="00735F7C" w:rsidRPr="00F24057" w:rsidRDefault="00735F7C" w:rsidP="00D70B34">
      <w:pPr>
        <w:rPr>
          <w:szCs w:val="22"/>
          <w:lang w:val="sr-Latn-ME"/>
        </w:rPr>
      </w:pPr>
      <w:r w:rsidRPr="00F24057">
        <w:rPr>
          <w:szCs w:val="22"/>
          <w:lang w:val="sr-Latn-ME"/>
        </w:rPr>
        <w:t xml:space="preserve">Nakon 12 </w:t>
      </w:r>
      <w:r w:rsidR="00885A78" w:rsidRPr="00F24057">
        <w:rPr>
          <w:szCs w:val="22"/>
          <w:lang w:val="sr-Latn-ME"/>
        </w:rPr>
        <w:t>nedjelj</w:t>
      </w:r>
      <w:r w:rsidRPr="00F24057">
        <w:rPr>
          <w:szCs w:val="22"/>
          <w:lang w:val="sr-Latn-ME"/>
        </w:rPr>
        <w:t xml:space="preserve">a i nakon 24 </w:t>
      </w:r>
      <w:r w:rsidR="00885A78" w:rsidRPr="00F24057">
        <w:rPr>
          <w:szCs w:val="22"/>
          <w:lang w:val="sr-Latn-ME"/>
        </w:rPr>
        <w:t>nedjelj</w:t>
      </w:r>
      <w:r w:rsidRPr="00F24057">
        <w:rPr>
          <w:szCs w:val="22"/>
          <w:lang w:val="sr-Latn-ME"/>
        </w:rPr>
        <w:t>e, Pedijatrijski ACR30 postignut je kod 93,5% i kod 90,0% ispitanika, što je utvrđeno na osnovu za</w:t>
      </w:r>
      <w:r w:rsidR="004F2520" w:rsidRPr="00F24057">
        <w:rPr>
          <w:szCs w:val="22"/>
          <w:lang w:val="sr-Latn-ME"/>
        </w:rPr>
        <w:t>biljež</w:t>
      </w:r>
      <w:r w:rsidRPr="00F24057">
        <w:rPr>
          <w:szCs w:val="22"/>
          <w:lang w:val="sr-Latn-ME"/>
        </w:rPr>
        <w:t xml:space="preserve">enih podataka. Odnos ispitanika sa Pedijatrijskim ACR50/70/90 nakon 12 </w:t>
      </w:r>
      <w:r w:rsidR="00885A78" w:rsidRPr="00F24057">
        <w:rPr>
          <w:szCs w:val="22"/>
          <w:lang w:val="sr-Latn-ME"/>
        </w:rPr>
        <w:t>nedjelj</w:t>
      </w:r>
      <w:r w:rsidRPr="00F24057">
        <w:rPr>
          <w:szCs w:val="22"/>
          <w:lang w:val="sr-Latn-ME"/>
        </w:rPr>
        <w:t xml:space="preserve">a i nakon 24 </w:t>
      </w:r>
      <w:r w:rsidR="00885A78" w:rsidRPr="00F24057">
        <w:rPr>
          <w:szCs w:val="22"/>
          <w:lang w:val="sr-Latn-ME"/>
        </w:rPr>
        <w:t>nedjelj</w:t>
      </w:r>
      <w:r w:rsidRPr="00F24057">
        <w:rPr>
          <w:szCs w:val="22"/>
          <w:lang w:val="sr-Latn-ME"/>
        </w:rPr>
        <w:t xml:space="preserve">e bio je: 90,3%/61,3%/38,7% i 83,3%/73,3%/36,7%. Kod ispitanika kod kojih je postignut odgovor (Pedijatrijski ACR 30) u </w:t>
      </w:r>
      <w:r w:rsidR="00885A78" w:rsidRPr="00F24057">
        <w:rPr>
          <w:szCs w:val="22"/>
          <w:lang w:val="sr-Latn-ME"/>
        </w:rPr>
        <w:t>nedjelj</w:t>
      </w:r>
      <w:r w:rsidRPr="00F24057">
        <w:rPr>
          <w:szCs w:val="22"/>
          <w:lang w:val="sr-Latn-ME"/>
        </w:rPr>
        <w:t xml:space="preserve">i 24 (n = 27 od 30 ispitanika), Pedijatrijski ACR 30 je zadržan tokom 60 </w:t>
      </w:r>
      <w:r w:rsidR="00885A78" w:rsidRPr="00F24057">
        <w:rPr>
          <w:szCs w:val="22"/>
          <w:lang w:val="sr-Latn-ME"/>
        </w:rPr>
        <w:t>nedjelj</w:t>
      </w:r>
      <w:r w:rsidRPr="00F24057">
        <w:rPr>
          <w:szCs w:val="22"/>
          <w:lang w:val="sr-Latn-ME"/>
        </w:rPr>
        <w:t xml:space="preserve">a u OLE fazi, kod pacijenata koji su primali adalimumab tokom ovog perioda. Ukupno 20 pacijenata je primalo terapiju 60 </w:t>
      </w:r>
      <w:r w:rsidR="00885A78" w:rsidRPr="00F24057">
        <w:rPr>
          <w:szCs w:val="22"/>
          <w:lang w:val="sr-Latn-ME"/>
        </w:rPr>
        <w:t>nedjelj</w:t>
      </w:r>
      <w:r w:rsidRPr="00F24057">
        <w:rPr>
          <w:szCs w:val="22"/>
          <w:lang w:val="sr-Latn-ME"/>
        </w:rPr>
        <w:t>a ili duže.</w:t>
      </w:r>
    </w:p>
    <w:p w14:paraId="6E533059" w14:textId="0872AD96" w:rsidR="00771666" w:rsidRPr="00F24057" w:rsidRDefault="00771666" w:rsidP="00D70B34">
      <w:pPr>
        <w:rPr>
          <w:szCs w:val="22"/>
          <w:lang w:val="sr-Latn-ME"/>
        </w:rPr>
      </w:pPr>
    </w:p>
    <w:p w14:paraId="1A8CA76B" w14:textId="502C2DA0" w:rsidR="006F3E35" w:rsidRPr="00F24057" w:rsidRDefault="006F3E35" w:rsidP="00D70B34">
      <w:pPr>
        <w:rPr>
          <w:i/>
          <w:szCs w:val="22"/>
          <w:lang w:val="sr-Latn-ME"/>
        </w:rPr>
      </w:pPr>
      <w:r w:rsidRPr="00F24057">
        <w:rPr>
          <w:i/>
          <w:szCs w:val="22"/>
          <w:u w:val="single"/>
          <w:lang w:val="sr-Latn-ME"/>
        </w:rPr>
        <w:t>Artritis povezan sa entezitisom</w:t>
      </w:r>
      <w:r w:rsidRPr="00F24057">
        <w:rPr>
          <w:i/>
          <w:szCs w:val="22"/>
          <w:lang w:val="sr-Latn-ME"/>
        </w:rPr>
        <w:t xml:space="preserve"> </w:t>
      </w:r>
    </w:p>
    <w:p w14:paraId="20FF7104" w14:textId="56B4CA0F" w:rsidR="006F3E35" w:rsidRPr="00F24057" w:rsidRDefault="0030064A" w:rsidP="00D70B34">
      <w:pPr>
        <w:rPr>
          <w:szCs w:val="22"/>
          <w:lang w:val="sr-Latn-ME"/>
        </w:rPr>
      </w:pPr>
      <w:r w:rsidRPr="00F24057">
        <w:rPr>
          <w:szCs w:val="22"/>
          <w:lang w:val="sr-Latn-ME"/>
        </w:rPr>
        <w:t>Bezbjedno</w:t>
      </w:r>
      <w:r w:rsidR="006F3E35" w:rsidRPr="00F24057">
        <w:rPr>
          <w:szCs w:val="22"/>
          <w:lang w:val="sr-Latn-ME"/>
        </w:rPr>
        <w:t xml:space="preserve">st i efikasnost adalimumaba su </w:t>
      </w:r>
      <w:r w:rsidR="004F2520" w:rsidRPr="00F24057">
        <w:rPr>
          <w:szCs w:val="22"/>
          <w:lang w:val="sr-Latn-ME"/>
        </w:rPr>
        <w:t>procjen</w:t>
      </w:r>
      <w:r w:rsidR="006F3E35" w:rsidRPr="00F24057">
        <w:rPr>
          <w:szCs w:val="22"/>
          <w:lang w:val="sr-Latn-ME"/>
        </w:rPr>
        <w:t xml:space="preserve">jivane u multicentričnom, randomizovanom, </w:t>
      </w:r>
      <w:r w:rsidR="00044979" w:rsidRPr="00F24057">
        <w:rPr>
          <w:szCs w:val="22"/>
          <w:lang w:val="sr-Latn-ME"/>
        </w:rPr>
        <w:t xml:space="preserve">dvostruko </w:t>
      </w:r>
      <w:r w:rsidR="00972894" w:rsidRPr="00F24057">
        <w:rPr>
          <w:szCs w:val="22"/>
          <w:lang w:val="sr-Latn-ME"/>
        </w:rPr>
        <w:t>slijep</w:t>
      </w:r>
      <w:r w:rsidR="00044979" w:rsidRPr="00F24057">
        <w:rPr>
          <w:szCs w:val="22"/>
          <w:lang w:val="sr-Latn-ME"/>
        </w:rPr>
        <w:t>om</w:t>
      </w:r>
      <w:r w:rsidR="006F3E35" w:rsidRPr="00F24057">
        <w:rPr>
          <w:szCs w:val="22"/>
          <w:lang w:val="sr-Latn-ME"/>
        </w:rPr>
        <w:t xml:space="preserve"> kliničkom ispitivanju, kod 46 pedijatrijskih pacijenata (uzrasta od 6 do 17 godina) sa u</w:t>
      </w:r>
      <w:r w:rsidRPr="00F24057">
        <w:rPr>
          <w:szCs w:val="22"/>
          <w:lang w:val="sr-Latn-ME"/>
        </w:rPr>
        <w:t>mjeren</w:t>
      </w:r>
      <w:r w:rsidR="006F3E35" w:rsidRPr="00F24057">
        <w:rPr>
          <w:szCs w:val="22"/>
          <w:lang w:val="sr-Latn-ME"/>
        </w:rPr>
        <w:t xml:space="preserve">im oblikom artritisa povezanog sa entezitisom. Pacijenti su randomizovani tako da su </w:t>
      </w:r>
      <w:r w:rsidRPr="00F24057">
        <w:rPr>
          <w:szCs w:val="22"/>
          <w:lang w:val="sr-Latn-ME"/>
        </w:rPr>
        <w:t>primjen</w:t>
      </w:r>
      <w:r w:rsidR="006F3E35" w:rsidRPr="00F24057">
        <w:rPr>
          <w:szCs w:val="22"/>
          <w:lang w:val="sr-Latn-ME"/>
        </w:rPr>
        <w:t>jivali ili 24 mg/m</w:t>
      </w:r>
      <w:r w:rsidR="006F3E35" w:rsidRPr="00F24057">
        <w:rPr>
          <w:szCs w:val="22"/>
          <w:vertAlign w:val="superscript"/>
          <w:lang w:val="sr-Latn-ME"/>
        </w:rPr>
        <w:t xml:space="preserve">2 </w:t>
      </w:r>
      <w:r w:rsidR="007E5568" w:rsidRPr="00F24057">
        <w:rPr>
          <w:szCs w:val="22"/>
          <w:lang w:val="sr-Latn-ME"/>
        </w:rPr>
        <w:t>tjeles</w:t>
      </w:r>
      <w:r w:rsidR="006F3E35" w:rsidRPr="00F24057">
        <w:rPr>
          <w:szCs w:val="22"/>
          <w:lang w:val="sr-Latn-ME"/>
        </w:rPr>
        <w:t xml:space="preserve">ne površine do maksimalne doze od 40 mg adalimumaba ili placebo svake druge </w:t>
      </w:r>
      <w:r w:rsidR="00885A78" w:rsidRPr="00F24057">
        <w:rPr>
          <w:szCs w:val="22"/>
          <w:lang w:val="sr-Latn-ME"/>
        </w:rPr>
        <w:t>nedjelj</w:t>
      </w:r>
      <w:r w:rsidR="006F3E35" w:rsidRPr="00F24057">
        <w:rPr>
          <w:szCs w:val="22"/>
          <w:lang w:val="sr-Latn-ME"/>
        </w:rPr>
        <w:t xml:space="preserve">e, u dužini trajanja studije od 12 </w:t>
      </w:r>
      <w:r w:rsidR="00885A78" w:rsidRPr="00F24057">
        <w:rPr>
          <w:szCs w:val="22"/>
          <w:lang w:val="sr-Latn-ME"/>
        </w:rPr>
        <w:t>nedjelj</w:t>
      </w:r>
      <w:r w:rsidR="006F3E35" w:rsidRPr="00F24057">
        <w:rPr>
          <w:szCs w:val="22"/>
          <w:lang w:val="sr-Latn-ME"/>
        </w:rPr>
        <w:t xml:space="preserve">a. Dvostruko </w:t>
      </w:r>
      <w:r w:rsidR="00972894" w:rsidRPr="00F24057">
        <w:rPr>
          <w:szCs w:val="22"/>
          <w:lang w:val="sr-Latn-ME"/>
        </w:rPr>
        <w:t>slijep</w:t>
      </w:r>
      <w:r w:rsidR="006F3E35" w:rsidRPr="00F24057">
        <w:rPr>
          <w:szCs w:val="22"/>
          <w:lang w:val="sr-Latn-ME"/>
        </w:rPr>
        <w:t xml:space="preserve">i period je praćen otvorenim periodom tokom kojeg su pacijenti </w:t>
      </w:r>
      <w:r w:rsidRPr="00F24057">
        <w:rPr>
          <w:szCs w:val="22"/>
          <w:lang w:val="sr-Latn-ME"/>
        </w:rPr>
        <w:t>primjen</w:t>
      </w:r>
      <w:r w:rsidR="006F3E35" w:rsidRPr="00F24057">
        <w:rPr>
          <w:szCs w:val="22"/>
          <w:lang w:val="sr-Latn-ME"/>
        </w:rPr>
        <w:t>jivali 24 mg/m</w:t>
      </w:r>
      <w:r w:rsidR="006F3E35" w:rsidRPr="00F24057">
        <w:rPr>
          <w:szCs w:val="22"/>
          <w:vertAlign w:val="superscript"/>
          <w:lang w:val="sr-Latn-ME"/>
        </w:rPr>
        <w:t xml:space="preserve">2 </w:t>
      </w:r>
      <w:r w:rsidR="007E5568" w:rsidRPr="00F24057">
        <w:rPr>
          <w:szCs w:val="22"/>
          <w:lang w:val="sr-Latn-ME"/>
        </w:rPr>
        <w:t>tjeles</w:t>
      </w:r>
      <w:r w:rsidR="006F3E35" w:rsidRPr="00F24057">
        <w:rPr>
          <w:szCs w:val="22"/>
          <w:lang w:val="sr-Latn-ME"/>
        </w:rPr>
        <w:t xml:space="preserve">ne površine do maksimalne doze od 40 mg adalimumaba svake druge </w:t>
      </w:r>
      <w:r w:rsidR="00885A78" w:rsidRPr="00F24057">
        <w:rPr>
          <w:szCs w:val="22"/>
          <w:lang w:val="sr-Latn-ME"/>
        </w:rPr>
        <w:t>nedjelj</w:t>
      </w:r>
      <w:r w:rsidR="006F3E35" w:rsidRPr="00F24057">
        <w:rPr>
          <w:szCs w:val="22"/>
          <w:lang w:val="sr-Latn-ME"/>
        </w:rPr>
        <w:t xml:space="preserve">e supkutanom injekcijom do dodatne 192 </w:t>
      </w:r>
      <w:r w:rsidR="00885A78" w:rsidRPr="00F24057">
        <w:rPr>
          <w:szCs w:val="22"/>
          <w:lang w:val="sr-Latn-ME"/>
        </w:rPr>
        <w:t>nedjelj</w:t>
      </w:r>
      <w:r w:rsidR="006F3E35" w:rsidRPr="00F24057">
        <w:rPr>
          <w:szCs w:val="22"/>
          <w:lang w:val="sr-Latn-ME"/>
        </w:rPr>
        <w:t xml:space="preserve">e. Primarni parametar praćenja je </w:t>
      </w:r>
      <w:r w:rsidR="004F2520" w:rsidRPr="00F24057">
        <w:rPr>
          <w:szCs w:val="22"/>
          <w:lang w:val="sr-Latn-ME"/>
        </w:rPr>
        <w:t>procjen</w:t>
      </w:r>
      <w:r w:rsidR="006F3E35" w:rsidRPr="00F24057">
        <w:rPr>
          <w:szCs w:val="22"/>
          <w:lang w:val="sr-Latn-ME"/>
        </w:rPr>
        <w:t xml:space="preserve">tualna </w:t>
      </w:r>
      <w:r w:rsidR="004F2520" w:rsidRPr="00F24057">
        <w:rPr>
          <w:szCs w:val="22"/>
          <w:lang w:val="sr-Latn-ME"/>
        </w:rPr>
        <w:t>promjen</w:t>
      </w:r>
      <w:r w:rsidR="006F3E35" w:rsidRPr="00F24057">
        <w:rPr>
          <w:szCs w:val="22"/>
          <w:lang w:val="sr-Latn-ME"/>
        </w:rPr>
        <w:t xml:space="preserve">a broja zglobova zahvaćenih artritisom u 12. </w:t>
      </w:r>
      <w:r w:rsidR="00885A78" w:rsidRPr="00F24057">
        <w:rPr>
          <w:szCs w:val="22"/>
          <w:lang w:val="sr-Latn-ME"/>
        </w:rPr>
        <w:lastRenderedPageBreak/>
        <w:t>nedjelj</w:t>
      </w:r>
      <w:r w:rsidR="006F3E35" w:rsidRPr="00F24057">
        <w:rPr>
          <w:szCs w:val="22"/>
          <w:lang w:val="sr-Latn-ME"/>
        </w:rPr>
        <w:t xml:space="preserve">i u odnosu na početnu </w:t>
      </w:r>
      <w:r w:rsidR="00972894" w:rsidRPr="00F24057">
        <w:rPr>
          <w:szCs w:val="22"/>
          <w:lang w:val="sr-Latn-ME"/>
        </w:rPr>
        <w:t>vrijedno</w:t>
      </w:r>
      <w:r w:rsidR="006F3E35" w:rsidRPr="00F24057">
        <w:rPr>
          <w:szCs w:val="22"/>
          <w:lang w:val="sr-Latn-ME"/>
        </w:rPr>
        <w:t xml:space="preserve">st (oteklih zglobova, ali ne </w:t>
      </w:r>
      <w:r w:rsidR="009811CA" w:rsidRPr="00F24057">
        <w:rPr>
          <w:szCs w:val="22"/>
          <w:lang w:val="sr-Latn-ME"/>
        </w:rPr>
        <w:t>usljed</w:t>
      </w:r>
      <w:r w:rsidR="006F3E35" w:rsidRPr="00F24057">
        <w:rPr>
          <w:szCs w:val="22"/>
          <w:lang w:val="sr-Latn-ME"/>
        </w:rPr>
        <w:t xml:space="preserve"> deformiteta i zglobova koji su izgubili pokretljivost uz pojavu bola i/ili </w:t>
      </w:r>
      <w:r w:rsidR="004F2520" w:rsidRPr="00F24057">
        <w:rPr>
          <w:szCs w:val="22"/>
          <w:lang w:val="sr-Latn-ME"/>
        </w:rPr>
        <w:t>osjetljivo</w:t>
      </w:r>
      <w:r w:rsidR="006F3E35" w:rsidRPr="00F24057">
        <w:rPr>
          <w:szCs w:val="22"/>
          <w:lang w:val="sr-Latn-ME"/>
        </w:rPr>
        <w:t xml:space="preserve">sti), što je postignuto smanjenjem srednje </w:t>
      </w:r>
      <w:r w:rsidR="00972894" w:rsidRPr="00F24057">
        <w:rPr>
          <w:szCs w:val="22"/>
          <w:lang w:val="sr-Latn-ME"/>
        </w:rPr>
        <w:t>vrijedno</w:t>
      </w:r>
      <w:r w:rsidR="006F3E35" w:rsidRPr="00F24057">
        <w:rPr>
          <w:szCs w:val="22"/>
          <w:lang w:val="sr-Latn-ME"/>
        </w:rPr>
        <w:t xml:space="preserve">sti broja zahvaćenih zglobova od -62,6% (medijana </w:t>
      </w:r>
      <w:r w:rsidR="004F2520" w:rsidRPr="00F24057">
        <w:rPr>
          <w:szCs w:val="22"/>
          <w:lang w:val="sr-Latn-ME"/>
        </w:rPr>
        <w:t>promjen</w:t>
      </w:r>
      <w:r w:rsidR="006F3E35" w:rsidRPr="00F24057">
        <w:rPr>
          <w:szCs w:val="22"/>
          <w:lang w:val="sr-Latn-ME"/>
        </w:rPr>
        <w:t xml:space="preserve">e broja zahvaćenih zglobova u </w:t>
      </w:r>
      <w:r w:rsidR="004F2520" w:rsidRPr="00F24057">
        <w:rPr>
          <w:szCs w:val="22"/>
          <w:lang w:val="sr-Latn-ME"/>
        </w:rPr>
        <w:t>procjen</w:t>
      </w:r>
      <w:r w:rsidR="006F3E35" w:rsidRPr="00F24057">
        <w:rPr>
          <w:szCs w:val="22"/>
          <w:lang w:val="sr-Latn-ME"/>
        </w:rPr>
        <w:t xml:space="preserve">tima -88,9%) kod pacijenata koji su </w:t>
      </w:r>
      <w:r w:rsidRPr="00F24057">
        <w:rPr>
          <w:szCs w:val="22"/>
          <w:lang w:val="sr-Latn-ME"/>
        </w:rPr>
        <w:t>primjen</w:t>
      </w:r>
      <w:r w:rsidR="006F3E35" w:rsidRPr="00F24057">
        <w:rPr>
          <w:szCs w:val="22"/>
          <w:lang w:val="sr-Latn-ME"/>
        </w:rPr>
        <w:t xml:space="preserve">jivali adalimumab u poređenju sa -11,6% (medijana </w:t>
      </w:r>
      <w:r w:rsidR="004F2520" w:rsidRPr="00F24057">
        <w:rPr>
          <w:szCs w:val="22"/>
          <w:lang w:val="sr-Latn-ME"/>
        </w:rPr>
        <w:t>promjen</w:t>
      </w:r>
      <w:r w:rsidR="006F3E35" w:rsidRPr="00F24057">
        <w:rPr>
          <w:szCs w:val="22"/>
          <w:lang w:val="sr-Latn-ME"/>
        </w:rPr>
        <w:t xml:space="preserve">e broja zahvaćenih zglobova u </w:t>
      </w:r>
      <w:r w:rsidR="004F2520" w:rsidRPr="00F24057">
        <w:rPr>
          <w:szCs w:val="22"/>
          <w:lang w:val="sr-Latn-ME"/>
        </w:rPr>
        <w:t>procjen</w:t>
      </w:r>
      <w:r w:rsidR="006F3E35" w:rsidRPr="00F24057">
        <w:rPr>
          <w:szCs w:val="22"/>
          <w:lang w:val="sr-Latn-ME"/>
        </w:rPr>
        <w:t xml:space="preserve">tima - 50,0%) pacijenata iz placebo grupe. Poboljšanje prema broju aktivnih zglobova sa artritisom održano je u otvorenom periodu studije do 156. </w:t>
      </w:r>
      <w:r w:rsidR="00885A78" w:rsidRPr="00F24057">
        <w:rPr>
          <w:szCs w:val="22"/>
          <w:lang w:val="sr-Latn-ME"/>
        </w:rPr>
        <w:t>nedjelj</w:t>
      </w:r>
      <w:r w:rsidR="006F3E35" w:rsidRPr="00F24057">
        <w:rPr>
          <w:szCs w:val="22"/>
          <w:lang w:val="sr-Latn-ME"/>
        </w:rPr>
        <w:t xml:space="preserve">e za 26 od 31 (84%) pacijenata u adalimumab grupi koji su ostali uključeni u studiju. Većina pacijenata pokazala je kliničko poboljšanje u sekundarnim parametrima praćenja, kao što su broj </w:t>
      </w:r>
      <w:r w:rsidR="00972894" w:rsidRPr="00F24057">
        <w:rPr>
          <w:szCs w:val="22"/>
          <w:lang w:val="sr-Latn-ME"/>
        </w:rPr>
        <w:t>mjest</w:t>
      </w:r>
      <w:r w:rsidR="006F3E35" w:rsidRPr="00F24057">
        <w:rPr>
          <w:szCs w:val="22"/>
          <w:lang w:val="sr-Latn-ME"/>
        </w:rPr>
        <w:t xml:space="preserve">a zahvaćenih entezitisom, broj oteklih zglobova, broj </w:t>
      </w:r>
      <w:r w:rsidR="004F2520" w:rsidRPr="00F24057">
        <w:rPr>
          <w:szCs w:val="22"/>
          <w:lang w:val="sr-Latn-ME"/>
        </w:rPr>
        <w:t>osjetljiv</w:t>
      </w:r>
      <w:r w:rsidR="006F3E35" w:rsidRPr="00F24057">
        <w:rPr>
          <w:szCs w:val="22"/>
          <w:lang w:val="sr-Latn-ME"/>
        </w:rPr>
        <w:t>ih zglobova, Pedijatrijski ACR 50 odgovor i Pedijatrijski ACR 70 odgovor, ali ova poboljšanja nisu bila statistički značajna.</w:t>
      </w:r>
    </w:p>
    <w:p w14:paraId="327A12A8" w14:textId="102A9598" w:rsidR="00771666" w:rsidRPr="00F24057" w:rsidRDefault="00771666" w:rsidP="00D70B34">
      <w:pPr>
        <w:rPr>
          <w:szCs w:val="22"/>
          <w:lang w:val="sr-Latn-ME"/>
        </w:rPr>
      </w:pPr>
    </w:p>
    <w:p w14:paraId="31E59F4C" w14:textId="5BBFC8F7" w:rsidR="00982714" w:rsidRPr="00F24057" w:rsidRDefault="00982714" w:rsidP="00D70B34">
      <w:pPr>
        <w:rPr>
          <w:i/>
          <w:szCs w:val="22"/>
          <w:lang w:val="sr-Latn-ME"/>
        </w:rPr>
      </w:pPr>
      <w:r w:rsidRPr="00F24057">
        <w:rPr>
          <w:i/>
          <w:szCs w:val="22"/>
          <w:lang w:val="sr-Latn-ME"/>
        </w:rPr>
        <w:t xml:space="preserve">Plak psorijaza kod </w:t>
      </w:r>
      <w:r w:rsidR="0030064A" w:rsidRPr="00F24057">
        <w:rPr>
          <w:i/>
          <w:szCs w:val="22"/>
          <w:lang w:val="sr-Latn-ME"/>
        </w:rPr>
        <w:t>djece</w:t>
      </w:r>
    </w:p>
    <w:p w14:paraId="511CFBF4" w14:textId="4F26109A" w:rsidR="00982714" w:rsidRPr="00F24057" w:rsidRDefault="00982714" w:rsidP="00D70B34">
      <w:pPr>
        <w:rPr>
          <w:szCs w:val="22"/>
          <w:lang w:val="sr-Latn-ME"/>
        </w:rPr>
      </w:pPr>
      <w:r w:rsidRPr="00F24057">
        <w:rPr>
          <w:szCs w:val="22"/>
          <w:lang w:val="sr-Latn-ME"/>
        </w:rPr>
        <w:t>Efikasnost adalimumaba oc</w:t>
      </w:r>
      <w:r w:rsidR="00FF3128" w:rsidRPr="00F24057">
        <w:rPr>
          <w:szCs w:val="22"/>
          <w:lang w:val="sr-Latn-ME"/>
        </w:rPr>
        <w:t>j</w:t>
      </w:r>
      <w:r w:rsidRPr="00F24057">
        <w:rPr>
          <w:szCs w:val="22"/>
          <w:lang w:val="sr-Latn-ME"/>
        </w:rPr>
        <w:t xml:space="preserve">enjivala se u randomizovanom, dvostruko </w:t>
      </w:r>
      <w:r w:rsidR="00972894" w:rsidRPr="00F24057">
        <w:rPr>
          <w:szCs w:val="22"/>
          <w:lang w:val="sr-Latn-ME"/>
        </w:rPr>
        <w:t>slijep</w:t>
      </w:r>
      <w:r w:rsidRPr="00F24057">
        <w:rPr>
          <w:szCs w:val="22"/>
          <w:lang w:val="sr-Latn-ME"/>
        </w:rPr>
        <w:t>om, kontrolisanom ispitivanju sprovedenom kod 114 pedijatrijskih pacijenata starosti od 4 ili više godina sa teškom hroničnom plak psorijazom (koja se definisala kao PGA rezultat od ≥ 4 ili zahvaćenost površine tela &gt; 20% ili zahvaćenost površine tela &gt; 10% sa vrlo debelim lezijama ili PASI rezultat od ≥ 20 ili ≥ 10 uz klinički značajnu zahvaćenost lica, genitalija ili šaka/stopala) kod kojih bolest nije bila dovoljno dobro kontrolisana topikalnom terapijom i helioterapijom ili fototerapijom.</w:t>
      </w:r>
    </w:p>
    <w:p w14:paraId="7234D219" w14:textId="77777777" w:rsidR="00982714" w:rsidRPr="00F24057" w:rsidRDefault="00982714" w:rsidP="00D70B34">
      <w:pPr>
        <w:rPr>
          <w:szCs w:val="22"/>
          <w:lang w:val="sr-Latn-ME"/>
        </w:rPr>
      </w:pPr>
    </w:p>
    <w:p w14:paraId="5FFA9535" w14:textId="5D1B0C9F" w:rsidR="00982714" w:rsidRPr="00F24057" w:rsidRDefault="00982714" w:rsidP="00D70B34">
      <w:pPr>
        <w:rPr>
          <w:szCs w:val="22"/>
          <w:lang w:val="sr-Latn-ME"/>
        </w:rPr>
      </w:pPr>
      <w:r w:rsidRPr="00F24057">
        <w:rPr>
          <w:szCs w:val="22"/>
          <w:lang w:val="sr-Latn-ME"/>
        </w:rPr>
        <w:t xml:space="preserve">Pacijenti su primali adalimumab u dozi od 0,8 mg/kg svake druge </w:t>
      </w:r>
      <w:r w:rsidR="00885A78" w:rsidRPr="00F24057">
        <w:rPr>
          <w:szCs w:val="22"/>
          <w:lang w:val="sr-Latn-ME"/>
        </w:rPr>
        <w:t>nedjelj</w:t>
      </w:r>
      <w:r w:rsidRPr="00F24057">
        <w:rPr>
          <w:szCs w:val="22"/>
          <w:lang w:val="sr-Latn-ME"/>
        </w:rPr>
        <w:t xml:space="preserve">e (do najviše 40 mg), 0,4 mg/kg svake druge </w:t>
      </w:r>
      <w:r w:rsidR="00885A78" w:rsidRPr="00F24057">
        <w:rPr>
          <w:szCs w:val="22"/>
          <w:lang w:val="sr-Latn-ME"/>
        </w:rPr>
        <w:t>nedjelj</w:t>
      </w:r>
      <w:r w:rsidRPr="00F24057">
        <w:rPr>
          <w:szCs w:val="22"/>
          <w:lang w:val="sr-Latn-ME"/>
        </w:rPr>
        <w:t xml:space="preserve">e (do najviše 20 mg) ili metotreksat u dozi od 0,1 - 0,4 mg/kg jednom </w:t>
      </w:r>
      <w:r w:rsidR="00885A78" w:rsidRPr="00F24057">
        <w:rPr>
          <w:szCs w:val="22"/>
          <w:lang w:val="sr-Latn-ME"/>
        </w:rPr>
        <w:t>nedjelj</w:t>
      </w:r>
      <w:r w:rsidRPr="00F24057">
        <w:rPr>
          <w:szCs w:val="22"/>
          <w:lang w:val="sr-Latn-ME"/>
        </w:rPr>
        <w:t xml:space="preserve">no (do najviše 25 mg). U 16. </w:t>
      </w:r>
      <w:r w:rsidR="00885A78" w:rsidRPr="00F24057">
        <w:rPr>
          <w:szCs w:val="22"/>
          <w:lang w:val="sr-Latn-ME"/>
        </w:rPr>
        <w:t>nedjelj</w:t>
      </w:r>
      <w:r w:rsidRPr="00F24057">
        <w:rPr>
          <w:szCs w:val="22"/>
          <w:lang w:val="sr-Latn-ME"/>
        </w:rPr>
        <w:t xml:space="preserve">i, pozitivan odgovor s obzirom na efikasnost (npr. PASI 75) postigao je veći broj pacijenata randomizovanih za </w:t>
      </w:r>
      <w:r w:rsidR="0030064A" w:rsidRPr="00F24057">
        <w:rPr>
          <w:szCs w:val="22"/>
          <w:lang w:val="sr-Latn-ME"/>
        </w:rPr>
        <w:t>liječenje</w:t>
      </w:r>
      <w:r w:rsidRPr="00F24057">
        <w:rPr>
          <w:szCs w:val="22"/>
          <w:lang w:val="sr-Latn-ME"/>
        </w:rPr>
        <w:t xml:space="preserve"> adalimumabom u dozi od 0,8 mg/kg nego onih randomizovanih za primanje doze od 0,4 mg/kg svake druge </w:t>
      </w:r>
      <w:r w:rsidR="00885A78" w:rsidRPr="00F24057">
        <w:rPr>
          <w:szCs w:val="22"/>
          <w:lang w:val="sr-Latn-ME"/>
        </w:rPr>
        <w:t>nedjelj</w:t>
      </w:r>
      <w:r w:rsidRPr="00F24057">
        <w:rPr>
          <w:szCs w:val="22"/>
          <w:lang w:val="sr-Latn-ME"/>
        </w:rPr>
        <w:t xml:space="preserve">e ili za </w:t>
      </w:r>
      <w:r w:rsidR="0030064A" w:rsidRPr="00F24057">
        <w:rPr>
          <w:szCs w:val="22"/>
          <w:lang w:val="sr-Latn-ME"/>
        </w:rPr>
        <w:t>liječenje</w:t>
      </w:r>
      <w:r w:rsidRPr="00F24057">
        <w:rPr>
          <w:szCs w:val="22"/>
          <w:lang w:val="sr-Latn-ME"/>
        </w:rPr>
        <w:t xml:space="preserve"> metotreksatom</w:t>
      </w:r>
      <w:r w:rsidR="001C6484" w:rsidRPr="00F24057">
        <w:rPr>
          <w:szCs w:val="22"/>
          <w:lang w:val="sr-Latn-ME"/>
        </w:rPr>
        <w:t>.</w:t>
      </w:r>
    </w:p>
    <w:p w14:paraId="4CB9A489" w14:textId="0C19D105" w:rsidR="00771666" w:rsidRPr="00F24057" w:rsidRDefault="00771666" w:rsidP="00D70B34">
      <w:pPr>
        <w:rPr>
          <w:szCs w:val="22"/>
          <w:lang w:val="sr-Latn-ME"/>
        </w:rPr>
      </w:pPr>
    </w:p>
    <w:p w14:paraId="71329921" w14:textId="6F262BA6" w:rsidR="003F3D31" w:rsidRPr="00F24057" w:rsidRDefault="003F3D31" w:rsidP="00D70B34">
      <w:pPr>
        <w:rPr>
          <w:b/>
          <w:szCs w:val="22"/>
          <w:lang w:val="sr-Latn-ME"/>
        </w:rPr>
      </w:pPr>
      <w:r w:rsidRPr="00F24057">
        <w:rPr>
          <w:b/>
          <w:szCs w:val="22"/>
          <w:lang w:val="sr-Latn-ME"/>
        </w:rPr>
        <w:t xml:space="preserve">Tabela 27. Rezultati efikasnosti kod </w:t>
      </w:r>
      <w:r w:rsidR="0030064A" w:rsidRPr="00F24057">
        <w:rPr>
          <w:b/>
          <w:szCs w:val="22"/>
          <w:lang w:val="sr-Latn-ME"/>
        </w:rPr>
        <w:t>djece</w:t>
      </w:r>
      <w:r w:rsidRPr="00F24057">
        <w:rPr>
          <w:b/>
          <w:szCs w:val="22"/>
          <w:lang w:val="sr-Latn-ME"/>
        </w:rPr>
        <w:t xml:space="preserve"> sa plak psorijazom u 16. </w:t>
      </w:r>
      <w:r w:rsidR="00885A78" w:rsidRPr="00F24057">
        <w:rPr>
          <w:b/>
          <w:szCs w:val="22"/>
          <w:lang w:val="sr-Latn-ME"/>
        </w:rPr>
        <w:t>nedjelj</w:t>
      </w:r>
      <w:r w:rsidRPr="00F24057">
        <w:rPr>
          <w:b/>
          <w:szCs w:val="22"/>
          <w:lang w:val="sr-Latn-ME"/>
        </w:rPr>
        <w:t xml:space="preserve">i </w:t>
      </w:r>
    </w:p>
    <w:p w14:paraId="595246B7" w14:textId="77777777" w:rsidR="0063035F" w:rsidRPr="00F24057" w:rsidRDefault="0063035F" w:rsidP="00D70B34">
      <w:pPr>
        <w:rPr>
          <w:szCs w:val="22"/>
          <w:lang w:val="sr-Latn-ME"/>
        </w:rPr>
      </w:pPr>
    </w:p>
    <w:tbl>
      <w:tblPr>
        <w:tblW w:w="5000" w:type="pct"/>
        <w:tblCellMar>
          <w:top w:w="44" w:type="dxa"/>
          <w:left w:w="85" w:type="dxa"/>
          <w:right w:w="85" w:type="dxa"/>
        </w:tblCellMar>
        <w:tblLook w:val="04A0" w:firstRow="1" w:lastRow="0" w:firstColumn="1" w:lastColumn="0" w:noHBand="0" w:noVBand="1"/>
      </w:tblPr>
      <w:tblGrid>
        <w:gridCol w:w="2914"/>
        <w:gridCol w:w="1616"/>
        <w:gridCol w:w="4487"/>
      </w:tblGrid>
      <w:tr w:rsidR="0063035F" w:rsidRPr="00F24057" w14:paraId="1604692E" w14:textId="77777777" w:rsidTr="00E933AC">
        <w:trPr>
          <w:trHeight w:val="20"/>
        </w:trPr>
        <w:tc>
          <w:tcPr>
            <w:tcW w:w="1616" w:type="pct"/>
            <w:tcBorders>
              <w:top w:val="single" w:sz="4" w:space="0" w:color="000000"/>
              <w:left w:val="single" w:sz="4" w:space="0" w:color="000000"/>
              <w:bottom w:val="single" w:sz="4" w:space="0" w:color="000000"/>
              <w:right w:val="single" w:sz="4" w:space="0" w:color="000000"/>
            </w:tcBorders>
          </w:tcPr>
          <w:p w14:paraId="73063F98" w14:textId="77777777" w:rsidR="0063035F" w:rsidRPr="00F24057" w:rsidRDefault="0063035F" w:rsidP="00D70B34">
            <w:pPr>
              <w:rPr>
                <w:szCs w:val="22"/>
                <w:lang w:val="sr-Latn-ME"/>
              </w:rPr>
            </w:pPr>
          </w:p>
        </w:tc>
        <w:tc>
          <w:tcPr>
            <w:tcW w:w="896" w:type="pct"/>
            <w:tcBorders>
              <w:top w:val="single" w:sz="4" w:space="0" w:color="000000"/>
              <w:left w:val="single" w:sz="4" w:space="0" w:color="000000"/>
              <w:bottom w:val="single" w:sz="4" w:space="0" w:color="000000"/>
              <w:right w:val="single" w:sz="4" w:space="0" w:color="000000"/>
            </w:tcBorders>
            <w:vAlign w:val="center"/>
          </w:tcPr>
          <w:p w14:paraId="51C29CA2" w14:textId="77777777" w:rsidR="0063035F" w:rsidRPr="00F24057" w:rsidRDefault="0063035F" w:rsidP="00D70B34">
            <w:pPr>
              <w:jc w:val="center"/>
              <w:rPr>
                <w:b/>
                <w:bCs/>
                <w:szCs w:val="22"/>
                <w:lang w:val="sr-Latn-ME"/>
              </w:rPr>
            </w:pPr>
            <w:r w:rsidRPr="00F24057">
              <w:rPr>
                <w:b/>
                <w:bCs/>
                <w:szCs w:val="22"/>
                <w:lang w:val="sr-Latn-ME"/>
              </w:rPr>
              <w:t>MTX</w:t>
            </w:r>
            <w:r w:rsidRPr="00F24057">
              <w:rPr>
                <w:b/>
                <w:bCs/>
                <w:szCs w:val="22"/>
                <w:vertAlign w:val="superscript"/>
                <w:lang w:val="sr-Latn-ME"/>
              </w:rPr>
              <w:t>a</w:t>
            </w:r>
          </w:p>
          <w:p w14:paraId="31FFDAC7" w14:textId="77777777" w:rsidR="0063035F" w:rsidRPr="00F24057" w:rsidRDefault="0063035F" w:rsidP="00D70B34">
            <w:pPr>
              <w:jc w:val="center"/>
              <w:rPr>
                <w:b/>
                <w:bCs/>
                <w:szCs w:val="22"/>
                <w:lang w:val="sr-Latn-ME"/>
              </w:rPr>
            </w:pPr>
            <w:r w:rsidRPr="00F24057">
              <w:rPr>
                <w:b/>
                <w:bCs/>
                <w:szCs w:val="22"/>
                <w:lang w:val="sr-Latn-ME"/>
              </w:rPr>
              <w:t>N=37</w:t>
            </w:r>
          </w:p>
        </w:tc>
        <w:tc>
          <w:tcPr>
            <w:tcW w:w="2488" w:type="pct"/>
            <w:tcBorders>
              <w:top w:val="single" w:sz="4" w:space="0" w:color="000000"/>
              <w:left w:val="single" w:sz="4" w:space="0" w:color="000000"/>
              <w:bottom w:val="single" w:sz="4" w:space="0" w:color="000000"/>
              <w:right w:val="single" w:sz="4" w:space="0" w:color="000000"/>
            </w:tcBorders>
            <w:vAlign w:val="center"/>
          </w:tcPr>
          <w:p w14:paraId="3F78DBA9" w14:textId="1DFEF9CE" w:rsidR="0063035F" w:rsidRPr="00F24057" w:rsidRDefault="0063035F" w:rsidP="00D70B34">
            <w:pPr>
              <w:jc w:val="center"/>
              <w:rPr>
                <w:b/>
                <w:bCs/>
                <w:szCs w:val="22"/>
                <w:lang w:val="sr-Latn-ME"/>
              </w:rPr>
            </w:pPr>
            <w:r w:rsidRPr="00F24057">
              <w:rPr>
                <w:b/>
                <w:bCs/>
                <w:szCs w:val="22"/>
                <w:lang w:val="sr-Latn-ME"/>
              </w:rPr>
              <w:t xml:space="preserve">Adalimumab 0,8 mg/kg svake druge </w:t>
            </w:r>
            <w:r w:rsidR="00885A78" w:rsidRPr="00F24057">
              <w:rPr>
                <w:b/>
                <w:bCs/>
                <w:szCs w:val="22"/>
                <w:lang w:val="sr-Latn-ME"/>
              </w:rPr>
              <w:t>nedjelj</w:t>
            </w:r>
            <w:r w:rsidRPr="00F24057">
              <w:rPr>
                <w:b/>
                <w:bCs/>
                <w:szCs w:val="22"/>
                <w:lang w:val="sr-Latn-ME"/>
              </w:rPr>
              <w:t>e</w:t>
            </w:r>
          </w:p>
          <w:p w14:paraId="1A8FB44B" w14:textId="77777777" w:rsidR="0063035F" w:rsidRPr="00F24057" w:rsidRDefault="0063035F" w:rsidP="00D70B34">
            <w:pPr>
              <w:jc w:val="center"/>
              <w:rPr>
                <w:b/>
                <w:bCs/>
                <w:szCs w:val="22"/>
                <w:lang w:val="sr-Latn-ME"/>
              </w:rPr>
            </w:pPr>
            <w:r w:rsidRPr="00F24057">
              <w:rPr>
                <w:b/>
                <w:bCs/>
                <w:szCs w:val="22"/>
                <w:lang w:val="sr-Latn-ME"/>
              </w:rPr>
              <w:t>N=38</w:t>
            </w:r>
          </w:p>
        </w:tc>
      </w:tr>
      <w:tr w:rsidR="0063035F" w:rsidRPr="00F24057" w14:paraId="35199478" w14:textId="77777777" w:rsidTr="00E933AC">
        <w:trPr>
          <w:trHeight w:val="20"/>
        </w:trPr>
        <w:tc>
          <w:tcPr>
            <w:tcW w:w="1616" w:type="pct"/>
            <w:tcBorders>
              <w:top w:val="single" w:sz="4" w:space="0" w:color="000000"/>
              <w:left w:val="single" w:sz="4" w:space="0" w:color="000000"/>
              <w:bottom w:val="single" w:sz="4" w:space="0" w:color="000000"/>
              <w:right w:val="single" w:sz="4" w:space="0" w:color="000000"/>
            </w:tcBorders>
          </w:tcPr>
          <w:p w14:paraId="4243CB93" w14:textId="77777777" w:rsidR="0063035F" w:rsidRPr="00F24057" w:rsidRDefault="0063035F" w:rsidP="00D70B34">
            <w:pPr>
              <w:rPr>
                <w:szCs w:val="22"/>
                <w:lang w:val="sr-Latn-ME"/>
              </w:rPr>
            </w:pPr>
            <w:r w:rsidRPr="00F24057">
              <w:rPr>
                <w:szCs w:val="22"/>
                <w:lang w:val="sr-Latn-ME"/>
              </w:rPr>
              <w:t>PASI 75</w:t>
            </w:r>
            <w:r w:rsidRPr="00F24057">
              <w:rPr>
                <w:szCs w:val="22"/>
                <w:vertAlign w:val="superscript"/>
                <w:lang w:val="sr-Latn-ME"/>
              </w:rPr>
              <w:t>b</w:t>
            </w:r>
          </w:p>
        </w:tc>
        <w:tc>
          <w:tcPr>
            <w:tcW w:w="896" w:type="pct"/>
            <w:tcBorders>
              <w:top w:val="single" w:sz="4" w:space="0" w:color="000000"/>
              <w:left w:val="single" w:sz="4" w:space="0" w:color="000000"/>
              <w:bottom w:val="single" w:sz="4" w:space="0" w:color="000000"/>
              <w:right w:val="single" w:sz="4" w:space="0" w:color="000000"/>
            </w:tcBorders>
            <w:vAlign w:val="center"/>
          </w:tcPr>
          <w:p w14:paraId="3DE59347" w14:textId="77777777" w:rsidR="0063035F" w:rsidRPr="00F24057" w:rsidRDefault="0063035F" w:rsidP="00D70B34">
            <w:pPr>
              <w:jc w:val="center"/>
              <w:rPr>
                <w:szCs w:val="22"/>
                <w:lang w:val="sr-Latn-ME"/>
              </w:rPr>
            </w:pPr>
            <w:r w:rsidRPr="00F24057">
              <w:rPr>
                <w:szCs w:val="22"/>
                <w:lang w:val="sr-Latn-ME"/>
              </w:rPr>
              <w:t>12 (32,4%)</w:t>
            </w:r>
          </w:p>
        </w:tc>
        <w:tc>
          <w:tcPr>
            <w:tcW w:w="2488" w:type="pct"/>
            <w:tcBorders>
              <w:top w:val="single" w:sz="4" w:space="0" w:color="000000"/>
              <w:left w:val="single" w:sz="4" w:space="0" w:color="000000"/>
              <w:bottom w:val="single" w:sz="4" w:space="0" w:color="000000"/>
              <w:right w:val="single" w:sz="4" w:space="0" w:color="000000"/>
            </w:tcBorders>
            <w:vAlign w:val="center"/>
          </w:tcPr>
          <w:p w14:paraId="2B4FF292" w14:textId="77777777" w:rsidR="0063035F" w:rsidRPr="00F24057" w:rsidRDefault="0063035F" w:rsidP="00D70B34">
            <w:pPr>
              <w:jc w:val="center"/>
              <w:rPr>
                <w:szCs w:val="22"/>
                <w:lang w:val="sr-Latn-ME"/>
              </w:rPr>
            </w:pPr>
            <w:r w:rsidRPr="00F24057">
              <w:rPr>
                <w:szCs w:val="22"/>
                <w:lang w:val="sr-Latn-ME"/>
              </w:rPr>
              <w:t>22 (57,9%)</w:t>
            </w:r>
          </w:p>
        </w:tc>
      </w:tr>
      <w:tr w:rsidR="0063035F" w:rsidRPr="00F24057" w14:paraId="44A23394" w14:textId="77777777" w:rsidTr="00E933AC">
        <w:trPr>
          <w:trHeight w:val="20"/>
        </w:trPr>
        <w:tc>
          <w:tcPr>
            <w:tcW w:w="1616" w:type="pct"/>
            <w:tcBorders>
              <w:top w:val="single" w:sz="4" w:space="0" w:color="000000"/>
              <w:left w:val="single" w:sz="4" w:space="0" w:color="000000"/>
              <w:bottom w:val="single" w:sz="4" w:space="0" w:color="000000"/>
              <w:right w:val="single" w:sz="4" w:space="0" w:color="000000"/>
            </w:tcBorders>
          </w:tcPr>
          <w:p w14:paraId="316199BC" w14:textId="77777777" w:rsidR="0063035F" w:rsidRPr="00F24057" w:rsidRDefault="0063035F" w:rsidP="00D70B34">
            <w:pPr>
              <w:rPr>
                <w:szCs w:val="22"/>
                <w:lang w:val="sr-Latn-ME"/>
              </w:rPr>
            </w:pPr>
            <w:r w:rsidRPr="00F24057">
              <w:rPr>
                <w:szCs w:val="22"/>
                <w:lang w:val="sr-Latn-ME"/>
              </w:rPr>
              <w:t>PGA: bez bolesti/minimalno</w:t>
            </w:r>
            <w:r w:rsidRPr="00F24057">
              <w:rPr>
                <w:szCs w:val="22"/>
                <w:vertAlign w:val="superscript"/>
                <w:lang w:val="sr-Latn-ME"/>
              </w:rPr>
              <w:t>c</w:t>
            </w:r>
          </w:p>
        </w:tc>
        <w:tc>
          <w:tcPr>
            <w:tcW w:w="896" w:type="pct"/>
            <w:tcBorders>
              <w:top w:val="single" w:sz="4" w:space="0" w:color="000000"/>
              <w:left w:val="single" w:sz="4" w:space="0" w:color="000000"/>
              <w:bottom w:val="single" w:sz="4" w:space="0" w:color="000000"/>
              <w:right w:val="single" w:sz="4" w:space="0" w:color="000000"/>
            </w:tcBorders>
            <w:vAlign w:val="center"/>
          </w:tcPr>
          <w:p w14:paraId="0853887C" w14:textId="77777777" w:rsidR="0063035F" w:rsidRPr="00F24057" w:rsidRDefault="0063035F" w:rsidP="00D70B34">
            <w:pPr>
              <w:jc w:val="center"/>
              <w:rPr>
                <w:szCs w:val="22"/>
                <w:lang w:val="sr-Latn-ME"/>
              </w:rPr>
            </w:pPr>
            <w:r w:rsidRPr="00F24057">
              <w:rPr>
                <w:szCs w:val="22"/>
                <w:lang w:val="sr-Latn-ME"/>
              </w:rPr>
              <w:t>15 (40,5%)</w:t>
            </w:r>
          </w:p>
        </w:tc>
        <w:tc>
          <w:tcPr>
            <w:tcW w:w="2488" w:type="pct"/>
            <w:tcBorders>
              <w:top w:val="single" w:sz="4" w:space="0" w:color="000000"/>
              <w:left w:val="single" w:sz="4" w:space="0" w:color="000000"/>
              <w:bottom w:val="single" w:sz="4" w:space="0" w:color="000000"/>
              <w:right w:val="single" w:sz="4" w:space="0" w:color="000000"/>
            </w:tcBorders>
            <w:vAlign w:val="center"/>
          </w:tcPr>
          <w:p w14:paraId="07A79F98" w14:textId="77777777" w:rsidR="0063035F" w:rsidRPr="00F24057" w:rsidRDefault="0063035F" w:rsidP="00D70B34">
            <w:pPr>
              <w:jc w:val="center"/>
              <w:rPr>
                <w:szCs w:val="22"/>
                <w:lang w:val="sr-Latn-ME"/>
              </w:rPr>
            </w:pPr>
            <w:r w:rsidRPr="00F24057">
              <w:rPr>
                <w:szCs w:val="22"/>
                <w:lang w:val="sr-Latn-ME"/>
              </w:rPr>
              <w:t>23 (60,5%)</w:t>
            </w:r>
          </w:p>
        </w:tc>
      </w:tr>
      <w:tr w:rsidR="0063035F" w:rsidRPr="00F24057" w14:paraId="0A800124" w14:textId="77777777" w:rsidTr="00F1226A">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CCA66F6" w14:textId="3ED1B94D" w:rsidR="00FD077A" w:rsidRPr="00F24057" w:rsidRDefault="00FD077A" w:rsidP="00D70B34">
            <w:pPr>
              <w:jc w:val="left"/>
              <w:rPr>
                <w:szCs w:val="22"/>
                <w:lang w:val="sr-Latn-ME"/>
              </w:rPr>
            </w:pPr>
            <w:r w:rsidRPr="00F24057">
              <w:rPr>
                <w:szCs w:val="22"/>
                <w:vertAlign w:val="superscript"/>
                <w:lang w:val="sr-Latn-ME"/>
              </w:rPr>
              <w:t>a.</w:t>
            </w:r>
            <w:r w:rsidRPr="00F24057">
              <w:rPr>
                <w:szCs w:val="22"/>
                <w:lang w:val="sr-Latn-ME"/>
              </w:rPr>
              <w:t xml:space="preserve"> MTX = metotreksat </w:t>
            </w:r>
          </w:p>
          <w:p w14:paraId="1DD41E00" w14:textId="2EA303B3" w:rsidR="00FD077A" w:rsidRPr="00F24057" w:rsidRDefault="00FD077A" w:rsidP="00D70B34">
            <w:pPr>
              <w:jc w:val="left"/>
              <w:rPr>
                <w:szCs w:val="22"/>
                <w:lang w:val="sr-Latn-ME"/>
              </w:rPr>
            </w:pPr>
            <w:r w:rsidRPr="00F24057">
              <w:rPr>
                <w:szCs w:val="22"/>
                <w:vertAlign w:val="superscript"/>
                <w:lang w:val="sr-Latn-ME"/>
              </w:rPr>
              <w:t>b.</w:t>
            </w:r>
            <w:r w:rsidRPr="00F24057">
              <w:rPr>
                <w:szCs w:val="22"/>
                <w:lang w:val="sr-Latn-ME"/>
              </w:rPr>
              <w:t xml:space="preserve"> P=0,027, adalimumab 0,8 mg/kg naspram MTX-a </w:t>
            </w:r>
          </w:p>
          <w:p w14:paraId="1E06EB5D" w14:textId="77E1D78A" w:rsidR="0063035F" w:rsidRPr="00F24057" w:rsidRDefault="00FD077A" w:rsidP="00D70B34">
            <w:pPr>
              <w:jc w:val="left"/>
              <w:rPr>
                <w:szCs w:val="22"/>
                <w:lang w:val="sr-Latn-ME"/>
              </w:rPr>
            </w:pPr>
            <w:r w:rsidRPr="00F24057">
              <w:rPr>
                <w:szCs w:val="22"/>
                <w:vertAlign w:val="superscript"/>
                <w:lang w:val="sr-Latn-ME"/>
              </w:rPr>
              <w:t>c.</w:t>
            </w:r>
            <w:r w:rsidRPr="00F24057">
              <w:rPr>
                <w:szCs w:val="22"/>
                <w:lang w:val="sr-Latn-ME"/>
              </w:rPr>
              <w:t xml:space="preserve"> P=0,083, adalimumab 0,8 mg/kg naspram MTX-a</w:t>
            </w:r>
          </w:p>
        </w:tc>
      </w:tr>
    </w:tbl>
    <w:p w14:paraId="55745C78" w14:textId="77777777" w:rsidR="003F3D31" w:rsidRPr="00F24057" w:rsidRDefault="003F3D31" w:rsidP="00D70B34">
      <w:pPr>
        <w:rPr>
          <w:szCs w:val="22"/>
          <w:lang w:val="sr-Latn-ME"/>
        </w:rPr>
      </w:pPr>
    </w:p>
    <w:p w14:paraId="725B6932" w14:textId="79D4B132" w:rsidR="00AD168A" w:rsidRPr="00F24057" w:rsidRDefault="00AD168A" w:rsidP="00D70B34">
      <w:pPr>
        <w:rPr>
          <w:szCs w:val="22"/>
          <w:lang w:val="sr-Latn-ME"/>
        </w:rPr>
      </w:pPr>
      <w:r w:rsidRPr="00F24057">
        <w:rPr>
          <w:szCs w:val="22"/>
          <w:lang w:val="sr-Latn-ME"/>
        </w:rPr>
        <w:t xml:space="preserve">Kod pacijenata koji su postigli PASI 75 ili PGA rezultat „bez bolesti“ ili „minimalno“, </w:t>
      </w:r>
      <w:r w:rsidR="0030064A" w:rsidRPr="00F24057">
        <w:rPr>
          <w:szCs w:val="22"/>
          <w:lang w:val="sr-Latn-ME"/>
        </w:rPr>
        <w:t>liječenje</w:t>
      </w:r>
      <w:r w:rsidRPr="00F24057">
        <w:rPr>
          <w:szCs w:val="22"/>
          <w:lang w:val="sr-Latn-ME"/>
        </w:rPr>
        <w:t xml:space="preserve"> je prekinuto tokom perioda do najviše 36 </w:t>
      </w:r>
      <w:r w:rsidR="00885A78" w:rsidRPr="00F24057">
        <w:rPr>
          <w:szCs w:val="22"/>
          <w:lang w:val="sr-Latn-ME"/>
        </w:rPr>
        <w:t>nedjelj</w:t>
      </w:r>
      <w:r w:rsidRPr="00F24057">
        <w:rPr>
          <w:szCs w:val="22"/>
          <w:lang w:val="sr-Latn-ME"/>
        </w:rPr>
        <w:t xml:space="preserve">a, pa se pratio gubitak kontrole bolesti (tj. pogoršanje PGA rezultata za najmanje 2 stepena). Pacijenti su zatim ponovo započeli </w:t>
      </w:r>
      <w:r w:rsidR="0030064A" w:rsidRPr="00F24057">
        <w:rPr>
          <w:szCs w:val="22"/>
          <w:lang w:val="sr-Latn-ME"/>
        </w:rPr>
        <w:t>liječenje</w:t>
      </w:r>
      <w:r w:rsidRPr="00F24057">
        <w:rPr>
          <w:szCs w:val="22"/>
          <w:lang w:val="sr-Latn-ME"/>
        </w:rPr>
        <w:t xml:space="preserve"> adalimumabom u dozi od 0,8 mg/kg svake druge </w:t>
      </w:r>
      <w:r w:rsidR="00885A78" w:rsidRPr="00F24057">
        <w:rPr>
          <w:szCs w:val="22"/>
          <w:lang w:val="sr-Latn-ME"/>
        </w:rPr>
        <w:t>nedjelj</w:t>
      </w:r>
      <w:r w:rsidRPr="00F24057">
        <w:rPr>
          <w:szCs w:val="22"/>
          <w:lang w:val="sr-Latn-ME"/>
        </w:rPr>
        <w:t xml:space="preserve">e tokom dodatnih 16 </w:t>
      </w:r>
      <w:r w:rsidR="00885A78" w:rsidRPr="00F24057">
        <w:rPr>
          <w:szCs w:val="22"/>
          <w:lang w:val="sr-Latn-ME"/>
        </w:rPr>
        <w:t>nedjelj</w:t>
      </w:r>
      <w:r w:rsidRPr="00F24057">
        <w:rPr>
          <w:szCs w:val="22"/>
          <w:lang w:val="sr-Latn-ME"/>
        </w:rPr>
        <w:t xml:space="preserve">a, a stope odgovora </w:t>
      </w:r>
      <w:r w:rsidR="00911D74" w:rsidRPr="00F24057">
        <w:rPr>
          <w:szCs w:val="22"/>
          <w:lang w:val="sr-Latn-ME"/>
        </w:rPr>
        <w:t>primijećene</w:t>
      </w:r>
      <w:r w:rsidRPr="00F24057">
        <w:rPr>
          <w:szCs w:val="22"/>
          <w:lang w:val="sr-Latn-ME"/>
        </w:rPr>
        <w:t xml:space="preserve"> tokom ponovnog </w:t>
      </w:r>
      <w:r w:rsidR="00885A78" w:rsidRPr="00F24057">
        <w:rPr>
          <w:szCs w:val="22"/>
          <w:lang w:val="sr-Latn-ME"/>
        </w:rPr>
        <w:t>liječenj</w:t>
      </w:r>
      <w:r w:rsidRPr="00F24057">
        <w:rPr>
          <w:szCs w:val="22"/>
          <w:lang w:val="sr-Latn-ME"/>
        </w:rPr>
        <w:t>a bile su slične onima prethodno za</w:t>
      </w:r>
      <w:r w:rsidR="004F2520" w:rsidRPr="00F24057">
        <w:rPr>
          <w:szCs w:val="22"/>
          <w:lang w:val="sr-Latn-ME"/>
        </w:rPr>
        <w:t>biljež</w:t>
      </w:r>
      <w:r w:rsidRPr="00F24057">
        <w:rPr>
          <w:szCs w:val="22"/>
          <w:lang w:val="sr-Latn-ME"/>
        </w:rPr>
        <w:t xml:space="preserve">enima tokom perioda dvostruko </w:t>
      </w:r>
      <w:r w:rsidR="00972894" w:rsidRPr="00F24057">
        <w:rPr>
          <w:szCs w:val="22"/>
          <w:lang w:val="sr-Latn-ME"/>
        </w:rPr>
        <w:t>slijep</w:t>
      </w:r>
      <w:r w:rsidRPr="00F24057">
        <w:rPr>
          <w:szCs w:val="22"/>
          <w:lang w:val="sr-Latn-ME"/>
        </w:rPr>
        <w:t xml:space="preserve">og </w:t>
      </w:r>
      <w:r w:rsidR="00885A78" w:rsidRPr="00F24057">
        <w:rPr>
          <w:szCs w:val="22"/>
          <w:lang w:val="sr-Latn-ME"/>
        </w:rPr>
        <w:t>liječenj</w:t>
      </w:r>
      <w:r w:rsidRPr="00F24057">
        <w:rPr>
          <w:szCs w:val="22"/>
          <w:lang w:val="sr-Latn-ME"/>
        </w:rPr>
        <w:t>a: PASI 75 odgovor postiglo je 78,9% (15 od 19 ispitanika), a PGA rezultat „bez bolestiˮ ili „minimalnoˮ njih 52,6% (10 od 19 ispitanika).</w:t>
      </w:r>
    </w:p>
    <w:p w14:paraId="3B2DF340" w14:textId="77777777" w:rsidR="00AD168A" w:rsidRPr="00F24057" w:rsidRDefault="00AD168A" w:rsidP="00D70B34">
      <w:pPr>
        <w:rPr>
          <w:szCs w:val="22"/>
          <w:lang w:val="sr-Latn-ME"/>
        </w:rPr>
      </w:pPr>
    </w:p>
    <w:p w14:paraId="37DF85EC" w14:textId="3297D8B1" w:rsidR="00AD168A" w:rsidRPr="00F24057" w:rsidRDefault="00AD168A" w:rsidP="00D70B34">
      <w:pPr>
        <w:rPr>
          <w:szCs w:val="22"/>
          <w:lang w:val="sr-Latn-ME"/>
        </w:rPr>
      </w:pPr>
      <w:r w:rsidRPr="00F24057">
        <w:rPr>
          <w:szCs w:val="22"/>
          <w:lang w:val="sr-Latn-ME"/>
        </w:rPr>
        <w:t xml:space="preserve">U otvorenom periodu ispitivanja, PASI 75 odgovor i PGA rezultat „bez bolesti“ ili „minimalno“ održali su se tokom dodatne 52 </w:t>
      </w:r>
      <w:r w:rsidR="00885A78" w:rsidRPr="00F24057">
        <w:rPr>
          <w:szCs w:val="22"/>
          <w:lang w:val="sr-Latn-ME"/>
        </w:rPr>
        <w:t>nedjelj</w:t>
      </w:r>
      <w:r w:rsidRPr="00F24057">
        <w:rPr>
          <w:szCs w:val="22"/>
          <w:lang w:val="sr-Latn-ME"/>
        </w:rPr>
        <w:t>e, bez novih nalaza povezanih sa sigurnošću.</w:t>
      </w:r>
    </w:p>
    <w:p w14:paraId="13C504BC" w14:textId="08534E02" w:rsidR="00771666" w:rsidRPr="00F24057" w:rsidRDefault="00771666" w:rsidP="00D70B34">
      <w:pPr>
        <w:rPr>
          <w:b/>
          <w:bCs/>
          <w:szCs w:val="22"/>
          <w:lang w:val="sr-Latn-ME"/>
        </w:rPr>
      </w:pPr>
    </w:p>
    <w:p w14:paraId="445BDBB3" w14:textId="26A015CC" w:rsidR="00826C34" w:rsidRPr="00F24057" w:rsidRDefault="00826C34" w:rsidP="00D70B34">
      <w:pPr>
        <w:rPr>
          <w:i/>
          <w:szCs w:val="22"/>
          <w:lang w:val="sr-Latn-ME"/>
        </w:rPr>
      </w:pPr>
      <w:r w:rsidRPr="00F24057">
        <w:rPr>
          <w:i/>
          <w:szCs w:val="22"/>
          <w:lang w:val="sr-Latn-ME"/>
        </w:rPr>
        <w:t xml:space="preserve">Gnojno zapaljenje znojnih </w:t>
      </w:r>
      <w:r w:rsidR="009A3407" w:rsidRPr="00F24057">
        <w:rPr>
          <w:i/>
          <w:szCs w:val="22"/>
          <w:lang w:val="sr-Latn-ME"/>
        </w:rPr>
        <w:t>žlijezd</w:t>
      </w:r>
      <w:r w:rsidRPr="00F24057">
        <w:rPr>
          <w:i/>
          <w:szCs w:val="22"/>
          <w:lang w:val="sr-Latn-ME"/>
        </w:rPr>
        <w:t>a (Hidradenitis suppurativa) kod adolescenata</w:t>
      </w:r>
    </w:p>
    <w:p w14:paraId="13084C5B" w14:textId="5E1813BB" w:rsidR="00826C34" w:rsidRPr="00F24057" w:rsidRDefault="00826C34" w:rsidP="00D70B34">
      <w:pPr>
        <w:rPr>
          <w:szCs w:val="22"/>
          <w:lang w:val="sr-Latn-ME"/>
        </w:rPr>
      </w:pPr>
      <w:r w:rsidRPr="00F24057">
        <w:rPr>
          <w:szCs w:val="22"/>
          <w:lang w:val="sr-Latn-ME"/>
        </w:rPr>
        <w:t xml:space="preserve">Nisu sprovedena klinička ispitivanja adalimumaba kod adolescentnih pacijenata sa gnojnim zapaljenjem znojnih </w:t>
      </w:r>
      <w:r w:rsidR="009A3407" w:rsidRPr="00F24057">
        <w:rPr>
          <w:szCs w:val="22"/>
          <w:lang w:val="sr-Latn-ME"/>
        </w:rPr>
        <w:t>žlijezd</w:t>
      </w:r>
      <w:r w:rsidRPr="00F24057">
        <w:rPr>
          <w:szCs w:val="22"/>
          <w:lang w:val="sr-Latn-ME"/>
        </w:rPr>
        <w:t xml:space="preserve">a. Efikasnost adalimumaba u </w:t>
      </w:r>
      <w:r w:rsidR="00885A78" w:rsidRPr="00F24057">
        <w:rPr>
          <w:szCs w:val="22"/>
          <w:lang w:val="sr-Latn-ME"/>
        </w:rPr>
        <w:t>liječenj</w:t>
      </w:r>
      <w:r w:rsidRPr="00F24057">
        <w:rPr>
          <w:szCs w:val="22"/>
          <w:lang w:val="sr-Latn-ME"/>
        </w:rPr>
        <w:t xml:space="preserve">u adolescentnih pacijenata sa gnojnim zapaljenjem znojnih </w:t>
      </w:r>
      <w:r w:rsidR="009A3407" w:rsidRPr="00F24057">
        <w:rPr>
          <w:szCs w:val="22"/>
          <w:lang w:val="sr-Latn-ME"/>
        </w:rPr>
        <w:t>žlijezd</w:t>
      </w:r>
      <w:r w:rsidRPr="00F24057">
        <w:rPr>
          <w:szCs w:val="22"/>
          <w:lang w:val="sr-Latn-ME"/>
        </w:rPr>
        <w:t xml:space="preserve">a predviđa se na osnovu dokazane efikasnosti i povezanosti izloženosti i odgovora kod odraslih pacijenata sa gnojnim zapaljenjem znojnih </w:t>
      </w:r>
      <w:r w:rsidR="009A3407" w:rsidRPr="00F24057">
        <w:rPr>
          <w:szCs w:val="22"/>
          <w:lang w:val="sr-Latn-ME"/>
        </w:rPr>
        <w:t>žlijezd</w:t>
      </w:r>
      <w:r w:rsidRPr="00F24057">
        <w:rPr>
          <w:szCs w:val="22"/>
          <w:lang w:val="sr-Latn-ME"/>
        </w:rPr>
        <w:t>a, kao i na v</w:t>
      </w:r>
      <w:r w:rsidR="00FF3128" w:rsidRPr="00F24057">
        <w:rPr>
          <w:szCs w:val="22"/>
          <w:lang w:val="sr-Latn-ME"/>
        </w:rPr>
        <w:t>j</w:t>
      </w:r>
      <w:r w:rsidRPr="00F24057">
        <w:rPr>
          <w:szCs w:val="22"/>
          <w:lang w:val="sr-Latn-ME"/>
        </w:rPr>
        <w:t xml:space="preserve">erovatnoći da su tok bolesti, patofiziologija i efekti </w:t>
      </w:r>
      <w:r w:rsidR="00885A78" w:rsidRPr="00F24057">
        <w:rPr>
          <w:szCs w:val="22"/>
          <w:lang w:val="sr-Latn-ME"/>
        </w:rPr>
        <w:t xml:space="preserve">lijeka </w:t>
      </w:r>
      <w:r w:rsidRPr="00F24057">
        <w:rPr>
          <w:szCs w:val="22"/>
          <w:lang w:val="sr-Latn-ME"/>
        </w:rPr>
        <w:t xml:space="preserve">u suštini slični kao kod odraslih osoba pri istim nivoima izloženosti. </w:t>
      </w:r>
      <w:r w:rsidR="0030064A" w:rsidRPr="00F24057">
        <w:rPr>
          <w:szCs w:val="22"/>
          <w:lang w:val="sr-Latn-ME"/>
        </w:rPr>
        <w:t>Bezbjedno</w:t>
      </w:r>
      <w:r w:rsidRPr="00F24057">
        <w:rPr>
          <w:szCs w:val="22"/>
          <w:lang w:val="sr-Latn-ME"/>
        </w:rPr>
        <w:t xml:space="preserve">st preporučene doze adalimumaba u adolescentnoj populaciji sa gnojnim </w:t>
      </w:r>
      <w:r w:rsidRPr="00F24057">
        <w:rPr>
          <w:szCs w:val="22"/>
          <w:lang w:val="sr-Latn-ME"/>
        </w:rPr>
        <w:lastRenderedPageBreak/>
        <w:t xml:space="preserve">zapaljenjem znojnih </w:t>
      </w:r>
      <w:r w:rsidR="009A3407" w:rsidRPr="00F24057">
        <w:rPr>
          <w:szCs w:val="22"/>
          <w:lang w:val="sr-Latn-ME"/>
        </w:rPr>
        <w:t>žlijezd</w:t>
      </w:r>
      <w:r w:rsidRPr="00F24057">
        <w:rPr>
          <w:szCs w:val="22"/>
          <w:lang w:val="sr-Latn-ME"/>
        </w:rPr>
        <w:t xml:space="preserve">a zasniva se na </w:t>
      </w:r>
      <w:r w:rsidR="0030064A" w:rsidRPr="00F24057">
        <w:rPr>
          <w:szCs w:val="22"/>
          <w:lang w:val="sr-Latn-ME"/>
        </w:rPr>
        <w:t>bezbjedno</w:t>
      </w:r>
      <w:r w:rsidRPr="00F24057">
        <w:rPr>
          <w:szCs w:val="22"/>
          <w:lang w:val="sr-Latn-ME"/>
        </w:rPr>
        <w:t>snom profilu adalimumaba u drugim indikacijama i kod odraslih i kod pedijatrijskih pacijenata pri sličnoj ili većoj učestalosti doziranja (</w:t>
      </w:r>
      <w:r w:rsidR="007B39D0" w:rsidRPr="00F24057">
        <w:rPr>
          <w:szCs w:val="22"/>
          <w:lang w:val="sr-Latn-ME"/>
        </w:rPr>
        <w:t xml:space="preserve">pogledati dio </w:t>
      </w:r>
      <w:r w:rsidRPr="00F24057">
        <w:rPr>
          <w:szCs w:val="22"/>
          <w:lang w:val="sr-Latn-ME"/>
        </w:rPr>
        <w:t>5.2).</w:t>
      </w:r>
    </w:p>
    <w:p w14:paraId="7EE44E8E" w14:textId="17A6A7C2" w:rsidR="00771666" w:rsidRPr="00F24057" w:rsidRDefault="00771666" w:rsidP="00D70B34">
      <w:pPr>
        <w:rPr>
          <w:szCs w:val="22"/>
          <w:lang w:val="sr-Latn-ME"/>
        </w:rPr>
      </w:pPr>
    </w:p>
    <w:p w14:paraId="717E0B2F" w14:textId="5DACC7D6" w:rsidR="00630465" w:rsidRPr="00F24057" w:rsidRDefault="00DA2306" w:rsidP="00D70B34">
      <w:pPr>
        <w:rPr>
          <w:i/>
          <w:szCs w:val="22"/>
          <w:lang w:val="sr-Latn-ME"/>
        </w:rPr>
      </w:pPr>
      <w:r w:rsidRPr="00F24057">
        <w:rPr>
          <w:i/>
          <w:iCs/>
          <w:szCs w:val="22"/>
          <w:lang w:val="sr-Latn-ME"/>
        </w:rPr>
        <w:t>Crohn</w:t>
      </w:r>
      <w:r w:rsidR="00630465" w:rsidRPr="00F24057">
        <w:rPr>
          <w:i/>
          <w:szCs w:val="22"/>
          <w:lang w:val="sr-Latn-ME"/>
        </w:rPr>
        <w:t xml:space="preserve">-ova bolest kod </w:t>
      </w:r>
      <w:r w:rsidR="0030064A" w:rsidRPr="00F24057">
        <w:rPr>
          <w:i/>
          <w:szCs w:val="22"/>
          <w:lang w:val="sr-Latn-ME"/>
        </w:rPr>
        <w:t>djece</w:t>
      </w:r>
    </w:p>
    <w:p w14:paraId="0B7FF7C6" w14:textId="6F29302D" w:rsidR="00630465" w:rsidRPr="00F24057" w:rsidRDefault="00630465" w:rsidP="00D70B34">
      <w:pPr>
        <w:rPr>
          <w:szCs w:val="22"/>
          <w:lang w:val="sr-Latn-ME"/>
        </w:rPr>
      </w:pPr>
      <w:r w:rsidRPr="00F24057">
        <w:rPr>
          <w:szCs w:val="22"/>
          <w:lang w:val="sr-Latn-ME"/>
        </w:rPr>
        <w:t>Adalimumab je ispitivan u multicentričnoj, randomizovanoj, duplo-</w:t>
      </w:r>
      <w:r w:rsidR="00972894" w:rsidRPr="00F24057">
        <w:rPr>
          <w:szCs w:val="22"/>
          <w:lang w:val="sr-Latn-ME"/>
        </w:rPr>
        <w:t>slijep</w:t>
      </w:r>
      <w:r w:rsidRPr="00F24057">
        <w:rPr>
          <w:szCs w:val="22"/>
          <w:lang w:val="sr-Latn-ME"/>
        </w:rPr>
        <w:t xml:space="preserve">oj kliničkoj studiji, dizajniranoj za evaluaciju efikasnosti i </w:t>
      </w:r>
      <w:r w:rsidR="0030064A" w:rsidRPr="00F24057">
        <w:rPr>
          <w:szCs w:val="22"/>
          <w:lang w:val="sr-Latn-ME"/>
        </w:rPr>
        <w:t>bezbjedno</w:t>
      </w:r>
      <w:r w:rsidRPr="00F24057">
        <w:rPr>
          <w:szCs w:val="22"/>
          <w:lang w:val="sr-Latn-ME"/>
        </w:rPr>
        <w:t xml:space="preserve">sti indukcione terapije i terapije održavanja, u dozi koja zavisi od </w:t>
      </w:r>
      <w:r w:rsidR="007E5568" w:rsidRPr="00F24057">
        <w:rPr>
          <w:szCs w:val="22"/>
          <w:lang w:val="sr-Latn-ME"/>
        </w:rPr>
        <w:t>tjeles</w:t>
      </w:r>
      <w:r w:rsidRPr="00F24057">
        <w:rPr>
          <w:szCs w:val="22"/>
          <w:lang w:val="sr-Latn-ME"/>
        </w:rPr>
        <w:t>ne mase (&lt; 40 kg ili ≥ 40 kg) kod 192 pedijatrijska ispitanika, uzrasta između (i uključujući) 6 i 17 godina, sa u</w:t>
      </w:r>
      <w:r w:rsidR="0030064A" w:rsidRPr="00F24057">
        <w:rPr>
          <w:szCs w:val="22"/>
          <w:lang w:val="sr-Latn-ME"/>
        </w:rPr>
        <w:t>mjeren</w:t>
      </w:r>
      <w:r w:rsidRPr="00F24057">
        <w:rPr>
          <w:szCs w:val="22"/>
          <w:lang w:val="sr-Latn-ME"/>
        </w:rPr>
        <w:t xml:space="preserve">im do teškim oblikom </w:t>
      </w:r>
      <w:r w:rsidR="00DA2306" w:rsidRPr="00F24057">
        <w:rPr>
          <w:i/>
          <w:iCs/>
          <w:szCs w:val="22"/>
          <w:lang w:val="sr-Latn-ME"/>
        </w:rPr>
        <w:t>Crohn</w:t>
      </w:r>
      <w:r w:rsidRPr="00F24057">
        <w:rPr>
          <w:szCs w:val="22"/>
          <w:lang w:val="sr-Latn-ME"/>
        </w:rPr>
        <w:t xml:space="preserve">-ove bolesti, definisanim rezultatom prema Indeksu aktivnosti </w:t>
      </w:r>
      <w:r w:rsidR="00DA2306" w:rsidRPr="00F24057">
        <w:rPr>
          <w:i/>
          <w:iCs/>
          <w:szCs w:val="22"/>
          <w:lang w:val="sr-Latn-ME"/>
        </w:rPr>
        <w:t>Crohn</w:t>
      </w:r>
      <w:r w:rsidR="001F3948" w:rsidRPr="00F24057">
        <w:rPr>
          <w:i/>
          <w:iCs/>
          <w:szCs w:val="22"/>
          <w:lang w:val="sr-Latn-ME"/>
        </w:rPr>
        <w:t>-</w:t>
      </w:r>
      <w:r w:rsidRPr="00F24057">
        <w:rPr>
          <w:szCs w:val="22"/>
          <w:lang w:val="sr-Latn-ME"/>
        </w:rPr>
        <w:t xml:space="preserve">ove bolesti kod </w:t>
      </w:r>
      <w:r w:rsidR="0030064A" w:rsidRPr="00F24057">
        <w:rPr>
          <w:szCs w:val="22"/>
          <w:lang w:val="sr-Latn-ME"/>
        </w:rPr>
        <w:t>djece</w:t>
      </w:r>
      <w:r w:rsidRPr="00F24057">
        <w:rPr>
          <w:szCs w:val="22"/>
          <w:lang w:val="sr-Latn-ME"/>
        </w:rPr>
        <w:t xml:space="preserve"> (engl. </w:t>
      </w:r>
      <w:r w:rsidRPr="00F24057">
        <w:rPr>
          <w:i/>
          <w:szCs w:val="22"/>
          <w:lang w:val="sr-Latn-ME"/>
        </w:rPr>
        <w:t xml:space="preserve">Paediatric </w:t>
      </w:r>
      <w:r w:rsidR="00DA2306" w:rsidRPr="00F24057">
        <w:rPr>
          <w:i/>
          <w:iCs/>
          <w:szCs w:val="22"/>
          <w:lang w:val="sr-Latn-ME"/>
        </w:rPr>
        <w:t>Crohn</w:t>
      </w:r>
      <w:r w:rsidRPr="00F24057">
        <w:rPr>
          <w:i/>
          <w:szCs w:val="22"/>
          <w:lang w:val="sr-Latn-ME"/>
        </w:rPr>
        <w:t xml:space="preserve">’s Disease Activity Index, </w:t>
      </w:r>
      <w:r w:rsidRPr="00F24057">
        <w:rPr>
          <w:szCs w:val="22"/>
          <w:lang w:val="sr-Latn-ME"/>
        </w:rPr>
        <w:t xml:space="preserve">PCDAI) &gt;30. Ispitanici su prethodno morali imati neadekvatan odgovor na konvencionalnu terapiju u </w:t>
      </w:r>
      <w:r w:rsidR="00885A78" w:rsidRPr="00F24057">
        <w:rPr>
          <w:szCs w:val="22"/>
          <w:lang w:val="sr-Latn-ME"/>
        </w:rPr>
        <w:t>liječenj</w:t>
      </w:r>
      <w:r w:rsidRPr="00F24057">
        <w:rPr>
          <w:szCs w:val="22"/>
          <w:lang w:val="sr-Latn-ME"/>
        </w:rPr>
        <w:t xml:space="preserve">u </w:t>
      </w:r>
      <w:r w:rsidR="00DA2306" w:rsidRPr="00F24057">
        <w:rPr>
          <w:i/>
          <w:iCs/>
          <w:szCs w:val="22"/>
          <w:lang w:val="sr-Latn-ME"/>
        </w:rPr>
        <w:t>Crohn</w:t>
      </w:r>
      <w:r w:rsidRPr="00F24057">
        <w:rPr>
          <w:szCs w:val="22"/>
          <w:lang w:val="sr-Latn-ME"/>
        </w:rPr>
        <w:t>-ove bolesti (uključujući kortikosteroide i/ili imunomodulator). Ispitanici su mogli biti i pacijenti koji su imali slabljenje odgovora na infliksimab ili ga nisu podnosili.</w:t>
      </w:r>
    </w:p>
    <w:p w14:paraId="11D4FF10" w14:textId="77777777" w:rsidR="00630465" w:rsidRPr="00F24057" w:rsidRDefault="00630465" w:rsidP="00D70B34">
      <w:pPr>
        <w:rPr>
          <w:szCs w:val="22"/>
          <w:lang w:val="sr-Latn-ME"/>
        </w:rPr>
      </w:pPr>
    </w:p>
    <w:p w14:paraId="47511768" w14:textId="72215CC6" w:rsidR="00630465" w:rsidRPr="00F24057" w:rsidRDefault="00630465" w:rsidP="00D70B34">
      <w:pPr>
        <w:rPr>
          <w:szCs w:val="22"/>
          <w:lang w:val="sr-Latn-ME"/>
        </w:rPr>
      </w:pPr>
      <w:r w:rsidRPr="00F24057">
        <w:rPr>
          <w:szCs w:val="22"/>
          <w:lang w:val="sr-Latn-ME"/>
        </w:rPr>
        <w:t xml:space="preserve">Svi ispitanici su primili otvorenu indukcionu terapiju u dozi u odnosu na svoju </w:t>
      </w:r>
      <w:r w:rsidR="007E5568" w:rsidRPr="00F24057">
        <w:rPr>
          <w:szCs w:val="22"/>
          <w:lang w:val="sr-Latn-ME"/>
        </w:rPr>
        <w:t>tjeles</w:t>
      </w:r>
      <w:r w:rsidRPr="00F24057">
        <w:rPr>
          <w:szCs w:val="22"/>
          <w:lang w:val="sr-Latn-ME"/>
        </w:rPr>
        <w:t xml:space="preserve">nu masu: pacijenti sa </w:t>
      </w:r>
      <w:r w:rsidR="007E5568" w:rsidRPr="00F24057">
        <w:rPr>
          <w:szCs w:val="22"/>
          <w:lang w:val="sr-Latn-ME"/>
        </w:rPr>
        <w:t>tjeles</w:t>
      </w:r>
      <w:r w:rsidRPr="00F24057">
        <w:rPr>
          <w:szCs w:val="22"/>
          <w:lang w:val="sr-Latn-ME"/>
        </w:rPr>
        <w:t xml:space="preserve">nom masom ≥ 40 kg primili su 160 mg </w:t>
      </w:r>
      <w:r w:rsidR="000B593D" w:rsidRPr="00F24057">
        <w:rPr>
          <w:szCs w:val="22"/>
          <w:lang w:val="sr-Latn-ME"/>
        </w:rPr>
        <w:t xml:space="preserve">u početnoj </w:t>
      </w:r>
      <w:r w:rsidR="00885A78" w:rsidRPr="00F24057">
        <w:rPr>
          <w:szCs w:val="22"/>
          <w:lang w:val="sr-Latn-ME"/>
        </w:rPr>
        <w:t>nedjelj</w:t>
      </w:r>
      <w:r w:rsidR="000B593D" w:rsidRPr="00F24057">
        <w:rPr>
          <w:szCs w:val="22"/>
          <w:lang w:val="sr-Latn-ME"/>
        </w:rPr>
        <w:t xml:space="preserve">i (označena kao nulta </w:t>
      </w:r>
      <w:r w:rsidR="00885A78" w:rsidRPr="00F24057">
        <w:rPr>
          <w:szCs w:val="22"/>
          <w:lang w:val="sr-Latn-ME"/>
        </w:rPr>
        <w:t>nedjelj</w:t>
      </w:r>
      <w:r w:rsidR="000B593D" w:rsidRPr="00F24057">
        <w:rPr>
          <w:szCs w:val="22"/>
          <w:lang w:val="sr-Latn-ME"/>
        </w:rPr>
        <w:t xml:space="preserve">a, </w:t>
      </w:r>
      <w:r w:rsidR="00080447" w:rsidRPr="00F24057">
        <w:rPr>
          <w:i/>
          <w:iCs/>
          <w:szCs w:val="22"/>
          <w:lang w:val="sr-Latn-ME"/>
        </w:rPr>
        <w:t>Week 0</w:t>
      </w:r>
      <w:r w:rsidR="000B593D" w:rsidRPr="00F24057">
        <w:rPr>
          <w:szCs w:val="22"/>
          <w:lang w:val="sr-Latn-ME"/>
        </w:rPr>
        <w:t xml:space="preserve">), </w:t>
      </w:r>
      <w:r w:rsidRPr="00F24057">
        <w:rPr>
          <w:szCs w:val="22"/>
          <w:lang w:val="sr-Latn-ME"/>
        </w:rPr>
        <w:t xml:space="preserve">i 80 mg nakon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a ispitanici sa </w:t>
      </w:r>
      <w:r w:rsidR="007E5568" w:rsidRPr="00F24057">
        <w:rPr>
          <w:szCs w:val="22"/>
          <w:lang w:val="sr-Latn-ME"/>
        </w:rPr>
        <w:t>tjeles</w:t>
      </w:r>
      <w:r w:rsidRPr="00F24057">
        <w:rPr>
          <w:szCs w:val="22"/>
          <w:lang w:val="sr-Latn-ME"/>
        </w:rPr>
        <w:t xml:space="preserve">nom masom &lt; 40 kg primili su 80 mg </w:t>
      </w:r>
      <w:r w:rsidR="000B593D" w:rsidRPr="00F24057">
        <w:rPr>
          <w:szCs w:val="22"/>
          <w:lang w:val="sr-Latn-ME"/>
        </w:rPr>
        <w:t xml:space="preserve">u početnoj </w:t>
      </w:r>
      <w:r w:rsidR="00885A78" w:rsidRPr="00F24057">
        <w:rPr>
          <w:szCs w:val="22"/>
          <w:lang w:val="sr-Latn-ME"/>
        </w:rPr>
        <w:t>nedjelj</w:t>
      </w:r>
      <w:r w:rsidR="000B593D" w:rsidRPr="00F24057">
        <w:rPr>
          <w:szCs w:val="22"/>
          <w:lang w:val="sr-Latn-ME"/>
        </w:rPr>
        <w:t xml:space="preserve">i (označena kao nulta </w:t>
      </w:r>
      <w:r w:rsidR="00885A78" w:rsidRPr="00F24057">
        <w:rPr>
          <w:szCs w:val="22"/>
          <w:lang w:val="sr-Latn-ME"/>
        </w:rPr>
        <w:t>nedjelj</w:t>
      </w:r>
      <w:r w:rsidR="000B593D" w:rsidRPr="00F24057">
        <w:rPr>
          <w:szCs w:val="22"/>
          <w:lang w:val="sr-Latn-ME"/>
        </w:rPr>
        <w:t xml:space="preserve">a, </w:t>
      </w:r>
      <w:r w:rsidR="00080447" w:rsidRPr="00F24057">
        <w:rPr>
          <w:i/>
          <w:iCs/>
          <w:szCs w:val="22"/>
          <w:lang w:val="sr-Latn-ME"/>
        </w:rPr>
        <w:t>Week 0</w:t>
      </w:r>
      <w:r w:rsidR="000B593D" w:rsidRPr="00F24057">
        <w:rPr>
          <w:szCs w:val="22"/>
          <w:lang w:val="sr-Latn-ME"/>
        </w:rPr>
        <w:t xml:space="preserve">), </w:t>
      </w:r>
      <w:r w:rsidRPr="00F24057">
        <w:rPr>
          <w:szCs w:val="22"/>
          <w:lang w:val="sr-Latn-ME"/>
        </w:rPr>
        <w:t xml:space="preserve">i 40 mg nakon </w:t>
      </w:r>
      <w:r w:rsidR="009A3407" w:rsidRPr="00F24057">
        <w:rPr>
          <w:szCs w:val="22"/>
          <w:lang w:val="sr-Latn-ME"/>
        </w:rPr>
        <w:t xml:space="preserve">dvije </w:t>
      </w:r>
      <w:r w:rsidR="00885A78" w:rsidRPr="00F24057">
        <w:rPr>
          <w:szCs w:val="22"/>
          <w:lang w:val="sr-Latn-ME"/>
        </w:rPr>
        <w:t>nedjelj</w:t>
      </w:r>
      <w:r w:rsidRPr="00F24057">
        <w:rPr>
          <w:szCs w:val="22"/>
          <w:lang w:val="sr-Latn-ME"/>
        </w:rPr>
        <w:t>e.</w:t>
      </w:r>
    </w:p>
    <w:p w14:paraId="31221088" w14:textId="77777777" w:rsidR="00630465" w:rsidRPr="00F24057" w:rsidRDefault="00630465" w:rsidP="00D70B34">
      <w:pPr>
        <w:rPr>
          <w:szCs w:val="22"/>
          <w:lang w:val="sr-Latn-ME"/>
        </w:rPr>
      </w:pPr>
    </w:p>
    <w:p w14:paraId="0CFBDEA1" w14:textId="636CF8B3" w:rsidR="00630465" w:rsidRPr="00F24057" w:rsidRDefault="00630465" w:rsidP="00D70B34">
      <w:pPr>
        <w:rPr>
          <w:szCs w:val="22"/>
          <w:lang w:val="sr-Latn-ME"/>
        </w:rPr>
      </w:pPr>
      <w:r w:rsidRPr="00F24057">
        <w:rPr>
          <w:szCs w:val="22"/>
          <w:lang w:val="sr-Latn-ME"/>
        </w:rPr>
        <w:t xml:space="preserve">U 4. </w:t>
      </w:r>
      <w:r w:rsidR="00885A78" w:rsidRPr="00F24057">
        <w:rPr>
          <w:szCs w:val="22"/>
          <w:lang w:val="sr-Latn-ME"/>
        </w:rPr>
        <w:t>nedjelj</w:t>
      </w:r>
      <w:r w:rsidRPr="00F24057">
        <w:rPr>
          <w:szCs w:val="22"/>
          <w:lang w:val="sr-Latn-ME"/>
        </w:rPr>
        <w:t xml:space="preserve">i ispitanici su randomizovani 1:1 u odnosu na </w:t>
      </w:r>
      <w:r w:rsidR="007E5568" w:rsidRPr="00F24057">
        <w:rPr>
          <w:szCs w:val="22"/>
          <w:lang w:val="sr-Latn-ME"/>
        </w:rPr>
        <w:t>tjeles</w:t>
      </w:r>
      <w:r w:rsidRPr="00F24057">
        <w:rPr>
          <w:szCs w:val="22"/>
          <w:lang w:val="sr-Latn-ME"/>
        </w:rPr>
        <w:t>nu masu da bi nastavili da primaju nižu dozu ili standardnu dozu u terapiji održavanja, kao što je prikazano u Tabeli 28.</w:t>
      </w:r>
    </w:p>
    <w:p w14:paraId="6F7E6EDA" w14:textId="4F998E71" w:rsidR="00771666" w:rsidRPr="00F24057" w:rsidRDefault="00771666" w:rsidP="00D70B34">
      <w:pPr>
        <w:rPr>
          <w:szCs w:val="22"/>
          <w:lang w:val="sr-Latn-ME"/>
        </w:rPr>
      </w:pPr>
    </w:p>
    <w:p w14:paraId="6FAFDB88" w14:textId="050616D4" w:rsidR="00FD2B83" w:rsidRPr="00F24057" w:rsidRDefault="00FD2B83" w:rsidP="00D70B34">
      <w:pPr>
        <w:rPr>
          <w:b/>
          <w:szCs w:val="22"/>
          <w:lang w:val="sr-Latn-ME"/>
        </w:rPr>
      </w:pPr>
      <w:r w:rsidRPr="00F24057">
        <w:rPr>
          <w:b/>
          <w:szCs w:val="22"/>
          <w:lang w:val="sr-Latn-ME"/>
        </w:rPr>
        <w:t>Tabela 28. Terapija održavanja</w:t>
      </w:r>
    </w:p>
    <w:p w14:paraId="55A6895F" w14:textId="77777777" w:rsidR="00FD2B83" w:rsidRPr="00F24057" w:rsidRDefault="00FD2B83" w:rsidP="00D70B34">
      <w:pPr>
        <w:rPr>
          <w:szCs w:val="22"/>
          <w:u w:val="single"/>
          <w:lang w:val="sr-Latn-ME"/>
        </w:rPr>
      </w:pPr>
    </w:p>
    <w:tbl>
      <w:tblPr>
        <w:tblW w:w="5000" w:type="pct"/>
        <w:tblCellMar>
          <w:top w:w="49" w:type="dxa"/>
          <w:left w:w="85" w:type="dxa"/>
          <w:right w:w="85" w:type="dxa"/>
        </w:tblCellMar>
        <w:tblLook w:val="04A0" w:firstRow="1" w:lastRow="0" w:firstColumn="1" w:lastColumn="0" w:noHBand="0" w:noVBand="1"/>
      </w:tblPr>
      <w:tblGrid>
        <w:gridCol w:w="2640"/>
        <w:gridCol w:w="3104"/>
        <w:gridCol w:w="3273"/>
      </w:tblGrid>
      <w:tr w:rsidR="00FD2B83" w:rsidRPr="00F24057" w14:paraId="62816F9D" w14:textId="77777777" w:rsidTr="009A3407">
        <w:trPr>
          <w:trHeight w:val="24"/>
        </w:trPr>
        <w:tc>
          <w:tcPr>
            <w:tcW w:w="1464" w:type="pct"/>
            <w:tcBorders>
              <w:top w:val="single" w:sz="4" w:space="0" w:color="000000"/>
              <w:left w:val="single" w:sz="4" w:space="0" w:color="000000"/>
              <w:bottom w:val="single" w:sz="4" w:space="0" w:color="000000"/>
              <w:right w:val="single" w:sz="4" w:space="0" w:color="000000"/>
            </w:tcBorders>
            <w:vAlign w:val="center"/>
          </w:tcPr>
          <w:p w14:paraId="4885ED50" w14:textId="6C1338C9" w:rsidR="00FD2B83" w:rsidRPr="00F24057" w:rsidRDefault="007E5568" w:rsidP="00D70B34">
            <w:pPr>
              <w:jc w:val="center"/>
              <w:rPr>
                <w:szCs w:val="22"/>
                <w:lang w:val="sr-Latn-ME"/>
              </w:rPr>
            </w:pPr>
            <w:r w:rsidRPr="00F24057">
              <w:rPr>
                <w:b/>
                <w:szCs w:val="22"/>
                <w:lang w:val="sr-Latn-ME"/>
              </w:rPr>
              <w:t>Tjeles</w:t>
            </w:r>
            <w:r w:rsidR="00FD2B83" w:rsidRPr="00F24057">
              <w:rPr>
                <w:b/>
                <w:szCs w:val="22"/>
                <w:lang w:val="sr-Latn-ME"/>
              </w:rPr>
              <w:t>na masa pacijenta</w:t>
            </w:r>
          </w:p>
        </w:tc>
        <w:tc>
          <w:tcPr>
            <w:tcW w:w="1721" w:type="pct"/>
            <w:tcBorders>
              <w:top w:val="single" w:sz="4" w:space="0" w:color="000000"/>
              <w:left w:val="single" w:sz="4" w:space="0" w:color="000000"/>
              <w:bottom w:val="single" w:sz="4" w:space="0" w:color="000000"/>
              <w:right w:val="single" w:sz="4" w:space="0" w:color="000000"/>
            </w:tcBorders>
            <w:vAlign w:val="center"/>
          </w:tcPr>
          <w:p w14:paraId="54EDE81C" w14:textId="77777777" w:rsidR="00FD2B83" w:rsidRPr="00F24057" w:rsidRDefault="00FD2B83" w:rsidP="00D70B34">
            <w:pPr>
              <w:jc w:val="center"/>
              <w:rPr>
                <w:szCs w:val="22"/>
                <w:lang w:val="sr-Latn-ME"/>
              </w:rPr>
            </w:pPr>
            <w:r w:rsidRPr="00F24057">
              <w:rPr>
                <w:b/>
                <w:szCs w:val="22"/>
                <w:lang w:val="sr-Latn-ME"/>
              </w:rPr>
              <w:t>Niska doza</w:t>
            </w:r>
          </w:p>
        </w:tc>
        <w:tc>
          <w:tcPr>
            <w:tcW w:w="1815" w:type="pct"/>
            <w:tcBorders>
              <w:top w:val="single" w:sz="4" w:space="0" w:color="000000"/>
              <w:left w:val="single" w:sz="4" w:space="0" w:color="000000"/>
              <w:bottom w:val="single" w:sz="4" w:space="0" w:color="000000"/>
              <w:right w:val="single" w:sz="4" w:space="0" w:color="000000"/>
            </w:tcBorders>
            <w:vAlign w:val="center"/>
          </w:tcPr>
          <w:p w14:paraId="45EE500A" w14:textId="77777777" w:rsidR="00FD2B83" w:rsidRPr="00F24057" w:rsidRDefault="00FD2B83" w:rsidP="00D70B34">
            <w:pPr>
              <w:jc w:val="center"/>
              <w:rPr>
                <w:szCs w:val="22"/>
                <w:lang w:val="sr-Latn-ME"/>
              </w:rPr>
            </w:pPr>
            <w:r w:rsidRPr="00F24057">
              <w:rPr>
                <w:b/>
                <w:szCs w:val="22"/>
                <w:lang w:val="sr-Latn-ME"/>
              </w:rPr>
              <w:t>Standardna doza</w:t>
            </w:r>
          </w:p>
        </w:tc>
      </w:tr>
      <w:tr w:rsidR="00FD2B83" w:rsidRPr="00F24057" w14:paraId="009015BF" w14:textId="77777777" w:rsidTr="00F1226A">
        <w:trPr>
          <w:trHeight w:val="20"/>
        </w:trPr>
        <w:tc>
          <w:tcPr>
            <w:tcW w:w="1464" w:type="pct"/>
            <w:tcBorders>
              <w:top w:val="single" w:sz="4" w:space="0" w:color="000000"/>
              <w:left w:val="single" w:sz="4" w:space="0" w:color="000000"/>
              <w:bottom w:val="single" w:sz="4" w:space="0" w:color="000000"/>
              <w:right w:val="single" w:sz="4" w:space="0" w:color="000000"/>
            </w:tcBorders>
            <w:vAlign w:val="center"/>
          </w:tcPr>
          <w:p w14:paraId="1AA3CE07" w14:textId="77777777" w:rsidR="00FD2B83" w:rsidRPr="00F24057" w:rsidRDefault="00FD2B83" w:rsidP="00D70B34">
            <w:pPr>
              <w:jc w:val="center"/>
              <w:rPr>
                <w:szCs w:val="22"/>
                <w:lang w:val="sr-Latn-ME"/>
              </w:rPr>
            </w:pPr>
            <w:r w:rsidRPr="00F24057">
              <w:rPr>
                <w:szCs w:val="22"/>
                <w:lang w:val="sr-Latn-ME"/>
              </w:rPr>
              <w:t>&lt; 40 kg</w:t>
            </w:r>
          </w:p>
        </w:tc>
        <w:tc>
          <w:tcPr>
            <w:tcW w:w="1721" w:type="pct"/>
            <w:tcBorders>
              <w:top w:val="single" w:sz="4" w:space="0" w:color="000000"/>
              <w:left w:val="single" w:sz="4" w:space="0" w:color="000000"/>
              <w:bottom w:val="single" w:sz="4" w:space="0" w:color="000000"/>
              <w:right w:val="single" w:sz="4" w:space="0" w:color="000000"/>
            </w:tcBorders>
            <w:vAlign w:val="center"/>
          </w:tcPr>
          <w:p w14:paraId="19239CEA" w14:textId="689E919D" w:rsidR="00FD2B83" w:rsidRPr="00F24057" w:rsidRDefault="00FD2B83" w:rsidP="00D70B34">
            <w:pPr>
              <w:jc w:val="center"/>
              <w:rPr>
                <w:szCs w:val="22"/>
                <w:lang w:val="sr-Latn-ME"/>
              </w:rPr>
            </w:pPr>
            <w:r w:rsidRPr="00F24057">
              <w:rPr>
                <w:szCs w:val="22"/>
                <w:lang w:val="sr-Latn-ME"/>
              </w:rPr>
              <w:t xml:space="preserve">10 mg svake druge </w:t>
            </w:r>
            <w:r w:rsidR="00885A78" w:rsidRPr="00F24057">
              <w:rPr>
                <w:szCs w:val="22"/>
                <w:lang w:val="sr-Latn-ME"/>
              </w:rPr>
              <w:t>nedjelj</w:t>
            </w:r>
            <w:r w:rsidRPr="00F24057">
              <w:rPr>
                <w:szCs w:val="22"/>
                <w:lang w:val="sr-Latn-ME"/>
              </w:rPr>
              <w:t>e</w:t>
            </w:r>
          </w:p>
        </w:tc>
        <w:tc>
          <w:tcPr>
            <w:tcW w:w="1815" w:type="pct"/>
            <w:tcBorders>
              <w:top w:val="single" w:sz="4" w:space="0" w:color="000000"/>
              <w:left w:val="single" w:sz="4" w:space="0" w:color="000000"/>
              <w:bottom w:val="single" w:sz="4" w:space="0" w:color="000000"/>
              <w:right w:val="single" w:sz="4" w:space="0" w:color="000000"/>
            </w:tcBorders>
            <w:vAlign w:val="center"/>
          </w:tcPr>
          <w:p w14:paraId="06478398" w14:textId="47F79993" w:rsidR="00FD2B83" w:rsidRPr="00F24057" w:rsidRDefault="00FD2B83" w:rsidP="00D70B34">
            <w:pPr>
              <w:jc w:val="center"/>
              <w:rPr>
                <w:szCs w:val="22"/>
                <w:lang w:val="sr-Latn-ME"/>
              </w:rPr>
            </w:pPr>
            <w:r w:rsidRPr="00F24057">
              <w:rPr>
                <w:szCs w:val="22"/>
                <w:lang w:val="sr-Latn-ME"/>
              </w:rPr>
              <w:t xml:space="preserve">20 mg svake druge </w:t>
            </w:r>
            <w:r w:rsidR="00885A78" w:rsidRPr="00F24057">
              <w:rPr>
                <w:szCs w:val="22"/>
                <w:lang w:val="sr-Latn-ME"/>
              </w:rPr>
              <w:t>nedjelj</w:t>
            </w:r>
            <w:r w:rsidRPr="00F24057">
              <w:rPr>
                <w:szCs w:val="22"/>
                <w:lang w:val="sr-Latn-ME"/>
              </w:rPr>
              <w:t>e</w:t>
            </w:r>
          </w:p>
        </w:tc>
      </w:tr>
      <w:tr w:rsidR="00FD2B83" w:rsidRPr="00F24057" w14:paraId="33F80918" w14:textId="77777777" w:rsidTr="00F1226A">
        <w:trPr>
          <w:trHeight w:val="20"/>
        </w:trPr>
        <w:tc>
          <w:tcPr>
            <w:tcW w:w="1464" w:type="pct"/>
            <w:tcBorders>
              <w:top w:val="single" w:sz="4" w:space="0" w:color="000000"/>
              <w:left w:val="single" w:sz="4" w:space="0" w:color="000000"/>
              <w:bottom w:val="single" w:sz="4" w:space="0" w:color="000000"/>
              <w:right w:val="single" w:sz="4" w:space="0" w:color="000000"/>
            </w:tcBorders>
            <w:vAlign w:val="center"/>
          </w:tcPr>
          <w:p w14:paraId="329EE45A" w14:textId="77777777" w:rsidR="00FD2B83" w:rsidRPr="00F24057" w:rsidRDefault="00FD2B83" w:rsidP="00D70B34">
            <w:pPr>
              <w:jc w:val="center"/>
              <w:rPr>
                <w:szCs w:val="22"/>
                <w:lang w:val="sr-Latn-ME"/>
              </w:rPr>
            </w:pPr>
            <w:r w:rsidRPr="00F24057">
              <w:rPr>
                <w:szCs w:val="22"/>
                <w:lang w:val="sr-Latn-ME"/>
              </w:rPr>
              <w:t>≥ 40 kg</w:t>
            </w:r>
          </w:p>
        </w:tc>
        <w:tc>
          <w:tcPr>
            <w:tcW w:w="1721" w:type="pct"/>
            <w:tcBorders>
              <w:top w:val="single" w:sz="4" w:space="0" w:color="000000"/>
              <w:left w:val="single" w:sz="4" w:space="0" w:color="000000"/>
              <w:bottom w:val="single" w:sz="4" w:space="0" w:color="000000"/>
              <w:right w:val="single" w:sz="4" w:space="0" w:color="000000"/>
            </w:tcBorders>
            <w:vAlign w:val="center"/>
          </w:tcPr>
          <w:p w14:paraId="14AB31BB" w14:textId="17368933" w:rsidR="00FD2B83" w:rsidRPr="00F24057" w:rsidRDefault="00FD2B83" w:rsidP="00D70B34">
            <w:pPr>
              <w:jc w:val="center"/>
              <w:rPr>
                <w:szCs w:val="22"/>
                <w:lang w:val="sr-Latn-ME"/>
              </w:rPr>
            </w:pPr>
            <w:r w:rsidRPr="00F24057">
              <w:rPr>
                <w:szCs w:val="22"/>
                <w:lang w:val="sr-Latn-ME"/>
              </w:rPr>
              <w:t xml:space="preserve">20 mg svake druge </w:t>
            </w:r>
            <w:r w:rsidR="00885A78" w:rsidRPr="00F24057">
              <w:rPr>
                <w:szCs w:val="22"/>
                <w:lang w:val="sr-Latn-ME"/>
              </w:rPr>
              <w:t>nedjelj</w:t>
            </w:r>
            <w:r w:rsidRPr="00F24057">
              <w:rPr>
                <w:szCs w:val="22"/>
                <w:lang w:val="sr-Latn-ME"/>
              </w:rPr>
              <w:t>e</w:t>
            </w:r>
          </w:p>
        </w:tc>
        <w:tc>
          <w:tcPr>
            <w:tcW w:w="1815" w:type="pct"/>
            <w:tcBorders>
              <w:top w:val="single" w:sz="4" w:space="0" w:color="000000"/>
              <w:left w:val="single" w:sz="4" w:space="0" w:color="000000"/>
              <w:bottom w:val="single" w:sz="4" w:space="0" w:color="000000"/>
              <w:right w:val="single" w:sz="4" w:space="0" w:color="000000"/>
            </w:tcBorders>
            <w:vAlign w:val="center"/>
          </w:tcPr>
          <w:p w14:paraId="069F9A88" w14:textId="2D0CAECB" w:rsidR="00FD2B83" w:rsidRPr="00F24057" w:rsidRDefault="00FD2B83" w:rsidP="00D70B34">
            <w:pPr>
              <w:jc w:val="center"/>
              <w:rPr>
                <w:szCs w:val="22"/>
                <w:lang w:val="sr-Latn-ME"/>
              </w:rPr>
            </w:pPr>
            <w:r w:rsidRPr="00F24057">
              <w:rPr>
                <w:szCs w:val="22"/>
                <w:lang w:val="sr-Latn-ME"/>
              </w:rPr>
              <w:t xml:space="preserve">40 mg svake druge </w:t>
            </w:r>
            <w:r w:rsidR="00885A78" w:rsidRPr="00F24057">
              <w:rPr>
                <w:szCs w:val="22"/>
                <w:lang w:val="sr-Latn-ME"/>
              </w:rPr>
              <w:t>nedjelj</w:t>
            </w:r>
            <w:r w:rsidRPr="00F24057">
              <w:rPr>
                <w:szCs w:val="22"/>
                <w:lang w:val="sr-Latn-ME"/>
              </w:rPr>
              <w:t>e</w:t>
            </w:r>
          </w:p>
        </w:tc>
      </w:tr>
    </w:tbl>
    <w:p w14:paraId="78F1D076" w14:textId="6FD72EBC" w:rsidR="00630465" w:rsidRPr="00F24057" w:rsidRDefault="00630465" w:rsidP="00D70B34">
      <w:pPr>
        <w:rPr>
          <w:szCs w:val="22"/>
          <w:u w:val="single"/>
          <w:lang w:val="sr-Latn-ME"/>
        </w:rPr>
      </w:pPr>
    </w:p>
    <w:p w14:paraId="6A0A8FD4" w14:textId="7C039352" w:rsidR="0099649B" w:rsidRPr="00F24057" w:rsidRDefault="0099649B" w:rsidP="00D70B34">
      <w:pPr>
        <w:rPr>
          <w:i/>
          <w:iCs/>
          <w:szCs w:val="22"/>
          <w:u w:val="single"/>
          <w:lang w:val="sr-Latn-ME"/>
        </w:rPr>
      </w:pPr>
      <w:r w:rsidRPr="00F24057">
        <w:rPr>
          <w:i/>
          <w:iCs/>
          <w:szCs w:val="22"/>
          <w:u w:val="single"/>
          <w:lang w:val="sr-Latn-ME"/>
        </w:rPr>
        <w:t xml:space="preserve">Rezultati efikasnosti </w:t>
      </w:r>
    </w:p>
    <w:p w14:paraId="323CB526" w14:textId="71942178" w:rsidR="0099649B" w:rsidRPr="00F24057" w:rsidRDefault="0099649B" w:rsidP="00D70B34">
      <w:pPr>
        <w:rPr>
          <w:szCs w:val="22"/>
          <w:lang w:val="sr-Latn-ME"/>
        </w:rPr>
      </w:pPr>
      <w:r w:rsidRPr="00F24057">
        <w:rPr>
          <w:szCs w:val="22"/>
          <w:lang w:val="sr-Latn-ME"/>
        </w:rPr>
        <w:t xml:space="preserve">Primarni parametar praćenja bio je klinička remisija u 26. </w:t>
      </w:r>
      <w:r w:rsidR="00885A78" w:rsidRPr="00F24057">
        <w:rPr>
          <w:szCs w:val="22"/>
          <w:lang w:val="sr-Latn-ME"/>
        </w:rPr>
        <w:t>nedjelj</w:t>
      </w:r>
      <w:r w:rsidRPr="00F24057">
        <w:rPr>
          <w:szCs w:val="22"/>
          <w:lang w:val="sr-Latn-ME"/>
        </w:rPr>
        <w:t>i, definisana kao PCDAI skor ≤ 10.</w:t>
      </w:r>
    </w:p>
    <w:p w14:paraId="42984EB8" w14:textId="77777777" w:rsidR="0084799D" w:rsidRPr="00F24057" w:rsidRDefault="0084799D" w:rsidP="00D70B34">
      <w:pPr>
        <w:rPr>
          <w:szCs w:val="22"/>
          <w:lang w:val="sr-Latn-ME"/>
        </w:rPr>
      </w:pPr>
    </w:p>
    <w:p w14:paraId="2D28C37B" w14:textId="72A8FD2B" w:rsidR="00630465" w:rsidRPr="00F24057" w:rsidRDefault="0099649B" w:rsidP="00D70B34">
      <w:pPr>
        <w:rPr>
          <w:szCs w:val="22"/>
          <w:lang w:val="sr-Latn-ME"/>
        </w:rPr>
      </w:pPr>
      <w:r w:rsidRPr="00F24057">
        <w:rPr>
          <w:szCs w:val="22"/>
          <w:lang w:val="sr-Latn-ME"/>
        </w:rPr>
        <w:t xml:space="preserve">Klinička remisija i klinički odgovor (definisan kao redukcija PCDAI skora za najmanje 15 bodova od početne </w:t>
      </w:r>
      <w:r w:rsidR="00972894" w:rsidRPr="00F24057">
        <w:rPr>
          <w:szCs w:val="22"/>
          <w:lang w:val="sr-Latn-ME"/>
        </w:rPr>
        <w:t>vrijedno</w:t>
      </w:r>
      <w:r w:rsidRPr="00F24057">
        <w:rPr>
          <w:szCs w:val="22"/>
          <w:lang w:val="sr-Latn-ME"/>
        </w:rPr>
        <w:t>sti) prikazani su u Tabeli 2</w:t>
      </w:r>
      <w:r w:rsidR="00423A1A" w:rsidRPr="00F24057">
        <w:rPr>
          <w:szCs w:val="22"/>
          <w:lang w:val="sr-Latn-ME"/>
        </w:rPr>
        <w:t>9</w:t>
      </w:r>
      <w:r w:rsidRPr="00F24057">
        <w:rPr>
          <w:szCs w:val="22"/>
          <w:lang w:val="sr-Latn-ME"/>
        </w:rPr>
        <w:t xml:space="preserve">. Stepen prekida upotrebe kortikosteroida i imunomodulatora prikazan je u Tabeli </w:t>
      </w:r>
      <w:r w:rsidR="00423A1A" w:rsidRPr="00F24057">
        <w:rPr>
          <w:szCs w:val="22"/>
          <w:lang w:val="sr-Latn-ME"/>
        </w:rPr>
        <w:t>30</w:t>
      </w:r>
      <w:r w:rsidRPr="00F24057">
        <w:rPr>
          <w:szCs w:val="22"/>
          <w:lang w:val="sr-Latn-ME"/>
        </w:rPr>
        <w:t>.</w:t>
      </w:r>
    </w:p>
    <w:p w14:paraId="21CA8483" w14:textId="5EDA4EDB" w:rsidR="00630465" w:rsidRPr="00F24057" w:rsidRDefault="00630465" w:rsidP="00D70B34">
      <w:pPr>
        <w:rPr>
          <w:szCs w:val="22"/>
          <w:lang w:val="sr-Latn-ME"/>
        </w:rPr>
      </w:pPr>
    </w:p>
    <w:p w14:paraId="382E2D5F" w14:textId="2EC88E9E" w:rsidR="00DD5863" w:rsidRPr="00F24057" w:rsidRDefault="00DD5863" w:rsidP="00D70B34">
      <w:pPr>
        <w:rPr>
          <w:b/>
          <w:szCs w:val="22"/>
          <w:lang w:val="sr-Latn-ME"/>
        </w:rPr>
      </w:pPr>
      <w:r w:rsidRPr="00F24057">
        <w:rPr>
          <w:b/>
          <w:szCs w:val="22"/>
          <w:lang w:val="sr-Latn-ME"/>
        </w:rPr>
        <w:t>Tabela 29. Pedijatrijska CD studija PCDAI klinička remisija i odgovor</w:t>
      </w:r>
    </w:p>
    <w:p w14:paraId="6C4BB0BF" w14:textId="77777777" w:rsidR="00DD5863" w:rsidRPr="00F24057" w:rsidRDefault="00DD5863" w:rsidP="00D70B34">
      <w:pPr>
        <w:rPr>
          <w:b/>
          <w:szCs w:val="22"/>
          <w:lang w:val="sr-Latn-ME"/>
        </w:rPr>
      </w:pPr>
    </w:p>
    <w:tbl>
      <w:tblPr>
        <w:tblW w:w="5000" w:type="pct"/>
        <w:tblCellMar>
          <w:top w:w="49" w:type="dxa"/>
          <w:left w:w="85" w:type="dxa"/>
          <w:right w:w="85" w:type="dxa"/>
        </w:tblCellMar>
        <w:tblLook w:val="04A0" w:firstRow="1" w:lastRow="0" w:firstColumn="1" w:lastColumn="0" w:noHBand="0" w:noVBand="1"/>
      </w:tblPr>
      <w:tblGrid>
        <w:gridCol w:w="1890"/>
        <w:gridCol w:w="2920"/>
        <w:gridCol w:w="2918"/>
        <w:gridCol w:w="1289"/>
      </w:tblGrid>
      <w:tr w:rsidR="00DD5863" w:rsidRPr="00F24057" w14:paraId="2DFBF46A" w14:textId="77777777" w:rsidTr="00831681">
        <w:trPr>
          <w:trHeight w:val="20"/>
        </w:trPr>
        <w:tc>
          <w:tcPr>
            <w:tcW w:w="1048" w:type="pct"/>
            <w:tcBorders>
              <w:top w:val="single" w:sz="4" w:space="0" w:color="000000"/>
              <w:left w:val="single" w:sz="4" w:space="0" w:color="000000"/>
              <w:bottom w:val="single" w:sz="4" w:space="0" w:color="000000"/>
              <w:right w:val="single" w:sz="4" w:space="0" w:color="000000"/>
            </w:tcBorders>
          </w:tcPr>
          <w:p w14:paraId="5E8F6B87" w14:textId="77777777" w:rsidR="00DD5863" w:rsidRPr="00F24057" w:rsidRDefault="00DD5863" w:rsidP="00D70B34">
            <w:pPr>
              <w:rPr>
                <w:szCs w:val="22"/>
                <w:lang w:val="sr-Latn-ME"/>
              </w:rPr>
            </w:pPr>
          </w:p>
        </w:tc>
        <w:tc>
          <w:tcPr>
            <w:tcW w:w="1619" w:type="pct"/>
            <w:tcBorders>
              <w:top w:val="single" w:sz="4" w:space="0" w:color="000000"/>
              <w:left w:val="single" w:sz="4" w:space="0" w:color="000000"/>
              <w:bottom w:val="single" w:sz="4" w:space="0" w:color="000000"/>
              <w:right w:val="single" w:sz="4" w:space="0" w:color="000000"/>
            </w:tcBorders>
            <w:vAlign w:val="center"/>
          </w:tcPr>
          <w:p w14:paraId="1A0C3BE8" w14:textId="77777777" w:rsidR="00277701" w:rsidRPr="00F24057" w:rsidRDefault="00DD5863" w:rsidP="00D70B34">
            <w:pPr>
              <w:jc w:val="center"/>
              <w:rPr>
                <w:b/>
                <w:szCs w:val="22"/>
                <w:lang w:val="sr-Latn-ME"/>
              </w:rPr>
            </w:pPr>
            <w:r w:rsidRPr="00F24057">
              <w:rPr>
                <w:b/>
                <w:szCs w:val="22"/>
                <w:lang w:val="sr-Latn-ME"/>
              </w:rPr>
              <w:t>Standardna doza:</w:t>
            </w:r>
          </w:p>
          <w:p w14:paraId="3F1D07F7" w14:textId="37735A9E" w:rsidR="00DD5863" w:rsidRPr="00F24057" w:rsidRDefault="00DD5863" w:rsidP="00D70B34">
            <w:pPr>
              <w:jc w:val="center"/>
              <w:rPr>
                <w:b/>
                <w:szCs w:val="22"/>
                <w:lang w:val="sr-Latn-ME"/>
              </w:rPr>
            </w:pPr>
            <w:r w:rsidRPr="00F24057">
              <w:rPr>
                <w:b/>
                <w:szCs w:val="22"/>
                <w:lang w:val="sr-Latn-ME"/>
              </w:rPr>
              <w:t xml:space="preserve">40/20 mg svake druge </w:t>
            </w:r>
            <w:r w:rsidR="00885A78" w:rsidRPr="00F24057">
              <w:rPr>
                <w:b/>
                <w:szCs w:val="22"/>
                <w:lang w:val="sr-Latn-ME"/>
              </w:rPr>
              <w:t>nedjelj</w:t>
            </w:r>
            <w:r w:rsidRPr="00F24057">
              <w:rPr>
                <w:b/>
                <w:szCs w:val="22"/>
                <w:lang w:val="sr-Latn-ME"/>
              </w:rPr>
              <w:t>e</w:t>
            </w:r>
          </w:p>
          <w:p w14:paraId="57C7541D" w14:textId="77777777" w:rsidR="00DD5863" w:rsidRPr="00F24057" w:rsidRDefault="00DD5863" w:rsidP="00D70B34">
            <w:pPr>
              <w:jc w:val="center"/>
              <w:rPr>
                <w:szCs w:val="22"/>
                <w:lang w:val="sr-Latn-ME"/>
              </w:rPr>
            </w:pPr>
            <w:r w:rsidRPr="00F24057">
              <w:rPr>
                <w:b/>
                <w:szCs w:val="22"/>
                <w:lang w:val="sr-Latn-ME"/>
              </w:rPr>
              <w:t>N=93</w:t>
            </w:r>
          </w:p>
        </w:tc>
        <w:tc>
          <w:tcPr>
            <w:tcW w:w="1618" w:type="pct"/>
            <w:tcBorders>
              <w:top w:val="single" w:sz="4" w:space="0" w:color="000000"/>
              <w:left w:val="single" w:sz="4" w:space="0" w:color="000000"/>
              <w:bottom w:val="single" w:sz="4" w:space="0" w:color="000000"/>
              <w:right w:val="single" w:sz="4" w:space="0" w:color="000000"/>
            </w:tcBorders>
            <w:vAlign w:val="center"/>
          </w:tcPr>
          <w:p w14:paraId="14F2BE05" w14:textId="6E1FBEE7" w:rsidR="00DD5863" w:rsidRPr="00F24057" w:rsidRDefault="00DD5863" w:rsidP="00D70B34">
            <w:pPr>
              <w:jc w:val="center"/>
              <w:rPr>
                <w:szCs w:val="22"/>
                <w:lang w:val="sr-Latn-ME"/>
              </w:rPr>
            </w:pPr>
            <w:r w:rsidRPr="00F24057">
              <w:rPr>
                <w:b/>
                <w:szCs w:val="22"/>
                <w:lang w:val="sr-Latn-ME"/>
              </w:rPr>
              <w:t>Niska doza:</w:t>
            </w:r>
          </w:p>
          <w:p w14:paraId="5AB8CF18" w14:textId="3C884969" w:rsidR="00DD5863" w:rsidRPr="00F24057" w:rsidRDefault="00DD5863" w:rsidP="00D70B34">
            <w:pPr>
              <w:jc w:val="center"/>
              <w:rPr>
                <w:szCs w:val="22"/>
                <w:lang w:val="sr-Latn-ME"/>
              </w:rPr>
            </w:pPr>
            <w:r w:rsidRPr="00F24057">
              <w:rPr>
                <w:b/>
                <w:szCs w:val="22"/>
                <w:lang w:val="sr-Latn-ME"/>
              </w:rPr>
              <w:t>20/10 mg svake druge</w:t>
            </w:r>
            <w:r w:rsidR="00277701" w:rsidRPr="00F24057">
              <w:rPr>
                <w:b/>
                <w:szCs w:val="22"/>
                <w:lang w:val="sr-Latn-ME"/>
              </w:rPr>
              <w:t xml:space="preserve"> </w:t>
            </w:r>
            <w:r w:rsidR="00885A78" w:rsidRPr="00F24057">
              <w:rPr>
                <w:b/>
                <w:szCs w:val="22"/>
                <w:lang w:val="sr-Latn-ME"/>
              </w:rPr>
              <w:t>nedjelj</w:t>
            </w:r>
            <w:r w:rsidRPr="00F24057">
              <w:rPr>
                <w:b/>
                <w:szCs w:val="22"/>
                <w:lang w:val="sr-Latn-ME"/>
              </w:rPr>
              <w:t>e</w:t>
            </w:r>
          </w:p>
          <w:p w14:paraId="7EEDC027" w14:textId="77777777" w:rsidR="00DD5863" w:rsidRPr="00F24057" w:rsidRDefault="00DD5863" w:rsidP="00D70B34">
            <w:pPr>
              <w:jc w:val="center"/>
              <w:rPr>
                <w:szCs w:val="22"/>
                <w:lang w:val="sr-Latn-ME"/>
              </w:rPr>
            </w:pPr>
            <w:r w:rsidRPr="00F24057">
              <w:rPr>
                <w:b/>
                <w:szCs w:val="22"/>
                <w:lang w:val="sr-Latn-ME"/>
              </w:rPr>
              <w:t>N=95</w:t>
            </w:r>
          </w:p>
        </w:tc>
        <w:tc>
          <w:tcPr>
            <w:tcW w:w="715" w:type="pct"/>
            <w:tcBorders>
              <w:top w:val="single" w:sz="4" w:space="0" w:color="000000"/>
              <w:left w:val="single" w:sz="4" w:space="0" w:color="000000"/>
              <w:bottom w:val="single" w:sz="4" w:space="0" w:color="000000"/>
              <w:right w:val="single" w:sz="4" w:space="0" w:color="000000"/>
            </w:tcBorders>
            <w:vAlign w:val="center"/>
          </w:tcPr>
          <w:p w14:paraId="01F1A2B7" w14:textId="60ED1D39" w:rsidR="00DD5863" w:rsidRPr="00F24057" w:rsidRDefault="008D076F" w:rsidP="00D70B34">
            <w:pPr>
              <w:jc w:val="center"/>
              <w:rPr>
                <w:szCs w:val="22"/>
                <w:lang w:val="sr-Latn-ME"/>
              </w:rPr>
            </w:pPr>
            <w:r w:rsidRPr="00F24057">
              <w:rPr>
                <w:b/>
                <w:szCs w:val="22"/>
                <w:lang w:val="sr-Latn-ME"/>
              </w:rPr>
              <w:t>p</w:t>
            </w:r>
            <w:r w:rsidR="007E7901" w:rsidRPr="00F24057">
              <w:rPr>
                <w:b/>
                <w:szCs w:val="22"/>
                <w:lang w:val="sr-Latn-ME"/>
              </w:rPr>
              <w:t>-</w:t>
            </w:r>
            <w:r w:rsidR="00972894" w:rsidRPr="00F24057">
              <w:rPr>
                <w:b/>
                <w:szCs w:val="22"/>
                <w:lang w:val="sr-Latn-ME"/>
              </w:rPr>
              <w:t>vrijedno</w:t>
            </w:r>
            <w:r w:rsidR="00DD5863" w:rsidRPr="00F24057">
              <w:rPr>
                <w:b/>
                <w:szCs w:val="22"/>
                <w:lang w:val="sr-Latn-ME"/>
              </w:rPr>
              <w:t>st</w:t>
            </w:r>
            <w:r w:rsidRPr="00F24057">
              <w:rPr>
                <w:b/>
                <w:szCs w:val="22"/>
                <w:lang w:val="sr-Latn-ME"/>
              </w:rPr>
              <w:t>*</w:t>
            </w:r>
          </w:p>
        </w:tc>
      </w:tr>
      <w:tr w:rsidR="00DD5863" w:rsidRPr="00F24057" w14:paraId="1BAD1FFF" w14:textId="77777777" w:rsidTr="00831681">
        <w:trPr>
          <w:trHeight w:val="20"/>
        </w:trPr>
        <w:tc>
          <w:tcPr>
            <w:tcW w:w="1048" w:type="pct"/>
            <w:tcBorders>
              <w:top w:val="single" w:sz="4" w:space="0" w:color="000000"/>
              <w:left w:val="single" w:sz="4" w:space="0" w:color="000000"/>
              <w:bottom w:val="single" w:sz="4" w:space="0" w:color="000000"/>
              <w:right w:val="single" w:sz="4" w:space="0" w:color="000000"/>
            </w:tcBorders>
          </w:tcPr>
          <w:p w14:paraId="35DC4740" w14:textId="4D7C7405" w:rsidR="00DD5863" w:rsidRPr="00F24057" w:rsidRDefault="00885A78" w:rsidP="00D70B34">
            <w:pPr>
              <w:rPr>
                <w:szCs w:val="22"/>
                <w:lang w:val="sr-Latn-ME"/>
              </w:rPr>
            </w:pPr>
            <w:r w:rsidRPr="00F24057">
              <w:rPr>
                <w:b/>
                <w:szCs w:val="22"/>
                <w:lang w:val="sr-Latn-ME"/>
              </w:rPr>
              <w:t>Nedjelj</w:t>
            </w:r>
            <w:r w:rsidR="00DD5863" w:rsidRPr="00F24057">
              <w:rPr>
                <w:b/>
                <w:szCs w:val="22"/>
                <w:lang w:val="sr-Latn-ME"/>
              </w:rPr>
              <w:t>a 26</w:t>
            </w:r>
          </w:p>
        </w:tc>
        <w:tc>
          <w:tcPr>
            <w:tcW w:w="1619" w:type="pct"/>
            <w:tcBorders>
              <w:top w:val="single" w:sz="4" w:space="0" w:color="000000"/>
              <w:left w:val="single" w:sz="4" w:space="0" w:color="000000"/>
              <w:bottom w:val="single" w:sz="4" w:space="0" w:color="000000"/>
              <w:right w:val="single" w:sz="4" w:space="0" w:color="000000"/>
            </w:tcBorders>
            <w:vAlign w:val="center"/>
          </w:tcPr>
          <w:p w14:paraId="5EA62A54" w14:textId="77777777" w:rsidR="00DD5863" w:rsidRPr="00F24057" w:rsidRDefault="00DD5863" w:rsidP="00D70B34">
            <w:pPr>
              <w:jc w:val="center"/>
              <w:rPr>
                <w:szCs w:val="22"/>
                <w:lang w:val="sr-Latn-ME"/>
              </w:rPr>
            </w:pPr>
          </w:p>
        </w:tc>
        <w:tc>
          <w:tcPr>
            <w:tcW w:w="1618" w:type="pct"/>
            <w:tcBorders>
              <w:top w:val="single" w:sz="4" w:space="0" w:color="000000"/>
              <w:left w:val="single" w:sz="4" w:space="0" w:color="000000"/>
              <w:bottom w:val="single" w:sz="4" w:space="0" w:color="000000"/>
              <w:right w:val="single" w:sz="4" w:space="0" w:color="000000"/>
            </w:tcBorders>
            <w:vAlign w:val="center"/>
          </w:tcPr>
          <w:p w14:paraId="27B2CEAE" w14:textId="77777777" w:rsidR="00DD5863" w:rsidRPr="00F24057" w:rsidRDefault="00DD5863" w:rsidP="00D70B34">
            <w:pPr>
              <w:jc w:val="center"/>
              <w:rPr>
                <w:szCs w:val="22"/>
                <w:lang w:val="sr-Latn-ME"/>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11AFADD9" w14:textId="77777777" w:rsidR="00DD5863" w:rsidRPr="00F24057" w:rsidRDefault="00DD5863" w:rsidP="00D70B34">
            <w:pPr>
              <w:jc w:val="center"/>
              <w:rPr>
                <w:szCs w:val="22"/>
                <w:lang w:val="sr-Latn-ME"/>
              </w:rPr>
            </w:pPr>
          </w:p>
        </w:tc>
      </w:tr>
      <w:tr w:rsidR="00DD5863" w:rsidRPr="00F24057" w14:paraId="564838CD" w14:textId="77777777" w:rsidTr="00831681">
        <w:trPr>
          <w:trHeight w:val="20"/>
        </w:trPr>
        <w:tc>
          <w:tcPr>
            <w:tcW w:w="1048" w:type="pct"/>
            <w:tcBorders>
              <w:top w:val="single" w:sz="4" w:space="0" w:color="000000"/>
              <w:left w:val="single" w:sz="4" w:space="0" w:color="000000"/>
              <w:bottom w:val="single" w:sz="4" w:space="0" w:color="000000"/>
              <w:right w:val="single" w:sz="4" w:space="0" w:color="000000"/>
            </w:tcBorders>
          </w:tcPr>
          <w:p w14:paraId="5BB13C06" w14:textId="77777777" w:rsidR="00DD5863" w:rsidRPr="00F24057" w:rsidRDefault="00DD5863" w:rsidP="00D70B34">
            <w:pPr>
              <w:tabs>
                <w:tab w:val="clear" w:pos="284"/>
              </w:tabs>
              <w:ind w:left="142"/>
              <w:rPr>
                <w:szCs w:val="22"/>
                <w:lang w:val="sr-Latn-ME"/>
              </w:rPr>
            </w:pPr>
            <w:r w:rsidRPr="00F24057">
              <w:rPr>
                <w:szCs w:val="22"/>
                <w:lang w:val="sr-Latn-ME"/>
              </w:rPr>
              <w:t>Klinička remisija</w:t>
            </w:r>
          </w:p>
        </w:tc>
        <w:tc>
          <w:tcPr>
            <w:tcW w:w="1619" w:type="pct"/>
            <w:tcBorders>
              <w:top w:val="single" w:sz="4" w:space="0" w:color="000000"/>
              <w:left w:val="single" w:sz="4" w:space="0" w:color="000000"/>
              <w:bottom w:val="single" w:sz="4" w:space="0" w:color="000000"/>
              <w:right w:val="single" w:sz="4" w:space="0" w:color="000000"/>
            </w:tcBorders>
            <w:vAlign w:val="center"/>
          </w:tcPr>
          <w:p w14:paraId="39588979" w14:textId="77777777" w:rsidR="00DD5863" w:rsidRPr="00F24057" w:rsidRDefault="00DD5863" w:rsidP="00D70B34">
            <w:pPr>
              <w:jc w:val="center"/>
              <w:rPr>
                <w:szCs w:val="22"/>
                <w:lang w:val="sr-Latn-ME"/>
              </w:rPr>
            </w:pPr>
            <w:r w:rsidRPr="00F24057">
              <w:rPr>
                <w:szCs w:val="22"/>
                <w:lang w:val="sr-Latn-ME"/>
              </w:rPr>
              <w:t>38,7%</w:t>
            </w:r>
          </w:p>
        </w:tc>
        <w:tc>
          <w:tcPr>
            <w:tcW w:w="1618" w:type="pct"/>
            <w:tcBorders>
              <w:top w:val="single" w:sz="4" w:space="0" w:color="000000"/>
              <w:left w:val="single" w:sz="4" w:space="0" w:color="000000"/>
              <w:bottom w:val="single" w:sz="4" w:space="0" w:color="000000"/>
              <w:right w:val="single" w:sz="4" w:space="0" w:color="000000"/>
            </w:tcBorders>
            <w:vAlign w:val="center"/>
          </w:tcPr>
          <w:p w14:paraId="149EB1E3" w14:textId="77777777" w:rsidR="00DD5863" w:rsidRPr="00F24057" w:rsidRDefault="00DD5863" w:rsidP="00D70B34">
            <w:pPr>
              <w:jc w:val="center"/>
              <w:rPr>
                <w:szCs w:val="22"/>
                <w:lang w:val="sr-Latn-ME"/>
              </w:rPr>
            </w:pPr>
            <w:r w:rsidRPr="00F24057">
              <w:rPr>
                <w:szCs w:val="22"/>
                <w:lang w:val="sr-Latn-ME"/>
              </w:rPr>
              <w:t>28,4%</w:t>
            </w:r>
          </w:p>
        </w:tc>
        <w:tc>
          <w:tcPr>
            <w:tcW w:w="715" w:type="pct"/>
            <w:tcBorders>
              <w:top w:val="single" w:sz="4" w:space="0" w:color="000000"/>
              <w:left w:val="single" w:sz="4" w:space="0" w:color="000000"/>
              <w:bottom w:val="single" w:sz="4" w:space="0" w:color="000000"/>
              <w:right w:val="single" w:sz="4" w:space="0" w:color="000000"/>
            </w:tcBorders>
            <w:vAlign w:val="center"/>
          </w:tcPr>
          <w:p w14:paraId="271B1D85" w14:textId="77777777" w:rsidR="00DD5863" w:rsidRPr="00F24057" w:rsidRDefault="00DD5863" w:rsidP="00D70B34">
            <w:pPr>
              <w:jc w:val="center"/>
              <w:rPr>
                <w:szCs w:val="22"/>
                <w:lang w:val="sr-Latn-ME"/>
              </w:rPr>
            </w:pPr>
            <w:r w:rsidRPr="00F24057">
              <w:rPr>
                <w:szCs w:val="22"/>
                <w:lang w:val="sr-Latn-ME"/>
              </w:rPr>
              <w:t>0,075</w:t>
            </w:r>
          </w:p>
        </w:tc>
      </w:tr>
      <w:tr w:rsidR="00DD5863" w:rsidRPr="00F24057" w14:paraId="41458671" w14:textId="77777777" w:rsidTr="00831681">
        <w:trPr>
          <w:trHeight w:val="20"/>
        </w:trPr>
        <w:tc>
          <w:tcPr>
            <w:tcW w:w="1048" w:type="pct"/>
            <w:tcBorders>
              <w:top w:val="single" w:sz="4" w:space="0" w:color="000000"/>
              <w:left w:val="single" w:sz="4" w:space="0" w:color="000000"/>
              <w:bottom w:val="single" w:sz="4" w:space="0" w:color="000000"/>
              <w:right w:val="single" w:sz="4" w:space="0" w:color="000000"/>
            </w:tcBorders>
          </w:tcPr>
          <w:p w14:paraId="2BB8073C" w14:textId="77777777" w:rsidR="00DD5863" w:rsidRPr="00F24057" w:rsidRDefault="00DD5863" w:rsidP="00D70B34">
            <w:pPr>
              <w:tabs>
                <w:tab w:val="clear" w:pos="284"/>
              </w:tabs>
              <w:ind w:left="142"/>
              <w:rPr>
                <w:szCs w:val="22"/>
                <w:lang w:val="sr-Latn-ME"/>
              </w:rPr>
            </w:pPr>
            <w:r w:rsidRPr="00F24057">
              <w:rPr>
                <w:szCs w:val="22"/>
                <w:lang w:val="sr-Latn-ME"/>
              </w:rPr>
              <w:t>Klinički odgovor</w:t>
            </w:r>
          </w:p>
        </w:tc>
        <w:tc>
          <w:tcPr>
            <w:tcW w:w="1619" w:type="pct"/>
            <w:tcBorders>
              <w:top w:val="single" w:sz="4" w:space="0" w:color="000000"/>
              <w:left w:val="single" w:sz="4" w:space="0" w:color="000000"/>
              <w:bottom w:val="single" w:sz="4" w:space="0" w:color="000000"/>
              <w:right w:val="single" w:sz="4" w:space="0" w:color="000000"/>
            </w:tcBorders>
            <w:vAlign w:val="center"/>
          </w:tcPr>
          <w:p w14:paraId="4DFA5ED0" w14:textId="77777777" w:rsidR="00DD5863" w:rsidRPr="00F24057" w:rsidRDefault="00DD5863" w:rsidP="00D70B34">
            <w:pPr>
              <w:jc w:val="center"/>
              <w:rPr>
                <w:szCs w:val="22"/>
                <w:lang w:val="sr-Latn-ME"/>
              </w:rPr>
            </w:pPr>
            <w:r w:rsidRPr="00F24057">
              <w:rPr>
                <w:szCs w:val="22"/>
                <w:lang w:val="sr-Latn-ME"/>
              </w:rPr>
              <w:t>59,1%</w:t>
            </w:r>
          </w:p>
        </w:tc>
        <w:tc>
          <w:tcPr>
            <w:tcW w:w="1618" w:type="pct"/>
            <w:tcBorders>
              <w:top w:val="single" w:sz="4" w:space="0" w:color="000000"/>
              <w:left w:val="single" w:sz="4" w:space="0" w:color="000000"/>
              <w:bottom w:val="single" w:sz="4" w:space="0" w:color="000000"/>
              <w:right w:val="single" w:sz="4" w:space="0" w:color="000000"/>
            </w:tcBorders>
            <w:vAlign w:val="center"/>
          </w:tcPr>
          <w:p w14:paraId="19143F7C" w14:textId="77777777" w:rsidR="00DD5863" w:rsidRPr="00F24057" w:rsidRDefault="00DD5863" w:rsidP="00D70B34">
            <w:pPr>
              <w:jc w:val="center"/>
              <w:rPr>
                <w:szCs w:val="22"/>
                <w:lang w:val="sr-Latn-ME"/>
              </w:rPr>
            </w:pPr>
            <w:r w:rsidRPr="00F24057">
              <w:rPr>
                <w:szCs w:val="22"/>
                <w:lang w:val="sr-Latn-ME"/>
              </w:rPr>
              <w:t>48,4%</w:t>
            </w:r>
          </w:p>
        </w:tc>
        <w:tc>
          <w:tcPr>
            <w:tcW w:w="715" w:type="pct"/>
            <w:tcBorders>
              <w:top w:val="single" w:sz="4" w:space="0" w:color="000000"/>
              <w:left w:val="single" w:sz="4" w:space="0" w:color="000000"/>
              <w:bottom w:val="single" w:sz="4" w:space="0" w:color="000000"/>
              <w:right w:val="single" w:sz="4" w:space="0" w:color="000000"/>
            </w:tcBorders>
            <w:vAlign w:val="center"/>
          </w:tcPr>
          <w:p w14:paraId="38D43D6E" w14:textId="77777777" w:rsidR="00DD5863" w:rsidRPr="00F24057" w:rsidRDefault="00DD5863" w:rsidP="00D70B34">
            <w:pPr>
              <w:jc w:val="center"/>
              <w:rPr>
                <w:szCs w:val="22"/>
                <w:lang w:val="sr-Latn-ME"/>
              </w:rPr>
            </w:pPr>
            <w:r w:rsidRPr="00F24057">
              <w:rPr>
                <w:szCs w:val="22"/>
                <w:lang w:val="sr-Latn-ME"/>
              </w:rPr>
              <w:t>0,073</w:t>
            </w:r>
          </w:p>
        </w:tc>
      </w:tr>
      <w:tr w:rsidR="00DD5863" w:rsidRPr="00F24057" w14:paraId="68EB4CFC" w14:textId="77777777" w:rsidTr="00831681">
        <w:trPr>
          <w:trHeight w:val="20"/>
        </w:trPr>
        <w:tc>
          <w:tcPr>
            <w:tcW w:w="1048" w:type="pct"/>
            <w:tcBorders>
              <w:top w:val="single" w:sz="4" w:space="0" w:color="000000"/>
              <w:left w:val="single" w:sz="4" w:space="0" w:color="000000"/>
              <w:bottom w:val="single" w:sz="4" w:space="0" w:color="000000"/>
              <w:right w:val="single" w:sz="4" w:space="0" w:color="000000"/>
            </w:tcBorders>
          </w:tcPr>
          <w:p w14:paraId="234382F5" w14:textId="3BBC9E73" w:rsidR="00DD5863" w:rsidRPr="00F24057" w:rsidRDefault="00885A78" w:rsidP="00D70B34">
            <w:pPr>
              <w:rPr>
                <w:szCs w:val="22"/>
                <w:lang w:val="sr-Latn-ME"/>
              </w:rPr>
            </w:pPr>
            <w:r w:rsidRPr="00F24057">
              <w:rPr>
                <w:b/>
                <w:szCs w:val="22"/>
                <w:lang w:val="sr-Latn-ME"/>
              </w:rPr>
              <w:t>Nedjelj</w:t>
            </w:r>
            <w:r w:rsidR="00DD5863" w:rsidRPr="00F24057">
              <w:rPr>
                <w:b/>
                <w:szCs w:val="22"/>
                <w:lang w:val="sr-Latn-ME"/>
              </w:rPr>
              <w:t>a 52</w:t>
            </w:r>
          </w:p>
        </w:tc>
        <w:tc>
          <w:tcPr>
            <w:tcW w:w="1619" w:type="pct"/>
            <w:tcBorders>
              <w:top w:val="single" w:sz="4" w:space="0" w:color="000000"/>
              <w:left w:val="single" w:sz="4" w:space="0" w:color="000000"/>
              <w:bottom w:val="single" w:sz="4" w:space="0" w:color="000000"/>
              <w:right w:val="single" w:sz="4" w:space="0" w:color="000000"/>
            </w:tcBorders>
            <w:vAlign w:val="center"/>
          </w:tcPr>
          <w:p w14:paraId="7003A5AD" w14:textId="77777777" w:rsidR="00DD5863" w:rsidRPr="00F24057" w:rsidRDefault="00DD5863" w:rsidP="00D70B34">
            <w:pPr>
              <w:jc w:val="center"/>
              <w:rPr>
                <w:szCs w:val="22"/>
                <w:lang w:val="sr-Latn-ME"/>
              </w:rPr>
            </w:pPr>
          </w:p>
        </w:tc>
        <w:tc>
          <w:tcPr>
            <w:tcW w:w="1618" w:type="pct"/>
            <w:tcBorders>
              <w:top w:val="single" w:sz="4" w:space="0" w:color="000000"/>
              <w:left w:val="single" w:sz="4" w:space="0" w:color="000000"/>
              <w:bottom w:val="single" w:sz="4" w:space="0" w:color="000000"/>
              <w:right w:val="single" w:sz="4" w:space="0" w:color="000000"/>
            </w:tcBorders>
            <w:vAlign w:val="center"/>
          </w:tcPr>
          <w:p w14:paraId="56F7D249" w14:textId="77777777" w:rsidR="00DD5863" w:rsidRPr="00F24057" w:rsidRDefault="00DD5863" w:rsidP="00D70B34">
            <w:pPr>
              <w:jc w:val="center"/>
              <w:rPr>
                <w:szCs w:val="22"/>
                <w:lang w:val="sr-Latn-ME"/>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7C4B1ED8" w14:textId="77777777" w:rsidR="00DD5863" w:rsidRPr="00F24057" w:rsidRDefault="00DD5863" w:rsidP="00D70B34">
            <w:pPr>
              <w:jc w:val="center"/>
              <w:rPr>
                <w:szCs w:val="22"/>
                <w:lang w:val="sr-Latn-ME"/>
              </w:rPr>
            </w:pPr>
          </w:p>
        </w:tc>
      </w:tr>
      <w:tr w:rsidR="00DD5863" w:rsidRPr="00F24057" w14:paraId="10198998" w14:textId="77777777" w:rsidTr="00831681">
        <w:trPr>
          <w:trHeight w:val="20"/>
        </w:trPr>
        <w:tc>
          <w:tcPr>
            <w:tcW w:w="1048" w:type="pct"/>
            <w:tcBorders>
              <w:top w:val="single" w:sz="4" w:space="0" w:color="000000"/>
              <w:left w:val="single" w:sz="4" w:space="0" w:color="000000"/>
              <w:bottom w:val="single" w:sz="4" w:space="0" w:color="000000"/>
              <w:right w:val="single" w:sz="4" w:space="0" w:color="000000"/>
            </w:tcBorders>
          </w:tcPr>
          <w:p w14:paraId="25F55DF4" w14:textId="77777777" w:rsidR="00DD5863" w:rsidRPr="00F24057" w:rsidRDefault="00DD5863" w:rsidP="00D70B34">
            <w:pPr>
              <w:tabs>
                <w:tab w:val="clear" w:pos="284"/>
              </w:tabs>
              <w:ind w:left="142"/>
              <w:jc w:val="center"/>
              <w:rPr>
                <w:szCs w:val="22"/>
                <w:lang w:val="sr-Latn-ME"/>
              </w:rPr>
            </w:pPr>
            <w:r w:rsidRPr="00F24057">
              <w:rPr>
                <w:szCs w:val="22"/>
                <w:lang w:val="sr-Latn-ME"/>
              </w:rPr>
              <w:t>Klinička remisija</w:t>
            </w:r>
          </w:p>
        </w:tc>
        <w:tc>
          <w:tcPr>
            <w:tcW w:w="1619" w:type="pct"/>
            <w:tcBorders>
              <w:top w:val="single" w:sz="4" w:space="0" w:color="000000"/>
              <w:left w:val="single" w:sz="4" w:space="0" w:color="000000"/>
              <w:bottom w:val="single" w:sz="4" w:space="0" w:color="000000"/>
              <w:right w:val="single" w:sz="4" w:space="0" w:color="000000"/>
            </w:tcBorders>
            <w:vAlign w:val="center"/>
          </w:tcPr>
          <w:p w14:paraId="51221D86" w14:textId="77777777" w:rsidR="00DD5863" w:rsidRPr="00F24057" w:rsidRDefault="00DD5863" w:rsidP="00D70B34">
            <w:pPr>
              <w:jc w:val="center"/>
              <w:rPr>
                <w:szCs w:val="22"/>
                <w:lang w:val="sr-Latn-ME"/>
              </w:rPr>
            </w:pPr>
            <w:r w:rsidRPr="00F24057">
              <w:rPr>
                <w:szCs w:val="22"/>
                <w:lang w:val="sr-Latn-ME"/>
              </w:rPr>
              <w:t>33,3%</w:t>
            </w:r>
          </w:p>
        </w:tc>
        <w:tc>
          <w:tcPr>
            <w:tcW w:w="1618" w:type="pct"/>
            <w:tcBorders>
              <w:top w:val="single" w:sz="4" w:space="0" w:color="000000"/>
              <w:left w:val="single" w:sz="4" w:space="0" w:color="000000"/>
              <w:bottom w:val="single" w:sz="4" w:space="0" w:color="000000"/>
              <w:right w:val="single" w:sz="4" w:space="0" w:color="000000"/>
            </w:tcBorders>
            <w:vAlign w:val="center"/>
          </w:tcPr>
          <w:p w14:paraId="24D38D40" w14:textId="77777777" w:rsidR="00DD5863" w:rsidRPr="00F24057" w:rsidRDefault="00DD5863" w:rsidP="00D70B34">
            <w:pPr>
              <w:jc w:val="center"/>
              <w:rPr>
                <w:szCs w:val="22"/>
                <w:lang w:val="sr-Latn-ME"/>
              </w:rPr>
            </w:pPr>
            <w:r w:rsidRPr="00F24057">
              <w:rPr>
                <w:szCs w:val="22"/>
                <w:lang w:val="sr-Latn-ME"/>
              </w:rPr>
              <w:t>23,2%</w:t>
            </w:r>
          </w:p>
        </w:tc>
        <w:tc>
          <w:tcPr>
            <w:tcW w:w="715" w:type="pct"/>
            <w:tcBorders>
              <w:top w:val="single" w:sz="4" w:space="0" w:color="000000"/>
              <w:left w:val="single" w:sz="4" w:space="0" w:color="000000"/>
              <w:bottom w:val="single" w:sz="4" w:space="0" w:color="000000"/>
              <w:right w:val="single" w:sz="4" w:space="0" w:color="000000"/>
            </w:tcBorders>
            <w:vAlign w:val="center"/>
          </w:tcPr>
          <w:p w14:paraId="62DE957B" w14:textId="77777777" w:rsidR="00DD5863" w:rsidRPr="00F24057" w:rsidRDefault="00DD5863" w:rsidP="00D70B34">
            <w:pPr>
              <w:jc w:val="center"/>
              <w:rPr>
                <w:szCs w:val="22"/>
                <w:lang w:val="sr-Latn-ME"/>
              </w:rPr>
            </w:pPr>
            <w:r w:rsidRPr="00F24057">
              <w:rPr>
                <w:szCs w:val="22"/>
                <w:lang w:val="sr-Latn-ME"/>
              </w:rPr>
              <w:t>0,100</w:t>
            </w:r>
          </w:p>
        </w:tc>
      </w:tr>
      <w:tr w:rsidR="00DD5863" w:rsidRPr="00F24057" w14:paraId="386CEA04" w14:textId="77777777" w:rsidTr="00831681">
        <w:trPr>
          <w:trHeight w:val="20"/>
        </w:trPr>
        <w:tc>
          <w:tcPr>
            <w:tcW w:w="1048" w:type="pct"/>
            <w:tcBorders>
              <w:top w:val="single" w:sz="4" w:space="0" w:color="000000"/>
              <w:left w:val="single" w:sz="4" w:space="0" w:color="000000"/>
              <w:bottom w:val="single" w:sz="4" w:space="0" w:color="000000"/>
              <w:right w:val="single" w:sz="4" w:space="0" w:color="000000"/>
            </w:tcBorders>
          </w:tcPr>
          <w:p w14:paraId="3EC05400" w14:textId="77777777" w:rsidR="00DD5863" w:rsidRPr="00F24057" w:rsidRDefault="00DD5863" w:rsidP="00D70B34">
            <w:pPr>
              <w:tabs>
                <w:tab w:val="clear" w:pos="284"/>
              </w:tabs>
              <w:ind w:left="142"/>
              <w:jc w:val="center"/>
              <w:rPr>
                <w:szCs w:val="22"/>
                <w:lang w:val="sr-Latn-ME"/>
              </w:rPr>
            </w:pPr>
            <w:r w:rsidRPr="00F24057">
              <w:rPr>
                <w:szCs w:val="22"/>
                <w:lang w:val="sr-Latn-ME"/>
              </w:rPr>
              <w:t>Klinički odgovor</w:t>
            </w:r>
          </w:p>
        </w:tc>
        <w:tc>
          <w:tcPr>
            <w:tcW w:w="1619" w:type="pct"/>
            <w:tcBorders>
              <w:top w:val="single" w:sz="4" w:space="0" w:color="000000"/>
              <w:left w:val="single" w:sz="4" w:space="0" w:color="000000"/>
              <w:bottom w:val="single" w:sz="4" w:space="0" w:color="000000"/>
              <w:right w:val="single" w:sz="4" w:space="0" w:color="000000"/>
            </w:tcBorders>
            <w:vAlign w:val="center"/>
          </w:tcPr>
          <w:p w14:paraId="73635E49" w14:textId="77777777" w:rsidR="00DD5863" w:rsidRPr="00F24057" w:rsidRDefault="00DD5863" w:rsidP="00D70B34">
            <w:pPr>
              <w:jc w:val="center"/>
              <w:rPr>
                <w:szCs w:val="22"/>
                <w:lang w:val="sr-Latn-ME"/>
              </w:rPr>
            </w:pPr>
            <w:r w:rsidRPr="00F24057">
              <w:rPr>
                <w:szCs w:val="22"/>
                <w:lang w:val="sr-Latn-ME"/>
              </w:rPr>
              <w:t>41,9%</w:t>
            </w:r>
          </w:p>
        </w:tc>
        <w:tc>
          <w:tcPr>
            <w:tcW w:w="1618" w:type="pct"/>
            <w:tcBorders>
              <w:top w:val="single" w:sz="4" w:space="0" w:color="000000"/>
              <w:left w:val="single" w:sz="4" w:space="0" w:color="000000"/>
              <w:bottom w:val="single" w:sz="4" w:space="0" w:color="000000"/>
              <w:right w:val="single" w:sz="4" w:space="0" w:color="000000"/>
            </w:tcBorders>
            <w:vAlign w:val="center"/>
          </w:tcPr>
          <w:p w14:paraId="46251200" w14:textId="77777777" w:rsidR="00DD5863" w:rsidRPr="00F24057" w:rsidRDefault="00DD5863" w:rsidP="00D70B34">
            <w:pPr>
              <w:jc w:val="center"/>
              <w:rPr>
                <w:szCs w:val="22"/>
                <w:lang w:val="sr-Latn-ME"/>
              </w:rPr>
            </w:pPr>
            <w:r w:rsidRPr="00F24057">
              <w:rPr>
                <w:szCs w:val="22"/>
                <w:lang w:val="sr-Latn-ME"/>
              </w:rPr>
              <w:t>28,4%</w:t>
            </w:r>
          </w:p>
        </w:tc>
        <w:tc>
          <w:tcPr>
            <w:tcW w:w="715" w:type="pct"/>
            <w:tcBorders>
              <w:top w:val="single" w:sz="4" w:space="0" w:color="000000"/>
              <w:left w:val="single" w:sz="4" w:space="0" w:color="000000"/>
              <w:bottom w:val="single" w:sz="4" w:space="0" w:color="000000"/>
              <w:right w:val="single" w:sz="4" w:space="0" w:color="000000"/>
            </w:tcBorders>
            <w:vAlign w:val="center"/>
          </w:tcPr>
          <w:p w14:paraId="17307107" w14:textId="77777777" w:rsidR="00DD5863" w:rsidRPr="00F24057" w:rsidRDefault="00DD5863" w:rsidP="00D70B34">
            <w:pPr>
              <w:jc w:val="center"/>
              <w:rPr>
                <w:szCs w:val="22"/>
                <w:lang w:val="sr-Latn-ME"/>
              </w:rPr>
            </w:pPr>
            <w:r w:rsidRPr="00F24057">
              <w:rPr>
                <w:szCs w:val="22"/>
                <w:lang w:val="sr-Latn-ME"/>
              </w:rPr>
              <w:t>0,038</w:t>
            </w:r>
          </w:p>
        </w:tc>
      </w:tr>
    </w:tbl>
    <w:p w14:paraId="7C7285FE" w14:textId="6F58CBB8" w:rsidR="00C930E1" w:rsidRPr="00F24057" w:rsidRDefault="00DD5863" w:rsidP="00D70B34">
      <w:pPr>
        <w:rPr>
          <w:szCs w:val="22"/>
          <w:lang w:val="sr-Latn-ME"/>
        </w:rPr>
      </w:pPr>
      <w:r w:rsidRPr="00F24057">
        <w:rPr>
          <w:szCs w:val="22"/>
          <w:lang w:val="sr-Latn-ME"/>
        </w:rPr>
        <w:t xml:space="preserve">*p </w:t>
      </w:r>
      <w:r w:rsidR="00972894" w:rsidRPr="00F24057">
        <w:rPr>
          <w:szCs w:val="22"/>
          <w:lang w:val="sr-Latn-ME"/>
        </w:rPr>
        <w:t>vrijedno</w:t>
      </w:r>
      <w:r w:rsidRPr="00F24057">
        <w:rPr>
          <w:szCs w:val="22"/>
          <w:lang w:val="sr-Latn-ME"/>
        </w:rPr>
        <w:t>st poređenja standardne doze u odnosu na nisku dozu</w:t>
      </w:r>
    </w:p>
    <w:p w14:paraId="0C6CAAFD" w14:textId="77777777" w:rsidR="00C930E1" w:rsidRPr="00F24057" w:rsidRDefault="00C930E1" w:rsidP="00D70B34">
      <w:pPr>
        <w:rPr>
          <w:b/>
          <w:szCs w:val="22"/>
          <w:lang w:val="sr-Latn-ME"/>
        </w:rPr>
      </w:pPr>
    </w:p>
    <w:p w14:paraId="2CCE8CFA" w14:textId="5D279B02" w:rsidR="00C930E1" w:rsidRPr="00F24057" w:rsidRDefault="00C930E1" w:rsidP="00D70B34">
      <w:pPr>
        <w:rPr>
          <w:b/>
          <w:szCs w:val="22"/>
          <w:lang w:val="sr-Latn-ME"/>
        </w:rPr>
      </w:pPr>
      <w:r w:rsidRPr="00F24057">
        <w:rPr>
          <w:b/>
          <w:szCs w:val="22"/>
          <w:lang w:val="sr-Latn-ME"/>
        </w:rPr>
        <w:t>Tabela 30. Pedijatrijska CD studija</w:t>
      </w:r>
      <w:r w:rsidR="00F14C35" w:rsidRPr="00F24057">
        <w:rPr>
          <w:b/>
          <w:szCs w:val="22"/>
          <w:lang w:val="sr-Latn-ME"/>
        </w:rPr>
        <w:t>, p</w:t>
      </w:r>
      <w:r w:rsidRPr="00F24057">
        <w:rPr>
          <w:b/>
          <w:szCs w:val="22"/>
          <w:lang w:val="sr-Latn-ME"/>
        </w:rPr>
        <w:t>rekid upotrebe kortikosteroida ili imunomodulatora i remisija fistula</w:t>
      </w:r>
    </w:p>
    <w:p w14:paraId="0F4D9E46" w14:textId="77777777" w:rsidR="00C930E1" w:rsidRPr="00F24057" w:rsidRDefault="00C930E1" w:rsidP="00D70B34">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2587"/>
        <w:gridCol w:w="2571"/>
        <w:gridCol w:w="2570"/>
        <w:gridCol w:w="1289"/>
      </w:tblGrid>
      <w:tr w:rsidR="00C930E1" w:rsidRPr="00F24057" w14:paraId="56FB302A"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vAlign w:val="center"/>
          </w:tcPr>
          <w:p w14:paraId="0B030FF7" w14:textId="77777777" w:rsidR="00C930E1" w:rsidRPr="00F24057" w:rsidRDefault="00C930E1" w:rsidP="00D70B34">
            <w:pPr>
              <w:jc w:val="center"/>
              <w:rPr>
                <w:szCs w:val="22"/>
                <w:lang w:val="sr-Latn-ME"/>
              </w:rPr>
            </w:pPr>
          </w:p>
        </w:tc>
        <w:tc>
          <w:tcPr>
            <w:tcW w:w="1425" w:type="pct"/>
            <w:tcBorders>
              <w:top w:val="single" w:sz="4" w:space="0" w:color="000000"/>
              <w:left w:val="single" w:sz="4" w:space="0" w:color="000000"/>
              <w:bottom w:val="single" w:sz="4" w:space="0" w:color="000000"/>
              <w:right w:val="single" w:sz="4" w:space="0" w:color="000000"/>
            </w:tcBorders>
            <w:vAlign w:val="center"/>
          </w:tcPr>
          <w:p w14:paraId="245713BC" w14:textId="77777777" w:rsidR="005C22ED" w:rsidRPr="00F24057" w:rsidRDefault="00C930E1" w:rsidP="00D70B34">
            <w:pPr>
              <w:jc w:val="center"/>
              <w:rPr>
                <w:b/>
                <w:szCs w:val="22"/>
                <w:lang w:val="sr-Latn-ME"/>
              </w:rPr>
            </w:pPr>
            <w:r w:rsidRPr="00F24057">
              <w:rPr>
                <w:b/>
                <w:szCs w:val="22"/>
                <w:lang w:val="sr-Latn-ME"/>
              </w:rPr>
              <w:t xml:space="preserve">Standardna doza: </w:t>
            </w:r>
          </w:p>
          <w:p w14:paraId="0F88329A" w14:textId="74532090" w:rsidR="00C930E1" w:rsidRPr="00F24057" w:rsidRDefault="00C930E1" w:rsidP="00D70B34">
            <w:pPr>
              <w:jc w:val="center"/>
              <w:rPr>
                <w:szCs w:val="22"/>
                <w:lang w:val="sr-Latn-ME"/>
              </w:rPr>
            </w:pPr>
            <w:r w:rsidRPr="00F24057">
              <w:rPr>
                <w:b/>
                <w:szCs w:val="22"/>
                <w:lang w:val="sr-Latn-ME"/>
              </w:rPr>
              <w:t xml:space="preserve">40/20 mg svake druge </w:t>
            </w:r>
            <w:r w:rsidR="00885A78" w:rsidRPr="00F24057">
              <w:rPr>
                <w:b/>
                <w:szCs w:val="22"/>
                <w:lang w:val="sr-Latn-ME"/>
              </w:rPr>
              <w:t>nedjelj</w:t>
            </w:r>
            <w:r w:rsidRPr="00F24057">
              <w:rPr>
                <w:b/>
                <w:szCs w:val="22"/>
                <w:lang w:val="sr-Latn-ME"/>
              </w:rPr>
              <w:t>e</w:t>
            </w:r>
          </w:p>
        </w:tc>
        <w:tc>
          <w:tcPr>
            <w:tcW w:w="1425" w:type="pct"/>
            <w:tcBorders>
              <w:top w:val="single" w:sz="4" w:space="0" w:color="000000"/>
              <w:left w:val="single" w:sz="4" w:space="0" w:color="000000"/>
              <w:bottom w:val="single" w:sz="4" w:space="0" w:color="000000"/>
              <w:right w:val="single" w:sz="4" w:space="0" w:color="000000"/>
            </w:tcBorders>
            <w:vAlign w:val="center"/>
          </w:tcPr>
          <w:p w14:paraId="7709F670" w14:textId="5DD37B76" w:rsidR="00C930E1" w:rsidRPr="00F24057" w:rsidRDefault="00C930E1" w:rsidP="00D70B34">
            <w:pPr>
              <w:jc w:val="center"/>
              <w:rPr>
                <w:szCs w:val="22"/>
                <w:lang w:val="sr-Latn-ME"/>
              </w:rPr>
            </w:pPr>
            <w:r w:rsidRPr="00F24057">
              <w:rPr>
                <w:b/>
                <w:szCs w:val="22"/>
                <w:lang w:val="sr-Latn-ME"/>
              </w:rPr>
              <w:t>Niska doza:</w:t>
            </w:r>
          </w:p>
          <w:p w14:paraId="5440253E" w14:textId="28CF48D8" w:rsidR="00C930E1" w:rsidRPr="00F24057" w:rsidRDefault="00C930E1" w:rsidP="00D70B34">
            <w:pPr>
              <w:jc w:val="center"/>
              <w:rPr>
                <w:szCs w:val="22"/>
                <w:lang w:val="sr-Latn-ME"/>
              </w:rPr>
            </w:pPr>
            <w:r w:rsidRPr="00F24057">
              <w:rPr>
                <w:b/>
                <w:szCs w:val="22"/>
                <w:lang w:val="sr-Latn-ME"/>
              </w:rPr>
              <w:t xml:space="preserve">20/10 mg svake druge </w:t>
            </w:r>
            <w:r w:rsidR="00885A78" w:rsidRPr="00F24057">
              <w:rPr>
                <w:b/>
                <w:szCs w:val="22"/>
                <w:lang w:val="sr-Latn-ME"/>
              </w:rPr>
              <w:t>nedjelj</w:t>
            </w:r>
            <w:r w:rsidRPr="00F24057">
              <w:rPr>
                <w:b/>
                <w:szCs w:val="22"/>
                <w:lang w:val="sr-Latn-ME"/>
              </w:rPr>
              <w:t>e</w:t>
            </w:r>
          </w:p>
        </w:tc>
        <w:tc>
          <w:tcPr>
            <w:tcW w:w="715" w:type="pct"/>
            <w:tcBorders>
              <w:top w:val="single" w:sz="4" w:space="0" w:color="000000"/>
              <w:left w:val="single" w:sz="4" w:space="0" w:color="000000"/>
              <w:bottom w:val="single" w:sz="4" w:space="0" w:color="000000"/>
              <w:right w:val="single" w:sz="4" w:space="0" w:color="000000"/>
            </w:tcBorders>
            <w:vAlign w:val="center"/>
          </w:tcPr>
          <w:p w14:paraId="3BE18D6C" w14:textId="6E0949F8" w:rsidR="00C930E1" w:rsidRPr="00F24057" w:rsidRDefault="00FF0E1D" w:rsidP="00D70B34">
            <w:pPr>
              <w:jc w:val="center"/>
              <w:rPr>
                <w:szCs w:val="22"/>
                <w:lang w:val="sr-Latn-ME"/>
              </w:rPr>
            </w:pPr>
            <w:r w:rsidRPr="00F24057">
              <w:rPr>
                <w:b/>
                <w:szCs w:val="22"/>
                <w:lang w:val="sr-Latn-ME"/>
              </w:rPr>
              <w:t>p</w:t>
            </w:r>
            <w:r w:rsidR="00107A45" w:rsidRPr="00F24057">
              <w:rPr>
                <w:b/>
                <w:szCs w:val="22"/>
                <w:vertAlign w:val="superscript"/>
                <w:lang w:val="sr-Latn-ME"/>
              </w:rPr>
              <w:t>-</w:t>
            </w:r>
            <w:r w:rsidR="00972894" w:rsidRPr="00F24057">
              <w:rPr>
                <w:b/>
                <w:szCs w:val="22"/>
                <w:lang w:val="sr-Latn-ME"/>
              </w:rPr>
              <w:t>vrijedno</w:t>
            </w:r>
            <w:r w:rsidR="00C930E1" w:rsidRPr="00F24057">
              <w:rPr>
                <w:b/>
                <w:szCs w:val="22"/>
                <w:lang w:val="sr-Latn-ME"/>
              </w:rPr>
              <w:t>st</w:t>
            </w:r>
            <w:r w:rsidRPr="00F24057">
              <w:rPr>
                <w:b/>
                <w:szCs w:val="22"/>
                <w:vertAlign w:val="superscript"/>
                <w:lang w:val="sr-Latn-ME"/>
              </w:rPr>
              <w:t>1</w:t>
            </w:r>
          </w:p>
        </w:tc>
      </w:tr>
      <w:tr w:rsidR="00C930E1" w:rsidRPr="00F24057" w14:paraId="697C71BC"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tcPr>
          <w:p w14:paraId="7D73A37B" w14:textId="77777777" w:rsidR="00C930E1" w:rsidRPr="00F24057" w:rsidRDefault="00C930E1" w:rsidP="00D70B34">
            <w:pPr>
              <w:rPr>
                <w:szCs w:val="22"/>
                <w:lang w:val="sr-Latn-ME"/>
              </w:rPr>
            </w:pPr>
            <w:r w:rsidRPr="00F24057">
              <w:rPr>
                <w:b/>
                <w:szCs w:val="22"/>
                <w:lang w:val="sr-Latn-ME"/>
              </w:rPr>
              <w:t>Prekid kortikosteroida</w:t>
            </w:r>
          </w:p>
        </w:tc>
        <w:tc>
          <w:tcPr>
            <w:tcW w:w="1425" w:type="pct"/>
            <w:tcBorders>
              <w:top w:val="single" w:sz="4" w:space="0" w:color="000000"/>
              <w:left w:val="single" w:sz="4" w:space="0" w:color="000000"/>
              <w:bottom w:val="single" w:sz="4" w:space="0" w:color="000000"/>
              <w:right w:val="single" w:sz="4" w:space="0" w:color="000000"/>
            </w:tcBorders>
            <w:vAlign w:val="center"/>
          </w:tcPr>
          <w:p w14:paraId="585398EC" w14:textId="77777777" w:rsidR="00C930E1" w:rsidRPr="00F24057" w:rsidRDefault="00C930E1" w:rsidP="00D70B34">
            <w:pPr>
              <w:jc w:val="center"/>
              <w:rPr>
                <w:szCs w:val="22"/>
                <w:lang w:val="sr-Latn-ME"/>
              </w:rPr>
            </w:pPr>
            <w:r w:rsidRPr="00F24057">
              <w:rPr>
                <w:b/>
                <w:szCs w:val="22"/>
                <w:lang w:val="sr-Latn-ME"/>
              </w:rPr>
              <w:t>N=33</w:t>
            </w:r>
          </w:p>
        </w:tc>
        <w:tc>
          <w:tcPr>
            <w:tcW w:w="1425" w:type="pct"/>
            <w:tcBorders>
              <w:top w:val="single" w:sz="4" w:space="0" w:color="000000"/>
              <w:left w:val="single" w:sz="4" w:space="0" w:color="000000"/>
              <w:bottom w:val="single" w:sz="4" w:space="0" w:color="000000"/>
              <w:right w:val="single" w:sz="4" w:space="0" w:color="000000"/>
            </w:tcBorders>
            <w:vAlign w:val="center"/>
          </w:tcPr>
          <w:p w14:paraId="1A1E7DAA" w14:textId="77777777" w:rsidR="00C930E1" w:rsidRPr="00F24057" w:rsidRDefault="00C930E1" w:rsidP="00D70B34">
            <w:pPr>
              <w:jc w:val="center"/>
              <w:rPr>
                <w:szCs w:val="22"/>
                <w:lang w:val="sr-Latn-ME"/>
              </w:rPr>
            </w:pPr>
            <w:r w:rsidRPr="00F24057">
              <w:rPr>
                <w:b/>
                <w:szCs w:val="22"/>
                <w:lang w:val="sr-Latn-ME"/>
              </w:rPr>
              <w:t>N=38</w:t>
            </w:r>
          </w:p>
        </w:tc>
        <w:tc>
          <w:tcPr>
            <w:tcW w:w="715" w:type="pct"/>
            <w:tcBorders>
              <w:top w:val="single" w:sz="4" w:space="0" w:color="000000"/>
              <w:left w:val="single" w:sz="4" w:space="0" w:color="000000"/>
              <w:bottom w:val="single" w:sz="4" w:space="0" w:color="000000"/>
              <w:right w:val="single" w:sz="4" w:space="0" w:color="000000"/>
            </w:tcBorders>
            <w:vAlign w:val="center"/>
          </w:tcPr>
          <w:p w14:paraId="1EC793C3" w14:textId="77777777" w:rsidR="00C930E1" w:rsidRPr="00F24057" w:rsidRDefault="00C930E1" w:rsidP="00D70B34">
            <w:pPr>
              <w:jc w:val="center"/>
              <w:rPr>
                <w:szCs w:val="22"/>
                <w:lang w:val="sr-Latn-ME"/>
              </w:rPr>
            </w:pPr>
          </w:p>
        </w:tc>
      </w:tr>
      <w:tr w:rsidR="00C930E1" w:rsidRPr="00F24057" w14:paraId="56E0AF02"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tcPr>
          <w:p w14:paraId="66242797" w14:textId="76B2E26F" w:rsidR="00C930E1" w:rsidRPr="00F24057" w:rsidRDefault="00C930E1" w:rsidP="00D70B34">
            <w:pPr>
              <w:rPr>
                <w:szCs w:val="22"/>
                <w:lang w:val="sr-Latn-ME"/>
              </w:rPr>
            </w:pPr>
            <w:r w:rsidRPr="00F24057">
              <w:rPr>
                <w:szCs w:val="22"/>
                <w:lang w:val="sr-Latn-ME"/>
              </w:rPr>
              <w:t xml:space="preserve">26. </w:t>
            </w:r>
            <w:r w:rsidR="00885A78" w:rsidRPr="00F24057">
              <w:rPr>
                <w:szCs w:val="22"/>
                <w:lang w:val="sr-Latn-ME"/>
              </w:rPr>
              <w:t>nedjelj</w:t>
            </w:r>
            <w:r w:rsidRPr="00F24057">
              <w:rPr>
                <w:szCs w:val="22"/>
                <w:lang w:val="sr-Latn-ME"/>
              </w:rPr>
              <w:t xml:space="preserve">a </w:t>
            </w:r>
          </w:p>
        </w:tc>
        <w:tc>
          <w:tcPr>
            <w:tcW w:w="1425" w:type="pct"/>
            <w:tcBorders>
              <w:top w:val="single" w:sz="4" w:space="0" w:color="000000"/>
              <w:left w:val="single" w:sz="4" w:space="0" w:color="000000"/>
              <w:bottom w:val="single" w:sz="4" w:space="0" w:color="000000"/>
              <w:right w:val="single" w:sz="4" w:space="0" w:color="000000"/>
            </w:tcBorders>
            <w:vAlign w:val="center"/>
          </w:tcPr>
          <w:p w14:paraId="140FB415" w14:textId="77777777" w:rsidR="00C930E1" w:rsidRPr="00F24057" w:rsidRDefault="00C930E1" w:rsidP="00D70B34">
            <w:pPr>
              <w:jc w:val="center"/>
              <w:rPr>
                <w:szCs w:val="22"/>
                <w:lang w:val="sr-Latn-ME"/>
              </w:rPr>
            </w:pPr>
            <w:r w:rsidRPr="00F24057">
              <w:rPr>
                <w:szCs w:val="22"/>
                <w:lang w:val="sr-Latn-ME"/>
              </w:rPr>
              <w:t>84,8%</w:t>
            </w:r>
          </w:p>
        </w:tc>
        <w:tc>
          <w:tcPr>
            <w:tcW w:w="1425" w:type="pct"/>
            <w:tcBorders>
              <w:top w:val="single" w:sz="4" w:space="0" w:color="000000"/>
              <w:left w:val="single" w:sz="4" w:space="0" w:color="000000"/>
              <w:bottom w:val="single" w:sz="4" w:space="0" w:color="000000"/>
              <w:right w:val="single" w:sz="4" w:space="0" w:color="000000"/>
            </w:tcBorders>
            <w:vAlign w:val="center"/>
          </w:tcPr>
          <w:p w14:paraId="397C5682" w14:textId="77777777" w:rsidR="00C930E1" w:rsidRPr="00F24057" w:rsidRDefault="00C930E1" w:rsidP="00D70B34">
            <w:pPr>
              <w:jc w:val="center"/>
              <w:rPr>
                <w:szCs w:val="22"/>
                <w:lang w:val="sr-Latn-ME"/>
              </w:rPr>
            </w:pPr>
            <w:r w:rsidRPr="00F24057">
              <w:rPr>
                <w:szCs w:val="22"/>
                <w:lang w:val="sr-Latn-ME"/>
              </w:rPr>
              <w:t>65,8%</w:t>
            </w:r>
          </w:p>
        </w:tc>
        <w:tc>
          <w:tcPr>
            <w:tcW w:w="715" w:type="pct"/>
            <w:tcBorders>
              <w:top w:val="single" w:sz="4" w:space="0" w:color="000000"/>
              <w:left w:val="single" w:sz="4" w:space="0" w:color="000000"/>
              <w:bottom w:val="single" w:sz="4" w:space="0" w:color="000000"/>
              <w:right w:val="single" w:sz="4" w:space="0" w:color="000000"/>
            </w:tcBorders>
            <w:vAlign w:val="center"/>
          </w:tcPr>
          <w:p w14:paraId="720F7AA3" w14:textId="77777777" w:rsidR="00C930E1" w:rsidRPr="00F24057" w:rsidRDefault="00C930E1" w:rsidP="00D70B34">
            <w:pPr>
              <w:jc w:val="center"/>
              <w:rPr>
                <w:szCs w:val="22"/>
                <w:lang w:val="sr-Latn-ME"/>
              </w:rPr>
            </w:pPr>
            <w:r w:rsidRPr="00F24057">
              <w:rPr>
                <w:szCs w:val="22"/>
                <w:lang w:val="sr-Latn-ME"/>
              </w:rPr>
              <w:t>0,066</w:t>
            </w:r>
          </w:p>
        </w:tc>
      </w:tr>
      <w:tr w:rsidR="00C930E1" w:rsidRPr="00F24057" w14:paraId="2E3E828E"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tcPr>
          <w:p w14:paraId="04A6B9DF" w14:textId="3D832A1A" w:rsidR="00C930E1" w:rsidRPr="00F24057" w:rsidRDefault="00C930E1" w:rsidP="00D70B34">
            <w:pPr>
              <w:rPr>
                <w:szCs w:val="22"/>
                <w:lang w:val="sr-Latn-ME"/>
              </w:rPr>
            </w:pPr>
            <w:r w:rsidRPr="00F24057">
              <w:rPr>
                <w:szCs w:val="22"/>
                <w:lang w:val="sr-Latn-ME"/>
              </w:rPr>
              <w:t xml:space="preserve">52. </w:t>
            </w:r>
            <w:r w:rsidR="00885A78" w:rsidRPr="00F24057">
              <w:rPr>
                <w:szCs w:val="22"/>
                <w:lang w:val="sr-Latn-ME"/>
              </w:rPr>
              <w:t>nedjelj</w:t>
            </w:r>
            <w:r w:rsidRPr="00F24057">
              <w:rPr>
                <w:szCs w:val="22"/>
                <w:lang w:val="sr-Latn-ME"/>
              </w:rPr>
              <w:t xml:space="preserve">a </w:t>
            </w:r>
          </w:p>
        </w:tc>
        <w:tc>
          <w:tcPr>
            <w:tcW w:w="1425" w:type="pct"/>
            <w:tcBorders>
              <w:top w:val="single" w:sz="4" w:space="0" w:color="000000"/>
              <w:left w:val="single" w:sz="4" w:space="0" w:color="000000"/>
              <w:bottom w:val="single" w:sz="4" w:space="0" w:color="000000"/>
              <w:right w:val="single" w:sz="4" w:space="0" w:color="000000"/>
            </w:tcBorders>
            <w:vAlign w:val="center"/>
          </w:tcPr>
          <w:p w14:paraId="0B3540D5" w14:textId="77777777" w:rsidR="00C930E1" w:rsidRPr="00F24057" w:rsidRDefault="00C930E1" w:rsidP="00D70B34">
            <w:pPr>
              <w:jc w:val="center"/>
              <w:rPr>
                <w:szCs w:val="22"/>
                <w:lang w:val="sr-Latn-ME"/>
              </w:rPr>
            </w:pPr>
            <w:r w:rsidRPr="00F24057">
              <w:rPr>
                <w:szCs w:val="22"/>
                <w:lang w:val="sr-Latn-ME"/>
              </w:rPr>
              <w:t>69,7%</w:t>
            </w:r>
          </w:p>
        </w:tc>
        <w:tc>
          <w:tcPr>
            <w:tcW w:w="1425" w:type="pct"/>
            <w:tcBorders>
              <w:top w:val="single" w:sz="4" w:space="0" w:color="000000"/>
              <w:left w:val="single" w:sz="4" w:space="0" w:color="000000"/>
              <w:bottom w:val="single" w:sz="4" w:space="0" w:color="000000"/>
              <w:right w:val="single" w:sz="4" w:space="0" w:color="000000"/>
            </w:tcBorders>
            <w:vAlign w:val="center"/>
          </w:tcPr>
          <w:p w14:paraId="1504F449" w14:textId="77777777" w:rsidR="00C930E1" w:rsidRPr="00F24057" w:rsidRDefault="00C930E1" w:rsidP="00D70B34">
            <w:pPr>
              <w:jc w:val="center"/>
              <w:rPr>
                <w:szCs w:val="22"/>
                <w:lang w:val="sr-Latn-ME"/>
              </w:rPr>
            </w:pPr>
            <w:r w:rsidRPr="00F24057">
              <w:rPr>
                <w:szCs w:val="22"/>
                <w:lang w:val="sr-Latn-ME"/>
              </w:rPr>
              <w:t>60,5%</w:t>
            </w:r>
          </w:p>
        </w:tc>
        <w:tc>
          <w:tcPr>
            <w:tcW w:w="715" w:type="pct"/>
            <w:tcBorders>
              <w:top w:val="single" w:sz="4" w:space="0" w:color="000000"/>
              <w:left w:val="single" w:sz="4" w:space="0" w:color="000000"/>
              <w:bottom w:val="single" w:sz="4" w:space="0" w:color="000000"/>
              <w:right w:val="single" w:sz="4" w:space="0" w:color="000000"/>
            </w:tcBorders>
            <w:vAlign w:val="center"/>
          </w:tcPr>
          <w:p w14:paraId="7A1C643D" w14:textId="77777777" w:rsidR="00C930E1" w:rsidRPr="00F24057" w:rsidRDefault="00C930E1" w:rsidP="00D70B34">
            <w:pPr>
              <w:jc w:val="center"/>
              <w:rPr>
                <w:szCs w:val="22"/>
                <w:lang w:val="sr-Latn-ME"/>
              </w:rPr>
            </w:pPr>
            <w:r w:rsidRPr="00F24057">
              <w:rPr>
                <w:szCs w:val="22"/>
                <w:lang w:val="sr-Latn-ME"/>
              </w:rPr>
              <w:t>0,420</w:t>
            </w:r>
          </w:p>
        </w:tc>
      </w:tr>
      <w:tr w:rsidR="00C930E1" w:rsidRPr="00F24057" w14:paraId="76C2F19D"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tcPr>
          <w:p w14:paraId="2F2347F2" w14:textId="77777777" w:rsidR="00C930E1" w:rsidRPr="00F24057" w:rsidRDefault="00C930E1" w:rsidP="00D70B34">
            <w:pPr>
              <w:rPr>
                <w:szCs w:val="22"/>
                <w:lang w:val="sr-Latn-ME"/>
              </w:rPr>
            </w:pPr>
            <w:r w:rsidRPr="00F24057">
              <w:rPr>
                <w:b/>
                <w:szCs w:val="22"/>
                <w:lang w:val="sr-Latn-ME"/>
              </w:rPr>
              <w:t>Prekid imunomodulatora</w:t>
            </w:r>
            <w:r w:rsidRPr="00F24057">
              <w:rPr>
                <w:b/>
                <w:szCs w:val="22"/>
                <w:vertAlign w:val="superscript"/>
                <w:lang w:val="sr-Latn-ME"/>
              </w:rPr>
              <w:t>2</w:t>
            </w:r>
          </w:p>
        </w:tc>
        <w:tc>
          <w:tcPr>
            <w:tcW w:w="1425" w:type="pct"/>
            <w:tcBorders>
              <w:top w:val="single" w:sz="4" w:space="0" w:color="000000"/>
              <w:left w:val="single" w:sz="4" w:space="0" w:color="000000"/>
              <w:bottom w:val="single" w:sz="4" w:space="0" w:color="000000"/>
              <w:right w:val="single" w:sz="4" w:space="0" w:color="000000"/>
            </w:tcBorders>
            <w:vAlign w:val="center"/>
          </w:tcPr>
          <w:p w14:paraId="778BD7E4" w14:textId="77777777" w:rsidR="00C930E1" w:rsidRPr="00F24057" w:rsidRDefault="00C930E1" w:rsidP="00D70B34">
            <w:pPr>
              <w:jc w:val="center"/>
              <w:rPr>
                <w:szCs w:val="22"/>
                <w:lang w:val="sr-Latn-ME"/>
              </w:rPr>
            </w:pPr>
            <w:r w:rsidRPr="00F24057">
              <w:rPr>
                <w:b/>
                <w:szCs w:val="22"/>
                <w:lang w:val="sr-Latn-ME"/>
              </w:rPr>
              <w:t>N=60</w:t>
            </w:r>
          </w:p>
        </w:tc>
        <w:tc>
          <w:tcPr>
            <w:tcW w:w="1425" w:type="pct"/>
            <w:tcBorders>
              <w:top w:val="single" w:sz="4" w:space="0" w:color="000000"/>
              <w:left w:val="single" w:sz="4" w:space="0" w:color="000000"/>
              <w:bottom w:val="single" w:sz="4" w:space="0" w:color="000000"/>
              <w:right w:val="single" w:sz="4" w:space="0" w:color="000000"/>
            </w:tcBorders>
            <w:vAlign w:val="center"/>
          </w:tcPr>
          <w:p w14:paraId="4AE642E2" w14:textId="77777777" w:rsidR="00C930E1" w:rsidRPr="00F24057" w:rsidRDefault="00C930E1" w:rsidP="00D70B34">
            <w:pPr>
              <w:jc w:val="center"/>
              <w:rPr>
                <w:szCs w:val="22"/>
                <w:lang w:val="sr-Latn-ME"/>
              </w:rPr>
            </w:pPr>
            <w:r w:rsidRPr="00F24057">
              <w:rPr>
                <w:b/>
                <w:szCs w:val="22"/>
                <w:lang w:val="sr-Latn-ME"/>
              </w:rPr>
              <w:t>N=57</w:t>
            </w:r>
          </w:p>
        </w:tc>
        <w:tc>
          <w:tcPr>
            <w:tcW w:w="715" w:type="pct"/>
            <w:tcBorders>
              <w:top w:val="single" w:sz="4" w:space="0" w:color="000000"/>
              <w:left w:val="single" w:sz="4" w:space="0" w:color="000000"/>
              <w:bottom w:val="single" w:sz="4" w:space="0" w:color="000000"/>
              <w:right w:val="single" w:sz="4" w:space="0" w:color="000000"/>
            </w:tcBorders>
            <w:vAlign w:val="center"/>
          </w:tcPr>
          <w:p w14:paraId="7EA0B815" w14:textId="77777777" w:rsidR="00C930E1" w:rsidRPr="00F24057" w:rsidRDefault="00C930E1" w:rsidP="00D70B34">
            <w:pPr>
              <w:jc w:val="center"/>
              <w:rPr>
                <w:szCs w:val="22"/>
                <w:lang w:val="sr-Latn-ME"/>
              </w:rPr>
            </w:pPr>
          </w:p>
        </w:tc>
      </w:tr>
      <w:tr w:rsidR="00C930E1" w:rsidRPr="00F24057" w14:paraId="083F15A7"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tcPr>
          <w:p w14:paraId="2FBC1B22" w14:textId="63A7C926" w:rsidR="00C930E1" w:rsidRPr="00F24057" w:rsidRDefault="00C930E1" w:rsidP="00D70B34">
            <w:pPr>
              <w:rPr>
                <w:szCs w:val="22"/>
                <w:lang w:val="sr-Latn-ME"/>
              </w:rPr>
            </w:pPr>
            <w:r w:rsidRPr="00F24057">
              <w:rPr>
                <w:szCs w:val="22"/>
                <w:lang w:val="sr-Latn-ME"/>
              </w:rPr>
              <w:t xml:space="preserve">52. </w:t>
            </w:r>
            <w:r w:rsidR="00885A78" w:rsidRPr="00F24057">
              <w:rPr>
                <w:szCs w:val="22"/>
                <w:lang w:val="sr-Latn-ME"/>
              </w:rPr>
              <w:t>nedjelj</w:t>
            </w:r>
            <w:r w:rsidRPr="00F24057">
              <w:rPr>
                <w:szCs w:val="22"/>
                <w:lang w:val="sr-Latn-ME"/>
              </w:rPr>
              <w:t>a</w:t>
            </w:r>
          </w:p>
        </w:tc>
        <w:tc>
          <w:tcPr>
            <w:tcW w:w="1425" w:type="pct"/>
            <w:tcBorders>
              <w:top w:val="single" w:sz="4" w:space="0" w:color="000000"/>
              <w:left w:val="single" w:sz="4" w:space="0" w:color="000000"/>
              <w:bottom w:val="single" w:sz="4" w:space="0" w:color="000000"/>
              <w:right w:val="single" w:sz="4" w:space="0" w:color="000000"/>
            </w:tcBorders>
            <w:vAlign w:val="center"/>
          </w:tcPr>
          <w:p w14:paraId="5E69AE02" w14:textId="77777777" w:rsidR="00C930E1" w:rsidRPr="00F24057" w:rsidRDefault="00C930E1" w:rsidP="00D70B34">
            <w:pPr>
              <w:jc w:val="center"/>
              <w:rPr>
                <w:szCs w:val="22"/>
                <w:lang w:val="sr-Latn-ME"/>
              </w:rPr>
            </w:pPr>
            <w:r w:rsidRPr="00F24057">
              <w:rPr>
                <w:szCs w:val="22"/>
                <w:lang w:val="sr-Latn-ME"/>
              </w:rPr>
              <w:t>30,0%</w:t>
            </w:r>
          </w:p>
        </w:tc>
        <w:tc>
          <w:tcPr>
            <w:tcW w:w="1425" w:type="pct"/>
            <w:tcBorders>
              <w:top w:val="single" w:sz="4" w:space="0" w:color="000000"/>
              <w:left w:val="single" w:sz="4" w:space="0" w:color="000000"/>
              <w:bottom w:val="single" w:sz="4" w:space="0" w:color="000000"/>
              <w:right w:val="single" w:sz="4" w:space="0" w:color="000000"/>
            </w:tcBorders>
            <w:vAlign w:val="center"/>
          </w:tcPr>
          <w:p w14:paraId="17456795" w14:textId="77777777" w:rsidR="00C930E1" w:rsidRPr="00F24057" w:rsidRDefault="00C930E1" w:rsidP="00D70B34">
            <w:pPr>
              <w:jc w:val="center"/>
              <w:rPr>
                <w:szCs w:val="22"/>
                <w:lang w:val="sr-Latn-ME"/>
              </w:rPr>
            </w:pPr>
            <w:r w:rsidRPr="00F24057">
              <w:rPr>
                <w:szCs w:val="22"/>
                <w:lang w:val="sr-Latn-ME"/>
              </w:rPr>
              <w:t>29,8%</w:t>
            </w:r>
          </w:p>
        </w:tc>
        <w:tc>
          <w:tcPr>
            <w:tcW w:w="715" w:type="pct"/>
            <w:tcBorders>
              <w:top w:val="single" w:sz="4" w:space="0" w:color="000000"/>
              <w:left w:val="single" w:sz="4" w:space="0" w:color="000000"/>
              <w:bottom w:val="single" w:sz="4" w:space="0" w:color="000000"/>
              <w:right w:val="single" w:sz="4" w:space="0" w:color="000000"/>
            </w:tcBorders>
            <w:vAlign w:val="center"/>
          </w:tcPr>
          <w:p w14:paraId="5CA38556" w14:textId="77777777" w:rsidR="00C930E1" w:rsidRPr="00F24057" w:rsidRDefault="00C930E1" w:rsidP="00D70B34">
            <w:pPr>
              <w:jc w:val="center"/>
              <w:rPr>
                <w:szCs w:val="22"/>
                <w:lang w:val="sr-Latn-ME"/>
              </w:rPr>
            </w:pPr>
            <w:r w:rsidRPr="00F24057">
              <w:rPr>
                <w:szCs w:val="22"/>
                <w:lang w:val="sr-Latn-ME"/>
              </w:rPr>
              <w:t>0,983</w:t>
            </w:r>
          </w:p>
        </w:tc>
      </w:tr>
      <w:tr w:rsidR="00C930E1" w:rsidRPr="00F24057" w14:paraId="223EA3C8"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tcPr>
          <w:p w14:paraId="772E603C" w14:textId="77777777" w:rsidR="00C930E1" w:rsidRPr="00F24057" w:rsidRDefault="00C930E1" w:rsidP="00D70B34">
            <w:pPr>
              <w:rPr>
                <w:szCs w:val="22"/>
                <w:lang w:val="sr-Latn-ME"/>
              </w:rPr>
            </w:pPr>
            <w:r w:rsidRPr="00F24057">
              <w:rPr>
                <w:b/>
                <w:szCs w:val="22"/>
                <w:lang w:val="sr-Latn-ME"/>
              </w:rPr>
              <w:t>Remisija fistula</w:t>
            </w:r>
            <w:r w:rsidRPr="00F24057">
              <w:rPr>
                <w:b/>
                <w:szCs w:val="22"/>
                <w:vertAlign w:val="superscript"/>
                <w:lang w:val="sr-Latn-ME"/>
              </w:rPr>
              <w:t>3</w:t>
            </w:r>
          </w:p>
        </w:tc>
        <w:tc>
          <w:tcPr>
            <w:tcW w:w="1425" w:type="pct"/>
            <w:tcBorders>
              <w:top w:val="single" w:sz="4" w:space="0" w:color="000000"/>
              <w:left w:val="single" w:sz="4" w:space="0" w:color="000000"/>
              <w:bottom w:val="single" w:sz="4" w:space="0" w:color="000000"/>
              <w:right w:val="single" w:sz="4" w:space="0" w:color="000000"/>
            </w:tcBorders>
            <w:vAlign w:val="center"/>
          </w:tcPr>
          <w:p w14:paraId="492EE352" w14:textId="77777777" w:rsidR="00C930E1" w:rsidRPr="00F24057" w:rsidRDefault="00C930E1" w:rsidP="00D70B34">
            <w:pPr>
              <w:jc w:val="center"/>
              <w:rPr>
                <w:szCs w:val="22"/>
                <w:lang w:val="sr-Latn-ME"/>
              </w:rPr>
            </w:pPr>
            <w:r w:rsidRPr="00F24057">
              <w:rPr>
                <w:b/>
                <w:szCs w:val="22"/>
                <w:lang w:val="sr-Latn-ME"/>
              </w:rPr>
              <w:t>N=15</w:t>
            </w:r>
          </w:p>
        </w:tc>
        <w:tc>
          <w:tcPr>
            <w:tcW w:w="1425" w:type="pct"/>
            <w:tcBorders>
              <w:top w:val="single" w:sz="4" w:space="0" w:color="000000"/>
              <w:left w:val="single" w:sz="4" w:space="0" w:color="000000"/>
              <w:bottom w:val="single" w:sz="4" w:space="0" w:color="000000"/>
              <w:right w:val="single" w:sz="4" w:space="0" w:color="000000"/>
            </w:tcBorders>
            <w:vAlign w:val="center"/>
          </w:tcPr>
          <w:p w14:paraId="26D38EA4" w14:textId="77777777" w:rsidR="00C930E1" w:rsidRPr="00F24057" w:rsidRDefault="00C930E1" w:rsidP="00D70B34">
            <w:pPr>
              <w:jc w:val="center"/>
              <w:rPr>
                <w:szCs w:val="22"/>
                <w:lang w:val="sr-Latn-ME"/>
              </w:rPr>
            </w:pPr>
            <w:r w:rsidRPr="00F24057">
              <w:rPr>
                <w:b/>
                <w:szCs w:val="22"/>
                <w:lang w:val="sr-Latn-ME"/>
              </w:rPr>
              <w:t>N=21</w:t>
            </w:r>
          </w:p>
        </w:tc>
        <w:tc>
          <w:tcPr>
            <w:tcW w:w="715" w:type="pct"/>
            <w:tcBorders>
              <w:top w:val="single" w:sz="4" w:space="0" w:color="000000"/>
              <w:left w:val="single" w:sz="4" w:space="0" w:color="000000"/>
              <w:bottom w:val="single" w:sz="4" w:space="0" w:color="000000"/>
              <w:right w:val="single" w:sz="4" w:space="0" w:color="000000"/>
            </w:tcBorders>
            <w:vAlign w:val="center"/>
          </w:tcPr>
          <w:p w14:paraId="1D13F8DB" w14:textId="77777777" w:rsidR="00C930E1" w:rsidRPr="00F24057" w:rsidRDefault="00C930E1" w:rsidP="00D70B34">
            <w:pPr>
              <w:jc w:val="center"/>
              <w:rPr>
                <w:szCs w:val="22"/>
                <w:lang w:val="sr-Latn-ME"/>
              </w:rPr>
            </w:pPr>
          </w:p>
        </w:tc>
      </w:tr>
      <w:tr w:rsidR="00C930E1" w:rsidRPr="00F24057" w14:paraId="05B777FF"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tcPr>
          <w:p w14:paraId="581DE84D" w14:textId="48270A49" w:rsidR="00C930E1" w:rsidRPr="00F24057" w:rsidRDefault="00C930E1" w:rsidP="00D70B34">
            <w:pPr>
              <w:rPr>
                <w:szCs w:val="22"/>
                <w:lang w:val="sr-Latn-ME"/>
              </w:rPr>
            </w:pPr>
            <w:r w:rsidRPr="00F24057">
              <w:rPr>
                <w:szCs w:val="22"/>
                <w:lang w:val="sr-Latn-ME"/>
              </w:rPr>
              <w:t xml:space="preserve">26. </w:t>
            </w:r>
            <w:r w:rsidR="00885A78" w:rsidRPr="00F24057">
              <w:rPr>
                <w:szCs w:val="22"/>
                <w:lang w:val="sr-Latn-ME"/>
              </w:rPr>
              <w:t>nedjelj</w:t>
            </w:r>
            <w:r w:rsidRPr="00F24057">
              <w:rPr>
                <w:szCs w:val="22"/>
                <w:lang w:val="sr-Latn-ME"/>
              </w:rPr>
              <w:t>a</w:t>
            </w:r>
          </w:p>
        </w:tc>
        <w:tc>
          <w:tcPr>
            <w:tcW w:w="1425" w:type="pct"/>
            <w:tcBorders>
              <w:top w:val="single" w:sz="4" w:space="0" w:color="000000"/>
              <w:left w:val="single" w:sz="4" w:space="0" w:color="000000"/>
              <w:bottom w:val="single" w:sz="4" w:space="0" w:color="000000"/>
              <w:right w:val="single" w:sz="4" w:space="0" w:color="000000"/>
            </w:tcBorders>
            <w:vAlign w:val="center"/>
          </w:tcPr>
          <w:p w14:paraId="0E65B81A" w14:textId="77777777" w:rsidR="00C930E1" w:rsidRPr="00F24057" w:rsidRDefault="00C930E1" w:rsidP="00D70B34">
            <w:pPr>
              <w:jc w:val="center"/>
              <w:rPr>
                <w:szCs w:val="22"/>
                <w:lang w:val="sr-Latn-ME"/>
              </w:rPr>
            </w:pPr>
            <w:r w:rsidRPr="00F24057">
              <w:rPr>
                <w:szCs w:val="22"/>
                <w:lang w:val="sr-Latn-ME"/>
              </w:rPr>
              <w:t>46,7%</w:t>
            </w:r>
          </w:p>
        </w:tc>
        <w:tc>
          <w:tcPr>
            <w:tcW w:w="1425" w:type="pct"/>
            <w:tcBorders>
              <w:top w:val="single" w:sz="4" w:space="0" w:color="000000"/>
              <w:left w:val="single" w:sz="4" w:space="0" w:color="000000"/>
              <w:bottom w:val="single" w:sz="4" w:space="0" w:color="000000"/>
              <w:right w:val="single" w:sz="4" w:space="0" w:color="000000"/>
            </w:tcBorders>
            <w:vAlign w:val="center"/>
          </w:tcPr>
          <w:p w14:paraId="6F548706" w14:textId="77777777" w:rsidR="00C930E1" w:rsidRPr="00F24057" w:rsidRDefault="00C930E1" w:rsidP="00D70B34">
            <w:pPr>
              <w:jc w:val="center"/>
              <w:rPr>
                <w:szCs w:val="22"/>
                <w:lang w:val="sr-Latn-ME"/>
              </w:rPr>
            </w:pPr>
            <w:r w:rsidRPr="00F24057">
              <w:rPr>
                <w:szCs w:val="22"/>
                <w:lang w:val="sr-Latn-ME"/>
              </w:rPr>
              <w:t>38,1%</w:t>
            </w:r>
          </w:p>
        </w:tc>
        <w:tc>
          <w:tcPr>
            <w:tcW w:w="715" w:type="pct"/>
            <w:tcBorders>
              <w:top w:val="single" w:sz="4" w:space="0" w:color="000000"/>
              <w:left w:val="single" w:sz="4" w:space="0" w:color="000000"/>
              <w:bottom w:val="single" w:sz="4" w:space="0" w:color="000000"/>
              <w:right w:val="single" w:sz="4" w:space="0" w:color="000000"/>
            </w:tcBorders>
            <w:vAlign w:val="center"/>
          </w:tcPr>
          <w:p w14:paraId="18CCD942" w14:textId="77777777" w:rsidR="00C930E1" w:rsidRPr="00F24057" w:rsidRDefault="00C930E1" w:rsidP="00D70B34">
            <w:pPr>
              <w:jc w:val="center"/>
              <w:rPr>
                <w:szCs w:val="22"/>
                <w:lang w:val="sr-Latn-ME"/>
              </w:rPr>
            </w:pPr>
            <w:r w:rsidRPr="00F24057">
              <w:rPr>
                <w:szCs w:val="22"/>
                <w:lang w:val="sr-Latn-ME"/>
              </w:rPr>
              <w:t>0,608</w:t>
            </w:r>
          </w:p>
        </w:tc>
      </w:tr>
      <w:tr w:rsidR="00C930E1" w:rsidRPr="00F24057" w14:paraId="142CCBFD" w14:textId="77777777" w:rsidTr="005C22ED">
        <w:trPr>
          <w:trHeight w:val="20"/>
        </w:trPr>
        <w:tc>
          <w:tcPr>
            <w:tcW w:w="1434" w:type="pct"/>
            <w:tcBorders>
              <w:top w:val="single" w:sz="4" w:space="0" w:color="000000"/>
              <w:left w:val="single" w:sz="4" w:space="0" w:color="000000"/>
              <w:bottom w:val="single" w:sz="4" w:space="0" w:color="000000"/>
              <w:right w:val="single" w:sz="4" w:space="0" w:color="000000"/>
            </w:tcBorders>
          </w:tcPr>
          <w:p w14:paraId="6A831BE5" w14:textId="676DF1FE" w:rsidR="00C930E1" w:rsidRPr="00F24057" w:rsidRDefault="00C930E1" w:rsidP="00D70B34">
            <w:pPr>
              <w:rPr>
                <w:szCs w:val="22"/>
                <w:lang w:val="sr-Latn-ME"/>
              </w:rPr>
            </w:pPr>
            <w:r w:rsidRPr="00F24057">
              <w:rPr>
                <w:szCs w:val="22"/>
                <w:lang w:val="sr-Latn-ME"/>
              </w:rPr>
              <w:t xml:space="preserve">52. </w:t>
            </w:r>
            <w:r w:rsidR="00885A78" w:rsidRPr="00F24057">
              <w:rPr>
                <w:szCs w:val="22"/>
                <w:lang w:val="sr-Latn-ME"/>
              </w:rPr>
              <w:t>nedjelj</w:t>
            </w:r>
            <w:r w:rsidRPr="00F24057">
              <w:rPr>
                <w:szCs w:val="22"/>
                <w:lang w:val="sr-Latn-ME"/>
              </w:rPr>
              <w:t>a</w:t>
            </w:r>
          </w:p>
        </w:tc>
        <w:tc>
          <w:tcPr>
            <w:tcW w:w="1425" w:type="pct"/>
            <w:tcBorders>
              <w:top w:val="single" w:sz="4" w:space="0" w:color="000000"/>
              <w:left w:val="single" w:sz="4" w:space="0" w:color="000000"/>
              <w:bottom w:val="single" w:sz="4" w:space="0" w:color="000000"/>
              <w:right w:val="single" w:sz="4" w:space="0" w:color="000000"/>
            </w:tcBorders>
            <w:vAlign w:val="center"/>
          </w:tcPr>
          <w:p w14:paraId="42D20B1D" w14:textId="77777777" w:rsidR="00C930E1" w:rsidRPr="00F24057" w:rsidRDefault="00C930E1" w:rsidP="00D70B34">
            <w:pPr>
              <w:jc w:val="center"/>
              <w:rPr>
                <w:szCs w:val="22"/>
                <w:lang w:val="sr-Latn-ME"/>
              </w:rPr>
            </w:pPr>
            <w:r w:rsidRPr="00F24057">
              <w:rPr>
                <w:szCs w:val="22"/>
                <w:lang w:val="sr-Latn-ME"/>
              </w:rPr>
              <w:t>40,0%</w:t>
            </w:r>
          </w:p>
        </w:tc>
        <w:tc>
          <w:tcPr>
            <w:tcW w:w="1425" w:type="pct"/>
            <w:tcBorders>
              <w:top w:val="single" w:sz="4" w:space="0" w:color="000000"/>
              <w:left w:val="single" w:sz="4" w:space="0" w:color="000000"/>
              <w:bottom w:val="single" w:sz="4" w:space="0" w:color="000000"/>
              <w:right w:val="single" w:sz="4" w:space="0" w:color="000000"/>
            </w:tcBorders>
            <w:vAlign w:val="center"/>
          </w:tcPr>
          <w:p w14:paraId="0F013918" w14:textId="77777777" w:rsidR="00C930E1" w:rsidRPr="00F24057" w:rsidRDefault="00C930E1" w:rsidP="00D70B34">
            <w:pPr>
              <w:jc w:val="center"/>
              <w:rPr>
                <w:szCs w:val="22"/>
                <w:lang w:val="sr-Latn-ME"/>
              </w:rPr>
            </w:pPr>
            <w:r w:rsidRPr="00F24057">
              <w:rPr>
                <w:szCs w:val="22"/>
                <w:lang w:val="sr-Latn-ME"/>
              </w:rPr>
              <w:t>23,8%</w:t>
            </w:r>
          </w:p>
        </w:tc>
        <w:tc>
          <w:tcPr>
            <w:tcW w:w="715" w:type="pct"/>
            <w:tcBorders>
              <w:top w:val="single" w:sz="4" w:space="0" w:color="000000"/>
              <w:left w:val="single" w:sz="4" w:space="0" w:color="000000"/>
              <w:bottom w:val="single" w:sz="4" w:space="0" w:color="000000"/>
              <w:right w:val="single" w:sz="4" w:space="0" w:color="000000"/>
            </w:tcBorders>
            <w:vAlign w:val="center"/>
          </w:tcPr>
          <w:p w14:paraId="3CF8143A" w14:textId="77777777" w:rsidR="00C930E1" w:rsidRPr="00F24057" w:rsidRDefault="00C930E1" w:rsidP="00D70B34">
            <w:pPr>
              <w:jc w:val="center"/>
              <w:rPr>
                <w:szCs w:val="22"/>
                <w:lang w:val="sr-Latn-ME"/>
              </w:rPr>
            </w:pPr>
            <w:r w:rsidRPr="00F24057">
              <w:rPr>
                <w:szCs w:val="22"/>
                <w:lang w:val="sr-Latn-ME"/>
              </w:rPr>
              <w:t>0,303</w:t>
            </w:r>
          </w:p>
        </w:tc>
      </w:tr>
    </w:tbl>
    <w:p w14:paraId="159A775D" w14:textId="236F82F2" w:rsidR="00C930E1" w:rsidRPr="00F24057" w:rsidRDefault="00C930E1" w:rsidP="00D70B34">
      <w:pPr>
        <w:rPr>
          <w:szCs w:val="22"/>
          <w:lang w:val="sr-Latn-ME"/>
        </w:rPr>
      </w:pPr>
      <w:r w:rsidRPr="00F24057">
        <w:rPr>
          <w:szCs w:val="22"/>
          <w:lang w:val="sr-Latn-ME"/>
        </w:rPr>
        <w:t>¹</w:t>
      </w:r>
      <w:r w:rsidR="00A86BF3" w:rsidRPr="00F24057">
        <w:rPr>
          <w:szCs w:val="22"/>
          <w:lang w:val="sr-Latn-ME"/>
        </w:rPr>
        <w:t xml:space="preserve"> </w:t>
      </w:r>
      <w:r w:rsidRPr="00F24057">
        <w:rPr>
          <w:szCs w:val="22"/>
          <w:lang w:val="sr-Latn-ME"/>
        </w:rPr>
        <w:t xml:space="preserve">p </w:t>
      </w:r>
      <w:r w:rsidR="00972894" w:rsidRPr="00F24057">
        <w:rPr>
          <w:szCs w:val="22"/>
          <w:lang w:val="sr-Latn-ME"/>
        </w:rPr>
        <w:t>vrijedno</w:t>
      </w:r>
      <w:r w:rsidRPr="00F24057">
        <w:rPr>
          <w:szCs w:val="22"/>
          <w:lang w:val="sr-Latn-ME"/>
        </w:rPr>
        <w:t xml:space="preserve">st za standardnu dozu u odnosu na nisku dozu </w:t>
      </w:r>
    </w:p>
    <w:p w14:paraId="61E1E514" w14:textId="745F79A2" w:rsidR="00C930E1" w:rsidRPr="00F24057" w:rsidRDefault="00C930E1" w:rsidP="00D70B34">
      <w:pPr>
        <w:rPr>
          <w:szCs w:val="22"/>
          <w:lang w:val="sr-Latn-ME"/>
        </w:rPr>
      </w:pPr>
      <w:r w:rsidRPr="00F24057">
        <w:rPr>
          <w:szCs w:val="22"/>
          <w:lang w:val="sr-Latn-ME"/>
        </w:rPr>
        <w:t>²</w:t>
      </w:r>
      <w:r w:rsidR="00A86BF3" w:rsidRPr="00F24057">
        <w:rPr>
          <w:szCs w:val="22"/>
          <w:lang w:val="sr-Latn-ME"/>
        </w:rPr>
        <w:t xml:space="preserve"> </w:t>
      </w:r>
      <w:r w:rsidRPr="00F24057">
        <w:rPr>
          <w:szCs w:val="22"/>
          <w:lang w:val="sr-Latn-ME"/>
        </w:rPr>
        <w:t xml:space="preserve">imunosupresivna terapija mogla je biti prekinuta samo u 26. </w:t>
      </w:r>
      <w:r w:rsidR="00885A78" w:rsidRPr="00F24057">
        <w:rPr>
          <w:szCs w:val="22"/>
          <w:lang w:val="sr-Latn-ME"/>
        </w:rPr>
        <w:t>nedjelj</w:t>
      </w:r>
      <w:r w:rsidRPr="00F24057">
        <w:rPr>
          <w:szCs w:val="22"/>
          <w:lang w:val="sr-Latn-ME"/>
        </w:rPr>
        <w:t xml:space="preserve">i ili nakon 26 </w:t>
      </w:r>
      <w:r w:rsidR="00885A78" w:rsidRPr="00F24057">
        <w:rPr>
          <w:szCs w:val="22"/>
          <w:lang w:val="sr-Latn-ME"/>
        </w:rPr>
        <w:t>nedjelj</w:t>
      </w:r>
      <w:r w:rsidRPr="00F24057">
        <w:rPr>
          <w:szCs w:val="22"/>
          <w:lang w:val="sr-Latn-ME"/>
        </w:rPr>
        <w:t>e ukoliko je kod ispitanika ispunjen kriterijum za klinički odgovor</w:t>
      </w:r>
    </w:p>
    <w:p w14:paraId="321E163F" w14:textId="7C75D576" w:rsidR="00C930E1" w:rsidRPr="00F24057" w:rsidRDefault="00C930E1" w:rsidP="00D70B34">
      <w:pPr>
        <w:rPr>
          <w:szCs w:val="22"/>
          <w:lang w:val="sr-Latn-ME"/>
        </w:rPr>
      </w:pPr>
      <w:r w:rsidRPr="00F24057">
        <w:rPr>
          <w:szCs w:val="22"/>
          <w:lang w:val="sr-Latn-ME"/>
        </w:rPr>
        <w:t>³</w:t>
      </w:r>
      <w:r w:rsidR="00A86BF3" w:rsidRPr="00F24057">
        <w:rPr>
          <w:szCs w:val="22"/>
          <w:lang w:val="sr-Latn-ME"/>
        </w:rPr>
        <w:t xml:space="preserve"> </w:t>
      </w:r>
      <w:r w:rsidRPr="00F24057">
        <w:rPr>
          <w:szCs w:val="22"/>
          <w:lang w:val="sr-Latn-ME"/>
        </w:rPr>
        <w:t xml:space="preserve">definisana kao zatvaranje svih fistula koje su bile drenirane na početku studije, tokom najmanje 2 uzastopne </w:t>
      </w:r>
      <w:r w:rsidR="009A1A7F" w:rsidRPr="00F24057">
        <w:rPr>
          <w:szCs w:val="22"/>
          <w:lang w:val="sr-Latn-ME"/>
        </w:rPr>
        <w:t>posjete</w:t>
      </w:r>
      <w:r w:rsidRPr="00F24057">
        <w:rPr>
          <w:szCs w:val="22"/>
          <w:lang w:val="sr-Latn-ME"/>
        </w:rPr>
        <w:t xml:space="preserve"> nakon početka </w:t>
      </w:r>
      <w:r w:rsidR="00885A78" w:rsidRPr="00F24057">
        <w:rPr>
          <w:szCs w:val="22"/>
          <w:lang w:val="sr-Latn-ME"/>
        </w:rPr>
        <w:t>liječenj</w:t>
      </w:r>
      <w:r w:rsidRPr="00F24057">
        <w:rPr>
          <w:szCs w:val="22"/>
          <w:lang w:val="sr-Latn-ME"/>
        </w:rPr>
        <w:t>a</w:t>
      </w:r>
    </w:p>
    <w:p w14:paraId="4D06BEA3" w14:textId="16CC49C3" w:rsidR="00630465" w:rsidRPr="00F24057" w:rsidRDefault="00630465" w:rsidP="00D70B34">
      <w:pPr>
        <w:rPr>
          <w:szCs w:val="22"/>
          <w:lang w:val="sr-Latn-ME"/>
        </w:rPr>
      </w:pPr>
    </w:p>
    <w:p w14:paraId="6B1DAA5F" w14:textId="16F4A0BD" w:rsidR="00D85D2F" w:rsidRPr="00F24057" w:rsidRDefault="00D85D2F" w:rsidP="00D70B34">
      <w:pPr>
        <w:rPr>
          <w:szCs w:val="22"/>
          <w:lang w:val="sr-Latn-ME"/>
        </w:rPr>
      </w:pPr>
      <w:r w:rsidRPr="00F24057">
        <w:rPr>
          <w:szCs w:val="22"/>
          <w:lang w:val="sr-Latn-ME"/>
        </w:rPr>
        <w:t xml:space="preserve">Statistički značajno povećanje (poboljšanje) indeksa </w:t>
      </w:r>
      <w:r w:rsidR="007E5568" w:rsidRPr="00F24057">
        <w:rPr>
          <w:szCs w:val="22"/>
          <w:lang w:val="sr-Latn-ME"/>
        </w:rPr>
        <w:t>tjeles</w:t>
      </w:r>
      <w:r w:rsidRPr="00F24057">
        <w:rPr>
          <w:szCs w:val="22"/>
          <w:lang w:val="sr-Latn-ME"/>
        </w:rPr>
        <w:t xml:space="preserve">ne mase i rasta, u odnosu na početne </w:t>
      </w:r>
      <w:r w:rsidR="00972894" w:rsidRPr="00F24057">
        <w:rPr>
          <w:szCs w:val="22"/>
          <w:lang w:val="sr-Latn-ME"/>
        </w:rPr>
        <w:t>vrijedno</w:t>
      </w:r>
      <w:r w:rsidRPr="00F24057">
        <w:rPr>
          <w:szCs w:val="22"/>
          <w:lang w:val="sr-Latn-ME"/>
        </w:rPr>
        <w:t xml:space="preserve">sti, uočeno je u </w:t>
      </w:r>
      <w:r w:rsidR="00671751" w:rsidRPr="00F24057">
        <w:rPr>
          <w:szCs w:val="22"/>
          <w:lang w:val="sr-Latn-ME"/>
        </w:rPr>
        <w:t>obije</w:t>
      </w:r>
      <w:r w:rsidRPr="00F24057">
        <w:rPr>
          <w:szCs w:val="22"/>
          <w:lang w:val="sr-Latn-ME"/>
        </w:rPr>
        <w:t xml:space="preserve"> grupe ispitanika, u 26. </w:t>
      </w:r>
      <w:r w:rsidR="00885A78" w:rsidRPr="00F24057">
        <w:rPr>
          <w:szCs w:val="22"/>
          <w:lang w:val="sr-Latn-ME"/>
        </w:rPr>
        <w:t>nedjelj</w:t>
      </w:r>
      <w:r w:rsidRPr="00F24057">
        <w:rPr>
          <w:szCs w:val="22"/>
          <w:lang w:val="sr-Latn-ME"/>
        </w:rPr>
        <w:t xml:space="preserve">i i u 52. </w:t>
      </w:r>
      <w:r w:rsidR="00885A78" w:rsidRPr="00F24057">
        <w:rPr>
          <w:szCs w:val="22"/>
          <w:lang w:val="sr-Latn-ME"/>
        </w:rPr>
        <w:t>nedjelj</w:t>
      </w:r>
      <w:r w:rsidRPr="00F24057">
        <w:rPr>
          <w:szCs w:val="22"/>
          <w:lang w:val="sr-Latn-ME"/>
        </w:rPr>
        <w:t>i.</w:t>
      </w:r>
    </w:p>
    <w:p w14:paraId="7ABEF443" w14:textId="77777777" w:rsidR="00D85D2F" w:rsidRPr="00F24057" w:rsidRDefault="00D85D2F" w:rsidP="00D70B34">
      <w:pPr>
        <w:rPr>
          <w:szCs w:val="22"/>
          <w:lang w:val="sr-Latn-ME"/>
        </w:rPr>
      </w:pPr>
    </w:p>
    <w:p w14:paraId="6C1DE84F" w14:textId="0EF52B10" w:rsidR="00D85D2F" w:rsidRPr="00F24057" w:rsidRDefault="00D85D2F" w:rsidP="00D70B34">
      <w:pPr>
        <w:rPr>
          <w:szCs w:val="22"/>
          <w:lang w:val="sr-Latn-ME"/>
        </w:rPr>
      </w:pPr>
      <w:r w:rsidRPr="00F24057">
        <w:rPr>
          <w:szCs w:val="22"/>
          <w:lang w:val="sr-Latn-ME"/>
        </w:rPr>
        <w:t xml:space="preserve">Statistički i klinički značajno poboljšanje parametara kvaliteta života (uključujući IMPACT III), u odnosu na početne </w:t>
      </w:r>
      <w:r w:rsidR="00972894" w:rsidRPr="00F24057">
        <w:rPr>
          <w:szCs w:val="22"/>
          <w:lang w:val="sr-Latn-ME"/>
        </w:rPr>
        <w:t>vrijedno</w:t>
      </w:r>
      <w:r w:rsidRPr="00F24057">
        <w:rPr>
          <w:szCs w:val="22"/>
          <w:lang w:val="sr-Latn-ME"/>
        </w:rPr>
        <w:t xml:space="preserve">sti, takođe je </w:t>
      </w:r>
      <w:r w:rsidR="00CB199C" w:rsidRPr="00F24057">
        <w:rPr>
          <w:szCs w:val="22"/>
          <w:lang w:val="sr-Latn-ME"/>
        </w:rPr>
        <w:t>primijećeno</w:t>
      </w:r>
      <w:r w:rsidRPr="00F24057">
        <w:rPr>
          <w:szCs w:val="22"/>
          <w:lang w:val="sr-Latn-ME"/>
        </w:rPr>
        <w:t xml:space="preserve"> u </w:t>
      </w:r>
      <w:r w:rsidR="00671751" w:rsidRPr="00F24057">
        <w:rPr>
          <w:szCs w:val="22"/>
          <w:lang w:val="sr-Latn-ME"/>
        </w:rPr>
        <w:t>obije</w:t>
      </w:r>
      <w:r w:rsidRPr="00F24057">
        <w:rPr>
          <w:szCs w:val="22"/>
          <w:lang w:val="sr-Latn-ME"/>
        </w:rPr>
        <w:t xml:space="preserve"> ispitivane grupe pacijenata. </w:t>
      </w:r>
    </w:p>
    <w:p w14:paraId="4507F111" w14:textId="77777777" w:rsidR="00D85D2F" w:rsidRPr="00F24057" w:rsidRDefault="00D85D2F" w:rsidP="00D70B34">
      <w:pPr>
        <w:rPr>
          <w:szCs w:val="22"/>
          <w:lang w:val="sr-Latn-ME"/>
        </w:rPr>
      </w:pPr>
    </w:p>
    <w:p w14:paraId="52660AD2" w14:textId="5282F81E" w:rsidR="00D85D2F" w:rsidRPr="00F24057" w:rsidRDefault="00D85D2F" w:rsidP="00D70B34">
      <w:pPr>
        <w:rPr>
          <w:szCs w:val="22"/>
          <w:lang w:val="sr-Latn-ME"/>
        </w:rPr>
      </w:pPr>
      <w:r w:rsidRPr="00F24057">
        <w:rPr>
          <w:szCs w:val="22"/>
          <w:lang w:val="sr-Latn-ME"/>
        </w:rPr>
        <w:t xml:space="preserve">Sto pacijenata (n=100) iz ispitivanja pedijatrijskih pacijenata sa </w:t>
      </w:r>
      <w:r w:rsidR="00DA2306" w:rsidRPr="00F24057">
        <w:rPr>
          <w:i/>
          <w:iCs/>
          <w:szCs w:val="22"/>
          <w:lang w:val="sr-Latn-ME"/>
        </w:rPr>
        <w:t>Crohn</w:t>
      </w:r>
      <w:r w:rsidRPr="00F24057">
        <w:rPr>
          <w:szCs w:val="22"/>
          <w:lang w:val="sr-Latn-ME"/>
        </w:rPr>
        <w:t xml:space="preserve">-ovom bolešću (engl. </w:t>
      </w:r>
      <w:r w:rsidRPr="00F24057">
        <w:rPr>
          <w:i/>
          <w:szCs w:val="22"/>
          <w:lang w:val="sr-Latn-ME"/>
        </w:rPr>
        <w:t>Paediatric CD Study</w:t>
      </w:r>
      <w:r w:rsidRPr="00F24057">
        <w:rPr>
          <w:szCs w:val="22"/>
          <w:lang w:val="sr-Latn-ME"/>
        </w:rPr>
        <w:t>) nastavilo je otvoreni dugotrajan produžetak ispitivanja. Nakon 5 godina terapije adalimumabom, 74,0% (37/50) od 50 pacijenata koji su ostali u ispitivanju i dalje je bilo u kliničkoj remisiji dok je 92,0% (46/50) pacijenata nastavilo da ima klinički odgovor prema PCDAI.</w:t>
      </w:r>
    </w:p>
    <w:p w14:paraId="36366973" w14:textId="60782FAD" w:rsidR="00630465" w:rsidRPr="00F24057" w:rsidRDefault="00630465" w:rsidP="00D70B34">
      <w:pPr>
        <w:rPr>
          <w:szCs w:val="22"/>
          <w:lang w:val="sr-Latn-ME"/>
        </w:rPr>
      </w:pPr>
    </w:p>
    <w:p w14:paraId="7DC9E3F3" w14:textId="1F597D82" w:rsidR="00630465" w:rsidRPr="00F24057" w:rsidRDefault="00243B26" w:rsidP="00D70B34">
      <w:pPr>
        <w:rPr>
          <w:i/>
          <w:iCs/>
          <w:szCs w:val="22"/>
          <w:lang w:val="sr-Latn-ME"/>
        </w:rPr>
      </w:pPr>
      <w:r w:rsidRPr="00F24057">
        <w:rPr>
          <w:i/>
          <w:iCs/>
          <w:szCs w:val="22"/>
          <w:lang w:val="sr-Latn-ME"/>
        </w:rPr>
        <w:t xml:space="preserve">Ulcerozni </w:t>
      </w:r>
      <w:r w:rsidR="005906B7" w:rsidRPr="00F24057">
        <w:rPr>
          <w:i/>
          <w:iCs/>
          <w:szCs w:val="22"/>
          <w:lang w:val="sr-Latn-ME"/>
        </w:rPr>
        <w:t>k</w:t>
      </w:r>
      <w:r w:rsidRPr="00F24057">
        <w:rPr>
          <w:i/>
          <w:iCs/>
          <w:szCs w:val="22"/>
          <w:lang w:val="sr-Latn-ME"/>
        </w:rPr>
        <w:t xml:space="preserve">olitis kod </w:t>
      </w:r>
      <w:r w:rsidR="0030064A" w:rsidRPr="00F24057">
        <w:rPr>
          <w:i/>
          <w:iCs/>
          <w:szCs w:val="22"/>
          <w:lang w:val="sr-Latn-ME"/>
        </w:rPr>
        <w:t>djece</w:t>
      </w:r>
    </w:p>
    <w:p w14:paraId="110E82FB" w14:textId="746F568B" w:rsidR="00630465" w:rsidRPr="00F24057" w:rsidRDefault="0030064A" w:rsidP="00D70B34">
      <w:pPr>
        <w:rPr>
          <w:szCs w:val="22"/>
          <w:lang w:val="sr-Latn-ME"/>
        </w:rPr>
      </w:pPr>
      <w:r w:rsidRPr="00F24057">
        <w:rPr>
          <w:szCs w:val="22"/>
          <w:lang w:val="sr-Latn-ME"/>
        </w:rPr>
        <w:t>Bezbjedno</w:t>
      </w:r>
      <w:r w:rsidR="00820978" w:rsidRPr="00F24057">
        <w:rPr>
          <w:szCs w:val="22"/>
          <w:lang w:val="sr-Latn-ME"/>
        </w:rPr>
        <w:t xml:space="preserve">st i efikasnost adalimumaba </w:t>
      </w:r>
      <w:r w:rsidR="00897E85" w:rsidRPr="00F24057">
        <w:rPr>
          <w:szCs w:val="22"/>
          <w:lang w:val="sr-Latn-ME"/>
        </w:rPr>
        <w:t>procijenjen</w:t>
      </w:r>
      <w:r w:rsidR="00820978" w:rsidRPr="00F24057">
        <w:rPr>
          <w:szCs w:val="22"/>
          <w:lang w:val="sr-Latn-ME"/>
        </w:rPr>
        <w:t xml:space="preserve">a je u multicentričnom, randomizovanom, dvostruko </w:t>
      </w:r>
      <w:r w:rsidR="00972894" w:rsidRPr="00F24057">
        <w:rPr>
          <w:szCs w:val="22"/>
          <w:lang w:val="sr-Latn-ME"/>
        </w:rPr>
        <w:t>slijep</w:t>
      </w:r>
      <w:r w:rsidR="00820978" w:rsidRPr="00F24057">
        <w:rPr>
          <w:szCs w:val="22"/>
          <w:lang w:val="sr-Latn-ME"/>
        </w:rPr>
        <w:t xml:space="preserve">om ispitivanju </w:t>
      </w:r>
      <w:r w:rsidR="00A0447D" w:rsidRPr="00F24057">
        <w:rPr>
          <w:szCs w:val="22"/>
          <w:lang w:val="sr-Latn-ME"/>
        </w:rPr>
        <w:t>kod</w:t>
      </w:r>
      <w:r w:rsidR="00820978" w:rsidRPr="00F24057">
        <w:rPr>
          <w:szCs w:val="22"/>
          <w:lang w:val="sr-Latn-ME"/>
        </w:rPr>
        <w:t xml:space="preserve"> 93 pedijatrijsk</w:t>
      </w:r>
      <w:r w:rsidR="00F75F75" w:rsidRPr="00F24057">
        <w:rPr>
          <w:szCs w:val="22"/>
          <w:lang w:val="sr-Latn-ME"/>
        </w:rPr>
        <w:t>ih</w:t>
      </w:r>
      <w:r w:rsidR="00820978" w:rsidRPr="00F24057">
        <w:rPr>
          <w:szCs w:val="22"/>
          <w:lang w:val="sr-Latn-ME"/>
        </w:rPr>
        <w:t xml:space="preserve"> pacijen</w:t>
      </w:r>
      <w:r w:rsidR="00F75F75" w:rsidRPr="00F24057">
        <w:rPr>
          <w:szCs w:val="22"/>
          <w:lang w:val="sr-Latn-ME"/>
        </w:rPr>
        <w:t>a</w:t>
      </w:r>
      <w:r w:rsidR="00820978" w:rsidRPr="00F24057">
        <w:rPr>
          <w:szCs w:val="22"/>
          <w:lang w:val="sr-Latn-ME"/>
        </w:rPr>
        <w:t xml:space="preserve">ta </w:t>
      </w:r>
      <w:r w:rsidR="005D1E5F" w:rsidRPr="00F24057">
        <w:rPr>
          <w:szCs w:val="22"/>
          <w:lang w:val="sr-Latn-ME"/>
        </w:rPr>
        <w:t xml:space="preserve">uzrasta </w:t>
      </w:r>
      <w:r w:rsidR="00820978" w:rsidRPr="00F24057">
        <w:rPr>
          <w:szCs w:val="22"/>
          <w:lang w:val="sr-Latn-ME"/>
        </w:rPr>
        <w:t>od 5 do 17 godina sa u</w:t>
      </w:r>
      <w:r w:rsidRPr="00F24057">
        <w:rPr>
          <w:szCs w:val="22"/>
          <w:lang w:val="sr-Latn-ME"/>
        </w:rPr>
        <w:t>mjeren</w:t>
      </w:r>
      <w:r w:rsidR="00820978" w:rsidRPr="00F24057">
        <w:rPr>
          <w:szCs w:val="22"/>
          <w:lang w:val="sr-Latn-ME"/>
        </w:rPr>
        <w:t>im do teškim ulceroznim kolitisom (</w:t>
      </w:r>
      <w:r w:rsidR="00820978" w:rsidRPr="00F24057">
        <w:rPr>
          <w:i/>
          <w:iCs/>
          <w:szCs w:val="22"/>
          <w:lang w:val="sr-Latn-ME"/>
        </w:rPr>
        <w:t>Ma</w:t>
      </w:r>
      <w:r w:rsidR="00AE4B49" w:rsidRPr="00F24057">
        <w:rPr>
          <w:i/>
          <w:iCs/>
          <w:szCs w:val="22"/>
          <w:lang w:val="sr-Latn-ME"/>
        </w:rPr>
        <w:t>y</w:t>
      </w:r>
      <w:r w:rsidR="00820978" w:rsidRPr="00F24057">
        <w:rPr>
          <w:i/>
          <w:iCs/>
          <w:szCs w:val="22"/>
          <w:lang w:val="sr-Latn-ME"/>
        </w:rPr>
        <w:t>o</w:t>
      </w:r>
      <w:r w:rsidR="00820978" w:rsidRPr="00F24057">
        <w:rPr>
          <w:szCs w:val="22"/>
          <w:lang w:val="sr-Latn-ME"/>
        </w:rPr>
        <w:t xml:space="preserve"> rezultat od 6 do 12 </w:t>
      </w:r>
      <w:r w:rsidR="00D007DA" w:rsidRPr="00F24057">
        <w:rPr>
          <w:szCs w:val="22"/>
          <w:lang w:val="sr-Latn-ME"/>
        </w:rPr>
        <w:t xml:space="preserve">uz </w:t>
      </w:r>
      <w:r w:rsidR="00820978" w:rsidRPr="00F24057">
        <w:rPr>
          <w:szCs w:val="22"/>
          <w:lang w:val="sr-Latn-ME"/>
        </w:rPr>
        <w:t>endoskop</w:t>
      </w:r>
      <w:r w:rsidR="00D007DA" w:rsidRPr="00F24057">
        <w:rPr>
          <w:szCs w:val="22"/>
          <w:lang w:val="sr-Latn-ME"/>
        </w:rPr>
        <w:t>ski podrezultat</w:t>
      </w:r>
      <w:r w:rsidR="00820978" w:rsidRPr="00F24057">
        <w:rPr>
          <w:szCs w:val="22"/>
          <w:lang w:val="sr-Latn-ME"/>
        </w:rPr>
        <w:t xml:space="preserve"> od 2 do 3 poena, potvrđeno centralno očitan</w:t>
      </w:r>
      <w:r w:rsidR="00D007DA" w:rsidRPr="00F24057">
        <w:rPr>
          <w:szCs w:val="22"/>
          <w:lang w:val="sr-Latn-ME"/>
        </w:rPr>
        <w:t>im rezultatima</w:t>
      </w:r>
      <w:r w:rsidR="00820978" w:rsidRPr="00F24057">
        <w:rPr>
          <w:szCs w:val="22"/>
          <w:lang w:val="sr-Latn-ME"/>
        </w:rPr>
        <w:t xml:space="preserve"> endoskopi</w:t>
      </w:r>
      <w:r w:rsidR="00D007DA" w:rsidRPr="00F24057">
        <w:rPr>
          <w:szCs w:val="22"/>
          <w:lang w:val="sr-Latn-ME"/>
        </w:rPr>
        <w:t>je</w:t>
      </w:r>
      <w:r w:rsidR="00820978" w:rsidRPr="00F24057">
        <w:rPr>
          <w:szCs w:val="22"/>
          <w:lang w:val="sr-Latn-ME"/>
        </w:rPr>
        <w:t xml:space="preserve">) koji su imali neadekvatan odgovor ili </w:t>
      </w:r>
      <w:r w:rsidR="004473E9" w:rsidRPr="00F24057">
        <w:rPr>
          <w:szCs w:val="22"/>
          <w:lang w:val="sr-Latn-ME"/>
        </w:rPr>
        <w:t>in</w:t>
      </w:r>
      <w:r w:rsidR="00820978" w:rsidRPr="00F24057">
        <w:rPr>
          <w:szCs w:val="22"/>
          <w:lang w:val="sr-Latn-ME"/>
        </w:rPr>
        <w:t>toleranciju na konvencionalnu terapiju.</w:t>
      </w:r>
      <w:r w:rsidR="00DB5A9D" w:rsidRPr="00F24057">
        <w:rPr>
          <w:szCs w:val="22"/>
          <w:lang w:val="sr-Latn-ME"/>
        </w:rPr>
        <w:t xml:space="preserve"> Oko 16% bolesnika u ispitivanju nije imalo </w:t>
      </w:r>
      <w:r w:rsidR="004F2520" w:rsidRPr="00F24057">
        <w:rPr>
          <w:szCs w:val="22"/>
          <w:lang w:val="sr-Latn-ME"/>
        </w:rPr>
        <w:t>uspje</w:t>
      </w:r>
      <w:r w:rsidR="00DB5A9D" w:rsidRPr="00F24057">
        <w:rPr>
          <w:szCs w:val="22"/>
          <w:lang w:val="sr-Latn-ME"/>
        </w:rPr>
        <w:t xml:space="preserve">ha s prethodnim </w:t>
      </w:r>
      <w:r w:rsidRPr="00F24057">
        <w:rPr>
          <w:szCs w:val="22"/>
          <w:lang w:val="sr-Latn-ME"/>
        </w:rPr>
        <w:t>liječenje</w:t>
      </w:r>
      <w:r w:rsidR="00DB5A9D" w:rsidRPr="00F24057">
        <w:rPr>
          <w:szCs w:val="22"/>
          <w:lang w:val="sr-Latn-ME"/>
        </w:rPr>
        <w:t>m antagonistom TNF-a</w:t>
      </w:r>
      <w:r w:rsidR="00820978" w:rsidRPr="00F24057">
        <w:rPr>
          <w:szCs w:val="22"/>
          <w:lang w:val="sr-Latn-ME"/>
        </w:rPr>
        <w:t xml:space="preserve">. </w:t>
      </w:r>
      <w:r w:rsidR="00C168B4" w:rsidRPr="00F24057">
        <w:rPr>
          <w:szCs w:val="22"/>
          <w:lang w:val="sr-Latn-ME"/>
        </w:rPr>
        <w:t xml:space="preserve">Onim </w:t>
      </w:r>
      <w:r w:rsidR="00FB447D" w:rsidRPr="00F24057">
        <w:rPr>
          <w:szCs w:val="22"/>
          <w:lang w:val="sr-Latn-ME"/>
        </w:rPr>
        <w:t>bolesnicima</w:t>
      </w:r>
      <w:r w:rsidR="00820978" w:rsidRPr="00F24057">
        <w:rPr>
          <w:szCs w:val="22"/>
          <w:lang w:val="sr-Latn-ME"/>
        </w:rPr>
        <w:t xml:space="preserve"> koji su primali kortikosteroide pri u</w:t>
      </w:r>
      <w:r w:rsidR="000E3CFB" w:rsidRPr="00F24057">
        <w:rPr>
          <w:szCs w:val="22"/>
          <w:lang w:val="sr-Latn-ME"/>
        </w:rPr>
        <w:t xml:space="preserve">ključivanju </w:t>
      </w:r>
      <w:r w:rsidR="00E93744" w:rsidRPr="00F24057">
        <w:rPr>
          <w:szCs w:val="22"/>
          <w:lang w:val="sr-Latn-ME"/>
        </w:rPr>
        <w:t xml:space="preserve">u studiju </w:t>
      </w:r>
      <w:r w:rsidR="00820978" w:rsidRPr="00F24057">
        <w:rPr>
          <w:szCs w:val="22"/>
          <w:lang w:val="sr-Latn-ME"/>
        </w:rPr>
        <w:t xml:space="preserve">bilo je dozvoljeno </w:t>
      </w:r>
      <w:r w:rsidR="00FB447D" w:rsidRPr="00F24057">
        <w:rPr>
          <w:szCs w:val="22"/>
          <w:lang w:val="sr-Latn-ME"/>
        </w:rPr>
        <w:t>postepeno</w:t>
      </w:r>
      <w:r w:rsidR="00820978" w:rsidRPr="00F24057">
        <w:rPr>
          <w:szCs w:val="22"/>
          <w:lang w:val="sr-Latn-ME"/>
        </w:rPr>
        <w:t xml:space="preserve"> smanje</w:t>
      </w:r>
      <w:r w:rsidR="00FB447D" w:rsidRPr="00F24057">
        <w:rPr>
          <w:szCs w:val="22"/>
          <w:lang w:val="sr-Latn-ME"/>
        </w:rPr>
        <w:t>nje</w:t>
      </w:r>
      <w:r w:rsidR="00820978" w:rsidRPr="00F24057">
        <w:rPr>
          <w:szCs w:val="22"/>
          <w:lang w:val="sr-Latn-ME"/>
        </w:rPr>
        <w:t xml:space="preserve"> </w:t>
      </w:r>
      <w:r w:rsidR="00FB447D" w:rsidRPr="00F24057">
        <w:rPr>
          <w:szCs w:val="22"/>
          <w:lang w:val="sr-Latn-ME"/>
        </w:rPr>
        <w:t>doze</w:t>
      </w:r>
      <w:r w:rsidR="00820978" w:rsidRPr="00F24057">
        <w:rPr>
          <w:szCs w:val="22"/>
          <w:lang w:val="sr-Latn-ME"/>
        </w:rPr>
        <w:t xml:space="preserve"> kortikosteroid</w:t>
      </w:r>
      <w:r w:rsidR="00FB447D" w:rsidRPr="00F24057">
        <w:rPr>
          <w:szCs w:val="22"/>
          <w:lang w:val="sr-Latn-ME"/>
        </w:rPr>
        <w:t>a</w:t>
      </w:r>
      <w:r w:rsidR="00820978" w:rsidRPr="00F24057">
        <w:rPr>
          <w:szCs w:val="22"/>
          <w:lang w:val="sr-Latn-ME"/>
        </w:rPr>
        <w:t xml:space="preserve"> nakon 4. </w:t>
      </w:r>
      <w:r w:rsidR="00885A78" w:rsidRPr="00F24057">
        <w:rPr>
          <w:szCs w:val="22"/>
          <w:lang w:val="sr-Latn-ME"/>
        </w:rPr>
        <w:t>nedjelj</w:t>
      </w:r>
      <w:r w:rsidR="00820978" w:rsidRPr="00F24057">
        <w:rPr>
          <w:szCs w:val="22"/>
          <w:lang w:val="sr-Latn-ME"/>
        </w:rPr>
        <w:t>e.</w:t>
      </w:r>
    </w:p>
    <w:p w14:paraId="0F23AA9E" w14:textId="39FC34D0" w:rsidR="00630465" w:rsidRPr="00F24057" w:rsidRDefault="00630465" w:rsidP="00D70B34">
      <w:pPr>
        <w:rPr>
          <w:szCs w:val="22"/>
          <w:lang w:val="sr-Latn-ME"/>
        </w:rPr>
      </w:pPr>
    </w:p>
    <w:p w14:paraId="1B82DB18" w14:textId="047E9E6B" w:rsidR="00EF2904" w:rsidRPr="00F24057" w:rsidRDefault="00EF2904" w:rsidP="00D70B34">
      <w:pPr>
        <w:rPr>
          <w:szCs w:val="22"/>
          <w:lang w:val="sr-Latn-ME"/>
        </w:rPr>
      </w:pPr>
      <w:r w:rsidRPr="00F24057">
        <w:rPr>
          <w:szCs w:val="22"/>
          <w:lang w:val="sr-Latn-ME"/>
        </w:rPr>
        <w:t xml:space="preserve">U indukcionom periodu studije, 77 </w:t>
      </w:r>
      <w:r w:rsidR="00FB484D" w:rsidRPr="00F24057">
        <w:rPr>
          <w:szCs w:val="22"/>
          <w:lang w:val="sr-Latn-ME"/>
        </w:rPr>
        <w:t>bolesnika</w:t>
      </w:r>
      <w:r w:rsidRPr="00F24057">
        <w:rPr>
          <w:szCs w:val="22"/>
          <w:lang w:val="sr-Latn-ME"/>
        </w:rPr>
        <w:t xml:space="preserve"> je randomizovano </w:t>
      </w:r>
      <w:r w:rsidR="00DA4A02" w:rsidRPr="00F24057">
        <w:rPr>
          <w:szCs w:val="22"/>
          <w:lang w:val="sr-Latn-ME"/>
        </w:rPr>
        <w:t xml:space="preserve">u odnosu </w:t>
      </w:r>
      <w:r w:rsidRPr="00F24057">
        <w:rPr>
          <w:szCs w:val="22"/>
          <w:lang w:val="sr-Latn-ME"/>
        </w:rPr>
        <w:t xml:space="preserve">3:2 da primaju dvostruko </w:t>
      </w:r>
      <w:r w:rsidR="00972894" w:rsidRPr="00F24057">
        <w:rPr>
          <w:szCs w:val="22"/>
          <w:lang w:val="sr-Latn-ME"/>
        </w:rPr>
        <w:t>slijep</w:t>
      </w:r>
      <w:r w:rsidRPr="00F24057">
        <w:rPr>
          <w:szCs w:val="22"/>
          <w:lang w:val="sr-Latn-ME"/>
        </w:rPr>
        <w:t xml:space="preserve">i tretman adalimumabom </w:t>
      </w:r>
      <w:r w:rsidR="00C85495" w:rsidRPr="00F24057">
        <w:rPr>
          <w:szCs w:val="22"/>
          <w:lang w:val="sr-Latn-ME"/>
        </w:rPr>
        <w:t>sa</w:t>
      </w:r>
      <w:r w:rsidRPr="00F24057">
        <w:rPr>
          <w:szCs w:val="22"/>
          <w:lang w:val="sr-Latn-ME"/>
        </w:rPr>
        <w:t xml:space="preserve"> </w:t>
      </w:r>
      <w:r w:rsidR="00C85495" w:rsidRPr="00F24057">
        <w:rPr>
          <w:szCs w:val="22"/>
          <w:lang w:val="sr-Latn-ME"/>
        </w:rPr>
        <w:t>indukci</w:t>
      </w:r>
      <w:r w:rsidR="00CF1E8E" w:rsidRPr="00F24057">
        <w:rPr>
          <w:szCs w:val="22"/>
          <w:lang w:val="sr-Latn-ME"/>
        </w:rPr>
        <w:t>onom dozom</w:t>
      </w:r>
      <w:r w:rsidRPr="00F24057">
        <w:rPr>
          <w:szCs w:val="22"/>
          <w:lang w:val="sr-Latn-ME"/>
        </w:rPr>
        <w:t xml:space="preserve"> od 2,4 mg/kg (maksimalno 160 mg) </w:t>
      </w:r>
      <w:r w:rsidR="00E67681" w:rsidRPr="00F24057">
        <w:rPr>
          <w:szCs w:val="22"/>
          <w:lang w:val="sr-Latn-ME"/>
        </w:rPr>
        <w:t xml:space="preserve">u početnoj </w:t>
      </w:r>
      <w:r w:rsidR="00885A78" w:rsidRPr="00F24057">
        <w:rPr>
          <w:szCs w:val="22"/>
          <w:lang w:val="sr-Latn-ME"/>
        </w:rPr>
        <w:t>nedjelj</w:t>
      </w:r>
      <w:r w:rsidR="00E67681" w:rsidRPr="00F24057">
        <w:rPr>
          <w:szCs w:val="22"/>
          <w:lang w:val="sr-Latn-ME"/>
        </w:rPr>
        <w:t xml:space="preserve">i (označena kao nulta </w:t>
      </w:r>
      <w:r w:rsidR="00885A78" w:rsidRPr="00F24057">
        <w:rPr>
          <w:szCs w:val="22"/>
          <w:lang w:val="sr-Latn-ME"/>
        </w:rPr>
        <w:t>nedjelj</w:t>
      </w:r>
      <w:r w:rsidR="00E67681" w:rsidRPr="00F24057">
        <w:rPr>
          <w:szCs w:val="22"/>
          <w:lang w:val="sr-Latn-ME"/>
        </w:rPr>
        <w:t xml:space="preserve">a, </w:t>
      </w:r>
      <w:r w:rsidR="00E67681" w:rsidRPr="00F24057">
        <w:rPr>
          <w:i/>
          <w:iCs/>
          <w:szCs w:val="22"/>
          <w:lang w:val="sr-Latn-ME"/>
        </w:rPr>
        <w:t>Week 0</w:t>
      </w:r>
      <w:r w:rsidR="00E67681" w:rsidRPr="00F24057">
        <w:rPr>
          <w:szCs w:val="22"/>
          <w:lang w:val="sr-Latn-ME"/>
        </w:rPr>
        <w:t xml:space="preserve">) </w:t>
      </w:r>
      <w:r w:rsidRPr="00F24057">
        <w:rPr>
          <w:szCs w:val="22"/>
          <w:lang w:val="sr-Latn-ME"/>
        </w:rPr>
        <w:t xml:space="preserve">i 1. </w:t>
      </w:r>
      <w:r w:rsidR="00885A78" w:rsidRPr="00F24057">
        <w:rPr>
          <w:szCs w:val="22"/>
          <w:lang w:val="sr-Latn-ME"/>
        </w:rPr>
        <w:t>nedjelj</w:t>
      </w:r>
      <w:r w:rsidRPr="00F24057">
        <w:rPr>
          <w:szCs w:val="22"/>
          <w:lang w:val="sr-Latn-ME"/>
        </w:rPr>
        <w:t xml:space="preserve">i, i 1,2 mg/kg (maksimalno 80 mg) u 2. </w:t>
      </w:r>
      <w:r w:rsidR="00885A78" w:rsidRPr="00F24057">
        <w:rPr>
          <w:szCs w:val="22"/>
          <w:lang w:val="sr-Latn-ME"/>
        </w:rPr>
        <w:t>nedjelj</w:t>
      </w:r>
      <w:r w:rsidRPr="00F24057">
        <w:rPr>
          <w:szCs w:val="22"/>
          <w:lang w:val="sr-Latn-ME"/>
        </w:rPr>
        <w:t>i; ili doz</w:t>
      </w:r>
      <w:r w:rsidR="00C85495" w:rsidRPr="00F24057">
        <w:rPr>
          <w:szCs w:val="22"/>
          <w:lang w:val="sr-Latn-ME"/>
        </w:rPr>
        <w:t>om indukcije</w:t>
      </w:r>
      <w:r w:rsidRPr="00F24057">
        <w:rPr>
          <w:szCs w:val="22"/>
          <w:lang w:val="sr-Latn-ME"/>
        </w:rPr>
        <w:t xml:space="preserve"> od 2,4 mg/kg (maksimalno 160 mg) </w:t>
      </w:r>
      <w:r w:rsidR="00E67681" w:rsidRPr="00F24057">
        <w:rPr>
          <w:szCs w:val="22"/>
          <w:lang w:val="sr-Latn-ME"/>
        </w:rPr>
        <w:t xml:space="preserve">u početnoj </w:t>
      </w:r>
      <w:r w:rsidR="00885A78" w:rsidRPr="00F24057">
        <w:rPr>
          <w:szCs w:val="22"/>
          <w:lang w:val="sr-Latn-ME"/>
        </w:rPr>
        <w:t>nedjelj</w:t>
      </w:r>
      <w:r w:rsidR="00E67681" w:rsidRPr="00F24057">
        <w:rPr>
          <w:szCs w:val="22"/>
          <w:lang w:val="sr-Latn-ME"/>
        </w:rPr>
        <w:t xml:space="preserve">i (označena kao nulta </w:t>
      </w:r>
      <w:r w:rsidR="00885A78" w:rsidRPr="00F24057">
        <w:rPr>
          <w:szCs w:val="22"/>
          <w:lang w:val="sr-Latn-ME"/>
        </w:rPr>
        <w:t>nedjelj</w:t>
      </w:r>
      <w:r w:rsidR="00E67681" w:rsidRPr="00F24057">
        <w:rPr>
          <w:szCs w:val="22"/>
          <w:lang w:val="sr-Latn-ME"/>
        </w:rPr>
        <w:t xml:space="preserve">a, </w:t>
      </w:r>
      <w:r w:rsidR="00E67681" w:rsidRPr="00F24057">
        <w:rPr>
          <w:i/>
          <w:iCs/>
          <w:szCs w:val="22"/>
          <w:lang w:val="sr-Latn-ME"/>
        </w:rPr>
        <w:t>Week 0</w:t>
      </w:r>
      <w:r w:rsidR="00E67681" w:rsidRPr="00F24057">
        <w:rPr>
          <w:szCs w:val="22"/>
          <w:lang w:val="sr-Latn-ME"/>
        </w:rPr>
        <w:t>)</w:t>
      </w:r>
      <w:r w:rsidRPr="00F24057">
        <w:rPr>
          <w:szCs w:val="22"/>
          <w:lang w:val="sr-Latn-ME"/>
        </w:rPr>
        <w:t xml:space="preserve">, placebo u </w:t>
      </w:r>
      <w:r w:rsidR="00DE4000" w:rsidRPr="00F24057">
        <w:rPr>
          <w:szCs w:val="22"/>
          <w:lang w:val="sr-Latn-ME"/>
        </w:rPr>
        <w:t xml:space="preserve">1. </w:t>
      </w:r>
      <w:r w:rsidR="00885A78" w:rsidRPr="00F24057">
        <w:rPr>
          <w:szCs w:val="22"/>
          <w:lang w:val="sr-Latn-ME"/>
        </w:rPr>
        <w:t>nedjelj</w:t>
      </w:r>
      <w:r w:rsidRPr="00F24057">
        <w:rPr>
          <w:szCs w:val="22"/>
          <w:lang w:val="sr-Latn-ME"/>
        </w:rPr>
        <w:t xml:space="preserve">i, i 1,2 mg/kg (maksimalno 80 mg) u </w:t>
      </w:r>
      <w:r w:rsidR="00DE4000" w:rsidRPr="00F24057">
        <w:rPr>
          <w:szCs w:val="22"/>
          <w:lang w:val="sr-Latn-ME"/>
        </w:rPr>
        <w:t xml:space="preserve">2. </w:t>
      </w:r>
      <w:r w:rsidR="00885A78" w:rsidRPr="00F24057">
        <w:rPr>
          <w:szCs w:val="22"/>
          <w:lang w:val="sr-Latn-ME"/>
        </w:rPr>
        <w:t>nedjelj</w:t>
      </w:r>
      <w:r w:rsidRPr="00F24057">
        <w:rPr>
          <w:szCs w:val="22"/>
          <w:lang w:val="sr-Latn-ME"/>
        </w:rPr>
        <w:t xml:space="preserve">i. </w:t>
      </w:r>
      <w:r w:rsidR="00671751" w:rsidRPr="00F24057">
        <w:rPr>
          <w:szCs w:val="22"/>
          <w:lang w:val="sr-Latn-ME"/>
        </w:rPr>
        <w:t>Obije</w:t>
      </w:r>
      <w:r w:rsidRPr="00F24057">
        <w:rPr>
          <w:szCs w:val="22"/>
          <w:lang w:val="sr-Latn-ME"/>
        </w:rPr>
        <w:t xml:space="preserve"> grupe su primale 0,6 mg/kg (maksimalno 40 mg) u 4. i 6. </w:t>
      </w:r>
      <w:r w:rsidR="00885A78" w:rsidRPr="00F24057">
        <w:rPr>
          <w:szCs w:val="22"/>
          <w:lang w:val="sr-Latn-ME"/>
        </w:rPr>
        <w:t>nedjelj</w:t>
      </w:r>
      <w:r w:rsidRPr="00F24057">
        <w:rPr>
          <w:szCs w:val="22"/>
          <w:lang w:val="sr-Latn-ME"/>
        </w:rPr>
        <w:t xml:space="preserve">i. Nakon </w:t>
      </w:r>
      <w:r w:rsidR="00E67681" w:rsidRPr="00F24057">
        <w:rPr>
          <w:szCs w:val="22"/>
          <w:lang w:val="sr-Latn-ME"/>
        </w:rPr>
        <w:t>izmene</w:t>
      </w:r>
      <w:r w:rsidR="00DC5E38" w:rsidRPr="00F24057">
        <w:rPr>
          <w:szCs w:val="22"/>
          <w:lang w:val="sr-Latn-ME"/>
        </w:rPr>
        <w:t xml:space="preserve"> i dopune</w:t>
      </w:r>
      <w:r w:rsidRPr="00F24057">
        <w:rPr>
          <w:szCs w:val="22"/>
          <w:lang w:val="sr-Latn-ME"/>
        </w:rPr>
        <w:t xml:space="preserve"> dizajna studije, preostalih 16 </w:t>
      </w:r>
      <w:r w:rsidR="00281332" w:rsidRPr="00F24057">
        <w:rPr>
          <w:szCs w:val="22"/>
          <w:lang w:val="sr-Latn-ME"/>
        </w:rPr>
        <w:t>bolesnika</w:t>
      </w:r>
      <w:r w:rsidRPr="00F24057">
        <w:rPr>
          <w:szCs w:val="22"/>
          <w:lang w:val="sr-Latn-ME"/>
        </w:rPr>
        <w:t xml:space="preserve"> koji su se uključili u indukcioni period </w:t>
      </w:r>
      <w:r w:rsidR="008E71CE" w:rsidRPr="00F24057">
        <w:rPr>
          <w:szCs w:val="22"/>
          <w:lang w:val="sr-Latn-ME"/>
        </w:rPr>
        <w:t xml:space="preserve">studije </w:t>
      </w:r>
      <w:r w:rsidR="00281332" w:rsidRPr="00F24057">
        <w:rPr>
          <w:szCs w:val="22"/>
          <w:lang w:val="sr-Latn-ME"/>
        </w:rPr>
        <w:t xml:space="preserve">primilo je </w:t>
      </w:r>
      <w:r w:rsidR="00E518F2" w:rsidRPr="00F24057">
        <w:rPr>
          <w:szCs w:val="22"/>
          <w:lang w:val="sr-Latn-ME"/>
        </w:rPr>
        <w:t>otvoren</w:t>
      </w:r>
      <w:r w:rsidR="008E71CE" w:rsidRPr="00F24057">
        <w:rPr>
          <w:szCs w:val="22"/>
          <w:lang w:val="sr-Latn-ME"/>
        </w:rPr>
        <w:t>o</w:t>
      </w:r>
      <w:r w:rsidR="00281332" w:rsidRPr="00F24057">
        <w:rPr>
          <w:szCs w:val="22"/>
          <w:lang w:val="sr-Latn-ME"/>
        </w:rPr>
        <w:t xml:space="preserve"> </w:t>
      </w:r>
      <w:r w:rsidR="0030064A" w:rsidRPr="00F24057">
        <w:rPr>
          <w:szCs w:val="22"/>
          <w:lang w:val="sr-Latn-ME"/>
        </w:rPr>
        <w:t>liječenje</w:t>
      </w:r>
      <w:r w:rsidRPr="00F24057">
        <w:rPr>
          <w:szCs w:val="22"/>
          <w:lang w:val="sr-Latn-ME"/>
        </w:rPr>
        <w:t xml:space="preserve"> adalimumab</w:t>
      </w:r>
      <w:r w:rsidR="00281332" w:rsidRPr="00F24057">
        <w:rPr>
          <w:szCs w:val="22"/>
          <w:lang w:val="sr-Latn-ME"/>
        </w:rPr>
        <w:t>om</w:t>
      </w:r>
      <w:r w:rsidRPr="00F24057">
        <w:rPr>
          <w:szCs w:val="22"/>
          <w:lang w:val="sr-Latn-ME"/>
        </w:rPr>
        <w:t xml:space="preserve"> u induktivnoj dozi od 2,4 mg/kg (maksimalno 160 mg) </w:t>
      </w:r>
      <w:r w:rsidR="00F01E5B" w:rsidRPr="00F24057">
        <w:rPr>
          <w:szCs w:val="22"/>
          <w:lang w:val="sr-Latn-ME"/>
        </w:rPr>
        <w:t xml:space="preserve">u početnoj </w:t>
      </w:r>
      <w:r w:rsidR="00885A78" w:rsidRPr="00F24057">
        <w:rPr>
          <w:szCs w:val="22"/>
          <w:lang w:val="sr-Latn-ME"/>
        </w:rPr>
        <w:t>nedjelj</w:t>
      </w:r>
      <w:r w:rsidR="00F01E5B" w:rsidRPr="00F24057">
        <w:rPr>
          <w:szCs w:val="22"/>
          <w:lang w:val="sr-Latn-ME"/>
        </w:rPr>
        <w:t xml:space="preserve">i (označena kao nulta </w:t>
      </w:r>
      <w:r w:rsidR="00885A78" w:rsidRPr="00F24057">
        <w:rPr>
          <w:szCs w:val="22"/>
          <w:lang w:val="sr-Latn-ME"/>
        </w:rPr>
        <w:t>nedjelj</w:t>
      </w:r>
      <w:r w:rsidR="00F01E5B" w:rsidRPr="00F24057">
        <w:rPr>
          <w:szCs w:val="22"/>
          <w:lang w:val="sr-Latn-ME"/>
        </w:rPr>
        <w:t xml:space="preserve">a, </w:t>
      </w:r>
      <w:r w:rsidR="00080447" w:rsidRPr="00F24057">
        <w:rPr>
          <w:i/>
          <w:iCs/>
          <w:szCs w:val="22"/>
          <w:lang w:val="sr-Latn-ME"/>
        </w:rPr>
        <w:t>Week 0</w:t>
      </w:r>
      <w:r w:rsidR="00F01E5B" w:rsidRPr="00F24057">
        <w:rPr>
          <w:szCs w:val="22"/>
          <w:lang w:val="sr-Latn-ME"/>
        </w:rPr>
        <w:t xml:space="preserve">), </w:t>
      </w:r>
      <w:r w:rsidRPr="00F24057">
        <w:rPr>
          <w:szCs w:val="22"/>
          <w:lang w:val="sr-Latn-ME"/>
        </w:rPr>
        <w:t xml:space="preserve">i </w:t>
      </w:r>
      <w:r w:rsidR="00562858" w:rsidRPr="00F24057">
        <w:rPr>
          <w:szCs w:val="22"/>
          <w:lang w:val="sr-Latn-ME"/>
        </w:rPr>
        <w:t>1.</w:t>
      </w:r>
      <w:r w:rsidR="00885A78" w:rsidRPr="00F24057">
        <w:rPr>
          <w:szCs w:val="22"/>
          <w:lang w:val="sr-Latn-ME"/>
        </w:rPr>
        <w:t>nedjelj</w:t>
      </w:r>
      <w:r w:rsidR="00562858" w:rsidRPr="00F24057">
        <w:rPr>
          <w:szCs w:val="22"/>
          <w:lang w:val="sr-Latn-ME"/>
        </w:rPr>
        <w:t>i</w:t>
      </w:r>
      <w:r w:rsidRPr="00F24057">
        <w:rPr>
          <w:szCs w:val="22"/>
          <w:lang w:val="sr-Latn-ME"/>
        </w:rPr>
        <w:t xml:space="preserve">, i 1,2 mg/kg (maksimalno 80 mg) u </w:t>
      </w:r>
      <w:r w:rsidR="00562858" w:rsidRPr="00F24057">
        <w:rPr>
          <w:szCs w:val="22"/>
          <w:lang w:val="sr-Latn-ME"/>
        </w:rPr>
        <w:t xml:space="preserve">2. </w:t>
      </w:r>
      <w:r w:rsidR="00885A78" w:rsidRPr="00F24057">
        <w:rPr>
          <w:szCs w:val="22"/>
          <w:lang w:val="sr-Latn-ME"/>
        </w:rPr>
        <w:t>nedjelj</w:t>
      </w:r>
      <w:r w:rsidRPr="00F24057">
        <w:rPr>
          <w:szCs w:val="22"/>
          <w:lang w:val="sr-Latn-ME"/>
        </w:rPr>
        <w:t>i.</w:t>
      </w:r>
    </w:p>
    <w:p w14:paraId="6D38A540" w14:textId="31286AA2" w:rsidR="00630465" w:rsidRPr="00F24057" w:rsidRDefault="00630465" w:rsidP="00D70B34">
      <w:pPr>
        <w:rPr>
          <w:szCs w:val="22"/>
          <w:u w:val="single"/>
          <w:lang w:val="sr-Latn-ME"/>
        </w:rPr>
      </w:pPr>
    </w:p>
    <w:p w14:paraId="768F8F5B" w14:textId="6C3A6240" w:rsidR="00630465" w:rsidRPr="00F24057" w:rsidRDefault="009F7168" w:rsidP="00D70B34">
      <w:pPr>
        <w:rPr>
          <w:szCs w:val="22"/>
          <w:lang w:val="sr-Latn-ME"/>
        </w:rPr>
      </w:pPr>
      <w:r w:rsidRPr="00F24057">
        <w:rPr>
          <w:szCs w:val="22"/>
          <w:lang w:val="sr-Latn-ME"/>
        </w:rPr>
        <w:t xml:space="preserve">U 8. </w:t>
      </w:r>
      <w:r w:rsidR="00885A78" w:rsidRPr="00F24057">
        <w:rPr>
          <w:szCs w:val="22"/>
          <w:lang w:val="sr-Latn-ME"/>
        </w:rPr>
        <w:t>nedjelj</w:t>
      </w:r>
      <w:r w:rsidRPr="00F24057">
        <w:rPr>
          <w:szCs w:val="22"/>
          <w:lang w:val="sr-Latn-ME"/>
        </w:rPr>
        <w:t xml:space="preserve">i, 62 pacijenta koji su pokazali klinički odgovor prema </w:t>
      </w:r>
      <w:r w:rsidR="00A90611" w:rsidRPr="00F24057">
        <w:rPr>
          <w:szCs w:val="22"/>
          <w:lang w:val="sr-Latn-ME"/>
        </w:rPr>
        <w:t>djelimično</w:t>
      </w:r>
      <w:r w:rsidRPr="00F24057">
        <w:rPr>
          <w:szCs w:val="22"/>
          <w:lang w:val="sr-Latn-ME"/>
        </w:rPr>
        <w:t xml:space="preserve">m </w:t>
      </w:r>
      <w:r w:rsidRPr="00F24057">
        <w:rPr>
          <w:i/>
          <w:iCs/>
          <w:szCs w:val="22"/>
          <w:lang w:val="sr-Latn-ME"/>
        </w:rPr>
        <w:t>Ma</w:t>
      </w:r>
      <w:r w:rsidR="00667FC1" w:rsidRPr="00F24057">
        <w:rPr>
          <w:i/>
          <w:iCs/>
          <w:szCs w:val="22"/>
          <w:lang w:val="sr-Latn-ME"/>
        </w:rPr>
        <w:t>y</w:t>
      </w:r>
      <w:r w:rsidR="006D5AEA" w:rsidRPr="00F24057">
        <w:rPr>
          <w:i/>
          <w:iCs/>
          <w:szCs w:val="22"/>
          <w:lang w:val="sr-Latn-ME"/>
        </w:rPr>
        <w:t>o</w:t>
      </w:r>
      <w:r w:rsidRPr="00F24057">
        <w:rPr>
          <w:szCs w:val="22"/>
          <w:lang w:val="sr-Latn-ME"/>
        </w:rPr>
        <w:t xml:space="preserve"> </w:t>
      </w:r>
      <w:r w:rsidR="00281332" w:rsidRPr="00F24057">
        <w:rPr>
          <w:szCs w:val="22"/>
          <w:lang w:val="sr-Latn-ME"/>
        </w:rPr>
        <w:t>rezultatu</w:t>
      </w:r>
      <w:r w:rsidRPr="00F24057">
        <w:rPr>
          <w:szCs w:val="22"/>
          <w:lang w:val="sr-Latn-ME"/>
        </w:rPr>
        <w:t xml:space="preserve"> (</w:t>
      </w:r>
      <w:r w:rsidR="002509B0" w:rsidRPr="00F24057">
        <w:rPr>
          <w:szCs w:val="22"/>
          <w:lang w:val="sr-Latn-ME"/>
        </w:rPr>
        <w:t>eng</w:t>
      </w:r>
      <w:r w:rsidR="005C4EED" w:rsidRPr="00F24057">
        <w:rPr>
          <w:szCs w:val="22"/>
          <w:lang w:val="sr-Latn-ME"/>
        </w:rPr>
        <w:t>l</w:t>
      </w:r>
      <w:r w:rsidR="002509B0" w:rsidRPr="00F24057">
        <w:rPr>
          <w:szCs w:val="22"/>
          <w:lang w:val="sr-Latn-ME"/>
        </w:rPr>
        <w:t xml:space="preserve">. </w:t>
      </w:r>
      <w:r w:rsidR="002509B0" w:rsidRPr="00F24057">
        <w:rPr>
          <w:i/>
          <w:iCs/>
          <w:szCs w:val="22"/>
          <w:lang w:val="sr-Latn-ME"/>
        </w:rPr>
        <w:t>partial Mayo Score</w:t>
      </w:r>
      <w:r w:rsidR="002509B0" w:rsidRPr="00F24057">
        <w:rPr>
          <w:szCs w:val="22"/>
          <w:lang w:val="sr-Latn-ME"/>
        </w:rPr>
        <w:t xml:space="preserve"> (</w:t>
      </w:r>
      <w:r w:rsidRPr="00F24057">
        <w:rPr>
          <w:szCs w:val="22"/>
          <w:lang w:val="sr-Latn-ME"/>
        </w:rPr>
        <w:t>PMS</w:t>
      </w:r>
      <w:r w:rsidR="002509B0" w:rsidRPr="00F24057">
        <w:rPr>
          <w:szCs w:val="22"/>
          <w:lang w:val="sr-Latn-ME"/>
        </w:rPr>
        <w:t>)</w:t>
      </w:r>
      <w:r w:rsidRPr="00F24057">
        <w:rPr>
          <w:szCs w:val="22"/>
          <w:lang w:val="sr-Latn-ME"/>
        </w:rPr>
        <w:t xml:space="preserve">; definisan kao smanjenje PMS ≥ 2 poena i ≥ 30% od početne </w:t>
      </w:r>
      <w:r w:rsidR="00972894" w:rsidRPr="00F24057">
        <w:rPr>
          <w:szCs w:val="22"/>
          <w:lang w:val="sr-Latn-ME"/>
        </w:rPr>
        <w:t>vrijedno</w:t>
      </w:r>
      <w:r w:rsidRPr="00F24057">
        <w:rPr>
          <w:szCs w:val="22"/>
          <w:lang w:val="sr-Latn-ME"/>
        </w:rPr>
        <w:t xml:space="preserve">sti) su podjednako randomizovani da primaju dvostruko </w:t>
      </w:r>
      <w:r w:rsidR="00972894" w:rsidRPr="00F24057">
        <w:rPr>
          <w:szCs w:val="22"/>
          <w:lang w:val="sr-Latn-ME"/>
        </w:rPr>
        <w:t>slijep</w:t>
      </w:r>
      <w:r w:rsidRPr="00F24057">
        <w:rPr>
          <w:szCs w:val="22"/>
          <w:lang w:val="sr-Latn-ME"/>
        </w:rPr>
        <w:t xml:space="preserve">i tretman održavanja sa adalimumabom u dozi od 0,6 mg/kg (maksimalno 40 mg) svake </w:t>
      </w:r>
      <w:r w:rsidR="00885A78" w:rsidRPr="00F24057">
        <w:rPr>
          <w:szCs w:val="22"/>
          <w:lang w:val="sr-Latn-ME"/>
        </w:rPr>
        <w:t>nedjelj</w:t>
      </w:r>
      <w:r w:rsidRPr="00F24057">
        <w:rPr>
          <w:szCs w:val="22"/>
          <w:lang w:val="sr-Latn-ME"/>
        </w:rPr>
        <w:t>e, ili doz</w:t>
      </w:r>
      <w:r w:rsidR="00F707F2" w:rsidRPr="00F24057">
        <w:rPr>
          <w:szCs w:val="22"/>
          <w:lang w:val="sr-Latn-ME"/>
        </w:rPr>
        <w:t>u</w:t>
      </w:r>
      <w:r w:rsidRPr="00F24057">
        <w:rPr>
          <w:szCs w:val="22"/>
          <w:lang w:val="sr-Latn-ME"/>
        </w:rPr>
        <w:t xml:space="preserve"> održavanja od 0,6 mg/kg (maksimalno 40 mg) svake druge </w:t>
      </w:r>
      <w:r w:rsidR="00885A78" w:rsidRPr="00F24057">
        <w:rPr>
          <w:szCs w:val="22"/>
          <w:lang w:val="sr-Latn-ME"/>
        </w:rPr>
        <w:t>nedjelj</w:t>
      </w:r>
      <w:r w:rsidRPr="00F24057">
        <w:rPr>
          <w:szCs w:val="22"/>
          <w:lang w:val="sr-Latn-ME"/>
        </w:rPr>
        <w:t xml:space="preserve">e. </w:t>
      </w:r>
      <w:r w:rsidR="00885A78" w:rsidRPr="00F24057">
        <w:rPr>
          <w:szCs w:val="22"/>
          <w:lang w:val="sr-Latn-ME"/>
        </w:rPr>
        <w:t xml:space="preserve">Prije </w:t>
      </w:r>
      <w:r w:rsidRPr="00F24057">
        <w:rPr>
          <w:szCs w:val="22"/>
          <w:lang w:val="sr-Latn-ME"/>
        </w:rPr>
        <w:t>izm</w:t>
      </w:r>
      <w:r w:rsidR="00896F57" w:rsidRPr="00F24057">
        <w:rPr>
          <w:szCs w:val="22"/>
          <w:lang w:val="sr-Latn-ME"/>
        </w:rPr>
        <w:t>j</w:t>
      </w:r>
      <w:r w:rsidRPr="00F24057">
        <w:rPr>
          <w:szCs w:val="22"/>
          <w:lang w:val="sr-Latn-ME"/>
        </w:rPr>
        <w:t xml:space="preserve">ene </w:t>
      </w:r>
      <w:r w:rsidR="00CF0084" w:rsidRPr="00F24057">
        <w:rPr>
          <w:szCs w:val="22"/>
          <w:lang w:val="sr-Latn-ME"/>
        </w:rPr>
        <w:t xml:space="preserve">i dopune </w:t>
      </w:r>
      <w:r w:rsidRPr="00F24057">
        <w:rPr>
          <w:szCs w:val="22"/>
          <w:lang w:val="sr-Latn-ME"/>
        </w:rPr>
        <w:t xml:space="preserve">dizajna studije, 12 dodatnih </w:t>
      </w:r>
      <w:r w:rsidR="00CF0084" w:rsidRPr="00F24057">
        <w:rPr>
          <w:szCs w:val="22"/>
          <w:lang w:val="sr-Latn-ME"/>
        </w:rPr>
        <w:t>bolesnika</w:t>
      </w:r>
      <w:r w:rsidRPr="00F24057">
        <w:rPr>
          <w:szCs w:val="22"/>
          <w:lang w:val="sr-Latn-ME"/>
        </w:rPr>
        <w:t xml:space="preserve"> koji su pokazali </w:t>
      </w:r>
      <w:r w:rsidRPr="00F24057">
        <w:rPr>
          <w:szCs w:val="22"/>
          <w:lang w:val="sr-Latn-ME"/>
        </w:rPr>
        <w:lastRenderedPageBreak/>
        <w:t>klinički odgovor p</w:t>
      </w:r>
      <w:r w:rsidR="00CF0084" w:rsidRPr="00F24057">
        <w:rPr>
          <w:szCs w:val="22"/>
          <w:lang w:val="sr-Latn-ME"/>
        </w:rPr>
        <w:t>rema</w:t>
      </w:r>
      <w:r w:rsidRPr="00F24057">
        <w:rPr>
          <w:szCs w:val="22"/>
          <w:lang w:val="sr-Latn-ME"/>
        </w:rPr>
        <w:t xml:space="preserve"> PMS</w:t>
      </w:r>
      <w:r w:rsidR="00181397" w:rsidRPr="00F24057">
        <w:rPr>
          <w:szCs w:val="22"/>
          <w:lang w:val="sr-Latn-ME"/>
        </w:rPr>
        <w:t xml:space="preserve"> </w:t>
      </w:r>
      <w:r w:rsidRPr="00F24057">
        <w:rPr>
          <w:szCs w:val="22"/>
          <w:lang w:val="sr-Latn-ME"/>
        </w:rPr>
        <w:t>su randomizovani da primaju placebo, ali nisu uključeni u potvrdnu analizu efikasnosti.</w:t>
      </w:r>
    </w:p>
    <w:p w14:paraId="6D86A652" w14:textId="61A78841" w:rsidR="009F7168" w:rsidRPr="00F24057" w:rsidRDefault="009F7168" w:rsidP="00D70B34">
      <w:pPr>
        <w:rPr>
          <w:szCs w:val="22"/>
          <w:lang w:val="sr-Latn-ME"/>
        </w:rPr>
      </w:pPr>
    </w:p>
    <w:p w14:paraId="7323182D" w14:textId="0E37FA9F" w:rsidR="009F7168" w:rsidRPr="00F24057" w:rsidRDefault="000B24A8" w:rsidP="00D70B34">
      <w:pPr>
        <w:rPr>
          <w:szCs w:val="22"/>
          <w:lang w:val="sr-Latn-ME"/>
        </w:rPr>
      </w:pPr>
      <w:r w:rsidRPr="00F24057">
        <w:rPr>
          <w:szCs w:val="22"/>
          <w:lang w:val="sr-Latn-ME"/>
        </w:rPr>
        <w:t>Po</w:t>
      </w:r>
      <w:r w:rsidR="002643FC" w:rsidRPr="00F24057">
        <w:rPr>
          <w:szCs w:val="22"/>
          <w:lang w:val="sr-Latn-ME"/>
        </w:rPr>
        <w:t>goršanje</w:t>
      </w:r>
      <w:r w:rsidRPr="00F24057">
        <w:rPr>
          <w:szCs w:val="22"/>
          <w:lang w:val="sr-Latn-ME"/>
        </w:rPr>
        <w:t xml:space="preserve"> bolesti je definisan</w:t>
      </w:r>
      <w:r w:rsidR="00975801" w:rsidRPr="00F24057">
        <w:rPr>
          <w:szCs w:val="22"/>
          <w:lang w:val="sr-Latn-ME"/>
        </w:rPr>
        <w:t>o</w:t>
      </w:r>
      <w:r w:rsidRPr="00F24057">
        <w:rPr>
          <w:szCs w:val="22"/>
          <w:lang w:val="sr-Latn-ME"/>
        </w:rPr>
        <w:t xml:space="preserve"> kao povećanje PMS od najmanje 3 poena (za pacijente sa PMS od 0 do 2 u 8. </w:t>
      </w:r>
      <w:r w:rsidR="00885A78" w:rsidRPr="00F24057">
        <w:rPr>
          <w:szCs w:val="22"/>
          <w:lang w:val="sr-Latn-ME"/>
        </w:rPr>
        <w:t>nedjelj</w:t>
      </w:r>
      <w:r w:rsidRPr="00F24057">
        <w:rPr>
          <w:szCs w:val="22"/>
          <w:lang w:val="sr-Latn-ME"/>
        </w:rPr>
        <w:t xml:space="preserve">i), za najmanje 2 poena (za pacijente sa PMS od 3 do 4 u 8. </w:t>
      </w:r>
      <w:r w:rsidR="00885A78" w:rsidRPr="00F24057">
        <w:rPr>
          <w:szCs w:val="22"/>
          <w:lang w:val="sr-Latn-ME"/>
        </w:rPr>
        <w:t>nedjelj</w:t>
      </w:r>
      <w:r w:rsidRPr="00F24057">
        <w:rPr>
          <w:szCs w:val="22"/>
          <w:lang w:val="sr-Latn-ME"/>
        </w:rPr>
        <w:t xml:space="preserve">i) ili za najmanje 1 poen (za pacijente sa PMS- od 5 do 6 u 8. </w:t>
      </w:r>
      <w:r w:rsidR="00885A78" w:rsidRPr="00F24057">
        <w:rPr>
          <w:szCs w:val="22"/>
          <w:lang w:val="sr-Latn-ME"/>
        </w:rPr>
        <w:t>nedjelj</w:t>
      </w:r>
      <w:r w:rsidRPr="00F24057">
        <w:rPr>
          <w:szCs w:val="22"/>
          <w:lang w:val="sr-Latn-ME"/>
        </w:rPr>
        <w:t>i).</w:t>
      </w:r>
    </w:p>
    <w:p w14:paraId="153842E0" w14:textId="2A6A3BC8" w:rsidR="009F7168" w:rsidRPr="00F24057" w:rsidRDefault="009F7168" w:rsidP="00D70B34">
      <w:pPr>
        <w:rPr>
          <w:szCs w:val="22"/>
          <w:lang w:val="sr-Latn-ME"/>
        </w:rPr>
      </w:pPr>
    </w:p>
    <w:p w14:paraId="4884282B" w14:textId="66B96D07" w:rsidR="009F7168" w:rsidRPr="00F24057" w:rsidRDefault="00EB695C" w:rsidP="00D70B34">
      <w:pPr>
        <w:rPr>
          <w:szCs w:val="22"/>
          <w:lang w:val="sr-Latn-ME"/>
        </w:rPr>
      </w:pPr>
      <w:r w:rsidRPr="00F24057">
        <w:rPr>
          <w:szCs w:val="22"/>
          <w:lang w:val="sr-Latn-ME"/>
        </w:rPr>
        <w:t>Pacijenti koji su ispunili kriterijume za po</w:t>
      </w:r>
      <w:r w:rsidR="00975801" w:rsidRPr="00F24057">
        <w:rPr>
          <w:szCs w:val="22"/>
          <w:lang w:val="sr-Latn-ME"/>
        </w:rPr>
        <w:t>goršanje</w:t>
      </w:r>
      <w:r w:rsidRPr="00F24057">
        <w:rPr>
          <w:szCs w:val="22"/>
          <w:lang w:val="sr-Latn-ME"/>
        </w:rPr>
        <w:t xml:space="preserve"> bolesti u 12. </w:t>
      </w:r>
      <w:r w:rsidR="00885A78" w:rsidRPr="00F24057">
        <w:rPr>
          <w:szCs w:val="22"/>
          <w:lang w:val="sr-Latn-ME"/>
        </w:rPr>
        <w:t>nedjelj</w:t>
      </w:r>
      <w:r w:rsidRPr="00F24057">
        <w:rPr>
          <w:szCs w:val="22"/>
          <w:lang w:val="sr-Latn-ME"/>
        </w:rPr>
        <w:t xml:space="preserve">i ili posle su randomizovani da primaju reindukcionu dozu od 2,4 mg/kg (maksimalno 160 mg) ili dozu od 0,6 mg/kg (maksimalno 40 mg) i </w:t>
      </w:r>
      <w:r w:rsidR="009D5FBC" w:rsidRPr="00F24057">
        <w:rPr>
          <w:szCs w:val="22"/>
          <w:lang w:val="sr-Latn-ME"/>
        </w:rPr>
        <w:t>nakon toga nastavili su da primaju odgovarajuću dozu održavanja.</w:t>
      </w:r>
    </w:p>
    <w:p w14:paraId="29CFED8C" w14:textId="19210213" w:rsidR="009F7168" w:rsidRPr="00F24057" w:rsidRDefault="009F7168" w:rsidP="00D70B34">
      <w:pPr>
        <w:rPr>
          <w:szCs w:val="22"/>
          <w:lang w:val="sr-Latn-ME"/>
        </w:rPr>
      </w:pPr>
    </w:p>
    <w:p w14:paraId="7FD05016" w14:textId="2ED5D3B5" w:rsidR="00DC02BF" w:rsidRPr="00F24057" w:rsidRDefault="00DC02BF" w:rsidP="00D70B34">
      <w:pPr>
        <w:rPr>
          <w:i/>
          <w:iCs/>
          <w:szCs w:val="22"/>
          <w:u w:val="single"/>
          <w:lang w:val="sr-Latn-ME"/>
        </w:rPr>
      </w:pPr>
      <w:r w:rsidRPr="00F24057">
        <w:rPr>
          <w:i/>
          <w:iCs/>
          <w:szCs w:val="22"/>
          <w:u w:val="single"/>
          <w:lang w:val="sr-Latn-ME"/>
        </w:rPr>
        <w:t>Rezultati efikasnosti</w:t>
      </w:r>
    </w:p>
    <w:p w14:paraId="22595332" w14:textId="4017BB99" w:rsidR="00DC02BF" w:rsidRPr="00F24057" w:rsidRDefault="00DC02BF" w:rsidP="00D70B34">
      <w:pPr>
        <w:rPr>
          <w:szCs w:val="22"/>
          <w:lang w:val="sr-Latn-ME"/>
        </w:rPr>
      </w:pPr>
      <w:r w:rsidRPr="00F24057">
        <w:rPr>
          <w:szCs w:val="22"/>
          <w:lang w:val="sr-Latn-ME"/>
        </w:rPr>
        <w:t>Koprimarn</w:t>
      </w:r>
      <w:r w:rsidR="002D2876" w:rsidRPr="00F24057">
        <w:rPr>
          <w:szCs w:val="22"/>
          <w:lang w:val="sr-Latn-ME"/>
        </w:rPr>
        <w:t xml:space="preserve">e </w:t>
      </w:r>
      <w:r w:rsidR="00AA29FD" w:rsidRPr="00F24057">
        <w:rPr>
          <w:szCs w:val="22"/>
          <w:lang w:val="sr-Latn-ME"/>
        </w:rPr>
        <w:t>mjere</w:t>
      </w:r>
      <w:r w:rsidR="002D2876" w:rsidRPr="00F24057">
        <w:rPr>
          <w:szCs w:val="22"/>
          <w:lang w:val="sr-Latn-ME"/>
        </w:rPr>
        <w:t xml:space="preserve"> ishoda </w:t>
      </w:r>
      <w:r w:rsidRPr="00F24057">
        <w:rPr>
          <w:szCs w:val="22"/>
          <w:lang w:val="sr-Latn-ME"/>
        </w:rPr>
        <w:t>studije bil</w:t>
      </w:r>
      <w:r w:rsidR="002D2876" w:rsidRPr="00F24057">
        <w:rPr>
          <w:szCs w:val="22"/>
          <w:lang w:val="sr-Latn-ME"/>
        </w:rPr>
        <w:t>e</w:t>
      </w:r>
      <w:r w:rsidRPr="00F24057">
        <w:rPr>
          <w:szCs w:val="22"/>
          <w:lang w:val="sr-Latn-ME"/>
        </w:rPr>
        <w:t xml:space="preserve"> su klinička remisija p</w:t>
      </w:r>
      <w:r w:rsidR="002D2876" w:rsidRPr="00F24057">
        <w:rPr>
          <w:szCs w:val="22"/>
          <w:lang w:val="sr-Latn-ME"/>
        </w:rPr>
        <w:t>rema</w:t>
      </w:r>
      <w:r w:rsidRPr="00F24057">
        <w:rPr>
          <w:szCs w:val="22"/>
          <w:lang w:val="sr-Latn-ME"/>
        </w:rPr>
        <w:t xml:space="preserve"> PMS</w:t>
      </w:r>
      <w:r w:rsidR="005717C1" w:rsidRPr="00F24057">
        <w:rPr>
          <w:szCs w:val="22"/>
          <w:lang w:val="sr-Latn-ME"/>
        </w:rPr>
        <w:t xml:space="preserve"> </w:t>
      </w:r>
      <w:r w:rsidRPr="00F24057">
        <w:rPr>
          <w:szCs w:val="22"/>
          <w:lang w:val="sr-Latn-ME"/>
        </w:rPr>
        <w:t>(definisana kao PMS ≤ 2 i bez pojedinačnih pod</w:t>
      </w:r>
      <w:r w:rsidR="002D2876" w:rsidRPr="00F24057">
        <w:rPr>
          <w:szCs w:val="22"/>
          <w:lang w:val="sr-Latn-ME"/>
        </w:rPr>
        <w:t>rezultat</w:t>
      </w:r>
      <w:r w:rsidRPr="00F24057">
        <w:rPr>
          <w:szCs w:val="22"/>
          <w:lang w:val="sr-Latn-ME"/>
        </w:rPr>
        <w:t xml:space="preserve">a &gt; 1) u 8. </w:t>
      </w:r>
      <w:r w:rsidR="00885A78" w:rsidRPr="00F24057">
        <w:rPr>
          <w:szCs w:val="22"/>
          <w:lang w:val="sr-Latn-ME"/>
        </w:rPr>
        <w:t>nedjelj</w:t>
      </w:r>
      <w:r w:rsidRPr="00F24057">
        <w:rPr>
          <w:szCs w:val="22"/>
          <w:lang w:val="sr-Latn-ME"/>
        </w:rPr>
        <w:t>i i klinička remisija po FMS (</w:t>
      </w:r>
      <w:r w:rsidR="008556D3" w:rsidRPr="00F24057">
        <w:rPr>
          <w:szCs w:val="22"/>
          <w:lang w:val="sr-Latn-ME"/>
        </w:rPr>
        <w:t>eng</w:t>
      </w:r>
      <w:r w:rsidR="005C4EED" w:rsidRPr="00F24057">
        <w:rPr>
          <w:szCs w:val="22"/>
          <w:lang w:val="sr-Latn-ME"/>
        </w:rPr>
        <w:t>l</w:t>
      </w:r>
      <w:r w:rsidR="008556D3" w:rsidRPr="00F24057">
        <w:rPr>
          <w:szCs w:val="22"/>
          <w:lang w:val="sr-Latn-ME"/>
        </w:rPr>
        <w:t>.</w:t>
      </w:r>
      <w:r w:rsidR="005C4EED" w:rsidRPr="00F24057">
        <w:rPr>
          <w:szCs w:val="22"/>
          <w:lang w:val="sr-Latn-ME"/>
        </w:rPr>
        <w:t xml:space="preserve"> </w:t>
      </w:r>
      <w:r w:rsidRPr="00F24057">
        <w:rPr>
          <w:i/>
          <w:iCs/>
          <w:szCs w:val="22"/>
          <w:lang w:val="sr-Latn-ME"/>
        </w:rPr>
        <w:t>Full Ma</w:t>
      </w:r>
      <w:r w:rsidR="00D31486" w:rsidRPr="00F24057">
        <w:rPr>
          <w:i/>
          <w:iCs/>
          <w:szCs w:val="22"/>
          <w:lang w:val="sr-Latn-ME"/>
        </w:rPr>
        <w:t>y</w:t>
      </w:r>
      <w:r w:rsidRPr="00F24057">
        <w:rPr>
          <w:i/>
          <w:iCs/>
          <w:szCs w:val="22"/>
          <w:lang w:val="sr-Latn-ME"/>
        </w:rPr>
        <w:t>o Score</w:t>
      </w:r>
      <w:r w:rsidRPr="00F24057">
        <w:rPr>
          <w:szCs w:val="22"/>
          <w:lang w:val="sr-Latn-ME"/>
        </w:rPr>
        <w:t xml:space="preserve">) (definisana kao </w:t>
      </w:r>
      <w:r w:rsidRPr="00F24057">
        <w:rPr>
          <w:i/>
          <w:iCs/>
          <w:szCs w:val="22"/>
          <w:lang w:val="sr-Latn-ME"/>
        </w:rPr>
        <w:t>Ma</w:t>
      </w:r>
      <w:r w:rsidR="00D31486" w:rsidRPr="00F24057">
        <w:rPr>
          <w:i/>
          <w:iCs/>
          <w:szCs w:val="22"/>
          <w:lang w:val="sr-Latn-ME"/>
        </w:rPr>
        <w:t>y</w:t>
      </w:r>
      <w:r w:rsidRPr="00F24057">
        <w:rPr>
          <w:i/>
          <w:iCs/>
          <w:szCs w:val="22"/>
          <w:lang w:val="sr-Latn-ME"/>
        </w:rPr>
        <w:t>o</w:t>
      </w:r>
      <w:r w:rsidRPr="00F24057">
        <w:rPr>
          <w:szCs w:val="22"/>
          <w:lang w:val="sr-Latn-ME"/>
        </w:rPr>
        <w:t xml:space="preserve"> oc</w:t>
      </w:r>
      <w:r w:rsidR="00FF3128" w:rsidRPr="00F24057">
        <w:rPr>
          <w:szCs w:val="22"/>
          <w:lang w:val="sr-Latn-ME"/>
        </w:rPr>
        <w:t>j</w:t>
      </w:r>
      <w:r w:rsidRPr="00F24057">
        <w:rPr>
          <w:szCs w:val="22"/>
          <w:lang w:val="sr-Latn-ME"/>
        </w:rPr>
        <w:t xml:space="preserve">ena ≤ 2 i </w:t>
      </w:r>
      <w:r w:rsidR="00E97A9C" w:rsidRPr="00F24057">
        <w:rPr>
          <w:szCs w:val="22"/>
          <w:lang w:val="sr-Latn-ME"/>
        </w:rPr>
        <w:t>bez</w:t>
      </w:r>
      <w:r w:rsidRPr="00F24057">
        <w:rPr>
          <w:szCs w:val="22"/>
          <w:lang w:val="sr-Latn-ME"/>
        </w:rPr>
        <w:t xml:space="preserve"> </w:t>
      </w:r>
      <w:r w:rsidR="00E97A9C" w:rsidRPr="00F24057">
        <w:rPr>
          <w:szCs w:val="22"/>
          <w:lang w:val="sr-Latn-ME"/>
        </w:rPr>
        <w:t xml:space="preserve">pojedinačnih </w:t>
      </w:r>
      <w:r w:rsidR="00356A4B" w:rsidRPr="00F24057">
        <w:rPr>
          <w:szCs w:val="22"/>
          <w:lang w:val="sr-Latn-ME"/>
        </w:rPr>
        <w:t xml:space="preserve">podrezultata </w:t>
      </w:r>
      <w:r w:rsidRPr="00F24057">
        <w:rPr>
          <w:szCs w:val="22"/>
          <w:lang w:val="sr-Latn-ME"/>
        </w:rPr>
        <w:t xml:space="preserve">&gt; 1) u 52. </w:t>
      </w:r>
      <w:r w:rsidR="00885A78" w:rsidRPr="00F24057">
        <w:rPr>
          <w:szCs w:val="22"/>
          <w:lang w:val="sr-Latn-ME"/>
        </w:rPr>
        <w:t>nedjelj</w:t>
      </w:r>
      <w:r w:rsidRPr="00F24057">
        <w:rPr>
          <w:szCs w:val="22"/>
          <w:lang w:val="sr-Latn-ME"/>
        </w:rPr>
        <w:t xml:space="preserve">i kod pacijenata koji su postigli klinički odgovor po PMS u 8. </w:t>
      </w:r>
      <w:r w:rsidR="00885A78" w:rsidRPr="00F24057">
        <w:rPr>
          <w:szCs w:val="22"/>
          <w:lang w:val="sr-Latn-ME"/>
        </w:rPr>
        <w:t>nedjelj</w:t>
      </w:r>
      <w:r w:rsidRPr="00F24057">
        <w:rPr>
          <w:szCs w:val="22"/>
          <w:lang w:val="sr-Latn-ME"/>
        </w:rPr>
        <w:t>i.</w:t>
      </w:r>
    </w:p>
    <w:p w14:paraId="21AB85AA" w14:textId="2DCA22C4" w:rsidR="009F7168" w:rsidRPr="00F24057" w:rsidRDefault="009F7168" w:rsidP="00D70B34">
      <w:pPr>
        <w:rPr>
          <w:szCs w:val="22"/>
          <w:lang w:val="sr-Latn-ME"/>
        </w:rPr>
      </w:pPr>
    </w:p>
    <w:p w14:paraId="7EE5A823" w14:textId="320912E4" w:rsidR="009D4203" w:rsidRPr="00F24057" w:rsidRDefault="009D4203" w:rsidP="00D70B34">
      <w:pPr>
        <w:rPr>
          <w:szCs w:val="22"/>
          <w:lang w:val="sr-Latn-ME"/>
        </w:rPr>
      </w:pPr>
      <w:r w:rsidRPr="00F24057">
        <w:rPr>
          <w:szCs w:val="22"/>
          <w:lang w:val="sr-Latn-ME"/>
        </w:rPr>
        <w:t xml:space="preserve">Stope kliničke remisije po PMS u 8. </w:t>
      </w:r>
      <w:r w:rsidR="00885A78" w:rsidRPr="00F24057">
        <w:rPr>
          <w:szCs w:val="22"/>
          <w:lang w:val="sr-Latn-ME"/>
        </w:rPr>
        <w:t>nedjelj</w:t>
      </w:r>
      <w:r w:rsidRPr="00F24057">
        <w:rPr>
          <w:szCs w:val="22"/>
          <w:lang w:val="sr-Latn-ME"/>
        </w:rPr>
        <w:t xml:space="preserve">i za pacijente u svakoj od dvostruko </w:t>
      </w:r>
      <w:r w:rsidR="00972894" w:rsidRPr="00F24057">
        <w:rPr>
          <w:szCs w:val="22"/>
          <w:lang w:val="sr-Latn-ME"/>
        </w:rPr>
        <w:t>slijep</w:t>
      </w:r>
      <w:r w:rsidRPr="00F24057">
        <w:rPr>
          <w:szCs w:val="22"/>
          <w:lang w:val="sr-Latn-ME"/>
        </w:rPr>
        <w:t>ih indukcionih grupa za adalimumab su predstavljene u tabeli 31.</w:t>
      </w:r>
    </w:p>
    <w:p w14:paraId="6F89E970" w14:textId="2A14A888" w:rsidR="009F7168" w:rsidRPr="00F24057" w:rsidRDefault="009F7168" w:rsidP="00D70B34">
      <w:pPr>
        <w:rPr>
          <w:szCs w:val="22"/>
          <w:lang w:val="sr-Latn-ME"/>
        </w:rPr>
      </w:pPr>
    </w:p>
    <w:p w14:paraId="75922233" w14:textId="47D0FC82" w:rsidR="00791214" w:rsidRPr="00F24057" w:rsidRDefault="00791214" w:rsidP="00D70B34">
      <w:pPr>
        <w:rPr>
          <w:b/>
          <w:bCs/>
          <w:szCs w:val="22"/>
          <w:lang w:val="sr-Latn-ME"/>
        </w:rPr>
      </w:pPr>
      <w:r w:rsidRPr="00F24057">
        <w:rPr>
          <w:b/>
          <w:bCs/>
          <w:szCs w:val="22"/>
          <w:lang w:val="sr-Latn-ME"/>
        </w:rPr>
        <w:t xml:space="preserve">Tabela 31. Klinička remisija po PMS nakon 8 </w:t>
      </w:r>
      <w:r w:rsidR="00885A78" w:rsidRPr="00F24057">
        <w:rPr>
          <w:b/>
          <w:bCs/>
          <w:szCs w:val="22"/>
          <w:lang w:val="sr-Latn-ME"/>
        </w:rPr>
        <w:t>nedjelj</w:t>
      </w:r>
      <w:r w:rsidRPr="00F24057">
        <w:rPr>
          <w:b/>
          <w:bCs/>
          <w:szCs w:val="22"/>
          <w:lang w:val="sr-Latn-ME"/>
        </w:rPr>
        <w:t>a</w:t>
      </w:r>
    </w:p>
    <w:p w14:paraId="1BFAB5C8" w14:textId="0CA8AE30" w:rsidR="009F7168" w:rsidRPr="00F24057" w:rsidRDefault="009F7168"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751"/>
        <w:gridCol w:w="3773"/>
        <w:gridCol w:w="3493"/>
      </w:tblGrid>
      <w:tr w:rsidR="008D2604" w:rsidRPr="00F24057" w14:paraId="50062C88" w14:textId="77777777" w:rsidTr="00E933AC">
        <w:trPr>
          <w:trHeight w:val="20"/>
        </w:trPr>
        <w:tc>
          <w:tcPr>
            <w:tcW w:w="971" w:type="pct"/>
            <w:vAlign w:val="center"/>
          </w:tcPr>
          <w:p w14:paraId="1D7AEAFE" w14:textId="77777777" w:rsidR="008D2604" w:rsidRPr="00F24057" w:rsidRDefault="008D2604" w:rsidP="00D70B34">
            <w:pPr>
              <w:jc w:val="center"/>
              <w:rPr>
                <w:szCs w:val="22"/>
                <w:lang w:val="sr-Latn-ME"/>
              </w:rPr>
            </w:pPr>
          </w:p>
        </w:tc>
        <w:tc>
          <w:tcPr>
            <w:tcW w:w="2092" w:type="pct"/>
            <w:vAlign w:val="center"/>
          </w:tcPr>
          <w:p w14:paraId="1D3A987B" w14:textId="62F94B40" w:rsidR="00A379A7" w:rsidRPr="00F24057" w:rsidRDefault="00A379A7" w:rsidP="00D70B34">
            <w:pPr>
              <w:jc w:val="center"/>
              <w:rPr>
                <w:b/>
                <w:bCs/>
                <w:szCs w:val="22"/>
                <w:vertAlign w:val="superscript"/>
                <w:lang w:val="sr-Latn-ME"/>
              </w:rPr>
            </w:pPr>
            <w:r w:rsidRPr="00F24057">
              <w:rPr>
                <w:b/>
                <w:bCs/>
                <w:szCs w:val="22"/>
                <w:lang w:val="sr-Latn-ME"/>
              </w:rPr>
              <w:t>Adalimumab</w:t>
            </w:r>
            <w:r w:rsidRPr="00F24057">
              <w:rPr>
                <w:b/>
                <w:bCs/>
                <w:szCs w:val="22"/>
                <w:vertAlign w:val="superscript"/>
                <w:lang w:val="sr-Latn-ME"/>
              </w:rPr>
              <w:t>a</w:t>
            </w:r>
          </w:p>
          <w:p w14:paraId="6BF8579C" w14:textId="4E6E3CDD" w:rsidR="00A379A7" w:rsidRPr="00F24057" w:rsidRDefault="00A379A7" w:rsidP="00D70B34">
            <w:pPr>
              <w:jc w:val="center"/>
              <w:rPr>
                <w:b/>
                <w:bCs/>
                <w:szCs w:val="22"/>
                <w:lang w:val="sr-Latn-ME"/>
              </w:rPr>
            </w:pPr>
            <w:r w:rsidRPr="00F24057">
              <w:rPr>
                <w:b/>
                <w:bCs/>
                <w:szCs w:val="22"/>
                <w:lang w:val="sr-Latn-ME"/>
              </w:rPr>
              <w:t xml:space="preserve">Maksimalno 160 mg </w:t>
            </w:r>
            <w:r w:rsidR="00A11228" w:rsidRPr="00F24057">
              <w:rPr>
                <w:b/>
                <w:bCs/>
                <w:szCs w:val="22"/>
                <w:lang w:val="sr-Latn-ME"/>
              </w:rPr>
              <w:t xml:space="preserve">u početnoj </w:t>
            </w:r>
            <w:r w:rsidR="00885A78" w:rsidRPr="00F24057">
              <w:rPr>
                <w:b/>
                <w:bCs/>
                <w:szCs w:val="22"/>
                <w:lang w:val="sr-Latn-ME"/>
              </w:rPr>
              <w:t>nedjelj</w:t>
            </w:r>
            <w:r w:rsidR="00A11228" w:rsidRPr="00F24057">
              <w:rPr>
                <w:b/>
                <w:bCs/>
                <w:szCs w:val="22"/>
                <w:lang w:val="sr-Latn-ME"/>
              </w:rPr>
              <w:t xml:space="preserve">i (označena kao nulta </w:t>
            </w:r>
            <w:r w:rsidR="00885A78" w:rsidRPr="00F24057">
              <w:rPr>
                <w:b/>
                <w:bCs/>
                <w:szCs w:val="22"/>
                <w:lang w:val="sr-Latn-ME"/>
              </w:rPr>
              <w:t>nedjelj</w:t>
            </w:r>
            <w:r w:rsidR="00A11228" w:rsidRPr="00F24057">
              <w:rPr>
                <w:b/>
                <w:bCs/>
                <w:szCs w:val="22"/>
                <w:lang w:val="sr-Latn-ME"/>
              </w:rPr>
              <w:t xml:space="preserve">a, </w:t>
            </w:r>
            <w:r w:rsidR="00080447" w:rsidRPr="00F24057">
              <w:rPr>
                <w:b/>
                <w:bCs/>
                <w:i/>
                <w:iCs/>
                <w:szCs w:val="22"/>
                <w:lang w:val="sr-Latn-ME"/>
              </w:rPr>
              <w:t>Week 0</w:t>
            </w:r>
            <w:r w:rsidR="00A11228" w:rsidRPr="00F24057">
              <w:rPr>
                <w:b/>
                <w:bCs/>
                <w:szCs w:val="22"/>
                <w:lang w:val="sr-Latn-ME"/>
              </w:rPr>
              <w:t xml:space="preserve">) </w:t>
            </w:r>
            <w:r w:rsidRPr="00F24057">
              <w:rPr>
                <w:b/>
                <w:bCs/>
                <w:szCs w:val="22"/>
                <w:lang w:val="sr-Latn-ME"/>
              </w:rPr>
              <w:t xml:space="preserve">/ placebo u 1. </w:t>
            </w:r>
            <w:r w:rsidR="00885A78" w:rsidRPr="00F24057">
              <w:rPr>
                <w:b/>
                <w:bCs/>
                <w:szCs w:val="22"/>
                <w:lang w:val="sr-Latn-ME"/>
              </w:rPr>
              <w:t>nedjelj</w:t>
            </w:r>
            <w:r w:rsidRPr="00F24057">
              <w:rPr>
                <w:b/>
                <w:bCs/>
                <w:szCs w:val="22"/>
                <w:lang w:val="sr-Latn-ME"/>
              </w:rPr>
              <w:t>i</w:t>
            </w:r>
          </w:p>
          <w:p w14:paraId="0F95CB4C" w14:textId="3145ECF7" w:rsidR="004A5B7F" w:rsidRPr="00F24057" w:rsidRDefault="00A379A7" w:rsidP="00D70B34">
            <w:pPr>
              <w:jc w:val="center"/>
              <w:rPr>
                <w:b/>
                <w:bCs/>
                <w:szCs w:val="22"/>
                <w:lang w:val="sr-Latn-ME"/>
              </w:rPr>
            </w:pPr>
            <w:r w:rsidRPr="00F24057">
              <w:rPr>
                <w:b/>
                <w:bCs/>
                <w:szCs w:val="22"/>
                <w:lang w:val="sr-Latn-ME"/>
              </w:rPr>
              <w:t>N=30</w:t>
            </w:r>
          </w:p>
        </w:tc>
        <w:tc>
          <w:tcPr>
            <w:tcW w:w="1937" w:type="pct"/>
            <w:vAlign w:val="center"/>
          </w:tcPr>
          <w:p w14:paraId="62A08BC8" w14:textId="068D5964" w:rsidR="00A379A7" w:rsidRPr="00F24057" w:rsidRDefault="00A379A7" w:rsidP="00D70B34">
            <w:pPr>
              <w:jc w:val="center"/>
              <w:rPr>
                <w:b/>
                <w:bCs/>
                <w:szCs w:val="22"/>
                <w:vertAlign w:val="superscript"/>
                <w:lang w:val="sr-Latn-ME"/>
              </w:rPr>
            </w:pPr>
            <w:r w:rsidRPr="00F24057">
              <w:rPr>
                <w:b/>
                <w:bCs/>
                <w:szCs w:val="22"/>
                <w:lang w:val="sr-Latn-ME"/>
              </w:rPr>
              <w:t>Adalimumab</w:t>
            </w:r>
            <w:r w:rsidRPr="00F24057">
              <w:rPr>
                <w:b/>
                <w:bCs/>
                <w:szCs w:val="22"/>
                <w:vertAlign w:val="superscript"/>
                <w:lang w:val="sr-Latn-ME"/>
              </w:rPr>
              <w:t>b, c</w:t>
            </w:r>
          </w:p>
          <w:p w14:paraId="441F5F82" w14:textId="467CC83E" w:rsidR="00A379A7" w:rsidRPr="00F24057" w:rsidRDefault="00A379A7" w:rsidP="00D70B34">
            <w:pPr>
              <w:jc w:val="center"/>
              <w:rPr>
                <w:b/>
                <w:bCs/>
                <w:szCs w:val="22"/>
                <w:lang w:val="sr-Latn-ME"/>
              </w:rPr>
            </w:pPr>
            <w:r w:rsidRPr="00F24057">
              <w:rPr>
                <w:b/>
                <w:bCs/>
                <w:szCs w:val="22"/>
                <w:lang w:val="sr-Latn-ME"/>
              </w:rPr>
              <w:t>Maksimalno 160 mg u</w:t>
            </w:r>
            <w:r w:rsidR="00A11228" w:rsidRPr="00F24057">
              <w:rPr>
                <w:b/>
                <w:bCs/>
                <w:szCs w:val="22"/>
                <w:lang w:val="sr-Latn-ME"/>
              </w:rPr>
              <w:t xml:space="preserve"> početnoj </w:t>
            </w:r>
            <w:r w:rsidR="00885A78" w:rsidRPr="00F24057">
              <w:rPr>
                <w:b/>
                <w:bCs/>
                <w:szCs w:val="22"/>
                <w:lang w:val="sr-Latn-ME"/>
              </w:rPr>
              <w:t>nedjelj</w:t>
            </w:r>
            <w:r w:rsidR="00A11228" w:rsidRPr="00F24057">
              <w:rPr>
                <w:b/>
                <w:bCs/>
                <w:szCs w:val="22"/>
                <w:lang w:val="sr-Latn-ME"/>
              </w:rPr>
              <w:t xml:space="preserve">i (označena kao nulta </w:t>
            </w:r>
            <w:r w:rsidR="00885A78" w:rsidRPr="00F24057">
              <w:rPr>
                <w:b/>
                <w:bCs/>
                <w:szCs w:val="22"/>
                <w:lang w:val="sr-Latn-ME"/>
              </w:rPr>
              <w:t>nedjelj</w:t>
            </w:r>
            <w:r w:rsidR="00A11228" w:rsidRPr="00F24057">
              <w:rPr>
                <w:b/>
                <w:bCs/>
                <w:szCs w:val="22"/>
                <w:lang w:val="sr-Latn-ME"/>
              </w:rPr>
              <w:t xml:space="preserve">a, </w:t>
            </w:r>
            <w:r w:rsidR="00080447" w:rsidRPr="00F24057">
              <w:rPr>
                <w:b/>
                <w:bCs/>
                <w:i/>
                <w:iCs/>
                <w:szCs w:val="22"/>
                <w:lang w:val="sr-Latn-ME"/>
              </w:rPr>
              <w:t>Week 0</w:t>
            </w:r>
            <w:r w:rsidR="00A11228" w:rsidRPr="00F24057">
              <w:rPr>
                <w:b/>
                <w:bCs/>
                <w:szCs w:val="22"/>
                <w:lang w:val="sr-Latn-ME"/>
              </w:rPr>
              <w:t xml:space="preserve">), </w:t>
            </w:r>
            <w:r w:rsidRPr="00F24057">
              <w:rPr>
                <w:b/>
                <w:bCs/>
                <w:szCs w:val="22"/>
                <w:lang w:val="sr-Latn-ME"/>
              </w:rPr>
              <w:t xml:space="preserve">i 1. </w:t>
            </w:r>
            <w:r w:rsidR="00885A78" w:rsidRPr="00F24057">
              <w:rPr>
                <w:b/>
                <w:bCs/>
                <w:szCs w:val="22"/>
                <w:lang w:val="sr-Latn-ME"/>
              </w:rPr>
              <w:t>nedjelj</w:t>
            </w:r>
            <w:r w:rsidRPr="00F24057">
              <w:rPr>
                <w:b/>
                <w:bCs/>
                <w:szCs w:val="22"/>
                <w:lang w:val="sr-Latn-ME"/>
              </w:rPr>
              <w:t>i</w:t>
            </w:r>
          </w:p>
          <w:p w14:paraId="00A4DEDB" w14:textId="62395275" w:rsidR="008D2604" w:rsidRPr="00F24057" w:rsidRDefault="00A379A7" w:rsidP="00D70B34">
            <w:pPr>
              <w:jc w:val="center"/>
              <w:rPr>
                <w:b/>
                <w:bCs/>
                <w:szCs w:val="22"/>
                <w:lang w:val="sr-Latn-ME"/>
              </w:rPr>
            </w:pPr>
            <w:r w:rsidRPr="00F24057">
              <w:rPr>
                <w:b/>
                <w:bCs/>
                <w:szCs w:val="22"/>
                <w:lang w:val="sr-Latn-ME"/>
              </w:rPr>
              <w:t>N=47</w:t>
            </w:r>
          </w:p>
        </w:tc>
      </w:tr>
      <w:tr w:rsidR="008D2604" w:rsidRPr="00F24057" w14:paraId="1AF42CB3" w14:textId="77777777" w:rsidTr="00E933AC">
        <w:trPr>
          <w:trHeight w:val="20"/>
        </w:trPr>
        <w:tc>
          <w:tcPr>
            <w:tcW w:w="971" w:type="pct"/>
            <w:vAlign w:val="center"/>
          </w:tcPr>
          <w:p w14:paraId="17E7475C" w14:textId="68507149" w:rsidR="008D2604" w:rsidRPr="00F24057" w:rsidRDefault="00A379A7" w:rsidP="00D70B34">
            <w:pPr>
              <w:jc w:val="center"/>
              <w:rPr>
                <w:szCs w:val="22"/>
                <w:lang w:val="sr-Latn-ME"/>
              </w:rPr>
            </w:pPr>
            <w:r w:rsidRPr="00F24057">
              <w:rPr>
                <w:szCs w:val="22"/>
                <w:lang w:val="sr-Latn-ME"/>
              </w:rPr>
              <w:t>Klinička remisija</w:t>
            </w:r>
          </w:p>
        </w:tc>
        <w:tc>
          <w:tcPr>
            <w:tcW w:w="2092" w:type="pct"/>
            <w:vAlign w:val="center"/>
          </w:tcPr>
          <w:p w14:paraId="1EA94D38" w14:textId="22C6060A" w:rsidR="008D2604" w:rsidRPr="00F24057" w:rsidRDefault="00A379A7" w:rsidP="00D70B34">
            <w:pPr>
              <w:jc w:val="center"/>
              <w:rPr>
                <w:szCs w:val="22"/>
                <w:lang w:val="sr-Latn-ME"/>
              </w:rPr>
            </w:pPr>
            <w:r w:rsidRPr="00F24057">
              <w:rPr>
                <w:szCs w:val="22"/>
                <w:lang w:val="sr-Latn-ME"/>
              </w:rPr>
              <w:t>13/30 (43,3%)</w:t>
            </w:r>
          </w:p>
        </w:tc>
        <w:tc>
          <w:tcPr>
            <w:tcW w:w="1937" w:type="pct"/>
            <w:vAlign w:val="center"/>
          </w:tcPr>
          <w:p w14:paraId="60042B0B" w14:textId="04C8CD0D" w:rsidR="008D2604" w:rsidRPr="00F24057" w:rsidRDefault="00A379A7" w:rsidP="00D70B34">
            <w:pPr>
              <w:jc w:val="center"/>
              <w:rPr>
                <w:szCs w:val="22"/>
                <w:lang w:val="sr-Latn-ME"/>
              </w:rPr>
            </w:pPr>
            <w:r w:rsidRPr="00F24057">
              <w:rPr>
                <w:szCs w:val="22"/>
                <w:lang w:val="sr-Latn-ME"/>
              </w:rPr>
              <w:t>28/47 (59,6%)</w:t>
            </w:r>
          </w:p>
        </w:tc>
      </w:tr>
    </w:tbl>
    <w:p w14:paraId="3EC74986" w14:textId="66409F1C" w:rsidR="00B7343B" w:rsidRPr="00F24057" w:rsidRDefault="00B7343B" w:rsidP="00B7343B">
      <w:pPr>
        <w:rPr>
          <w:szCs w:val="22"/>
          <w:lang w:val="sr-Latn-ME"/>
        </w:rPr>
      </w:pPr>
      <w:r w:rsidRPr="00F24057">
        <w:rPr>
          <w:szCs w:val="22"/>
          <w:vertAlign w:val="superscript"/>
          <w:lang w:val="sr-Latn-ME"/>
        </w:rPr>
        <w:t xml:space="preserve">a </w:t>
      </w:r>
      <w:r w:rsidRPr="00F24057">
        <w:rPr>
          <w:szCs w:val="22"/>
          <w:lang w:val="sr-Latn-ME"/>
        </w:rPr>
        <w:t xml:space="preserve">Adalimumab 2,4 mg/kg (maksimalno 160 mg)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t>
      </w:r>
      <w:r w:rsidR="00080447" w:rsidRPr="00F24057">
        <w:rPr>
          <w:i/>
          <w:iCs/>
          <w:szCs w:val="22"/>
          <w:lang w:val="sr-Latn-ME"/>
        </w:rPr>
        <w:t>Week 0</w:t>
      </w:r>
      <w:r w:rsidRPr="00F24057">
        <w:rPr>
          <w:szCs w:val="22"/>
          <w:lang w:val="sr-Latn-ME"/>
        </w:rPr>
        <w:t xml:space="preserve">), placebo u 1. </w:t>
      </w:r>
      <w:r w:rsidR="00885A78" w:rsidRPr="00F24057">
        <w:rPr>
          <w:szCs w:val="22"/>
          <w:lang w:val="sr-Latn-ME"/>
        </w:rPr>
        <w:t>nedjelj</w:t>
      </w:r>
      <w:r w:rsidRPr="00F24057">
        <w:rPr>
          <w:szCs w:val="22"/>
          <w:lang w:val="sr-Latn-ME"/>
        </w:rPr>
        <w:t xml:space="preserve">i, i 1,2 mg/kg (maksimalno 80 mg) u 2. </w:t>
      </w:r>
      <w:r w:rsidR="00885A78" w:rsidRPr="00F24057">
        <w:rPr>
          <w:szCs w:val="22"/>
          <w:lang w:val="sr-Latn-ME"/>
        </w:rPr>
        <w:t>nedjelj</w:t>
      </w:r>
      <w:r w:rsidRPr="00F24057">
        <w:rPr>
          <w:szCs w:val="22"/>
          <w:lang w:val="sr-Latn-ME"/>
        </w:rPr>
        <w:t>i</w:t>
      </w:r>
    </w:p>
    <w:p w14:paraId="7E5C65F4" w14:textId="57232959" w:rsidR="00B7343B" w:rsidRPr="00F24057" w:rsidRDefault="00B7343B" w:rsidP="00B7343B">
      <w:pPr>
        <w:rPr>
          <w:szCs w:val="22"/>
          <w:lang w:val="sr-Latn-ME"/>
        </w:rPr>
      </w:pPr>
      <w:r w:rsidRPr="00F24057">
        <w:rPr>
          <w:szCs w:val="22"/>
          <w:vertAlign w:val="superscript"/>
          <w:lang w:val="sr-Latn-ME"/>
        </w:rPr>
        <w:t>b</w:t>
      </w:r>
      <w:r w:rsidRPr="00F24057">
        <w:rPr>
          <w:szCs w:val="22"/>
          <w:lang w:val="sr-Latn-ME"/>
        </w:rPr>
        <w:t xml:space="preserve"> Adalimumab 2,4 mg/kg (maksimalno 160 mg)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t>
      </w:r>
      <w:r w:rsidR="00080447" w:rsidRPr="00F24057">
        <w:rPr>
          <w:i/>
          <w:iCs/>
          <w:szCs w:val="22"/>
          <w:lang w:val="sr-Latn-ME"/>
        </w:rPr>
        <w:t>Week 0</w:t>
      </w:r>
      <w:r w:rsidRPr="00F24057">
        <w:rPr>
          <w:szCs w:val="22"/>
          <w:lang w:val="sr-Latn-ME"/>
        </w:rPr>
        <w:t xml:space="preserve">), i 1. </w:t>
      </w:r>
      <w:r w:rsidR="00885A78" w:rsidRPr="00F24057">
        <w:rPr>
          <w:szCs w:val="22"/>
          <w:lang w:val="sr-Latn-ME"/>
        </w:rPr>
        <w:t>nedjelj</w:t>
      </w:r>
      <w:r w:rsidRPr="00F24057">
        <w:rPr>
          <w:szCs w:val="22"/>
          <w:lang w:val="sr-Latn-ME"/>
        </w:rPr>
        <w:t xml:space="preserve">i, i 1,2 mg/kg (maksimalno od 80 mg) u 2. </w:t>
      </w:r>
      <w:r w:rsidR="00885A78" w:rsidRPr="00F24057">
        <w:rPr>
          <w:szCs w:val="22"/>
          <w:lang w:val="sr-Latn-ME"/>
        </w:rPr>
        <w:t>nedjelj</w:t>
      </w:r>
      <w:r w:rsidRPr="00F24057">
        <w:rPr>
          <w:szCs w:val="22"/>
          <w:lang w:val="sr-Latn-ME"/>
        </w:rPr>
        <w:t>i</w:t>
      </w:r>
    </w:p>
    <w:p w14:paraId="39C03E66" w14:textId="50472036" w:rsidR="00B7343B" w:rsidRPr="00F24057" w:rsidRDefault="00B7343B" w:rsidP="00B7343B">
      <w:pPr>
        <w:rPr>
          <w:szCs w:val="22"/>
          <w:lang w:val="sr-Latn-ME"/>
        </w:rPr>
      </w:pPr>
      <w:r w:rsidRPr="00F24057">
        <w:rPr>
          <w:szCs w:val="22"/>
          <w:vertAlign w:val="superscript"/>
          <w:lang w:val="sr-Latn-ME"/>
        </w:rPr>
        <w:t>c</w:t>
      </w:r>
      <w:r w:rsidRPr="00F24057">
        <w:rPr>
          <w:szCs w:val="22"/>
          <w:lang w:val="sr-Latn-ME"/>
        </w:rPr>
        <w:t xml:space="preserve"> Ne uključujući otvorenu indukcionu dozu adalimumaba od 2,4 mg/kg (maksimalno 160 mg)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t>
      </w:r>
      <w:r w:rsidR="00080447" w:rsidRPr="00F24057">
        <w:rPr>
          <w:i/>
          <w:iCs/>
          <w:szCs w:val="22"/>
          <w:lang w:val="sr-Latn-ME"/>
        </w:rPr>
        <w:t>Week 0</w:t>
      </w:r>
      <w:r w:rsidRPr="00F24057">
        <w:rPr>
          <w:szCs w:val="22"/>
          <w:lang w:val="sr-Latn-ME"/>
        </w:rPr>
        <w:t xml:space="preserve">), i 1. </w:t>
      </w:r>
      <w:r w:rsidR="00885A78" w:rsidRPr="00F24057">
        <w:rPr>
          <w:szCs w:val="22"/>
          <w:lang w:val="sr-Latn-ME"/>
        </w:rPr>
        <w:t>nedjelj</w:t>
      </w:r>
      <w:r w:rsidRPr="00F24057">
        <w:rPr>
          <w:szCs w:val="22"/>
          <w:lang w:val="sr-Latn-ME"/>
        </w:rPr>
        <w:t xml:space="preserve">i i 1,2 mg/kg (maksimalno 80 mg) u 2. </w:t>
      </w:r>
      <w:r w:rsidR="00885A78" w:rsidRPr="00F24057">
        <w:rPr>
          <w:szCs w:val="22"/>
          <w:lang w:val="sr-Latn-ME"/>
        </w:rPr>
        <w:t>nedjelj</w:t>
      </w:r>
      <w:r w:rsidRPr="00F24057">
        <w:rPr>
          <w:szCs w:val="22"/>
          <w:lang w:val="sr-Latn-ME"/>
        </w:rPr>
        <w:t>i</w:t>
      </w:r>
    </w:p>
    <w:p w14:paraId="52809CAB" w14:textId="1A661A52" w:rsidR="00F41365" w:rsidRPr="00F24057" w:rsidRDefault="00F41365" w:rsidP="00D70B34">
      <w:pPr>
        <w:rPr>
          <w:szCs w:val="22"/>
          <w:lang w:val="sr-Latn-ME"/>
        </w:rPr>
      </w:pPr>
      <w:r w:rsidRPr="00F24057">
        <w:rPr>
          <w:szCs w:val="22"/>
          <w:lang w:val="sr-Latn-ME"/>
        </w:rPr>
        <w:t xml:space="preserve">Napomena 1: </w:t>
      </w:r>
      <w:r w:rsidR="00671751" w:rsidRPr="00F24057">
        <w:rPr>
          <w:szCs w:val="22"/>
          <w:lang w:val="sr-Latn-ME"/>
        </w:rPr>
        <w:t>Obije</w:t>
      </w:r>
      <w:r w:rsidRPr="00F24057">
        <w:rPr>
          <w:szCs w:val="22"/>
          <w:lang w:val="sr-Latn-ME"/>
        </w:rPr>
        <w:t xml:space="preserve"> indukcione grupe su primile 0,6 mg/kg (maksimalno 40 mg) u 4. i 6. </w:t>
      </w:r>
      <w:r w:rsidR="00885A78" w:rsidRPr="00F24057">
        <w:rPr>
          <w:szCs w:val="22"/>
          <w:lang w:val="sr-Latn-ME"/>
        </w:rPr>
        <w:t>nedjelj</w:t>
      </w:r>
      <w:r w:rsidRPr="00F24057">
        <w:rPr>
          <w:szCs w:val="22"/>
          <w:lang w:val="sr-Latn-ME"/>
        </w:rPr>
        <w:t>i</w:t>
      </w:r>
    </w:p>
    <w:p w14:paraId="3E2F1F69" w14:textId="43DEC7EB" w:rsidR="00791214" w:rsidRPr="00F24057" w:rsidRDefault="00F41365" w:rsidP="00D70B34">
      <w:pPr>
        <w:rPr>
          <w:szCs w:val="22"/>
          <w:lang w:val="sr-Latn-ME"/>
        </w:rPr>
      </w:pPr>
      <w:r w:rsidRPr="00F24057">
        <w:rPr>
          <w:szCs w:val="22"/>
          <w:lang w:val="sr-Latn-ME"/>
        </w:rPr>
        <w:t xml:space="preserve">Napomena 2: Smatralo se da pacijenti sa nedostajućim </w:t>
      </w:r>
      <w:r w:rsidR="00972894" w:rsidRPr="00F24057">
        <w:rPr>
          <w:szCs w:val="22"/>
          <w:lang w:val="sr-Latn-ME"/>
        </w:rPr>
        <w:t>vrijedno</w:t>
      </w:r>
      <w:r w:rsidRPr="00F24057">
        <w:rPr>
          <w:szCs w:val="22"/>
          <w:lang w:val="sr-Latn-ME"/>
        </w:rPr>
        <w:t xml:space="preserve">stima u 8. </w:t>
      </w:r>
      <w:r w:rsidR="00885A78" w:rsidRPr="00F24057">
        <w:rPr>
          <w:szCs w:val="22"/>
          <w:lang w:val="sr-Latn-ME"/>
        </w:rPr>
        <w:t>nedjelj</w:t>
      </w:r>
      <w:r w:rsidRPr="00F24057">
        <w:rPr>
          <w:szCs w:val="22"/>
          <w:lang w:val="sr-Latn-ME"/>
        </w:rPr>
        <w:t xml:space="preserve">i nisu ispunili </w:t>
      </w:r>
      <w:r w:rsidR="002D010D" w:rsidRPr="00F24057">
        <w:rPr>
          <w:szCs w:val="22"/>
          <w:lang w:val="sr-Latn-ME"/>
        </w:rPr>
        <w:t>cilj</w:t>
      </w:r>
    </w:p>
    <w:p w14:paraId="6C3704A1" w14:textId="15B98AF4" w:rsidR="009F7168" w:rsidRPr="00F24057" w:rsidRDefault="009F7168" w:rsidP="00D70B34">
      <w:pPr>
        <w:rPr>
          <w:szCs w:val="22"/>
          <w:lang w:val="sr-Latn-ME"/>
        </w:rPr>
      </w:pPr>
    </w:p>
    <w:p w14:paraId="0A146CDD" w14:textId="4298DCF2" w:rsidR="009F7168" w:rsidRPr="00F24057" w:rsidRDefault="00107C04" w:rsidP="00D70B34">
      <w:pPr>
        <w:rPr>
          <w:szCs w:val="22"/>
          <w:lang w:val="sr-Latn-ME"/>
        </w:rPr>
      </w:pPr>
      <w:r w:rsidRPr="00F24057">
        <w:rPr>
          <w:szCs w:val="22"/>
          <w:lang w:val="sr-Latn-ME"/>
        </w:rPr>
        <w:t xml:space="preserve">U 52. </w:t>
      </w:r>
      <w:r w:rsidR="00885A78" w:rsidRPr="00F24057">
        <w:rPr>
          <w:szCs w:val="22"/>
          <w:lang w:val="sr-Latn-ME"/>
        </w:rPr>
        <w:t>nedjelj</w:t>
      </w:r>
      <w:r w:rsidRPr="00F24057">
        <w:rPr>
          <w:szCs w:val="22"/>
          <w:lang w:val="sr-Latn-ME"/>
        </w:rPr>
        <w:t>i,</w:t>
      </w:r>
      <w:r w:rsidR="003D1AD5" w:rsidRPr="00F24057">
        <w:rPr>
          <w:szCs w:val="22"/>
          <w:lang w:val="sr-Latn-ME"/>
        </w:rPr>
        <w:t xml:space="preserve"> </w:t>
      </w:r>
      <w:r w:rsidRPr="00F24057">
        <w:rPr>
          <w:szCs w:val="22"/>
          <w:lang w:val="sr-Latn-ME"/>
        </w:rPr>
        <w:t>kliničk</w:t>
      </w:r>
      <w:r w:rsidR="00217C41" w:rsidRPr="00F24057">
        <w:rPr>
          <w:szCs w:val="22"/>
          <w:lang w:val="sr-Latn-ME"/>
        </w:rPr>
        <w:t>a</w:t>
      </w:r>
      <w:r w:rsidRPr="00F24057">
        <w:rPr>
          <w:szCs w:val="22"/>
          <w:lang w:val="sr-Latn-ME"/>
        </w:rPr>
        <w:t xml:space="preserve"> remisij</w:t>
      </w:r>
      <w:r w:rsidR="00217C41" w:rsidRPr="00F24057">
        <w:rPr>
          <w:szCs w:val="22"/>
          <w:lang w:val="sr-Latn-ME"/>
        </w:rPr>
        <w:t>a</w:t>
      </w:r>
      <w:r w:rsidRPr="00F24057">
        <w:rPr>
          <w:szCs w:val="22"/>
          <w:lang w:val="sr-Latn-ME"/>
        </w:rPr>
        <w:t xml:space="preserve"> p</w:t>
      </w:r>
      <w:r w:rsidR="00480F8D" w:rsidRPr="00F24057">
        <w:rPr>
          <w:szCs w:val="22"/>
          <w:lang w:val="sr-Latn-ME"/>
        </w:rPr>
        <w:t>rema</w:t>
      </w:r>
      <w:r w:rsidRPr="00F24057">
        <w:rPr>
          <w:szCs w:val="22"/>
          <w:lang w:val="sr-Latn-ME"/>
        </w:rPr>
        <w:t xml:space="preserve"> FMS </w:t>
      </w:r>
      <w:r w:rsidR="00843943" w:rsidRPr="00F24057">
        <w:rPr>
          <w:szCs w:val="22"/>
          <w:lang w:val="sr-Latn-ME"/>
        </w:rPr>
        <w:t xml:space="preserve">kod bolesnika sa odgovorom </w:t>
      </w:r>
      <w:r w:rsidRPr="00F24057">
        <w:rPr>
          <w:szCs w:val="22"/>
          <w:lang w:val="sr-Latn-ME"/>
        </w:rPr>
        <w:t xml:space="preserve">u 8. </w:t>
      </w:r>
      <w:r w:rsidR="00885A78" w:rsidRPr="00F24057">
        <w:rPr>
          <w:szCs w:val="22"/>
          <w:lang w:val="sr-Latn-ME"/>
        </w:rPr>
        <w:t>nedjelj</w:t>
      </w:r>
      <w:r w:rsidRPr="00F24057">
        <w:rPr>
          <w:szCs w:val="22"/>
          <w:lang w:val="sr-Latn-ME"/>
        </w:rPr>
        <w:t>i, klinički odgovor p</w:t>
      </w:r>
      <w:r w:rsidR="00480F8D" w:rsidRPr="00F24057">
        <w:rPr>
          <w:szCs w:val="22"/>
          <w:lang w:val="sr-Latn-ME"/>
        </w:rPr>
        <w:t>rema</w:t>
      </w:r>
      <w:r w:rsidRPr="00F24057">
        <w:rPr>
          <w:szCs w:val="22"/>
          <w:lang w:val="sr-Latn-ME"/>
        </w:rPr>
        <w:t xml:space="preserve"> FMS (definisano kao smanjenje </w:t>
      </w:r>
      <w:r w:rsidRPr="00F24057">
        <w:rPr>
          <w:i/>
          <w:iCs/>
          <w:szCs w:val="22"/>
          <w:lang w:val="sr-Latn-ME"/>
        </w:rPr>
        <w:t>Ma</w:t>
      </w:r>
      <w:r w:rsidR="00874309" w:rsidRPr="00F24057">
        <w:rPr>
          <w:i/>
          <w:iCs/>
          <w:szCs w:val="22"/>
          <w:lang w:val="sr-Latn-ME"/>
        </w:rPr>
        <w:t>y</w:t>
      </w:r>
      <w:r w:rsidRPr="00F24057">
        <w:rPr>
          <w:i/>
          <w:iCs/>
          <w:szCs w:val="22"/>
          <w:lang w:val="sr-Latn-ME"/>
        </w:rPr>
        <w:t>o</w:t>
      </w:r>
      <w:r w:rsidR="00793D82" w:rsidRPr="00F24057">
        <w:rPr>
          <w:szCs w:val="22"/>
          <w:lang w:val="sr-Latn-ME"/>
        </w:rPr>
        <w:t xml:space="preserve"> skora </w:t>
      </w:r>
      <w:r w:rsidRPr="00F24057">
        <w:rPr>
          <w:szCs w:val="22"/>
          <w:lang w:val="sr-Latn-ME"/>
        </w:rPr>
        <w:t xml:space="preserve">≥ 3 poena i ≥ 30% od početne </w:t>
      </w:r>
      <w:r w:rsidR="00972894" w:rsidRPr="00F24057">
        <w:rPr>
          <w:szCs w:val="22"/>
          <w:lang w:val="sr-Latn-ME"/>
        </w:rPr>
        <w:t>vrijedno</w:t>
      </w:r>
      <w:r w:rsidRPr="00F24057">
        <w:rPr>
          <w:szCs w:val="22"/>
          <w:lang w:val="sr-Latn-ME"/>
        </w:rPr>
        <w:t xml:space="preserve">sti) </w:t>
      </w:r>
      <w:r w:rsidR="00843943" w:rsidRPr="00F24057">
        <w:rPr>
          <w:szCs w:val="22"/>
          <w:lang w:val="sr-Latn-ME"/>
        </w:rPr>
        <w:t xml:space="preserve">kod bolesnika sa odgovorom </w:t>
      </w:r>
      <w:r w:rsidR="00874309" w:rsidRPr="00F24057">
        <w:rPr>
          <w:szCs w:val="22"/>
          <w:lang w:val="sr-Latn-ME"/>
        </w:rPr>
        <w:t xml:space="preserve">u </w:t>
      </w:r>
      <w:r w:rsidRPr="00F24057">
        <w:rPr>
          <w:szCs w:val="22"/>
          <w:lang w:val="sr-Latn-ME"/>
        </w:rPr>
        <w:t xml:space="preserve">8. </w:t>
      </w:r>
      <w:r w:rsidR="00885A78" w:rsidRPr="00F24057">
        <w:rPr>
          <w:szCs w:val="22"/>
          <w:lang w:val="sr-Latn-ME"/>
        </w:rPr>
        <w:t>nedjelj</w:t>
      </w:r>
      <w:r w:rsidR="00874309" w:rsidRPr="00F24057">
        <w:rPr>
          <w:szCs w:val="22"/>
          <w:lang w:val="sr-Latn-ME"/>
        </w:rPr>
        <w:t>i</w:t>
      </w:r>
      <w:r w:rsidRPr="00F24057">
        <w:rPr>
          <w:szCs w:val="22"/>
          <w:lang w:val="sr-Latn-ME"/>
        </w:rPr>
        <w:t>, zarastanje sluzokože (definisano kao pod</w:t>
      </w:r>
      <w:r w:rsidR="006E3E82" w:rsidRPr="00F24057">
        <w:rPr>
          <w:szCs w:val="22"/>
          <w:lang w:val="sr-Latn-ME"/>
        </w:rPr>
        <w:t>skor</w:t>
      </w:r>
      <w:r w:rsidRPr="00F24057">
        <w:rPr>
          <w:szCs w:val="22"/>
          <w:lang w:val="sr-Latn-ME"/>
        </w:rPr>
        <w:t xml:space="preserve"> </w:t>
      </w:r>
      <w:r w:rsidRPr="00F24057">
        <w:rPr>
          <w:i/>
          <w:iCs/>
          <w:szCs w:val="22"/>
          <w:lang w:val="sr-Latn-ME"/>
        </w:rPr>
        <w:t>Ma</w:t>
      </w:r>
      <w:r w:rsidR="00874309" w:rsidRPr="00F24057">
        <w:rPr>
          <w:i/>
          <w:iCs/>
          <w:szCs w:val="22"/>
          <w:lang w:val="sr-Latn-ME"/>
        </w:rPr>
        <w:t>y</w:t>
      </w:r>
      <w:r w:rsidRPr="00F24057">
        <w:rPr>
          <w:i/>
          <w:iCs/>
          <w:szCs w:val="22"/>
          <w:lang w:val="sr-Latn-ME"/>
        </w:rPr>
        <w:t>o</w:t>
      </w:r>
      <w:r w:rsidRPr="00F24057">
        <w:rPr>
          <w:szCs w:val="22"/>
          <w:lang w:val="sr-Latn-ME"/>
        </w:rPr>
        <w:t xml:space="preserve"> endoskopije ≤ 1 )</w:t>
      </w:r>
      <w:r w:rsidR="00AC5C7D" w:rsidRPr="00F24057">
        <w:rPr>
          <w:szCs w:val="22"/>
          <w:lang w:val="sr-Latn-ME"/>
        </w:rPr>
        <w:t xml:space="preserve"> kod bolesnika sa odgovorom</w:t>
      </w:r>
      <w:r w:rsidRPr="00F24057">
        <w:rPr>
          <w:szCs w:val="22"/>
          <w:lang w:val="sr-Latn-ME"/>
        </w:rPr>
        <w:t xml:space="preserve"> u 8. </w:t>
      </w:r>
      <w:r w:rsidR="00885A78" w:rsidRPr="00F24057">
        <w:rPr>
          <w:szCs w:val="22"/>
          <w:lang w:val="sr-Latn-ME"/>
        </w:rPr>
        <w:t>nedjelj</w:t>
      </w:r>
      <w:r w:rsidRPr="00F24057">
        <w:rPr>
          <w:szCs w:val="22"/>
          <w:lang w:val="sr-Latn-ME"/>
        </w:rPr>
        <w:t>i, klinička remisija p</w:t>
      </w:r>
      <w:r w:rsidR="00480F8D" w:rsidRPr="00F24057">
        <w:rPr>
          <w:szCs w:val="22"/>
          <w:lang w:val="sr-Latn-ME"/>
        </w:rPr>
        <w:t>rema</w:t>
      </w:r>
      <w:r w:rsidRPr="00F24057">
        <w:rPr>
          <w:szCs w:val="22"/>
          <w:lang w:val="sr-Latn-ME"/>
        </w:rPr>
        <w:t xml:space="preserve"> FMS</w:t>
      </w:r>
      <w:r w:rsidR="00596048" w:rsidRPr="00F24057">
        <w:rPr>
          <w:szCs w:val="22"/>
          <w:lang w:val="sr-Latn-ME"/>
        </w:rPr>
        <w:t xml:space="preserve"> </w:t>
      </w:r>
      <w:r w:rsidR="00AC5C7D" w:rsidRPr="00F24057">
        <w:rPr>
          <w:szCs w:val="22"/>
          <w:lang w:val="sr-Latn-ME"/>
        </w:rPr>
        <w:t xml:space="preserve">kod bolesnika u remisiji </w:t>
      </w:r>
      <w:r w:rsidR="00596048" w:rsidRPr="00F24057">
        <w:rPr>
          <w:szCs w:val="22"/>
          <w:lang w:val="sr-Latn-ME"/>
        </w:rPr>
        <w:t>u</w:t>
      </w:r>
      <w:r w:rsidRPr="00F24057">
        <w:rPr>
          <w:szCs w:val="22"/>
          <w:lang w:val="sr-Latn-ME"/>
        </w:rPr>
        <w:t xml:space="preserve"> 8. </w:t>
      </w:r>
      <w:r w:rsidR="00885A78" w:rsidRPr="00F24057">
        <w:rPr>
          <w:szCs w:val="22"/>
          <w:lang w:val="sr-Latn-ME"/>
        </w:rPr>
        <w:t>nedjelj</w:t>
      </w:r>
      <w:r w:rsidRPr="00F24057">
        <w:rPr>
          <w:szCs w:val="22"/>
          <w:lang w:val="sr-Latn-ME"/>
        </w:rPr>
        <w:t xml:space="preserve">i i proporcija </w:t>
      </w:r>
      <w:r w:rsidR="002E6F66" w:rsidRPr="00F24057">
        <w:rPr>
          <w:szCs w:val="22"/>
          <w:lang w:val="sr-Latn-ME"/>
        </w:rPr>
        <w:t>ispitanika</w:t>
      </w:r>
      <w:r w:rsidRPr="00F24057">
        <w:rPr>
          <w:szCs w:val="22"/>
          <w:lang w:val="sr-Latn-ME"/>
        </w:rPr>
        <w:t xml:space="preserve"> </w:t>
      </w:r>
      <w:r w:rsidR="00F014BF" w:rsidRPr="00F24057">
        <w:rPr>
          <w:szCs w:val="22"/>
          <w:lang w:val="sr-Latn-ME"/>
        </w:rPr>
        <w:t>koji su postigli</w:t>
      </w:r>
      <w:r w:rsidRPr="00F24057">
        <w:rPr>
          <w:szCs w:val="22"/>
          <w:lang w:val="sr-Latn-ME"/>
        </w:rPr>
        <w:t xml:space="preserve"> remisij</w:t>
      </w:r>
      <w:r w:rsidR="00F014BF" w:rsidRPr="00F24057">
        <w:rPr>
          <w:szCs w:val="22"/>
          <w:lang w:val="sr-Latn-ME"/>
        </w:rPr>
        <w:t>u</w:t>
      </w:r>
      <w:r w:rsidRPr="00F24057">
        <w:rPr>
          <w:szCs w:val="22"/>
          <w:lang w:val="sr-Latn-ME"/>
        </w:rPr>
        <w:t xml:space="preserve"> bez </w:t>
      </w:r>
      <w:r w:rsidR="00F014BF" w:rsidRPr="00F24057">
        <w:rPr>
          <w:szCs w:val="22"/>
          <w:lang w:val="sr-Latn-ME"/>
        </w:rPr>
        <w:t xml:space="preserve">upotrebe </w:t>
      </w:r>
      <w:r w:rsidRPr="00F24057">
        <w:rPr>
          <w:szCs w:val="22"/>
          <w:lang w:val="sr-Latn-ME"/>
        </w:rPr>
        <w:t>kortikosteroida p</w:t>
      </w:r>
      <w:r w:rsidR="00480F8D" w:rsidRPr="00F24057">
        <w:rPr>
          <w:szCs w:val="22"/>
          <w:lang w:val="sr-Latn-ME"/>
        </w:rPr>
        <w:t>rema</w:t>
      </w:r>
      <w:r w:rsidRPr="00F24057">
        <w:rPr>
          <w:szCs w:val="22"/>
          <w:lang w:val="sr-Latn-ME"/>
        </w:rPr>
        <w:t xml:space="preserve"> FMS u 8. </w:t>
      </w:r>
      <w:r w:rsidR="00885A78" w:rsidRPr="00F24057">
        <w:rPr>
          <w:szCs w:val="22"/>
          <w:lang w:val="sr-Latn-ME"/>
        </w:rPr>
        <w:t>nedjelj</w:t>
      </w:r>
      <w:r w:rsidRPr="00F24057">
        <w:rPr>
          <w:szCs w:val="22"/>
          <w:lang w:val="sr-Latn-ME"/>
        </w:rPr>
        <w:t xml:space="preserve">i su </w:t>
      </w:r>
      <w:r w:rsidR="00897E85" w:rsidRPr="00F24057">
        <w:rPr>
          <w:szCs w:val="22"/>
          <w:lang w:val="sr-Latn-ME"/>
        </w:rPr>
        <w:t>procijenjen</w:t>
      </w:r>
      <w:r w:rsidRPr="00F24057">
        <w:rPr>
          <w:szCs w:val="22"/>
          <w:lang w:val="sr-Latn-ME"/>
        </w:rPr>
        <w:t xml:space="preserve">i kod pacijenata koji su primali </w:t>
      </w:r>
      <w:r w:rsidR="00992902" w:rsidRPr="00F24057">
        <w:rPr>
          <w:szCs w:val="22"/>
          <w:lang w:val="sr-Latn-ME"/>
        </w:rPr>
        <w:t xml:space="preserve">dvostruko </w:t>
      </w:r>
      <w:r w:rsidR="00972894" w:rsidRPr="00F24057">
        <w:rPr>
          <w:szCs w:val="22"/>
          <w:lang w:val="sr-Latn-ME"/>
        </w:rPr>
        <w:t>slijep</w:t>
      </w:r>
      <w:r w:rsidR="00992902" w:rsidRPr="00F24057">
        <w:rPr>
          <w:szCs w:val="22"/>
          <w:lang w:val="sr-Latn-ME"/>
        </w:rPr>
        <w:t xml:space="preserve">e </w:t>
      </w:r>
      <w:r w:rsidR="00596048" w:rsidRPr="00F24057">
        <w:rPr>
          <w:szCs w:val="22"/>
          <w:lang w:val="sr-Latn-ME"/>
        </w:rPr>
        <w:t xml:space="preserve">doze održavanja </w:t>
      </w:r>
      <w:r w:rsidRPr="00F24057">
        <w:rPr>
          <w:szCs w:val="22"/>
          <w:lang w:val="sr-Latn-ME"/>
        </w:rPr>
        <w:t>adalimumab</w:t>
      </w:r>
      <w:r w:rsidR="00596048" w:rsidRPr="00F24057">
        <w:rPr>
          <w:szCs w:val="22"/>
          <w:lang w:val="sr-Latn-ME"/>
        </w:rPr>
        <w:t>a</w:t>
      </w:r>
      <w:r w:rsidR="00F90AC8" w:rsidRPr="00F24057">
        <w:rPr>
          <w:szCs w:val="22"/>
          <w:lang w:val="sr-Latn-ME"/>
        </w:rPr>
        <w:t>, sa</w:t>
      </w:r>
      <w:r w:rsidRPr="00F24057">
        <w:rPr>
          <w:szCs w:val="22"/>
          <w:lang w:val="sr-Latn-ME"/>
        </w:rPr>
        <w:t xml:space="preserve"> maksimalnom doz</w:t>
      </w:r>
      <w:r w:rsidR="00596048" w:rsidRPr="00F24057">
        <w:rPr>
          <w:szCs w:val="22"/>
          <w:lang w:val="sr-Latn-ME"/>
        </w:rPr>
        <w:t>om</w:t>
      </w:r>
      <w:r w:rsidRPr="00F24057">
        <w:rPr>
          <w:szCs w:val="22"/>
          <w:lang w:val="sr-Latn-ME"/>
        </w:rPr>
        <w:t xml:space="preserve"> od 40 mg </w:t>
      </w:r>
      <w:r w:rsidR="00874309" w:rsidRPr="00F24057">
        <w:rPr>
          <w:szCs w:val="22"/>
          <w:lang w:val="sr-Latn-ME"/>
        </w:rPr>
        <w:t xml:space="preserve">svake druge </w:t>
      </w:r>
      <w:r w:rsidR="00885A78" w:rsidRPr="00F24057">
        <w:rPr>
          <w:szCs w:val="22"/>
          <w:lang w:val="sr-Latn-ME"/>
        </w:rPr>
        <w:t>nedjelj</w:t>
      </w:r>
      <w:r w:rsidR="00874309" w:rsidRPr="00F24057">
        <w:rPr>
          <w:szCs w:val="22"/>
          <w:lang w:val="sr-Latn-ME"/>
        </w:rPr>
        <w:t>e</w:t>
      </w:r>
      <w:r w:rsidRPr="00F24057">
        <w:rPr>
          <w:szCs w:val="22"/>
          <w:lang w:val="sr-Latn-ME"/>
        </w:rPr>
        <w:t xml:space="preserve"> (0,6 mg /kg) i maksimaln</w:t>
      </w:r>
      <w:r w:rsidR="00596048" w:rsidRPr="00F24057">
        <w:rPr>
          <w:szCs w:val="22"/>
          <w:lang w:val="sr-Latn-ME"/>
        </w:rPr>
        <w:t>om dozom</w:t>
      </w:r>
      <w:r w:rsidRPr="00F24057">
        <w:rPr>
          <w:szCs w:val="22"/>
          <w:lang w:val="sr-Latn-ME"/>
        </w:rPr>
        <w:t xml:space="preserve"> od 40 mg </w:t>
      </w:r>
      <w:r w:rsidR="00874309" w:rsidRPr="00F24057">
        <w:rPr>
          <w:szCs w:val="22"/>
          <w:lang w:val="sr-Latn-ME"/>
        </w:rPr>
        <w:t xml:space="preserve">svake </w:t>
      </w:r>
      <w:r w:rsidR="00885A78" w:rsidRPr="00F24057">
        <w:rPr>
          <w:szCs w:val="22"/>
          <w:lang w:val="sr-Latn-ME"/>
        </w:rPr>
        <w:t>nedjelj</w:t>
      </w:r>
      <w:r w:rsidR="00874309" w:rsidRPr="00F24057">
        <w:rPr>
          <w:szCs w:val="22"/>
          <w:lang w:val="sr-Latn-ME"/>
        </w:rPr>
        <w:t>e</w:t>
      </w:r>
      <w:r w:rsidRPr="00F24057">
        <w:rPr>
          <w:szCs w:val="22"/>
          <w:lang w:val="sr-Latn-ME"/>
        </w:rPr>
        <w:t xml:space="preserve"> (0,6 mg/kg) (tabela 32).</w:t>
      </w:r>
    </w:p>
    <w:p w14:paraId="5A601A96" w14:textId="33E8DC70" w:rsidR="009F7168" w:rsidRPr="00F24057" w:rsidRDefault="009F7168" w:rsidP="00D70B34">
      <w:pPr>
        <w:rPr>
          <w:szCs w:val="22"/>
          <w:lang w:val="sr-Latn-ME"/>
        </w:rPr>
      </w:pPr>
    </w:p>
    <w:p w14:paraId="22B43CFF" w14:textId="168FDC67" w:rsidR="00596048" w:rsidRPr="00F24057" w:rsidRDefault="00337867" w:rsidP="00D70B34">
      <w:pPr>
        <w:rPr>
          <w:b/>
          <w:bCs/>
          <w:szCs w:val="22"/>
          <w:lang w:val="sr-Latn-ME"/>
        </w:rPr>
      </w:pPr>
      <w:r w:rsidRPr="00F24057">
        <w:rPr>
          <w:b/>
          <w:bCs/>
          <w:szCs w:val="22"/>
          <w:lang w:val="sr-Latn-ME"/>
        </w:rPr>
        <w:t xml:space="preserve">Tabela 32: </w:t>
      </w:r>
      <w:r w:rsidR="00D71F53" w:rsidRPr="00F24057">
        <w:rPr>
          <w:b/>
          <w:bCs/>
          <w:szCs w:val="22"/>
          <w:lang w:val="sr-Latn-ME"/>
        </w:rPr>
        <w:t>Rezultati efikasnosti u 52.</w:t>
      </w:r>
      <w:r w:rsidR="00FF69C7" w:rsidRPr="00F24057">
        <w:rPr>
          <w:b/>
          <w:bCs/>
          <w:szCs w:val="22"/>
          <w:lang w:val="sr-Latn-ME"/>
        </w:rPr>
        <w:t xml:space="preserve"> </w:t>
      </w:r>
      <w:r w:rsidR="00885A78" w:rsidRPr="00F24057">
        <w:rPr>
          <w:b/>
          <w:bCs/>
          <w:szCs w:val="22"/>
          <w:lang w:val="sr-Latn-ME"/>
        </w:rPr>
        <w:t>nedjelj</w:t>
      </w:r>
      <w:r w:rsidR="00D71F53" w:rsidRPr="00F24057">
        <w:rPr>
          <w:b/>
          <w:bCs/>
          <w:szCs w:val="22"/>
          <w:lang w:val="sr-Latn-ME"/>
        </w:rPr>
        <w:t>i</w:t>
      </w:r>
    </w:p>
    <w:p w14:paraId="20D3146C" w14:textId="77777777" w:rsidR="00596048" w:rsidRPr="00F24057" w:rsidRDefault="00596048"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815"/>
        <w:gridCol w:w="2218"/>
        <w:gridCol w:w="1984"/>
      </w:tblGrid>
      <w:tr w:rsidR="00D71F53" w:rsidRPr="00F24057" w14:paraId="6774B242" w14:textId="77777777" w:rsidTr="00E933AC">
        <w:trPr>
          <w:trHeight w:val="20"/>
        </w:trPr>
        <w:tc>
          <w:tcPr>
            <w:tcW w:w="2670" w:type="pct"/>
          </w:tcPr>
          <w:p w14:paraId="587154E6" w14:textId="77777777" w:rsidR="00D71F53" w:rsidRPr="00F24057" w:rsidRDefault="00D71F53" w:rsidP="00D70B34">
            <w:pPr>
              <w:rPr>
                <w:szCs w:val="22"/>
                <w:lang w:val="sr-Latn-ME"/>
              </w:rPr>
            </w:pPr>
          </w:p>
        </w:tc>
        <w:tc>
          <w:tcPr>
            <w:tcW w:w="1230" w:type="pct"/>
            <w:vAlign w:val="center"/>
          </w:tcPr>
          <w:p w14:paraId="28CDD6BE" w14:textId="77777777" w:rsidR="00D71F53" w:rsidRPr="00F24057" w:rsidRDefault="00D71F53" w:rsidP="00D70B34">
            <w:pPr>
              <w:jc w:val="center"/>
              <w:rPr>
                <w:b/>
                <w:bCs/>
                <w:szCs w:val="22"/>
                <w:vertAlign w:val="superscript"/>
                <w:lang w:val="sr-Latn-ME"/>
              </w:rPr>
            </w:pPr>
            <w:r w:rsidRPr="00F24057">
              <w:rPr>
                <w:b/>
                <w:bCs/>
                <w:szCs w:val="22"/>
                <w:lang w:val="sr-Latn-ME"/>
              </w:rPr>
              <w:t>Adalimumab</w:t>
            </w:r>
            <w:r w:rsidR="00B54583" w:rsidRPr="00F24057">
              <w:rPr>
                <w:b/>
                <w:bCs/>
                <w:szCs w:val="22"/>
                <w:vertAlign w:val="superscript"/>
                <w:lang w:val="sr-Latn-ME"/>
              </w:rPr>
              <w:t>a</w:t>
            </w:r>
          </w:p>
          <w:p w14:paraId="55A7D83E" w14:textId="3165FDC7" w:rsidR="00B54583" w:rsidRPr="00F24057" w:rsidRDefault="00B54583" w:rsidP="00D70B34">
            <w:pPr>
              <w:jc w:val="center"/>
              <w:rPr>
                <w:b/>
                <w:bCs/>
                <w:szCs w:val="22"/>
                <w:lang w:val="sr-Latn-ME"/>
              </w:rPr>
            </w:pPr>
            <w:r w:rsidRPr="00F24057">
              <w:rPr>
                <w:b/>
                <w:bCs/>
                <w:szCs w:val="22"/>
                <w:lang w:val="sr-Latn-ME"/>
              </w:rPr>
              <w:t xml:space="preserve">Maksimalno 40 mg svake druge </w:t>
            </w:r>
            <w:r w:rsidR="00885A78" w:rsidRPr="00F24057">
              <w:rPr>
                <w:b/>
                <w:bCs/>
                <w:szCs w:val="22"/>
                <w:lang w:val="sr-Latn-ME"/>
              </w:rPr>
              <w:t>nedjelj</w:t>
            </w:r>
            <w:r w:rsidRPr="00F24057">
              <w:rPr>
                <w:b/>
                <w:bCs/>
                <w:szCs w:val="22"/>
                <w:lang w:val="sr-Latn-ME"/>
              </w:rPr>
              <w:t>e</w:t>
            </w:r>
          </w:p>
          <w:p w14:paraId="0ED2E728" w14:textId="5AAD6F0A" w:rsidR="00B54583" w:rsidRPr="00F24057" w:rsidRDefault="00B54583" w:rsidP="00D70B34">
            <w:pPr>
              <w:jc w:val="center"/>
              <w:rPr>
                <w:b/>
                <w:bCs/>
                <w:szCs w:val="22"/>
                <w:lang w:val="sr-Latn-ME"/>
              </w:rPr>
            </w:pPr>
            <w:r w:rsidRPr="00F24057">
              <w:rPr>
                <w:b/>
                <w:bCs/>
                <w:szCs w:val="22"/>
                <w:lang w:val="sr-Latn-ME"/>
              </w:rPr>
              <w:t>N=31</w:t>
            </w:r>
          </w:p>
        </w:tc>
        <w:tc>
          <w:tcPr>
            <w:tcW w:w="1100" w:type="pct"/>
            <w:vAlign w:val="center"/>
          </w:tcPr>
          <w:p w14:paraId="39D58B6D" w14:textId="77777777" w:rsidR="00D71F53" w:rsidRPr="00F24057" w:rsidRDefault="00B54583" w:rsidP="00D70B34">
            <w:pPr>
              <w:jc w:val="center"/>
              <w:rPr>
                <w:b/>
                <w:bCs/>
                <w:szCs w:val="22"/>
                <w:vertAlign w:val="superscript"/>
                <w:lang w:val="sr-Latn-ME"/>
              </w:rPr>
            </w:pPr>
            <w:r w:rsidRPr="00F24057">
              <w:rPr>
                <w:b/>
                <w:bCs/>
                <w:szCs w:val="22"/>
                <w:lang w:val="sr-Latn-ME"/>
              </w:rPr>
              <w:t>Adalimumab</w:t>
            </w:r>
            <w:r w:rsidRPr="00F24057">
              <w:rPr>
                <w:b/>
                <w:bCs/>
                <w:szCs w:val="22"/>
                <w:vertAlign w:val="superscript"/>
                <w:lang w:val="sr-Latn-ME"/>
              </w:rPr>
              <w:t>b</w:t>
            </w:r>
          </w:p>
          <w:p w14:paraId="50529D0D" w14:textId="275E865F" w:rsidR="00B54583" w:rsidRPr="00F24057" w:rsidRDefault="00B54583" w:rsidP="00D70B34">
            <w:pPr>
              <w:jc w:val="center"/>
              <w:rPr>
                <w:b/>
                <w:bCs/>
                <w:szCs w:val="22"/>
                <w:lang w:val="sr-Latn-ME"/>
              </w:rPr>
            </w:pPr>
            <w:r w:rsidRPr="00F24057">
              <w:rPr>
                <w:b/>
                <w:bCs/>
                <w:szCs w:val="22"/>
                <w:lang w:val="sr-Latn-ME"/>
              </w:rPr>
              <w:t xml:space="preserve">Maksimalno 40 mg svake </w:t>
            </w:r>
            <w:r w:rsidR="00885A78" w:rsidRPr="00F24057">
              <w:rPr>
                <w:b/>
                <w:bCs/>
                <w:szCs w:val="22"/>
                <w:lang w:val="sr-Latn-ME"/>
              </w:rPr>
              <w:t>nedjelj</w:t>
            </w:r>
            <w:r w:rsidRPr="00F24057">
              <w:rPr>
                <w:b/>
                <w:bCs/>
                <w:szCs w:val="22"/>
                <w:lang w:val="sr-Latn-ME"/>
              </w:rPr>
              <w:t>e</w:t>
            </w:r>
          </w:p>
          <w:p w14:paraId="4BFA96B6" w14:textId="0C5FEE5E" w:rsidR="00B54583" w:rsidRPr="00F24057" w:rsidRDefault="00B54583" w:rsidP="00D70B34">
            <w:pPr>
              <w:jc w:val="center"/>
              <w:rPr>
                <w:b/>
                <w:bCs/>
                <w:szCs w:val="22"/>
                <w:lang w:val="sr-Latn-ME"/>
              </w:rPr>
            </w:pPr>
            <w:r w:rsidRPr="00F24057">
              <w:rPr>
                <w:b/>
                <w:bCs/>
                <w:szCs w:val="22"/>
                <w:lang w:val="sr-Latn-ME"/>
              </w:rPr>
              <w:t>N=31</w:t>
            </w:r>
          </w:p>
        </w:tc>
      </w:tr>
      <w:tr w:rsidR="00D71F53" w:rsidRPr="00F24057" w14:paraId="377AEAB6" w14:textId="77777777" w:rsidTr="00E933AC">
        <w:trPr>
          <w:trHeight w:val="20"/>
        </w:trPr>
        <w:tc>
          <w:tcPr>
            <w:tcW w:w="2670" w:type="pct"/>
            <w:vAlign w:val="center"/>
          </w:tcPr>
          <w:p w14:paraId="02E78EA2" w14:textId="204CFC91" w:rsidR="00D71F53" w:rsidRPr="00F24057" w:rsidRDefault="00796C70" w:rsidP="00D70B34">
            <w:pPr>
              <w:jc w:val="left"/>
              <w:rPr>
                <w:szCs w:val="22"/>
                <w:lang w:val="sr-Latn-ME"/>
              </w:rPr>
            </w:pPr>
            <w:r w:rsidRPr="00F24057">
              <w:rPr>
                <w:szCs w:val="22"/>
                <w:lang w:val="sr-Latn-ME"/>
              </w:rPr>
              <w:lastRenderedPageBreak/>
              <w:t>Klinička remisija p</w:t>
            </w:r>
            <w:r w:rsidR="00480F8D" w:rsidRPr="00F24057">
              <w:rPr>
                <w:szCs w:val="22"/>
                <w:lang w:val="sr-Latn-ME"/>
              </w:rPr>
              <w:t>rema</w:t>
            </w:r>
            <w:r w:rsidRPr="00F24057">
              <w:rPr>
                <w:szCs w:val="22"/>
                <w:lang w:val="sr-Latn-ME"/>
              </w:rPr>
              <w:t xml:space="preserve"> PMS kod bolesnika sa odgovorom u 8. </w:t>
            </w:r>
            <w:r w:rsidR="00885A78" w:rsidRPr="00F24057">
              <w:rPr>
                <w:szCs w:val="22"/>
                <w:lang w:val="sr-Latn-ME"/>
              </w:rPr>
              <w:t>nedjelj</w:t>
            </w:r>
            <w:r w:rsidRPr="00F24057">
              <w:rPr>
                <w:szCs w:val="22"/>
                <w:lang w:val="sr-Latn-ME"/>
              </w:rPr>
              <w:t>i</w:t>
            </w:r>
          </w:p>
        </w:tc>
        <w:tc>
          <w:tcPr>
            <w:tcW w:w="1230" w:type="pct"/>
            <w:vAlign w:val="center"/>
          </w:tcPr>
          <w:p w14:paraId="08578B9C" w14:textId="13409460" w:rsidR="00D71F53" w:rsidRPr="00F24057" w:rsidRDefault="00761A9D" w:rsidP="00D70B34">
            <w:pPr>
              <w:jc w:val="center"/>
              <w:rPr>
                <w:szCs w:val="22"/>
                <w:lang w:val="sr-Latn-ME"/>
              </w:rPr>
            </w:pPr>
            <w:r w:rsidRPr="00F24057">
              <w:rPr>
                <w:szCs w:val="22"/>
                <w:lang w:val="sr-Latn-ME"/>
              </w:rPr>
              <w:t>9/31 (29</w:t>
            </w:r>
            <w:r w:rsidR="005C5218" w:rsidRPr="00F24057">
              <w:rPr>
                <w:szCs w:val="22"/>
                <w:lang w:val="sr-Latn-ME"/>
              </w:rPr>
              <w:t>,</w:t>
            </w:r>
            <w:r w:rsidRPr="00F24057">
              <w:rPr>
                <w:szCs w:val="22"/>
                <w:lang w:val="sr-Latn-ME"/>
              </w:rPr>
              <w:t>0%)</w:t>
            </w:r>
          </w:p>
        </w:tc>
        <w:tc>
          <w:tcPr>
            <w:tcW w:w="1100" w:type="pct"/>
            <w:vAlign w:val="center"/>
          </w:tcPr>
          <w:p w14:paraId="2193A057" w14:textId="1F9CCE94" w:rsidR="00D71F53" w:rsidRPr="00F24057" w:rsidRDefault="005C5218" w:rsidP="00D70B34">
            <w:pPr>
              <w:jc w:val="center"/>
              <w:rPr>
                <w:szCs w:val="22"/>
                <w:lang w:val="sr-Latn-ME"/>
              </w:rPr>
            </w:pPr>
            <w:r w:rsidRPr="00F24057">
              <w:rPr>
                <w:szCs w:val="22"/>
                <w:lang w:val="sr-Latn-ME"/>
              </w:rPr>
              <w:t>1</w:t>
            </w:r>
            <w:r w:rsidR="00761A9D" w:rsidRPr="00F24057">
              <w:rPr>
                <w:szCs w:val="22"/>
                <w:lang w:val="sr-Latn-ME"/>
              </w:rPr>
              <w:t>4/</w:t>
            </w:r>
            <w:r w:rsidRPr="00F24057">
              <w:rPr>
                <w:szCs w:val="22"/>
                <w:lang w:val="sr-Latn-ME"/>
              </w:rPr>
              <w:t>31</w:t>
            </w:r>
            <w:r w:rsidR="00761A9D" w:rsidRPr="00F24057">
              <w:rPr>
                <w:szCs w:val="22"/>
                <w:lang w:val="sr-Latn-ME"/>
              </w:rPr>
              <w:t xml:space="preserve"> (</w:t>
            </w:r>
            <w:r w:rsidRPr="00F24057">
              <w:rPr>
                <w:szCs w:val="22"/>
                <w:lang w:val="sr-Latn-ME"/>
              </w:rPr>
              <w:t>45.2</w:t>
            </w:r>
            <w:r w:rsidR="00761A9D" w:rsidRPr="00F24057">
              <w:rPr>
                <w:szCs w:val="22"/>
                <w:lang w:val="sr-Latn-ME"/>
              </w:rPr>
              <w:t>%)</w:t>
            </w:r>
          </w:p>
        </w:tc>
      </w:tr>
      <w:tr w:rsidR="00D71F53" w:rsidRPr="00F24057" w14:paraId="5CC80C83" w14:textId="77777777" w:rsidTr="00E933AC">
        <w:trPr>
          <w:trHeight w:val="20"/>
        </w:trPr>
        <w:tc>
          <w:tcPr>
            <w:tcW w:w="2670" w:type="pct"/>
            <w:vAlign w:val="center"/>
          </w:tcPr>
          <w:p w14:paraId="018B0CCB" w14:textId="4B49661D" w:rsidR="00D71F53" w:rsidRPr="00F24057" w:rsidRDefault="00796C70" w:rsidP="00D70B34">
            <w:pPr>
              <w:jc w:val="left"/>
              <w:rPr>
                <w:szCs w:val="22"/>
                <w:lang w:val="sr-Latn-ME"/>
              </w:rPr>
            </w:pPr>
            <w:r w:rsidRPr="00F24057">
              <w:rPr>
                <w:szCs w:val="22"/>
                <w:lang w:val="sr-Latn-ME"/>
              </w:rPr>
              <w:t>Klinički odgovor p</w:t>
            </w:r>
            <w:r w:rsidR="00480F8D" w:rsidRPr="00F24057">
              <w:rPr>
                <w:szCs w:val="22"/>
                <w:lang w:val="sr-Latn-ME"/>
              </w:rPr>
              <w:t>rema</w:t>
            </w:r>
            <w:r w:rsidRPr="00F24057">
              <w:rPr>
                <w:szCs w:val="22"/>
                <w:lang w:val="sr-Latn-ME"/>
              </w:rPr>
              <w:t xml:space="preserve"> PMS kod bolesnika sa odgovorom u 8. </w:t>
            </w:r>
            <w:r w:rsidR="00885A78" w:rsidRPr="00F24057">
              <w:rPr>
                <w:szCs w:val="22"/>
                <w:lang w:val="sr-Latn-ME"/>
              </w:rPr>
              <w:t>nedjelj</w:t>
            </w:r>
            <w:r w:rsidRPr="00F24057">
              <w:rPr>
                <w:szCs w:val="22"/>
                <w:lang w:val="sr-Latn-ME"/>
              </w:rPr>
              <w:t>i</w:t>
            </w:r>
          </w:p>
        </w:tc>
        <w:tc>
          <w:tcPr>
            <w:tcW w:w="1230" w:type="pct"/>
            <w:vAlign w:val="center"/>
          </w:tcPr>
          <w:p w14:paraId="4E767A3F" w14:textId="24962719" w:rsidR="00D71F53" w:rsidRPr="00F24057" w:rsidRDefault="005C5218" w:rsidP="00D70B34">
            <w:pPr>
              <w:jc w:val="center"/>
              <w:rPr>
                <w:szCs w:val="22"/>
                <w:lang w:val="sr-Latn-ME"/>
              </w:rPr>
            </w:pPr>
            <w:r w:rsidRPr="00F24057">
              <w:rPr>
                <w:szCs w:val="22"/>
                <w:lang w:val="sr-Latn-ME"/>
              </w:rPr>
              <w:t>1</w:t>
            </w:r>
            <w:r w:rsidR="00761A9D" w:rsidRPr="00F24057">
              <w:rPr>
                <w:szCs w:val="22"/>
                <w:lang w:val="sr-Latn-ME"/>
              </w:rPr>
              <w:t>9/31 (</w:t>
            </w:r>
            <w:r w:rsidRPr="00F24057">
              <w:rPr>
                <w:szCs w:val="22"/>
                <w:lang w:val="sr-Latn-ME"/>
              </w:rPr>
              <w:t>61,3</w:t>
            </w:r>
            <w:r w:rsidR="00761A9D" w:rsidRPr="00F24057">
              <w:rPr>
                <w:szCs w:val="22"/>
                <w:lang w:val="sr-Latn-ME"/>
              </w:rPr>
              <w:t>%)</w:t>
            </w:r>
          </w:p>
        </w:tc>
        <w:tc>
          <w:tcPr>
            <w:tcW w:w="1100" w:type="pct"/>
            <w:vAlign w:val="center"/>
          </w:tcPr>
          <w:p w14:paraId="323CAD10" w14:textId="74B680EC" w:rsidR="00D71F53" w:rsidRPr="00F24057" w:rsidRDefault="005C5218" w:rsidP="00D70B34">
            <w:pPr>
              <w:jc w:val="center"/>
              <w:rPr>
                <w:szCs w:val="22"/>
                <w:lang w:val="sr-Latn-ME"/>
              </w:rPr>
            </w:pPr>
            <w:r w:rsidRPr="00F24057">
              <w:rPr>
                <w:szCs w:val="22"/>
                <w:lang w:val="sr-Latn-ME"/>
              </w:rPr>
              <w:t>21/31 (67,7%)</w:t>
            </w:r>
          </w:p>
        </w:tc>
      </w:tr>
      <w:tr w:rsidR="00D71F53" w:rsidRPr="00F24057" w14:paraId="403361BA" w14:textId="77777777" w:rsidTr="00E933AC">
        <w:trPr>
          <w:trHeight w:val="20"/>
        </w:trPr>
        <w:tc>
          <w:tcPr>
            <w:tcW w:w="2670" w:type="pct"/>
            <w:vAlign w:val="center"/>
          </w:tcPr>
          <w:p w14:paraId="0194E54B" w14:textId="645F386D" w:rsidR="00D71F53" w:rsidRPr="00F24057" w:rsidRDefault="00B10C30" w:rsidP="00D70B34">
            <w:pPr>
              <w:jc w:val="left"/>
              <w:rPr>
                <w:szCs w:val="22"/>
                <w:lang w:val="sr-Latn-ME"/>
              </w:rPr>
            </w:pPr>
            <w:r w:rsidRPr="00F24057">
              <w:rPr>
                <w:szCs w:val="22"/>
                <w:lang w:val="sr-Latn-ME"/>
              </w:rPr>
              <w:t>Z</w:t>
            </w:r>
            <w:r w:rsidR="004F3783" w:rsidRPr="00F24057">
              <w:rPr>
                <w:szCs w:val="22"/>
                <w:lang w:val="sr-Latn-ME"/>
              </w:rPr>
              <w:t>a</w:t>
            </w:r>
            <w:r w:rsidR="0030064A" w:rsidRPr="00F24057">
              <w:rPr>
                <w:szCs w:val="22"/>
                <w:lang w:val="sr-Latn-ME"/>
              </w:rPr>
              <w:t>liječenje</w:t>
            </w:r>
            <w:r w:rsidR="004F3783" w:rsidRPr="00F24057">
              <w:rPr>
                <w:szCs w:val="22"/>
                <w:lang w:val="sr-Latn-ME"/>
              </w:rPr>
              <w:t xml:space="preserve"> mukoze </w:t>
            </w:r>
            <w:r w:rsidRPr="00F24057">
              <w:rPr>
                <w:szCs w:val="22"/>
                <w:lang w:val="sr-Latn-ME"/>
              </w:rPr>
              <w:t>kod bolesnika sa odgovorom</w:t>
            </w:r>
            <w:r w:rsidR="004F3783" w:rsidRPr="00F24057">
              <w:rPr>
                <w:szCs w:val="22"/>
                <w:lang w:val="sr-Latn-ME"/>
              </w:rPr>
              <w:t xml:space="preserve"> </w:t>
            </w:r>
            <w:r w:rsidRPr="00F24057">
              <w:rPr>
                <w:szCs w:val="22"/>
                <w:lang w:val="sr-Latn-ME"/>
              </w:rPr>
              <w:t xml:space="preserve">u </w:t>
            </w:r>
            <w:r w:rsidR="004F3783" w:rsidRPr="00F24057">
              <w:rPr>
                <w:szCs w:val="22"/>
                <w:lang w:val="sr-Latn-ME"/>
              </w:rPr>
              <w:t xml:space="preserve">8. </w:t>
            </w:r>
            <w:r w:rsidR="00885A78" w:rsidRPr="00F24057">
              <w:rPr>
                <w:szCs w:val="22"/>
                <w:lang w:val="sr-Latn-ME"/>
              </w:rPr>
              <w:t>nedjelj</w:t>
            </w:r>
            <w:r w:rsidR="004F3783" w:rsidRPr="00F24057">
              <w:rPr>
                <w:szCs w:val="22"/>
                <w:lang w:val="sr-Latn-ME"/>
              </w:rPr>
              <w:t xml:space="preserve">i </w:t>
            </w:r>
            <w:r w:rsidR="0028775B" w:rsidRPr="00F24057">
              <w:rPr>
                <w:szCs w:val="22"/>
                <w:lang w:val="sr-Latn-ME"/>
              </w:rPr>
              <w:t>p</w:t>
            </w:r>
            <w:r w:rsidR="00480F8D" w:rsidRPr="00F24057">
              <w:rPr>
                <w:szCs w:val="22"/>
                <w:lang w:val="sr-Latn-ME"/>
              </w:rPr>
              <w:t>rema</w:t>
            </w:r>
            <w:r w:rsidR="0028775B" w:rsidRPr="00F24057">
              <w:rPr>
                <w:szCs w:val="22"/>
                <w:lang w:val="sr-Latn-ME"/>
              </w:rPr>
              <w:t xml:space="preserve"> </w:t>
            </w:r>
            <w:r w:rsidR="004F3783" w:rsidRPr="00F24057">
              <w:rPr>
                <w:szCs w:val="22"/>
                <w:lang w:val="sr-Latn-ME"/>
              </w:rPr>
              <w:t>PMS</w:t>
            </w:r>
          </w:p>
        </w:tc>
        <w:tc>
          <w:tcPr>
            <w:tcW w:w="1230" w:type="pct"/>
            <w:vAlign w:val="center"/>
          </w:tcPr>
          <w:p w14:paraId="482D30B5" w14:textId="33919950" w:rsidR="00D71F53" w:rsidRPr="00F24057" w:rsidRDefault="00761A9D" w:rsidP="00D70B34">
            <w:pPr>
              <w:jc w:val="center"/>
              <w:rPr>
                <w:szCs w:val="22"/>
                <w:lang w:val="sr-Latn-ME"/>
              </w:rPr>
            </w:pPr>
            <w:r w:rsidRPr="00F24057">
              <w:rPr>
                <w:szCs w:val="22"/>
                <w:lang w:val="sr-Latn-ME"/>
              </w:rPr>
              <w:t>12/31 (38</w:t>
            </w:r>
            <w:r w:rsidR="005C5218" w:rsidRPr="00F24057">
              <w:rPr>
                <w:szCs w:val="22"/>
                <w:lang w:val="sr-Latn-ME"/>
              </w:rPr>
              <w:t>,</w:t>
            </w:r>
            <w:r w:rsidRPr="00F24057">
              <w:rPr>
                <w:szCs w:val="22"/>
                <w:lang w:val="sr-Latn-ME"/>
              </w:rPr>
              <w:t>7%)</w:t>
            </w:r>
          </w:p>
        </w:tc>
        <w:tc>
          <w:tcPr>
            <w:tcW w:w="1100" w:type="pct"/>
            <w:vAlign w:val="center"/>
          </w:tcPr>
          <w:p w14:paraId="08B26E05" w14:textId="5247F8D2" w:rsidR="00D71F53" w:rsidRPr="00F24057" w:rsidRDefault="005C5218" w:rsidP="00D70B34">
            <w:pPr>
              <w:jc w:val="center"/>
              <w:rPr>
                <w:szCs w:val="22"/>
                <w:lang w:val="sr-Latn-ME"/>
              </w:rPr>
            </w:pPr>
            <w:r w:rsidRPr="00F24057">
              <w:rPr>
                <w:szCs w:val="22"/>
                <w:lang w:val="sr-Latn-ME"/>
              </w:rPr>
              <w:t>16/31 (51,6%)</w:t>
            </w:r>
          </w:p>
        </w:tc>
      </w:tr>
      <w:tr w:rsidR="00D71F53" w:rsidRPr="00F24057" w14:paraId="731579A8" w14:textId="77777777" w:rsidTr="00E933AC">
        <w:trPr>
          <w:trHeight w:val="20"/>
        </w:trPr>
        <w:tc>
          <w:tcPr>
            <w:tcW w:w="2670" w:type="pct"/>
            <w:vAlign w:val="center"/>
          </w:tcPr>
          <w:p w14:paraId="0E38E0FC" w14:textId="2E031765" w:rsidR="00D71F53" w:rsidRPr="00F24057" w:rsidRDefault="001B0235" w:rsidP="00D70B34">
            <w:pPr>
              <w:jc w:val="left"/>
              <w:rPr>
                <w:szCs w:val="22"/>
                <w:lang w:val="sr-Latn-ME"/>
              </w:rPr>
            </w:pPr>
            <w:r w:rsidRPr="00F24057">
              <w:rPr>
                <w:szCs w:val="22"/>
                <w:lang w:val="sr-Latn-ME"/>
              </w:rPr>
              <w:t xml:space="preserve">Klinička remisija </w:t>
            </w:r>
            <w:r w:rsidR="00B10C30" w:rsidRPr="00F24057">
              <w:rPr>
                <w:szCs w:val="22"/>
                <w:lang w:val="sr-Latn-ME"/>
              </w:rPr>
              <w:t xml:space="preserve">kod bolesnika u remisiji </w:t>
            </w:r>
            <w:r w:rsidRPr="00F24057">
              <w:rPr>
                <w:szCs w:val="22"/>
                <w:lang w:val="sr-Latn-ME"/>
              </w:rPr>
              <w:t xml:space="preserve">u 8. </w:t>
            </w:r>
            <w:r w:rsidR="00885A78" w:rsidRPr="00F24057">
              <w:rPr>
                <w:szCs w:val="22"/>
                <w:lang w:val="sr-Latn-ME"/>
              </w:rPr>
              <w:t>nedjelj</w:t>
            </w:r>
            <w:r w:rsidRPr="00F24057">
              <w:rPr>
                <w:szCs w:val="22"/>
                <w:lang w:val="sr-Latn-ME"/>
              </w:rPr>
              <w:t xml:space="preserve">i </w:t>
            </w:r>
            <w:r w:rsidR="00480F8D" w:rsidRPr="00F24057">
              <w:rPr>
                <w:szCs w:val="22"/>
                <w:lang w:val="sr-Latn-ME"/>
              </w:rPr>
              <w:t xml:space="preserve">prema </w:t>
            </w:r>
            <w:r w:rsidRPr="00F24057">
              <w:rPr>
                <w:szCs w:val="22"/>
                <w:lang w:val="sr-Latn-ME"/>
              </w:rPr>
              <w:t xml:space="preserve">PMS </w:t>
            </w:r>
          </w:p>
        </w:tc>
        <w:tc>
          <w:tcPr>
            <w:tcW w:w="1230" w:type="pct"/>
            <w:vAlign w:val="center"/>
          </w:tcPr>
          <w:p w14:paraId="371BD0CE" w14:textId="19611799" w:rsidR="00D71F53" w:rsidRPr="00F24057" w:rsidRDefault="005C5218" w:rsidP="00D70B34">
            <w:pPr>
              <w:jc w:val="center"/>
              <w:rPr>
                <w:szCs w:val="22"/>
                <w:lang w:val="sr-Latn-ME"/>
              </w:rPr>
            </w:pPr>
            <w:r w:rsidRPr="00F24057">
              <w:rPr>
                <w:szCs w:val="22"/>
                <w:lang w:val="sr-Latn-ME"/>
              </w:rPr>
              <w:t>9</w:t>
            </w:r>
            <w:r w:rsidR="00761A9D" w:rsidRPr="00F24057">
              <w:rPr>
                <w:szCs w:val="22"/>
                <w:lang w:val="sr-Latn-ME"/>
              </w:rPr>
              <w:t>/</w:t>
            </w:r>
            <w:r w:rsidRPr="00F24057">
              <w:rPr>
                <w:szCs w:val="22"/>
                <w:lang w:val="sr-Latn-ME"/>
              </w:rPr>
              <w:t>2</w:t>
            </w:r>
            <w:r w:rsidR="00761A9D" w:rsidRPr="00F24057">
              <w:rPr>
                <w:szCs w:val="22"/>
                <w:lang w:val="sr-Latn-ME"/>
              </w:rPr>
              <w:t>1 (</w:t>
            </w:r>
            <w:r w:rsidRPr="00F24057">
              <w:rPr>
                <w:szCs w:val="22"/>
                <w:lang w:val="sr-Latn-ME"/>
              </w:rPr>
              <w:t>42,9</w:t>
            </w:r>
            <w:r w:rsidR="00761A9D" w:rsidRPr="00F24057">
              <w:rPr>
                <w:szCs w:val="22"/>
                <w:lang w:val="sr-Latn-ME"/>
              </w:rPr>
              <w:t>%)</w:t>
            </w:r>
          </w:p>
        </w:tc>
        <w:tc>
          <w:tcPr>
            <w:tcW w:w="1100" w:type="pct"/>
            <w:vAlign w:val="center"/>
          </w:tcPr>
          <w:p w14:paraId="41263D96" w14:textId="4A2CB31B" w:rsidR="00D71F53" w:rsidRPr="00F24057" w:rsidRDefault="004171A5" w:rsidP="00D70B34">
            <w:pPr>
              <w:jc w:val="center"/>
              <w:rPr>
                <w:szCs w:val="22"/>
                <w:lang w:val="sr-Latn-ME"/>
              </w:rPr>
            </w:pPr>
            <w:r w:rsidRPr="00F24057">
              <w:rPr>
                <w:szCs w:val="22"/>
                <w:lang w:val="sr-Latn-ME"/>
              </w:rPr>
              <w:t>10/22 (45,5%)</w:t>
            </w:r>
          </w:p>
        </w:tc>
      </w:tr>
      <w:tr w:rsidR="00D71F53" w:rsidRPr="00F24057" w14:paraId="30EA04E7" w14:textId="77777777" w:rsidTr="00E933AC">
        <w:trPr>
          <w:trHeight w:val="20"/>
        </w:trPr>
        <w:tc>
          <w:tcPr>
            <w:tcW w:w="2670" w:type="pct"/>
            <w:vAlign w:val="center"/>
          </w:tcPr>
          <w:p w14:paraId="19E91DE4" w14:textId="299536B0" w:rsidR="00D71F53" w:rsidRPr="00F24057" w:rsidRDefault="00480F8D" w:rsidP="00D70B34">
            <w:pPr>
              <w:jc w:val="left"/>
              <w:rPr>
                <w:szCs w:val="22"/>
                <w:lang w:val="sr-Latn-ME"/>
              </w:rPr>
            </w:pPr>
            <w:r w:rsidRPr="00F24057">
              <w:rPr>
                <w:szCs w:val="22"/>
                <w:lang w:val="sr-Latn-ME"/>
              </w:rPr>
              <w:t>R</w:t>
            </w:r>
            <w:r w:rsidR="00CF489B" w:rsidRPr="00F24057">
              <w:rPr>
                <w:szCs w:val="22"/>
                <w:lang w:val="sr-Latn-ME"/>
              </w:rPr>
              <w:t>emisija</w:t>
            </w:r>
            <w:r w:rsidR="00FC5332" w:rsidRPr="00F24057">
              <w:rPr>
                <w:szCs w:val="22"/>
                <w:lang w:val="sr-Latn-ME"/>
              </w:rPr>
              <w:t xml:space="preserve"> bez kortikosteroid</w:t>
            </w:r>
            <w:r w:rsidR="004A2172" w:rsidRPr="00F24057">
              <w:rPr>
                <w:szCs w:val="22"/>
                <w:lang w:val="sr-Latn-ME"/>
              </w:rPr>
              <w:t>a</w:t>
            </w:r>
            <w:r w:rsidR="005C5218" w:rsidRPr="00F24057">
              <w:rPr>
                <w:szCs w:val="22"/>
                <w:lang w:val="sr-Latn-ME"/>
              </w:rPr>
              <w:t xml:space="preserve"> </w:t>
            </w:r>
            <w:r w:rsidRPr="00F24057">
              <w:rPr>
                <w:szCs w:val="22"/>
                <w:lang w:val="sr-Latn-ME"/>
              </w:rPr>
              <w:t xml:space="preserve">kod bolesnika sa odgovorom </w:t>
            </w:r>
            <w:r w:rsidR="005C5218" w:rsidRPr="00F24057">
              <w:rPr>
                <w:szCs w:val="22"/>
                <w:lang w:val="sr-Latn-ME"/>
              </w:rPr>
              <w:t xml:space="preserve">u 8. </w:t>
            </w:r>
            <w:r w:rsidR="00885A78" w:rsidRPr="00F24057">
              <w:rPr>
                <w:szCs w:val="22"/>
                <w:lang w:val="sr-Latn-ME"/>
              </w:rPr>
              <w:t>nedjelj</w:t>
            </w:r>
            <w:r w:rsidR="005C5218" w:rsidRPr="00F24057">
              <w:rPr>
                <w:szCs w:val="22"/>
                <w:lang w:val="sr-Latn-ME"/>
              </w:rPr>
              <w:t>i p</w:t>
            </w:r>
            <w:r w:rsidR="00A4203D" w:rsidRPr="00F24057">
              <w:rPr>
                <w:szCs w:val="22"/>
                <w:lang w:val="sr-Latn-ME"/>
              </w:rPr>
              <w:t>rema</w:t>
            </w:r>
            <w:r w:rsidR="005C5218" w:rsidRPr="00F24057">
              <w:rPr>
                <w:szCs w:val="22"/>
                <w:lang w:val="sr-Latn-ME"/>
              </w:rPr>
              <w:t xml:space="preserve"> PMS</w:t>
            </w:r>
            <w:r w:rsidR="00A4203D" w:rsidRPr="00F24057">
              <w:rPr>
                <w:szCs w:val="22"/>
                <w:vertAlign w:val="superscript"/>
                <w:lang w:val="sr-Latn-ME"/>
              </w:rPr>
              <w:t>x</w:t>
            </w:r>
          </w:p>
        </w:tc>
        <w:tc>
          <w:tcPr>
            <w:tcW w:w="1230" w:type="pct"/>
            <w:vAlign w:val="center"/>
          </w:tcPr>
          <w:p w14:paraId="1F2C710C" w14:textId="0B3CDFD1" w:rsidR="00D71F53" w:rsidRPr="00F24057" w:rsidRDefault="00761A9D" w:rsidP="00D70B34">
            <w:pPr>
              <w:jc w:val="center"/>
              <w:rPr>
                <w:szCs w:val="22"/>
                <w:lang w:val="sr-Latn-ME"/>
              </w:rPr>
            </w:pPr>
            <w:r w:rsidRPr="00F24057">
              <w:rPr>
                <w:szCs w:val="22"/>
                <w:lang w:val="sr-Latn-ME"/>
              </w:rPr>
              <w:t>4/13 (30</w:t>
            </w:r>
            <w:r w:rsidR="005C5218" w:rsidRPr="00F24057">
              <w:rPr>
                <w:szCs w:val="22"/>
                <w:lang w:val="sr-Latn-ME"/>
              </w:rPr>
              <w:t>,</w:t>
            </w:r>
            <w:r w:rsidRPr="00F24057">
              <w:rPr>
                <w:szCs w:val="22"/>
                <w:lang w:val="sr-Latn-ME"/>
              </w:rPr>
              <w:t>8%)</w:t>
            </w:r>
          </w:p>
        </w:tc>
        <w:tc>
          <w:tcPr>
            <w:tcW w:w="1100" w:type="pct"/>
            <w:vAlign w:val="center"/>
          </w:tcPr>
          <w:p w14:paraId="06F99C33" w14:textId="25A27BF9" w:rsidR="00D71F53" w:rsidRPr="00F24057" w:rsidRDefault="00EF2D9C" w:rsidP="00D70B34">
            <w:pPr>
              <w:jc w:val="center"/>
              <w:rPr>
                <w:szCs w:val="22"/>
                <w:lang w:val="sr-Latn-ME"/>
              </w:rPr>
            </w:pPr>
            <w:r w:rsidRPr="00F24057">
              <w:rPr>
                <w:szCs w:val="22"/>
                <w:lang w:val="sr-Latn-ME"/>
              </w:rPr>
              <w:t>5/16 (31</w:t>
            </w:r>
            <w:r w:rsidR="005C5218" w:rsidRPr="00F24057">
              <w:rPr>
                <w:szCs w:val="22"/>
                <w:lang w:val="sr-Latn-ME"/>
              </w:rPr>
              <w:t>,</w:t>
            </w:r>
            <w:r w:rsidRPr="00F24057">
              <w:rPr>
                <w:szCs w:val="22"/>
                <w:lang w:val="sr-Latn-ME"/>
              </w:rPr>
              <w:t>3%)</w:t>
            </w:r>
          </w:p>
        </w:tc>
      </w:tr>
    </w:tbl>
    <w:p w14:paraId="34D42783" w14:textId="6247D196" w:rsidR="00DC723F" w:rsidRPr="00F24057" w:rsidRDefault="00DC723F" w:rsidP="00D70B34">
      <w:pPr>
        <w:rPr>
          <w:szCs w:val="22"/>
          <w:lang w:val="sr-Latn-ME"/>
        </w:rPr>
      </w:pPr>
      <w:r w:rsidRPr="00F24057">
        <w:rPr>
          <w:szCs w:val="22"/>
          <w:vertAlign w:val="superscript"/>
          <w:lang w:val="sr-Latn-ME"/>
        </w:rPr>
        <w:t xml:space="preserve">a </w:t>
      </w:r>
      <w:r w:rsidRPr="00F24057">
        <w:rPr>
          <w:szCs w:val="22"/>
          <w:lang w:val="sr-Latn-ME"/>
        </w:rPr>
        <w:t xml:space="preserve">Adalimumab 0,6 mg/kg (maksimalno 40 mg) svake druge </w:t>
      </w:r>
      <w:r w:rsidR="00885A78" w:rsidRPr="00F24057">
        <w:rPr>
          <w:szCs w:val="22"/>
          <w:lang w:val="sr-Latn-ME"/>
        </w:rPr>
        <w:t>nedjelj</w:t>
      </w:r>
      <w:r w:rsidRPr="00F24057">
        <w:rPr>
          <w:szCs w:val="22"/>
          <w:lang w:val="sr-Latn-ME"/>
        </w:rPr>
        <w:t>e</w:t>
      </w:r>
    </w:p>
    <w:p w14:paraId="06F8C42B" w14:textId="56B7CD4A" w:rsidR="00DC723F" w:rsidRPr="00F24057" w:rsidRDefault="00DC723F" w:rsidP="00D70B34">
      <w:pPr>
        <w:rPr>
          <w:szCs w:val="22"/>
          <w:lang w:val="sr-Latn-ME"/>
        </w:rPr>
      </w:pPr>
      <w:r w:rsidRPr="00F24057">
        <w:rPr>
          <w:szCs w:val="22"/>
          <w:vertAlign w:val="superscript"/>
          <w:lang w:val="sr-Latn-ME"/>
        </w:rPr>
        <w:t xml:space="preserve">b </w:t>
      </w:r>
      <w:r w:rsidRPr="00F24057">
        <w:rPr>
          <w:szCs w:val="22"/>
          <w:lang w:val="sr-Latn-ME"/>
        </w:rPr>
        <w:t xml:space="preserve">Adalimumab 0,6 mg/kg (maksimalno 40 mg) svake </w:t>
      </w:r>
      <w:r w:rsidR="00885A78" w:rsidRPr="00F24057">
        <w:rPr>
          <w:szCs w:val="22"/>
          <w:lang w:val="sr-Latn-ME"/>
        </w:rPr>
        <w:t>nedjelj</w:t>
      </w:r>
      <w:r w:rsidRPr="00F24057">
        <w:rPr>
          <w:szCs w:val="22"/>
          <w:lang w:val="sr-Latn-ME"/>
        </w:rPr>
        <w:t>e</w:t>
      </w:r>
    </w:p>
    <w:p w14:paraId="108A6C95" w14:textId="77777777" w:rsidR="00DC723F" w:rsidRPr="00F24057" w:rsidRDefault="00DC723F" w:rsidP="00D70B34">
      <w:pPr>
        <w:rPr>
          <w:szCs w:val="22"/>
          <w:lang w:val="sr-Latn-ME"/>
        </w:rPr>
      </w:pPr>
      <w:r w:rsidRPr="00F24057">
        <w:rPr>
          <w:szCs w:val="22"/>
          <w:vertAlign w:val="superscript"/>
          <w:lang w:val="sr-Latn-ME"/>
        </w:rPr>
        <w:t xml:space="preserve">c </w:t>
      </w:r>
      <w:r w:rsidRPr="00F24057">
        <w:rPr>
          <w:szCs w:val="22"/>
          <w:lang w:val="sr-Latn-ME"/>
        </w:rPr>
        <w:t>Kod pacijenata koji su istovremeno primali kortikosteroide na početku</w:t>
      </w:r>
    </w:p>
    <w:p w14:paraId="75AAEF13" w14:textId="0493474C" w:rsidR="009F7168" w:rsidRPr="00F24057" w:rsidRDefault="00DC723F" w:rsidP="00D70B34">
      <w:pPr>
        <w:rPr>
          <w:szCs w:val="22"/>
          <w:lang w:val="sr-Latn-ME"/>
        </w:rPr>
      </w:pPr>
      <w:r w:rsidRPr="00F24057">
        <w:rPr>
          <w:szCs w:val="22"/>
          <w:lang w:val="sr-Latn-ME"/>
        </w:rPr>
        <w:t xml:space="preserve">Napomena: Pacijenti sa nedostajućim </w:t>
      </w:r>
      <w:r w:rsidR="00972894" w:rsidRPr="00F24057">
        <w:rPr>
          <w:szCs w:val="22"/>
          <w:lang w:val="sr-Latn-ME"/>
        </w:rPr>
        <w:t>vrijedno</w:t>
      </w:r>
      <w:r w:rsidRPr="00F24057">
        <w:rPr>
          <w:szCs w:val="22"/>
          <w:lang w:val="sr-Latn-ME"/>
        </w:rPr>
        <w:t xml:space="preserve">stima u 52. </w:t>
      </w:r>
      <w:r w:rsidR="00885A78" w:rsidRPr="00F24057">
        <w:rPr>
          <w:szCs w:val="22"/>
          <w:lang w:val="sr-Latn-ME"/>
        </w:rPr>
        <w:t>nedjelj</w:t>
      </w:r>
      <w:r w:rsidRPr="00F24057">
        <w:rPr>
          <w:szCs w:val="22"/>
          <w:lang w:val="sr-Latn-ME"/>
        </w:rPr>
        <w:t xml:space="preserve">i ili koji su randomizovani na terapiju </w:t>
      </w:r>
      <w:r w:rsidR="0024532D" w:rsidRPr="00F24057">
        <w:rPr>
          <w:szCs w:val="22"/>
          <w:lang w:val="sr-Latn-ME"/>
        </w:rPr>
        <w:t>re</w:t>
      </w:r>
      <w:r w:rsidRPr="00F24057">
        <w:rPr>
          <w:szCs w:val="22"/>
          <w:lang w:val="sr-Latn-ME"/>
        </w:rPr>
        <w:t xml:space="preserve">indukcije ili </w:t>
      </w:r>
      <w:r w:rsidR="0024532D" w:rsidRPr="00F24057">
        <w:rPr>
          <w:szCs w:val="22"/>
          <w:lang w:val="sr-Latn-ME"/>
        </w:rPr>
        <w:t xml:space="preserve">terapiju </w:t>
      </w:r>
      <w:r w:rsidRPr="00F24057">
        <w:rPr>
          <w:szCs w:val="22"/>
          <w:lang w:val="sr-Latn-ME"/>
        </w:rPr>
        <w:t xml:space="preserve">održavanja smatrani su onima koji nisu </w:t>
      </w:r>
      <w:r w:rsidR="000E3171" w:rsidRPr="00F24057">
        <w:rPr>
          <w:szCs w:val="22"/>
          <w:lang w:val="sr-Latn-ME"/>
        </w:rPr>
        <w:t xml:space="preserve">dostigli </w:t>
      </w:r>
      <w:r w:rsidR="0024532D" w:rsidRPr="00F24057">
        <w:rPr>
          <w:szCs w:val="22"/>
          <w:lang w:val="sr-Latn-ME"/>
        </w:rPr>
        <w:t>odgovor</w:t>
      </w:r>
      <w:r w:rsidRPr="00F24057">
        <w:rPr>
          <w:szCs w:val="22"/>
          <w:lang w:val="sr-Latn-ME"/>
        </w:rPr>
        <w:t xml:space="preserve"> u 52. </w:t>
      </w:r>
      <w:r w:rsidR="00885A78" w:rsidRPr="00F24057">
        <w:rPr>
          <w:szCs w:val="22"/>
          <w:lang w:val="sr-Latn-ME"/>
        </w:rPr>
        <w:t>nedjelj</w:t>
      </w:r>
      <w:r w:rsidRPr="00F24057">
        <w:rPr>
          <w:szCs w:val="22"/>
          <w:lang w:val="sr-Latn-ME"/>
        </w:rPr>
        <w:t>i</w:t>
      </w:r>
    </w:p>
    <w:p w14:paraId="2E1F173F" w14:textId="79CBA3D9" w:rsidR="009F7168" w:rsidRPr="00F24057" w:rsidRDefault="009F7168" w:rsidP="00D70B34">
      <w:pPr>
        <w:rPr>
          <w:szCs w:val="22"/>
          <w:lang w:val="sr-Latn-ME"/>
        </w:rPr>
      </w:pPr>
    </w:p>
    <w:p w14:paraId="1459C57A" w14:textId="4F85177A" w:rsidR="009F7168" w:rsidRPr="00F24057" w:rsidRDefault="00A73037" w:rsidP="00D70B34">
      <w:pPr>
        <w:rPr>
          <w:szCs w:val="22"/>
          <w:lang w:val="sr-Latn-ME"/>
        </w:rPr>
      </w:pPr>
      <w:r w:rsidRPr="00F24057">
        <w:rPr>
          <w:szCs w:val="22"/>
          <w:lang w:val="sr-Latn-ME"/>
        </w:rPr>
        <w:t xml:space="preserve">Dodatne </w:t>
      </w:r>
      <w:r w:rsidR="008C0989" w:rsidRPr="00F24057">
        <w:rPr>
          <w:szCs w:val="22"/>
          <w:lang w:val="sr-Latn-ME"/>
        </w:rPr>
        <w:t xml:space="preserve">istraživačke </w:t>
      </w:r>
      <w:r w:rsidR="00AA29FD" w:rsidRPr="00F24057">
        <w:rPr>
          <w:szCs w:val="22"/>
          <w:lang w:val="sr-Latn-ME"/>
        </w:rPr>
        <w:t>mjere</w:t>
      </w:r>
      <w:r w:rsidRPr="00F24057">
        <w:rPr>
          <w:szCs w:val="22"/>
          <w:lang w:val="sr-Latn-ME"/>
        </w:rPr>
        <w:t xml:space="preserve"> efikasnosti uključivale su klinički odgovor prema indeksu aktivnosti pedijatrijskog ulceroznog kolitisa (</w:t>
      </w:r>
      <w:r w:rsidR="00B5567A" w:rsidRPr="00F24057">
        <w:rPr>
          <w:szCs w:val="22"/>
          <w:lang w:val="sr-Latn-ME"/>
        </w:rPr>
        <w:t>eng</w:t>
      </w:r>
      <w:r w:rsidR="005C4EED" w:rsidRPr="00F24057">
        <w:rPr>
          <w:szCs w:val="22"/>
          <w:lang w:val="sr-Latn-ME"/>
        </w:rPr>
        <w:t>l</w:t>
      </w:r>
      <w:r w:rsidR="00B5567A" w:rsidRPr="00F24057">
        <w:rPr>
          <w:szCs w:val="22"/>
          <w:lang w:val="sr-Latn-ME"/>
        </w:rPr>
        <w:t xml:space="preserve">. </w:t>
      </w:r>
      <w:r w:rsidR="00B5567A" w:rsidRPr="00F24057">
        <w:rPr>
          <w:i/>
          <w:iCs/>
          <w:szCs w:val="22"/>
          <w:lang w:val="sr-Latn-ME"/>
        </w:rPr>
        <w:t>Paediatric Ulcerative Colitis Activity Index</w:t>
      </w:r>
      <w:r w:rsidR="00B5567A" w:rsidRPr="00F24057">
        <w:rPr>
          <w:szCs w:val="22"/>
          <w:lang w:val="sr-Latn-ME"/>
        </w:rPr>
        <w:t xml:space="preserve"> - </w:t>
      </w:r>
      <w:r w:rsidRPr="00F24057">
        <w:rPr>
          <w:szCs w:val="22"/>
          <w:lang w:val="sr-Latn-ME"/>
        </w:rPr>
        <w:t xml:space="preserve">PUCAI) (definisan kao smanjenje </w:t>
      </w:r>
      <w:r w:rsidR="00E84CDD" w:rsidRPr="00F24057">
        <w:rPr>
          <w:szCs w:val="22"/>
          <w:lang w:val="sr-Latn-ME"/>
        </w:rPr>
        <w:t xml:space="preserve">rezultata </w:t>
      </w:r>
      <w:r w:rsidRPr="00F24057">
        <w:rPr>
          <w:szCs w:val="22"/>
          <w:lang w:val="sr-Latn-ME"/>
        </w:rPr>
        <w:t>PUCAI ≥ 20 poena u odnosu na početn</w:t>
      </w:r>
      <w:r w:rsidR="00E84CDD" w:rsidRPr="00F24057">
        <w:rPr>
          <w:szCs w:val="22"/>
          <w:lang w:val="sr-Latn-ME"/>
        </w:rPr>
        <w:t xml:space="preserve">e </w:t>
      </w:r>
      <w:r w:rsidR="00972894" w:rsidRPr="00F24057">
        <w:rPr>
          <w:szCs w:val="22"/>
          <w:lang w:val="sr-Latn-ME"/>
        </w:rPr>
        <w:t>vrijedno</w:t>
      </w:r>
      <w:r w:rsidR="00E84CDD" w:rsidRPr="00F24057">
        <w:rPr>
          <w:szCs w:val="22"/>
          <w:lang w:val="sr-Latn-ME"/>
        </w:rPr>
        <w:t>sti</w:t>
      </w:r>
      <w:r w:rsidRPr="00F24057">
        <w:rPr>
          <w:szCs w:val="22"/>
          <w:lang w:val="sr-Latn-ME"/>
        </w:rPr>
        <w:t>) i kliničku remisiju p</w:t>
      </w:r>
      <w:r w:rsidR="00E84CDD" w:rsidRPr="00F24057">
        <w:rPr>
          <w:szCs w:val="22"/>
          <w:lang w:val="sr-Latn-ME"/>
        </w:rPr>
        <w:t>rema</w:t>
      </w:r>
      <w:r w:rsidRPr="00F24057">
        <w:rPr>
          <w:szCs w:val="22"/>
          <w:lang w:val="sr-Latn-ME"/>
        </w:rPr>
        <w:t xml:space="preserve"> PUCAI (definisan</w:t>
      </w:r>
      <w:r w:rsidR="00E84CDD" w:rsidRPr="00F24057">
        <w:rPr>
          <w:szCs w:val="22"/>
          <w:lang w:val="sr-Latn-ME"/>
        </w:rPr>
        <w:t>a</w:t>
      </w:r>
      <w:r w:rsidRPr="00F24057">
        <w:rPr>
          <w:szCs w:val="22"/>
          <w:lang w:val="sr-Latn-ME"/>
        </w:rPr>
        <w:t xml:space="preserve"> kao PUCAI &lt; 10) u 8. i 52. </w:t>
      </w:r>
      <w:r w:rsidR="00885A78" w:rsidRPr="00F24057">
        <w:rPr>
          <w:szCs w:val="22"/>
          <w:lang w:val="sr-Latn-ME"/>
        </w:rPr>
        <w:t>nedjelj</w:t>
      </w:r>
      <w:r w:rsidRPr="00F24057">
        <w:rPr>
          <w:szCs w:val="22"/>
          <w:lang w:val="sr-Latn-ME"/>
        </w:rPr>
        <w:t>i (Tabela 33).</w:t>
      </w:r>
    </w:p>
    <w:p w14:paraId="4E7DD309" w14:textId="1112A533" w:rsidR="009F7168" w:rsidRPr="00F24057" w:rsidRDefault="009F7168" w:rsidP="00D70B34">
      <w:pPr>
        <w:rPr>
          <w:szCs w:val="22"/>
          <w:lang w:val="sr-Latn-ME"/>
        </w:rPr>
      </w:pPr>
    </w:p>
    <w:p w14:paraId="13585A64" w14:textId="68017EAF" w:rsidR="009706F2" w:rsidRPr="00F24057" w:rsidRDefault="009706F2" w:rsidP="00D70B34">
      <w:pPr>
        <w:rPr>
          <w:b/>
          <w:bCs/>
          <w:szCs w:val="22"/>
          <w:lang w:val="sr-Latn-ME"/>
        </w:rPr>
      </w:pPr>
      <w:r w:rsidRPr="00F24057">
        <w:rPr>
          <w:b/>
          <w:bCs/>
          <w:szCs w:val="22"/>
          <w:lang w:val="sr-Latn-ME"/>
        </w:rPr>
        <w:t>Tabela 33: Rezultati istraživačkih</w:t>
      </w:r>
      <w:r w:rsidR="00E84CDD" w:rsidRPr="00F24057">
        <w:rPr>
          <w:b/>
          <w:bCs/>
          <w:szCs w:val="22"/>
          <w:lang w:val="sr-Latn-ME"/>
        </w:rPr>
        <w:t xml:space="preserve"> m</w:t>
      </w:r>
      <w:r w:rsidR="00C63BE3" w:rsidRPr="00F24057">
        <w:rPr>
          <w:b/>
          <w:bCs/>
          <w:szCs w:val="22"/>
          <w:lang w:val="sr-Latn-ME"/>
        </w:rPr>
        <w:t>j</w:t>
      </w:r>
      <w:r w:rsidR="00E84CDD" w:rsidRPr="00F24057">
        <w:rPr>
          <w:b/>
          <w:bCs/>
          <w:szCs w:val="22"/>
          <w:lang w:val="sr-Latn-ME"/>
        </w:rPr>
        <w:t>era</w:t>
      </w:r>
      <w:r w:rsidR="00D12710" w:rsidRPr="00F24057">
        <w:rPr>
          <w:b/>
          <w:bCs/>
          <w:szCs w:val="22"/>
          <w:lang w:val="sr-Latn-ME"/>
        </w:rPr>
        <w:t xml:space="preserve"> ishoda</w:t>
      </w:r>
      <w:r w:rsidR="00E0199F" w:rsidRPr="00F24057">
        <w:rPr>
          <w:b/>
          <w:bCs/>
          <w:szCs w:val="22"/>
          <w:lang w:val="sr-Latn-ME"/>
        </w:rPr>
        <w:t xml:space="preserve"> </w:t>
      </w:r>
      <w:r w:rsidRPr="00F24057">
        <w:rPr>
          <w:b/>
          <w:bCs/>
          <w:szCs w:val="22"/>
          <w:lang w:val="sr-Latn-ME"/>
        </w:rPr>
        <w:t>p</w:t>
      </w:r>
      <w:r w:rsidR="00D12710" w:rsidRPr="00F24057">
        <w:rPr>
          <w:b/>
          <w:bCs/>
          <w:szCs w:val="22"/>
          <w:lang w:val="sr-Latn-ME"/>
        </w:rPr>
        <w:t>rema</w:t>
      </w:r>
      <w:r w:rsidRPr="00F24057">
        <w:rPr>
          <w:b/>
          <w:bCs/>
          <w:szCs w:val="22"/>
          <w:lang w:val="sr-Latn-ME"/>
        </w:rPr>
        <w:t xml:space="preserve"> PUCAI</w:t>
      </w:r>
    </w:p>
    <w:p w14:paraId="2115D25B" w14:textId="5D33BAE8" w:rsidR="00874309" w:rsidRPr="00F24057" w:rsidRDefault="00874309"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114"/>
        <w:gridCol w:w="2900"/>
        <w:gridCol w:w="3003"/>
      </w:tblGrid>
      <w:tr w:rsidR="00AB310C" w:rsidRPr="00F24057" w14:paraId="7A3F517E" w14:textId="77777777" w:rsidTr="00DC5FC2">
        <w:trPr>
          <w:trHeight w:val="20"/>
        </w:trPr>
        <w:tc>
          <w:tcPr>
            <w:tcW w:w="1727" w:type="pct"/>
            <w:vMerge w:val="restart"/>
            <w:vAlign w:val="center"/>
          </w:tcPr>
          <w:p w14:paraId="5B59B188" w14:textId="77777777" w:rsidR="00AB310C" w:rsidRPr="00F24057" w:rsidRDefault="00AB310C" w:rsidP="00D70B34">
            <w:pPr>
              <w:jc w:val="center"/>
              <w:rPr>
                <w:szCs w:val="22"/>
                <w:lang w:val="sr-Latn-ME"/>
              </w:rPr>
            </w:pPr>
          </w:p>
        </w:tc>
        <w:tc>
          <w:tcPr>
            <w:tcW w:w="3273" w:type="pct"/>
            <w:gridSpan w:val="2"/>
            <w:vAlign w:val="center"/>
          </w:tcPr>
          <w:p w14:paraId="64966F79" w14:textId="3F3FB5AC" w:rsidR="00AB310C" w:rsidRPr="00F24057" w:rsidRDefault="000C6830" w:rsidP="00D70B34">
            <w:pPr>
              <w:jc w:val="center"/>
              <w:rPr>
                <w:b/>
                <w:bCs/>
                <w:szCs w:val="22"/>
                <w:lang w:val="sr-Latn-ME"/>
              </w:rPr>
            </w:pPr>
            <w:r w:rsidRPr="00F24057">
              <w:rPr>
                <w:b/>
                <w:bCs/>
                <w:szCs w:val="22"/>
                <w:lang w:val="sr-Latn-ME"/>
              </w:rPr>
              <w:t xml:space="preserve">8. </w:t>
            </w:r>
            <w:r w:rsidR="00885A78" w:rsidRPr="00F24057">
              <w:rPr>
                <w:b/>
                <w:bCs/>
                <w:szCs w:val="22"/>
                <w:lang w:val="sr-Latn-ME"/>
              </w:rPr>
              <w:t>nedjelj</w:t>
            </w:r>
            <w:r w:rsidRPr="00F24057">
              <w:rPr>
                <w:b/>
                <w:bCs/>
                <w:szCs w:val="22"/>
                <w:lang w:val="sr-Latn-ME"/>
              </w:rPr>
              <w:t>a</w:t>
            </w:r>
          </w:p>
        </w:tc>
      </w:tr>
      <w:tr w:rsidR="00080447" w:rsidRPr="00F24057" w14:paraId="1162D450" w14:textId="77777777" w:rsidTr="00DC5FC2">
        <w:trPr>
          <w:trHeight w:val="20"/>
        </w:trPr>
        <w:tc>
          <w:tcPr>
            <w:tcW w:w="1727" w:type="pct"/>
            <w:vMerge/>
            <w:vAlign w:val="center"/>
          </w:tcPr>
          <w:p w14:paraId="6A263520" w14:textId="77777777" w:rsidR="00080447" w:rsidRPr="00F24057" w:rsidRDefault="00080447" w:rsidP="00080447">
            <w:pPr>
              <w:jc w:val="center"/>
              <w:rPr>
                <w:szCs w:val="22"/>
                <w:lang w:val="sr-Latn-ME"/>
              </w:rPr>
            </w:pPr>
          </w:p>
        </w:tc>
        <w:tc>
          <w:tcPr>
            <w:tcW w:w="1608" w:type="pct"/>
            <w:vAlign w:val="center"/>
          </w:tcPr>
          <w:p w14:paraId="6B026464" w14:textId="77777777" w:rsidR="00080447" w:rsidRPr="00F24057" w:rsidRDefault="00080447" w:rsidP="00080447">
            <w:pPr>
              <w:jc w:val="center"/>
              <w:rPr>
                <w:b/>
                <w:bCs/>
                <w:szCs w:val="22"/>
                <w:vertAlign w:val="superscript"/>
                <w:lang w:val="sr-Latn-ME"/>
              </w:rPr>
            </w:pPr>
            <w:r w:rsidRPr="00F24057">
              <w:rPr>
                <w:b/>
                <w:bCs/>
                <w:szCs w:val="22"/>
                <w:lang w:val="sr-Latn-ME"/>
              </w:rPr>
              <w:t>Adalimumab</w:t>
            </w:r>
            <w:r w:rsidRPr="00F24057">
              <w:rPr>
                <w:b/>
                <w:bCs/>
                <w:szCs w:val="22"/>
                <w:vertAlign w:val="superscript"/>
                <w:lang w:val="sr-Latn-ME"/>
              </w:rPr>
              <w:t>a</w:t>
            </w:r>
          </w:p>
          <w:p w14:paraId="55D251F4" w14:textId="06FE144E" w:rsidR="00080447" w:rsidRPr="00F24057" w:rsidRDefault="00080447" w:rsidP="00080447">
            <w:pPr>
              <w:jc w:val="center"/>
              <w:rPr>
                <w:b/>
                <w:bCs/>
                <w:szCs w:val="22"/>
                <w:lang w:val="sr-Latn-ME"/>
              </w:rPr>
            </w:pPr>
            <w:r w:rsidRPr="00F24057">
              <w:rPr>
                <w:b/>
                <w:bCs/>
                <w:szCs w:val="22"/>
                <w:lang w:val="sr-Latn-ME"/>
              </w:rPr>
              <w:t xml:space="preserve">Maksimalno 160 mg u početnoj </w:t>
            </w:r>
            <w:r w:rsidR="00885A78" w:rsidRPr="00F24057">
              <w:rPr>
                <w:b/>
                <w:bCs/>
                <w:szCs w:val="22"/>
                <w:lang w:val="sr-Latn-ME"/>
              </w:rPr>
              <w:t>nedjelj</w:t>
            </w:r>
            <w:r w:rsidRPr="00F24057">
              <w:rPr>
                <w:b/>
                <w:bCs/>
                <w:szCs w:val="22"/>
                <w:lang w:val="sr-Latn-ME"/>
              </w:rPr>
              <w:t xml:space="preserve">i (označena kao nulta </w:t>
            </w:r>
            <w:r w:rsidR="00885A78" w:rsidRPr="00F24057">
              <w:rPr>
                <w:b/>
                <w:bCs/>
                <w:szCs w:val="22"/>
                <w:lang w:val="sr-Latn-ME"/>
              </w:rPr>
              <w:t>nedjelj</w:t>
            </w:r>
            <w:r w:rsidRPr="00F24057">
              <w:rPr>
                <w:b/>
                <w:bCs/>
                <w:szCs w:val="22"/>
                <w:lang w:val="sr-Latn-ME"/>
              </w:rPr>
              <w:t xml:space="preserve">a, </w:t>
            </w:r>
            <w:r w:rsidRPr="00F24057">
              <w:rPr>
                <w:b/>
                <w:bCs/>
                <w:i/>
                <w:iCs/>
                <w:szCs w:val="22"/>
                <w:lang w:val="sr-Latn-ME"/>
              </w:rPr>
              <w:t>Week 0</w:t>
            </w:r>
            <w:r w:rsidRPr="00F24057">
              <w:rPr>
                <w:b/>
                <w:bCs/>
                <w:szCs w:val="22"/>
                <w:lang w:val="sr-Latn-ME"/>
              </w:rPr>
              <w:t>) / placebo u 1.</w:t>
            </w:r>
            <w:r w:rsidR="00885A78" w:rsidRPr="00F24057">
              <w:rPr>
                <w:b/>
                <w:bCs/>
                <w:szCs w:val="22"/>
                <w:lang w:val="sr-Latn-ME"/>
              </w:rPr>
              <w:t>nedjelj</w:t>
            </w:r>
            <w:r w:rsidRPr="00F24057">
              <w:rPr>
                <w:b/>
                <w:bCs/>
                <w:szCs w:val="22"/>
                <w:lang w:val="sr-Latn-ME"/>
              </w:rPr>
              <w:t>i</w:t>
            </w:r>
          </w:p>
          <w:p w14:paraId="56D0EB42" w14:textId="009EE0C6" w:rsidR="00080447" w:rsidRPr="00F24057" w:rsidRDefault="00080447" w:rsidP="00080447">
            <w:pPr>
              <w:jc w:val="center"/>
              <w:rPr>
                <w:szCs w:val="22"/>
                <w:lang w:val="sr-Latn-ME"/>
              </w:rPr>
            </w:pPr>
            <w:r w:rsidRPr="00F24057">
              <w:rPr>
                <w:szCs w:val="22"/>
                <w:lang w:val="sr-Latn-ME"/>
              </w:rPr>
              <w:t>N=30</w:t>
            </w:r>
          </w:p>
        </w:tc>
        <w:tc>
          <w:tcPr>
            <w:tcW w:w="1665" w:type="pct"/>
            <w:vAlign w:val="center"/>
          </w:tcPr>
          <w:p w14:paraId="2D81D5E5" w14:textId="77777777" w:rsidR="00080447" w:rsidRPr="00F24057" w:rsidRDefault="00080447" w:rsidP="00080447">
            <w:pPr>
              <w:jc w:val="center"/>
              <w:rPr>
                <w:b/>
                <w:bCs/>
                <w:szCs w:val="22"/>
                <w:vertAlign w:val="superscript"/>
                <w:lang w:val="sr-Latn-ME"/>
              </w:rPr>
            </w:pPr>
            <w:r w:rsidRPr="00F24057">
              <w:rPr>
                <w:b/>
                <w:bCs/>
                <w:szCs w:val="22"/>
                <w:lang w:val="sr-Latn-ME"/>
              </w:rPr>
              <w:t>Adalimumab</w:t>
            </w:r>
            <w:r w:rsidRPr="00F24057">
              <w:rPr>
                <w:b/>
                <w:bCs/>
                <w:szCs w:val="22"/>
                <w:vertAlign w:val="superscript"/>
                <w:lang w:val="sr-Latn-ME"/>
              </w:rPr>
              <w:t>b,c</w:t>
            </w:r>
          </w:p>
          <w:p w14:paraId="68F76D9B" w14:textId="35FC7977" w:rsidR="00080447" w:rsidRPr="00F24057" w:rsidRDefault="00080447" w:rsidP="00080447">
            <w:pPr>
              <w:jc w:val="center"/>
              <w:rPr>
                <w:b/>
                <w:bCs/>
                <w:szCs w:val="22"/>
                <w:lang w:val="sr-Latn-ME"/>
              </w:rPr>
            </w:pPr>
            <w:r w:rsidRPr="00F24057">
              <w:rPr>
                <w:b/>
                <w:bCs/>
                <w:szCs w:val="22"/>
                <w:lang w:val="sr-Latn-ME"/>
              </w:rPr>
              <w:t xml:space="preserve">Maksimalno 160 mg u početnoj </w:t>
            </w:r>
            <w:r w:rsidR="00885A78" w:rsidRPr="00F24057">
              <w:rPr>
                <w:b/>
                <w:bCs/>
                <w:szCs w:val="22"/>
                <w:lang w:val="sr-Latn-ME"/>
              </w:rPr>
              <w:t>nedjelj</w:t>
            </w:r>
            <w:r w:rsidRPr="00F24057">
              <w:rPr>
                <w:b/>
                <w:bCs/>
                <w:szCs w:val="22"/>
                <w:lang w:val="sr-Latn-ME"/>
              </w:rPr>
              <w:t xml:space="preserve">i (označena kao nulta </w:t>
            </w:r>
            <w:r w:rsidR="00885A78" w:rsidRPr="00F24057">
              <w:rPr>
                <w:b/>
                <w:bCs/>
                <w:szCs w:val="22"/>
                <w:lang w:val="sr-Latn-ME"/>
              </w:rPr>
              <w:t>nedjelj</w:t>
            </w:r>
            <w:r w:rsidRPr="00F24057">
              <w:rPr>
                <w:b/>
                <w:bCs/>
                <w:szCs w:val="22"/>
                <w:lang w:val="sr-Latn-ME"/>
              </w:rPr>
              <w:t xml:space="preserve">a, </w:t>
            </w:r>
            <w:r w:rsidRPr="00F24057">
              <w:rPr>
                <w:b/>
                <w:bCs/>
                <w:i/>
                <w:iCs/>
                <w:szCs w:val="22"/>
                <w:lang w:val="sr-Latn-ME"/>
              </w:rPr>
              <w:t>Week 0</w:t>
            </w:r>
            <w:r w:rsidRPr="00F24057">
              <w:rPr>
                <w:b/>
                <w:bCs/>
                <w:szCs w:val="22"/>
                <w:lang w:val="sr-Latn-ME"/>
              </w:rPr>
              <w:t>) i 1.</w:t>
            </w:r>
            <w:r w:rsidR="00885A78" w:rsidRPr="00F24057">
              <w:rPr>
                <w:b/>
                <w:bCs/>
                <w:szCs w:val="22"/>
                <w:lang w:val="sr-Latn-ME"/>
              </w:rPr>
              <w:t>nedjelj</w:t>
            </w:r>
            <w:r w:rsidRPr="00F24057">
              <w:rPr>
                <w:b/>
                <w:bCs/>
                <w:szCs w:val="22"/>
                <w:lang w:val="sr-Latn-ME"/>
              </w:rPr>
              <w:t>i</w:t>
            </w:r>
          </w:p>
          <w:p w14:paraId="27DE2CA1" w14:textId="7734D515" w:rsidR="00080447" w:rsidRPr="00F24057" w:rsidRDefault="00080447" w:rsidP="00080447">
            <w:pPr>
              <w:jc w:val="center"/>
              <w:rPr>
                <w:szCs w:val="22"/>
                <w:lang w:val="sr-Latn-ME"/>
              </w:rPr>
            </w:pPr>
            <w:r w:rsidRPr="00F24057">
              <w:rPr>
                <w:szCs w:val="22"/>
                <w:lang w:val="sr-Latn-ME"/>
              </w:rPr>
              <w:t>N=47</w:t>
            </w:r>
          </w:p>
        </w:tc>
      </w:tr>
      <w:tr w:rsidR="002C0FDF" w:rsidRPr="00F24057" w14:paraId="367D43C1" w14:textId="77777777" w:rsidTr="00DC5FC2">
        <w:trPr>
          <w:trHeight w:val="20"/>
        </w:trPr>
        <w:tc>
          <w:tcPr>
            <w:tcW w:w="1727" w:type="pct"/>
            <w:vAlign w:val="center"/>
          </w:tcPr>
          <w:p w14:paraId="1777C0E7" w14:textId="51B944DF" w:rsidR="002C0FDF" w:rsidRPr="00F24057" w:rsidRDefault="003F3278" w:rsidP="00D70B34">
            <w:pPr>
              <w:jc w:val="left"/>
              <w:rPr>
                <w:szCs w:val="22"/>
                <w:lang w:val="sr-Latn-ME"/>
              </w:rPr>
            </w:pPr>
            <w:r w:rsidRPr="00F24057">
              <w:rPr>
                <w:szCs w:val="22"/>
                <w:lang w:val="sr-Latn-ME"/>
              </w:rPr>
              <w:t>Klinička remisija p</w:t>
            </w:r>
            <w:r w:rsidR="00D12710" w:rsidRPr="00F24057">
              <w:rPr>
                <w:szCs w:val="22"/>
                <w:lang w:val="sr-Latn-ME"/>
              </w:rPr>
              <w:t>rema</w:t>
            </w:r>
            <w:r w:rsidRPr="00F24057">
              <w:rPr>
                <w:szCs w:val="22"/>
                <w:lang w:val="sr-Latn-ME"/>
              </w:rPr>
              <w:t xml:space="preserve"> PUCAI</w:t>
            </w:r>
          </w:p>
        </w:tc>
        <w:tc>
          <w:tcPr>
            <w:tcW w:w="1608" w:type="pct"/>
            <w:vAlign w:val="center"/>
          </w:tcPr>
          <w:p w14:paraId="68302E77" w14:textId="45B95ABB" w:rsidR="004628C0" w:rsidRPr="00F24057" w:rsidRDefault="004628C0" w:rsidP="00F666CB">
            <w:pPr>
              <w:jc w:val="center"/>
              <w:rPr>
                <w:szCs w:val="22"/>
                <w:lang w:val="sr-Latn-ME"/>
              </w:rPr>
            </w:pPr>
            <w:r w:rsidRPr="00F24057">
              <w:rPr>
                <w:szCs w:val="22"/>
                <w:lang w:val="sr-Latn-ME"/>
              </w:rPr>
              <w:t>10/30 (33,3%)</w:t>
            </w:r>
          </w:p>
        </w:tc>
        <w:tc>
          <w:tcPr>
            <w:tcW w:w="1665" w:type="pct"/>
            <w:vAlign w:val="center"/>
          </w:tcPr>
          <w:p w14:paraId="1B736F30" w14:textId="1D0639D7" w:rsidR="003F3278" w:rsidRPr="00F24057" w:rsidRDefault="004628C0" w:rsidP="00F666CB">
            <w:pPr>
              <w:jc w:val="center"/>
              <w:rPr>
                <w:szCs w:val="22"/>
                <w:lang w:val="sr-Latn-ME"/>
              </w:rPr>
            </w:pPr>
            <w:r w:rsidRPr="00F24057">
              <w:rPr>
                <w:szCs w:val="22"/>
                <w:lang w:val="sr-Latn-ME"/>
              </w:rPr>
              <w:t>22/47 (</w:t>
            </w:r>
            <w:r w:rsidR="003F3278" w:rsidRPr="00F24057">
              <w:rPr>
                <w:szCs w:val="22"/>
                <w:lang w:val="sr-Latn-ME"/>
              </w:rPr>
              <w:t>46,8%)</w:t>
            </w:r>
          </w:p>
        </w:tc>
      </w:tr>
      <w:tr w:rsidR="002C0FDF" w:rsidRPr="00F24057" w14:paraId="7795E6E8" w14:textId="77777777" w:rsidTr="00DC5FC2">
        <w:trPr>
          <w:trHeight w:val="20"/>
        </w:trPr>
        <w:tc>
          <w:tcPr>
            <w:tcW w:w="1727" w:type="pct"/>
            <w:vAlign w:val="center"/>
          </w:tcPr>
          <w:p w14:paraId="7E9D093E" w14:textId="7997FE4F" w:rsidR="002C0FDF" w:rsidRPr="00F24057" w:rsidRDefault="003F3278" w:rsidP="00D70B34">
            <w:pPr>
              <w:jc w:val="left"/>
              <w:rPr>
                <w:szCs w:val="22"/>
                <w:lang w:val="sr-Latn-ME"/>
              </w:rPr>
            </w:pPr>
            <w:r w:rsidRPr="00F24057">
              <w:rPr>
                <w:szCs w:val="22"/>
                <w:lang w:val="sr-Latn-ME"/>
              </w:rPr>
              <w:t>Klinički odgovor p</w:t>
            </w:r>
            <w:r w:rsidR="00D12710" w:rsidRPr="00F24057">
              <w:rPr>
                <w:szCs w:val="22"/>
                <w:lang w:val="sr-Latn-ME"/>
              </w:rPr>
              <w:t>rema</w:t>
            </w:r>
            <w:r w:rsidRPr="00F24057">
              <w:rPr>
                <w:szCs w:val="22"/>
                <w:lang w:val="sr-Latn-ME"/>
              </w:rPr>
              <w:t xml:space="preserve"> PUCAI</w:t>
            </w:r>
          </w:p>
        </w:tc>
        <w:tc>
          <w:tcPr>
            <w:tcW w:w="1608" w:type="pct"/>
            <w:vAlign w:val="center"/>
          </w:tcPr>
          <w:p w14:paraId="69789053" w14:textId="3A261193" w:rsidR="002C0FDF" w:rsidRPr="00F24057" w:rsidRDefault="00280E0E" w:rsidP="00D70B34">
            <w:pPr>
              <w:jc w:val="center"/>
              <w:rPr>
                <w:szCs w:val="22"/>
                <w:lang w:val="sr-Latn-ME"/>
              </w:rPr>
            </w:pPr>
            <w:r w:rsidRPr="00F24057">
              <w:rPr>
                <w:szCs w:val="22"/>
                <w:lang w:val="sr-Latn-ME"/>
              </w:rPr>
              <w:t>15/30 (50,0%)</w:t>
            </w:r>
          </w:p>
        </w:tc>
        <w:tc>
          <w:tcPr>
            <w:tcW w:w="1665" w:type="pct"/>
            <w:vAlign w:val="center"/>
          </w:tcPr>
          <w:p w14:paraId="5145A348" w14:textId="3F4D5CF8" w:rsidR="002C0FDF" w:rsidRPr="00F24057" w:rsidRDefault="00280E0E" w:rsidP="00D70B34">
            <w:pPr>
              <w:jc w:val="center"/>
              <w:rPr>
                <w:szCs w:val="22"/>
                <w:lang w:val="sr-Latn-ME"/>
              </w:rPr>
            </w:pPr>
            <w:r w:rsidRPr="00F24057">
              <w:rPr>
                <w:szCs w:val="22"/>
                <w:lang w:val="sr-Latn-ME"/>
              </w:rPr>
              <w:t>32,47 (68,1%)</w:t>
            </w:r>
          </w:p>
        </w:tc>
      </w:tr>
      <w:tr w:rsidR="00280E0E" w:rsidRPr="00F24057" w14:paraId="6054DF71" w14:textId="77777777" w:rsidTr="00DC5FC2">
        <w:trPr>
          <w:trHeight w:val="20"/>
        </w:trPr>
        <w:tc>
          <w:tcPr>
            <w:tcW w:w="1727" w:type="pct"/>
            <w:vMerge w:val="restart"/>
            <w:vAlign w:val="center"/>
          </w:tcPr>
          <w:p w14:paraId="4CC845BF" w14:textId="77777777" w:rsidR="00280E0E" w:rsidRPr="00F24057" w:rsidRDefault="00280E0E" w:rsidP="00D70B34">
            <w:pPr>
              <w:jc w:val="center"/>
              <w:rPr>
                <w:szCs w:val="22"/>
                <w:lang w:val="sr-Latn-ME"/>
              </w:rPr>
            </w:pPr>
          </w:p>
        </w:tc>
        <w:tc>
          <w:tcPr>
            <w:tcW w:w="3273" w:type="pct"/>
            <w:gridSpan w:val="2"/>
            <w:vAlign w:val="center"/>
          </w:tcPr>
          <w:p w14:paraId="3FC76AB1" w14:textId="13155456" w:rsidR="00280E0E" w:rsidRPr="00F24057" w:rsidRDefault="00280E0E" w:rsidP="00D70B34">
            <w:pPr>
              <w:jc w:val="center"/>
              <w:rPr>
                <w:b/>
                <w:bCs/>
                <w:szCs w:val="22"/>
                <w:lang w:val="sr-Latn-ME"/>
              </w:rPr>
            </w:pPr>
            <w:r w:rsidRPr="00F24057">
              <w:rPr>
                <w:b/>
                <w:bCs/>
                <w:szCs w:val="22"/>
                <w:lang w:val="sr-Latn-ME"/>
              </w:rPr>
              <w:t xml:space="preserve">52. </w:t>
            </w:r>
            <w:r w:rsidR="00885A78" w:rsidRPr="00F24057">
              <w:rPr>
                <w:b/>
                <w:bCs/>
                <w:szCs w:val="22"/>
                <w:lang w:val="sr-Latn-ME"/>
              </w:rPr>
              <w:t>nedjelj</w:t>
            </w:r>
            <w:r w:rsidRPr="00F24057">
              <w:rPr>
                <w:b/>
                <w:bCs/>
                <w:szCs w:val="22"/>
                <w:lang w:val="sr-Latn-ME"/>
              </w:rPr>
              <w:t>a</w:t>
            </w:r>
          </w:p>
        </w:tc>
      </w:tr>
      <w:tr w:rsidR="00280E0E" w:rsidRPr="00F24057" w14:paraId="347F20CE" w14:textId="77777777" w:rsidTr="00DC5FC2">
        <w:trPr>
          <w:trHeight w:val="20"/>
        </w:trPr>
        <w:tc>
          <w:tcPr>
            <w:tcW w:w="1727" w:type="pct"/>
            <w:vMerge/>
            <w:vAlign w:val="center"/>
          </w:tcPr>
          <w:p w14:paraId="330CD568" w14:textId="77777777" w:rsidR="00280E0E" w:rsidRPr="00F24057" w:rsidRDefault="00280E0E" w:rsidP="00D70B34">
            <w:pPr>
              <w:jc w:val="center"/>
              <w:rPr>
                <w:szCs w:val="22"/>
                <w:lang w:val="sr-Latn-ME"/>
              </w:rPr>
            </w:pPr>
          </w:p>
        </w:tc>
        <w:tc>
          <w:tcPr>
            <w:tcW w:w="1608" w:type="pct"/>
            <w:vAlign w:val="center"/>
          </w:tcPr>
          <w:p w14:paraId="1F1F78EC" w14:textId="77777777" w:rsidR="00280E0E" w:rsidRPr="00F24057" w:rsidRDefault="00280E0E" w:rsidP="00D70B34">
            <w:pPr>
              <w:jc w:val="center"/>
              <w:rPr>
                <w:b/>
                <w:bCs/>
                <w:szCs w:val="22"/>
                <w:vertAlign w:val="superscript"/>
                <w:lang w:val="sr-Latn-ME"/>
              </w:rPr>
            </w:pPr>
            <w:r w:rsidRPr="00F24057">
              <w:rPr>
                <w:b/>
                <w:bCs/>
                <w:szCs w:val="22"/>
                <w:lang w:val="sr-Latn-ME"/>
              </w:rPr>
              <w:t>Adalimumab</w:t>
            </w:r>
            <w:r w:rsidRPr="00F24057">
              <w:rPr>
                <w:b/>
                <w:bCs/>
                <w:szCs w:val="22"/>
                <w:vertAlign w:val="superscript"/>
                <w:lang w:val="sr-Latn-ME"/>
              </w:rPr>
              <w:t>d</w:t>
            </w:r>
          </w:p>
          <w:p w14:paraId="23F20271" w14:textId="2521E609" w:rsidR="00280E0E" w:rsidRPr="00F24057" w:rsidRDefault="00280E0E" w:rsidP="00D70B34">
            <w:pPr>
              <w:jc w:val="center"/>
              <w:rPr>
                <w:b/>
                <w:bCs/>
                <w:szCs w:val="22"/>
                <w:lang w:val="sr-Latn-ME"/>
              </w:rPr>
            </w:pPr>
            <w:r w:rsidRPr="00F24057">
              <w:rPr>
                <w:b/>
                <w:bCs/>
                <w:szCs w:val="22"/>
                <w:lang w:val="sr-Latn-ME"/>
              </w:rPr>
              <w:t xml:space="preserve">Maksimalno 40 mg svake druge </w:t>
            </w:r>
            <w:r w:rsidR="00885A78" w:rsidRPr="00F24057">
              <w:rPr>
                <w:b/>
                <w:bCs/>
                <w:szCs w:val="22"/>
                <w:lang w:val="sr-Latn-ME"/>
              </w:rPr>
              <w:t>nedjelj</w:t>
            </w:r>
            <w:r w:rsidRPr="00F24057">
              <w:rPr>
                <w:b/>
                <w:bCs/>
                <w:szCs w:val="22"/>
                <w:lang w:val="sr-Latn-ME"/>
              </w:rPr>
              <w:t>e</w:t>
            </w:r>
          </w:p>
          <w:p w14:paraId="0E63CB14" w14:textId="76AEFC9D" w:rsidR="00280E0E" w:rsidRPr="00F24057" w:rsidRDefault="00280E0E" w:rsidP="00D70B34">
            <w:pPr>
              <w:jc w:val="center"/>
              <w:rPr>
                <w:szCs w:val="22"/>
                <w:lang w:val="sr-Latn-ME"/>
              </w:rPr>
            </w:pPr>
            <w:r w:rsidRPr="00F24057">
              <w:rPr>
                <w:szCs w:val="22"/>
                <w:lang w:val="sr-Latn-ME"/>
              </w:rPr>
              <w:t>N=31</w:t>
            </w:r>
          </w:p>
        </w:tc>
        <w:tc>
          <w:tcPr>
            <w:tcW w:w="1665" w:type="pct"/>
            <w:vAlign w:val="center"/>
          </w:tcPr>
          <w:p w14:paraId="43A7616E" w14:textId="77777777" w:rsidR="00280E0E" w:rsidRPr="00F24057" w:rsidRDefault="00280E0E" w:rsidP="00D70B34">
            <w:pPr>
              <w:jc w:val="center"/>
              <w:rPr>
                <w:b/>
                <w:bCs/>
                <w:szCs w:val="22"/>
                <w:vertAlign w:val="superscript"/>
                <w:lang w:val="sr-Latn-ME"/>
              </w:rPr>
            </w:pPr>
            <w:r w:rsidRPr="00F24057">
              <w:rPr>
                <w:b/>
                <w:bCs/>
                <w:szCs w:val="22"/>
                <w:lang w:val="sr-Latn-ME"/>
              </w:rPr>
              <w:t>Adalimumab</w:t>
            </w:r>
            <w:r w:rsidRPr="00F24057">
              <w:rPr>
                <w:b/>
                <w:bCs/>
                <w:szCs w:val="22"/>
                <w:vertAlign w:val="superscript"/>
                <w:lang w:val="sr-Latn-ME"/>
              </w:rPr>
              <w:t>e</w:t>
            </w:r>
          </w:p>
          <w:p w14:paraId="659FBE3A" w14:textId="5284E8DC" w:rsidR="00280E0E" w:rsidRPr="00F24057" w:rsidRDefault="00280E0E" w:rsidP="00D70B34">
            <w:pPr>
              <w:jc w:val="center"/>
              <w:rPr>
                <w:b/>
                <w:bCs/>
                <w:szCs w:val="22"/>
                <w:lang w:val="sr-Latn-ME"/>
              </w:rPr>
            </w:pPr>
            <w:r w:rsidRPr="00F24057">
              <w:rPr>
                <w:b/>
                <w:bCs/>
                <w:szCs w:val="22"/>
                <w:lang w:val="sr-Latn-ME"/>
              </w:rPr>
              <w:t xml:space="preserve">Maksimalno 40 mg svake </w:t>
            </w:r>
            <w:r w:rsidR="00885A78" w:rsidRPr="00F24057">
              <w:rPr>
                <w:b/>
                <w:bCs/>
                <w:szCs w:val="22"/>
                <w:lang w:val="sr-Latn-ME"/>
              </w:rPr>
              <w:t>nedjelj</w:t>
            </w:r>
            <w:r w:rsidRPr="00F24057">
              <w:rPr>
                <w:b/>
                <w:bCs/>
                <w:szCs w:val="22"/>
                <w:lang w:val="sr-Latn-ME"/>
              </w:rPr>
              <w:t>e</w:t>
            </w:r>
          </w:p>
          <w:p w14:paraId="25727F01" w14:textId="21433658" w:rsidR="00280E0E" w:rsidRPr="00F24057" w:rsidRDefault="00280E0E" w:rsidP="00D70B34">
            <w:pPr>
              <w:jc w:val="center"/>
              <w:rPr>
                <w:szCs w:val="22"/>
                <w:lang w:val="sr-Latn-ME"/>
              </w:rPr>
            </w:pPr>
            <w:r w:rsidRPr="00F24057">
              <w:rPr>
                <w:szCs w:val="22"/>
                <w:lang w:val="sr-Latn-ME"/>
              </w:rPr>
              <w:t>N=</w:t>
            </w:r>
            <w:r w:rsidR="008C26BF" w:rsidRPr="00F24057">
              <w:rPr>
                <w:szCs w:val="22"/>
                <w:lang w:val="sr-Latn-ME"/>
              </w:rPr>
              <w:t>31</w:t>
            </w:r>
          </w:p>
        </w:tc>
      </w:tr>
      <w:tr w:rsidR="002C0FDF" w:rsidRPr="00F24057" w14:paraId="2FAF0C58" w14:textId="77777777" w:rsidTr="00DC5FC2">
        <w:trPr>
          <w:trHeight w:val="20"/>
        </w:trPr>
        <w:tc>
          <w:tcPr>
            <w:tcW w:w="1727" w:type="pct"/>
            <w:vAlign w:val="center"/>
          </w:tcPr>
          <w:p w14:paraId="0C1A57B4" w14:textId="4D317493" w:rsidR="002C0FDF" w:rsidRPr="00F24057" w:rsidRDefault="00BE3C0D" w:rsidP="00D70B34">
            <w:pPr>
              <w:jc w:val="left"/>
              <w:rPr>
                <w:szCs w:val="22"/>
                <w:lang w:val="sr-Latn-ME"/>
              </w:rPr>
            </w:pPr>
            <w:r w:rsidRPr="00F24057">
              <w:rPr>
                <w:szCs w:val="22"/>
                <w:lang w:val="sr-Latn-ME"/>
              </w:rPr>
              <w:t>K</w:t>
            </w:r>
            <w:r w:rsidR="00503176" w:rsidRPr="00F24057">
              <w:rPr>
                <w:szCs w:val="22"/>
                <w:lang w:val="sr-Latn-ME"/>
              </w:rPr>
              <w:t>linička remisija p</w:t>
            </w:r>
            <w:r w:rsidR="00D12710" w:rsidRPr="00F24057">
              <w:rPr>
                <w:szCs w:val="22"/>
                <w:lang w:val="sr-Latn-ME"/>
              </w:rPr>
              <w:t>rema</w:t>
            </w:r>
            <w:r w:rsidR="00503176" w:rsidRPr="00F24057">
              <w:rPr>
                <w:szCs w:val="22"/>
                <w:lang w:val="sr-Latn-ME"/>
              </w:rPr>
              <w:t xml:space="preserve"> PUCAI</w:t>
            </w:r>
            <w:r w:rsidR="005F5FCB" w:rsidRPr="00F24057">
              <w:rPr>
                <w:szCs w:val="22"/>
                <w:lang w:val="sr-Latn-ME"/>
              </w:rPr>
              <w:t xml:space="preserve"> </w:t>
            </w:r>
            <w:r w:rsidR="00D12710" w:rsidRPr="00F24057">
              <w:rPr>
                <w:szCs w:val="22"/>
                <w:lang w:val="sr-Latn-ME"/>
              </w:rPr>
              <w:t>kod b</w:t>
            </w:r>
            <w:r w:rsidR="00672BF5" w:rsidRPr="00F24057">
              <w:rPr>
                <w:szCs w:val="22"/>
                <w:lang w:val="sr-Latn-ME"/>
              </w:rPr>
              <w:t xml:space="preserve">olesnika sa odgovorom prema PMS </w:t>
            </w:r>
            <w:r w:rsidR="005F5FCB" w:rsidRPr="00F24057">
              <w:rPr>
                <w:szCs w:val="22"/>
                <w:lang w:val="sr-Latn-ME"/>
              </w:rPr>
              <w:t xml:space="preserve">u 8. </w:t>
            </w:r>
            <w:r w:rsidR="00885A78" w:rsidRPr="00F24057">
              <w:rPr>
                <w:szCs w:val="22"/>
                <w:lang w:val="sr-Latn-ME"/>
              </w:rPr>
              <w:t>nedjelj</w:t>
            </w:r>
            <w:r w:rsidR="005F5FCB" w:rsidRPr="00F24057">
              <w:rPr>
                <w:szCs w:val="22"/>
                <w:lang w:val="sr-Latn-ME"/>
              </w:rPr>
              <w:t xml:space="preserve">i </w:t>
            </w:r>
          </w:p>
        </w:tc>
        <w:tc>
          <w:tcPr>
            <w:tcW w:w="1608" w:type="pct"/>
            <w:vAlign w:val="center"/>
          </w:tcPr>
          <w:p w14:paraId="69A35833" w14:textId="741D732E" w:rsidR="002C0FDF" w:rsidRPr="00F24057" w:rsidRDefault="005F5FCB" w:rsidP="00D70B34">
            <w:pPr>
              <w:jc w:val="center"/>
              <w:rPr>
                <w:szCs w:val="22"/>
                <w:lang w:val="sr-Latn-ME"/>
              </w:rPr>
            </w:pPr>
            <w:r w:rsidRPr="00F24057">
              <w:rPr>
                <w:szCs w:val="22"/>
                <w:lang w:val="sr-Latn-ME"/>
              </w:rPr>
              <w:t>14/31 (45,2%)</w:t>
            </w:r>
          </w:p>
        </w:tc>
        <w:tc>
          <w:tcPr>
            <w:tcW w:w="1665" w:type="pct"/>
            <w:vAlign w:val="center"/>
          </w:tcPr>
          <w:p w14:paraId="3A7B8521" w14:textId="24386389" w:rsidR="002C0FDF" w:rsidRPr="00F24057" w:rsidRDefault="00AE644D" w:rsidP="00D70B34">
            <w:pPr>
              <w:jc w:val="center"/>
              <w:rPr>
                <w:szCs w:val="22"/>
                <w:lang w:val="sr-Latn-ME"/>
              </w:rPr>
            </w:pPr>
            <w:r w:rsidRPr="00F24057">
              <w:rPr>
                <w:szCs w:val="22"/>
                <w:lang w:val="sr-Latn-ME"/>
              </w:rPr>
              <w:t>18/31 (58,1%)</w:t>
            </w:r>
          </w:p>
        </w:tc>
      </w:tr>
      <w:tr w:rsidR="002C0FDF" w:rsidRPr="00F24057" w14:paraId="352B0E99" w14:textId="77777777" w:rsidTr="00DC5FC2">
        <w:trPr>
          <w:trHeight w:val="20"/>
        </w:trPr>
        <w:tc>
          <w:tcPr>
            <w:tcW w:w="1727" w:type="pct"/>
            <w:vAlign w:val="center"/>
          </w:tcPr>
          <w:p w14:paraId="69795F23" w14:textId="507D17BA" w:rsidR="002C0FDF" w:rsidRPr="00F24057" w:rsidRDefault="005F5FCB" w:rsidP="00D70B34">
            <w:pPr>
              <w:jc w:val="left"/>
              <w:rPr>
                <w:szCs w:val="22"/>
                <w:lang w:val="sr-Latn-ME"/>
              </w:rPr>
            </w:pPr>
            <w:r w:rsidRPr="00F24057">
              <w:rPr>
                <w:szCs w:val="22"/>
                <w:lang w:val="sr-Latn-ME"/>
              </w:rPr>
              <w:t>Klinički odgovor p</w:t>
            </w:r>
            <w:r w:rsidR="00672BF5" w:rsidRPr="00F24057">
              <w:rPr>
                <w:szCs w:val="22"/>
                <w:lang w:val="sr-Latn-ME"/>
              </w:rPr>
              <w:t>rema</w:t>
            </w:r>
            <w:r w:rsidRPr="00F24057">
              <w:rPr>
                <w:szCs w:val="22"/>
                <w:lang w:val="sr-Latn-ME"/>
              </w:rPr>
              <w:t xml:space="preserve"> PUCAI </w:t>
            </w:r>
            <w:r w:rsidR="00672BF5" w:rsidRPr="00F24057">
              <w:rPr>
                <w:szCs w:val="22"/>
                <w:lang w:val="sr-Latn-ME"/>
              </w:rPr>
              <w:t xml:space="preserve">kod bolesnika sa odgovorom prema PMS </w:t>
            </w:r>
            <w:r w:rsidRPr="00F24057">
              <w:rPr>
                <w:szCs w:val="22"/>
                <w:lang w:val="sr-Latn-ME"/>
              </w:rPr>
              <w:t xml:space="preserve">u 8. </w:t>
            </w:r>
            <w:r w:rsidR="00885A78" w:rsidRPr="00F24057">
              <w:rPr>
                <w:szCs w:val="22"/>
                <w:lang w:val="sr-Latn-ME"/>
              </w:rPr>
              <w:t>nedjelj</w:t>
            </w:r>
            <w:r w:rsidRPr="00F24057">
              <w:rPr>
                <w:szCs w:val="22"/>
                <w:lang w:val="sr-Latn-ME"/>
              </w:rPr>
              <w:t xml:space="preserve">i </w:t>
            </w:r>
          </w:p>
        </w:tc>
        <w:tc>
          <w:tcPr>
            <w:tcW w:w="1608" w:type="pct"/>
            <w:vAlign w:val="center"/>
          </w:tcPr>
          <w:p w14:paraId="7043B361" w14:textId="5513BEF8" w:rsidR="002C0FDF" w:rsidRPr="00F24057" w:rsidRDefault="00AE644D" w:rsidP="00D70B34">
            <w:pPr>
              <w:jc w:val="center"/>
              <w:rPr>
                <w:szCs w:val="22"/>
                <w:lang w:val="sr-Latn-ME"/>
              </w:rPr>
            </w:pPr>
            <w:r w:rsidRPr="00F24057">
              <w:rPr>
                <w:szCs w:val="22"/>
                <w:lang w:val="sr-Latn-ME"/>
              </w:rPr>
              <w:t>18/31 (58,1</w:t>
            </w:r>
            <w:r w:rsidR="008C26BF" w:rsidRPr="00F24057">
              <w:rPr>
                <w:szCs w:val="22"/>
                <w:lang w:val="sr-Latn-ME"/>
              </w:rPr>
              <w:t>%</w:t>
            </w:r>
            <w:r w:rsidRPr="00F24057">
              <w:rPr>
                <w:szCs w:val="22"/>
                <w:lang w:val="sr-Latn-ME"/>
              </w:rPr>
              <w:t>)</w:t>
            </w:r>
          </w:p>
        </w:tc>
        <w:tc>
          <w:tcPr>
            <w:tcW w:w="1665" w:type="pct"/>
            <w:vAlign w:val="center"/>
          </w:tcPr>
          <w:p w14:paraId="70457F21" w14:textId="718CA39C" w:rsidR="002C0FDF" w:rsidRPr="00F24057" w:rsidRDefault="00AE644D" w:rsidP="00D70B34">
            <w:pPr>
              <w:jc w:val="center"/>
              <w:rPr>
                <w:szCs w:val="22"/>
                <w:lang w:val="sr-Latn-ME"/>
              </w:rPr>
            </w:pPr>
            <w:r w:rsidRPr="00F24057">
              <w:rPr>
                <w:szCs w:val="22"/>
                <w:lang w:val="sr-Latn-ME"/>
              </w:rPr>
              <w:t>16/31 (51,6%)</w:t>
            </w:r>
          </w:p>
        </w:tc>
      </w:tr>
    </w:tbl>
    <w:p w14:paraId="556FEABD" w14:textId="48FE0A9C" w:rsidR="0089346F" w:rsidRPr="00F24057" w:rsidRDefault="0089346F" w:rsidP="0089346F">
      <w:pPr>
        <w:rPr>
          <w:szCs w:val="22"/>
          <w:lang w:val="sr-Latn-ME"/>
        </w:rPr>
      </w:pPr>
      <w:r w:rsidRPr="00F24057">
        <w:rPr>
          <w:szCs w:val="22"/>
          <w:vertAlign w:val="superscript"/>
          <w:lang w:val="sr-Latn-ME"/>
        </w:rPr>
        <w:t>a</w:t>
      </w:r>
      <w:r w:rsidRPr="00F24057">
        <w:rPr>
          <w:szCs w:val="22"/>
          <w:lang w:val="sr-Latn-ME"/>
        </w:rPr>
        <w:t xml:space="preserve"> Adalimumab 2,4 mg/kg (maksimalno 160 mg) u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Week 0), placebo u 1. </w:t>
      </w:r>
      <w:r w:rsidR="00885A78" w:rsidRPr="00F24057">
        <w:rPr>
          <w:szCs w:val="22"/>
          <w:lang w:val="sr-Latn-ME"/>
        </w:rPr>
        <w:t>nedjelj</w:t>
      </w:r>
      <w:r w:rsidRPr="00F24057">
        <w:rPr>
          <w:szCs w:val="22"/>
          <w:lang w:val="sr-Latn-ME"/>
        </w:rPr>
        <w:t xml:space="preserve">i, i 1,2 mg/kg (maksimalno 80 mg) u 2. </w:t>
      </w:r>
      <w:r w:rsidR="00885A78" w:rsidRPr="00F24057">
        <w:rPr>
          <w:szCs w:val="22"/>
          <w:lang w:val="sr-Latn-ME"/>
        </w:rPr>
        <w:t>nedjelj</w:t>
      </w:r>
      <w:r w:rsidRPr="00F24057">
        <w:rPr>
          <w:szCs w:val="22"/>
          <w:lang w:val="sr-Latn-ME"/>
        </w:rPr>
        <w:t>i</w:t>
      </w:r>
    </w:p>
    <w:p w14:paraId="418D3205" w14:textId="6FB0E386" w:rsidR="0089346F" w:rsidRPr="00F24057" w:rsidRDefault="0089346F" w:rsidP="0089346F">
      <w:pPr>
        <w:rPr>
          <w:szCs w:val="22"/>
          <w:lang w:val="sr-Latn-ME"/>
        </w:rPr>
      </w:pPr>
      <w:r w:rsidRPr="00F24057">
        <w:rPr>
          <w:szCs w:val="22"/>
          <w:vertAlign w:val="superscript"/>
          <w:lang w:val="sr-Latn-ME"/>
        </w:rPr>
        <w:t xml:space="preserve">b </w:t>
      </w:r>
      <w:r w:rsidRPr="00F24057">
        <w:rPr>
          <w:szCs w:val="22"/>
          <w:lang w:val="sr-Latn-ME"/>
        </w:rPr>
        <w:t xml:space="preserve">Adalimumab 2,4 mg/kg (maksimalno 160 mg) u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Week 0) i 1. </w:t>
      </w:r>
      <w:r w:rsidR="00885A78" w:rsidRPr="00F24057">
        <w:rPr>
          <w:szCs w:val="22"/>
          <w:lang w:val="sr-Latn-ME"/>
        </w:rPr>
        <w:t>nedjelj</w:t>
      </w:r>
      <w:r w:rsidRPr="00F24057">
        <w:rPr>
          <w:szCs w:val="22"/>
          <w:lang w:val="sr-Latn-ME"/>
        </w:rPr>
        <w:t xml:space="preserve">i, i 1,2 mg/kg (maksimalno od 80 mg) u 2. </w:t>
      </w:r>
      <w:r w:rsidR="00885A78" w:rsidRPr="00F24057">
        <w:rPr>
          <w:szCs w:val="22"/>
          <w:lang w:val="sr-Latn-ME"/>
        </w:rPr>
        <w:t>nedjelj</w:t>
      </w:r>
      <w:r w:rsidRPr="00F24057">
        <w:rPr>
          <w:szCs w:val="22"/>
          <w:lang w:val="sr-Latn-ME"/>
        </w:rPr>
        <w:t>i</w:t>
      </w:r>
    </w:p>
    <w:p w14:paraId="67036DA8" w14:textId="0748B6D3" w:rsidR="0085087D" w:rsidRPr="00F24057" w:rsidRDefault="0085087D" w:rsidP="00D70B34">
      <w:pPr>
        <w:rPr>
          <w:szCs w:val="22"/>
          <w:lang w:val="sr-Latn-ME"/>
        </w:rPr>
      </w:pPr>
      <w:r w:rsidRPr="00F24057">
        <w:rPr>
          <w:szCs w:val="22"/>
          <w:vertAlign w:val="superscript"/>
          <w:lang w:val="sr-Latn-ME"/>
        </w:rPr>
        <w:t xml:space="preserve">c </w:t>
      </w:r>
      <w:r w:rsidRPr="00F24057">
        <w:rPr>
          <w:szCs w:val="22"/>
          <w:lang w:val="sr-Latn-ME"/>
        </w:rPr>
        <w:t xml:space="preserve">Ne uključujući indukcionu dozu </w:t>
      </w:r>
      <w:r w:rsidR="004E1278" w:rsidRPr="00F24057">
        <w:rPr>
          <w:szCs w:val="22"/>
          <w:lang w:val="sr-Latn-ME"/>
        </w:rPr>
        <w:t>a</w:t>
      </w:r>
      <w:r w:rsidRPr="00F24057">
        <w:rPr>
          <w:szCs w:val="22"/>
          <w:lang w:val="sr-Latn-ME"/>
        </w:rPr>
        <w:t>dalimumaba</w:t>
      </w:r>
      <w:r w:rsidR="004E1278" w:rsidRPr="00F24057">
        <w:rPr>
          <w:szCs w:val="22"/>
          <w:lang w:val="sr-Latn-ME"/>
        </w:rPr>
        <w:t xml:space="preserve"> u otvorenoj studiji</w:t>
      </w:r>
      <w:r w:rsidRPr="00F24057">
        <w:rPr>
          <w:szCs w:val="22"/>
          <w:lang w:val="sr-Latn-ME"/>
        </w:rPr>
        <w:t xml:space="preserve"> od 2,4 mg/kg (maksimalno 160 mg) u 0. i 1. </w:t>
      </w:r>
      <w:r w:rsidR="00885A78" w:rsidRPr="00F24057">
        <w:rPr>
          <w:szCs w:val="22"/>
          <w:lang w:val="sr-Latn-ME"/>
        </w:rPr>
        <w:t>nedjelj</w:t>
      </w:r>
      <w:r w:rsidRPr="00F24057">
        <w:rPr>
          <w:szCs w:val="22"/>
          <w:lang w:val="sr-Latn-ME"/>
        </w:rPr>
        <w:t xml:space="preserve">i i 1,2 mg/kg (maksimalno 80 mg) u 2. </w:t>
      </w:r>
      <w:r w:rsidR="00885A78" w:rsidRPr="00F24057">
        <w:rPr>
          <w:szCs w:val="22"/>
          <w:lang w:val="sr-Latn-ME"/>
        </w:rPr>
        <w:t>nedjelj</w:t>
      </w:r>
      <w:r w:rsidRPr="00F24057">
        <w:rPr>
          <w:szCs w:val="22"/>
          <w:lang w:val="sr-Latn-ME"/>
        </w:rPr>
        <w:t>i</w:t>
      </w:r>
    </w:p>
    <w:p w14:paraId="5BF75E0F" w14:textId="407020C7" w:rsidR="0085087D" w:rsidRPr="00F24057" w:rsidRDefault="0085087D" w:rsidP="00D70B34">
      <w:pPr>
        <w:rPr>
          <w:szCs w:val="22"/>
          <w:lang w:val="sr-Latn-ME"/>
        </w:rPr>
      </w:pPr>
      <w:r w:rsidRPr="00F24057">
        <w:rPr>
          <w:szCs w:val="22"/>
          <w:vertAlign w:val="superscript"/>
          <w:lang w:val="sr-Latn-ME"/>
        </w:rPr>
        <w:t>d</w:t>
      </w:r>
      <w:r w:rsidRPr="00F24057">
        <w:rPr>
          <w:szCs w:val="22"/>
          <w:lang w:val="sr-Latn-ME"/>
        </w:rPr>
        <w:t xml:space="preserve"> Adalimumab 0,6 mg/kg (maksimalno 40 mg) svake druge </w:t>
      </w:r>
      <w:r w:rsidR="00885A78" w:rsidRPr="00F24057">
        <w:rPr>
          <w:szCs w:val="22"/>
          <w:lang w:val="sr-Latn-ME"/>
        </w:rPr>
        <w:t>nedjelj</w:t>
      </w:r>
      <w:r w:rsidRPr="00F24057">
        <w:rPr>
          <w:szCs w:val="22"/>
          <w:lang w:val="sr-Latn-ME"/>
        </w:rPr>
        <w:t>e</w:t>
      </w:r>
    </w:p>
    <w:p w14:paraId="253F07AD" w14:textId="1083F1DA" w:rsidR="0085087D" w:rsidRPr="00F24057" w:rsidRDefault="0085087D" w:rsidP="00D70B34">
      <w:pPr>
        <w:rPr>
          <w:szCs w:val="22"/>
          <w:lang w:val="sr-Latn-ME"/>
        </w:rPr>
      </w:pPr>
      <w:r w:rsidRPr="00F24057">
        <w:rPr>
          <w:szCs w:val="22"/>
          <w:vertAlign w:val="superscript"/>
          <w:lang w:val="sr-Latn-ME"/>
        </w:rPr>
        <w:t>e</w:t>
      </w:r>
      <w:r w:rsidRPr="00F24057">
        <w:rPr>
          <w:szCs w:val="22"/>
          <w:lang w:val="sr-Latn-ME"/>
        </w:rPr>
        <w:t xml:space="preserve"> Adalimumab 0,6 mg/kg (maksimalno 40 mg) svake </w:t>
      </w:r>
      <w:r w:rsidR="00885A78" w:rsidRPr="00F24057">
        <w:rPr>
          <w:szCs w:val="22"/>
          <w:lang w:val="sr-Latn-ME"/>
        </w:rPr>
        <w:t>nedjelj</w:t>
      </w:r>
      <w:r w:rsidRPr="00F24057">
        <w:rPr>
          <w:szCs w:val="22"/>
          <w:lang w:val="sr-Latn-ME"/>
        </w:rPr>
        <w:t>e</w:t>
      </w:r>
    </w:p>
    <w:p w14:paraId="7E1648B1" w14:textId="2B238938" w:rsidR="0085087D" w:rsidRPr="00F24057" w:rsidRDefault="0085087D" w:rsidP="00D70B34">
      <w:pPr>
        <w:rPr>
          <w:szCs w:val="22"/>
          <w:lang w:val="sr-Latn-ME"/>
        </w:rPr>
      </w:pPr>
      <w:r w:rsidRPr="00F24057">
        <w:rPr>
          <w:szCs w:val="22"/>
          <w:lang w:val="sr-Latn-ME"/>
        </w:rPr>
        <w:t xml:space="preserve">Napomena 1: </w:t>
      </w:r>
      <w:r w:rsidR="00671751" w:rsidRPr="00F24057">
        <w:rPr>
          <w:szCs w:val="22"/>
          <w:lang w:val="sr-Latn-ME"/>
        </w:rPr>
        <w:t>Obije</w:t>
      </w:r>
      <w:r w:rsidRPr="00F24057">
        <w:rPr>
          <w:szCs w:val="22"/>
          <w:lang w:val="sr-Latn-ME"/>
        </w:rPr>
        <w:t xml:space="preserve"> indukcione grupe su primile 0,6 mg/kg (maksimalno 40 mg) u 4. i 6. </w:t>
      </w:r>
      <w:r w:rsidR="00885A78" w:rsidRPr="00F24057">
        <w:rPr>
          <w:szCs w:val="22"/>
          <w:lang w:val="sr-Latn-ME"/>
        </w:rPr>
        <w:t>nedjelj</w:t>
      </w:r>
      <w:r w:rsidRPr="00F24057">
        <w:rPr>
          <w:szCs w:val="22"/>
          <w:lang w:val="sr-Latn-ME"/>
        </w:rPr>
        <w:t>i</w:t>
      </w:r>
      <w:r w:rsidR="00182D96" w:rsidRPr="00F24057">
        <w:rPr>
          <w:szCs w:val="22"/>
          <w:lang w:val="sr-Latn-ME"/>
        </w:rPr>
        <w:t>.</w:t>
      </w:r>
    </w:p>
    <w:p w14:paraId="00F7FD56" w14:textId="7149C426" w:rsidR="0085087D" w:rsidRPr="00F24057" w:rsidRDefault="0085087D" w:rsidP="00D70B34">
      <w:pPr>
        <w:rPr>
          <w:szCs w:val="22"/>
          <w:lang w:val="sr-Latn-ME"/>
        </w:rPr>
      </w:pPr>
      <w:r w:rsidRPr="00F24057">
        <w:rPr>
          <w:szCs w:val="22"/>
          <w:lang w:val="sr-Latn-ME"/>
        </w:rPr>
        <w:t xml:space="preserve">Napomena 2: Smatralo se da pacijenti sa nedostajućim </w:t>
      </w:r>
      <w:r w:rsidR="00972894" w:rsidRPr="00F24057">
        <w:rPr>
          <w:szCs w:val="22"/>
          <w:lang w:val="sr-Latn-ME"/>
        </w:rPr>
        <w:t>vrijedno</w:t>
      </w:r>
      <w:r w:rsidRPr="00F24057">
        <w:rPr>
          <w:szCs w:val="22"/>
          <w:lang w:val="sr-Latn-ME"/>
        </w:rPr>
        <w:t xml:space="preserve">stima u 8. </w:t>
      </w:r>
      <w:r w:rsidR="00885A78" w:rsidRPr="00F24057">
        <w:rPr>
          <w:szCs w:val="22"/>
          <w:lang w:val="sr-Latn-ME"/>
        </w:rPr>
        <w:t>nedjelj</w:t>
      </w:r>
      <w:r w:rsidRPr="00F24057">
        <w:rPr>
          <w:szCs w:val="22"/>
          <w:lang w:val="sr-Latn-ME"/>
        </w:rPr>
        <w:t xml:space="preserve">i nisu ispunili krajnje </w:t>
      </w:r>
      <w:r w:rsidR="005C0EBB" w:rsidRPr="00F24057">
        <w:rPr>
          <w:szCs w:val="22"/>
          <w:lang w:val="sr-Latn-ME"/>
        </w:rPr>
        <w:t>ciljeve</w:t>
      </w:r>
      <w:r w:rsidR="00182D96" w:rsidRPr="00F24057">
        <w:rPr>
          <w:szCs w:val="22"/>
          <w:lang w:val="sr-Latn-ME"/>
        </w:rPr>
        <w:t>.</w:t>
      </w:r>
    </w:p>
    <w:p w14:paraId="39E38170" w14:textId="575F2076" w:rsidR="00E0199F" w:rsidRPr="00F24057" w:rsidRDefault="0085087D" w:rsidP="00D70B34">
      <w:pPr>
        <w:rPr>
          <w:szCs w:val="22"/>
          <w:lang w:val="sr-Latn-ME"/>
        </w:rPr>
      </w:pPr>
      <w:r w:rsidRPr="00F24057">
        <w:rPr>
          <w:szCs w:val="22"/>
          <w:lang w:val="sr-Latn-ME"/>
        </w:rPr>
        <w:lastRenderedPageBreak/>
        <w:t>Napomena</w:t>
      </w:r>
      <w:r w:rsidR="00371F66" w:rsidRPr="00F24057">
        <w:rPr>
          <w:szCs w:val="22"/>
          <w:lang w:val="sr-Latn-ME"/>
        </w:rPr>
        <w:t xml:space="preserve"> </w:t>
      </w:r>
      <w:r w:rsidRPr="00F24057">
        <w:rPr>
          <w:szCs w:val="22"/>
          <w:lang w:val="sr-Latn-ME"/>
        </w:rPr>
        <w:t xml:space="preserve">3: Pacijenti sa nedostajućim </w:t>
      </w:r>
      <w:r w:rsidR="00972894" w:rsidRPr="00F24057">
        <w:rPr>
          <w:szCs w:val="22"/>
          <w:lang w:val="sr-Latn-ME"/>
        </w:rPr>
        <w:t>vrijedno</w:t>
      </w:r>
      <w:r w:rsidRPr="00F24057">
        <w:rPr>
          <w:szCs w:val="22"/>
          <w:lang w:val="sr-Latn-ME"/>
        </w:rPr>
        <w:t xml:space="preserve">stima u 52. </w:t>
      </w:r>
      <w:r w:rsidR="00885A78" w:rsidRPr="00F24057">
        <w:rPr>
          <w:szCs w:val="22"/>
          <w:lang w:val="sr-Latn-ME"/>
        </w:rPr>
        <w:t>nedjelj</w:t>
      </w:r>
      <w:r w:rsidRPr="00F24057">
        <w:rPr>
          <w:szCs w:val="22"/>
          <w:lang w:val="sr-Latn-ME"/>
        </w:rPr>
        <w:t xml:space="preserve">i ili koji su randomizovani da primaju terapiju </w:t>
      </w:r>
      <w:r w:rsidR="005C0EBB" w:rsidRPr="00F24057">
        <w:rPr>
          <w:szCs w:val="22"/>
          <w:lang w:val="sr-Latn-ME"/>
        </w:rPr>
        <w:t>re</w:t>
      </w:r>
      <w:r w:rsidRPr="00F24057">
        <w:rPr>
          <w:szCs w:val="22"/>
          <w:lang w:val="sr-Latn-ME"/>
        </w:rPr>
        <w:t xml:space="preserve">indukcije ili </w:t>
      </w:r>
      <w:r w:rsidR="005C0EBB" w:rsidRPr="00F24057">
        <w:rPr>
          <w:szCs w:val="22"/>
          <w:lang w:val="sr-Latn-ME"/>
        </w:rPr>
        <w:t xml:space="preserve">terapiju </w:t>
      </w:r>
      <w:r w:rsidRPr="00F24057">
        <w:rPr>
          <w:szCs w:val="22"/>
          <w:lang w:val="sr-Latn-ME"/>
        </w:rPr>
        <w:t xml:space="preserve">održavanja smatrani su onima koji </w:t>
      </w:r>
      <w:r w:rsidR="002831A2" w:rsidRPr="00F24057">
        <w:rPr>
          <w:szCs w:val="22"/>
          <w:lang w:val="sr-Latn-ME"/>
        </w:rPr>
        <w:t xml:space="preserve">nisu ispunili krajnje ciljeve </w:t>
      </w:r>
      <w:r w:rsidR="0002433B" w:rsidRPr="00F24057">
        <w:rPr>
          <w:szCs w:val="22"/>
          <w:lang w:val="sr-Latn-ME"/>
        </w:rPr>
        <w:t xml:space="preserve">u </w:t>
      </w:r>
      <w:r w:rsidRPr="00F24057">
        <w:rPr>
          <w:szCs w:val="22"/>
          <w:lang w:val="sr-Latn-ME"/>
        </w:rPr>
        <w:t xml:space="preserve">52. </w:t>
      </w:r>
      <w:r w:rsidR="00885A78" w:rsidRPr="00F24057">
        <w:rPr>
          <w:szCs w:val="22"/>
          <w:lang w:val="sr-Latn-ME"/>
        </w:rPr>
        <w:t>nedjelj</w:t>
      </w:r>
      <w:r w:rsidR="0002433B" w:rsidRPr="00F24057">
        <w:rPr>
          <w:szCs w:val="22"/>
          <w:lang w:val="sr-Latn-ME"/>
        </w:rPr>
        <w:t>i.</w:t>
      </w:r>
    </w:p>
    <w:p w14:paraId="03BFD05E" w14:textId="0EC6814C" w:rsidR="00E0199F" w:rsidRPr="00F24057" w:rsidRDefault="00E0199F" w:rsidP="00D70B34">
      <w:pPr>
        <w:rPr>
          <w:szCs w:val="22"/>
          <w:lang w:val="sr-Latn-ME"/>
        </w:rPr>
      </w:pPr>
    </w:p>
    <w:p w14:paraId="705AF548" w14:textId="6510C7C2" w:rsidR="000C7AAA" w:rsidRPr="00F24057" w:rsidRDefault="000C7AAA" w:rsidP="00D70B34">
      <w:pPr>
        <w:rPr>
          <w:szCs w:val="22"/>
          <w:lang w:val="sr-Latn-ME"/>
        </w:rPr>
      </w:pPr>
      <w:r w:rsidRPr="00F24057">
        <w:rPr>
          <w:szCs w:val="22"/>
          <w:lang w:val="sr-Latn-ME"/>
        </w:rPr>
        <w:t xml:space="preserve">Među bolesnicima koji su </w:t>
      </w:r>
      <w:r w:rsidR="00885A78" w:rsidRPr="00F24057">
        <w:rPr>
          <w:szCs w:val="22"/>
          <w:lang w:val="sr-Latn-ME"/>
        </w:rPr>
        <w:t>liječe</w:t>
      </w:r>
      <w:r w:rsidRPr="00F24057">
        <w:rPr>
          <w:szCs w:val="22"/>
          <w:lang w:val="sr-Latn-ME"/>
        </w:rPr>
        <w:t xml:space="preserve">ni </w:t>
      </w:r>
      <w:r w:rsidR="00885A78" w:rsidRPr="00F24057">
        <w:rPr>
          <w:szCs w:val="22"/>
          <w:lang w:val="sr-Latn-ME"/>
        </w:rPr>
        <w:t>lijekom</w:t>
      </w:r>
      <w:r w:rsidRPr="00F24057">
        <w:rPr>
          <w:szCs w:val="22"/>
          <w:lang w:val="sr-Latn-ME"/>
        </w:rPr>
        <w:t xml:space="preserve"> adalimumab i koji su primili ponovno indukcijsko </w:t>
      </w:r>
      <w:r w:rsidR="0030064A" w:rsidRPr="00F24057">
        <w:rPr>
          <w:szCs w:val="22"/>
          <w:lang w:val="sr-Latn-ME"/>
        </w:rPr>
        <w:t>liječenje</w:t>
      </w:r>
      <w:r w:rsidRPr="00F24057">
        <w:rPr>
          <w:szCs w:val="22"/>
          <w:lang w:val="sr-Latn-ME"/>
        </w:rPr>
        <w:t xml:space="preserve"> tokom </w:t>
      </w:r>
      <w:r w:rsidR="00BD782A" w:rsidRPr="00F24057">
        <w:rPr>
          <w:szCs w:val="22"/>
          <w:lang w:val="sr-Latn-ME"/>
        </w:rPr>
        <w:t>perioda</w:t>
      </w:r>
      <w:r w:rsidRPr="00F24057">
        <w:rPr>
          <w:szCs w:val="22"/>
          <w:lang w:val="sr-Latn-ME"/>
        </w:rPr>
        <w:t xml:space="preserve"> održavanja, 2/6 (33%) postiglo je klinički odgovor prema FMS u 52. </w:t>
      </w:r>
      <w:r w:rsidR="00885A78" w:rsidRPr="00F24057">
        <w:rPr>
          <w:szCs w:val="22"/>
          <w:lang w:val="sr-Latn-ME"/>
        </w:rPr>
        <w:t>Nedjelj</w:t>
      </w:r>
      <w:r w:rsidRPr="00F24057">
        <w:rPr>
          <w:szCs w:val="22"/>
          <w:lang w:val="sr-Latn-ME"/>
        </w:rPr>
        <w:t>i</w:t>
      </w:r>
      <w:r w:rsidR="00D22B3B" w:rsidRPr="00F24057">
        <w:rPr>
          <w:szCs w:val="22"/>
          <w:lang w:val="sr-Latn-ME"/>
        </w:rPr>
        <w:t>.</w:t>
      </w:r>
    </w:p>
    <w:p w14:paraId="6AA305BA" w14:textId="77777777" w:rsidR="000C7AAA" w:rsidRPr="00F24057" w:rsidRDefault="000C7AAA" w:rsidP="00D70B34">
      <w:pPr>
        <w:rPr>
          <w:szCs w:val="22"/>
          <w:lang w:val="sr-Latn-ME"/>
        </w:rPr>
      </w:pPr>
    </w:p>
    <w:p w14:paraId="0061C792" w14:textId="0BDACB62" w:rsidR="00047725" w:rsidRPr="00F24057" w:rsidRDefault="00047725" w:rsidP="00D70B34">
      <w:pPr>
        <w:rPr>
          <w:i/>
          <w:iCs/>
          <w:szCs w:val="22"/>
          <w:u w:val="single"/>
          <w:lang w:val="sr-Latn-ME"/>
        </w:rPr>
      </w:pPr>
      <w:r w:rsidRPr="00F24057">
        <w:rPr>
          <w:i/>
          <w:iCs/>
          <w:szCs w:val="22"/>
          <w:u w:val="single"/>
          <w:lang w:val="sr-Latn-ME"/>
        </w:rPr>
        <w:t>Kvalitet života</w:t>
      </w:r>
    </w:p>
    <w:p w14:paraId="2A88BD60" w14:textId="440238D6" w:rsidR="00047725" w:rsidRPr="00F24057" w:rsidRDefault="006B5191" w:rsidP="00D70B34">
      <w:pPr>
        <w:rPr>
          <w:szCs w:val="22"/>
          <w:lang w:val="sr-Latn-ME"/>
        </w:rPr>
      </w:pPr>
      <w:r w:rsidRPr="00F24057">
        <w:rPr>
          <w:szCs w:val="22"/>
          <w:lang w:val="sr-Latn-ME"/>
        </w:rPr>
        <w:t xml:space="preserve">Za grupe </w:t>
      </w:r>
      <w:r w:rsidR="00885A78" w:rsidRPr="00F24057">
        <w:rPr>
          <w:szCs w:val="22"/>
          <w:lang w:val="sr-Latn-ME"/>
        </w:rPr>
        <w:t>liječe</w:t>
      </w:r>
      <w:r w:rsidRPr="00F24057">
        <w:rPr>
          <w:szCs w:val="22"/>
          <w:lang w:val="sr-Latn-ME"/>
        </w:rPr>
        <w:t>ne adalimumabom k</w:t>
      </w:r>
      <w:r w:rsidR="00047725" w:rsidRPr="00F24057">
        <w:rPr>
          <w:szCs w:val="22"/>
          <w:lang w:val="sr-Latn-ME"/>
        </w:rPr>
        <w:t xml:space="preserve">linički značajna poboljšanja u odnosu </w:t>
      </w:r>
      <w:r w:rsidR="005A1D5C" w:rsidRPr="00F24057">
        <w:rPr>
          <w:szCs w:val="22"/>
          <w:lang w:val="sr-Latn-ME"/>
        </w:rPr>
        <w:t xml:space="preserve">na početnu </w:t>
      </w:r>
      <w:r w:rsidR="00972894" w:rsidRPr="00F24057">
        <w:rPr>
          <w:szCs w:val="22"/>
          <w:lang w:val="sr-Latn-ME"/>
        </w:rPr>
        <w:t>vrijedno</w:t>
      </w:r>
      <w:r w:rsidR="005A1D5C" w:rsidRPr="00F24057">
        <w:rPr>
          <w:szCs w:val="22"/>
          <w:lang w:val="sr-Latn-ME"/>
        </w:rPr>
        <w:t>st</w:t>
      </w:r>
      <w:r w:rsidR="00047725" w:rsidRPr="00F24057">
        <w:rPr>
          <w:szCs w:val="22"/>
          <w:lang w:val="sr-Latn-ME"/>
        </w:rPr>
        <w:t xml:space="preserve"> prim</w:t>
      </w:r>
      <w:r w:rsidR="00FF3128" w:rsidRPr="00F24057">
        <w:rPr>
          <w:szCs w:val="22"/>
          <w:lang w:val="sr-Latn-ME"/>
        </w:rPr>
        <w:t>j</w:t>
      </w:r>
      <w:r w:rsidR="00047725" w:rsidRPr="00F24057">
        <w:rPr>
          <w:szCs w:val="22"/>
          <w:lang w:val="sr-Latn-ME"/>
        </w:rPr>
        <w:t xml:space="preserve">ećena su u IMPACT III i </w:t>
      </w:r>
      <w:r w:rsidR="00D22B3B" w:rsidRPr="00F24057">
        <w:rPr>
          <w:szCs w:val="22"/>
          <w:lang w:val="sr-Latn-ME"/>
        </w:rPr>
        <w:t xml:space="preserve">u </w:t>
      </w:r>
      <w:r w:rsidR="00047725" w:rsidRPr="00F24057">
        <w:rPr>
          <w:szCs w:val="22"/>
          <w:lang w:val="sr-Latn-ME"/>
        </w:rPr>
        <w:t>rezultat</w:t>
      </w:r>
      <w:r w:rsidR="00224FE4" w:rsidRPr="00F24057">
        <w:rPr>
          <w:szCs w:val="22"/>
          <w:lang w:val="sr-Latn-ME"/>
        </w:rPr>
        <w:t>ima</w:t>
      </w:r>
      <w:r w:rsidR="00047725" w:rsidRPr="00F24057">
        <w:rPr>
          <w:szCs w:val="22"/>
          <w:lang w:val="sr-Latn-ME"/>
        </w:rPr>
        <w:t xml:space="preserve"> </w:t>
      </w:r>
      <w:r w:rsidR="00C7196F" w:rsidRPr="00F24057">
        <w:rPr>
          <w:szCs w:val="22"/>
          <w:lang w:val="sr-Latn-ME"/>
        </w:rPr>
        <w:t xml:space="preserve">upitnika o </w:t>
      </w:r>
      <w:r w:rsidR="00047725" w:rsidRPr="00F24057">
        <w:rPr>
          <w:szCs w:val="22"/>
          <w:lang w:val="sr-Latn-ME"/>
        </w:rPr>
        <w:t>radn</w:t>
      </w:r>
      <w:r w:rsidRPr="00F24057">
        <w:rPr>
          <w:szCs w:val="22"/>
          <w:lang w:val="sr-Latn-ME"/>
        </w:rPr>
        <w:t xml:space="preserve">oj </w:t>
      </w:r>
      <w:r w:rsidR="00047725" w:rsidRPr="00F24057">
        <w:rPr>
          <w:szCs w:val="22"/>
          <w:lang w:val="sr-Latn-ME"/>
        </w:rPr>
        <w:t xml:space="preserve">produktivnosti </w:t>
      </w:r>
      <w:r w:rsidR="00FC5E54" w:rsidRPr="00F24057">
        <w:rPr>
          <w:szCs w:val="22"/>
          <w:lang w:val="sr-Latn-ME"/>
        </w:rPr>
        <w:t>i smetnjama u radu</w:t>
      </w:r>
      <w:r w:rsidRPr="00F24057">
        <w:rPr>
          <w:szCs w:val="22"/>
          <w:lang w:val="sr-Latn-ME"/>
        </w:rPr>
        <w:t xml:space="preserve"> </w:t>
      </w:r>
      <w:r w:rsidR="00047725" w:rsidRPr="00F24057">
        <w:rPr>
          <w:szCs w:val="22"/>
          <w:lang w:val="sr-Latn-ME"/>
        </w:rPr>
        <w:t>(</w:t>
      </w:r>
      <w:r w:rsidR="00164F6B" w:rsidRPr="00F24057">
        <w:rPr>
          <w:szCs w:val="22"/>
          <w:lang w:val="sr-Latn-ME"/>
        </w:rPr>
        <w:t>eng</w:t>
      </w:r>
      <w:r w:rsidR="005C4EED" w:rsidRPr="00F24057">
        <w:rPr>
          <w:szCs w:val="22"/>
          <w:lang w:val="sr-Latn-ME"/>
        </w:rPr>
        <w:t>l</w:t>
      </w:r>
      <w:r w:rsidR="00164F6B" w:rsidRPr="00F24057">
        <w:rPr>
          <w:szCs w:val="22"/>
          <w:lang w:val="sr-Latn-ME"/>
        </w:rPr>
        <w:t xml:space="preserve">. </w:t>
      </w:r>
      <w:r w:rsidR="00164F6B" w:rsidRPr="00F24057">
        <w:rPr>
          <w:i/>
          <w:iCs/>
          <w:szCs w:val="22"/>
          <w:lang w:val="sr-Latn-ME"/>
        </w:rPr>
        <w:t>Work Productivity and Activity Impairment</w:t>
      </w:r>
      <w:r w:rsidR="00164F6B" w:rsidRPr="00F24057">
        <w:rPr>
          <w:szCs w:val="22"/>
          <w:lang w:val="sr-Latn-ME"/>
        </w:rPr>
        <w:t xml:space="preserve"> - W</w:t>
      </w:r>
      <w:r w:rsidR="00047725" w:rsidRPr="00F24057">
        <w:rPr>
          <w:szCs w:val="22"/>
          <w:lang w:val="sr-Latn-ME"/>
        </w:rPr>
        <w:t xml:space="preserve">PAI) </w:t>
      </w:r>
      <w:r w:rsidR="00FC5E54" w:rsidRPr="00F24057">
        <w:rPr>
          <w:szCs w:val="22"/>
          <w:lang w:val="sr-Latn-ME"/>
        </w:rPr>
        <w:t>kojeg su popunjavali n</w:t>
      </w:r>
      <w:r w:rsidR="00606EF7" w:rsidRPr="00F24057">
        <w:rPr>
          <w:szCs w:val="22"/>
          <w:lang w:val="sr-Latn-ME"/>
        </w:rPr>
        <w:t>j</w:t>
      </w:r>
      <w:r w:rsidR="00FC5E54" w:rsidRPr="00F24057">
        <w:rPr>
          <w:szCs w:val="22"/>
          <w:lang w:val="sr-Latn-ME"/>
        </w:rPr>
        <w:t>egovatelji.</w:t>
      </w:r>
      <w:r w:rsidRPr="00F24057">
        <w:rPr>
          <w:szCs w:val="22"/>
          <w:lang w:val="sr-Latn-ME"/>
        </w:rPr>
        <w:t xml:space="preserve"> </w:t>
      </w:r>
    </w:p>
    <w:p w14:paraId="5AD5C4F8" w14:textId="77777777" w:rsidR="00047725" w:rsidRPr="00F24057" w:rsidRDefault="00047725" w:rsidP="00D70B34">
      <w:pPr>
        <w:rPr>
          <w:szCs w:val="22"/>
          <w:lang w:val="sr-Latn-ME"/>
        </w:rPr>
      </w:pPr>
    </w:p>
    <w:p w14:paraId="2925A03A" w14:textId="435C40BD" w:rsidR="00E0199F" w:rsidRPr="00F24057" w:rsidRDefault="00047725" w:rsidP="00D70B34">
      <w:pPr>
        <w:rPr>
          <w:szCs w:val="22"/>
          <w:lang w:val="sr-Latn-ME"/>
        </w:rPr>
      </w:pPr>
      <w:r w:rsidRPr="00F24057">
        <w:rPr>
          <w:szCs w:val="22"/>
          <w:lang w:val="sr-Latn-ME"/>
        </w:rPr>
        <w:t>Klinički značajn</w:t>
      </w:r>
      <w:r w:rsidR="003876F6" w:rsidRPr="00F24057">
        <w:rPr>
          <w:szCs w:val="22"/>
          <w:lang w:val="sr-Latn-ME"/>
        </w:rPr>
        <w:t>o</w:t>
      </w:r>
      <w:r w:rsidRPr="00F24057">
        <w:rPr>
          <w:szCs w:val="22"/>
          <w:lang w:val="sr-Latn-ME"/>
        </w:rPr>
        <w:t xml:space="preserve"> povećanj</w:t>
      </w:r>
      <w:r w:rsidR="003876F6" w:rsidRPr="00F24057">
        <w:rPr>
          <w:szCs w:val="22"/>
          <w:lang w:val="sr-Latn-ME"/>
        </w:rPr>
        <w:t>e</w:t>
      </w:r>
      <w:r w:rsidRPr="00F24057">
        <w:rPr>
          <w:szCs w:val="22"/>
          <w:lang w:val="sr-Latn-ME"/>
        </w:rPr>
        <w:t xml:space="preserve"> (poboljšanje) </w:t>
      </w:r>
      <w:r w:rsidR="006F5495" w:rsidRPr="00F24057">
        <w:rPr>
          <w:szCs w:val="22"/>
          <w:lang w:val="sr-Latn-ME"/>
        </w:rPr>
        <w:t xml:space="preserve">brzine rasta </w:t>
      </w:r>
      <w:r w:rsidRPr="00F24057">
        <w:rPr>
          <w:szCs w:val="22"/>
          <w:lang w:val="sr-Latn-ME"/>
        </w:rPr>
        <w:t>u odnosu na početn</w:t>
      </w:r>
      <w:r w:rsidR="006F5495" w:rsidRPr="00F24057">
        <w:rPr>
          <w:szCs w:val="22"/>
          <w:lang w:val="sr-Latn-ME"/>
        </w:rPr>
        <w:t>e</w:t>
      </w:r>
      <w:r w:rsidRPr="00F24057">
        <w:rPr>
          <w:szCs w:val="22"/>
          <w:lang w:val="sr-Latn-ME"/>
        </w:rPr>
        <w:t xml:space="preserve"> </w:t>
      </w:r>
      <w:r w:rsidR="00972894" w:rsidRPr="00F24057">
        <w:rPr>
          <w:szCs w:val="22"/>
          <w:lang w:val="sr-Latn-ME"/>
        </w:rPr>
        <w:t>vrijedno</w:t>
      </w:r>
      <w:r w:rsidRPr="00F24057">
        <w:rPr>
          <w:szCs w:val="22"/>
          <w:lang w:val="sr-Latn-ME"/>
        </w:rPr>
        <w:t>st</w:t>
      </w:r>
      <w:r w:rsidR="006F5495" w:rsidRPr="00F24057">
        <w:rPr>
          <w:szCs w:val="22"/>
          <w:lang w:val="sr-Latn-ME"/>
        </w:rPr>
        <w:t>i</w:t>
      </w:r>
      <w:r w:rsidRPr="00F24057">
        <w:rPr>
          <w:szCs w:val="22"/>
          <w:lang w:val="sr-Latn-ME"/>
        </w:rPr>
        <w:t xml:space="preserve"> </w:t>
      </w:r>
      <w:r w:rsidR="006F5495" w:rsidRPr="00F24057">
        <w:rPr>
          <w:szCs w:val="22"/>
          <w:lang w:val="sr-Latn-ME"/>
        </w:rPr>
        <w:t>je</w:t>
      </w:r>
      <w:r w:rsidRPr="00F24057">
        <w:rPr>
          <w:szCs w:val="22"/>
          <w:lang w:val="sr-Latn-ME"/>
        </w:rPr>
        <w:t xml:space="preserve"> prim</w:t>
      </w:r>
      <w:r w:rsidR="00FF3128" w:rsidRPr="00F24057">
        <w:rPr>
          <w:szCs w:val="22"/>
          <w:lang w:val="sr-Latn-ME"/>
        </w:rPr>
        <w:t>j</w:t>
      </w:r>
      <w:r w:rsidRPr="00F24057">
        <w:rPr>
          <w:szCs w:val="22"/>
          <w:lang w:val="sr-Latn-ME"/>
        </w:rPr>
        <w:t>ećen</w:t>
      </w:r>
      <w:r w:rsidR="006F5495" w:rsidRPr="00F24057">
        <w:rPr>
          <w:szCs w:val="22"/>
          <w:lang w:val="sr-Latn-ME"/>
        </w:rPr>
        <w:t>o</w:t>
      </w:r>
      <w:r w:rsidRPr="00F24057">
        <w:rPr>
          <w:szCs w:val="22"/>
          <w:lang w:val="sr-Latn-ME"/>
        </w:rPr>
        <w:t xml:space="preserve"> za grupe </w:t>
      </w:r>
      <w:r w:rsidR="00885A78" w:rsidRPr="00F24057">
        <w:rPr>
          <w:szCs w:val="22"/>
          <w:lang w:val="sr-Latn-ME"/>
        </w:rPr>
        <w:t>liječe</w:t>
      </w:r>
      <w:r w:rsidRPr="00F24057">
        <w:rPr>
          <w:szCs w:val="22"/>
          <w:lang w:val="sr-Latn-ME"/>
        </w:rPr>
        <w:t>ne adalimumabom, a klinički značajn</w:t>
      </w:r>
      <w:r w:rsidR="006F5495" w:rsidRPr="00F24057">
        <w:rPr>
          <w:szCs w:val="22"/>
          <w:lang w:val="sr-Latn-ME"/>
        </w:rPr>
        <w:t>o</w:t>
      </w:r>
      <w:r w:rsidRPr="00F24057">
        <w:rPr>
          <w:szCs w:val="22"/>
          <w:lang w:val="sr-Latn-ME"/>
        </w:rPr>
        <w:t xml:space="preserve"> povećanj</w:t>
      </w:r>
      <w:r w:rsidR="006F5495" w:rsidRPr="00F24057">
        <w:rPr>
          <w:szCs w:val="22"/>
          <w:lang w:val="sr-Latn-ME"/>
        </w:rPr>
        <w:t>e</w:t>
      </w:r>
      <w:r w:rsidRPr="00F24057">
        <w:rPr>
          <w:szCs w:val="22"/>
          <w:lang w:val="sr-Latn-ME"/>
        </w:rPr>
        <w:t xml:space="preserve"> (poboljšanj</w:t>
      </w:r>
      <w:r w:rsidR="006F5495" w:rsidRPr="00F24057">
        <w:rPr>
          <w:szCs w:val="22"/>
          <w:lang w:val="sr-Latn-ME"/>
        </w:rPr>
        <w:t>e</w:t>
      </w:r>
      <w:r w:rsidRPr="00F24057">
        <w:rPr>
          <w:szCs w:val="22"/>
          <w:lang w:val="sr-Latn-ME"/>
        </w:rPr>
        <w:t xml:space="preserve">) </w:t>
      </w:r>
      <w:r w:rsidR="00AF54B4" w:rsidRPr="00F24057">
        <w:rPr>
          <w:szCs w:val="22"/>
          <w:lang w:val="sr-Latn-ME"/>
        </w:rPr>
        <w:t>i</w:t>
      </w:r>
      <w:r w:rsidRPr="00F24057">
        <w:rPr>
          <w:szCs w:val="22"/>
          <w:lang w:val="sr-Latn-ME"/>
        </w:rPr>
        <w:t>ndeks</w:t>
      </w:r>
      <w:r w:rsidR="00AF54B4" w:rsidRPr="00F24057">
        <w:rPr>
          <w:szCs w:val="22"/>
          <w:lang w:val="sr-Latn-ME"/>
        </w:rPr>
        <w:t>a</w:t>
      </w:r>
      <w:r w:rsidRPr="00F24057">
        <w:rPr>
          <w:szCs w:val="22"/>
          <w:lang w:val="sr-Latn-ME"/>
        </w:rPr>
        <w:t xml:space="preserve"> </w:t>
      </w:r>
      <w:r w:rsidR="007E5568" w:rsidRPr="00F24057">
        <w:rPr>
          <w:szCs w:val="22"/>
          <w:lang w:val="sr-Latn-ME"/>
        </w:rPr>
        <w:t>tjeles</w:t>
      </w:r>
      <w:r w:rsidRPr="00F24057">
        <w:rPr>
          <w:szCs w:val="22"/>
          <w:lang w:val="sr-Latn-ME"/>
        </w:rPr>
        <w:t xml:space="preserve">ne mase </w:t>
      </w:r>
      <w:r w:rsidR="00AF54B4" w:rsidRPr="00F24057">
        <w:rPr>
          <w:szCs w:val="22"/>
          <w:lang w:val="sr-Latn-ME"/>
        </w:rPr>
        <w:t xml:space="preserve">(BMI) </w:t>
      </w:r>
      <w:r w:rsidR="006F5495" w:rsidRPr="00F24057">
        <w:rPr>
          <w:szCs w:val="22"/>
          <w:lang w:val="sr-Latn-ME"/>
        </w:rPr>
        <w:t xml:space="preserve">u odnosu na početnu </w:t>
      </w:r>
      <w:r w:rsidR="00972894" w:rsidRPr="00F24057">
        <w:rPr>
          <w:szCs w:val="22"/>
          <w:lang w:val="sr-Latn-ME"/>
        </w:rPr>
        <w:t>vrijedno</w:t>
      </w:r>
      <w:r w:rsidR="006F5495" w:rsidRPr="00F24057">
        <w:rPr>
          <w:szCs w:val="22"/>
          <w:lang w:val="sr-Latn-ME"/>
        </w:rPr>
        <w:t>st je</w:t>
      </w:r>
      <w:r w:rsidRPr="00F24057">
        <w:rPr>
          <w:szCs w:val="22"/>
          <w:lang w:val="sr-Latn-ME"/>
        </w:rPr>
        <w:t xml:space="preserve"> prim</w:t>
      </w:r>
      <w:r w:rsidR="00FF3128" w:rsidRPr="00F24057">
        <w:rPr>
          <w:szCs w:val="22"/>
          <w:lang w:val="sr-Latn-ME"/>
        </w:rPr>
        <w:t>j</w:t>
      </w:r>
      <w:r w:rsidRPr="00F24057">
        <w:rPr>
          <w:szCs w:val="22"/>
          <w:lang w:val="sr-Latn-ME"/>
        </w:rPr>
        <w:t>ećen</w:t>
      </w:r>
      <w:r w:rsidR="006F5495" w:rsidRPr="00F24057">
        <w:rPr>
          <w:szCs w:val="22"/>
          <w:lang w:val="sr-Latn-ME"/>
        </w:rPr>
        <w:t>o</w:t>
      </w:r>
      <w:r w:rsidRPr="00F24057">
        <w:rPr>
          <w:szCs w:val="22"/>
          <w:lang w:val="sr-Latn-ME"/>
        </w:rPr>
        <w:t xml:space="preserve"> za </w:t>
      </w:r>
      <w:r w:rsidR="006F5495" w:rsidRPr="00F24057">
        <w:rPr>
          <w:szCs w:val="22"/>
          <w:lang w:val="sr-Latn-ME"/>
        </w:rPr>
        <w:t>ispitanike</w:t>
      </w:r>
      <w:r w:rsidRPr="00F24057">
        <w:rPr>
          <w:szCs w:val="22"/>
          <w:lang w:val="sr-Latn-ME"/>
        </w:rPr>
        <w:t xml:space="preserve"> na visokoj dozi održavanja od maksimaln</w:t>
      </w:r>
      <w:r w:rsidR="006F5495" w:rsidRPr="00F24057">
        <w:rPr>
          <w:szCs w:val="22"/>
          <w:lang w:val="sr-Latn-ME"/>
        </w:rPr>
        <w:t>o</w:t>
      </w:r>
      <w:r w:rsidRPr="00F24057">
        <w:rPr>
          <w:szCs w:val="22"/>
          <w:lang w:val="sr-Latn-ME"/>
        </w:rPr>
        <w:t xml:space="preserve"> 40 mg (0,6 mg/ kg) svake </w:t>
      </w:r>
      <w:r w:rsidR="00885A78" w:rsidRPr="00F24057">
        <w:rPr>
          <w:szCs w:val="22"/>
          <w:lang w:val="sr-Latn-ME"/>
        </w:rPr>
        <w:t>nedjelj</w:t>
      </w:r>
      <w:r w:rsidRPr="00F24057">
        <w:rPr>
          <w:szCs w:val="22"/>
          <w:lang w:val="sr-Latn-ME"/>
        </w:rPr>
        <w:t>e.</w:t>
      </w:r>
    </w:p>
    <w:p w14:paraId="14F3BA54" w14:textId="2E6B9C89" w:rsidR="00E0199F" w:rsidRPr="00F24057" w:rsidRDefault="00E0199F" w:rsidP="00D70B34">
      <w:pPr>
        <w:rPr>
          <w:szCs w:val="22"/>
          <w:lang w:val="sr-Latn-ME"/>
        </w:rPr>
      </w:pPr>
    </w:p>
    <w:p w14:paraId="3267A242" w14:textId="7114DC3B" w:rsidR="008F793F" w:rsidRPr="00F24057" w:rsidRDefault="008F793F" w:rsidP="00D70B34">
      <w:pPr>
        <w:rPr>
          <w:i/>
          <w:szCs w:val="22"/>
          <w:lang w:val="sr-Latn-ME"/>
        </w:rPr>
      </w:pPr>
      <w:r w:rsidRPr="00F24057">
        <w:rPr>
          <w:i/>
          <w:szCs w:val="22"/>
          <w:lang w:val="sr-Latn-ME"/>
        </w:rPr>
        <w:t>Pedijatrijski uveitis</w:t>
      </w:r>
    </w:p>
    <w:p w14:paraId="4CC88575" w14:textId="6984A0B1" w:rsidR="008F793F" w:rsidRPr="00F24057" w:rsidRDefault="0030064A" w:rsidP="00D70B34">
      <w:pPr>
        <w:rPr>
          <w:szCs w:val="22"/>
          <w:lang w:val="sr-Latn-ME"/>
        </w:rPr>
      </w:pPr>
      <w:r w:rsidRPr="00F24057">
        <w:rPr>
          <w:szCs w:val="22"/>
          <w:lang w:val="sr-Latn-ME"/>
        </w:rPr>
        <w:t>Bezbjedno</w:t>
      </w:r>
      <w:r w:rsidR="008F793F" w:rsidRPr="00F24057">
        <w:rPr>
          <w:szCs w:val="22"/>
          <w:lang w:val="sr-Latn-ME"/>
        </w:rPr>
        <w:t>st i efikasnost adalimumaba oc</w:t>
      </w:r>
      <w:r w:rsidR="00FF3128" w:rsidRPr="00F24057">
        <w:rPr>
          <w:szCs w:val="22"/>
          <w:lang w:val="sr-Latn-ME"/>
        </w:rPr>
        <w:t>j</w:t>
      </w:r>
      <w:r w:rsidR="008F793F" w:rsidRPr="00F24057">
        <w:rPr>
          <w:szCs w:val="22"/>
          <w:lang w:val="sr-Latn-ME"/>
        </w:rPr>
        <w:t xml:space="preserve">enjivale su se u randomizovanom, dvostruko maskiranom, kontrolisanom ispitivanju sprovedenom kod 90 pedijatrijskih pacijenata uzrasta od 2 do &lt; 18 godina koji su imali aktivan neinfektivni anteriorni uveitis povezan sa JIA i koji su bili refraktorni na najmanje 12 </w:t>
      </w:r>
      <w:r w:rsidR="00885A78" w:rsidRPr="00F24057">
        <w:rPr>
          <w:szCs w:val="22"/>
          <w:lang w:val="sr-Latn-ME"/>
        </w:rPr>
        <w:t>nedjelj</w:t>
      </w:r>
      <w:r w:rsidR="008F793F" w:rsidRPr="00F24057">
        <w:rPr>
          <w:szCs w:val="22"/>
          <w:lang w:val="sr-Latn-ME"/>
        </w:rPr>
        <w:t xml:space="preserve">a </w:t>
      </w:r>
      <w:r w:rsidR="00885A78" w:rsidRPr="00F24057">
        <w:rPr>
          <w:szCs w:val="22"/>
          <w:lang w:val="sr-Latn-ME"/>
        </w:rPr>
        <w:t>liječenj</w:t>
      </w:r>
      <w:r w:rsidR="008F793F" w:rsidRPr="00F24057">
        <w:rPr>
          <w:szCs w:val="22"/>
          <w:lang w:val="sr-Latn-ME"/>
        </w:rPr>
        <w:t xml:space="preserve">a metotreksatom. Pacijenti su primali ili placebo ili 20 mg adalimumaba (ako su bili </w:t>
      </w:r>
      <w:r w:rsidR="007E5568" w:rsidRPr="00F24057">
        <w:rPr>
          <w:szCs w:val="22"/>
          <w:lang w:val="sr-Latn-ME"/>
        </w:rPr>
        <w:t>tjeles</w:t>
      </w:r>
      <w:r w:rsidR="008F793F" w:rsidRPr="00F24057">
        <w:rPr>
          <w:szCs w:val="22"/>
          <w:lang w:val="sr-Latn-ME"/>
        </w:rPr>
        <w:t xml:space="preserve">ne mase &lt; 30 kg) odnosno 40 mg adalimumaba (ako su bili </w:t>
      </w:r>
      <w:r w:rsidR="007E5568" w:rsidRPr="00F24057">
        <w:rPr>
          <w:szCs w:val="22"/>
          <w:lang w:val="sr-Latn-ME"/>
        </w:rPr>
        <w:t>tjeles</w:t>
      </w:r>
      <w:r w:rsidR="008F793F" w:rsidRPr="00F24057">
        <w:rPr>
          <w:szCs w:val="22"/>
          <w:lang w:val="sr-Latn-ME"/>
        </w:rPr>
        <w:t xml:space="preserve">ne mase ≥ 30 kg) svake druge </w:t>
      </w:r>
      <w:r w:rsidR="00885A78" w:rsidRPr="00F24057">
        <w:rPr>
          <w:szCs w:val="22"/>
          <w:lang w:val="sr-Latn-ME"/>
        </w:rPr>
        <w:t>nedjelj</w:t>
      </w:r>
      <w:r w:rsidR="008F793F" w:rsidRPr="00F24057">
        <w:rPr>
          <w:szCs w:val="22"/>
          <w:lang w:val="sr-Latn-ME"/>
        </w:rPr>
        <w:t xml:space="preserve">e u kombinaciji sa metotreksatom u dozi koju su primali na početku ispitivanja. </w:t>
      </w:r>
    </w:p>
    <w:p w14:paraId="1F2F7AAA" w14:textId="77777777" w:rsidR="008F793F" w:rsidRPr="00F24057" w:rsidRDefault="008F793F" w:rsidP="00D70B34">
      <w:pPr>
        <w:rPr>
          <w:szCs w:val="22"/>
          <w:lang w:val="sr-Latn-ME"/>
        </w:rPr>
      </w:pPr>
    </w:p>
    <w:p w14:paraId="43B4BE48" w14:textId="26A3A0B6" w:rsidR="008F793F" w:rsidRPr="00F24057" w:rsidRDefault="008F793F" w:rsidP="00D70B34">
      <w:pPr>
        <w:rPr>
          <w:szCs w:val="22"/>
          <w:lang w:val="sr-Latn-ME"/>
        </w:rPr>
      </w:pPr>
      <w:r w:rsidRPr="00F24057">
        <w:rPr>
          <w:szCs w:val="22"/>
          <w:lang w:val="sr-Latn-ME"/>
        </w:rPr>
        <w:t>Primarni parametar praćenja bilo je „</w:t>
      </w:r>
      <w:r w:rsidR="009811CA" w:rsidRPr="00F24057">
        <w:rPr>
          <w:szCs w:val="22"/>
          <w:lang w:val="sr-Latn-ME"/>
        </w:rPr>
        <w:t>vreme</w:t>
      </w:r>
      <w:r w:rsidR="007E5568" w:rsidRPr="00F24057">
        <w:rPr>
          <w:szCs w:val="22"/>
          <w:lang w:val="sr-Latn-ME"/>
        </w:rPr>
        <w:t xml:space="preserve"> </w:t>
      </w:r>
      <w:r w:rsidRPr="00F24057">
        <w:rPr>
          <w:szCs w:val="22"/>
          <w:lang w:val="sr-Latn-ME"/>
        </w:rPr>
        <w:t>do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a“. Kriterijumi koji su određivali ne</w:t>
      </w:r>
      <w:r w:rsidR="004F2520" w:rsidRPr="00F24057">
        <w:rPr>
          <w:szCs w:val="22"/>
          <w:lang w:val="sr-Latn-ME"/>
        </w:rPr>
        <w:t>uspje</w:t>
      </w:r>
      <w:r w:rsidRPr="00F24057">
        <w:rPr>
          <w:szCs w:val="22"/>
          <w:lang w:val="sr-Latn-ME"/>
        </w:rPr>
        <w:t xml:space="preserve">h </w:t>
      </w:r>
      <w:r w:rsidR="00885A78" w:rsidRPr="00F24057">
        <w:rPr>
          <w:szCs w:val="22"/>
          <w:lang w:val="sr-Latn-ME"/>
        </w:rPr>
        <w:t>liječenj</w:t>
      </w:r>
      <w:r w:rsidRPr="00F24057">
        <w:rPr>
          <w:szCs w:val="22"/>
          <w:lang w:val="sr-Latn-ME"/>
        </w:rPr>
        <w:t xml:space="preserve">a bili su pogoršanje ili dugotrajan izostanak poboljšanja zapaljenja oka, </w:t>
      </w:r>
      <w:r w:rsidR="00A90611" w:rsidRPr="00F24057">
        <w:rPr>
          <w:szCs w:val="22"/>
          <w:lang w:val="sr-Latn-ME"/>
        </w:rPr>
        <w:t>djelimično</w:t>
      </w:r>
      <w:r w:rsidRPr="00F24057">
        <w:rPr>
          <w:szCs w:val="22"/>
          <w:lang w:val="sr-Latn-ME"/>
        </w:rPr>
        <w:t xml:space="preserve"> poboljšanje uz razvoj dugotrajnih propratnih očnih bolesti ili pogoršanje propratnih očnih bolesti, nedopuštena istovremena </w:t>
      </w:r>
      <w:r w:rsidR="0030064A" w:rsidRPr="00F24057">
        <w:rPr>
          <w:szCs w:val="22"/>
          <w:lang w:val="sr-Latn-ME"/>
        </w:rPr>
        <w:t>primjen</w:t>
      </w:r>
      <w:r w:rsidRPr="00F24057">
        <w:rPr>
          <w:szCs w:val="22"/>
          <w:lang w:val="sr-Latn-ME"/>
        </w:rPr>
        <w:t xml:space="preserve">a drugih </w:t>
      </w:r>
      <w:r w:rsidR="0030064A" w:rsidRPr="00F24057">
        <w:rPr>
          <w:szCs w:val="22"/>
          <w:lang w:val="sr-Latn-ME"/>
        </w:rPr>
        <w:t>ljekov</w:t>
      </w:r>
      <w:r w:rsidRPr="00F24057">
        <w:rPr>
          <w:szCs w:val="22"/>
          <w:lang w:val="sr-Latn-ME"/>
        </w:rPr>
        <w:t xml:space="preserve">a, kao i prekid </w:t>
      </w:r>
      <w:r w:rsidR="00885A78" w:rsidRPr="00F24057">
        <w:rPr>
          <w:szCs w:val="22"/>
          <w:lang w:val="sr-Latn-ME"/>
        </w:rPr>
        <w:t>liječenj</w:t>
      </w:r>
      <w:r w:rsidRPr="00F24057">
        <w:rPr>
          <w:szCs w:val="22"/>
          <w:lang w:val="sr-Latn-ME"/>
        </w:rPr>
        <w:t xml:space="preserve">a na duži period. </w:t>
      </w:r>
    </w:p>
    <w:p w14:paraId="3359A2B1" w14:textId="77777777" w:rsidR="008F793F" w:rsidRPr="00F24057" w:rsidRDefault="008F793F" w:rsidP="00D70B34">
      <w:pPr>
        <w:rPr>
          <w:szCs w:val="22"/>
          <w:lang w:val="sr-Latn-ME"/>
        </w:rPr>
      </w:pPr>
    </w:p>
    <w:p w14:paraId="07F4B5C3" w14:textId="10C335A6" w:rsidR="008F793F" w:rsidRPr="00F24057" w:rsidRDefault="008F793F" w:rsidP="00D70B34">
      <w:pPr>
        <w:rPr>
          <w:i/>
          <w:szCs w:val="22"/>
          <w:lang w:val="sr-Latn-ME"/>
        </w:rPr>
      </w:pPr>
      <w:r w:rsidRPr="00F24057">
        <w:rPr>
          <w:i/>
          <w:szCs w:val="22"/>
          <w:u w:val="single"/>
          <w:lang w:val="sr-Latn-ME"/>
        </w:rPr>
        <w:t>Klinički odgovor</w:t>
      </w:r>
      <w:r w:rsidRPr="00F24057">
        <w:rPr>
          <w:i/>
          <w:szCs w:val="22"/>
          <w:lang w:val="sr-Latn-ME"/>
        </w:rPr>
        <w:t xml:space="preserve"> </w:t>
      </w:r>
    </w:p>
    <w:p w14:paraId="51EDB901" w14:textId="07FDDE0B" w:rsidR="008F793F" w:rsidRPr="00F24057" w:rsidRDefault="008F793F" w:rsidP="00D70B34">
      <w:pPr>
        <w:rPr>
          <w:szCs w:val="22"/>
          <w:lang w:val="sr-Latn-ME"/>
        </w:rPr>
      </w:pPr>
      <w:r w:rsidRPr="00F24057">
        <w:rPr>
          <w:szCs w:val="22"/>
          <w:lang w:val="sr-Latn-ME"/>
        </w:rPr>
        <w:t xml:space="preserve">Adalimumab je značajno odložio </w:t>
      </w:r>
      <w:r w:rsidR="009811CA" w:rsidRPr="00F24057">
        <w:rPr>
          <w:szCs w:val="22"/>
          <w:lang w:val="sr-Latn-ME"/>
        </w:rPr>
        <w:t>vr</w:t>
      </w:r>
      <w:r w:rsidR="00D02388" w:rsidRPr="00F24057">
        <w:rPr>
          <w:szCs w:val="22"/>
          <w:lang w:val="sr-Latn-ME"/>
        </w:rPr>
        <w:t>ij</w:t>
      </w:r>
      <w:r w:rsidR="009811CA" w:rsidRPr="00F24057">
        <w:rPr>
          <w:szCs w:val="22"/>
          <w:lang w:val="sr-Latn-ME"/>
        </w:rPr>
        <w:t>eme</w:t>
      </w:r>
      <w:r w:rsidR="007E5568" w:rsidRPr="00F24057">
        <w:rPr>
          <w:szCs w:val="22"/>
          <w:lang w:val="sr-Latn-ME"/>
        </w:rPr>
        <w:t xml:space="preserve"> </w:t>
      </w:r>
      <w:r w:rsidRPr="00F24057">
        <w:rPr>
          <w:szCs w:val="22"/>
          <w:lang w:val="sr-Latn-ME"/>
        </w:rPr>
        <w:t>do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a u odnosu na placebo (</w:t>
      </w:r>
      <w:r w:rsidR="0030064A" w:rsidRPr="00F24057">
        <w:rPr>
          <w:szCs w:val="22"/>
          <w:lang w:val="sr-Latn-ME"/>
        </w:rPr>
        <w:t>vidjeti</w:t>
      </w:r>
      <w:r w:rsidRPr="00F24057">
        <w:rPr>
          <w:szCs w:val="22"/>
          <w:lang w:val="sr-Latn-ME"/>
        </w:rPr>
        <w:t xml:space="preserve"> Sliku 3, P &lt; 0,0001 iz log-rank testa). Medijan</w:t>
      </w:r>
      <w:r w:rsidR="00E260A6" w:rsidRPr="00F24057">
        <w:rPr>
          <w:szCs w:val="22"/>
          <w:lang w:val="sr-Latn-ME"/>
        </w:rPr>
        <w:t>a</w:t>
      </w:r>
      <w:r w:rsidRPr="00F24057">
        <w:rPr>
          <w:szCs w:val="22"/>
          <w:lang w:val="sr-Latn-ME"/>
        </w:rPr>
        <w:t xml:space="preserve"> vremena do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 xml:space="preserve">a iznosio je 24,1 </w:t>
      </w:r>
      <w:r w:rsidR="00885A78" w:rsidRPr="00F24057">
        <w:rPr>
          <w:szCs w:val="22"/>
          <w:lang w:val="sr-Latn-ME"/>
        </w:rPr>
        <w:t>nedjelj</w:t>
      </w:r>
      <w:r w:rsidRPr="00F24057">
        <w:rPr>
          <w:szCs w:val="22"/>
          <w:lang w:val="sr-Latn-ME"/>
        </w:rPr>
        <w:t xml:space="preserve">u kod ispitanika koji su primali placebo, dok se kod ispitanika </w:t>
      </w:r>
      <w:r w:rsidR="00885A78" w:rsidRPr="00F24057">
        <w:rPr>
          <w:szCs w:val="22"/>
          <w:lang w:val="sr-Latn-ME"/>
        </w:rPr>
        <w:t>liječe</w:t>
      </w:r>
      <w:r w:rsidRPr="00F24057">
        <w:rPr>
          <w:szCs w:val="22"/>
          <w:lang w:val="sr-Latn-ME"/>
        </w:rPr>
        <w:t>nih adalimumabom medijan</w:t>
      </w:r>
      <w:r w:rsidR="005C22ED" w:rsidRPr="00F24057">
        <w:rPr>
          <w:szCs w:val="22"/>
          <w:lang w:val="sr-Latn-ME"/>
        </w:rPr>
        <w:t>a</w:t>
      </w:r>
      <w:r w:rsidRPr="00F24057">
        <w:rPr>
          <w:szCs w:val="22"/>
          <w:lang w:val="sr-Latn-ME"/>
        </w:rPr>
        <w:t xml:space="preserve"> vremena do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 xml:space="preserve">a nije mogao </w:t>
      </w:r>
      <w:r w:rsidR="00506CC0" w:rsidRPr="00F24057">
        <w:rPr>
          <w:szCs w:val="22"/>
          <w:lang w:val="sr-Latn-ME"/>
        </w:rPr>
        <w:t>procijeniti</w:t>
      </w:r>
      <w:r w:rsidRPr="00F24057">
        <w:rPr>
          <w:szCs w:val="22"/>
          <w:lang w:val="sr-Latn-ME"/>
        </w:rPr>
        <w:t xml:space="preserve"> jer je do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a došlo kod manje od polovine tih ispitanika. Adalimumab je značajno smanjio rizik od ne</w:t>
      </w:r>
      <w:r w:rsidR="004F2520" w:rsidRPr="00F24057">
        <w:rPr>
          <w:szCs w:val="22"/>
          <w:lang w:val="sr-Latn-ME"/>
        </w:rPr>
        <w:t>uspje</w:t>
      </w:r>
      <w:r w:rsidRPr="00F24057">
        <w:rPr>
          <w:szCs w:val="22"/>
          <w:lang w:val="sr-Latn-ME"/>
        </w:rPr>
        <w:t xml:space="preserve">ha </w:t>
      </w:r>
      <w:r w:rsidR="00885A78" w:rsidRPr="00F24057">
        <w:rPr>
          <w:szCs w:val="22"/>
          <w:lang w:val="sr-Latn-ME"/>
        </w:rPr>
        <w:t>liječenj</w:t>
      </w:r>
      <w:r w:rsidRPr="00F24057">
        <w:rPr>
          <w:szCs w:val="22"/>
          <w:lang w:val="sr-Latn-ME"/>
        </w:rPr>
        <w:t xml:space="preserve">a za 75% u odnosu na placebo, što pokazuje odnos rizika (engl. </w:t>
      </w:r>
      <w:r w:rsidRPr="00F24057">
        <w:rPr>
          <w:i/>
          <w:szCs w:val="22"/>
          <w:lang w:val="sr-Latn-ME"/>
        </w:rPr>
        <w:t xml:space="preserve">Hazard ratio) </w:t>
      </w:r>
      <w:r w:rsidRPr="00F24057">
        <w:rPr>
          <w:szCs w:val="22"/>
          <w:lang w:val="sr-Latn-ME"/>
        </w:rPr>
        <w:t>(HR (= 0,25 [95% CI: 0,12; 0,49]).</w:t>
      </w:r>
    </w:p>
    <w:p w14:paraId="7160F0AF" w14:textId="2EFE5D44" w:rsidR="001523A0" w:rsidRPr="00F24057" w:rsidRDefault="001523A0" w:rsidP="00D70B34">
      <w:pPr>
        <w:rPr>
          <w:szCs w:val="22"/>
          <w:lang w:val="sr-Latn-ME"/>
        </w:rPr>
      </w:pPr>
    </w:p>
    <w:p w14:paraId="108B5AB5" w14:textId="59EC3334" w:rsidR="00D606D0" w:rsidRPr="00F24057" w:rsidRDefault="00D606D0" w:rsidP="00D70B34">
      <w:pPr>
        <w:rPr>
          <w:b/>
          <w:szCs w:val="22"/>
          <w:lang w:val="sr-Latn-ME"/>
        </w:rPr>
      </w:pPr>
      <w:r w:rsidRPr="00F24057">
        <w:rPr>
          <w:b/>
          <w:szCs w:val="22"/>
          <w:lang w:val="sr-Latn-ME"/>
        </w:rPr>
        <w:t xml:space="preserve">Slika 3: </w:t>
      </w:r>
      <w:r w:rsidRPr="00F24057">
        <w:rPr>
          <w:b/>
          <w:i/>
          <w:iCs/>
          <w:szCs w:val="22"/>
          <w:lang w:val="sr-Latn-ME"/>
        </w:rPr>
        <w:t>Kaplan-Meier</w:t>
      </w:r>
      <w:r w:rsidR="005C22ED" w:rsidRPr="00F24057">
        <w:rPr>
          <w:b/>
          <w:szCs w:val="22"/>
          <w:lang w:val="sr-Latn-ME"/>
        </w:rPr>
        <w:t>-</w:t>
      </w:r>
      <w:r w:rsidRPr="00F24057">
        <w:rPr>
          <w:b/>
          <w:szCs w:val="22"/>
          <w:lang w:val="sr-Latn-ME"/>
        </w:rPr>
        <w:t xml:space="preserve">ove krive koje sažeto prikazuju </w:t>
      </w:r>
      <w:r w:rsidR="009811CA" w:rsidRPr="00F24057">
        <w:rPr>
          <w:b/>
          <w:szCs w:val="22"/>
          <w:lang w:val="sr-Latn-ME"/>
        </w:rPr>
        <w:t>vr</w:t>
      </w:r>
      <w:r w:rsidR="00D02388" w:rsidRPr="00F24057">
        <w:rPr>
          <w:b/>
          <w:szCs w:val="22"/>
          <w:lang w:val="sr-Latn-ME"/>
        </w:rPr>
        <w:t>ij</w:t>
      </w:r>
      <w:r w:rsidR="009811CA" w:rsidRPr="00F24057">
        <w:rPr>
          <w:b/>
          <w:szCs w:val="22"/>
          <w:lang w:val="sr-Latn-ME"/>
        </w:rPr>
        <w:t>eme</w:t>
      </w:r>
      <w:r w:rsidR="007E5568" w:rsidRPr="00F24057">
        <w:rPr>
          <w:b/>
          <w:szCs w:val="22"/>
          <w:lang w:val="sr-Latn-ME"/>
        </w:rPr>
        <w:t xml:space="preserve"> </w:t>
      </w:r>
      <w:r w:rsidRPr="00F24057">
        <w:rPr>
          <w:b/>
          <w:szCs w:val="22"/>
          <w:lang w:val="sr-Latn-ME"/>
        </w:rPr>
        <w:t>do ne</w:t>
      </w:r>
      <w:r w:rsidR="004F2520" w:rsidRPr="00F24057">
        <w:rPr>
          <w:b/>
          <w:szCs w:val="22"/>
          <w:lang w:val="sr-Latn-ME"/>
        </w:rPr>
        <w:t>uspje</w:t>
      </w:r>
      <w:r w:rsidRPr="00F24057">
        <w:rPr>
          <w:b/>
          <w:szCs w:val="22"/>
          <w:lang w:val="sr-Latn-ME"/>
        </w:rPr>
        <w:t xml:space="preserve">ha </w:t>
      </w:r>
      <w:r w:rsidR="00885A78" w:rsidRPr="00F24057">
        <w:rPr>
          <w:b/>
          <w:szCs w:val="22"/>
          <w:lang w:val="sr-Latn-ME"/>
        </w:rPr>
        <w:t>liječenj</w:t>
      </w:r>
      <w:r w:rsidRPr="00F24057">
        <w:rPr>
          <w:b/>
          <w:szCs w:val="22"/>
          <w:lang w:val="sr-Latn-ME"/>
        </w:rPr>
        <w:t xml:space="preserve">a u ispitivanju </w:t>
      </w:r>
      <w:r w:rsidR="00885A78" w:rsidRPr="00F24057">
        <w:rPr>
          <w:b/>
          <w:szCs w:val="22"/>
          <w:lang w:val="sr-Latn-ME"/>
        </w:rPr>
        <w:t>liječenj</w:t>
      </w:r>
      <w:r w:rsidRPr="00F24057">
        <w:rPr>
          <w:b/>
          <w:szCs w:val="22"/>
          <w:lang w:val="sr-Latn-ME"/>
        </w:rPr>
        <w:t xml:space="preserve">a uveitisa kod </w:t>
      </w:r>
      <w:r w:rsidR="0030064A" w:rsidRPr="00F24057">
        <w:rPr>
          <w:b/>
          <w:szCs w:val="22"/>
          <w:lang w:val="sr-Latn-ME"/>
        </w:rPr>
        <w:t>djece</w:t>
      </w:r>
    </w:p>
    <w:p w14:paraId="6F4CBE8F" w14:textId="7FADD4CB" w:rsidR="001523A0" w:rsidRPr="00F24057" w:rsidRDefault="0097009B" w:rsidP="00D70B34">
      <w:pPr>
        <w:rPr>
          <w:szCs w:val="22"/>
          <w:lang w:val="sr-Latn-ME"/>
        </w:rPr>
      </w:pPr>
      <w:r w:rsidRPr="00F24057">
        <w:rPr>
          <w:noProof/>
          <w:szCs w:val="22"/>
        </w:rPr>
        <w:lastRenderedPageBreak/>
        <w:drawing>
          <wp:inline distT="0" distB="0" distL="0" distR="0" wp14:anchorId="4AC97531" wp14:editId="03FA90F5">
            <wp:extent cx="5276850" cy="343513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80746" cy="3437670"/>
                    </a:xfrm>
                    <a:prstGeom prst="rect">
                      <a:avLst/>
                    </a:prstGeom>
                    <a:noFill/>
                    <a:ln>
                      <a:noFill/>
                    </a:ln>
                  </pic:spPr>
                </pic:pic>
              </a:graphicData>
            </a:graphic>
          </wp:inline>
        </w:drawing>
      </w:r>
    </w:p>
    <w:p w14:paraId="5CF03C11" w14:textId="073D3AB6" w:rsidR="00E0199F" w:rsidRPr="00F24057" w:rsidRDefault="00E0199F" w:rsidP="00D70B34">
      <w:pPr>
        <w:rPr>
          <w:szCs w:val="22"/>
          <w:lang w:val="sr-Latn-ME"/>
        </w:rPr>
      </w:pPr>
    </w:p>
    <w:p w14:paraId="4AA78B91" w14:textId="1D7F108F" w:rsidR="009F7168" w:rsidRPr="00F24057" w:rsidRDefault="00A0757B" w:rsidP="00D70B34">
      <w:pPr>
        <w:rPr>
          <w:szCs w:val="22"/>
          <w:lang w:val="sr-Latn-ME"/>
        </w:rPr>
      </w:pPr>
      <w:r w:rsidRPr="00F24057">
        <w:rPr>
          <w:color w:val="000000"/>
          <w:szCs w:val="22"/>
          <w:lang w:val="sr-Latn-ME"/>
        </w:rPr>
        <w:t>Napomena: P = Placebo (broj pacijenata pod rizikom); A = Adalimumab (broj pacijenata pod rizikom)</w:t>
      </w:r>
    </w:p>
    <w:p w14:paraId="2BD03F0F" w14:textId="77777777" w:rsidR="00630465" w:rsidRPr="00F24057" w:rsidRDefault="00630465" w:rsidP="00D70B34">
      <w:pPr>
        <w:rPr>
          <w:szCs w:val="22"/>
          <w:u w:val="single"/>
          <w:lang w:val="sr-Latn-ME"/>
        </w:rPr>
      </w:pPr>
    </w:p>
    <w:p w14:paraId="072D43EB" w14:textId="77777777" w:rsidR="00CE09F3" w:rsidRPr="00F24057" w:rsidRDefault="00CE09F3" w:rsidP="00D70B34">
      <w:pPr>
        <w:rPr>
          <w:b/>
          <w:bCs/>
          <w:szCs w:val="22"/>
          <w:lang w:val="sr-Latn-ME"/>
        </w:rPr>
      </w:pPr>
      <w:r w:rsidRPr="00F24057">
        <w:rPr>
          <w:b/>
          <w:bCs/>
          <w:szCs w:val="22"/>
          <w:lang w:val="sr-Latn-ME"/>
        </w:rPr>
        <w:t>5.2. Farmakokinetički podaci</w:t>
      </w:r>
    </w:p>
    <w:p w14:paraId="072D43EC" w14:textId="61EDF31A" w:rsidR="00CE09F3" w:rsidRPr="00F24057" w:rsidRDefault="00CE09F3" w:rsidP="00D70B34">
      <w:pPr>
        <w:rPr>
          <w:szCs w:val="22"/>
          <w:lang w:val="sr-Latn-ME"/>
        </w:rPr>
      </w:pPr>
    </w:p>
    <w:p w14:paraId="5310FD7D" w14:textId="5F4C1EFE" w:rsidR="008B4BBC" w:rsidRPr="00F24057" w:rsidRDefault="008B4BBC" w:rsidP="00D70B34">
      <w:pPr>
        <w:rPr>
          <w:szCs w:val="22"/>
          <w:u w:val="single"/>
          <w:lang w:val="sr-Latn-ME"/>
        </w:rPr>
      </w:pPr>
      <w:r w:rsidRPr="00F24057">
        <w:rPr>
          <w:szCs w:val="22"/>
          <w:u w:val="single"/>
          <w:lang w:val="sr-Latn-ME"/>
        </w:rPr>
        <w:t>Resorpcija i distribucija</w:t>
      </w:r>
    </w:p>
    <w:p w14:paraId="064DD942" w14:textId="77777777" w:rsidR="008B4BBC" w:rsidRPr="00F24057" w:rsidRDefault="008B4BBC" w:rsidP="00D70B34">
      <w:pPr>
        <w:rPr>
          <w:szCs w:val="22"/>
          <w:u w:val="single"/>
          <w:lang w:val="sr-Latn-ME"/>
        </w:rPr>
      </w:pPr>
    </w:p>
    <w:p w14:paraId="4DD996AD" w14:textId="0B7E54C7" w:rsidR="008B4BBC" w:rsidRPr="00F24057" w:rsidRDefault="008B4BBC" w:rsidP="00D70B34">
      <w:pPr>
        <w:rPr>
          <w:szCs w:val="22"/>
          <w:lang w:val="sr-Latn-ME"/>
        </w:rPr>
      </w:pPr>
      <w:r w:rsidRPr="00F24057">
        <w:rPr>
          <w:szCs w:val="22"/>
          <w:lang w:val="sr-Latn-ME"/>
        </w:rPr>
        <w:t xml:space="preserve">Nakon supkutane </w:t>
      </w:r>
      <w:r w:rsidR="0030064A" w:rsidRPr="00F24057">
        <w:rPr>
          <w:szCs w:val="22"/>
          <w:lang w:val="sr-Latn-ME"/>
        </w:rPr>
        <w:t>primjen</w:t>
      </w:r>
      <w:r w:rsidRPr="00F24057">
        <w:rPr>
          <w:szCs w:val="22"/>
          <w:lang w:val="sr-Latn-ME"/>
        </w:rPr>
        <w:t>e pojedinačne doze od 40 mg, adalimumab se sporo resorbuje i raspod</w:t>
      </w:r>
      <w:r w:rsidR="00972894" w:rsidRPr="00F24057">
        <w:rPr>
          <w:szCs w:val="22"/>
          <w:lang w:val="sr-Latn-ME"/>
        </w:rPr>
        <w:t>ij</w:t>
      </w:r>
      <w:r w:rsidRPr="00F24057">
        <w:rPr>
          <w:szCs w:val="22"/>
          <w:lang w:val="sr-Latn-ME"/>
        </w:rPr>
        <w:t xml:space="preserve">eljuje, a maksimalne koncentracije u serumu postižu se približno 5 dana nakon </w:t>
      </w:r>
      <w:r w:rsidR="0030064A" w:rsidRPr="00F24057">
        <w:rPr>
          <w:szCs w:val="22"/>
          <w:lang w:val="sr-Latn-ME"/>
        </w:rPr>
        <w:t>primjen</w:t>
      </w:r>
      <w:r w:rsidRPr="00F24057">
        <w:rPr>
          <w:szCs w:val="22"/>
          <w:lang w:val="sr-Latn-ME"/>
        </w:rPr>
        <w:t xml:space="preserve">e. </w:t>
      </w:r>
      <w:r w:rsidR="00972894" w:rsidRPr="00F24057">
        <w:rPr>
          <w:szCs w:val="22"/>
          <w:lang w:val="sr-Latn-ME"/>
        </w:rPr>
        <w:t>Prosje</w:t>
      </w:r>
      <w:r w:rsidRPr="00F24057">
        <w:rPr>
          <w:szCs w:val="22"/>
          <w:lang w:val="sr-Latn-ME"/>
        </w:rPr>
        <w:t xml:space="preserve">čna apsolutna bioraspoloživost adalimumaba je </w:t>
      </w:r>
      <w:r w:rsidR="00897E85" w:rsidRPr="00F24057">
        <w:rPr>
          <w:szCs w:val="22"/>
          <w:lang w:val="sr-Latn-ME"/>
        </w:rPr>
        <w:t>procijenjen</w:t>
      </w:r>
      <w:r w:rsidRPr="00F24057">
        <w:rPr>
          <w:szCs w:val="22"/>
          <w:lang w:val="sr-Latn-ME"/>
        </w:rPr>
        <w:t>a u tri studije</w:t>
      </w:r>
      <w:r w:rsidR="002262E6" w:rsidRPr="00F24057">
        <w:rPr>
          <w:szCs w:val="22"/>
          <w:lang w:val="sr-Latn-ME"/>
        </w:rPr>
        <w:t xml:space="preserve"> </w:t>
      </w:r>
      <w:r w:rsidR="006A3BA6" w:rsidRPr="00F24057">
        <w:rPr>
          <w:szCs w:val="22"/>
          <w:lang w:val="sr-Latn-ME"/>
        </w:rPr>
        <w:t xml:space="preserve">sprovedene </w:t>
      </w:r>
      <w:r w:rsidR="002262E6" w:rsidRPr="00F24057">
        <w:rPr>
          <w:szCs w:val="22"/>
          <w:lang w:val="sr-Latn-ME"/>
        </w:rPr>
        <w:t xml:space="preserve">sa referentnim </w:t>
      </w:r>
      <w:r w:rsidR="006A3BA6" w:rsidRPr="00F24057">
        <w:rPr>
          <w:szCs w:val="22"/>
          <w:lang w:val="sr-Latn-ME"/>
        </w:rPr>
        <w:t>proizvodom</w:t>
      </w:r>
      <w:r w:rsidRPr="00F24057">
        <w:rPr>
          <w:szCs w:val="22"/>
          <w:lang w:val="sr-Latn-ME"/>
        </w:rPr>
        <w:t xml:space="preserve"> nakon pojedinačne supkutane doze od 40 mg, i iznosila je 64%. Nakon pojedinačne intravenske doze u rasponu od 0,25 do 10 mg/kg koncentracije su bile dozno proporcionalne. Nakon doze od 0,5 mg/kg (~40 mg), raspon klirensa je iznosio od 11 do 15 m</w:t>
      </w:r>
      <w:r w:rsidR="008D7D56" w:rsidRPr="00F24057">
        <w:rPr>
          <w:szCs w:val="22"/>
          <w:lang w:val="sr-Latn-ME"/>
        </w:rPr>
        <w:t>l</w:t>
      </w:r>
      <w:r w:rsidRPr="00F24057">
        <w:rPr>
          <w:szCs w:val="22"/>
          <w:lang w:val="sr-Latn-ME"/>
        </w:rPr>
        <w:t>/h, volumen distribucije (V</w:t>
      </w:r>
      <w:r w:rsidRPr="00F24057">
        <w:rPr>
          <w:szCs w:val="22"/>
          <w:vertAlign w:val="subscript"/>
          <w:lang w:val="sr-Latn-ME"/>
        </w:rPr>
        <w:t>ss</w:t>
      </w:r>
      <w:r w:rsidRPr="00F24057">
        <w:rPr>
          <w:szCs w:val="22"/>
          <w:lang w:val="sr-Latn-ME"/>
        </w:rPr>
        <w:t>) u opsegu od 5 do 6 litara i srednje polu</w:t>
      </w:r>
      <w:r w:rsidR="009811CA" w:rsidRPr="00F24057">
        <w:rPr>
          <w:szCs w:val="22"/>
          <w:lang w:val="sr-Latn-ME"/>
        </w:rPr>
        <w:t>vreme</w:t>
      </w:r>
      <w:r w:rsidR="007E5568" w:rsidRPr="00F24057">
        <w:rPr>
          <w:szCs w:val="22"/>
          <w:lang w:val="sr-Latn-ME"/>
        </w:rPr>
        <w:t xml:space="preserve"> </w:t>
      </w:r>
      <w:r w:rsidRPr="00F24057">
        <w:rPr>
          <w:szCs w:val="22"/>
          <w:lang w:val="sr-Latn-ME"/>
        </w:rPr>
        <w:t xml:space="preserve">eliminacije u terminalnoj fazi iznosilo je približno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Koncentracije adalimumaba u sinovijalnoj tečnosti kod nekoliko pacijenata sa reumatoidnim artritisom iznosile su 31-96% koncentracije u serumu. </w:t>
      </w:r>
    </w:p>
    <w:p w14:paraId="00940577" w14:textId="49A2519D" w:rsidR="008B4BBC" w:rsidRPr="00F24057" w:rsidRDefault="008B4BBC" w:rsidP="00D70B34">
      <w:pPr>
        <w:rPr>
          <w:szCs w:val="22"/>
          <w:lang w:val="sr-Latn-ME"/>
        </w:rPr>
      </w:pPr>
    </w:p>
    <w:p w14:paraId="472B007F" w14:textId="4251BC6D" w:rsidR="003D4BE0" w:rsidRPr="00F24057" w:rsidRDefault="003D4BE0" w:rsidP="00D70B34">
      <w:pPr>
        <w:rPr>
          <w:szCs w:val="22"/>
          <w:lang w:val="sr-Latn-ME"/>
        </w:rPr>
      </w:pPr>
      <w:r w:rsidRPr="00F24057">
        <w:rPr>
          <w:szCs w:val="22"/>
          <w:lang w:val="sr-Latn-ME"/>
        </w:rPr>
        <w:t xml:space="preserve">Nakon supkutane </w:t>
      </w:r>
      <w:r w:rsidR="0030064A" w:rsidRPr="00F24057">
        <w:rPr>
          <w:szCs w:val="22"/>
          <w:lang w:val="sr-Latn-ME"/>
        </w:rPr>
        <w:t>primjen</w:t>
      </w:r>
      <w:r w:rsidRPr="00F24057">
        <w:rPr>
          <w:szCs w:val="22"/>
          <w:lang w:val="sr-Latn-ME"/>
        </w:rPr>
        <w:t xml:space="preserve">e adalimumaba u dozi od 40 mg svake druge </w:t>
      </w:r>
      <w:r w:rsidR="00885A78" w:rsidRPr="00F24057">
        <w:rPr>
          <w:szCs w:val="22"/>
          <w:lang w:val="sr-Latn-ME"/>
        </w:rPr>
        <w:t>nedjelj</w:t>
      </w:r>
      <w:r w:rsidRPr="00F24057">
        <w:rPr>
          <w:szCs w:val="22"/>
          <w:lang w:val="sr-Latn-ME"/>
        </w:rPr>
        <w:t xml:space="preserve">e kod odraslih pacijenata sa reumatoidnim artritisom (RA), srednja </w:t>
      </w:r>
      <w:r w:rsidR="00972894" w:rsidRPr="00F24057">
        <w:rPr>
          <w:szCs w:val="22"/>
          <w:lang w:val="sr-Latn-ME"/>
        </w:rPr>
        <w:t>vrijedno</w:t>
      </w:r>
      <w:r w:rsidRPr="00F24057">
        <w:rPr>
          <w:szCs w:val="22"/>
          <w:lang w:val="sr-Latn-ME"/>
        </w:rPr>
        <w:t xml:space="preserve">st najniže koncentracije </w:t>
      </w:r>
      <w:r w:rsidR="00885A78" w:rsidRPr="00F24057">
        <w:rPr>
          <w:szCs w:val="22"/>
          <w:lang w:val="sr-Latn-ME"/>
        </w:rPr>
        <w:t xml:space="preserve">lijeka </w:t>
      </w:r>
      <w:r w:rsidRPr="00F24057">
        <w:rPr>
          <w:szCs w:val="22"/>
          <w:lang w:val="sr-Latn-ME"/>
        </w:rPr>
        <w:t>u stanju dinamičke ravnoteže je bila približno 5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(bez istovremene </w:t>
      </w:r>
      <w:r w:rsidR="0030064A" w:rsidRPr="00F24057">
        <w:rPr>
          <w:szCs w:val="22"/>
          <w:lang w:val="sr-Latn-ME"/>
        </w:rPr>
        <w:t>primjen</w:t>
      </w:r>
      <w:r w:rsidRPr="00F24057">
        <w:rPr>
          <w:szCs w:val="22"/>
          <w:lang w:val="sr-Latn-ME"/>
        </w:rPr>
        <w:t>e metotreksata) i 8 do 9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(uz istovremenu </w:t>
      </w:r>
      <w:r w:rsidR="0030064A" w:rsidRPr="00F24057">
        <w:rPr>
          <w:szCs w:val="22"/>
          <w:lang w:val="sr-Latn-ME"/>
        </w:rPr>
        <w:t>primjen</w:t>
      </w:r>
      <w:r w:rsidRPr="00F24057">
        <w:rPr>
          <w:szCs w:val="22"/>
          <w:lang w:val="sr-Latn-ME"/>
        </w:rPr>
        <w:t>u metotreksata). Najniže koncentracije adalimumaba u serumu u stanju dinamičke ravnoteže povećavale su se uglavnom srazm</w:t>
      </w:r>
      <w:r w:rsidR="00506CC0" w:rsidRPr="00F24057">
        <w:rPr>
          <w:szCs w:val="22"/>
          <w:lang w:val="sr-Latn-ME"/>
        </w:rPr>
        <w:t>j</w:t>
      </w:r>
      <w:r w:rsidRPr="00F24057">
        <w:rPr>
          <w:szCs w:val="22"/>
          <w:lang w:val="sr-Latn-ME"/>
        </w:rPr>
        <w:t xml:space="preserve">erno dozi nakon supkutane </w:t>
      </w:r>
      <w:r w:rsidR="0030064A" w:rsidRPr="00F24057">
        <w:rPr>
          <w:szCs w:val="22"/>
          <w:lang w:val="sr-Latn-ME"/>
        </w:rPr>
        <w:t>primjen</w:t>
      </w:r>
      <w:r w:rsidRPr="00F24057">
        <w:rPr>
          <w:szCs w:val="22"/>
          <w:lang w:val="sr-Latn-ME"/>
        </w:rPr>
        <w:t xml:space="preserve">e 20, 40 i 80 mg svake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odnosno svake </w:t>
      </w:r>
      <w:r w:rsidR="00885A78" w:rsidRPr="00F24057">
        <w:rPr>
          <w:szCs w:val="22"/>
          <w:lang w:val="sr-Latn-ME"/>
        </w:rPr>
        <w:t>nedjelj</w:t>
      </w:r>
      <w:r w:rsidRPr="00F24057">
        <w:rPr>
          <w:szCs w:val="22"/>
          <w:lang w:val="sr-Latn-ME"/>
        </w:rPr>
        <w:t xml:space="preserve">e. </w:t>
      </w:r>
    </w:p>
    <w:p w14:paraId="67852E70" w14:textId="77777777" w:rsidR="003D4BE0" w:rsidRPr="00F24057" w:rsidRDefault="003D4BE0" w:rsidP="00D70B34">
      <w:pPr>
        <w:rPr>
          <w:szCs w:val="22"/>
          <w:lang w:val="sr-Latn-ME"/>
        </w:rPr>
      </w:pPr>
    </w:p>
    <w:p w14:paraId="57BEE62C" w14:textId="75266653" w:rsidR="003D4BE0" w:rsidRPr="00F24057" w:rsidRDefault="003D4BE0" w:rsidP="00D70B34">
      <w:pPr>
        <w:rPr>
          <w:szCs w:val="22"/>
          <w:lang w:val="sr-Latn-ME"/>
        </w:rPr>
      </w:pPr>
      <w:r w:rsidRPr="00F24057">
        <w:rPr>
          <w:szCs w:val="22"/>
          <w:lang w:val="sr-Latn-ME"/>
        </w:rPr>
        <w:t xml:space="preserve">Nakon </w:t>
      </w:r>
      <w:r w:rsidR="0030064A" w:rsidRPr="00F24057">
        <w:rPr>
          <w:szCs w:val="22"/>
          <w:lang w:val="sr-Latn-ME"/>
        </w:rPr>
        <w:t>primjen</w:t>
      </w:r>
      <w:r w:rsidRPr="00F24057">
        <w:rPr>
          <w:szCs w:val="22"/>
          <w:lang w:val="sr-Latn-ME"/>
        </w:rPr>
        <w:t>e 24 mg/m</w:t>
      </w:r>
      <w:r w:rsidRPr="00F24057">
        <w:rPr>
          <w:szCs w:val="22"/>
          <w:vertAlign w:val="superscript"/>
          <w:lang w:val="sr-Latn-ME"/>
        </w:rPr>
        <w:t xml:space="preserve">2 </w:t>
      </w:r>
      <w:r w:rsidRPr="00F24057">
        <w:rPr>
          <w:szCs w:val="22"/>
          <w:lang w:val="sr-Latn-ME"/>
        </w:rPr>
        <w:t xml:space="preserve">(do maksimalno 40 mg) supkutano svake druge </w:t>
      </w:r>
      <w:r w:rsidR="00885A78" w:rsidRPr="00F24057">
        <w:rPr>
          <w:szCs w:val="22"/>
          <w:lang w:val="sr-Latn-ME"/>
        </w:rPr>
        <w:t>nedjelj</w:t>
      </w:r>
      <w:r w:rsidRPr="00F24057">
        <w:rPr>
          <w:szCs w:val="22"/>
          <w:lang w:val="sr-Latn-ME"/>
        </w:rPr>
        <w:t>e kod pacijenata sa poliartikularnim juvenilnim idiopatskim artritisom (JIA), uzrasta od 4 - 17 godina, srednja minimalna koncentracija adalimumaba u serumu u stanju dinamičke ravnoteže (</w:t>
      </w:r>
      <w:r w:rsidR="00972894" w:rsidRPr="00F24057">
        <w:rPr>
          <w:szCs w:val="22"/>
          <w:lang w:val="sr-Latn-ME"/>
        </w:rPr>
        <w:t>vrijedno</w:t>
      </w:r>
      <w:r w:rsidRPr="00F24057">
        <w:rPr>
          <w:szCs w:val="22"/>
          <w:lang w:val="sr-Latn-ME"/>
        </w:rPr>
        <w:t xml:space="preserve">sti </w:t>
      </w:r>
      <w:r w:rsidR="0030064A" w:rsidRPr="00F24057">
        <w:rPr>
          <w:szCs w:val="22"/>
          <w:lang w:val="sr-Latn-ME"/>
        </w:rPr>
        <w:t>mjeren</w:t>
      </w:r>
      <w:r w:rsidRPr="00F24057">
        <w:rPr>
          <w:szCs w:val="22"/>
          <w:lang w:val="sr-Latn-ME"/>
        </w:rPr>
        <w:t>e između 20</w:t>
      </w:r>
      <w:r w:rsidR="00541381" w:rsidRPr="00F24057">
        <w:rPr>
          <w:szCs w:val="22"/>
          <w:lang w:val="sr-Latn-ME"/>
        </w:rPr>
        <w:t>.</w:t>
      </w:r>
      <w:r w:rsidRPr="00F24057">
        <w:rPr>
          <w:szCs w:val="22"/>
          <w:lang w:val="sr-Latn-ME"/>
        </w:rPr>
        <w:t xml:space="preserve"> i 48</w:t>
      </w:r>
      <w:r w:rsidR="00541381" w:rsidRPr="00F24057">
        <w:rPr>
          <w:szCs w:val="22"/>
          <w:lang w:val="sr-Latn-ME"/>
        </w:rPr>
        <w:t>.</w:t>
      </w:r>
      <w:r w:rsidRPr="00F24057">
        <w:rPr>
          <w:szCs w:val="22"/>
          <w:lang w:val="sr-Latn-ME"/>
        </w:rPr>
        <w:t xml:space="preserve"> </w:t>
      </w:r>
      <w:r w:rsidR="00885A78" w:rsidRPr="00F24057">
        <w:rPr>
          <w:szCs w:val="22"/>
          <w:lang w:val="sr-Latn-ME"/>
        </w:rPr>
        <w:t>nedjelj</w:t>
      </w:r>
      <w:r w:rsidRPr="00F24057">
        <w:rPr>
          <w:szCs w:val="22"/>
          <w:lang w:val="sr-Latn-ME"/>
        </w:rPr>
        <w:t>e) je bila 5,6 ± 5,6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(102% CV) za adalimumab bez istovremene </w:t>
      </w:r>
      <w:r w:rsidR="0030064A" w:rsidRPr="00F24057">
        <w:rPr>
          <w:szCs w:val="22"/>
          <w:lang w:val="sr-Latn-ME"/>
        </w:rPr>
        <w:t>primjen</w:t>
      </w:r>
      <w:r w:rsidRPr="00F24057">
        <w:rPr>
          <w:szCs w:val="22"/>
          <w:lang w:val="sr-Latn-ME"/>
        </w:rPr>
        <w:t>e metotreksata i 10,9 ± 5,2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(47,7% CV) pri istovremenoj </w:t>
      </w:r>
      <w:r w:rsidR="0030064A" w:rsidRPr="00F24057">
        <w:rPr>
          <w:szCs w:val="22"/>
          <w:lang w:val="sr-Latn-ME"/>
        </w:rPr>
        <w:t>primjen</w:t>
      </w:r>
      <w:r w:rsidRPr="00F24057">
        <w:rPr>
          <w:szCs w:val="22"/>
          <w:lang w:val="sr-Latn-ME"/>
        </w:rPr>
        <w:t>i metotreksata.</w:t>
      </w:r>
    </w:p>
    <w:p w14:paraId="48C295D8" w14:textId="77777777" w:rsidR="003D4BE0" w:rsidRPr="00F24057" w:rsidRDefault="003D4BE0" w:rsidP="00D70B34">
      <w:pPr>
        <w:rPr>
          <w:szCs w:val="22"/>
          <w:lang w:val="sr-Latn-ME"/>
        </w:rPr>
      </w:pPr>
    </w:p>
    <w:p w14:paraId="5190FE40" w14:textId="28B6F772" w:rsidR="003D4BE0" w:rsidRPr="00F24057" w:rsidRDefault="003D4BE0" w:rsidP="00D70B34">
      <w:pPr>
        <w:rPr>
          <w:szCs w:val="22"/>
          <w:lang w:val="sr-Latn-ME"/>
        </w:rPr>
      </w:pPr>
      <w:r w:rsidRPr="00F24057">
        <w:rPr>
          <w:szCs w:val="22"/>
          <w:lang w:val="sr-Latn-ME"/>
        </w:rPr>
        <w:t xml:space="preserve">Kod pacijenata sa poliartikularnim juvenilnim idiopatskim artritisom, uzrasta od 2 do &lt; 4 godine ili uzrasta 4 i više godina sa </w:t>
      </w:r>
      <w:r w:rsidR="007E5568" w:rsidRPr="00F24057">
        <w:rPr>
          <w:szCs w:val="22"/>
          <w:lang w:val="sr-Latn-ME"/>
        </w:rPr>
        <w:t>tjeles</w:t>
      </w:r>
      <w:r w:rsidRPr="00F24057">
        <w:rPr>
          <w:szCs w:val="22"/>
          <w:lang w:val="sr-Latn-ME"/>
        </w:rPr>
        <w:t xml:space="preserve">nom masom &lt; 15 kg, nakon </w:t>
      </w:r>
      <w:r w:rsidR="0030064A" w:rsidRPr="00F24057">
        <w:rPr>
          <w:szCs w:val="22"/>
          <w:lang w:val="sr-Latn-ME"/>
        </w:rPr>
        <w:t>primjen</w:t>
      </w:r>
      <w:r w:rsidRPr="00F24057">
        <w:rPr>
          <w:szCs w:val="22"/>
          <w:lang w:val="sr-Latn-ME"/>
        </w:rPr>
        <w:t>e 24 mg/m</w:t>
      </w:r>
      <w:r w:rsidRPr="00F24057">
        <w:rPr>
          <w:szCs w:val="22"/>
          <w:vertAlign w:val="superscript"/>
          <w:lang w:val="sr-Latn-ME"/>
        </w:rPr>
        <w:t xml:space="preserve">2 </w:t>
      </w:r>
      <w:r w:rsidRPr="00F24057">
        <w:rPr>
          <w:szCs w:val="22"/>
          <w:lang w:val="sr-Latn-ME"/>
        </w:rPr>
        <w:t xml:space="preserve">adalimumaba srednja </w:t>
      </w:r>
      <w:r w:rsidR="00972894" w:rsidRPr="00F24057">
        <w:rPr>
          <w:szCs w:val="22"/>
          <w:lang w:val="sr-Latn-ME"/>
        </w:rPr>
        <w:t>vrijedno</w:t>
      </w:r>
      <w:r w:rsidRPr="00F24057">
        <w:rPr>
          <w:szCs w:val="22"/>
          <w:lang w:val="sr-Latn-ME"/>
        </w:rPr>
        <w:t xml:space="preserve">st minimalne koncentracija adalimumaba u serumu u stanju dinamičke ravnoteže je bila 6,0 ± </w:t>
      </w:r>
      <w:r w:rsidRPr="00F24057">
        <w:rPr>
          <w:szCs w:val="22"/>
          <w:lang w:val="sr-Latn-ME"/>
        </w:rPr>
        <w:lastRenderedPageBreak/>
        <w:t>6,1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(101% CV) za adalimumab bez istovremene </w:t>
      </w:r>
      <w:r w:rsidR="0030064A" w:rsidRPr="00F24057">
        <w:rPr>
          <w:szCs w:val="22"/>
          <w:lang w:val="sr-Latn-ME"/>
        </w:rPr>
        <w:t>primjen</w:t>
      </w:r>
      <w:r w:rsidRPr="00F24057">
        <w:rPr>
          <w:szCs w:val="22"/>
          <w:lang w:val="sr-Latn-ME"/>
        </w:rPr>
        <w:t>e metotreksata i 7,9 ± 5,6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(71.2% CV) pri istovremenoj </w:t>
      </w:r>
      <w:r w:rsidR="0030064A" w:rsidRPr="00F24057">
        <w:rPr>
          <w:szCs w:val="22"/>
          <w:lang w:val="sr-Latn-ME"/>
        </w:rPr>
        <w:t>primjen</w:t>
      </w:r>
      <w:r w:rsidRPr="00F24057">
        <w:rPr>
          <w:szCs w:val="22"/>
          <w:lang w:val="sr-Latn-ME"/>
        </w:rPr>
        <w:t>i metotreksata.</w:t>
      </w:r>
    </w:p>
    <w:p w14:paraId="2287556E" w14:textId="77777777" w:rsidR="003D4BE0" w:rsidRPr="00F24057" w:rsidRDefault="003D4BE0" w:rsidP="00D70B34">
      <w:pPr>
        <w:rPr>
          <w:szCs w:val="22"/>
          <w:lang w:val="sr-Latn-ME"/>
        </w:rPr>
      </w:pPr>
    </w:p>
    <w:p w14:paraId="4276B60A" w14:textId="37DE5A8A" w:rsidR="003D4BE0" w:rsidRPr="00F24057" w:rsidRDefault="003D4BE0" w:rsidP="00D70B34">
      <w:pPr>
        <w:rPr>
          <w:szCs w:val="22"/>
          <w:lang w:val="sr-Latn-ME"/>
        </w:rPr>
      </w:pPr>
      <w:r w:rsidRPr="00F24057">
        <w:rPr>
          <w:szCs w:val="22"/>
          <w:lang w:val="sr-Latn-ME"/>
        </w:rPr>
        <w:t xml:space="preserve">Nakon </w:t>
      </w:r>
      <w:r w:rsidR="0030064A" w:rsidRPr="00F24057">
        <w:rPr>
          <w:szCs w:val="22"/>
          <w:lang w:val="sr-Latn-ME"/>
        </w:rPr>
        <w:t>primjen</w:t>
      </w:r>
      <w:r w:rsidRPr="00F24057">
        <w:rPr>
          <w:szCs w:val="22"/>
          <w:lang w:val="sr-Latn-ME"/>
        </w:rPr>
        <w:t>e 24 mg/m</w:t>
      </w:r>
      <w:r w:rsidRPr="00F24057">
        <w:rPr>
          <w:szCs w:val="22"/>
          <w:vertAlign w:val="superscript"/>
          <w:lang w:val="sr-Latn-ME"/>
        </w:rPr>
        <w:t xml:space="preserve">2 </w:t>
      </w:r>
      <w:r w:rsidRPr="00F24057">
        <w:rPr>
          <w:szCs w:val="22"/>
          <w:lang w:val="sr-Latn-ME"/>
        </w:rPr>
        <w:t xml:space="preserve">(do maksimalno 40 mg) supkutanom injekcijom svake druge </w:t>
      </w:r>
      <w:r w:rsidR="00885A78" w:rsidRPr="00F24057">
        <w:rPr>
          <w:szCs w:val="22"/>
          <w:lang w:val="sr-Latn-ME"/>
        </w:rPr>
        <w:t>nedjelj</w:t>
      </w:r>
      <w:r w:rsidRPr="00F24057">
        <w:rPr>
          <w:szCs w:val="22"/>
          <w:lang w:val="sr-Latn-ME"/>
        </w:rPr>
        <w:t xml:space="preserve">e kod pacijenata sa artritisom povezanim sa entezitisom, uzrasta od 6 do 17 godina, srednja </w:t>
      </w:r>
      <w:r w:rsidR="00972894" w:rsidRPr="00F24057">
        <w:rPr>
          <w:szCs w:val="22"/>
          <w:lang w:val="sr-Latn-ME"/>
        </w:rPr>
        <w:t>vrijedno</w:t>
      </w:r>
      <w:r w:rsidRPr="00F24057">
        <w:rPr>
          <w:szCs w:val="22"/>
          <w:lang w:val="sr-Latn-ME"/>
        </w:rPr>
        <w:t>st minimalne koncentracije adalimumaba u serumu u stanju dinamičke ravnoteže (</w:t>
      </w:r>
      <w:r w:rsidR="00972894" w:rsidRPr="00F24057">
        <w:rPr>
          <w:szCs w:val="22"/>
          <w:lang w:val="sr-Latn-ME"/>
        </w:rPr>
        <w:t>vrijedno</w:t>
      </w:r>
      <w:r w:rsidRPr="00F24057">
        <w:rPr>
          <w:szCs w:val="22"/>
          <w:lang w:val="sr-Latn-ME"/>
        </w:rPr>
        <w:t xml:space="preserve">sti </w:t>
      </w:r>
      <w:r w:rsidR="0030064A" w:rsidRPr="00F24057">
        <w:rPr>
          <w:szCs w:val="22"/>
          <w:lang w:val="sr-Latn-ME"/>
        </w:rPr>
        <w:t>mjeren</w:t>
      </w:r>
      <w:r w:rsidRPr="00F24057">
        <w:rPr>
          <w:szCs w:val="22"/>
          <w:lang w:val="sr-Latn-ME"/>
        </w:rPr>
        <w:t xml:space="preserve">e u 24. </w:t>
      </w:r>
      <w:r w:rsidR="00885A78" w:rsidRPr="00F24057">
        <w:rPr>
          <w:szCs w:val="22"/>
          <w:lang w:val="sr-Latn-ME"/>
        </w:rPr>
        <w:t>nedjelj</w:t>
      </w:r>
      <w:r w:rsidRPr="00F24057">
        <w:rPr>
          <w:szCs w:val="22"/>
          <w:lang w:val="sr-Latn-ME"/>
        </w:rPr>
        <w:t>i) bila je 8,8 ± 6,6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za adalimumab bez istovremene </w:t>
      </w:r>
      <w:r w:rsidR="0030064A" w:rsidRPr="00F24057">
        <w:rPr>
          <w:szCs w:val="22"/>
          <w:lang w:val="sr-Latn-ME"/>
        </w:rPr>
        <w:t>primjen</w:t>
      </w:r>
      <w:r w:rsidRPr="00F24057">
        <w:rPr>
          <w:szCs w:val="22"/>
          <w:lang w:val="sr-Latn-ME"/>
        </w:rPr>
        <w:t>e metotreksata i 11,8 ± 4,3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uz istovremenu </w:t>
      </w:r>
      <w:r w:rsidR="0030064A" w:rsidRPr="00F24057">
        <w:rPr>
          <w:szCs w:val="22"/>
          <w:lang w:val="sr-Latn-ME"/>
        </w:rPr>
        <w:t>primjen</w:t>
      </w:r>
      <w:r w:rsidRPr="00F24057">
        <w:rPr>
          <w:szCs w:val="22"/>
          <w:lang w:val="sr-Latn-ME"/>
        </w:rPr>
        <w:t xml:space="preserve">u metotreksata. </w:t>
      </w:r>
    </w:p>
    <w:p w14:paraId="0BE315AC" w14:textId="21C32142" w:rsidR="00E86988" w:rsidRPr="00F24057" w:rsidRDefault="00E86988" w:rsidP="00D70B34">
      <w:pPr>
        <w:rPr>
          <w:szCs w:val="22"/>
          <w:lang w:val="sr-Latn-ME"/>
        </w:rPr>
      </w:pPr>
    </w:p>
    <w:p w14:paraId="5BDC109E" w14:textId="684443C9" w:rsidR="00E86988" w:rsidRPr="00F24057" w:rsidRDefault="001734CA" w:rsidP="00D70B34">
      <w:pPr>
        <w:rPr>
          <w:szCs w:val="22"/>
          <w:lang w:val="sr-Latn-ME"/>
        </w:rPr>
      </w:pPr>
      <w:r w:rsidRPr="00F24057">
        <w:rPr>
          <w:szCs w:val="22"/>
          <w:lang w:val="sr-Latn-ME"/>
        </w:rPr>
        <w:t xml:space="preserve">Posle subkutane </w:t>
      </w:r>
      <w:r w:rsidR="0030064A" w:rsidRPr="00F24057">
        <w:rPr>
          <w:szCs w:val="22"/>
          <w:lang w:val="sr-Latn-ME"/>
        </w:rPr>
        <w:t>primjen</w:t>
      </w:r>
      <w:r w:rsidRPr="00F24057">
        <w:rPr>
          <w:szCs w:val="22"/>
          <w:lang w:val="sr-Latn-ME"/>
        </w:rPr>
        <w:t xml:space="preserve">e 40 mg adalimumaba svake druge </w:t>
      </w:r>
      <w:r w:rsidR="00885A78" w:rsidRPr="00F24057">
        <w:rPr>
          <w:szCs w:val="22"/>
          <w:lang w:val="sr-Latn-ME"/>
        </w:rPr>
        <w:t>nedjelj</w:t>
      </w:r>
      <w:r w:rsidRPr="00F24057">
        <w:rPr>
          <w:szCs w:val="22"/>
          <w:lang w:val="sr-Latn-ME"/>
        </w:rPr>
        <w:t xml:space="preserve">e kod odraslih pacijenata sa aksijalnim spondiloartritisom </w:t>
      </w:r>
      <w:r w:rsidR="00EB4633" w:rsidRPr="00F24057">
        <w:rPr>
          <w:szCs w:val="22"/>
          <w:lang w:val="sr-Latn-ME"/>
        </w:rPr>
        <w:t>bez</w:t>
      </w:r>
      <w:r w:rsidRPr="00F24057">
        <w:rPr>
          <w:szCs w:val="22"/>
          <w:lang w:val="sr-Latn-ME"/>
        </w:rPr>
        <w:t xml:space="preserve"> </w:t>
      </w:r>
      <w:r w:rsidR="009F5871" w:rsidRPr="00F24057">
        <w:rPr>
          <w:szCs w:val="22"/>
          <w:lang w:val="sr-Latn-ME"/>
        </w:rPr>
        <w:t>radiološkog dokaza AS-a</w:t>
      </w:r>
      <w:r w:rsidRPr="00F24057">
        <w:rPr>
          <w:szCs w:val="22"/>
          <w:lang w:val="sr-Latn-ME"/>
        </w:rPr>
        <w:t>, srednja</w:t>
      </w:r>
      <w:r w:rsidR="004E5693" w:rsidRPr="00F24057">
        <w:rPr>
          <w:szCs w:val="22"/>
          <w:lang w:val="sr-Latn-ME"/>
        </w:rPr>
        <w:t xml:space="preserve"> </w:t>
      </w:r>
      <w:r w:rsidR="00972894" w:rsidRPr="00F24057">
        <w:rPr>
          <w:szCs w:val="22"/>
          <w:lang w:val="sr-Latn-ME"/>
        </w:rPr>
        <w:t>vrijedno</w:t>
      </w:r>
      <w:r w:rsidR="004E5693" w:rsidRPr="00F24057">
        <w:rPr>
          <w:szCs w:val="22"/>
          <w:lang w:val="sr-Latn-ME"/>
        </w:rPr>
        <w:t>st</w:t>
      </w:r>
      <w:r w:rsidRPr="00F24057">
        <w:rPr>
          <w:szCs w:val="22"/>
          <w:lang w:val="sr-Latn-ME"/>
        </w:rPr>
        <w:t xml:space="preserve"> (±SD) </w:t>
      </w:r>
      <w:r w:rsidR="004E5693" w:rsidRPr="00F24057">
        <w:rPr>
          <w:szCs w:val="22"/>
          <w:lang w:val="sr-Latn-ME"/>
        </w:rPr>
        <w:t>minimalne</w:t>
      </w:r>
      <w:r w:rsidRPr="00F24057">
        <w:rPr>
          <w:szCs w:val="22"/>
          <w:lang w:val="sr-Latn-ME"/>
        </w:rPr>
        <w:t xml:space="preserve"> koncentracij</w:t>
      </w:r>
      <w:r w:rsidR="004E5693" w:rsidRPr="00F24057">
        <w:rPr>
          <w:szCs w:val="22"/>
          <w:lang w:val="sr-Latn-ME"/>
        </w:rPr>
        <w:t>e</w:t>
      </w:r>
      <w:r w:rsidRPr="00F24057">
        <w:rPr>
          <w:szCs w:val="22"/>
          <w:lang w:val="sr-Latn-ME"/>
        </w:rPr>
        <w:t xml:space="preserve"> u stanju dinamičke ravnoteže u 68. </w:t>
      </w:r>
      <w:r w:rsidR="00885A78" w:rsidRPr="00F24057">
        <w:rPr>
          <w:szCs w:val="22"/>
          <w:lang w:val="sr-Latn-ME"/>
        </w:rPr>
        <w:t>nedjelj</w:t>
      </w:r>
      <w:r w:rsidRPr="00F24057">
        <w:rPr>
          <w:szCs w:val="22"/>
          <w:lang w:val="sr-Latn-ME"/>
        </w:rPr>
        <w:t>i bila je 8,0 ± 4,6 mg/m</w:t>
      </w:r>
      <w:r w:rsidR="008D7D56" w:rsidRPr="00F24057">
        <w:rPr>
          <w:szCs w:val="22"/>
          <w:lang w:val="sr-Latn-ME"/>
        </w:rPr>
        <w:t>l</w:t>
      </w:r>
      <w:r w:rsidRPr="00F24057">
        <w:rPr>
          <w:szCs w:val="22"/>
          <w:lang w:val="sr-Latn-ME"/>
        </w:rPr>
        <w:t>.</w:t>
      </w:r>
    </w:p>
    <w:p w14:paraId="3A866C6E" w14:textId="77777777" w:rsidR="003D4BE0" w:rsidRPr="00F24057" w:rsidRDefault="003D4BE0" w:rsidP="00D70B34">
      <w:pPr>
        <w:rPr>
          <w:szCs w:val="22"/>
          <w:lang w:val="sr-Latn-ME"/>
        </w:rPr>
      </w:pPr>
    </w:p>
    <w:p w14:paraId="5F3280D6" w14:textId="1DE96631" w:rsidR="003D4BE0" w:rsidRPr="00F24057" w:rsidRDefault="003D4BE0" w:rsidP="00D70B34">
      <w:pPr>
        <w:rPr>
          <w:szCs w:val="22"/>
          <w:lang w:val="sr-Latn-ME"/>
        </w:rPr>
      </w:pPr>
      <w:r w:rsidRPr="00F24057">
        <w:rPr>
          <w:szCs w:val="22"/>
          <w:lang w:val="sr-Latn-ME"/>
        </w:rPr>
        <w:t xml:space="preserve">Kod odraslih pacijenata sa psorijazom, srednja </w:t>
      </w:r>
      <w:r w:rsidR="00972894" w:rsidRPr="00F24057">
        <w:rPr>
          <w:szCs w:val="22"/>
          <w:lang w:val="sr-Latn-ME"/>
        </w:rPr>
        <w:t>vrijedno</w:t>
      </w:r>
      <w:r w:rsidRPr="00F24057">
        <w:rPr>
          <w:szCs w:val="22"/>
          <w:lang w:val="sr-Latn-ME"/>
        </w:rPr>
        <w:t>st minimalne koncentracije adalimumaba u stanju dinamičke ravnoteže bila je 5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tokom </w:t>
      </w:r>
      <w:r w:rsidR="0030064A" w:rsidRPr="00F24057">
        <w:rPr>
          <w:szCs w:val="22"/>
          <w:lang w:val="sr-Latn-ME"/>
        </w:rPr>
        <w:t>primjen</w:t>
      </w:r>
      <w:r w:rsidRPr="00F24057">
        <w:rPr>
          <w:szCs w:val="22"/>
          <w:lang w:val="sr-Latn-ME"/>
        </w:rPr>
        <w:t xml:space="preserve">e monoterapije dozom adalimumaba od 40 mg svake druge </w:t>
      </w:r>
      <w:r w:rsidR="00885A78" w:rsidRPr="00F24057">
        <w:rPr>
          <w:szCs w:val="22"/>
          <w:lang w:val="sr-Latn-ME"/>
        </w:rPr>
        <w:t>nedjelj</w:t>
      </w:r>
      <w:r w:rsidRPr="00F24057">
        <w:rPr>
          <w:szCs w:val="22"/>
          <w:lang w:val="sr-Latn-ME"/>
        </w:rPr>
        <w:t>e.</w:t>
      </w:r>
    </w:p>
    <w:p w14:paraId="13090A8C" w14:textId="77777777" w:rsidR="003D4BE0" w:rsidRPr="00F24057" w:rsidRDefault="003D4BE0" w:rsidP="00D70B34">
      <w:pPr>
        <w:rPr>
          <w:szCs w:val="22"/>
          <w:lang w:val="sr-Latn-ME"/>
        </w:rPr>
      </w:pPr>
    </w:p>
    <w:p w14:paraId="2F857E77" w14:textId="1E02160F" w:rsidR="003D4BE0" w:rsidRPr="00F24057" w:rsidRDefault="003D4BE0" w:rsidP="00D70B34">
      <w:pPr>
        <w:rPr>
          <w:szCs w:val="22"/>
          <w:lang w:val="sr-Latn-ME"/>
        </w:rPr>
      </w:pPr>
      <w:r w:rsidRPr="00F24057">
        <w:rPr>
          <w:szCs w:val="22"/>
          <w:lang w:val="sr-Latn-ME"/>
        </w:rPr>
        <w:t xml:space="preserve">Nakon supkutano </w:t>
      </w:r>
      <w:r w:rsidR="009811CA" w:rsidRPr="00F24057">
        <w:rPr>
          <w:szCs w:val="22"/>
          <w:lang w:val="sr-Latn-ME"/>
        </w:rPr>
        <w:t>primijenje</w:t>
      </w:r>
      <w:r w:rsidRPr="00F24057">
        <w:rPr>
          <w:szCs w:val="22"/>
          <w:lang w:val="sr-Latn-ME"/>
        </w:rPr>
        <w:t xml:space="preserve">ne doze od 0,8 mg/kg (do maksimalno 40 mg) svake druge </w:t>
      </w:r>
      <w:r w:rsidR="00885A78" w:rsidRPr="00F24057">
        <w:rPr>
          <w:szCs w:val="22"/>
          <w:lang w:val="sr-Latn-ME"/>
        </w:rPr>
        <w:t>nedjelj</w:t>
      </w:r>
      <w:r w:rsidRPr="00F24057">
        <w:rPr>
          <w:szCs w:val="22"/>
          <w:lang w:val="sr-Latn-ME"/>
        </w:rPr>
        <w:t xml:space="preserve">e kod pedijatrijskih pacijenata sa hroničnom plak psorijazom, srednja </w:t>
      </w:r>
      <w:r w:rsidR="00972894" w:rsidRPr="00F24057">
        <w:rPr>
          <w:szCs w:val="22"/>
          <w:lang w:val="sr-Latn-ME"/>
        </w:rPr>
        <w:t>vrijedno</w:t>
      </w:r>
      <w:r w:rsidRPr="00F24057">
        <w:rPr>
          <w:szCs w:val="22"/>
          <w:lang w:val="sr-Latn-ME"/>
        </w:rPr>
        <w:t>st ± SD najniže koncentracije adalimumaba u stanju dinamičke ravnoteže iznosila je približno 7,4 ± 5,8 mikrograma/</w:t>
      </w:r>
      <w:r w:rsidR="006E2502" w:rsidRPr="00F24057">
        <w:rPr>
          <w:szCs w:val="22"/>
          <w:lang w:val="sr-Latn-ME"/>
        </w:rPr>
        <w:t>m</w:t>
      </w:r>
      <w:r w:rsidR="008D7D56" w:rsidRPr="00F24057">
        <w:rPr>
          <w:szCs w:val="22"/>
          <w:lang w:val="sr-Latn-ME"/>
        </w:rPr>
        <w:t>l</w:t>
      </w:r>
      <w:r w:rsidR="006E2502" w:rsidRPr="00F24057">
        <w:rPr>
          <w:szCs w:val="22"/>
          <w:lang w:val="sr-Latn-ME"/>
        </w:rPr>
        <w:t xml:space="preserve"> </w:t>
      </w:r>
      <w:r w:rsidRPr="00F24057">
        <w:rPr>
          <w:szCs w:val="22"/>
          <w:lang w:val="sr-Latn-ME"/>
        </w:rPr>
        <w:t xml:space="preserve">(79% CV). </w:t>
      </w:r>
    </w:p>
    <w:p w14:paraId="7FD247D2" w14:textId="77777777" w:rsidR="003D4BE0" w:rsidRPr="00F24057" w:rsidRDefault="003D4BE0" w:rsidP="00D70B34">
      <w:pPr>
        <w:rPr>
          <w:szCs w:val="22"/>
          <w:lang w:val="sr-Latn-ME"/>
        </w:rPr>
      </w:pPr>
    </w:p>
    <w:p w14:paraId="607E424F" w14:textId="2B490753" w:rsidR="003D4BE0" w:rsidRPr="00F24057" w:rsidRDefault="003D4BE0" w:rsidP="00D70B34">
      <w:pPr>
        <w:rPr>
          <w:szCs w:val="22"/>
          <w:lang w:val="sr-Latn-ME"/>
        </w:rPr>
      </w:pPr>
      <w:r w:rsidRPr="00F24057">
        <w:rPr>
          <w:szCs w:val="22"/>
          <w:lang w:val="sr-Latn-ME"/>
        </w:rPr>
        <w:t xml:space="preserve">Nakon </w:t>
      </w:r>
      <w:r w:rsidR="0030064A" w:rsidRPr="00F24057">
        <w:rPr>
          <w:szCs w:val="22"/>
          <w:lang w:val="sr-Latn-ME"/>
        </w:rPr>
        <w:t>primjen</w:t>
      </w:r>
      <w:r w:rsidRPr="00F24057">
        <w:rPr>
          <w:szCs w:val="22"/>
          <w:lang w:val="sr-Latn-ME"/>
        </w:rPr>
        <w:t xml:space="preserve">e adalimumaba u dozi od 160 mg </w:t>
      </w:r>
      <w:r w:rsidR="00F14615" w:rsidRPr="00F24057">
        <w:rPr>
          <w:szCs w:val="22"/>
          <w:lang w:val="sr-Latn-ME"/>
        </w:rPr>
        <w:t xml:space="preserve">u početnoj </w:t>
      </w:r>
      <w:r w:rsidR="00885A78" w:rsidRPr="00F24057">
        <w:rPr>
          <w:szCs w:val="22"/>
          <w:lang w:val="sr-Latn-ME"/>
        </w:rPr>
        <w:t>nedjelj</w:t>
      </w:r>
      <w:r w:rsidR="00F14615" w:rsidRPr="00F24057">
        <w:rPr>
          <w:szCs w:val="22"/>
          <w:lang w:val="sr-Latn-ME"/>
        </w:rPr>
        <w:t xml:space="preserve">i (označena kao nulta </w:t>
      </w:r>
      <w:r w:rsidR="00885A78" w:rsidRPr="00F24057">
        <w:rPr>
          <w:szCs w:val="22"/>
          <w:lang w:val="sr-Latn-ME"/>
        </w:rPr>
        <w:t>nedjelj</w:t>
      </w:r>
      <w:r w:rsidR="00F14615" w:rsidRPr="00F24057">
        <w:rPr>
          <w:szCs w:val="22"/>
          <w:lang w:val="sr-Latn-ME"/>
        </w:rPr>
        <w:t xml:space="preserve">a, </w:t>
      </w:r>
      <w:r w:rsidR="00080447" w:rsidRPr="00F24057">
        <w:rPr>
          <w:i/>
          <w:iCs/>
          <w:szCs w:val="22"/>
          <w:lang w:val="sr-Latn-ME"/>
        </w:rPr>
        <w:t>Week 0</w:t>
      </w:r>
      <w:r w:rsidR="00F14615" w:rsidRPr="00F24057">
        <w:rPr>
          <w:szCs w:val="22"/>
          <w:lang w:val="sr-Latn-ME"/>
        </w:rPr>
        <w:t xml:space="preserve">), </w:t>
      </w:r>
      <w:r w:rsidRPr="00F24057">
        <w:rPr>
          <w:szCs w:val="22"/>
          <w:lang w:val="sr-Latn-ME"/>
        </w:rPr>
        <w:t xml:space="preserve">i 80 mg u 2. </w:t>
      </w:r>
      <w:r w:rsidR="00885A78" w:rsidRPr="00F24057">
        <w:rPr>
          <w:szCs w:val="22"/>
          <w:lang w:val="sr-Latn-ME"/>
        </w:rPr>
        <w:t>nedjelj</w:t>
      </w:r>
      <w:r w:rsidRPr="00F24057">
        <w:rPr>
          <w:szCs w:val="22"/>
          <w:lang w:val="sr-Latn-ME"/>
        </w:rPr>
        <w:t xml:space="preserve">i kod odraslih pacijenata sa gnojnim zapaljenjem znojnih </w:t>
      </w:r>
      <w:r w:rsidR="009A3407" w:rsidRPr="00F24057">
        <w:rPr>
          <w:szCs w:val="22"/>
          <w:lang w:val="sr-Latn-ME"/>
        </w:rPr>
        <w:t>žlijezd</w:t>
      </w:r>
      <w:r w:rsidRPr="00F24057">
        <w:rPr>
          <w:szCs w:val="22"/>
          <w:lang w:val="sr-Latn-ME"/>
        </w:rPr>
        <w:t>a (</w:t>
      </w:r>
      <w:r w:rsidRPr="00F24057">
        <w:rPr>
          <w:i/>
          <w:iCs/>
          <w:szCs w:val="22"/>
          <w:lang w:val="sr-Latn-ME"/>
        </w:rPr>
        <w:t>hidradenitis suppurativa</w:t>
      </w:r>
      <w:r w:rsidRPr="00F24057">
        <w:rPr>
          <w:szCs w:val="22"/>
          <w:lang w:val="sr-Latn-ME"/>
        </w:rPr>
        <w:t xml:space="preserve">), najniže koncentracije adalimumaba u serumu u 2. i 4. </w:t>
      </w:r>
      <w:r w:rsidR="00885A78" w:rsidRPr="00F24057">
        <w:rPr>
          <w:szCs w:val="22"/>
          <w:lang w:val="sr-Latn-ME"/>
        </w:rPr>
        <w:t>nedjelj</w:t>
      </w:r>
      <w:r w:rsidRPr="00F24057">
        <w:rPr>
          <w:szCs w:val="22"/>
          <w:lang w:val="sr-Latn-ME"/>
        </w:rPr>
        <w:t>i iznosile su približno 7 do 8 mikrograma/m</w:t>
      </w:r>
      <w:r w:rsidR="008D7D56" w:rsidRPr="00F24057">
        <w:rPr>
          <w:szCs w:val="22"/>
          <w:lang w:val="sr-Latn-ME"/>
        </w:rPr>
        <w:t>l</w:t>
      </w:r>
      <w:r w:rsidRPr="00F24057">
        <w:rPr>
          <w:szCs w:val="22"/>
          <w:lang w:val="sr-Latn-ME"/>
        </w:rPr>
        <w:t xml:space="preserve">. Kada se adalimumab </w:t>
      </w:r>
      <w:r w:rsidR="0030064A" w:rsidRPr="00F24057">
        <w:rPr>
          <w:szCs w:val="22"/>
          <w:lang w:val="sr-Latn-ME"/>
        </w:rPr>
        <w:t>primjen</w:t>
      </w:r>
      <w:r w:rsidRPr="00F24057">
        <w:rPr>
          <w:szCs w:val="22"/>
          <w:lang w:val="sr-Latn-ME"/>
        </w:rPr>
        <w:t xml:space="preserve">jivao u dozi od 40 mg svake </w:t>
      </w:r>
      <w:r w:rsidR="00885A78" w:rsidRPr="00F24057">
        <w:rPr>
          <w:szCs w:val="22"/>
          <w:lang w:val="sr-Latn-ME"/>
        </w:rPr>
        <w:t>nedjelj</w:t>
      </w:r>
      <w:r w:rsidRPr="00F24057">
        <w:rPr>
          <w:szCs w:val="22"/>
          <w:lang w:val="sr-Latn-ME"/>
        </w:rPr>
        <w:t xml:space="preserve">e, srednja </w:t>
      </w:r>
      <w:r w:rsidR="00972894" w:rsidRPr="00F24057">
        <w:rPr>
          <w:szCs w:val="22"/>
          <w:lang w:val="sr-Latn-ME"/>
        </w:rPr>
        <w:t>vrijedno</w:t>
      </w:r>
      <w:r w:rsidRPr="00F24057">
        <w:rPr>
          <w:szCs w:val="22"/>
          <w:lang w:val="sr-Latn-ME"/>
        </w:rPr>
        <w:t xml:space="preserve">st najniže koncentracije u stanju dinamičke ravnoteže od 12. do 36. </w:t>
      </w:r>
      <w:r w:rsidR="00885A78" w:rsidRPr="00F24057">
        <w:rPr>
          <w:szCs w:val="22"/>
          <w:lang w:val="sr-Latn-ME"/>
        </w:rPr>
        <w:t>nedjelj</w:t>
      </w:r>
      <w:r w:rsidRPr="00F24057">
        <w:rPr>
          <w:szCs w:val="22"/>
          <w:lang w:val="sr-Latn-ME"/>
        </w:rPr>
        <w:t>e iznosila je približno 8 do 10 mikrograma/m</w:t>
      </w:r>
      <w:r w:rsidR="008D7D56" w:rsidRPr="00F24057">
        <w:rPr>
          <w:szCs w:val="22"/>
          <w:lang w:val="sr-Latn-ME"/>
        </w:rPr>
        <w:t>l</w:t>
      </w:r>
      <w:r w:rsidRPr="00F24057">
        <w:rPr>
          <w:szCs w:val="22"/>
          <w:lang w:val="sr-Latn-ME"/>
        </w:rPr>
        <w:t xml:space="preserve">. </w:t>
      </w:r>
    </w:p>
    <w:p w14:paraId="26CD13D5" w14:textId="77777777" w:rsidR="003D4BE0" w:rsidRPr="00F24057" w:rsidRDefault="003D4BE0" w:rsidP="00D70B34">
      <w:pPr>
        <w:rPr>
          <w:szCs w:val="22"/>
          <w:lang w:val="sr-Latn-ME"/>
        </w:rPr>
      </w:pPr>
    </w:p>
    <w:p w14:paraId="66C2B09B" w14:textId="44ACEC85" w:rsidR="003D4BE0" w:rsidRPr="00F24057" w:rsidRDefault="003D4BE0" w:rsidP="00D70B34">
      <w:pPr>
        <w:rPr>
          <w:szCs w:val="22"/>
          <w:lang w:val="sr-Latn-ME"/>
        </w:rPr>
      </w:pPr>
      <w:r w:rsidRPr="00F24057">
        <w:rPr>
          <w:szCs w:val="22"/>
          <w:lang w:val="sr-Latn-ME"/>
        </w:rPr>
        <w:t xml:space="preserve">Izloženost adalimumabu kod adolescentnih pacijenata sa gnojnim zapaljenjem znojnih </w:t>
      </w:r>
      <w:r w:rsidR="009A3407" w:rsidRPr="00F24057">
        <w:rPr>
          <w:szCs w:val="22"/>
          <w:lang w:val="sr-Latn-ME"/>
        </w:rPr>
        <w:t>žlijezd</w:t>
      </w:r>
      <w:r w:rsidRPr="00F24057">
        <w:rPr>
          <w:szCs w:val="22"/>
          <w:lang w:val="sr-Latn-ME"/>
        </w:rPr>
        <w:t>a (</w:t>
      </w:r>
      <w:r w:rsidRPr="00F24057">
        <w:rPr>
          <w:i/>
          <w:iCs/>
          <w:szCs w:val="22"/>
          <w:lang w:val="sr-Latn-ME"/>
        </w:rPr>
        <w:t>hidradenitis suppurativa</w:t>
      </w:r>
      <w:r w:rsidRPr="00F24057">
        <w:rPr>
          <w:szCs w:val="22"/>
          <w:lang w:val="sr-Latn-ME"/>
        </w:rPr>
        <w:t xml:space="preserve">) predviđena je uz pomoć farmakokinetičkog modelovanja i simulacije na osnovu farmakokinetike u drugim indikacijama kod drugih pedijatrijskih pacijenata (psorijaza kod </w:t>
      </w:r>
      <w:r w:rsidR="0030064A" w:rsidRPr="00F24057">
        <w:rPr>
          <w:szCs w:val="22"/>
          <w:lang w:val="sr-Latn-ME"/>
        </w:rPr>
        <w:t>djece</w:t>
      </w:r>
      <w:r w:rsidRPr="00F24057">
        <w:rPr>
          <w:szCs w:val="22"/>
          <w:lang w:val="sr-Latn-ME"/>
        </w:rPr>
        <w:t xml:space="preserve">, juvenilni idiopatski artritis, </w:t>
      </w:r>
      <w:r w:rsidR="00DA2306" w:rsidRPr="00F24057">
        <w:rPr>
          <w:i/>
          <w:iCs/>
          <w:szCs w:val="22"/>
          <w:lang w:val="sr-Latn-ME"/>
        </w:rPr>
        <w:t>Crohn</w:t>
      </w:r>
      <w:r w:rsidRPr="00F24057">
        <w:rPr>
          <w:szCs w:val="22"/>
          <w:lang w:val="sr-Latn-ME"/>
        </w:rPr>
        <w:t xml:space="preserve">-ova bolest kod </w:t>
      </w:r>
      <w:r w:rsidR="0030064A" w:rsidRPr="00F24057">
        <w:rPr>
          <w:szCs w:val="22"/>
          <w:lang w:val="sr-Latn-ME"/>
        </w:rPr>
        <w:t>djece</w:t>
      </w:r>
      <w:r w:rsidRPr="00F24057">
        <w:rPr>
          <w:szCs w:val="22"/>
          <w:lang w:val="sr-Latn-ME"/>
        </w:rPr>
        <w:t xml:space="preserve"> i artritis povezan sa entezitisom). Preporučeni režim doziranja za adolescente sa gnojnim zapaljenjem znojnih </w:t>
      </w:r>
      <w:r w:rsidR="009A3407" w:rsidRPr="00F24057">
        <w:rPr>
          <w:szCs w:val="22"/>
          <w:lang w:val="sr-Latn-ME"/>
        </w:rPr>
        <w:t>žlijezd</w:t>
      </w:r>
      <w:r w:rsidRPr="00F24057">
        <w:rPr>
          <w:szCs w:val="22"/>
          <w:lang w:val="sr-Latn-ME"/>
        </w:rPr>
        <w:t xml:space="preserve">a je 40 mg svake druge </w:t>
      </w:r>
      <w:r w:rsidR="00885A78" w:rsidRPr="00F24057">
        <w:rPr>
          <w:szCs w:val="22"/>
          <w:lang w:val="sr-Latn-ME"/>
        </w:rPr>
        <w:t>nedjelj</w:t>
      </w:r>
      <w:r w:rsidRPr="00F24057">
        <w:rPr>
          <w:szCs w:val="22"/>
          <w:lang w:val="sr-Latn-ME"/>
        </w:rPr>
        <w:t xml:space="preserve">e. Budući da veličina tela može uticati na izloženost adalimumabu, adolescenti sa većom </w:t>
      </w:r>
      <w:r w:rsidR="007E5568" w:rsidRPr="00F24057">
        <w:rPr>
          <w:szCs w:val="22"/>
          <w:lang w:val="sr-Latn-ME"/>
        </w:rPr>
        <w:t>tjeles</w:t>
      </w:r>
      <w:r w:rsidRPr="00F24057">
        <w:rPr>
          <w:szCs w:val="22"/>
          <w:lang w:val="sr-Latn-ME"/>
        </w:rPr>
        <w:t xml:space="preserve">nom masom kod kojih nije postignut zadovoljavajući odgovor mogli bi imati koristi od </w:t>
      </w:r>
      <w:r w:rsidR="0030064A" w:rsidRPr="00F24057">
        <w:rPr>
          <w:szCs w:val="22"/>
          <w:lang w:val="sr-Latn-ME"/>
        </w:rPr>
        <w:t>primjen</w:t>
      </w:r>
      <w:r w:rsidRPr="00F24057">
        <w:rPr>
          <w:szCs w:val="22"/>
          <w:lang w:val="sr-Latn-ME"/>
        </w:rPr>
        <w:t xml:space="preserve">e preporučene doze za odrasle od 40 mg svake </w:t>
      </w:r>
      <w:r w:rsidR="00885A78" w:rsidRPr="00F24057">
        <w:rPr>
          <w:szCs w:val="22"/>
          <w:lang w:val="sr-Latn-ME"/>
        </w:rPr>
        <w:t>nedjelj</w:t>
      </w:r>
      <w:r w:rsidRPr="00F24057">
        <w:rPr>
          <w:szCs w:val="22"/>
          <w:lang w:val="sr-Latn-ME"/>
        </w:rPr>
        <w:t xml:space="preserve">e. </w:t>
      </w:r>
    </w:p>
    <w:p w14:paraId="7321D464" w14:textId="73DDFC42" w:rsidR="008B4BBC" w:rsidRPr="00F24057" w:rsidRDefault="008B4BBC" w:rsidP="00D70B34">
      <w:pPr>
        <w:rPr>
          <w:szCs w:val="22"/>
          <w:lang w:val="sr-Latn-ME"/>
        </w:rPr>
      </w:pPr>
    </w:p>
    <w:p w14:paraId="5FBA9D77" w14:textId="3BF242C2" w:rsidR="00E67681" w:rsidRPr="00F24057" w:rsidRDefault="00E67681" w:rsidP="00E67681">
      <w:pPr>
        <w:ind w:left="-5"/>
        <w:rPr>
          <w:szCs w:val="22"/>
          <w:lang w:val="sr-Latn-ME"/>
        </w:rPr>
      </w:pPr>
      <w:r w:rsidRPr="00F24057">
        <w:rPr>
          <w:szCs w:val="22"/>
          <w:lang w:val="sr-Latn-ME"/>
        </w:rPr>
        <w:t xml:space="preserve">Tokom perioda indukcije kod pacijenata sa </w:t>
      </w:r>
      <w:r w:rsidRPr="00F24057">
        <w:rPr>
          <w:i/>
          <w:iCs/>
          <w:szCs w:val="22"/>
          <w:lang w:val="sr-Latn-ME"/>
        </w:rPr>
        <w:t>Crohn</w:t>
      </w:r>
      <w:r w:rsidRPr="00F24057">
        <w:rPr>
          <w:szCs w:val="22"/>
          <w:lang w:val="sr-Latn-ME"/>
        </w:rPr>
        <w:t xml:space="preserve">-ovom bolešću nakon udarne doze od 80 mg adalimumaba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t>
      </w:r>
      <w:r w:rsidRPr="00F24057">
        <w:rPr>
          <w:i/>
          <w:iCs/>
          <w:szCs w:val="22"/>
          <w:lang w:val="sr-Latn-ME"/>
        </w:rPr>
        <w:t>Week 0</w:t>
      </w:r>
      <w:r w:rsidRPr="00F24057">
        <w:rPr>
          <w:szCs w:val="22"/>
          <w:lang w:val="sr-Latn-ME"/>
        </w:rPr>
        <w:t xml:space="preserve">) i zatim 40 mg adalimumaba u drugoj </w:t>
      </w:r>
      <w:r w:rsidR="00885A78" w:rsidRPr="00F24057">
        <w:rPr>
          <w:szCs w:val="22"/>
          <w:lang w:val="sr-Latn-ME"/>
        </w:rPr>
        <w:t>nedjelj</w:t>
      </w:r>
      <w:r w:rsidRPr="00F24057">
        <w:rPr>
          <w:szCs w:val="22"/>
          <w:lang w:val="sr-Latn-ME"/>
        </w:rPr>
        <w:t>i postignute su najniže koncentracije adalimumaba u serumu od oko 5,5 mikrograma/m</w:t>
      </w:r>
      <w:r w:rsidR="008D7D56" w:rsidRPr="00F24057">
        <w:rPr>
          <w:szCs w:val="22"/>
          <w:lang w:val="sr-Latn-ME"/>
        </w:rPr>
        <w:t>l</w:t>
      </w:r>
      <w:r w:rsidRPr="00F24057">
        <w:rPr>
          <w:szCs w:val="22"/>
          <w:lang w:val="sr-Latn-ME"/>
        </w:rPr>
        <w:t xml:space="preserve">. Nakon udarne doze od 160 mg adalimumaba u početnoj </w:t>
      </w:r>
      <w:r w:rsidR="00885A78" w:rsidRPr="00F24057">
        <w:rPr>
          <w:szCs w:val="22"/>
          <w:lang w:val="sr-Latn-ME"/>
        </w:rPr>
        <w:t>nedjelj</w:t>
      </w:r>
      <w:r w:rsidRPr="00F24057">
        <w:rPr>
          <w:szCs w:val="22"/>
          <w:lang w:val="sr-Latn-ME"/>
        </w:rPr>
        <w:t xml:space="preserve">i (označena kao nulta </w:t>
      </w:r>
      <w:r w:rsidR="00885A78" w:rsidRPr="00F24057">
        <w:rPr>
          <w:szCs w:val="22"/>
          <w:lang w:val="sr-Latn-ME"/>
        </w:rPr>
        <w:t>nedjelj</w:t>
      </w:r>
      <w:r w:rsidRPr="00F24057">
        <w:rPr>
          <w:szCs w:val="22"/>
          <w:lang w:val="sr-Latn-ME"/>
        </w:rPr>
        <w:t xml:space="preserve">a, </w:t>
      </w:r>
      <w:r w:rsidRPr="00F24057">
        <w:rPr>
          <w:i/>
          <w:iCs/>
          <w:szCs w:val="22"/>
          <w:lang w:val="sr-Latn-ME"/>
        </w:rPr>
        <w:t>Week</w:t>
      </w:r>
      <w:r w:rsidRPr="00F24057">
        <w:rPr>
          <w:szCs w:val="22"/>
          <w:lang w:val="sr-Latn-ME"/>
        </w:rPr>
        <w:t xml:space="preserve"> 0) praćene dozom od 80 mg adalimumaba u drugoj </w:t>
      </w:r>
      <w:r w:rsidR="00885A78" w:rsidRPr="00F24057">
        <w:rPr>
          <w:szCs w:val="22"/>
          <w:lang w:val="sr-Latn-ME"/>
        </w:rPr>
        <w:t>nedjelj</w:t>
      </w:r>
      <w:r w:rsidRPr="00F24057">
        <w:rPr>
          <w:szCs w:val="22"/>
          <w:lang w:val="sr-Latn-ME"/>
        </w:rPr>
        <w:t>i postignute su najniže koncentracije adalimumaba u serumu od oko 12 mikrograma/m</w:t>
      </w:r>
      <w:r w:rsidR="008D7D56" w:rsidRPr="00F24057">
        <w:rPr>
          <w:szCs w:val="22"/>
          <w:lang w:val="sr-Latn-ME"/>
        </w:rPr>
        <w:t>l</w:t>
      </w:r>
      <w:r w:rsidRPr="00F24057">
        <w:rPr>
          <w:szCs w:val="22"/>
          <w:lang w:val="sr-Latn-ME"/>
        </w:rPr>
        <w:t xml:space="preserve"> tokom perioda indukcije. Kod pacijenata sa </w:t>
      </w:r>
      <w:r w:rsidRPr="00F24057">
        <w:rPr>
          <w:i/>
          <w:iCs/>
          <w:szCs w:val="22"/>
          <w:lang w:val="sr-Latn-ME"/>
        </w:rPr>
        <w:t>Crohn</w:t>
      </w:r>
      <w:r w:rsidRPr="00F24057">
        <w:rPr>
          <w:szCs w:val="22"/>
          <w:lang w:val="sr-Latn-ME"/>
        </w:rPr>
        <w:t xml:space="preserve">-ovom bolešću koji primaju terapiju održavanja dozom od 40 mg adalimumaba svake druge </w:t>
      </w:r>
      <w:r w:rsidR="00885A78" w:rsidRPr="00F24057">
        <w:rPr>
          <w:szCs w:val="22"/>
          <w:lang w:val="sr-Latn-ME"/>
        </w:rPr>
        <w:t>nedjelj</w:t>
      </w:r>
      <w:r w:rsidRPr="00F24057">
        <w:rPr>
          <w:szCs w:val="22"/>
          <w:lang w:val="sr-Latn-ME"/>
        </w:rPr>
        <w:t xml:space="preserve">e </w:t>
      </w:r>
      <w:r w:rsidR="00972894" w:rsidRPr="00F24057">
        <w:rPr>
          <w:szCs w:val="22"/>
          <w:lang w:val="sr-Latn-ME"/>
        </w:rPr>
        <w:t>prosje</w:t>
      </w:r>
      <w:r w:rsidRPr="00F24057">
        <w:rPr>
          <w:szCs w:val="22"/>
          <w:lang w:val="sr-Latn-ME"/>
        </w:rPr>
        <w:t>čna najniža koncentracija adalimumaba u serumu bila je oko 7 mikrograma/m</w:t>
      </w:r>
      <w:r w:rsidR="008D7D56" w:rsidRPr="00F24057">
        <w:rPr>
          <w:szCs w:val="22"/>
          <w:lang w:val="sr-Latn-ME"/>
        </w:rPr>
        <w:t>l</w:t>
      </w:r>
      <w:r w:rsidRPr="00F24057">
        <w:rPr>
          <w:szCs w:val="22"/>
          <w:lang w:val="sr-Latn-ME"/>
        </w:rPr>
        <w:t xml:space="preserve">. </w:t>
      </w:r>
    </w:p>
    <w:p w14:paraId="7765A3E4" w14:textId="77777777" w:rsidR="005C22ED" w:rsidRPr="00F24057" w:rsidRDefault="005C22ED" w:rsidP="00D70B34">
      <w:pPr>
        <w:ind w:left="-5"/>
        <w:rPr>
          <w:szCs w:val="22"/>
          <w:lang w:val="sr-Latn-ME"/>
        </w:rPr>
      </w:pPr>
    </w:p>
    <w:p w14:paraId="1AE2C0F1" w14:textId="5CC71D89" w:rsidR="00D441E0" w:rsidRPr="00F24057" w:rsidRDefault="00D441E0" w:rsidP="00D70B34">
      <w:pPr>
        <w:ind w:left="-5"/>
        <w:rPr>
          <w:szCs w:val="22"/>
          <w:lang w:val="sr-Latn-ME"/>
        </w:rPr>
      </w:pPr>
      <w:r w:rsidRPr="00F24057">
        <w:rPr>
          <w:szCs w:val="22"/>
          <w:lang w:val="sr-Latn-ME"/>
        </w:rPr>
        <w:t>Kod pedijatrijskih pacijenata sa u</w:t>
      </w:r>
      <w:r w:rsidR="0030064A" w:rsidRPr="00F24057">
        <w:rPr>
          <w:szCs w:val="22"/>
          <w:lang w:val="sr-Latn-ME"/>
        </w:rPr>
        <w:t>mjeren</w:t>
      </w:r>
      <w:r w:rsidRPr="00F24057">
        <w:rPr>
          <w:szCs w:val="22"/>
          <w:lang w:val="sr-Latn-ME"/>
        </w:rPr>
        <w:t xml:space="preserve">im do teškim oblikom </w:t>
      </w:r>
      <w:r w:rsidR="00DA2306" w:rsidRPr="00F24057">
        <w:rPr>
          <w:i/>
          <w:iCs/>
          <w:szCs w:val="22"/>
          <w:lang w:val="sr-Latn-ME"/>
        </w:rPr>
        <w:t>Crohn</w:t>
      </w:r>
      <w:r w:rsidRPr="00F24057">
        <w:rPr>
          <w:szCs w:val="22"/>
          <w:lang w:val="sr-Latn-ME"/>
        </w:rPr>
        <w:t xml:space="preserve">-ove bolesti, indukciona doza u otvorenoj studiji bila je 160/80 mg ili 80/40 mg </w:t>
      </w:r>
      <w:r w:rsidR="00F14615" w:rsidRPr="00F24057">
        <w:rPr>
          <w:szCs w:val="22"/>
          <w:lang w:val="sr-Latn-ME"/>
        </w:rPr>
        <w:t xml:space="preserve">u početnoj </w:t>
      </w:r>
      <w:r w:rsidR="00885A78" w:rsidRPr="00F24057">
        <w:rPr>
          <w:szCs w:val="22"/>
          <w:lang w:val="sr-Latn-ME"/>
        </w:rPr>
        <w:t>nedjelj</w:t>
      </w:r>
      <w:r w:rsidR="00F14615" w:rsidRPr="00F24057">
        <w:rPr>
          <w:szCs w:val="22"/>
          <w:lang w:val="sr-Latn-ME"/>
        </w:rPr>
        <w:t xml:space="preserve">i (označena kao nulta </w:t>
      </w:r>
      <w:r w:rsidR="00885A78" w:rsidRPr="00F24057">
        <w:rPr>
          <w:szCs w:val="22"/>
          <w:lang w:val="sr-Latn-ME"/>
        </w:rPr>
        <w:t>nedjelj</w:t>
      </w:r>
      <w:r w:rsidR="00F14615" w:rsidRPr="00F24057">
        <w:rPr>
          <w:szCs w:val="22"/>
          <w:lang w:val="sr-Latn-ME"/>
        </w:rPr>
        <w:t xml:space="preserve">a, </w:t>
      </w:r>
      <w:r w:rsidR="00080447" w:rsidRPr="00F24057">
        <w:rPr>
          <w:i/>
          <w:iCs/>
          <w:szCs w:val="22"/>
          <w:lang w:val="sr-Latn-ME"/>
        </w:rPr>
        <w:t>Week 0</w:t>
      </w:r>
      <w:r w:rsidR="00F14615" w:rsidRPr="00F24057">
        <w:rPr>
          <w:szCs w:val="22"/>
          <w:lang w:val="sr-Latn-ME"/>
        </w:rPr>
        <w:t xml:space="preserve">), </w:t>
      </w:r>
      <w:r w:rsidRPr="00F24057">
        <w:rPr>
          <w:szCs w:val="22"/>
          <w:lang w:val="sr-Latn-ME"/>
        </w:rPr>
        <w:t xml:space="preserve">i drugoj </w:t>
      </w:r>
      <w:r w:rsidR="00885A78" w:rsidRPr="00F24057">
        <w:rPr>
          <w:szCs w:val="22"/>
          <w:lang w:val="sr-Latn-ME"/>
        </w:rPr>
        <w:t>nedjelj</w:t>
      </w:r>
      <w:r w:rsidRPr="00F24057">
        <w:rPr>
          <w:szCs w:val="22"/>
          <w:lang w:val="sr-Latn-ME"/>
        </w:rPr>
        <w:t xml:space="preserve">i, u zavisnosti od granične </w:t>
      </w:r>
      <w:r w:rsidR="00972894" w:rsidRPr="00F24057">
        <w:rPr>
          <w:szCs w:val="22"/>
          <w:lang w:val="sr-Latn-ME"/>
        </w:rPr>
        <w:t>vrijedno</w:t>
      </w:r>
      <w:r w:rsidRPr="00F24057">
        <w:rPr>
          <w:szCs w:val="22"/>
          <w:lang w:val="sr-Latn-ME"/>
        </w:rPr>
        <w:t xml:space="preserve">sti za </w:t>
      </w:r>
      <w:r w:rsidR="007E5568" w:rsidRPr="00F24057">
        <w:rPr>
          <w:szCs w:val="22"/>
          <w:lang w:val="sr-Latn-ME"/>
        </w:rPr>
        <w:t>tjeles</w:t>
      </w:r>
      <w:r w:rsidRPr="00F24057">
        <w:rPr>
          <w:szCs w:val="22"/>
          <w:lang w:val="sr-Latn-ME"/>
        </w:rPr>
        <w:t xml:space="preserve">nu masu od 40 kg. U 4. </w:t>
      </w:r>
      <w:r w:rsidR="00885A78" w:rsidRPr="00F24057">
        <w:rPr>
          <w:szCs w:val="22"/>
          <w:lang w:val="sr-Latn-ME"/>
        </w:rPr>
        <w:t>nedjelj</w:t>
      </w:r>
      <w:r w:rsidRPr="00F24057">
        <w:rPr>
          <w:szCs w:val="22"/>
          <w:lang w:val="sr-Latn-ME"/>
        </w:rPr>
        <w:t xml:space="preserve">i, pacijenti su randomizovani 1:1, da bi primali ili standardnu dozu (40/20 mg svake druge </w:t>
      </w:r>
      <w:r w:rsidR="00885A78" w:rsidRPr="00F24057">
        <w:rPr>
          <w:szCs w:val="22"/>
          <w:lang w:val="sr-Latn-ME"/>
        </w:rPr>
        <w:t>nedjelj</w:t>
      </w:r>
      <w:r w:rsidRPr="00F24057">
        <w:rPr>
          <w:szCs w:val="22"/>
          <w:lang w:val="sr-Latn-ME"/>
        </w:rPr>
        <w:t xml:space="preserve">e) ili nisku dozu (20/10 mg svake druge </w:t>
      </w:r>
      <w:r w:rsidR="00885A78" w:rsidRPr="00F24057">
        <w:rPr>
          <w:szCs w:val="22"/>
          <w:lang w:val="sr-Latn-ME"/>
        </w:rPr>
        <w:t>nedjelj</w:t>
      </w:r>
      <w:r w:rsidRPr="00F24057">
        <w:rPr>
          <w:szCs w:val="22"/>
          <w:lang w:val="sr-Latn-ME"/>
        </w:rPr>
        <w:t xml:space="preserve">e), na osnovu </w:t>
      </w:r>
      <w:r w:rsidR="007E5568" w:rsidRPr="00F24057">
        <w:rPr>
          <w:szCs w:val="22"/>
          <w:lang w:val="sr-Latn-ME"/>
        </w:rPr>
        <w:t>tjeles</w:t>
      </w:r>
      <w:r w:rsidRPr="00F24057">
        <w:rPr>
          <w:szCs w:val="22"/>
          <w:lang w:val="sr-Latn-ME"/>
        </w:rPr>
        <w:t xml:space="preserve">ne mase, kao terapiju održavanja. Srednja </w:t>
      </w:r>
      <w:r w:rsidR="00972894" w:rsidRPr="00F24057">
        <w:rPr>
          <w:szCs w:val="22"/>
          <w:lang w:val="sr-Latn-ME"/>
        </w:rPr>
        <w:t>vrijedno</w:t>
      </w:r>
      <w:r w:rsidRPr="00F24057">
        <w:rPr>
          <w:szCs w:val="22"/>
          <w:lang w:val="sr-Latn-ME"/>
        </w:rPr>
        <w:t xml:space="preserve">st (± SD) najnižih koncentracija adalimumaba u serumu nakon 4 </w:t>
      </w:r>
      <w:r w:rsidR="00885A78" w:rsidRPr="00F24057">
        <w:rPr>
          <w:szCs w:val="22"/>
          <w:lang w:val="sr-Latn-ME"/>
        </w:rPr>
        <w:t>nedjelj</w:t>
      </w:r>
      <w:r w:rsidRPr="00F24057">
        <w:rPr>
          <w:szCs w:val="22"/>
          <w:lang w:val="sr-Latn-ME"/>
        </w:rPr>
        <w:t>e bila je 15,7 ± 6,6 mikrograma/</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 xml:space="preserve">kod pacijenata sa </w:t>
      </w:r>
      <w:r w:rsidR="007E5568" w:rsidRPr="00F24057">
        <w:rPr>
          <w:szCs w:val="22"/>
          <w:lang w:val="sr-Latn-ME"/>
        </w:rPr>
        <w:t>tjeles</w:t>
      </w:r>
      <w:r w:rsidRPr="00F24057">
        <w:rPr>
          <w:szCs w:val="22"/>
          <w:lang w:val="sr-Latn-ME"/>
        </w:rPr>
        <w:t>nom masom ≥40 kg (160/80 mg), i 10,6 ± 6,1</w:t>
      </w:r>
      <w:r w:rsidR="001E5308" w:rsidRPr="00F24057">
        <w:rPr>
          <w:szCs w:val="22"/>
          <w:lang w:val="sr-Latn-ME"/>
        </w:rPr>
        <w:t xml:space="preserve"> </w:t>
      </w:r>
      <w:r w:rsidRPr="00F24057">
        <w:rPr>
          <w:szCs w:val="22"/>
          <w:lang w:val="sr-Latn-ME"/>
        </w:rPr>
        <w:t>mikrograma/</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 xml:space="preserve">kod pacijenata sa </w:t>
      </w:r>
      <w:r w:rsidR="007E5568" w:rsidRPr="00F24057">
        <w:rPr>
          <w:szCs w:val="22"/>
          <w:lang w:val="sr-Latn-ME"/>
        </w:rPr>
        <w:t>tjeles</w:t>
      </w:r>
      <w:r w:rsidRPr="00F24057">
        <w:rPr>
          <w:szCs w:val="22"/>
          <w:lang w:val="sr-Latn-ME"/>
        </w:rPr>
        <w:t>nom masom &lt; 40 kg (80/40 mg).</w:t>
      </w:r>
    </w:p>
    <w:p w14:paraId="5E97572B" w14:textId="77777777" w:rsidR="005C22ED" w:rsidRPr="00F24057" w:rsidRDefault="005C22ED" w:rsidP="00D70B34">
      <w:pPr>
        <w:ind w:left="-5"/>
        <w:rPr>
          <w:szCs w:val="22"/>
          <w:lang w:val="sr-Latn-ME"/>
        </w:rPr>
      </w:pPr>
    </w:p>
    <w:p w14:paraId="4474CD73" w14:textId="203AE6F9" w:rsidR="00496CF6" w:rsidRPr="00F24057" w:rsidRDefault="00496CF6" w:rsidP="00D70B34">
      <w:pPr>
        <w:ind w:left="-5"/>
        <w:rPr>
          <w:szCs w:val="22"/>
          <w:lang w:val="sr-Latn-ME"/>
        </w:rPr>
      </w:pPr>
      <w:r w:rsidRPr="00F24057">
        <w:rPr>
          <w:szCs w:val="22"/>
          <w:lang w:val="sr-Latn-ME"/>
        </w:rPr>
        <w:lastRenderedPageBreak/>
        <w:t xml:space="preserve">Kod pacijenata koji su ostali na svojoj randomizovanoj terapiji, </w:t>
      </w:r>
      <w:r w:rsidR="00972894" w:rsidRPr="00F24057">
        <w:rPr>
          <w:szCs w:val="22"/>
          <w:lang w:val="sr-Latn-ME"/>
        </w:rPr>
        <w:t>prosje</w:t>
      </w:r>
      <w:r w:rsidRPr="00F24057">
        <w:rPr>
          <w:szCs w:val="22"/>
          <w:lang w:val="sr-Latn-ME"/>
        </w:rPr>
        <w:t xml:space="preserve">čne koncentracije (± SD) adalimumaba u serumu nakon 52 </w:t>
      </w:r>
      <w:r w:rsidR="00885A78" w:rsidRPr="00F24057">
        <w:rPr>
          <w:szCs w:val="22"/>
          <w:lang w:val="sr-Latn-ME"/>
        </w:rPr>
        <w:t>nedjelj</w:t>
      </w:r>
      <w:r w:rsidRPr="00F24057">
        <w:rPr>
          <w:szCs w:val="22"/>
          <w:lang w:val="sr-Latn-ME"/>
        </w:rPr>
        <w:t>e bile su 9,5 ± 5,6 mikrograma/</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u grupi koja je primala standardnu dozu, i 3,5 ± 2,2 mikrograma/</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 xml:space="preserve">u grupi koja je primala nisku dozu. </w:t>
      </w:r>
      <w:r w:rsidR="00972894" w:rsidRPr="00F24057">
        <w:rPr>
          <w:szCs w:val="22"/>
          <w:lang w:val="sr-Latn-ME"/>
        </w:rPr>
        <w:t>Prosje</w:t>
      </w:r>
      <w:r w:rsidRPr="00F24057">
        <w:rPr>
          <w:szCs w:val="22"/>
          <w:lang w:val="sr-Latn-ME"/>
        </w:rPr>
        <w:t xml:space="preserve">čne koncentracije su održane kod pacijenata koji su nastavili da primaju adalimumab terapiju svake druge </w:t>
      </w:r>
      <w:r w:rsidR="00885A78" w:rsidRPr="00F24057">
        <w:rPr>
          <w:szCs w:val="22"/>
          <w:lang w:val="sr-Latn-ME"/>
        </w:rPr>
        <w:t>nedjelj</w:t>
      </w:r>
      <w:r w:rsidRPr="00F24057">
        <w:rPr>
          <w:szCs w:val="22"/>
          <w:lang w:val="sr-Latn-ME"/>
        </w:rPr>
        <w:t xml:space="preserve">e tokom 52 </w:t>
      </w:r>
      <w:r w:rsidR="00885A78" w:rsidRPr="00F24057">
        <w:rPr>
          <w:szCs w:val="22"/>
          <w:lang w:val="sr-Latn-ME"/>
        </w:rPr>
        <w:t>nedjelj</w:t>
      </w:r>
      <w:r w:rsidRPr="00F24057">
        <w:rPr>
          <w:szCs w:val="22"/>
          <w:lang w:val="sr-Latn-ME"/>
        </w:rPr>
        <w:t xml:space="preserve">e. Kod pacijenata kod kojih je doza povećana sa svake </w:t>
      </w:r>
      <w:r w:rsidR="009A3407" w:rsidRPr="00F24057">
        <w:rPr>
          <w:szCs w:val="22"/>
          <w:lang w:val="sr-Latn-ME"/>
        </w:rPr>
        <w:t xml:space="preserve">dvije </w:t>
      </w:r>
      <w:r w:rsidR="00885A78" w:rsidRPr="00F24057">
        <w:rPr>
          <w:szCs w:val="22"/>
          <w:lang w:val="sr-Latn-ME"/>
        </w:rPr>
        <w:t>nedjelj</w:t>
      </w:r>
      <w:r w:rsidRPr="00F24057">
        <w:rPr>
          <w:szCs w:val="22"/>
          <w:lang w:val="sr-Latn-ME"/>
        </w:rPr>
        <w:t xml:space="preserve">e na svaku </w:t>
      </w:r>
      <w:r w:rsidR="00885A78" w:rsidRPr="00F24057">
        <w:rPr>
          <w:szCs w:val="22"/>
          <w:lang w:val="sr-Latn-ME"/>
        </w:rPr>
        <w:t>nedjelj</w:t>
      </w:r>
      <w:r w:rsidRPr="00F24057">
        <w:rPr>
          <w:szCs w:val="22"/>
          <w:lang w:val="sr-Latn-ME"/>
        </w:rPr>
        <w:t xml:space="preserve">u, </w:t>
      </w:r>
      <w:r w:rsidR="00972894" w:rsidRPr="00F24057">
        <w:rPr>
          <w:szCs w:val="22"/>
          <w:lang w:val="sr-Latn-ME"/>
        </w:rPr>
        <w:t>prosje</w:t>
      </w:r>
      <w:r w:rsidRPr="00F24057">
        <w:rPr>
          <w:szCs w:val="22"/>
          <w:lang w:val="sr-Latn-ME"/>
        </w:rPr>
        <w:t xml:space="preserve">čna koncentracija (± SD) adalimumaba u serumu nakon 52 </w:t>
      </w:r>
      <w:r w:rsidR="00885A78" w:rsidRPr="00F24057">
        <w:rPr>
          <w:szCs w:val="22"/>
          <w:lang w:val="sr-Latn-ME"/>
        </w:rPr>
        <w:t>nedjelj</w:t>
      </w:r>
      <w:r w:rsidRPr="00F24057">
        <w:rPr>
          <w:szCs w:val="22"/>
          <w:lang w:val="sr-Latn-ME"/>
        </w:rPr>
        <w:t>e bila je 15,3 ± 11,4 mikrograma/</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 xml:space="preserve">(40/20 mg </w:t>
      </w:r>
      <w:r w:rsidR="00885A78" w:rsidRPr="00F24057">
        <w:rPr>
          <w:szCs w:val="22"/>
          <w:lang w:val="sr-Latn-ME"/>
        </w:rPr>
        <w:t>nedjelj</w:t>
      </w:r>
      <w:r w:rsidRPr="00F24057">
        <w:rPr>
          <w:szCs w:val="22"/>
          <w:lang w:val="sr-Latn-ME"/>
        </w:rPr>
        <w:t>no) i 6,7 ± 3,5 mikrograma/</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 xml:space="preserve">(20/10 mg </w:t>
      </w:r>
      <w:r w:rsidR="00885A78" w:rsidRPr="00F24057">
        <w:rPr>
          <w:szCs w:val="22"/>
          <w:lang w:val="sr-Latn-ME"/>
        </w:rPr>
        <w:t>nedjelj</w:t>
      </w:r>
      <w:r w:rsidRPr="00F24057">
        <w:rPr>
          <w:szCs w:val="22"/>
          <w:lang w:val="sr-Latn-ME"/>
        </w:rPr>
        <w:t xml:space="preserve">no). </w:t>
      </w:r>
    </w:p>
    <w:p w14:paraId="3B140337" w14:textId="77777777" w:rsidR="005C22ED" w:rsidRPr="00F24057" w:rsidRDefault="005C22ED" w:rsidP="00D70B34">
      <w:pPr>
        <w:ind w:left="-5"/>
        <w:rPr>
          <w:szCs w:val="22"/>
          <w:lang w:val="sr-Latn-ME"/>
        </w:rPr>
      </w:pPr>
    </w:p>
    <w:p w14:paraId="4FFA8ACB" w14:textId="4E7B1CBE" w:rsidR="00496CF6" w:rsidRPr="00F24057" w:rsidRDefault="00496CF6" w:rsidP="00D70B34">
      <w:pPr>
        <w:ind w:left="-5"/>
        <w:rPr>
          <w:szCs w:val="22"/>
          <w:lang w:val="sr-Latn-ME"/>
        </w:rPr>
      </w:pPr>
      <w:r w:rsidRPr="00F24057">
        <w:rPr>
          <w:szCs w:val="22"/>
          <w:lang w:val="sr-Latn-ME"/>
        </w:rPr>
        <w:t xml:space="preserve">Tokom perioda indukcije kod pacijenata sa ulceroznim kolitisom nakon udarne doze od 160 mg adalimumaba </w:t>
      </w:r>
      <w:r w:rsidR="008F03B4" w:rsidRPr="00F24057">
        <w:rPr>
          <w:szCs w:val="22"/>
          <w:lang w:val="sr-Latn-ME"/>
        </w:rPr>
        <w:t xml:space="preserve">u početnoj </w:t>
      </w:r>
      <w:r w:rsidR="00885A78" w:rsidRPr="00F24057">
        <w:rPr>
          <w:szCs w:val="22"/>
          <w:lang w:val="sr-Latn-ME"/>
        </w:rPr>
        <w:t>nedjelj</w:t>
      </w:r>
      <w:r w:rsidR="008F03B4" w:rsidRPr="00F24057">
        <w:rPr>
          <w:szCs w:val="22"/>
          <w:lang w:val="sr-Latn-ME"/>
        </w:rPr>
        <w:t xml:space="preserve">i (označena kao nulta </w:t>
      </w:r>
      <w:r w:rsidR="00885A78" w:rsidRPr="00F24057">
        <w:rPr>
          <w:szCs w:val="22"/>
          <w:lang w:val="sr-Latn-ME"/>
        </w:rPr>
        <w:t>nedjelj</w:t>
      </w:r>
      <w:r w:rsidR="008F03B4" w:rsidRPr="00F24057">
        <w:rPr>
          <w:szCs w:val="22"/>
          <w:lang w:val="sr-Latn-ME"/>
        </w:rPr>
        <w:t xml:space="preserve">a, </w:t>
      </w:r>
      <w:r w:rsidR="008F03B4" w:rsidRPr="00F24057">
        <w:rPr>
          <w:i/>
          <w:iCs/>
          <w:szCs w:val="22"/>
          <w:lang w:val="sr-Latn-ME"/>
        </w:rPr>
        <w:t>Week 0</w:t>
      </w:r>
      <w:r w:rsidR="008F03B4" w:rsidRPr="00F24057">
        <w:rPr>
          <w:szCs w:val="22"/>
          <w:lang w:val="sr-Latn-ME"/>
        </w:rPr>
        <w:t xml:space="preserve">) </w:t>
      </w:r>
      <w:r w:rsidRPr="00F24057">
        <w:rPr>
          <w:szCs w:val="22"/>
          <w:lang w:val="sr-Latn-ME"/>
        </w:rPr>
        <w:t xml:space="preserve">i druge doze od 80 mg adalimumaba u drugoj </w:t>
      </w:r>
      <w:r w:rsidR="00885A78" w:rsidRPr="00F24057">
        <w:rPr>
          <w:szCs w:val="22"/>
          <w:lang w:val="sr-Latn-ME"/>
        </w:rPr>
        <w:t>nedjelj</w:t>
      </w:r>
      <w:r w:rsidRPr="00F24057">
        <w:rPr>
          <w:szCs w:val="22"/>
          <w:lang w:val="sr-Latn-ME"/>
        </w:rPr>
        <w:t>i postignute su najniže koncentracije adalimumaba u serumu od oko 12 mikrograma/m</w:t>
      </w:r>
      <w:r w:rsidR="00E9287A" w:rsidRPr="00F24057">
        <w:rPr>
          <w:szCs w:val="22"/>
          <w:lang w:val="sr-Latn-ME"/>
        </w:rPr>
        <w:t>l</w:t>
      </w:r>
      <w:r w:rsidRPr="00F24057">
        <w:rPr>
          <w:szCs w:val="22"/>
          <w:lang w:val="sr-Latn-ME"/>
        </w:rPr>
        <w:t xml:space="preserve">. Kod pacijenata sa ulceroznim kolitisom koji su primali terapiju održavanja dozom od 40 mg svake druge </w:t>
      </w:r>
      <w:r w:rsidR="00885A78" w:rsidRPr="00F24057">
        <w:rPr>
          <w:szCs w:val="22"/>
          <w:lang w:val="sr-Latn-ME"/>
        </w:rPr>
        <w:t>nedjelj</w:t>
      </w:r>
      <w:r w:rsidRPr="00F24057">
        <w:rPr>
          <w:szCs w:val="22"/>
          <w:lang w:val="sr-Latn-ME"/>
        </w:rPr>
        <w:t xml:space="preserve">e, srednja </w:t>
      </w:r>
      <w:r w:rsidR="00972894" w:rsidRPr="00F24057">
        <w:rPr>
          <w:szCs w:val="22"/>
          <w:lang w:val="sr-Latn-ME"/>
        </w:rPr>
        <w:t>vrijedno</w:t>
      </w:r>
      <w:r w:rsidRPr="00F24057">
        <w:rPr>
          <w:szCs w:val="22"/>
          <w:lang w:val="sr-Latn-ME"/>
        </w:rPr>
        <w:t>st najniže koncentracije adalimumaba u serumu u stanju dinamičke ravnoteže iznosila je oko 8 mikrograma/m</w:t>
      </w:r>
      <w:r w:rsidR="00E9287A" w:rsidRPr="00F24057">
        <w:rPr>
          <w:szCs w:val="22"/>
          <w:lang w:val="sr-Latn-ME"/>
        </w:rPr>
        <w:t>l</w:t>
      </w:r>
      <w:r w:rsidRPr="00F24057">
        <w:rPr>
          <w:szCs w:val="22"/>
          <w:lang w:val="sr-Latn-ME"/>
        </w:rPr>
        <w:t xml:space="preserve">. </w:t>
      </w:r>
    </w:p>
    <w:p w14:paraId="20A40B95" w14:textId="664BB668" w:rsidR="00496CF6" w:rsidRPr="00F24057" w:rsidRDefault="00496CF6" w:rsidP="00D70B34">
      <w:pPr>
        <w:ind w:left="-5"/>
        <w:rPr>
          <w:szCs w:val="22"/>
          <w:lang w:val="sr-Latn-ME"/>
        </w:rPr>
      </w:pPr>
    </w:p>
    <w:p w14:paraId="01A1A633" w14:textId="04103AAC" w:rsidR="003F2C9B" w:rsidRPr="00F24057" w:rsidRDefault="00D909E1" w:rsidP="00D70B34">
      <w:pPr>
        <w:ind w:left="-5"/>
        <w:rPr>
          <w:szCs w:val="22"/>
          <w:lang w:val="sr-Latn-ME"/>
        </w:rPr>
      </w:pPr>
      <w:r w:rsidRPr="00F24057">
        <w:rPr>
          <w:szCs w:val="22"/>
          <w:lang w:val="sr-Latn-ME"/>
        </w:rPr>
        <w:t xml:space="preserve">Nakon </w:t>
      </w:r>
      <w:r w:rsidR="005B6DBC" w:rsidRPr="00F24057">
        <w:rPr>
          <w:szCs w:val="22"/>
          <w:lang w:val="sr-Latn-ME"/>
        </w:rPr>
        <w:t>supkutane</w:t>
      </w:r>
      <w:r w:rsidRPr="00F24057">
        <w:rPr>
          <w:szCs w:val="22"/>
          <w:lang w:val="sr-Latn-ME"/>
        </w:rPr>
        <w:t xml:space="preserve"> </w:t>
      </w:r>
      <w:r w:rsidR="0030064A" w:rsidRPr="00F24057">
        <w:rPr>
          <w:szCs w:val="22"/>
          <w:lang w:val="sr-Latn-ME"/>
        </w:rPr>
        <w:t>primjen</w:t>
      </w:r>
      <w:r w:rsidRPr="00F24057">
        <w:rPr>
          <w:szCs w:val="22"/>
          <w:lang w:val="sr-Latn-ME"/>
        </w:rPr>
        <w:t xml:space="preserve">e doze </w:t>
      </w:r>
      <w:r w:rsidR="006B6F98" w:rsidRPr="00F24057">
        <w:rPr>
          <w:szCs w:val="22"/>
          <w:lang w:val="sr-Latn-ME"/>
        </w:rPr>
        <w:t>prilago</w:t>
      </w:r>
      <w:r w:rsidR="00205153" w:rsidRPr="00F24057">
        <w:rPr>
          <w:szCs w:val="22"/>
          <w:lang w:val="sr-Latn-ME"/>
        </w:rPr>
        <w:t>đ</w:t>
      </w:r>
      <w:r w:rsidR="006B6F98" w:rsidRPr="00F24057">
        <w:rPr>
          <w:szCs w:val="22"/>
          <w:lang w:val="sr-Latn-ME"/>
        </w:rPr>
        <w:t>en</w:t>
      </w:r>
      <w:r w:rsidRPr="00F24057">
        <w:rPr>
          <w:szCs w:val="22"/>
          <w:lang w:val="sr-Latn-ME"/>
        </w:rPr>
        <w:t xml:space="preserve">e </w:t>
      </w:r>
      <w:r w:rsidR="007E5568" w:rsidRPr="00F24057">
        <w:rPr>
          <w:szCs w:val="22"/>
          <w:lang w:val="sr-Latn-ME"/>
        </w:rPr>
        <w:t>tjeles</w:t>
      </w:r>
      <w:r w:rsidRPr="00F24057">
        <w:rPr>
          <w:szCs w:val="22"/>
          <w:lang w:val="sr-Latn-ME"/>
        </w:rPr>
        <w:t xml:space="preserve">noj </w:t>
      </w:r>
      <w:r w:rsidR="008C1DC3" w:rsidRPr="00F24057">
        <w:rPr>
          <w:szCs w:val="22"/>
          <w:lang w:val="sr-Latn-ME"/>
        </w:rPr>
        <w:t xml:space="preserve">masi </w:t>
      </w:r>
      <w:r w:rsidRPr="00F24057">
        <w:rPr>
          <w:szCs w:val="22"/>
          <w:lang w:val="sr-Latn-ME"/>
        </w:rPr>
        <w:t xml:space="preserve">od 0,6 mg/kg (maksimalno 40 mg) svake druge </w:t>
      </w:r>
      <w:r w:rsidR="00885A78" w:rsidRPr="00F24057">
        <w:rPr>
          <w:szCs w:val="22"/>
          <w:lang w:val="sr-Latn-ME"/>
        </w:rPr>
        <w:t>nedjelj</w:t>
      </w:r>
      <w:r w:rsidRPr="00F24057">
        <w:rPr>
          <w:szCs w:val="22"/>
          <w:lang w:val="sr-Latn-ME"/>
        </w:rPr>
        <w:t xml:space="preserve">e pedijatrijskim pacijentima sa ulceroznim kolitisom, srednja </w:t>
      </w:r>
      <w:r w:rsidR="006225FD" w:rsidRPr="00F24057">
        <w:rPr>
          <w:szCs w:val="22"/>
          <w:lang w:val="sr-Latn-ME"/>
        </w:rPr>
        <w:t>minimalna</w:t>
      </w:r>
      <w:r w:rsidRPr="00F24057">
        <w:rPr>
          <w:szCs w:val="22"/>
          <w:lang w:val="sr-Latn-ME"/>
        </w:rPr>
        <w:t xml:space="preserve"> koncentracija adalimumaba </w:t>
      </w:r>
      <w:r w:rsidR="002249CF" w:rsidRPr="00F24057">
        <w:rPr>
          <w:szCs w:val="22"/>
          <w:lang w:val="sr-Latn-ME"/>
        </w:rPr>
        <w:t>u stanju dinamičke ravnoteže</w:t>
      </w:r>
      <w:r w:rsidRPr="00F24057">
        <w:rPr>
          <w:szCs w:val="22"/>
          <w:lang w:val="sr-Latn-ME"/>
        </w:rPr>
        <w:t xml:space="preserve"> u serumu bila je 5,01±3,28 mg/</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 xml:space="preserve">u 52. </w:t>
      </w:r>
      <w:r w:rsidR="00885A78" w:rsidRPr="00F24057">
        <w:rPr>
          <w:szCs w:val="22"/>
          <w:lang w:val="sr-Latn-ME"/>
        </w:rPr>
        <w:t>nedjelj</w:t>
      </w:r>
      <w:r w:rsidRPr="00F24057">
        <w:rPr>
          <w:szCs w:val="22"/>
          <w:lang w:val="sr-Latn-ME"/>
        </w:rPr>
        <w:t xml:space="preserve">i. Za pacijente koji su primali 0,6 mg/kg (maksimalno 40 mg) svake </w:t>
      </w:r>
      <w:r w:rsidR="00885A78" w:rsidRPr="00F24057">
        <w:rPr>
          <w:szCs w:val="22"/>
          <w:lang w:val="sr-Latn-ME"/>
        </w:rPr>
        <w:t>nedjelj</w:t>
      </w:r>
      <w:r w:rsidRPr="00F24057">
        <w:rPr>
          <w:szCs w:val="22"/>
          <w:lang w:val="sr-Latn-ME"/>
        </w:rPr>
        <w:t xml:space="preserve">e, srednja (±SD) </w:t>
      </w:r>
      <w:r w:rsidR="00104248" w:rsidRPr="00F24057">
        <w:rPr>
          <w:szCs w:val="22"/>
          <w:lang w:val="sr-Latn-ME"/>
        </w:rPr>
        <w:t>minimalna</w:t>
      </w:r>
      <w:r w:rsidRPr="00F24057">
        <w:rPr>
          <w:szCs w:val="22"/>
          <w:lang w:val="sr-Latn-ME"/>
        </w:rPr>
        <w:t xml:space="preserve"> koncentracija adalimumaba </w:t>
      </w:r>
      <w:r w:rsidR="00104248" w:rsidRPr="00F24057">
        <w:rPr>
          <w:szCs w:val="22"/>
          <w:lang w:val="sr-Latn-ME"/>
        </w:rPr>
        <w:t>u stanju dinamičke ravnoteže</w:t>
      </w:r>
      <w:r w:rsidRPr="00F24057">
        <w:rPr>
          <w:szCs w:val="22"/>
          <w:lang w:val="sr-Latn-ME"/>
        </w:rPr>
        <w:t xml:space="preserve"> u serumu bila je 15,7±5,60 mg/</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 xml:space="preserve">u 52. </w:t>
      </w:r>
      <w:r w:rsidR="00885A78" w:rsidRPr="00F24057">
        <w:rPr>
          <w:szCs w:val="22"/>
          <w:lang w:val="sr-Latn-ME"/>
        </w:rPr>
        <w:t>nedjelj</w:t>
      </w:r>
      <w:r w:rsidRPr="00F24057">
        <w:rPr>
          <w:szCs w:val="22"/>
          <w:lang w:val="sr-Latn-ME"/>
        </w:rPr>
        <w:t>i.</w:t>
      </w:r>
    </w:p>
    <w:p w14:paraId="7213CDDA" w14:textId="389F8166" w:rsidR="003F2C9B" w:rsidRPr="00F24057" w:rsidRDefault="003F2C9B" w:rsidP="00D70B34">
      <w:pPr>
        <w:ind w:left="-5"/>
        <w:rPr>
          <w:szCs w:val="22"/>
          <w:lang w:val="sr-Latn-ME"/>
        </w:rPr>
      </w:pPr>
    </w:p>
    <w:p w14:paraId="59AB7BAA" w14:textId="7DA79852" w:rsidR="00496CF6" w:rsidRPr="00F24057" w:rsidRDefault="00496CF6" w:rsidP="00D70B34">
      <w:pPr>
        <w:rPr>
          <w:szCs w:val="22"/>
          <w:lang w:val="sr-Latn-ME"/>
        </w:rPr>
      </w:pPr>
      <w:r w:rsidRPr="00F24057">
        <w:rPr>
          <w:szCs w:val="22"/>
          <w:lang w:val="sr-Latn-ME"/>
        </w:rPr>
        <w:t xml:space="preserve">Kod odraslih pacijenata sa uveitisom, udarna doza adalimumaba od 80 mg </w:t>
      </w:r>
      <w:r w:rsidR="00F14615" w:rsidRPr="00F24057">
        <w:rPr>
          <w:szCs w:val="22"/>
          <w:lang w:val="sr-Latn-ME"/>
        </w:rPr>
        <w:t xml:space="preserve">u početnoj </w:t>
      </w:r>
      <w:r w:rsidR="00885A78" w:rsidRPr="00F24057">
        <w:rPr>
          <w:szCs w:val="22"/>
          <w:lang w:val="sr-Latn-ME"/>
        </w:rPr>
        <w:t>nedjelj</w:t>
      </w:r>
      <w:r w:rsidR="00F14615" w:rsidRPr="00F24057">
        <w:rPr>
          <w:szCs w:val="22"/>
          <w:lang w:val="sr-Latn-ME"/>
        </w:rPr>
        <w:t xml:space="preserve">i (označena kao nulta </w:t>
      </w:r>
      <w:r w:rsidR="00885A78" w:rsidRPr="00F24057">
        <w:rPr>
          <w:szCs w:val="22"/>
          <w:lang w:val="sr-Latn-ME"/>
        </w:rPr>
        <w:t>nedjelj</w:t>
      </w:r>
      <w:r w:rsidR="00F14615" w:rsidRPr="00F24057">
        <w:rPr>
          <w:szCs w:val="22"/>
          <w:lang w:val="sr-Latn-ME"/>
        </w:rPr>
        <w:t xml:space="preserve">a, </w:t>
      </w:r>
      <w:r w:rsidR="00080447" w:rsidRPr="00F24057">
        <w:rPr>
          <w:i/>
          <w:iCs/>
          <w:szCs w:val="22"/>
          <w:lang w:val="sr-Latn-ME"/>
        </w:rPr>
        <w:t>Week 0</w:t>
      </w:r>
      <w:r w:rsidR="00F14615" w:rsidRPr="00F24057">
        <w:rPr>
          <w:szCs w:val="22"/>
          <w:lang w:val="sr-Latn-ME"/>
        </w:rPr>
        <w:t xml:space="preserve">), </w:t>
      </w:r>
      <w:r w:rsidRPr="00F24057">
        <w:rPr>
          <w:szCs w:val="22"/>
          <w:lang w:val="sr-Latn-ME"/>
        </w:rPr>
        <w:t xml:space="preserve">nakon čega sledi 40 mg svake druge </w:t>
      </w:r>
      <w:r w:rsidR="00885A78" w:rsidRPr="00F24057">
        <w:rPr>
          <w:szCs w:val="22"/>
          <w:lang w:val="sr-Latn-ME"/>
        </w:rPr>
        <w:t>nedjelj</w:t>
      </w:r>
      <w:r w:rsidRPr="00F24057">
        <w:rPr>
          <w:szCs w:val="22"/>
          <w:lang w:val="sr-Latn-ME"/>
        </w:rPr>
        <w:t xml:space="preserve">e, počevši od 1. </w:t>
      </w:r>
      <w:r w:rsidR="00885A78" w:rsidRPr="00F24057">
        <w:rPr>
          <w:szCs w:val="22"/>
          <w:lang w:val="sr-Latn-ME"/>
        </w:rPr>
        <w:t>nedjelj</w:t>
      </w:r>
      <w:r w:rsidRPr="00F24057">
        <w:rPr>
          <w:szCs w:val="22"/>
          <w:lang w:val="sr-Latn-ME"/>
        </w:rPr>
        <w:t xml:space="preserve">e, dovela je do srednje </w:t>
      </w:r>
      <w:r w:rsidR="00972894" w:rsidRPr="00F24057">
        <w:rPr>
          <w:szCs w:val="22"/>
          <w:lang w:val="sr-Latn-ME"/>
        </w:rPr>
        <w:t>vrijedno</w:t>
      </w:r>
      <w:r w:rsidRPr="00F24057">
        <w:rPr>
          <w:szCs w:val="22"/>
          <w:lang w:val="sr-Latn-ME"/>
        </w:rPr>
        <w:t>sti koncentracija u stanju dinamičke ravnoteže od približno 8 – 10 mikrograma/m</w:t>
      </w:r>
      <w:r w:rsidR="00E9287A" w:rsidRPr="00F24057">
        <w:rPr>
          <w:szCs w:val="22"/>
          <w:lang w:val="sr-Latn-ME"/>
        </w:rPr>
        <w:t>l</w:t>
      </w:r>
      <w:r w:rsidRPr="00F24057">
        <w:rPr>
          <w:szCs w:val="22"/>
          <w:lang w:val="sr-Latn-ME"/>
        </w:rPr>
        <w:t>.</w:t>
      </w:r>
    </w:p>
    <w:p w14:paraId="1C1836E1" w14:textId="77777777" w:rsidR="00496CF6" w:rsidRPr="00F24057" w:rsidRDefault="00496CF6" w:rsidP="00D70B34">
      <w:pPr>
        <w:ind w:left="-5"/>
        <w:rPr>
          <w:szCs w:val="22"/>
          <w:lang w:val="sr-Latn-ME"/>
        </w:rPr>
      </w:pPr>
    </w:p>
    <w:p w14:paraId="22B41482" w14:textId="6216278C" w:rsidR="00496CF6" w:rsidRPr="00F24057" w:rsidRDefault="00496CF6" w:rsidP="00D70B34">
      <w:pPr>
        <w:ind w:left="-5"/>
        <w:rPr>
          <w:szCs w:val="22"/>
          <w:lang w:val="sr-Latn-ME"/>
        </w:rPr>
      </w:pPr>
      <w:r w:rsidRPr="00F24057">
        <w:rPr>
          <w:szCs w:val="22"/>
          <w:lang w:val="sr-Latn-ME"/>
        </w:rPr>
        <w:t xml:space="preserve">Izloženost adalimumabu kod pedijatrijskih pacijenata sa uveitisom predviđena je uz pomoć populacionog farmakokinetičkog modelovanja i simulacije na osnovu farmakokinetike u drugim indikacijama kod drugih pedijatrijskih pacijenata (psorijaza kod </w:t>
      </w:r>
      <w:r w:rsidR="0030064A" w:rsidRPr="00F24057">
        <w:rPr>
          <w:szCs w:val="22"/>
          <w:lang w:val="sr-Latn-ME"/>
        </w:rPr>
        <w:t>djece</w:t>
      </w:r>
      <w:r w:rsidRPr="00F24057">
        <w:rPr>
          <w:szCs w:val="22"/>
          <w:lang w:val="sr-Latn-ME"/>
        </w:rPr>
        <w:t xml:space="preserve">, juvenilni idiopatski artritis, </w:t>
      </w:r>
      <w:r w:rsidR="00DA2306" w:rsidRPr="00F24057">
        <w:rPr>
          <w:i/>
          <w:iCs/>
          <w:szCs w:val="22"/>
          <w:lang w:val="sr-Latn-ME"/>
        </w:rPr>
        <w:t>Crohn</w:t>
      </w:r>
      <w:r w:rsidRPr="00F24057">
        <w:rPr>
          <w:szCs w:val="22"/>
          <w:lang w:val="sr-Latn-ME"/>
        </w:rPr>
        <w:t xml:space="preserve">-ova bolest kod </w:t>
      </w:r>
      <w:r w:rsidR="0030064A" w:rsidRPr="00F24057">
        <w:rPr>
          <w:szCs w:val="22"/>
          <w:lang w:val="sr-Latn-ME"/>
        </w:rPr>
        <w:t>djece</w:t>
      </w:r>
      <w:r w:rsidRPr="00F24057">
        <w:rPr>
          <w:szCs w:val="22"/>
          <w:lang w:val="sr-Latn-ME"/>
        </w:rPr>
        <w:t xml:space="preserve"> i artritis povezan sa entezitisom). Nema dostupnih kliničkih podataka o izloženosti kod </w:t>
      </w:r>
      <w:r w:rsidR="0030064A" w:rsidRPr="00F24057">
        <w:rPr>
          <w:szCs w:val="22"/>
          <w:lang w:val="sr-Latn-ME"/>
        </w:rPr>
        <w:t>primjen</w:t>
      </w:r>
      <w:r w:rsidRPr="00F24057">
        <w:rPr>
          <w:szCs w:val="22"/>
          <w:lang w:val="sr-Latn-ME"/>
        </w:rPr>
        <w:t xml:space="preserve">e </w:t>
      </w:r>
      <w:r w:rsidR="00713883" w:rsidRPr="00F24057">
        <w:rPr>
          <w:szCs w:val="22"/>
          <w:lang w:val="sr-Latn-ME"/>
        </w:rPr>
        <w:t xml:space="preserve">udarne </w:t>
      </w:r>
      <w:r w:rsidRPr="00F24057">
        <w:rPr>
          <w:szCs w:val="22"/>
          <w:lang w:val="sr-Latn-ME"/>
        </w:rPr>
        <w:t xml:space="preserve">doze kod </w:t>
      </w:r>
      <w:r w:rsidR="0030064A" w:rsidRPr="00F24057">
        <w:rPr>
          <w:szCs w:val="22"/>
          <w:lang w:val="sr-Latn-ME"/>
        </w:rPr>
        <w:t>djece</w:t>
      </w:r>
      <w:r w:rsidRPr="00F24057">
        <w:rPr>
          <w:szCs w:val="22"/>
          <w:lang w:val="sr-Latn-ME"/>
        </w:rPr>
        <w:t xml:space="preserve"> uzrasta &lt; 6 godina. Predviđene izloženosti ukazuju na to da u odsutnosti metotreksata udarna doza može dovesti do početnog povećanja sistemske izloženosti.</w:t>
      </w:r>
    </w:p>
    <w:p w14:paraId="1A0FF97F" w14:textId="77777777" w:rsidR="00496CF6" w:rsidRPr="00F24057" w:rsidRDefault="00496CF6" w:rsidP="00D70B34">
      <w:pPr>
        <w:ind w:left="-5"/>
        <w:rPr>
          <w:szCs w:val="22"/>
          <w:lang w:val="sr-Latn-ME"/>
        </w:rPr>
      </w:pPr>
    </w:p>
    <w:p w14:paraId="71837A58" w14:textId="28ECFC3D" w:rsidR="00496CF6" w:rsidRPr="00F24057" w:rsidRDefault="00496CF6" w:rsidP="00D70B34">
      <w:pPr>
        <w:ind w:left="-5"/>
        <w:rPr>
          <w:szCs w:val="22"/>
          <w:lang w:val="sr-Latn-ME"/>
        </w:rPr>
      </w:pPr>
      <w:r w:rsidRPr="00F24057">
        <w:rPr>
          <w:szCs w:val="22"/>
          <w:lang w:val="sr-Latn-ME"/>
        </w:rPr>
        <w:t xml:space="preserve">Populacionim farmakokinetičkim i farmakokinetičkim/farmakodinamskim modelovanjem i simulacijom predviđena je uporediva izloženost adalimumabu i efikasnost kod pacijenata </w:t>
      </w:r>
      <w:r w:rsidR="00885A78" w:rsidRPr="00F24057">
        <w:rPr>
          <w:szCs w:val="22"/>
          <w:lang w:val="sr-Latn-ME"/>
        </w:rPr>
        <w:t>liječe</w:t>
      </w:r>
      <w:r w:rsidRPr="00F24057">
        <w:rPr>
          <w:szCs w:val="22"/>
          <w:lang w:val="sr-Latn-ME"/>
        </w:rPr>
        <w:t xml:space="preserve">nih sa 80 mg svake druge </w:t>
      </w:r>
      <w:r w:rsidR="00885A78" w:rsidRPr="00F24057">
        <w:rPr>
          <w:szCs w:val="22"/>
          <w:lang w:val="sr-Latn-ME"/>
        </w:rPr>
        <w:t>nedjelj</w:t>
      </w:r>
      <w:r w:rsidRPr="00F24057">
        <w:rPr>
          <w:szCs w:val="22"/>
          <w:lang w:val="sr-Latn-ME"/>
        </w:rPr>
        <w:t xml:space="preserve">e i onih </w:t>
      </w:r>
      <w:r w:rsidR="00885A78" w:rsidRPr="00F24057">
        <w:rPr>
          <w:szCs w:val="22"/>
          <w:lang w:val="sr-Latn-ME"/>
        </w:rPr>
        <w:t>liječe</w:t>
      </w:r>
      <w:r w:rsidRPr="00F24057">
        <w:rPr>
          <w:szCs w:val="22"/>
          <w:lang w:val="sr-Latn-ME"/>
        </w:rPr>
        <w:t xml:space="preserve">nih sa 40 mg svake </w:t>
      </w:r>
      <w:r w:rsidR="00885A78" w:rsidRPr="00F24057">
        <w:rPr>
          <w:szCs w:val="22"/>
          <w:lang w:val="sr-Latn-ME"/>
        </w:rPr>
        <w:t>nedjelj</w:t>
      </w:r>
      <w:r w:rsidRPr="00F24057">
        <w:rPr>
          <w:szCs w:val="22"/>
          <w:lang w:val="sr-Latn-ME"/>
        </w:rPr>
        <w:t xml:space="preserve">e (uključujući odrasle pacijente s reumatoidnim artritisom, gnojnim zapaljenjem znojnih </w:t>
      </w:r>
      <w:r w:rsidR="009A3407" w:rsidRPr="00F24057">
        <w:rPr>
          <w:szCs w:val="22"/>
          <w:lang w:val="sr-Latn-ME"/>
        </w:rPr>
        <w:t>žlijezd</w:t>
      </w:r>
      <w:r w:rsidRPr="00F24057">
        <w:rPr>
          <w:szCs w:val="22"/>
          <w:lang w:val="sr-Latn-ME"/>
        </w:rPr>
        <w:t xml:space="preserve">a, ulceroznim kolitisom, </w:t>
      </w:r>
      <w:r w:rsidR="00DA2306" w:rsidRPr="00F24057">
        <w:rPr>
          <w:i/>
          <w:iCs/>
          <w:szCs w:val="22"/>
          <w:lang w:val="sr-Latn-ME"/>
        </w:rPr>
        <w:t>Crohn</w:t>
      </w:r>
      <w:r w:rsidRPr="00F24057">
        <w:rPr>
          <w:szCs w:val="22"/>
          <w:lang w:val="sr-Latn-ME"/>
        </w:rPr>
        <w:t xml:space="preserve">-ovom bolešću ili psorijazom, pacijente sa adolescentnim gnojnim zapaljenjem znojnih </w:t>
      </w:r>
      <w:r w:rsidR="009A3407" w:rsidRPr="00F24057">
        <w:rPr>
          <w:szCs w:val="22"/>
          <w:lang w:val="sr-Latn-ME"/>
        </w:rPr>
        <w:t>žlijezd</w:t>
      </w:r>
      <w:r w:rsidRPr="00F24057">
        <w:rPr>
          <w:szCs w:val="22"/>
          <w:lang w:val="sr-Latn-ME"/>
        </w:rPr>
        <w:t xml:space="preserve">a, i pedijatrijske pacijente ≥ 40 kg sa </w:t>
      </w:r>
      <w:r w:rsidR="00DA2306" w:rsidRPr="00F24057">
        <w:rPr>
          <w:i/>
          <w:iCs/>
          <w:szCs w:val="22"/>
          <w:lang w:val="sr-Latn-ME"/>
        </w:rPr>
        <w:t>Crohn</w:t>
      </w:r>
      <w:r w:rsidRPr="00F24057">
        <w:rPr>
          <w:szCs w:val="22"/>
          <w:lang w:val="sr-Latn-ME"/>
        </w:rPr>
        <w:t>-ovom bolešću).</w:t>
      </w:r>
    </w:p>
    <w:p w14:paraId="2CC3874F" w14:textId="77777777" w:rsidR="00D70734" w:rsidRPr="00F24057" w:rsidRDefault="00D70734" w:rsidP="00D70B34">
      <w:pPr>
        <w:ind w:left="-5"/>
        <w:rPr>
          <w:szCs w:val="22"/>
          <w:lang w:val="sr-Latn-ME"/>
        </w:rPr>
      </w:pPr>
    </w:p>
    <w:p w14:paraId="5BF967DF" w14:textId="71E34118" w:rsidR="00496CF6" w:rsidRPr="00F24057" w:rsidRDefault="00496CF6" w:rsidP="00D70B34">
      <w:pPr>
        <w:ind w:left="-5"/>
        <w:rPr>
          <w:szCs w:val="22"/>
          <w:u w:val="single"/>
          <w:lang w:val="sr-Latn-ME"/>
        </w:rPr>
      </w:pPr>
      <w:r w:rsidRPr="00F24057">
        <w:rPr>
          <w:szCs w:val="22"/>
          <w:u w:val="single"/>
          <w:lang w:val="sr-Latn-ME"/>
        </w:rPr>
        <w:t>Veza između izloženosti i odgovora na terapiju u pedijatrijskoj populaciji</w:t>
      </w:r>
    </w:p>
    <w:p w14:paraId="36452C42" w14:textId="77777777" w:rsidR="00496CF6" w:rsidRPr="00F24057" w:rsidRDefault="00496CF6" w:rsidP="00D70B34">
      <w:pPr>
        <w:ind w:left="-5"/>
        <w:rPr>
          <w:szCs w:val="22"/>
          <w:lang w:val="sr-Latn-ME"/>
        </w:rPr>
      </w:pPr>
    </w:p>
    <w:p w14:paraId="0A12B10E" w14:textId="7EA24F0E" w:rsidR="00496CF6" w:rsidRPr="00F24057" w:rsidRDefault="00496CF6" w:rsidP="00D70B34">
      <w:pPr>
        <w:ind w:left="-5"/>
        <w:rPr>
          <w:szCs w:val="22"/>
          <w:lang w:val="sr-Latn-ME"/>
        </w:rPr>
      </w:pPr>
      <w:r w:rsidRPr="00F24057">
        <w:rPr>
          <w:szCs w:val="22"/>
          <w:lang w:val="sr-Latn-ME"/>
        </w:rPr>
        <w:t>Na osnovu podataka iz kliničkih studija kod pacijenata sa juvenilnim idiopatskim artritisom (poliartikularnim juvenilnim idiopatskim artritisom i artritisom povezanim sa entezitisom), utvrđena je veza između plazmatskih koncentracija i odgovora PedACR 50. Prividna plazmatska koncentracija adalimumaba uz koju se postiže polovina maksimalne v</w:t>
      </w:r>
      <w:r w:rsidR="00FF3128" w:rsidRPr="00F24057">
        <w:rPr>
          <w:szCs w:val="22"/>
          <w:lang w:val="sr-Latn-ME"/>
        </w:rPr>
        <w:t>j</w:t>
      </w:r>
      <w:r w:rsidRPr="00F24057">
        <w:rPr>
          <w:szCs w:val="22"/>
          <w:lang w:val="sr-Latn-ME"/>
        </w:rPr>
        <w:t>erovatnoće za odgovor PedACR 50 (EC50) bila je 3 mikrograma/</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(95% CI: 1 - 6 mikrograma/m</w:t>
      </w:r>
      <w:r w:rsidR="00E9287A" w:rsidRPr="00F24057">
        <w:rPr>
          <w:szCs w:val="22"/>
          <w:lang w:val="sr-Latn-ME"/>
        </w:rPr>
        <w:t>l</w:t>
      </w:r>
      <w:r w:rsidRPr="00F24057">
        <w:rPr>
          <w:szCs w:val="22"/>
          <w:lang w:val="sr-Latn-ME"/>
        </w:rPr>
        <w:t>).</w:t>
      </w:r>
    </w:p>
    <w:p w14:paraId="26235A9A" w14:textId="59767F6E" w:rsidR="008B4BBC" w:rsidRPr="00F24057" w:rsidRDefault="008B4BBC" w:rsidP="00D70B34">
      <w:pPr>
        <w:rPr>
          <w:szCs w:val="22"/>
          <w:lang w:val="sr-Latn-ME"/>
        </w:rPr>
      </w:pPr>
    </w:p>
    <w:p w14:paraId="461F105E" w14:textId="33BFB8BC" w:rsidR="008B221E" w:rsidRPr="00F24057" w:rsidRDefault="008B221E" w:rsidP="00D70B34">
      <w:pPr>
        <w:rPr>
          <w:szCs w:val="22"/>
          <w:lang w:val="sr-Latn-ME"/>
        </w:rPr>
      </w:pPr>
      <w:r w:rsidRPr="00F24057">
        <w:rPr>
          <w:szCs w:val="22"/>
          <w:lang w:val="sr-Latn-ME"/>
        </w:rPr>
        <w:t xml:space="preserve">Veza između izloženosti i odgovora na </w:t>
      </w:r>
      <w:r w:rsidR="0030064A" w:rsidRPr="00F24057">
        <w:rPr>
          <w:szCs w:val="22"/>
          <w:lang w:val="sr-Latn-ME"/>
        </w:rPr>
        <w:t>liječenje</w:t>
      </w:r>
      <w:r w:rsidRPr="00F24057">
        <w:rPr>
          <w:szCs w:val="22"/>
          <w:lang w:val="sr-Latn-ME"/>
        </w:rPr>
        <w:t xml:space="preserve"> između koncentracije adalimumaba i njegove efikasnosti kod pedijatrijskih pacijenata sa teškom hroničnom plak psorijazom utvrđena je za odgovor PASI 75 i PGA rezultat 'bez bolesti' ili 'minimalno'. Sa povećanjem koncentracija adalimumaba povećavale su se i stope odgovora PASI 75 i PGA rezultata 'bez bolesti' ili 'minimalno' u oba slučaja uz sličan prividan EC50 od približno 4,5 mikrograma/</w:t>
      </w:r>
      <w:r w:rsidR="006E2502" w:rsidRPr="00F24057">
        <w:rPr>
          <w:szCs w:val="22"/>
          <w:lang w:val="sr-Latn-ME"/>
        </w:rPr>
        <w:t>m</w:t>
      </w:r>
      <w:r w:rsidR="00E9287A" w:rsidRPr="00F24057">
        <w:rPr>
          <w:szCs w:val="22"/>
          <w:lang w:val="sr-Latn-ME"/>
        </w:rPr>
        <w:t>l</w:t>
      </w:r>
      <w:r w:rsidR="006E2502" w:rsidRPr="00F24057">
        <w:rPr>
          <w:szCs w:val="22"/>
          <w:lang w:val="sr-Latn-ME"/>
        </w:rPr>
        <w:t xml:space="preserve"> </w:t>
      </w:r>
      <w:r w:rsidRPr="00F24057">
        <w:rPr>
          <w:szCs w:val="22"/>
          <w:lang w:val="sr-Latn-ME"/>
        </w:rPr>
        <w:t>(95% CI: 0,4 - 47,6 odnosno 1,9 - 10,5).</w:t>
      </w:r>
    </w:p>
    <w:p w14:paraId="6F47DC61" w14:textId="32DE640F" w:rsidR="00D663B7" w:rsidRPr="00F24057" w:rsidRDefault="00D663B7" w:rsidP="00D70B34">
      <w:pPr>
        <w:rPr>
          <w:szCs w:val="22"/>
          <w:lang w:val="sr-Latn-ME"/>
        </w:rPr>
      </w:pPr>
    </w:p>
    <w:p w14:paraId="29034F54" w14:textId="415A2120" w:rsidR="00D663B7" w:rsidRPr="00F24057" w:rsidRDefault="00D663B7" w:rsidP="00D70B34">
      <w:pPr>
        <w:rPr>
          <w:szCs w:val="22"/>
          <w:lang w:val="sr-Latn-ME"/>
        </w:rPr>
      </w:pPr>
      <w:r w:rsidRPr="00F24057">
        <w:rPr>
          <w:szCs w:val="22"/>
          <w:u w:val="single"/>
          <w:lang w:val="sr-Latn-ME"/>
        </w:rPr>
        <w:t>Eliminacija</w:t>
      </w:r>
      <w:r w:rsidRPr="00F24057">
        <w:rPr>
          <w:szCs w:val="22"/>
          <w:lang w:val="sr-Latn-ME"/>
        </w:rPr>
        <w:t xml:space="preserve"> </w:t>
      </w:r>
    </w:p>
    <w:p w14:paraId="39B5A9A8" w14:textId="77777777" w:rsidR="00D663B7" w:rsidRPr="00F24057" w:rsidRDefault="00D663B7" w:rsidP="00D70B34">
      <w:pPr>
        <w:rPr>
          <w:szCs w:val="22"/>
          <w:u w:val="single"/>
          <w:lang w:val="sr-Latn-ME"/>
        </w:rPr>
      </w:pPr>
    </w:p>
    <w:p w14:paraId="7F071D35" w14:textId="4F9DD14F" w:rsidR="00D663B7" w:rsidRPr="00F24057" w:rsidRDefault="00D663B7" w:rsidP="00D70B34">
      <w:pPr>
        <w:rPr>
          <w:szCs w:val="22"/>
          <w:lang w:val="sr-Latn-ME"/>
        </w:rPr>
      </w:pPr>
      <w:r w:rsidRPr="00F24057">
        <w:rPr>
          <w:szCs w:val="22"/>
          <w:lang w:val="sr-Latn-ME"/>
        </w:rPr>
        <w:t xml:space="preserve">Populacione farmakokinetičke analize na osnovu podataka dobijenih kod više od 1300 pacijenata sa reumatoidnim artritisom pokazale su tendenciju da se prividni klirens adalimumaba povećava sa </w:t>
      </w:r>
      <w:r w:rsidR="007E5568" w:rsidRPr="00F24057">
        <w:rPr>
          <w:szCs w:val="22"/>
          <w:lang w:val="sr-Latn-ME"/>
        </w:rPr>
        <w:t>tjeles</w:t>
      </w:r>
      <w:r w:rsidRPr="00F24057">
        <w:rPr>
          <w:szCs w:val="22"/>
          <w:lang w:val="sr-Latn-ME"/>
        </w:rPr>
        <w:t xml:space="preserve">nom masom pacijenta. Nakon prilagođavanja doze prema </w:t>
      </w:r>
      <w:r w:rsidR="007E5568" w:rsidRPr="00F24057">
        <w:rPr>
          <w:szCs w:val="22"/>
          <w:lang w:val="sr-Latn-ME"/>
        </w:rPr>
        <w:t>tjeles</w:t>
      </w:r>
      <w:r w:rsidRPr="00F24057">
        <w:rPr>
          <w:szCs w:val="22"/>
          <w:lang w:val="sr-Latn-ME"/>
        </w:rPr>
        <w:t xml:space="preserve">noj masi, čini se da pol i starost pacijenata imaju minimalno dejstvo na klirens adalimumaba. </w:t>
      </w:r>
      <w:r w:rsidR="00CB199C" w:rsidRPr="00F24057">
        <w:rPr>
          <w:szCs w:val="22"/>
          <w:lang w:val="sr-Latn-ME"/>
        </w:rPr>
        <w:t>Primijećeno</w:t>
      </w:r>
      <w:r w:rsidRPr="00F24057">
        <w:rPr>
          <w:szCs w:val="22"/>
          <w:lang w:val="sr-Latn-ME"/>
        </w:rPr>
        <w:t xml:space="preserve"> je da su koncentracije slobodnog adalimumaba u serumu (onog koji nije vezan za </w:t>
      </w:r>
      <w:r w:rsidR="00AA29FD" w:rsidRPr="00F24057">
        <w:rPr>
          <w:szCs w:val="22"/>
          <w:lang w:val="sr-Latn-ME"/>
        </w:rPr>
        <w:t>antitijel</w:t>
      </w:r>
      <w:r w:rsidRPr="00F24057">
        <w:rPr>
          <w:szCs w:val="22"/>
          <w:lang w:val="sr-Latn-ME"/>
        </w:rPr>
        <w:t>a na adalimumab) niže kod pacijenata sa m</w:t>
      </w:r>
      <w:r w:rsidR="00AA29FD" w:rsidRPr="00F24057">
        <w:rPr>
          <w:szCs w:val="22"/>
          <w:lang w:val="sr-Latn-ME"/>
        </w:rPr>
        <w:t>j</w:t>
      </w:r>
      <w:r w:rsidRPr="00F24057">
        <w:rPr>
          <w:szCs w:val="22"/>
          <w:lang w:val="sr-Latn-ME"/>
        </w:rPr>
        <w:t xml:space="preserve">erljivim koncentracijama </w:t>
      </w:r>
      <w:r w:rsidR="00AA29FD" w:rsidRPr="00F24057">
        <w:rPr>
          <w:szCs w:val="22"/>
          <w:lang w:val="sr-Latn-ME"/>
        </w:rPr>
        <w:t>antitijel</w:t>
      </w:r>
      <w:r w:rsidRPr="00F24057">
        <w:rPr>
          <w:szCs w:val="22"/>
          <w:lang w:val="sr-Latn-ME"/>
        </w:rPr>
        <w:t xml:space="preserve">a na adalimumab. </w:t>
      </w:r>
    </w:p>
    <w:p w14:paraId="2293ACD0" w14:textId="77777777" w:rsidR="00D663B7" w:rsidRPr="00F24057" w:rsidRDefault="00D663B7" w:rsidP="00D70B34">
      <w:pPr>
        <w:rPr>
          <w:szCs w:val="22"/>
          <w:lang w:val="sr-Latn-ME"/>
        </w:rPr>
      </w:pPr>
    </w:p>
    <w:p w14:paraId="4EF87656" w14:textId="16597365" w:rsidR="00D663B7" w:rsidRPr="00F24057" w:rsidRDefault="00D663B7" w:rsidP="00D70B34">
      <w:pPr>
        <w:rPr>
          <w:szCs w:val="22"/>
          <w:u w:val="single"/>
          <w:lang w:val="sr-Latn-ME"/>
        </w:rPr>
      </w:pPr>
      <w:r w:rsidRPr="00F24057">
        <w:rPr>
          <w:szCs w:val="22"/>
          <w:u w:val="single"/>
          <w:lang w:val="sr-Latn-ME"/>
        </w:rPr>
        <w:t>Oštećenje funkcije jetre ili bubrega</w:t>
      </w:r>
    </w:p>
    <w:p w14:paraId="00AC9647" w14:textId="77777777" w:rsidR="00D663B7" w:rsidRPr="00F24057" w:rsidRDefault="00D663B7" w:rsidP="00D70B34">
      <w:pPr>
        <w:rPr>
          <w:szCs w:val="22"/>
          <w:u w:val="single"/>
          <w:lang w:val="sr-Latn-ME"/>
        </w:rPr>
      </w:pPr>
    </w:p>
    <w:p w14:paraId="2CE0934A" w14:textId="77777777" w:rsidR="00D663B7" w:rsidRPr="00F24057" w:rsidRDefault="00D663B7" w:rsidP="00D70B34">
      <w:pPr>
        <w:rPr>
          <w:szCs w:val="22"/>
          <w:lang w:val="sr-Latn-ME"/>
        </w:rPr>
      </w:pPr>
      <w:r w:rsidRPr="00F24057">
        <w:rPr>
          <w:szCs w:val="22"/>
          <w:lang w:val="sr-Latn-ME"/>
        </w:rPr>
        <w:t>Adalimumab nije ispitivan kod pacijenata sa insuficijencijom jetre ili bubrega.</w:t>
      </w:r>
    </w:p>
    <w:p w14:paraId="7A975659" w14:textId="77777777" w:rsidR="008B4BBC" w:rsidRPr="00F24057" w:rsidRDefault="008B4BBC" w:rsidP="00D70B34">
      <w:pPr>
        <w:rPr>
          <w:szCs w:val="22"/>
          <w:lang w:val="sr-Latn-ME"/>
        </w:rPr>
      </w:pPr>
    </w:p>
    <w:p w14:paraId="072D43ED" w14:textId="2349EDB5" w:rsidR="00CE09F3" w:rsidRPr="00F24057" w:rsidRDefault="00CE09F3" w:rsidP="00D70B34">
      <w:pPr>
        <w:rPr>
          <w:b/>
          <w:bCs/>
          <w:szCs w:val="22"/>
          <w:lang w:val="sr-Latn-ME"/>
        </w:rPr>
      </w:pPr>
      <w:r w:rsidRPr="00F24057">
        <w:rPr>
          <w:b/>
          <w:bCs/>
          <w:szCs w:val="22"/>
          <w:lang w:val="sr-Latn-ME"/>
        </w:rPr>
        <w:t>5.3. P</w:t>
      </w:r>
      <w:r w:rsidR="004F2520" w:rsidRPr="00F24057">
        <w:rPr>
          <w:b/>
          <w:bCs/>
          <w:szCs w:val="22"/>
          <w:lang w:val="sr-Latn-ME"/>
        </w:rPr>
        <w:t>retk</w:t>
      </w:r>
      <w:r w:rsidRPr="00F24057">
        <w:rPr>
          <w:b/>
          <w:bCs/>
          <w:szCs w:val="22"/>
          <w:lang w:val="sr-Latn-ME"/>
        </w:rPr>
        <w:t xml:space="preserve">linički podaci o </w:t>
      </w:r>
      <w:r w:rsidR="0030064A" w:rsidRPr="00F24057">
        <w:rPr>
          <w:b/>
          <w:bCs/>
          <w:szCs w:val="22"/>
          <w:lang w:val="sr-Latn-ME"/>
        </w:rPr>
        <w:t>bezbjedno</w:t>
      </w:r>
      <w:r w:rsidRPr="00F24057">
        <w:rPr>
          <w:b/>
          <w:bCs/>
          <w:szCs w:val="22"/>
          <w:lang w:val="sr-Latn-ME"/>
        </w:rPr>
        <w:t xml:space="preserve">sti </w:t>
      </w:r>
    </w:p>
    <w:p w14:paraId="072D43EE" w14:textId="77777777" w:rsidR="00CE09F3" w:rsidRPr="00F24057" w:rsidRDefault="00CE09F3" w:rsidP="00D70B34">
      <w:pPr>
        <w:rPr>
          <w:szCs w:val="22"/>
          <w:lang w:val="sr-Latn-ME"/>
        </w:rPr>
      </w:pPr>
    </w:p>
    <w:p w14:paraId="0FD2B851" w14:textId="4A06407C" w:rsidR="00984F75" w:rsidRPr="00F24057" w:rsidRDefault="00984F75" w:rsidP="00D70B34">
      <w:pPr>
        <w:rPr>
          <w:szCs w:val="22"/>
          <w:lang w:val="sr-Latn-ME"/>
        </w:rPr>
      </w:pPr>
      <w:r w:rsidRPr="00F24057">
        <w:rPr>
          <w:szCs w:val="22"/>
          <w:lang w:val="sr-Latn-ME"/>
        </w:rPr>
        <w:t>P</w:t>
      </w:r>
      <w:r w:rsidR="004F2520" w:rsidRPr="00F24057">
        <w:rPr>
          <w:szCs w:val="22"/>
          <w:lang w:val="sr-Latn-ME"/>
        </w:rPr>
        <w:t>retk</w:t>
      </w:r>
      <w:r w:rsidRPr="00F24057">
        <w:rPr>
          <w:szCs w:val="22"/>
          <w:lang w:val="sr-Latn-ME"/>
        </w:rPr>
        <w:t xml:space="preserve">linički podaci otkrivaju da ne postoji poseban rizik za ljude na osnovu studija toksičnosti pojedinačne doze, toksičnosti ponavljane doze i genotoksičnosti. </w:t>
      </w:r>
    </w:p>
    <w:p w14:paraId="25BF1411" w14:textId="77777777" w:rsidR="00984F75" w:rsidRPr="00F24057" w:rsidRDefault="00984F75" w:rsidP="00D70B34">
      <w:pPr>
        <w:rPr>
          <w:szCs w:val="22"/>
          <w:lang w:val="sr-Latn-ME"/>
        </w:rPr>
      </w:pPr>
    </w:p>
    <w:p w14:paraId="21F5B26D" w14:textId="493BB327" w:rsidR="00984F75" w:rsidRPr="00F24057" w:rsidRDefault="00984F75" w:rsidP="00D70B34">
      <w:pPr>
        <w:rPr>
          <w:szCs w:val="22"/>
          <w:lang w:val="sr-Latn-ME"/>
        </w:rPr>
      </w:pPr>
      <w:r w:rsidRPr="00F24057">
        <w:rPr>
          <w:szCs w:val="22"/>
          <w:lang w:val="sr-Latn-ME"/>
        </w:rPr>
        <w:t>Studije embrio-fetalne razvojne toksičnosti/razvojne perinatalne studije su obavljene na makaki</w:t>
      </w:r>
      <w:r w:rsidR="009B2AA3" w:rsidRPr="00F24057">
        <w:rPr>
          <w:szCs w:val="22"/>
          <w:lang w:val="sr-Latn-ME"/>
        </w:rPr>
        <w:t xml:space="preserve"> </w:t>
      </w:r>
      <w:r w:rsidRPr="00F24057">
        <w:rPr>
          <w:szCs w:val="22"/>
          <w:lang w:val="sr-Latn-ME"/>
        </w:rPr>
        <w:t xml:space="preserve">majmunima sa 0,30 i 100 mg/kg (9-17 majmuna/grupa) i ukazuju da ne postoje dokazi o štetnosti adalimumaba za </w:t>
      </w:r>
      <w:r w:rsidR="00844B9A" w:rsidRPr="00F24057">
        <w:rPr>
          <w:szCs w:val="22"/>
          <w:lang w:val="sr-Latn-ME"/>
        </w:rPr>
        <w:t>plod</w:t>
      </w:r>
      <w:r w:rsidRPr="00F24057">
        <w:rPr>
          <w:szCs w:val="22"/>
          <w:lang w:val="sr-Latn-ME"/>
        </w:rPr>
        <w:t xml:space="preserve">. Studije karcinogenosti i sve standardne </w:t>
      </w:r>
      <w:r w:rsidR="004F2520" w:rsidRPr="00F24057">
        <w:rPr>
          <w:szCs w:val="22"/>
          <w:lang w:val="sr-Latn-ME"/>
        </w:rPr>
        <w:t>procjen</w:t>
      </w:r>
      <w:r w:rsidRPr="00F24057">
        <w:rPr>
          <w:szCs w:val="22"/>
          <w:lang w:val="sr-Latn-ME"/>
        </w:rPr>
        <w:t xml:space="preserve">e postnatalne toksičnosti i toksičnosti na reproduktivni sistem nisu obavljene sa adalimumabom, </w:t>
      </w:r>
      <w:r w:rsidR="00A118A3" w:rsidRPr="00F24057">
        <w:rPr>
          <w:szCs w:val="22"/>
          <w:lang w:val="sr-Latn-ME"/>
        </w:rPr>
        <w:t>usljed</w:t>
      </w:r>
      <w:r w:rsidRPr="00F24057">
        <w:rPr>
          <w:szCs w:val="22"/>
          <w:lang w:val="sr-Latn-ME"/>
        </w:rPr>
        <w:t xml:space="preserve"> nedostatka odgovarajućeg modela za </w:t>
      </w:r>
      <w:r w:rsidR="00AA29FD" w:rsidRPr="00F24057">
        <w:rPr>
          <w:szCs w:val="22"/>
          <w:lang w:val="sr-Latn-ME"/>
        </w:rPr>
        <w:t>antitijel</w:t>
      </w:r>
      <w:r w:rsidRPr="00F24057">
        <w:rPr>
          <w:szCs w:val="22"/>
          <w:lang w:val="sr-Latn-ME"/>
        </w:rPr>
        <w:t xml:space="preserve">a sa ograničenom ukrštenom reaktivnošću TNF glodara, i razvoju neutrališućih </w:t>
      </w:r>
      <w:r w:rsidR="00AA29FD" w:rsidRPr="00F24057">
        <w:rPr>
          <w:szCs w:val="22"/>
          <w:lang w:val="sr-Latn-ME"/>
        </w:rPr>
        <w:t>antitijel</w:t>
      </w:r>
      <w:r w:rsidRPr="00F24057">
        <w:rPr>
          <w:szCs w:val="22"/>
          <w:lang w:val="sr-Latn-ME"/>
        </w:rPr>
        <w:t>a glodara.</w:t>
      </w:r>
    </w:p>
    <w:p w14:paraId="072D43EF" w14:textId="77777777" w:rsidR="00CE09F3" w:rsidRPr="00F24057" w:rsidRDefault="00CE09F3" w:rsidP="00D70B34">
      <w:pPr>
        <w:rPr>
          <w:szCs w:val="22"/>
          <w:lang w:val="sr-Latn-ME"/>
        </w:rPr>
      </w:pPr>
    </w:p>
    <w:p w14:paraId="4523D50A" w14:textId="77777777" w:rsidR="00F1226A" w:rsidRPr="00F24057" w:rsidRDefault="00F1226A" w:rsidP="00D70B34">
      <w:pPr>
        <w:rPr>
          <w:szCs w:val="22"/>
          <w:lang w:val="sr-Latn-ME"/>
        </w:rPr>
      </w:pPr>
    </w:p>
    <w:p w14:paraId="072D43F0" w14:textId="77777777" w:rsidR="00CE09F3" w:rsidRPr="00F24057" w:rsidRDefault="00CE09F3" w:rsidP="00D70B34">
      <w:pPr>
        <w:pStyle w:val="NASLOV123"/>
        <w:spacing w:before="0" w:after="0"/>
        <w:rPr>
          <w:lang w:val="sr-Latn-ME"/>
        </w:rPr>
      </w:pPr>
      <w:r w:rsidRPr="00F24057">
        <w:rPr>
          <w:lang w:val="sr-Latn-ME"/>
        </w:rPr>
        <w:t>6. FARMACEUTSKI PODACI</w:t>
      </w:r>
    </w:p>
    <w:p w14:paraId="3ABA70F0" w14:textId="77777777" w:rsidR="00F1226A" w:rsidRPr="00F24057" w:rsidRDefault="00F1226A" w:rsidP="00D70B34">
      <w:pPr>
        <w:rPr>
          <w:b/>
          <w:bCs/>
          <w:szCs w:val="22"/>
          <w:lang w:val="sr-Latn-ME"/>
        </w:rPr>
      </w:pPr>
    </w:p>
    <w:p w14:paraId="072D43F1" w14:textId="2642FB68" w:rsidR="00CE09F3" w:rsidRPr="00F24057" w:rsidRDefault="00CE09F3" w:rsidP="00D70B34">
      <w:pPr>
        <w:rPr>
          <w:b/>
          <w:bCs/>
          <w:szCs w:val="22"/>
          <w:lang w:val="sr-Latn-ME"/>
        </w:rPr>
      </w:pPr>
      <w:r w:rsidRPr="00F24057">
        <w:rPr>
          <w:b/>
          <w:bCs/>
          <w:szCs w:val="22"/>
          <w:lang w:val="sr-Latn-ME"/>
        </w:rPr>
        <w:t>6.1. Lista pomoćnih supstanci</w:t>
      </w:r>
      <w:r w:rsidR="00FF3128" w:rsidRPr="00F24057">
        <w:rPr>
          <w:b/>
          <w:bCs/>
          <w:szCs w:val="22"/>
          <w:lang w:val="sr-Latn-ME"/>
        </w:rPr>
        <w:t xml:space="preserve"> (ekscipijenasa)</w:t>
      </w:r>
    </w:p>
    <w:p w14:paraId="072D43F2" w14:textId="3EF2FDFE" w:rsidR="00CE09F3" w:rsidRPr="00F24057" w:rsidRDefault="00CE09F3" w:rsidP="00D70B34">
      <w:pPr>
        <w:rPr>
          <w:szCs w:val="22"/>
          <w:lang w:val="sr-Latn-ME"/>
        </w:rPr>
      </w:pPr>
    </w:p>
    <w:p w14:paraId="0B06CC39" w14:textId="36971C8E" w:rsidR="00364985" w:rsidRPr="00F24057" w:rsidRDefault="00364985" w:rsidP="00D70B34">
      <w:pPr>
        <w:rPr>
          <w:szCs w:val="22"/>
          <w:lang w:val="sr-Latn-ME"/>
        </w:rPr>
      </w:pPr>
      <w:r w:rsidRPr="00F24057">
        <w:rPr>
          <w:szCs w:val="22"/>
          <w:lang w:val="sr-Latn-ME"/>
        </w:rPr>
        <w:t>Natrijum</w:t>
      </w:r>
      <w:r w:rsidR="00867870" w:rsidRPr="00F24057">
        <w:rPr>
          <w:szCs w:val="22"/>
          <w:lang w:val="sr-Latn-ME"/>
        </w:rPr>
        <w:t xml:space="preserve"> </w:t>
      </w:r>
      <w:r w:rsidRPr="00F24057">
        <w:rPr>
          <w:szCs w:val="22"/>
          <w:lang w:val="sr-Latn-ME"/>
        </w:rPr>
        <w:t>hlorid;</w:t>
      </w:r>
    </w:p>
    <w:p w14:paraId="51AF406E" w14:textId="334CCA8A" w:rsidR="00364985" w:rsidRPr="00F24057" w:rsidRDefault="00364985" w:rsidP="00D70B34">
      <w:pPr>
        <w:rPr>
          <w:szCs w:val="22"/>
          <w:lang w:val="sr-Latn-ME"/>
        </w:rPr>
      </w:pPr>
      <w:r w:rsidRPr="00F24057">
        <w:rPr>
          <w:szCs w:val="22"/>
          <w:lang w:val="sr-Latn-ME"/>
        </w:rPr>
        <w:t>S</w:t>
      </w:r>
      <w:r w:rsidR="00865471" w:rsidRPr="00F24057">
        <w:rPr>
          <w:szCs w:val="22"/>
          <w:lang w:val="sr-Latn-ME"/>
        </w:rPr>
        <w:t>aha</w:t>
      </w:r>
      <w:r w:rsidRPr="00F24057">
        <w:rPr>
          <w:szCs w:val="22"/>
          <w:lang w:val="sr-Latn-ME"/>
        </w:rPr>
        <w:t>roza;</w:t>
      </w:r>
    </w:p>
    <w:p w14:paraId="2CFF8C8C" w14:textId="30A54361" w:rsidR="00364985" w:rsidRPr="00F24057" w:rsidRDefault="00364985" w:rsidP="00D70B34">
      <w:pPr>
        <w:rPr>
          <w:szCs w:val="22"/>
          <w:lang w:val="sr-Latn-ME"/>
        </w:rPr>
      </w:pPr>
      <w:r w:rsidRPr="00F24057">
        <w:rPr>
          <w:szCs w:val="22"/>
          <w:lang w:val="sr-Latn-ME"/>
        </w:rPr>
        <w:t>Polisorbat 80;</w:t>
      </w:r>
    </w:p>
    <w:p w14:paraId="4F169D74" w14:textId="6A90017B" w:rsidR="00364985" w:rsidRPr="00F24057" w:rsidRDefault="00364985" w:rsidP="00D70B34">
      <w:pPr>
        <w:rPr>
          <w:szCs w:val="22"/>
          <w:lang w:val="sr-Latn-ME"/>
        </w:rPr>
      </w:pPr>
      <w:r w:rsidRPr="00F24057">
        <w:rPr>
          <w:szCs w:val="22"/>
          <w:lang w:val="sr-Latn-ME"/>
        </w:rPr>
        <w:t>Voda za injekcije;</w:t>
      </w:r>
    </w:p>
    <w:p w14:paraId="4117748F" w14:textId="0EA48C64" w:rsidR="00DF25CA" w:rsidRPr="00F24057" w:rsidRDefault="00DF25CA" w:rsidP="00D70B34">
      <w:pPr>
        <w:rPr>
          <w:szCs w:val="22"/>
          <w:lang w:val="sr-Latn-ME"/>
        </w:rPr>
      </w:pPr>
      <w:r w:rsidRPr="00F24057">
        <w:rPr>
          <w:szCs w:val="22"/>
          <w:lang w:val="sr-Latn-ME"/>
        </w:rPr>
        <w:t>Hlorovodonična kiselina (za stabilizaciju pH);</w:t>
      </w:r>
    </w:p>
    <w:p w14:paraId="59AA8E5A" w14:textId="2F837826" w:rsidR="00DF25CA" w:rsidRPr="00F24057" w:rsidRDefault="00DF25CA" w:rsidP="00D70B34">
      <w:pPr>
        <w:rPr>
          <w:szCs w:val="22"/>
          <w:lang w:val="sr-Latn-ME"/>
        </w:rPr>
      </w:pPr>
      <w:r w:rsidRPr="00F24057">
        <w:rPr>
          <w:szCs w:val="22"/>
          <w:lang w:val="sr-Latn-ME"/>
        </w:rPr>
        <w:t>Natrijum</w:t>
      </w:r>
      <w:r w:rsidR="00867870" w:rsidRPr="00F24057">
        <w:rPr>
          <w:szCs w:val="22"/>
          <w:lang w:val="sr-Latn-ME"/>
        </w:rPr>
        <w:t xml:space="preserve"> </w:t>
      </w:r>
      <w:r w:rsidRPr="00F24057">
        <w:rPr>
          <w:szCs w:val="22"/>
          <w:lang w:val="sr-Latn-ME"/>
        </w:rPr>
        <w:t>hidroksid (za stabilizaciju pH).</w:t>
      </w:r>
    </w:p>
    <w:p w14:paraId="072D43F3" w14:textId="77777777" w:rsidR="00CE09F3" w:rsidRPr="00F24057" w:rsidRDefault="00CE09F3" w:rsidP="00D70B34">
      <w:pPr>
        <w:rPr>
          <w:szCs w:val="22"/>
          <w:lang w:val="sr-Latn-ME"/>
        </w:rPr>
      </w:pPr>
    </w:p>
    <w:p w14:paraId="072D43F4" w14:textId="1F3AE7EE" w:rsidR="00CE09F3" w:rsidRPr="00F24057" w:rsidRDefault="00CE09F3" w:rsidP="00D70B34">
      <w:pPr>
        <w:rPr>
          <w:b/>
          <w:bCs/>
          <w:szCs w:val="22"/>
          <w:lang w:val="sr-Latn-ME"/>
        </w:rPr>
      </w:pPr>
      <w:r w:rsidRPr="00F24057">
        <w:rPr>
          <w:b/>
          <w:bCs/>
          <w:szCs w:val="22"/>
          <w:lang w:val="sr-Latn-ME"/>
        </w:rPr>
        <w:t>6.2. Inkompatibilnost</w:t>
      </w:r>
      <w:r w:rsidR="00AA29FD" w:rsidRPr="00F24057">
        <w:rPr>
          <w:b/>
          <w:bCs/>
          <w:szCs w:val="22"/>
          <w:lang w:val="sr-Latn-ME"/>
        </w:rPr>
        <w:t>i</w:t>
      </w:r>
    </w:p>
    <w:p w14:paraId="072D43F5" w14:textId="77777777" w:rsidR="00CE09F3" w:rsidRPr="00F24057" w:rsidRDefault="00CE09F3" w:rsidP="00D70B34">
      <w:pPr>
        <w:rPr>
          <w:szCs w:val="22"/>
          <w:lang w:val="sr-Latn-ME"/>
        </w:rPr>
      </w:pPr>
    </w:p>
    <w:p w14:paraId="43575239" w14:textId="555BE9A4" w:rsidR="009F1C75" w:rsidRPr="00F24057" w:rsidRDefault="00A118A3" w:rsidP="00D70B34">
      <w:pPr>
        <w:ind w:left="-5"/>
        <w:rPr>
          <w:szCs w:val="22"/>
          <w:lang w:val="sr-Latn-ME"/>
        </w:rPr>
      </w:pPr>
      <w:r w:rsidRPr="00F24057">
        <w:rPr>
          <w:szCs w:val="22"/>
          <w:lang w:val="sr-Latn-ME"/>
        </w:rPr>
        <w:t>Usljed</w:t>
      </w:r>
      <w:r w:rsidR="009F1C75" w:rsidRPr="00F24057">
        <w:rPr>
          <w:szCs w:val="22"/>
          <w:lang w:val="sr-Latn-ME"/>
        </w:rPr>
        <w:t xml:space="preserve"> nedostatka studija kompatibilnosti, ovaj </w:t>
      </w:r>
      <w:r w:rsidR="0030064A" w:rsidRPr="00F24057">
        <w:rPr>
          <w:szCs w:val="22"/>
          <w:lang w:val="sr-Latn-ME"/>
        </w:rPr>
        <w:t xml:space="preserve">lijek </w:t>
      </w:r>
      <w:r w:rsidR="009F1C75" w:rsidRPr="00F24057">
        <w:rPr>
          <w:szCs w:val="22"/>
          <w:lang w:val="sr-Latn-ME"/>
        </w:rPr>
        <w:t xml:space="preserve">se ne </w:t>
      </w:r>
      <w:r w:rsidR="00885A78" w:rsidRPr="00F24057">
        <w:rPr>
          <w:szCs w:val="22"/>
          <w:lang w:val="sr-Latn-ME"/>
        </w:rPr>
        <w:t xml:space="preserve">smije </w:t>
      </w:r>
      <w:r w:rsidR="009F1C75" w:rsidRPr="00F24057">
        <w:rPr>
          <w:szCs w:val="22"/>
          <w:lang w:val="sr-Latn-ME"/>
        </w:rPr>
        <w:t>m</w:t>
      </w:r>
      <w:r w:rsidR="00FF3128" w:rsidRPr="00F24057">
        <w:rPr>
          <w:szCs w:val="22"/>
          <w:lang w:val="sr-Latn-ME"/>
        </w:rPr>
        <w:t>ij</w:t>
      </w:r>
      <w:r w:rsidR="009F1C75" w:rsidRPr="00F24057">
        <w:rPr>
          <w:szCs w:val="22"/>
          <w:lang w:val="sr-Latn-ME"/>
        </w:rPr>
        <w:t>ešati sa drugim proizvodima.</w:t>
      </w:r>
    </w:p>
    <w:p w14:paraId="072D43F6" w14:textId="77777777" w:rsidR="00CE09F3" w:rsidRPr="00F24057" w:rsidRDefault="00CE09F3" w:rsidP="00D70B34">
      <w:pPr>
        <w:rPr>
          <w:szCs w:val="22"/>
          <w:lang w:val="sr-Latn-ME"/>
        </w:rPr>
      </w:pPr>
    </w:p>
    <w:p w14:paraId="072D43F7" w14:textId="77777777" w:rsidR="00CE09F3" w:rsidRPr="00F24057" w:rsidRDefault="00CE09F3" w:rsidP="00D70B34">
      <w:pPr>
        <w:rPr>
          <w:b/>
          <w:bCs/>
          <w:szCs w:val="22"/>
          <w:lang w:val="sr-Latn-ME"/>
        </w:rPr>
      </w:pPr>
      <w:r w:rsidRPr="00F24057">
        <w:rPr>
          <w:b/>
          <w:bCs/>
          <w:szCs w:val="22"/>
          <w:lang w:val="sr-Latn-ME"/>
        </w:rPr>
        <w:t>6.3. Rok upotrebe</w:t>
      </w:r>
    </w:p>
    <w:p w14:paraId="1F419974" w14:textId="77777777" w:rsidR="008E73E7" w:rsidRPr="00F24057" w:rsidRDefault="008E73E7" w:rsidP="00D70B34">
      <w:pPr>
        <w:rPr>
          <w:szCs w:val="22"/>
          <w:lang w:val="sr-Latn-ME"/>
        </w:rPr>
      </w:pPr>
    </w:p>
    <w:p w14:paraId="072D43F9" w14:textId="4189548D" w:rsidR="00CE09F3" w:rsidRPr="00F24057" w:rsidRDefault="00885A78" w:rsidP="00D70B34">
      <w:pPr>
        <w:rPr>
          <w:szCs w:val="22"/>
          <w:lang w:val="sr-Latn-ME"/>
        </w:rPr>
      </w:pPr>
      <w:r w:rsidRPr="00F24057">
        <w:rPr>
          <w:szCs w:val="22"/>
          <w:lang w:val="sr-Latn-ME"/>
        </w:rPr>
        <w:t>3</w:t>
      </w:r>
      <w:r w:rsidR="008E73E7" w:rsidRPr="00F24057">
        <w:rPr>
          <w:szCs w:val="22"/>
          <w:lang w:val="sr-Latn-ME"/>
        </w:rPr>
        <w:t xml:space="preserve"> godine</w:t>
      </w:r>
      <w:r w:rsidR="00625D5C" w:rsidRPr="00F24057">
        <w:rPr>
          <w:szCs w:val="22"/>
          <w:lang w:val="sr-Latn-ME"/>
        </w:rPr>
        <w:t>.</w:t>
      </w:r>
    </w:p>
    <w:p w14:paraId="0B24E6E5" w14:textId="77777777" w:rsidR="008E73E7" w:rsidRPr="00F24057" w:rsidRDefault="008E73E7" w:rsidP="00D70B34">
      <w:pPr>
        <w:rPr>
          <w:szCs w:val="22"/>
          <w:lang w:val="sr-Latn-ME"/>
        </w:rPr>
      </w:pPr>
    </w:p>
    <w:p w14:paraId="072D43FA" w14:textId="25AE6B6E" w:rsidR="00CE09F3" w:rsidRPr="00F24057" w:rsidRDefault="00CE09F3" w:rsidP="00D70B34">
      <w:pPr>
        <w:rPr>
          <w:b/>
          <w:bCs/>
          <w:szCs w:val="22"/>
          <w:lang w:val="sr-Latn-ME"/>
        </w:rPr>
      </w:pPr>
      <w:r w:rsidRPr="00F24057">
        <w:rPr>
          <w:b/>
          <w:bCs/>
          <w:szCs w:val="22"/>
          <w:lang w:val="sr-Latn-ME"/>
        </w:rPr>
        <w:t xml:space="preserve">6.4. Posebne </w:t>
      </w:r>
      <w:r w:rsidR="00AA29FD" w:rsidRPr="00F24057">
        <w:rPr>
          <w:b/>
          <w:bCs/>
          <w:szCs w:val="22"/>
          <w:lang w:val="sr-Latn-ME"/>
        </w:rPr>
        <w:t>mjere</w:t>
      </w:r>
      <w:r w:rsidRPr="00F24057">
        <w:rPr>
          <w:b/>
          <w:bCs/>
          <w:szCs w:val="22"/>
          <w:lang w:val="sr-Latn-ME"/>
        </w:rPr>
        <w:t xml:space="preserve"> opreza pri čuvanju</w:t>
      </w:r>
      <w:r w:rsidR="00FF3128" w:rsidRPr="00F24057">
        <w:rPr>
          <w:b/>
          <w:bCs/>
          <w:szCs w:val="22"/>
          <w:lang w:val="sr-Latn-ME"/>
        </w:rPr>
        <w:t xml:space="preserve"> lijeka</w:t>
      </w:r>
    </w:p>
    <w:p w14:paraId="072D43FB" w14:textId="77777777" w:rsidR="00CE09F3" w:rsidRPr="00F24057" w:rsidRDefault="00CE09F3" w:rsidP="00D70B34">
      <w:pPr>
        <w:rPr>
          <w:szCs w:val="22"/>
          <w:lang w:val="sr-Latn-ME"/>
        </w:rPr>
      </w:pPr>
    </w:p>
    <w:p w14:paraId="38C372CD" w14:textId="31E045A4" w:rsidR="00F75CD1" w:rsidRPr="00F24057" w:rsidRDefault="00F75CD1" w:rsidP="00D70B34">
      <w:pPr>
        <w:rPr>
          <w:szCs w:val="22"/>
          <w:lang w:val="sr-Latn-ME"/>
        </w:rPr>
      </w:pPr>
      <w:r w:rsidRPr="00F24057">
        <w:rPr>
          <w:szCs w:val="22"/>
          <w:lang w:val="sr-Latn-ME"/>
        </w:rPr>
        <w:t>Čuvati u frižideru (</w:t>
      </w:r>
      <w:r w:rsidR="006F38F6" w:rsidRPr="00F24057">
        <w:rPr>
          <w:szCs w:val="22"/>
          <w:lang w:val="sr-Latn-ME"/>
        </w:rPr>
        <w:t xml:space="preserve">na temperaturi od </w:t>
      </w:r>
      <w:r w:rsidRPr="00F24057">
        <w:rPr>
          <w:szCs w:val="22"/>
          <w:lang w:val="sr-Latn-ME"/>
        </w:rPr>
        <w:t xml:space="preserve">2°C do 8°C). Ne zamrzavati. Čuvajte napunjeni injekcioni </w:t>
      </w:r>
      <w:r w:rsidR="00F34E14" w:rsidRPr="00F24057">
        <w:rPr>
          <w:szCs w:val="22"/>
          <w:lang w:val="sr-Latn-ME"/>
        </w:rPr>
        <w:t>pen</w:t>
      </w:r>
      <w:r w:rsidRPr="00F24057">
        <w:rPr>
          <w:szCs w:val="22"/>
          <w:lang w:val="sr-Latn-ME"/>
        </w:rPr>
        <w:t xml:space="preserve"> u spoljašnjem pakovanju radi zaštite od sv</w:t>
      </w:r>
      <w:r w:rsidR="00AA29FD" w:rsidRPr="00F24057">
        <w:rPr>
          <w:szCs w:val="22"/>
          <w:lang w:val="sr-Latn-ME"/>
        </w:rPr>
        <w:t>j</w:t>
      </w:r>
      <w:r w:rsidRPr="00F24057">
        <w:rPr>
          <w:szCs w:val="22"/>
          <w:lang w:val="sr-Latn-ME"/>
        </w:rPr>
        <w:t xml:space="preserve">etlosti. </w:t>
      </w:r>
    </w:p>
    <w:p w14:paraId="3D17EBC1" w14:textId="77777777" w:rsidR="00F75CD1" w:rsidRPr="00F24057" w:rsidRDefault="00F75CD1" w:rsidP="00D70B34">
      <w:pPr>
        <w:rPr>
          <w:szCs w:val="22"/>
          <w:lang w:val="sr-Latn-ME"/>
        </w:rPr>
      </w:pPr>
    </w:p>
    <w:p w14:paraId="1B4D55A3" w14:textId="488B45B1" w:rsidR="00AA29FD" w:rsidRPr="00F24057" w:rsidRDefault="00F75CD1" w:rsidP="00D70B34">
      <w:pPr>
        <w:rPr>
          <w:szCs w:val="22"/>
          <w:lang w:val="sr-Latn-ME"/>
        </w:rPr>
      </w:pPr>
      <w:r w:rsidRPr="00F24057">
        <w:rPr>
          <w:szCs w:val="22"/>
          <w:lang w:val="sr-Latn-ME"/>
        </w:rPr>
        <w:t xml:space="preserve">Pojedinačni napunjeni injekcioni </w:t>
      </w:r>
      <w:r w:rsidR="00F34E14" w:rsidRPr="00F24057">
        <w:rPr>
          <w:szCs w:val="22"/>
          <w:lang w:val="sr-Latn-ME"/>
        </w:rPr>
        <w:t>pen</w:t>
      </w:r>
      <w:r w:rsidRPr="00F24057">
        <w:rPr>
          <w:szCs w:val="22"/>
          <w:lang w:val="sr-Latn-ME"/>
        </w:rPr>
        <w:t xml:space="preserve"> se može čuvati na temperaturi</w:t>
      </w:r>
      <w:r w:rsidR="00625D5C" w:rsidRPr="00F24057">
        <w:rPr>
          <w:szCs w:val="22"/>
          <w:lang w:val="sr-Latn-ME"/>
        </w:rPr>
        <w:t xml:space="preserve"> do</w:t>
      </w:r>
      <w:r w:rsidRPr="00F24057">
        <w:rPr>
          <w:szCs w:val="22"/>
          <w:lang w:val="sr-Latn-ME"/>
        </w:rPr>
        <w:t xml:space="preserve"> najviše 25°C tokom perioda do </w:t>
      </w:r>
      <w:r w:rsidR="004B08A2" w:rsidRPr="00F24057">
        <w:rPr>
          <w:szCs w:val="22"/>
          <w:lang w:val="sr-Latn-ME"/>
        </w:rPr>
        <w:t>30</w:t>
      </w:r>
      <w:r w:rsidRPr="00F24057">
        <w:rPr>
          <w:szCs w:val="22"/>
          <w:lang w:val="sr-Latn-ME"/>
        </w:rPr>
        <w:t xml:space="preserve"> dana. Napunjeni injekcioni </w:t>
      </w:r>
      <w:r w:rsidR="00F34E14" w:rsidRPr="00F24057">
        <w:rPr>
          <w:szCs w:val="22"/>
          <w:lang w:val="sr-Latn-ME"/>
        </w:rPr>
        <w:t>pen</w:t>
      </w:r>
      <w:r w:rsidRPr="00F24057">
        <w:rPr>
          <w:szCs w:val="22"/>
          <w:lang w:val="sr-Latn-ME"/>
        </w:rPr>
        <w:t xml:space="preserve"> mora</w:t>
      </w:r>
      <w:r w:rsidR="00AA29FD" w:rsidRPr="00F24057">
        <w:rPr>
          <w:szCs w:val="22"/>
          <w:lang w:val="sr-Latn-ME"/>
        </w:rPr>
        <w:t xml:space="preserve"> </w:t>
      </w:r>
      <w:r w:rsidR="006F38F6" w:rsidRPr="00F24057">
        <w:rPr>
          <w:szCs w:val="22"/>
          <w:lang w:val="sr-Latn-ME"/>
        </w:rPr>
        <w:t>biti</w:t>
      </w:r>
      <w:r w:rsidRPr="00F24057">
        <w:rPr>
          <w:szCs w:val="22"/>
          <w:lang w:val="sr-Latn-ME"/>
        </w:rPr>
        <w:t xml:space="preserve"> odbačen ukoliko se ne iskoristi u periodu od </w:t>
      </w:r>
      <w:r w:rsidR="00E50A25" w:rsidRPr="00F24057">
        <w:rPr>
          <w:szCs w:val="22"/>
          <w:lang w:val="sr-Latn-ME"/>
        </w:rPr>
        <w:t>30</w:t>
      </w:r>
      <w:r w:rsidRPr="00F24057">
        <w:rPr>
          <w:szCs w:val="22"/>
          <w:lang w:val="sr-Latn-ME"/>
        </w:rPr>
        <w:t xml:space="preserve"> dana.</w:t>
      </w:r>
    </w:p>
    <w:p w14:paraId="072D43FC" w14:textId="77777777" w:rsidR="00CE09F3" w:rsidRPr="00F24057" w:rsidRDefault="00CE09F3" w:rsidP="00D70B34">
      <w:pPr>
        <w:rPr>
          <w:szCs w:val="22"/>
          <w:lang w:val="sr-Latn-ME"/>
        </w:rPr>
      </w:pPr>
    </w:p>
    <w:p w14:paraId="072D43FD" w14:textId="7FBA4094" w:rsidR="00CE09F3" w:rsidRPr="00F24057" w:rsidRDefault="0022223A" w:rsidP="00D70B34">
      <w:pPr>
        <w:rPr>
          <w:b/>
          <w:bCs/>
          <w:szCs w:val="22"/>
          <w:lang w:val="sr-Latn-ME"/>
        </w:rPr>
      </w:pPr>
      <w:r w:rsidRPr="00F24057">
        <w:rPr>
          <w:b/>
          <w:bCs/>
          <w:szCs w:val="22"/>
          <w:lang w:val="sr-Latn-ME"/>
        </w:rPr>
        <w:t xml:space="preserve">6.5. </w:t>
      </w:r>
      <w:r w:rsidR="00FF3128" w:rsidRPr="00F24057">
        <w:rPr>
          <w:b/>
          <w:bCs/>
          <w:szCs w:val="22"/>
          <w:lang w:val="sr-Latn-ME"/>
        </w:rPr>
        <w:t>Vrsta</w:t>
      </w:r>
      <w:r w:rsidR="00CE09F3" w:rsidRPr="00F24057">
        <w:rPr>
          <w:b/>
          <w:bCs/>
          <w:szCs w:val="22"/>
          <w:lang w:val="sr-Latn-ME"/>
        </w:rPr>
        <w:t xml:space="preserve"> i sadržaj pakovanja</w:t>
      </w:r>
      <w:r w:rsidR="00F42610" w:rsidRPr="00F24057">
        <w:rPr>
          <w:b/>
          <w:bCs/>
          <w:szCs w:val="22"/>
          <w:lang w:val="sr-Latn-ME"/>
        </w:rPr>
        <w:t xml:space="preserve"> </w:t>
      </w:r>
    </w:p>
    <w:p w14:paraId="60AF23AC" w14:textId="39F87632" w:rsidR="00B50377" w:rsidRPr="00F24057" w:rsidRDefault="00B50377" w:rsidP="00D70B34">
      <w:pPr>
        <w:rPr>
          <w:b/>
          <w:bCs/>
          <w:szCs w:val="22"/>
          <w:lang w:val="sr-Latn-ME"/>
        </w:rPr>
      </w:pPr>
    </w:p>
    <w:p w14:paraId="0BDB278C" w14:textId="30B178CB" w:rsidR="00B50377" w:rsidRPr="00F24057" w:rsidRDefault="007D3765" w:rsidP="00D70B34">
      <w:pPr>
        <w:rPr>
          <w:szCs w:val="22"/>
          <w:lang w:val="sr-Latn-ME"/>
        </w:rPr>
      </w:pPr>
      <w:r w:rsidRPr="00F24057">
        <w:rPr>
          <w:szCs w:val="22"/>
          <w:lang w:val="sr-Latn-ME"/>
        </w:rPr>
        <w:lastRenderedPageBreak/>
        <w:t xml:space="preserve">Unutrašnje pakovanje je </w:t>
      </w:r>
      <w:r w:rsidR="00B528C2" w:rsidRPr="00F24057">
        <w:rPr>
          <w:szCs w:val="22"/>
          <w:lang w:val="sr-Latn-ME"/>
        </w:rPr>
        <w:t xml:space="preserve">0,4 </w:t>
      </w:r>
      <w:r w:rsidR="006E2502" w:rsidRPr="00F24057">
        <w:rPr>
          <w:szCs w:val="22"/>
          <w:lang w:val="sr-Latn-ME"/>
        </w:rPr>
        <w:t>m</w:t>
      </w:r>
      <w:r w:rsidR="00867870" w:rsidRPr="00F24057">
        <w:rPr>
          <w:szCs w:val="22"/>
          <w:lang w:val="sr-Latn-ME"/>
        </w:rPr>
        <w:t>l</w:t>
      </w:r>
      <w:r w:rsidR="006E2502" w:rsidRPr="00F24057">
        <w:rPr>
          <w:szCs w:val="22"/>
          <w:lang w:val="sr-Latn-ME"/>
        </w:rPr>
        <w:t xml:space="preserve"> </w:t>
      </w:r>
      <w:r w:rsidR="00526F76" w:rsidRPr="00F24057">
        <w:rPr>
          <w:szCs w:val="22"/>
          <w:lang w:val="sr-Latn-ME"/>
        </w:rPr>
        <w:t>rastvora za injekciju u napunjenom sistemu za injekcije na bazi igle (autoinjektor) koji sadrži napunjen</w:t>
      </w:r>
      <w:r w:rsidR="00867870" w:rsidRPr="00F24057">
        <w:rPr>
          <w:szCs w:val="22"/>
          <w:lang w:val="sr-Latn-ME"/>
        </w:rPr>
        <w:t>i</w:t>
      </w:r>
      <w:r w:rsidR="00526F76" w:rsidRPr="00F24057">
        <w:rPr>
          <w:szCs w:val="22"/>
          <w:lang w:val="sr-Latn-ME"/>
        </w:rPr>
        <w:t xml:space="preserve"> injekcioni špric od stakla tipa I sa pričvršćenom iglom veličine</w:t>
      </w:r>
      <w:r w:rsidR="00926EF8" w:rsidRPr="00F24057">
        <w:rPr>
          <w:szCs w:val="22"/>
          <w:lang w:val="sr-Latn-ME"/>
        </w:rPr>
        <w:t xml:space="preserve"> 29 G i čepom klipa (bromobutil guma). Pen je jednokratni, ručni, mehanički uređaj</w:t>
      </w:r>
      <w:r w:rsidR="00C51882" w:rsidRPr="00F24057">
        <w:rPr>
          <w:szCs w:val="22"/>
          <w:lang w:val="sr-Latn-ME"/>
        </w:rPr>
        <w:t xml:space="preserve"> za ubrizgavanje</w:t>
      </w:r>
      <w:r w:rsidR="003E5C78" w:rsidRPr="00F24057">
        <w:rPr>
          <w:szCs w:val="22"/>
          <w:lang w:val="sr-Latn-ME"/>
        </w:rPr>
        <w:t>.</w:t>
      </w:r>
    </w:p>
    <w:p w14:paraId="682834C4" w14:textId="5D7812D2" w:rsidR="00B97E94" w:rsidRPr="00F24057" w:rsidRDefault="007D3765" w:rsidP="00D70B34">
      <w:pPr>
        <w:rPr>
          <w:szCs w:val="22"/>
          <w:lang w:val="sr-Latn-ME"/>
        </w:rPr>
      </w:pPr>
      <w:r w:rsidRPr="00F24057">
        <w:rPr>
          <w:szCs w:val="22"/>
          <w:lang w:val="sr-Latn-ME"/>
        </w:rPr>
        <w:t>Spolj</w:t>
      </w:r>
      <w:r w:rsidR="00136649" w:rsidRPr="00F24057">
        <w:rPr>
          <w:szCs w:val="22"/>
          <w:lang w:val="sr-Latn-ME"/>
        </w:rPr>
        <w:t>aš</w:t>
      </w:r>
      <w:r w:rsidRPr="00F24057">
        <w:rPr>
          <w:szCs w:val="22"/>
          <w:lang w:val="sr-Latn-ME"/>
        </w:rPr>
        <w:t xml:space="preserve">nje pakovanje </w:t>
      </w:r>
      <w:r w:rsidR="00885A78" w:rsidRPr="00F24057">
        <w:rPr>
          <w:szCs w:val="22"/>
          <w:lang w:val="sr-Latn-ME"/>
        </w:rPr>
        <w:t xml:space="preserve">lijeka </w:t>
      </w:r>
      <w:r w:rsidRPr="00F24057">
        <w:rPr>
          <w:szCs w:val="22"/>
          <w:lang w:val="sr-Latn-ME"/>
        </w:rPr>
        <w:t>je složiva kartonska kutija u kojoj se nalaze</w:t>
      </w:r>
      <w:r w:rsidR="00B97E94" w:rsidRPr="00F24057">
        <w:rPr>
          <w:szCs w:val="22"/>
          <w:lang w:val="sr-Latn-ME"/>
        </w:rPr>
        <w:t xml:space="preserve"> 2 napunjena injekciona pena upakovana u PVC/PE blister, sa 2 jastučića natopljena </w:t>
      </w:r>
      <w:r w:rsidR="00943D57" w:rsidRPr="00F24057">
        <w:rPr>
          <w:szCs w:val="22"/>
          <w:lang w:val="sr-Latn-ME"/>
        </w:rPr>
        <w:t>alkoholom.</w:t>
      </w:r>
    </w:p>
    <w:p w14:paraId="072D43FE" w14:textId="77777777" w:rsidR="00CE09F3" w:rsidRPr="00F24057" w:rsidRDefault="00CE09F3" w:rsidP="00D70B34">
      <w:pPr>
        <w:rPr>
          <w:szCs w:val="22"/>
          <w:lang w:val="sr-Latn-ME"/>
        </w:rPr>
      </w:pPr>
    </w:p>
    <w:p w14:paraId="072D43FF" w14:textId="02D32552" w:rsidR="00CE09F3" w:rsidRPr="00F24057" w:rsidRDefault="00CE09F3" w:rsidP="00D70B34">
      <w:pPr>
        <w:rPr>
          <w:b/>
          <w:bCs/>
          <w:szCs w:val="22"/>
          <w:lang w:val="sr-Latn-ME"/>
        </w:rPr>
      </w:pPr>
      <w:r w:rsidRPr="00F24057">
        <w:rPr>
          <w:b/>
          <w:bCs/>
          <w:szCs w:val="22"/>
          <w:lang w:val="sr-Latn-ME"/>
        </w:rPr>
        <w:t xml:space="preserve">6.6. Posebne </w:t>
      </w:r>
      <w:r w:rsidR="00AA29FD" w:rsidRPr="00F24057">
        <w:rPr>
          <w:b/>
          <w:bCs/>
          <w:szCs w:val="22"/>
          <w:lang w:val="sr-Latn-ME"/>
        </w:rPr>
        <w:t>mjere</w:t>
      </w:r>
      <w:r w:rsidRPr="00F24057">
        <w:rPr>
          <w:b/>
          <w:bCs/>
          <w:szCs w:val="22"/>
          <w:lang w:val="sr-Latn-ME"/>
        </w:rPr>
        <w:t xml:space="preserve"> opreza pri odlaganju materijala koji treba odbaciti nakon </w:t>
      </w:r>
      <w:r w:rsidR="0030064A" w:rsidRPr="00F24057">
        <w:rPr>
          <w:b/>
          <w:bCs/>
          <w:szCs w:val="22"/>
          <w:lang w:val="sr-Latn-ME"/>
        </w:rPr>
        <w:t>primjen</w:t>
      </w:r>
      <w:r w:rsidRPr="00F24057">
        <w:rPr>
          <w:b/>
          <w:bCs/>
          <w:szCs w:val="22"/>
          <w:lang w:val="sr-Latn-ME"/>
        </w:rPr>
        <w:t xml:space="preserve">e </w:t>
      </w:r>
      <w:r w:rsidR="00885A78" w:rsidRPr="00F24057">
        <w:rPr>
          <w:b/>
          <w:bCs/>
          <w:szCs w:val="22"/>
          <w:lang w:val="sr-Latn-ME"/>
        </w:rPr>
        <w:t xml:space="preserve">lijeka </w:t>
      </w:r>
      <w:r w:rsidRPr="00F24057">
        <w:rPr>
          <w:b/>
          <w:bCs/>
          <w:szCs w:val="22"/>
          <w:lang w:val="sr-Latn-ME"/>
        </w:rPr>
        <w:t xml:space="preserve">(i druga uputstva za rukovanje </w:t>
      </w:r>
      <w:r w:rsidR="00885A78" w:rsidRPr="00F24057">
        <w:rPr>
          <w:b/>
          <w:bCs/>
          <w:szCs w:val="22"/>
          <w:lang w:val="sr-Latn-ME"/>
        </w:rPr>
        <w:t>lijekom</w:t>
      </w:r>
      <w:r w:rsidRPr="00F24057">
        <w:rPr>
          <w:b/>
          <w:bCs/>
          <w:szCs w:val="22"/>
          <w:lang w:val="sr-Latn-ME"/>
        </w:rPr>
        <w:t>)</w:t>
      </w:r>
    </w:p>
    <w:p w14:paraId="072D4400" w14:textId="77777777" w:rsidR="00CE09F3" w:rsidRPr="00F24057" w:rsidRDefault="00CE09F3" w:rsidP="00D70B34">
      <w:pPr>
        <w:rPr>
          <w:szCs w:val="22"/>
          <w:lang w:val="sr-Latn-ME"/>
        </w:rPr>
      </w:pPr>
    </w:p>
    <w:p w14:paraId="1A192AD4" w14:textId="05423720" w:rsidR="00DB61C4" w:rsidRPr="00F24057" w:rsidRDefault="00DB61C4" w:rsidP="00D70B34">
      <w:pPr>
        <w:rPr>
          <w:szCs w:val="22"/>
          <w:lang w:val="sr-Latn-ME"/>
        </w:rPr>
      </w:pPr>
      <w:r w:rsidRPr="00F24057">
        <w:rPr>
          <w:szCs w:val="22"/>
          <w:lang w:val="sr-Latn-ME"/>
        </w:rPr>
        <w:t xml:space="preserve">Svu neiskorišćenu količinu </w:t>
      </w:r>
      <w:r w:rsidR="00885A78" w:rsidRPr="00F24057">
        <w:rPr>
          <w:szCs w:val="22"/>
          <w:lang w:val="sr-Latn-ME"/>
        </w:rPr>
        <w:t xml:space="preserve">lijeka </w:t>
      </w:r>
      <w:r w:rsidRPr="00F24057">
        <w:rPr>
          <w:szCs w:val="22"/>
          <w:lang w:val="sr-Latn-ME"/>
        </w:rPr>
        <w:t>ili otpadnog materijala nakon njegove upotrebe treba ukloniti, u skladu sa važećim propisima.</w:t>
      </w:r>
    </w:p>
    <w:p w14:paraId="072D4401" w14:textId="77777777" w:rsidR="00CE09F3" w:rsidRPr="00F24057" w:rsidRDefault="00CE09F3" w:rsidP="00D70B34">
      <w:pPr>
        <w:rPr>
          <w:szCs w:val="22"/>
          <w:lang w:val="sr-Latn-ME"/>
        </w:rPr>
      </w:pPr>
    </w:p>
    <w:p w14:paraId="4EFF2852" w14:textId="77777777" w:rsidR="003E5C78" w:rsidRPr="00F24057" w:rsidRDefault="003E5C78" w:rsidP="00D70B34">
      <w:pPr>
        <w:rPr>
          <w:szCs w:val="22"/>
          <w:lang w:val="sr-Latn-ME"/>
        </w:rPr>
      </w:pPr>
    </w:p>
    <w:p w14:paraId="072D4402" w14:textId="77777777" w:rsidR="00CE09F3" w:rsidRPr="00F24057" w:rsidRDefault="00CE09F3" w:rsidP="00D70B34">
      <w:pPr>
        <w:pStyle w:val="NASLOV123"/>
        <w:spacing w:before="0" w:after="0"/>
        <w:rPr>
          <w:lang w:val="sr-Latn-ME"/>
        </w:rPr>
      </w:pPr>
      <w:r w:rsidRPr="00F24057">
        <w:rPr>
          <w:lang w:val="sr-Latn-ME"/>
        </w:rPr>
        <w:t xml:space="preserve">7. NOSILAC DOZVOLE </w:t>
      </w:r>
    </w:p>
    <w:p w14:paraId="6D17D401" w14:textId="77777777" w:rsidR="003E5C78" w:rsidRPr="00F24057" w:rsidRDefault="003E5C78" w:rsidP="00D70B34">
      <w:pPr>
        <w:rPr>
          <w:szCs w:val="22"/>
          <w:lang w:val="sr-Latn-ME"/>
        </w:rPr>
      </w:pPr>
    </w:p>
    <w:p w14:paraId="335C348C" w14:textId="7D037871" w:rsidR="00FF3128" w:rsidRPr="00F24057" w:rsidRDefault="00FF3128" w:rsidP="00FF3128">
      <w:pPr>
        <w:rPr>
          <w:szCs w:val="22"/>
          <w:lang w:val="sr-Latn-ME"/>
        </w:rPr>
      </w:pPr>
      <w:r w:rsidRPr="00F24057">
        <w:rPr>
          <w:szCs w:val="22"/>
          <w:lang w:val="sr-Latn-ME"/>
        </w:rPr>
        <w:t>Hemofarm A</w:t>
      </w:r>
      <w:r w:rsidR="00867870" w:rsidRPr="00F24057">
        <w:rPr>
          <w:szCs w:val="22"/>
          <w:lang w:val="sr-Latn-ME"/>
        </w:rPr>
        <w:t>.</w:t>
      </w:r>
      <w:r w:rsidRPr="00F24057">
        <w:rPr>
          <w:szCs w:val="22"/>
          <w:lang w:val="sr-Latn-ME"/>
        </w:rPr>
        <w:t>D</w:t>
      </w:r>
      <w:r w:rsidR="00867870" w:rsidRPr="00F24057">
        <w:rPr>
          <w:szCs w:val="22"/>
          <w:lang w:val="sr-Latn-ME"/>
        </w:rPr>
        <w:t>.</w:t>
      </w:r>
      <w:r w:rsidRPr="00F24057">
        <w:rPr>
          <w:szCs w:val="22"/>
          <w:lang w:val="sr-Latn-ME"/>
        </w:rPr>
        <w:t>, Vršac P</w:t>
      </w:r>
      <w:r w:rsidR="00867870" w:rsidRPr="00F24057">
        <w:rPr>
          <w:szCs w:val="22"/>
          <w:lang w:val="sr-Latn-ME"/>
        </w:rPr>
        <w:t>.</w:t>
      </w:r>
      <w:r w:rsidRPr="00F24057">
        <w:rPr>
          <w:szCs w:val="22"/>
          <w:lang w:val="sr-Latn-ME"/>
        </w:rPr>
        <w:t>J</w:t>
      </w:r>
      <w:r w:rsidR="00867870" w:rsidRPr="00F24057">
        <w:rPr>
          <w:szCs w:val="22"/>
          <w:lang w:val="sr-Latn-ME"/>
        </w:rPr>
        <w:t>.</w:t>
      </w:r>
      <w:r w:rsidRPr="00F24057">
        <w:rPr>
          <w:szCs w:val="22"/>
          <w:lang w:val="sr-Latn-ME"/>
        </w:rPr>
        <w:t xml:space="preserve"> Podgorica</w:t>
      </w:r>
    </w:p>
    <w:p w14:paraId="4A0C795C" w14:textId="1C591049" w:rsidR="003E5C78" w:rsidRPr="00F24057" w:rsidRDefault="00FF3128" w:rsidP="00FF3128">
      <w:pPr>
        <w:rPr>
          <w:szCs w:val="22"/>
          <w:lang w:val="sr-Latn-ME"/>
        </w:rPr>
      </w:pPr>
      <w:r w:rsidRPr="00F24057">
        <w:rPr>
          <w:szCs w:val="22"/>
          <w:lang w:val="sr-Latn-ME"/>
        </w:rPr>
        <w:t>8 marta 55A, Podgorica</w:t>
      </w:r>
      <w:r w:rsidR="00867870" w:rsidRPr="00F24057">
        <w:rPr>
          <w:szCs w:val="22"/>
          <w:lang w:val="sr-Latn-ME"/>
        </w:rPr>
        <w:t>, Crna Gora</w:t>
      </w:r>
    </w:p>
    <w:p w14:paraId="62817761" w14:textId="77777777" w:rsidR="00FF3128" w:rsidRPr="00F24057" w:rsidRDefault="00FF3128" w:rsidP="00FF3128">
      <w:pPr>
        <w:rPr>
          <w:szCs w:val="22"/>
          <w:lang w:val="sr-Latn-ME"/>
        </w:rPr>
      </w:pPr>
      <w:bookmarkStart w:id="1" w:name="_GoBack"/>
      <w:bookmarkEnd w:id="1"/>
    </w:p>
    <w:p w14:paraId="0721BF02" w14:textId="77777777" w:rsidR="003E5C78" w:rsidRPr="00F24057" w:rsidRDefault="003E5C78" w:rsidP="00D70B34">
      <w:pPr>
        <w:rPr>
          <w:szCs w:val="22"/>
          <w:lang w:val="sr-Latn-ME"/>
        </w:rPr>
      </w:pPr>
    </w:p>
    <w:p w14:paraId="072D4405" w14:textId="148238C5" w:rsidR="00CE09F3" w:rsidRPr="00F24057" w:rsidRDefault="00CE09F3" w:rsidP="00D70B34">
      <w:pPr>
        <w:pStyle w:val="NASLOV123"/>
        <w:spacing w:before="0" w:after="0"/>
        <w:rPr>
          <w:lang w:val="sr-Latn-ME"/>
        </w:rPr>
      </w:pPr>
      <w:r w:rsidRPr="00F24057">
        <w:rPr>
          <w:lang w:val="sr-Latn-ME"/>
        </w:rPr>
        <w:t>8. BROJ DOZVOL</w:t>
      </w:r>
      <w:r w:rsidR="005E747E" w:rsidRPr="00F24057">
        <w:rPr>
          <w:lang w:val="sr-Latn-ME"/>
        </w:rPr>
        <w:t>E</w:t>
      </w:r>
      <w:r w:rsidRPr="00F24057">
        <w:rPr>
          <w:lang w:val="sr-Latn-ME"/>
        </w:rPr>
        <w:t xml:space="preserve"> ZA STAVLJANJE </w:t>
      </w:r>
      <w:r w:rsidR="00885A78" w:rsidRPr="00F24057">
        <w:rPr>
          <w:lang w:val="sr-Latn-ME"/>
        </w:rPr>
        <w:t xml:space="preserve">LIJEKA </w:t>
      </w:r>
      <w:r w:rsidRPr="00F24057">
        <w:rPr>
          <w:lang w:val="sr-Latn-ME"/>
        </w:rPr>
        <w:t>U PROMET</w:t>
      </w:r>
    </w:p>
    <w:p w14:paraId="072D4408" w14:textId="77777777" w:rsidR="00CE09F3" w:rsidRPr="00F24057" w:rsidRDefault="00CE09F3" w:rsidP="00D70B34">
      <w:pPr>
        <w:rPr>
          <w:szCs w:val="22"/>
          <w:lang w:val="sr-Latn-ME"/>
        </w:rPr>
      </w:pPr>
    </w:p>
    <w:p w14:paraId="3007E7FC" w14:textId="1461CA67" w:rsidR="003E5C78" w:rsidRPr="00F24057" w:rsidRDefault="00C775AC" w:rsidP="00D70B34">
      <w:pPr>
        <w:rPr>
          <w:szCs w:val="22"/>
          <w:lang w:val="sr-Latn-ME"/>
        </w:rPr>
      </w:pPr>
      <w:r w:rsidRPr="00F24057">
        <w:rPr>
          <w:szCs w:val="22"/>
        </w:rPr>
        <w:t>2030/24/6576 - 7257</w:t>
      </w:r>
    </w:p>
    <w:p w14:paraId="1BD8C11B" w14:textId="77777777" w:rsidR="00885A78" w:rsidRPr="00F24057" w:rsidRDefault="00885A78" w:rsidP="00D70B34">
      <w:pPr>
        <w:rPr>
          <w:szCs w:val="22"/>
          <w:lang w:val="sr-Latn-ME"/>
        </w:rPr>
      </w:pPr>
    </w:p>
    <w:p w14:paraId="64BCED70" w14:textId="77777777" w:rsidR="003E5C78" w:rsidRPr="00F24057" w:rsidRDefault="003E5C78" w:rsidP="00D70B34">
      <w:pPr>
        <w:rPr>
          <w:szCs w:val="22"/>
          <w:lang w:val="sr-Latn-ME"/>
        </w:rPr>
      </w:pPr>
    </w:p>
    <w:p w14:paraId="072D4409" w14:textId="5D1EC675" w:rsidR="00CE09F3" w:rsidRPr="00F24057" w:rsidRDefault="00CE09F3" w:rsidP="00D70B34">
      <w:pPr>
        <w:pStyle w:val="NASLOV123"/>
        <w:spacing w:before="0" w:after="0"/>
        <w:jc w:val="both"/>
        <w:rPr>
          <w:lang w:val="sr-Latn-ME"/>
        </w:rPr>
      </w:pPr>
      <w:r w:rsidRPr="00F24057">
        <w:rPr>
          <w:lang w:val="sr-Latn-ME"/>
        </w:rPr>
        <w:t>9. DATUM PRVE DOZVOLE</w:t>
      </w:r>
      <w:r w:rsidR="00FF3128" w:rsidRPr="00F24057">
        <w:rPr>
          <w:lang w:val="sr-Latn-ME"/>
        </w:rPr>
        <w:t>/</w:t>
      </w:r>
      <w:r w:rsidRPr="00F24057">
        <w:rPr>
          <w:lang w:val="sr-Latn-ME"/>
        </w:rPr>
        <w:t xml:space="preserve">OBNOVE DOZVOLE ZA STAVLJANJE </w:t>
      </w:r>
      <w:r w:rsidR="00885A78" w:rsidRPr="00F24057">
        <w:rPr>
          <w:lang w:val="sr-Latn-ME"/>
        </w:rPr>
        <w:t xml:space="preserve">LIJEKA </w:t>
      </w:r>
      <w:r w:rsidRPr="00F24057">
        <w:rPr>
          <w:lang w:val="sr-Latn-ME"/>
        </w:rPr>
        <w:t>U PROMET</w:t>
      </w:r>
    </w:p>
    <w:p w14:paraId="422E90FB" w14:textId="77777777" w:rsidR="003E5C78" w:rsidRPr="00F24057" w:rsidRDefault="003E5C78" w:rsidP="00D70B34">
      <w:pPr>
        <w:autoSpaceDE w:val="0"/>
        <w:autoSpaceDN w:val="0"/>
        <w:adjustRightInd w:val="0"/>
        <w:rPr>
          <w:szCs w:val="22"/>
          <w:lang w:val="sr-Latn-ME"/>
        </w:rPr>
      </w:pPr>
    </w:p>
    <w:p w14:paraId="072D440D" w14:textId="3C6CF6DD" w:rsidR="00CE09F3" w:rsidRPr="00F24057" w:rsidRDefault="00C775AC" w:rsidP="00D70B34">
      <w:pPr>
        <w:rPr>
          <w:szCs w:val="22"/>
          <w:lang w:val="sr-Latn-ME"/>
        </w:rPr>
      </w:pPr>
      <w:r w:rsidRPr="00F24057">
        <w:rPr>
          <w:szCs w:val="22"/>
          <w:lang w:val="sr-Latn-ME"/>
        </w:rPr>
        <w:t>09.12.2024. godine</w:t>
      </w:r>
    </w:p>
    <w:p w14:paraId="3B474E2F" w14:textId="77777777" w:rsidR="00C775AC" w:rsidRPr="00F24057" w:rsidRDefault="00C775AC" w:rsidP="00D70B34">
      <w:pPr>
        <w:rPr>
          <w:szCs w:val="22"/>
          <w:lang w:val="sr-Latn-ME"/>
        </w:rPr>
      </w:pPr>
    </w:p>
    <w:p w14:paraId="41565E11" w14:textId="77777777" w:rsidR="003E5C78" w:rsidRPr="00F24057" w:rsidRDefault="003E5C78" w:rsidP="00D70B34">
      <w:pPr>
        <w:rPr>
          <w:szCs w:val="22"/>
          <w:lang w:val="sr-Latn-ME"/>
        </w:rPr>
      </w:pPr>
    </w:p>
    <w:p w14:paraId="072D4414" w14:textId="42594161" w:rsidR="00923865" w:rsidRPr="00F24057" w:rsidRDefault="00CE09F3" w:rsidP="00D70B34">
      <w:pPr>
        <w:pStyle w:val="NASLOV123"/>
        <w:spacing w:before="0" w:after="0"/>
        <w:rPr>
          <w:lang w:val="sr-Latn-ME"/>
        </w:rPr>
      </w:pPr>
      <w:r w:rsidRPr="00F24057">
        <w:rPr>
          <w:lang w:val="sr-Latn-ME"/>
        </w:rPr>
        <w:t>10. DATUM REVIZIJE TEKSTA</w:t>
      </w:r>
    </w:p>
    <w:p w14:paraId="6B136638" w14:textId="77777777" w:rsidR="003E5C78" w:rsidRPr="00F24057" w:rsidRDefault="003E5C78" w:rsidP="00D70B34">
      <w:pPr>
        <w:pStyle w:val="NASLOV123"/>
        <w:spacing w:before="0" w:after="0"/>
        <w:rPr>
          <w:b w:val="0"/>
          <w:bCs/>
          <w:lang w:val="sr-Latn-ME"/>
        </w:rPr>
      </w:pPr>
    </w:p>
    <w:p w14:paraId="752DEE78" w14:textId="0F98C256" w:rsidR="00C371A2" w:rsidRPr="00F24057" w:rsidRDefault="008D0B66" w:rsidP="00D70B34">
      <w:pPr>
        <w:pStyle w:val="NASLOV123"/>
        <w:spacing w:before="0" w:after="0"/>
        <w:rPr>
          <w:b w:val="0"/>
          <w:bCs/>
          <w:lang w:val="sr-Latn-ME"/>
        </w:rPr>
      </w:pPr>
      <w:r w:rsidRPr="00F24057">
        <w:rPr>
          <w:b w:val="0"/>
          <w:bCs/>
          <w:lang w:val="sr-Latn-ME"/>
        </w:rPr>
        <w:t>Decembar</w:t>
      </w:r>
      <w:r w:rsidR="00C371A2" w:rsidRPr="00F24057">
        <w:rPr>
          <w:b w:val="0"/>
          <w:bCs/>
          <w:lang w:val="sr-Latn-ME"/>
        </w:rPr>
        <w:t>, 202</w:t>
      </w:r>
      <w:r w:rsidR="004B08A2" w:rsidRPr="00F24057">
        <w:rPr>
          <w:b w:val="0"/>
          <w:bCs/>
          <w:lang w:val="sr-Latn-ME"/>
        </w:rPr>
        <w:t>4</w:t>
      </w:r>
      <w:r w:rsidR="00C371A2" w:rsidRPr="00F24057">
        <w:rPr>
          <w:b w:val="0"/>
          <w:bCs/>
          <w:lang w:val="sr-Latn-ME"/>
        </w:rPr>
        <w:t>.</w:t>
      </w:r>
      <w:r w:rsidR="00C775AC" w:rsidRPr="00F24057">
        <w:rPr>
          <w:b w:val="0"/>
          <w:bCs/>
          <w:lang w:val="sr-Latn-ME"/>
        </w:rPr>
        <w:t xml:space="preserve"> godine</w:t>
      </w:r>
    </w:p>
    <w:sectPr w:rsidR="00C371A2" w:rsidRPr="00F24057" w:rsidSect="001B4E8E">
      <w:footerReference w:type="even" r:id="rId19"/>
      <w:footerReference w:type="default" r:id="rId20"/>
      <w:pgSz w:w="11907" w:h="16840" w:code="9"/>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5BBDE" w14:textId="77777777" w:rsidR="0011161E" w:rsidRDefault="0011161E">
      <w:r>
        <w:separator/>
      </w:r>
    </w:p>
  </w:endnote>
  <w:endnote w:type="continuationSeparator" w:id="0">
    <w:p w14:paraId="63226407" w14:textId="77777777" w:rsidR="0011161E" w:rsidRDefault="0011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441B" w14:textId="77777777" w:rsidR="000B58FF" w:rsidRDefault="000B58FF"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72D441C" w14:textId="77777777" w:rsidR="000B58FF" w:rsidRDefault="000B58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441E" w14:textId="0E00AFAA" w:rsidR="000B58FF" w:rsidRPr="00313CAB" w:rsidRDefault="0011161E" w:rsidP="005C22ED">
    <w:pPr>
      <w:pStyle w:val="Footer"/>
      <w:tabs>
        <w:tab w:val="left" w:pos="5448"/>
      </w:tabs>
      <w:jc w:val="center"/>
      <w:rPr>
        <w:sz w:val="28"/>
        <w:szCs w:val="32"/>
      </w:rPr>
    </w:pPr>
    <w:sdt>
      <w:sdtPr>
        <w:id w:val="25862803"/>
        <w:docPartObj>
          <w:docPartGallery w:val="Page Numbers (Bottom of Page)"/>
          <w:docPartUnique/>
        </w:docPartObj>
      </w:sdtPr>
      <w:sdtEndPr>
        <w:rPr>
          <w:sz w:val="28"/>
          <w:szCs w:val="32"/>
        </w:rPr>
      </w:sdtEndPr>
      <w:sdtContent>
        <w:sdt>
          <w:sdtPr>
            <w:rPr>
              <w:sz w:val="28"/>
              <w:szCs w:val="32"/>
            </w:rPr>
            <w:id w:val="565050477"/>
            <w:docPartObj>
              <w:docPartGallery w:val="Page Numbers (Top of Page)"/>
              <w:docPartUnique/>
            </w:docPartObj>
          </w:sdtPr>
          <w:sdtEndPr/>
          <w:sdtContent>
            <w:r w:rsidR="000B58FF" w:rsidRPr="00313CAB">
              <w:rPr>
                <w:szCs w:val="22"/>
              </w:rPr>
              <w:fldChar w:fldCharType="begin"/>
            </w:r>
            <w:r w:rsidR="000B58FF" w:rsidRPr="00313CAB">
              <w:rPr>
                <w:szCs w:val="22"/>
              </w:rPr>
              <w:instrText xml:space="preserve"> PAGE </w:instrText>
            </w:r>
            <w:r w:rsidR="000B58FF" w:rsidRPr="00313CAB">
              <w:rPr>
                <w:szCs w:val="22"/>
              </w:rPr>
              <w:fldChar w:fldCharType="separate"/>
            </w:r>
            <w:r w:rsidR="00F24057">
              <w:rPr>
                <w:noProof/>
                <w:szCs w:val="22"/>
              </w:rPr>
              <w:t>56</w:t>
            </w:r>
            <w:r w:rsidR="000B58FF" w:rsidRPr="00313CAB">
              <w:rPr>
                <w:szCs w:val="22"/>
              </w:rPr>
              <w:fldChar w:fldCharType="end"/>
            </w:r>
            <w:r w:rsidR="000B58FF" w:rsidRPr="00313CAB">
              <w:rPr>
                <w:szCs w:val="22"/>
              </w:rPr>
              <w:t xml:space="preserve"> / </w:t>
            </w:r>
            <w:r w:rsidR="000B58FF" w:rsidRPr="00313CAB">
              <w:rPr>
                <w:szCs w:val="22"/>
              </w:rPr>
              <w:fldChar w:fldCharType="begin"/>
            </w:r>
            <w:r w:rsidR="000B58FF" w:rsidRPr="00313CAB">
              <w:rPr>
                <w:szCs w:val="22"/>
              </w:rPr>
              <w:instrText xml:space="preserve"> NUMPAGES  </w:instrText>
            </w:r>
            <w:r w:rsidR="000B58FF" w:rsidRPr="00313CAB">
              <w:rPr>
                <w:szCs w:val="22"/>
              </w:rPr>
              <w:fldChar w:fldCharType="separate"/>
            </w:r>
            <w:r w:rsidR="00F24057">
              <w:rPr>
                <w:noProof/>
                <w:szCs w:val="22"/>
              </w:rPr>
              <w:t>56</w:t>
            </w:r>
            <w:r w:rsidR="000B58FF" w:rsidRPr="00313CAB">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C989C" w14:textId="77777777" w:rsidR="0011161E" w:rsidRDefault="0011161E">
      <w:r>
        <w:separator/>
      </w:r>
    </w:p>
  </w:footnote>
  <w:footnote w:type="continuationSeparator" w:id="0">
    <w:p w14:paraId="30FE546A" w14:textId="77777777" w:rsidR="0011161E" w:rsidRDefault="0011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7EB"/>
    <w:multiLevelType w:val="hybridMultilevel"/>
    <w:tmpl w:val="BCD8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2C42CC6"/>
    <w:multiLevelType w:val="hybridMultilevel"/>
    <w:tmpl w:val="F15E6788"/>
    <w:lvl w:ilvl="0" w:tplc="34AAE8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B045007"/>
    <w:multiLevelType w:val="hybridMultilevel"/>
    <w:tmpl w:val="43DA578A"/>
    <w:lvl w:ilvl="0" w:tplc="24E00F1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763375"/>
    <w:multiLevelType w:val="hybridMultilevel"/>
    <w:tmpl w:val="BA781984"/>
    <w:lvl w:ilvl="0" w:tplc="01126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lvlOverride w:ilvl="0">
      <w:startOverride w:val="7"/>
    </w:lvlOverride>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D88"/>
    <w:rsid w:val="00007D37"/>
    <w:rsid w:val="0001180B"/>
    <w:rsid w:val="00011DDE"/>
    <w:rsid w:val="00013FA4"/>
    <w:rsid w:val="000165BD"/>
    <w:rsid w:val="00016975"/>
    <w:rsid w:val="00017801"/>
    <w:rsid w:val="00020E8D"/>
    <w:rsid w:val="00023C5B"/>
    <w:rsid w:val="0002433B"/>
    <w:rsid w:val="00024B8E"/>
    <w:rsid w:val="0002502E"/>
    <w:rsid w:val="00030E8C"/>
    <w:rsid w:val="000336D3"/>
    <w:rsid w:val="00034035"/>
    <w:rsid w:val="000358D9"/>
    <w:rsid w:val="000441EF"/>
    <w:rsid w:val="00044979"/>
    <w:rsid w:val="00044AF6"/>
    <w:rsid w:val="0004661F"/>
    <w:rsid w:val="00047725"/>
    <w:rsid w:val="00047DD7"/>
    <w:rsid w:val="00050491"/>
    <w:rsid w:val="00052B0C"/>
    <w:rsid w:val="00054C42"/>
    <w:rsid w:val="00056A87"/>
    <w:rsid w:val="0005798D"/>
    <w:rsid w:val="0006219F"/>
    <w:rsid w:val="00063667"/>
    <w:rsid w:val="000637C3"/>
    <w:rsid w:val="00064273"/>
    <w:rsid w:val="00067FB0"/>
    <w:rsid w:val="00070B42"/>
    <w:rsid w:val="0007158C"/>
    <w:rsid w:val="000758BA"/>
    <w:rsid w:val="00076BB1"/>
    <w:rsid w:val="00080447"/>
    <w:rsid w:val="00082D95"/>
    <w:rsid w:val="000839CB"/>
    <w:rsid w:val="00083BE0"/>
    <w:rsid w:val="0008608B"/>
    <w:rsid w:val="00090D30"/>
    <w:rsid w:val="00093015"/>
    <w:rsid w:val="00093CF8"/>
    <w:rsid w:val="00093D57"/>
    <w:rsid w:val="00095FB6"/>
    <w:rsid w:val="0009758B"/>
    <w:rsid w:val="000A0F4A"/>
    <w:rsid w:val="000A12A8"/>
    <w:rsid w:val="000A3B36"/>
    <w:rsid w:val="000A54CE"/>
    <w:rsid w:val="000B24A8"/>
    <w:rsid w:val="000B58FF"/>
    <w:rsid w:val="000B593D"/>
    <w:rsid w:val="000C0704"/>
    <w:rsid w:val="000C4ED4"/>
    <w:rsid w:val="000C5085"/>
    <w:rsid w:val="000C56BD"/>
    <w:rsid w:val="000C6830"/>
    <w:rsid w:val="000C6E54"/>
    <w:rsid w:val="000C7AAA"/>
    <w:rsid w:val="000D287F"/>
    <w:rsid w:val="000D5631"/>
    <w:rsid w:val="000D5A28"/>
    <w:rsid w:val="000E292D"/>
    <w:rsid w:val="000E3171"/>
    <w:rsid w:val="000E3CFB"/>
    <w:rsid w:val="000E486A"/>
    <w:rsid w:val="000E75C0"/>
    <w:rsid w:val="000F004B"/>
    <w:rsid w:val="000F16C4"/>
    <w:rsid w:val="000F3C35"/>
    <w:rsid w:val="000F6669"/>
    <w:rsid w:val="00104248"/>
    <w:rsid w:val="0010477F"/>
    <w:rsid w:val="001053E5"/>
    <w:rsid w:val="0010620B"/>
    <w:rsid w:val="00106FD2"/>
    <w:rsid w:val="00107804"/>
    <w:rsid w:val="00107A45"/>
    <w:rsid w:val="00107C04"/>
    <w:rsid w:val="0011161E"/>
    <w:rsid w:val="0011242F"/>
    <w:rsid w:val="00122EDE"/>
    <w:rsid w:val="0012704F"/>
    <w:rsid w:val="0013068B"/>
    <w:rsid w:val="00130EB7"/>
    <w:rsid w:val="001337C4"/>
    <w:rsid w:val="00135265"/>
    <w:rsid w:val="00136649"/>
    <w:rsid w:val="00141639"/>
    <w:rsid w:val="0014180A"/>
    <w:rsid w:val="0014289C"/>
    <w:rsid w:val="001438A3"/>
    <w:rsid w:val="001451E1"/>
    <w:rsid w:val="00145386"/>
    <w:rsid w:val="00147692"/>
    <w:rsid w:val="00151340"/>
    <w:rsid w:val="001523A0"/>
    <w:rsid w:val="00154193"/>
    <w:rsid w:val="00160191"/>
    <w:rsid w:val="00164F6B"/>
    <w:rsid w:val="001663F5"/>
    <w:rsid w:val="001667CA"/>
    <w:rsid w:val="00171738"/>
    <w:rsid w:val="00172986"/>
    <w:rsid w:val="001734C0"/>
    <w:rsid w:val="001734CA"/>
    <w:rsid w:val="00173D18"/>
    <w:rsid w:val="00175772"/>
    <w:rsid w:val="00175A7E"/>
    <w:rsid w:val="00176188"/>
    <w:rsid w:val="00181397"/>
    <w:rsid w:val="00182D96"/>
    <w:rsid w:val="0018601D"/>
    <w:rsid w:val="001867E4"/>
    <w:rsid w:val="00191C87"/>
    <w:rsid w:val="00195739"/>
    <w:rsid w:val="0019674B"/>
    <w:rsid w:val="00196A74"/>
    <w:rsid w:val="001A7064"/>
    <w:rsid w:val="001A7847"/>
    <w:rsid w:val="001B0235"/>
    <w:rsid w:val="001B0792"/>
    <w:rsid w:val="001B11AC"/>
    <w:rsid w:val="001B3086"/>
    <w:rsid w:val="001B4E8E"/>
    <w:rsid w:val="001B6B0A"/>
    <w:rsid w:val="001B706A"/>
    <w:rsid w:val="001B762F"/>
    <w:rsid w:val="001C3CDF"/>
    <w:rsid w:val="001C41F2"/>
    <w:rsid w:val="001C5232"/>
    <w:rsid w:val="001C6484"/>
    <w:rsid w:val="001D051D"/>
    <w:rsid w:val="001D10C9"/>
    <w:rsid w:val="001D2FD0"/>
    <w:rsid w:val="001D5248"/>
    <w:rsid w:val="001D677F"/>
    <w:rsid w:val="001D7017"/>
    <w:rsid w:val="001E0A07"/>
    <w:rsid w:val="001E169F"/>
    <w:rsid w:val="001E1859"/>
    <w:rsid w:val="001E189E"/>
    <w:rsid w:val="001E3585"/>
    <w:rsid w:val="001E5308"/>
    <w:rsid w:val="001E562B"/>
    <w:rsid w:val="001E6145"/>
    <w:rsid w:val="001F2D06"/>
    <w:rsid w:val="001F2D4E"/>
    <w:rsid w:val="001F3948"/>
    <w:rsid w:val="001F39B6"/>
    <w:rsid w:val="001F6D1D"/>
    <w:rsid w:val="001F6D7B"/>
    <w:rsid w:val="00202D7B"/>
    <w:rsid w:val="00205153"/>
    <w:rsid w:val="002150AD"/>
    <w:rsid w:val="00217C41"/>
    <w:rsid w:val="0022218E"/>
    <w:rsid w:val="0022223A"/>
    <w:rsid w:val="00222CDE"/>
    <w:rsid w:val="00224497"/>
    <w:rsid w:val="002249CF"/>
    <w:rsid w:val="00224FE4"/>
    <w:rsid w:val="002262E6"/>
    <w:rsid w:val="002271FE"/>
    <w:rsid w:val="0023241F"/>
    <w:rsid w:val="00232981"/>
    <w:rsid w:val="00232F68"/>
    <w:rsid w:val="00233556"/>
    <w:rsid w:val="00233EC0"/>
    <w:rsid w:val="00235266"/>
    <w:rsid w:val="00237521"/>
    <w:rsid w:val="00240A4D"/>
    <w:rsid w:val="00241118"/>
    <w:rsid w:val="0024132F"/>
    <w:rsid w:val="00242DCD"/>
    <w:rsid w:val="00243B26"/>
    <w:rsid w:val="0024532D"/>
    <w:rsid w:val="00245719"/>
    <w:rsid w:val="00247C5C"/>
    <w:rsid w:val="002509B0"/>
    <w:rsid w:val="002567CB"/>
    <w:rsid w:val="00257C06"/>
    <w:rsid w:val="00262738"/>
    <w:rsid w:val="002643FC"/>
    <w:rsid w:val="00264D42"/>
    <w:rsid w:val="0026512B"/>
    <w:rsid w:val="00266733"/>
    <w:rsid w:val="00273BE0"/>
    <w:rsid w:val="00277701"/>
    <w:rsid w:val="00280273"/>
    <w:rsid w:val="00280E0E"/>
    <w:rsid w:val="00281332"/>
    <w:rsid w:val="002831A2"/>
    <w:rsid w:val="00284F3D"/>
    <w:rsid w:val="00286AD5"/>
    <w:rsid w:val="00286CD8"/>
    <w:rsid w:val="0028775B"/>
    <w:rsid w:val="00294A3B"/>
    <w:rsid w:val="0029647E"/>
    <w:rsid w:val="002A07D4"/>
    <w:rsid w:val="002A4E0E"/>
    <w:rsid w:val="002B1C20"/>
    <w:rsid w:val="002B1E62"/>
    <w:rsid w:val="002B3F07"/>
    <w:rsid w:val="002B4701"/>
    <w:rsid w:val="002B5CFB"/>
    <w:rsid w:val="002B6F6A"/>
    <w:rsid w:val="002C0FBF"/>
    <w:rsid w:val="002C0FDF"/>
    <w:rsid w:val="002C3D38"/>
    <w:rsid w:val="002C4CA3"/>
    <w:rsid w:val="002C79EF"/>
    <w:rsid w:val="002D010D"/>
    <w:rsid w:val="002D2876"/>
    <w:rsid w:val="002D30A8"/>
    <w:rsid w:val="002D3530"/>
    <w:rsid w:val="002D71EB"/>
    <w:rsid w:val="002D7D16"/>
    <w:rsid w:val="002E0EE4"/>
    <w:rsid w:val="002E6F66"/>
    <w:rsid w:val="002F08D3"/>
    <w:rsid w:val="002F2886"/>
    <w:rsid w:val="002F5E2F"/>
    <w:rsid w:val="0030064A"/>
    <w:rsid w:val="00301C52"/>
    <w:rsid w:val="00303FB4"/>
    <w:rsid w:val="003070AD"/>
    <w:rsid w:val="0031079F"/>
    <w:rsid w:val="00311911"/>
    <w:rsid w:val="00311A3B"/>
    <w:rsid w:val="00311B6E"/>
    <w:rsid w:val="00313B3D"/>
    <w:rsid w:val="00313CAB"/>
    <w:rsid w:val="00316A48"/>
    <w:rsid w:val="00316FC0"/>
    <w:rsid w:val="00323E0C"/>
    <w:rsid w:val="0032598F"/>
    <w:rsid w:val="003259EA"/>
    <w:rsid w:val="003327B7"/>
    <w:rsid w:val="00333F38"/>
    <w:rsid w:val="00337867"/>
    <w:rsid w:val="003432CC"/>
    <w:rsid w:val="0034362C"/>
    <w:rsid w:val="003452C0"/>
    <w:rsid w:val="00353AB9"/>
    <w:rsid w:val="003540C4"/>
    <w:rsid w:val="003557F4"/>
    <w:rsid w:val="00356A4B"/>
    <w:rsid w:val="00356C0D"/>
    <w:rsid w:val="00360BDC"/>
    <w:rsid w:val="00362543"/>
    <w:rsid w:val="003632D4"/>
    <w:rsid w:val="00364985"/>
    <w:rsid w:val="00370A0C"/>
    <w:rsid w:val="00371CCA"/>
    <w:rsid w:val="00371F66"/>
    <w:rsid w:val="00383195"/>
    <w:rsid w:val="00383EFD"/>
    <w:rsid w:val="003876F6"/>
    <w:rsid w:val="003913CE"/>
    <w:rsid w:val="00394E9F"/>
    <w:rsid w:val="003950DE"/>
    <w:rsid w:val="0039700F"/>
    <w:rsid w:val="003A23FC"/>
    <w:rsid w:val="003A2DF8"/>
    <w:rsid w:val="003A78EB"/>
    <w:rsid w:val="003B02AA"/>
    <w:rsid w:val="003B1ECF"/>
    <w:rsid w:val="003B2082"/>
    <w:rsid w:val="003B2F31"/>
    <w:rsid w:val="003C01FC"/>
    <w:rsid w:val="003C0C3C"/>
    <w:rsid w:val="003C18A4"/>
    <w:rsid w:val="003C3C53"/>
    <w:rsid w:val="003D1AD5"/>
    <w:rsid w:val="003D2A08"/>
    <w:rsid w:val="003D4BE0"/>
    <w:rsid w:val="003E0100"/>
    <w:rsid w:val="003E02DC"/>
    <w:rsid w:val="003E37F6"/>
    <w:rsid w:val="003E3EC7"/>
    <w:rsid w:val="003E4F76"/>
    <w:rsid w:val="003E5C78"/>
    <w:rsid w:val="003E698B"/>
    <w:rsid w:val="003F026E"/>
    <w:rsid w:val="003F17D2"/>
    <w:rsid w:val="003F2764"/>
    <w:rsid w:val="003F2C9B"/>
    <w:rsid w:val="003F3278"/>
    <w:rsid w:val="003F3D31"/>
    <w:rsid w:val="0040462B"/>
    <w:rsid w:val="0040657C"/>
    <w:rsid w:val="00410467"/>
    <w:rsid w:val="004123CD"/>
    <w:rsid w:val="00414953"/>
    <w:rsid w:val="0041600A"/>
    <w:rsid w:val="00416F72"/>
    <w:rsid w:val="004171A5"/>
    <w:rsid w:val="004229EA"/>
    <w:rsid w:val="004234ED"/>
    <w:rsid w:val="00423A1A"/>
    <w:rsid w:val="00427D41"/>
    <w:rsid w:val="004305EF"/>
    <w:rsid w:val="00431FC5"/>
    <w:rsid w:val="00434D88"/>
    <w:rsid w:val="00435FFF"/>
    <w:rsid w:val="00437C94"/>
    <w:rsid w:val="004408A9"/>
    <w:rsid w:val="0044184C"/>
    <w:rsid w:val="00442D8B"/>
    <w:rsid w:val="00442E28"/>
    <w:rsid w:val="004473E9"/>
    <w:rsid w:val="0044761A"/>
    <w:rsid w:val="00454719"/>
    <w:rsid w:val="004562B1"/>
    <w:rsid w:val="00456A69"/>
    <w:rsid w:val="00460E9D"/>
    <w:rsid w:val="00461900"/>
    <w:rsid w:val="004628C0"/>
    <w:rsid w:val="00462C33"/>
    <w:rsid w:val="004704AF"/>
    <w:rsid w:val="00475242"/>
    <w:rsid w:val="0048032B"/>
    <w:rsid w:val="00480F8D"/>
    <w:rsid w:val="00482F62"/>
    <w:rsid w:val="004847D8"/>
    <w:rsid w:val="00486C17"/>
    <w:rsid w:val="00486FF3"/>
    <w:rsid w:val="0048794E"/>
    <w:rsid w:val="00492248"/>
    <w:rsid w:val="0049458E"/>
    <w:rsid w:val="00496CF6"/>
    <w:rsid w:val="00497648"/>
    <w:rsid w:val="004A2172"/>
    <w:rsid w:val="004A5745"/>
    <w:rsid w:val="004A5B7F"/>
    <w:rsid w:val="004B08A2"/>
    <w:rsid w:val="004B488F"/>
    <w:rsid w:val="004B48B6"/>
    <w:rsid w:val="004B4A97"/>
    <w:rsid w:val="004B5A11"/>
    <w:rsid w:val="004B7A50"/>
    <w:rsid w:val="004B7F73"/>
    <w:rsid w:val="004C45FF"/>
    <w:rsid w:val="004D077D"/>
    <w:rsid w:val="004D230F"/>
    <w:rsid w:val="004D43AA"/>
    <w:rsid w:val="004D64E8"/>
    <w:rsid w:val="004E008E"/>
    <w:rsid w:val="004E1278"/>
    <w:rsid w:val="004E3A12"/>
    <w:rsid w:val="004E4979"/>
    <w:rsid w:val="004E5693"/>
    <w:rsid w:val="004E6A39"/>
    <w:rsid w:val="004F0F96"/>
    <w:rsid w:val="004F1450"/>
    <w:rsid w:val="004F2520"/>
    <w:rsid w:val="004F3057"/>
    <w:rsid w:val="004F3783"/>
    <w:rsid w:val="004F4D1C"/>
    <w:rsid w:val="005025C0"/>
    <w:rsid w:val="00503176"/>
    <w:rsid w:val="00503974"/>
    <w:rsid w:val="00504B10"/>
    <w:rsid w:val="0050550C"/>
    <w:rsid w:val="00505B90"/>
    <w:rsid w:val="00506CC0"/>
    <w:rsid w:val="00510684"/>
    <w:rsid w:val="005106CA"/>
    <w:rsid w:val="00512529"/>
    <w:rsid w:val="0051260A"/>
    <w:rsid w:val="00513141"/>
    <w:rsid w:val="005162E0"/>
    <w:rsid w:val="00517D8E"/>
    <w:rsid w:val="0052230B"/>
    <w:rsid w:val="00525A8A"/>
    <w:rsid w:val="00525F12"/>
    <w:rsid w:val="0052617D"/>
    <w:rsid w:val="00526F76"/>
    <w:rsid w:val="005276F0"/>
    <w:rsid w:val="00527EA5"/>
    <w:rsid w:val="00530909"/>
    <w:rsid w:val="005309C2"/>
    <w:rsid w:val="0053394F"/>
    <w:rsid w:val="00534CEA"/>
    <w:rsid w:val="0053655F"/>
    <w:rsid w:val="00537040"/>
    <w:rsid w:val="005374FB"/>
    <w:rsid w:val="00537982"/>
    <w:rsid w:val="00541381"/>
    <w:rsid w:val="00543986"/>
    <w:rsid w:val="0054495F"/>
    <w:rsid w:val="005456BC"/>
    <w:rsid w:val="00551D9B"/>
    <w:rsid w:val="00552C27"/>
    <w:rsid w:val="00553758"/>
    <w:rsid w:val="005600EF"/>
    <w:rsid w:val="00562858"/>
    <w:rsid w:val="005659BA"/>
    <w:rsid w:val="00567A48"/>
    <w:rsid w:val="00570A68"/>
    <w:rsid w:val="005717C1"/>
    <w:rsid w:val="00571C54"/>
    <w:rsid w:val="005724A9"/>
    <w:rsid w:val="00576A6B"/>
    <w:rsid w:val="00576A78"/>
    <w:rsid w:val="005833CA"/>
    <w:rsid w:val="0058368E"/>
    <w:rsid w:val="00583FF4"/>
    <w:rsid w:val="005855CB"/>
    <w:rsid w:val="005906B7"/>
    <w:rsid w:val="0059112C"/>
    <w:rsid w:val="00595955"/>
    <w:rsid w:val="00596048"/>
    <w:rsid w:val="005A1D5C"/>
    <w:rsid w:val="005A298F"/>
    <w:rsid w:val="005A54D2"/>
    <w:rsid w:val="005A625A"/>
    <w:rsid w:val="005A68D2"/>
    <w:rsid w:val="005A7C87"/>
    <w:rsid w:val="005B11F5"/>
    <w:rsid w:val="005B1490"/>
    <w:rsid w:val="005B149F"/>
    <w:rsid w:val="005B1907"/>
    <w:rsid w:val="005B1D03"/>
    <w:rsid w:val="005B2148"/>
    <w:rsid w:val="005B3388"/>
    <w:rsid w:val="005B41B4"/>
    <w:rsid w:val="005B5060"/>
    <w:rsid w:val="005B55F3"/>
    <w:rsid w:val="005B6391"/>
    <w:rsid w:val="005B6DBC"/>
    <w:rsid w:val="005C0EBB"/>
    <w:rsid w:val="005C12C5"/>
    <w:rsid w:val="005C22ED"/>
    <w:rsid w:val="005C368C"/>
    <w:rsid w:val="005C3F73"/>
    <w:rsid w:val="005C4475"/>
    <w:rsid w:val="005C4EED"/>
    <w:rsid w:val="005C5218"/>
    <w:rsid w:val="005C52DD"/>
    <w:rsid w:val="005C7891"/>
    <w:rsid w:val="005D1E5F"/>
    <w:rsid w:val="005D1FB8"/>
    <w:rsid w:val="005D3973"/>
    <w:rsid w:val="005D404B"/>
    <w:rsid w:val="005D5461"/>
    <w:rsid w:val="005D6EE3"/>
    <w:rsid w:val="005D7A79"/>
    <w:rsid w:val="005E6EAE"/>
    <w:rsid w:val="005E747E"/>
    <w:rsid w:val="005F291C"/>
    <w:rsid w:val="005F5025"/>
    <w:rsid w:val="005F55CB"/>
    <w:rsid w:val="005F572A"/>
    <w:rsid w:val="005F5FCB"/>
    <w:rsid w:val="00601E32"/>
    <w:rsid w:val="006027E6"/>
    <w:rsid w:val="006030EE"/>
    <w:rsid w:val="00603302"/>
    <w:rsid w:val="00603EB7"/>
    <w:rsid w:val="00604E4F"/>
    <w:rsid w:val="006051AA"/>
    <w:rsid w:val="006054EE"/>
    <w:rsid w:val="00606EF7"/>
    <w:rsid w:val="006118B6"/>
    <w:rsid w:val="00612B7D"/>
    <w:rsid w:val="00613D17"/>
    <w:rsid w:val="00614A2A"/>
    <w:rsid w:val="006210B5"/>
    <w:rsid w:val="00621E12"/>
    <w:rsid w:val="006225FD"/>
    <w:rsid w:val="00622B91"/>
    <w:rsid w:val="00625D5C"/>
    <w:rsid w:val="006270C0"/>
    <w:rsid w:val="00630195"/>
    <w:rsid w:val="0063035F"/>
    <w:rsid w:val="00630465"/>
    <w:rsid w:val="00631C85"/>
    <w:rsid w:val="00641378"/>
    <w:rsid w:val="006417DE"/>
    <w:rsid w:val="00641860"/>
    <w:rsid w:val="00642C55"/>
    <w:rsid w:val="00644BD7"/>
    <w:rsid w:val="006466C0"/>
    <w:rsid w:val="00652907"/>
    <w:rsid w:val="006559AF"/>
    <w:rsid w:val="00660ED5"/>
    <w:rsid w:val="006617AB"/>
    <w:rsid w:val="00664642"/>
    <w:rsid w:val="00667FC1"/>
    <w:rsid w:val="00671751"/>
    <w:rsid w:val="00672BF5"/>
    <w:rsid w:val="00673CC1"/>
    <w:rsid w:val="00674C02"/>
    <w:rsid w:val="00677689"/>
    <w:rsid w:val="00681CE3"/>
    <w:rsid w:val="006822AA"/>
    <w:rsid w:val="006838D9"/>
    <w:rsid w:val="0068538E"/>
    <w:rsid w:val="00691BEF"/>
    <w:rsid w:val="00692465"/>
    <w:rsid w:val="00693874"/>
    <w:rsid w:val="00693F46"/>
    <w:rsid w:val="006A094D"/>
    <w:rsid w:val="006A3BA6"/>
    <w:rsid w:val="006A5CE9"/>
    <w:rsid w:val="006B0652"/>
    <w:rsid w:val="006B1D50"/>
    <w:rsid w:val="006B35D7"/>
    <w:rsid w:val="006B4F3A"/>
    <w:rsid w:val="006B5191"/>
    <w:rsid w:val="006B5FA6"/>
    <w:rsid w:val="006B6F98"/>
    <w:rsid w:val="006C2D6C"/>
    <w:rsid w:val="006C3EE7"/>
    <w:rsid w:val="006C4B05"/>
    <w:rsid w:val="006D0599"/>
    <w:rsid w:val="006D244E"/>
    <w:rsid w:val="006D5AEA"/>
    <w:rsid w:val="006E01AA"/>
    <w:rsid w:val="006E1070"/>
    <w:rsid w:val="006E2502"/>
    <w:rsid w:val="006E3E82"/>
    <w:rsid w:val="006E3EBA"/>
    <w:rsid w:val="006E74BE"/>
    <w:rsid w:val="006F00BC"/>
    <w:rsid w:val="006F01F0"/>
    <w:rsid w:val="006F158F"/>
    <w:rsid w:val="006F38F6"/>
    <w:rsid w:val="006F3E35"/>
    <w:rsid w:val="006F5495"/>
    <w:rsid w:val="006F5DB7"/>
    <w:rsid w:val="006F763A"/>
    <w:rsid w:val="006F790F"/>
    <w:rsid w:val="00703DAD"/>
    <w:rsid w:val="0071098B"/>
    <w:rsid w:val="00712FFB"/>
    <w:rsid w:val="0071344C"/>
    <w:rsid w:val="00713883"/>
    <w:rsid w:val="007161B4"/>
    <w:rsid w:val="00721D4C"/>
    <w:rsid w:val="0073063F"/>
    <w:rsid w:val="00731F2F"/>
    <w:rsid w:val="00732325"/>
    <w:rsid w:val="007329AC"/>
    <w:rsid w:val="00733F79"/>
    <w:rsid w:val="00735CD3"/>
    <w:rsid w:val="00735F7C"/>
    <w:rsid w:val="00736897"/>
    <w:rsid w:val="00737303"/>
    <w:rsid w:val="0074465E"/>
    <w:rsid w:val="00746381"/>
    <w:rsid w:val="0074767E"/>
    <w:rsid w:val="00747CF4"/>
    <w:rsid w:val="00752742"/>
    <w:rsid w:val="00754470"/>
    <w:rsid w:val="0075617B"/>
    <w:rsid w:val="00761A9D"/>
    <w:rsid w:val="00762B39"/>
    <w:rsid w:val="00764648"/>
    <w:rsid w:val="00765DB4"/>
    <w:rsid w:val="00765DDC"/>
    <w:rsid w:val="00766E24"/>
    <w:rsid w:val="007672F3"/>
    <w:rsid w:val="007677A0"/>
    <w:rsid w:val="00771666"/>
    <w:rsid w:val="00771881"/>
    <w:rsid w:val="00773A97"/>
    <w:rsid w:val="007749C2"/>
    <w:rsid w:val="007771A5"/>
    <w:rsid w:val="00777C80"/>
    <w:rsid w:val="00781B77"/>
    <w:rsid w:val="00783303"/>
    <w:rsid w:val="00785ED7"/>
    <w:rsid w:val="00786534"/>
    <w:rsid w:val="0078753D"/>
    <w:rsid w:val="00791214"/>
    <w:rsid w:val="00793814"/>
    <w:rsid w:val="00793D82"/>
    <w:rsid w:val="00796C70"/>
    <w:rsid w:val="00796EAF"/>
    <w:rsid w:val="007A1D2C"/>
    <w:rsid w:val="007A20AA"/>
    <w:rsid w:val="007A6914"/>
    <w:rsid w:val="007A705E"/>
    <w:rsid w:val="007B16C4"/>
    <w:rsid w:val="007B39D0"/>
    <w:rsid w:val="007B5584"/>
    <w:rsid w:val="007B77D1"/>
    <w:rsid w:val="007C1945"/>
    <w:rsid w:val="007C1D3A"/>
    <w:rsid w:val="007C2D7E"/>
    <w:rsid w:val="007C2FFD"/>
    <w:rsid w:val="007C6E14"/>
    <w:rsid w:val="007C7A92"/>
    <w:rsid w:val="007D17FD"/>
    <w:rsid w:val="007D3765"/>
    <w:rsid w:val="007D48C5"/>
    <w:rsid w:val="007D7758"/>
    <w:rsid w:val="007E06F0"/>
    <w:rsid w:val="007E0E89"/>
    <w:rsid w:val="007E10B1"/>
    <w:rsid w:val="007E1743"/>
    <w:rsid w:val="007E17EA"/>
    <w:rsid w:val="007E5568"/>
    <w:rsid w:val="007E56E3"/>
    <w:rsid w:val="007E7901"/>
    <w:rsid w:val="007F0E59"/>
    <w:rsid w:val="007F33CD"/>
    <w:rsid w:val="007F50CF"/>
    <w:rsid w:val="007F6E71"/>
    <w:rsid w:val="00802A0A"/>
    <w:rsid w:val="00802DFC"/>
    <w:rsid w:val="00803F7C"/>
    <w:rsid w:val="00805E33"/>
    <w:rsid w:val="00806B06"/>
    <w:rsid w:val="008121D7"/>
    <w:rsid w:val="008132CA"/>
    <w:rsid w:val="00813885"/>
    <w:rsid w:val="00813E14"/>
    <w:rsid w:val="008142A2"/>
    <w:rsid w:val="00814781"/>
    <w:rsid w:val="00816A4C"/>
    <w:rsid w:val="00820408"/>
    <w:rsid w:val="00820978"/>
    <w:rsid w:val="00824444"/>
    <w:rsid w:val="00826C34"/>
    <w:rsid w:val="008301DB"/>
    <w:rsid w:val="00831681"/>
    <w:rsid w:val="008336EF"/>
    <w:rsid w:val="00833761"/>
    <w:rsid w:val="00834DBB"/>
    <w:rsid w:val="00835820"/>
    <w:rsid w:val="0083737F"/>
    <w:rsid w:val="008374E9"/>
    <w:rsid w:val="008407BC"/>
    <w:rsid w:val="00842FFB"/>
    <w:rsid w:val="00843943"/>
    <w:rsid w:val="00844B9A"/>
    <w:rsid w:val="0084799D"/>
    <w:rsid w:val="00847BB8"/>
    <w:rsid w:val="0085087D"/>
    <w:rsid w:val="00851D16"/>
    <w:rsid w:val="008533A1"/>
    <w:rsid w:val="0085510B"/>
    <w:rsid w:val="008556D3"/>
    <w:rsid w:val="0085752F"/>
    <w:rsid w:val="0086086E"/>
    <w:rsid w:val="008616F1"/>
    <w:rsid w:val="0086351A"/>
    <w:rsid w:val="00864554"/>
    <w:rsid w:val="00865471"/>
    <w:rsid w:val="00867870"/>
    <w:rsid w:val="0087286E"/>
    <w:rsid w:val="008742E2"/>
    <w:rsid w:val="00874309"/>
    <w:rsid w:val="00874B61"/>
    <w:rsid w:val="008816DD"/>
    <w:rsid w:val="00883DB9"/>
    <w:rsid w:val="00885A78"/>
    <w:rsid w:val="008906DA"/>
    <w:rsid w:val="008919D7"/>
    <w:rsid w:val="0089346F"/>
    <w:rsid w:val="00896F57"/>
    <w:rsid w:val="00897E85"/>
    <w:rsid w:val="008A0996"/>
    <w:rsid w:val="008A48B7"/>
    <w:rsid w:val="008B1DBB"/>
    <w:rsid w:val="008B221E"/>
    <w:rsid w:val="008B3EB5"/>
    <w:rsid w:val="008B4BBC"/>
    <w:rsid w:val="008C0989"/>
    <w:rsid w:val="008C1DC3"/>
    <w:rsid w:val="008C26BF"/>
    <w:rsid w:val="008C2789"/>
    <w:rsid w:val="008C5809"/>
    <w:rsid w:val="008C5A7D"/>
    <w:rsid w:val="008C7776"/>
    <w:rsid w:val="008D076F"/>
    <w:rsid w:val="008D0B66"/>
    <w:rsid w:val="008D1F4F"/>
    <w:rsid w:val="008D232B"/>
    <w:rsid w:val="008D2604"/>
    <w:rsid w:val="008D37E9"/>
    <w:rsid w:val="008D3F2A"/>
    <w:rsid w:val="008D5EC0"/>
    <w:rsid w:val="008D78C9"/>
    <w:rsid w:val="008D7D56"/>
    <w:rsid w:val="008E0FC9"/>
    <w:rsid w:val="008E2AC6"/>
    <w:rsid w:val="008E4FC4"/>
    <w:rsid w:val="008E71CE"/>
    <w:rsid w:val="008E73E7"/>
    <w:rsid w:val="008F03B4"/>
    <w:rsid w:val="008F16D2"/>
    <w:rsid w:val="008F793F"/>
    <w:rsid w:val="00901723"/>
    <w:rsid w:val="00901C60"/>
    <w:rsid w:val="00902C35"/>
    <w:rsid w:val="00905607"/>
    <w:rsid w:val="00910194"/>
    <w:rsid w:val="00911D74"/>
    <w:rsid w:val="00913684"/>
    <w:rsid w:val="009222F1"/>
    <w:rsid w:val="009233C8"/>
    <w:rsid w:val="009236E3"/>
    <w:rsid w:val="00923865"/>
    <w:rsid w:val="009265FE"/>
    <w:rsid w:val="00926EF8"/>
    <w:rsid w:val="0092703C"/>
    <w:rsid w:val="009273DC"/>
    <w:rsid w:val="0093016E"/>
    <w:rsid w:val="0093182F"/>
    <w:rsid w:val="00931F41"/>
    <w:rsid w:val="00932839"/>
    <w:rsid w:val="00934B4D"/>
    <w:rsid w:val="009359ED"/>
    <w:rsid w:val="00936C53"/>
    <w:rsid w:val="00940620"/>
    <w:rsid w:val="00943D57"/>
    <w:rsid w:val="00947224"/>
    <w:rsid w:val="009520B2"/>
    <w:rsid w:val="00953D74"/>
    <w:rsid w:val="00953F56"/>
    <w:rsid w:val="00955C75"/>
    <w:rsid w:val="00957134"/>
    <w:rsid w:val="00960FD9"/>
    <w:rsid w:val="00961E69"/>
    <w:rsid w:val="00965B15"/>
    <w:rsid w:val="009677DF"/>
    <w:rsid w:val="0097009B"/>
    <w:rsid w:val="009705D8"/>
    <w:rsid w:val="009706F2"/>
    <w:rsid w:val="00972894"/>
    <w:rsid w:val="00975801"/>
    <w:rsid w:val="00976CE1"/>
    <w:rsid w:val="00977309"/>
    <w:rsid w:val="009811CA"/>
    <w:rsid w:val="00982714"/>
    <w:rsid w:val="00982B85"/>
    <w:rsid w:val="00983B87"/>
    <w:rsid w:val="00983E8E"/>
    <w:rsid w:val="00984F75"/>
    <w:rsid w:val="00992902"/>
    <w:rsid w:val="009935E2"/>
    <w:rsid w:val="009946F8"/>
    <w:rsid w:val="0099649B"/>
    <w:rsid w:val="00996E6B"/>
    <w:rsid w:val="009A1602"/>
    <w:rsid w:val="009A1A7F"/>
    <w:rsid w:val="009A1D64"/>
    <w:rsid w:val="009A3407"/>
    <w:rsid w:val="009A5111"/>
    <w:rsid w:val="009A7F58"/>
    <w:rsid w:val="009B0ABD"/>
    <w:rsid w:val="009B1292"/>
    <w:rsid w:val="009B23CA"/>
    <w:rsid w:val="009B2430"/>
    <w:rsid w:val="009B24E6"/>
    <w:rsid w:val="009B2AA3"/>
    <w:rsid w:val="009B338B"/>
    <w:rsid w:val="009B3A12"/>
    <w:rsid w:val="009B58AD"/>
    <w:rsid w:val="009B7935"/>
    <w:rsid w:val="009C105C"/>
    <w:rsid w:val="009C26C2"/>
    <w:rsid w:val="009C499B"/>
    <w:rsid w:val="009C7BA2"/>
    <w:rsid w:val="009D1161"/>
    <w:rsid w:val="009D4203"/>
    <w:rsid w:val="009D5500"/>
    <w:rsid w:val="009D5FBC"/>
    <w:rsid w:val="009D645B"/>
    <w:rsid w:val="009D667B"/>
    <w:rsid w:val="009D699D"/>
    <w:rsid w:val="009D79FD"/>
    <w:rsid w:val="009E2A9A"/>
    <w:rsid w:val="009E5272"/>
    <w:rsid w:val="009E56E9"/>
    <w:rsid w:val="009E7E6A"/>
    <w:rsid w:val="009F1262"/>
    <w:rsid w:val="009F1C75"/>
    <w:rsid w:val="009F26A9"/>
    <w:rsid w:val="009F4449"/>
    <w:rsid w:val="009F4A32"/>
    <w:rsid w:val="009F5871"/>
    <w:rsid w:val="009F7168"/>
    <w:rsid w:val="00A01905"/>
    <w:rsid w:val="00A02252"/>
    <w:rsid w:val="00A032F1"/>
    <w:rsid w:val="00A0447D"/>
    <w:rsid w:val="00A0757B"/>
    <w:rsid w:val="00A10113"/>
    <w:rsid w:val="00A11228"/>
    <w:rsid w:val="00A118A3"/>
    <w:rsid w:val="00A127F1"/>
    <w:rsid w:val="00A12A40"/>
    <w:rsid w:val="00A13F49"/>
    <w:rsid w:val="00A1677F"/>
    <w:rsid w:val="00A1709C"/>
    <w:rsid w:val="00A20E1F"/>
    <w:rsid w:val="00A24C6B"/>
    <w:rsid w:val="00A27130"/>
    <w:rsid w:val="00A27FA8"/>
    <w:rsid w:val="00A3640C"/>
    <w:rsid w:val="00A36AA5"/>
    <w:rsid w:val="00A379A7"/>
    <w:rsid w:val="00A37F2D"/>
    <w:rsid w:val="00A405BA"/>
    <w:rsid w:val="00A41CB4"/>
    <w:rsid w:val="00A4203D"/>
    <w:rsid w:val="00A4623D"/>
    <w:rsid w:val="00A46DF2"/>
    <w:rsid w:val="00A47138"/>
    <w:rsid w:val="00A51981"/>
    <w:rsid w:val="00A5294A"/>
    <w:rsid w:val="00A56132"/>
    <w:rsid w:val="00A561D3"/>
    <w:rsid w:val="00A628B3"/>
    <w:rsid w:val="00A7052E"/>
    <w:rsid w:val="00A7147C"/>
    <w:rsid w:val="00A7164A"/>
    <w:rsid w:val="00A73037"/>
    <w:rsid w:val="00A73268"/>
    <w:rsid w:val="00A73FDA"/>
    <w:rsid w:val="00A745A1"/>
    <w:rsid w:val="00A7660B"/>
    <w:rsid w:val="00A76CF2"/>
    <w:rsid w:val="00A816CE"/>
    <w:rsid w:val="00A8324F"/>
    <w:rsid w:val="00A836A2"/>
    <w:rsid w:val="00A83BE2"/>
    <w:rsid w:val="00A8527B"/>
    <w:rsid w:val="00A8642F"/>
    <w:rsid w:val="00A86897"/>
    <w:rsid w:val="00A86BF3"/>
    <w:rsid w:val="00A90611"/>
    <w:rsid w:val="00A90A66"/>
    <w:rsid w:val="00A946ED"/>
    <w:rsid w:val="00A95733"/>
    <w:rsid w:val="00AA2913"/>
    <w:rsid w:val="00AA29FD"/>
    <w:rsid w:val="00AA5933"/>
    <w:rsid w:val="00AA704A"/>
    <w:rsid w:val="00AB310C"/>
    <w:rsid w:val="00AB5465"/>
    <w:rsid w:val="00AB572F"/>
    <w:rsid w:val="00AC1E3A"/>
    <w:rsid w:val="00AC5005"/>
    <w:rsid w:val="00AC5C7D"/>
    <w:rsid w:val="00AD1037"/>
    <w:rsid w:val="00AD168A"/>
    <w:rsid w:val="00AD3399"/>
    <w:rsid w:val="00AE4B49"/>
    <w:rsid w:val="00AE5A1D"/>
    <w:rsid w:val="00AE644D"/>
    <w:rsid w:val="00AF29CE"/>
    <w:rsid w:val="00AF54B4"/>
    <w:rsid w:val="00AF72FE"/>
    <w:rsid w:val="00B00335"/>
    <w:rsid w:val="00B0506B"/>
    <w:rsid w:val="00B076A7"/>
    <w:rsid w:val="00B10BDA"/>
    <w:rsid w:val="00B10C30"/>
    <w:rsid w:val="00B12652"/>
    <w:rsid w:val="00B23E3E"/>
    <w:rsid w:val="00B26FAC"/>
    <w:rsid w:val="00B2793D"/>
    <w:rsid w:val="00B3005B"/>
    <w:rsid w:val="00B3051B"/>
    <w:rsid w:val="00B30CCF"/>
    <w:rsid w:val="00B31AA2"/>
    <w:rsid w:val="00B3293A"/>
    <w:rsid w:val="00B33244"/>
    <w:rsid w:val="00B33289"/>
    <w:rsid w:val="00B36D6C"/>
    <w:rsid w:val="00B40B76"/>
    <w:rsid w:val="00B42FF4"/>
    <w:rsid w:val="00B43518"/>
    <w:rsid w:val="00B44468"/>
    <w:rsid w:val="00B46989"/>
    <w:rsid w:val="00B4733C"/>
    <w:rsid w:val="00B50377"/>
    <w:rsid w:val="00B528C2"/>
    <w:rsid w:val="00B54583"/>
    <w:rsid w:val="00B55086"/>
    <w:rsid w:val="00B5567A"/>
    <w:rsid w:val="00B5687D"/>
    <w:rsid w:val="00B6547D"/>
    <w:rsid w:val="00B657ED"/>
    <w:rsid w:val="00B67806"/>
    <w:rsid w:val="00B7343B"/>
    <w:rsid w:val="00B74C0B"/>
    <w:rsid w:val="00B76FE1"/>
    <w:rsid w:val="00B77CA7"/>
    <w:rsid w:val="00B82D18"/>
    <w:rsid w:val="00B8400D"/>
    <w:rsid w:val="00B863F3"/>
    <w:rsid w:val="00B9225F"/>
    <w:rsid w:val="00B93A37"/>
    <w:rsid w:val="00B97798"/>
    <w:rsid w:val="00B97BB7"/>
    <w:rsid w:val="00B97E94"/>
    <w:rsid w:val="00BA06AE"/>
    <w:rsid w:val="00BA1819"/>
    <w:rsid w:val="00BA26A2"/>
    <w:rsid w:val="00BA27D6"/>
    <w:rsid w:val="00BA2ED2"/>
    <w:rsid w:val="00BA46CC"/>
    <w:rsid w:val="00BA5A22"/>
    <w:rsid w:val="00BA6C52"/>
    <w:rsid w:val="00BB02C7"/>
    <w:rsid w:val="00BB0396"/>
    <w:rsid w:val="00BB2333"/>
    <w:rsid w:val="00BB54A4"/>
    <w:rsid w:val="00BB55E5"/>
    <w:rsid w:val="00BB7D98"/>
    <w:rsid w:val="00BC030F"/>
    <w:rsid w:val="00BC3D17"/>
    <w:rsid w:val="00BC423E"/>
    <w:rsid w:val="00BC42D1"/>
    <w:rsid w:val="00BD2483"/>
    <w:rsid w:val="00BD6C4F"/>
    <w:rsid w:val="00BD725A"/>
    <w:rsid w:val="00BD782A"/>
    <w:rsid w:val="00BE1AC5"/>
    <w:rsid w:val="00BE2ABD"/>
    <w:rsid w:val="00BE3C0D"/>
    <w:rsid w:val="00BE577E"/>
    <w:rsid w:val="00BF0651"/>
    <w:rsid w:val="00BF0C67"/>
    <w:rsid w:val="00BF25CE"/>
    <w:rsid w:val="00BF2950"/>
    <w:rsid w:val="00BF2CFA"/>
    <w:rsid w:val="00BF3750"/>
    <w:rsid w:val="00BF3E0C"/>
    <w:rsid w:val="00BF5059"/>
    <w:rsid w:val="00BF5A54"/>
    <w:rsid w:val="00BF729F"/>
    <w:rsid w:val="00BF76CD"/>
    <w:rsid w:val="00C00267"/>
    <w:rsid w:val="00C006BE"/>
    <w:rsid w:val="00C0141C"/>
    <w:rsid w:val="00C0295E"/>
    <w:rsid w:val="00C031F8"/>
    <w:rsid w:val="00C06035"/>
    <w:rsid w:val="00C06244"/>
    <w:rsid w:val="00C12053"/>
    <w:rsid w:val="00C126CA"/>
    <w:rsid w:val="00C14EB6"/>
    <w:rsid w:val="00C168B4"/>
    <w:rsid w:val="00C16FF2"/>
    <w:rsid w:val="00C20340"/>
    <w:rsid w:val="00C216E4"/>
    <w:rsid w:val="00C251B9"/>
    <w:rsid w:val="00C25B75"/>
    <w:rsid w:val="00C269B3"/>
    <w:rsid w:val="00C302F4"/>
    <w:rsid w:val="00C35057"/>
    <w:rsid w:val="00C358AF"/>
    <w:rsid w:val="00C371A2"/>
    <w:rsid w:val="00C42664"/>
    <w:rsid w:val="00C4337C"/>
    <w:rsid w:val="00C458BB"/>
    <w:rsid w:val="00C461A9"/>
    <w:rsid w:val="00C47A43"/>
    <w:rsid w:val="00C5136B"/>
    <w:rsid w:val="00C51882"/>
    <w:rsid w:val="00C536C2"/>
    <w:rsid w:val="00C54CB6"/>
    <w:rsid w:val="00C55F47"/>
    <w:rsid w:val="00C56E2E"/>
    <w:rsid w:val="00C60A63"/>
    <w:rsid w:val="00C617C9"/>
    <w:rsid w:val="00C61A05"/>
    <w:rsid w:val="00C6231C"/>
    <w:rsid w:val="00C629D8"/>
    <w:rsid w:val="00C63BE3"/>
    <w:rsid w:val="00C63C05"/>
    <w:rsid w:val="00C63E38"/>
    <w:rsid w:val="00C64A31"/>
    <w:rsid w:val="00C70CF6"/>
    <w:rsid w:val="00C7196F"/>
    <w:rsid w:val="00C732B0"/>
    <w:rsid w:val="00C76A1F"/>
    <w:rsid w:val="00C775AC"/>
    <w:rsid w:val="00C77FAE"/>
    <w:rsid w:val="00C82E8B"/>
    <w:rsid w:val="00C85495"/>
    <w:rsid w:val="00C871D3"/>
    <w:rsid w:val="00C930E1"/>
    <w:rsid w:val="00C9707A"/>
    <w:rsid w:val="00C97999"/>
    <w:rsid w:val="00CA2DE7"/>
    <w:rsid w:val="00CA43CD"/>
    <w:rsid w:val="00CA5044"/>
    <w:rsid w:val="00CB199C"/>
    <w:rsid w:val="00CB7109"/>
    <w:rsid w:val="00CC09E2"/>
    <w:rsid w:val="00CC20CD"/>
    <w:rsid w:val="00CC2AC4"/>
    <w:rsid w:val="00CC4C88"/>
    <w:rsid w:val="00CC673E"/>
    <w:rsid w:val="00CD0B1F"/>
    <w:rsid w:val="00CD0B8E"/>
    <w:rsid w:val="00CD1741"/>
    <w:rsid w:val="00CD273C"/>
    <w:rsid w:val="00CD3F96"/>
    <w:rsid w:val="00CD4A50"/>
    <w:rsid w:val="00CE041B"/>
    <w:rsid w:val="00CE09F3"/>
    <w:rsid w:val="00CE5838"/>
    <w:rsid w:val="00CE76DA"/>
    <w:rsid w:val="00CE7D7F"/>
    <w:rsid w:val="00CF0084"/>
    <w:rsid w:val="00CF1E8E"/>
    <w:rsid w:val="00CF351E"/>
    <w:rsid w:val="00CF489B"/>
    <w:rsid w:val="00CF7AAF"/>
    <w:rsid w:val="00D007DA"/>
    <w:rsid w:val="00D011D4"/>
    <w:rsid w:val="00D01D20"/>
    <w:rsid w:val="00D02388"/>
    <w:rsid w:val="00D02629"/>
    <w:rsid w:val="00D06400"/>
    <w:rsid w:val="00D11E94"/>
    <w:rsid w:val="00D12710"/>
    <w:rsid w:val="00D14D54"/>
    <w:rsid w:val="00D17620"/>
    <w:rsid w:val="00D17D17"/>
    <w:rsid w:val="00D22B3B"/>
    <w:rsid w:val="00D25987"/>
    <w:rsid w:val="00D26390"/>
    <w:rsid w:val="00D268F6"/>
    <w:rsid w:val="00D26A9D"/>
    <w:rsid w:val="00D30389"/>
    <w:rsid w:val="00D31486"/>
    <w:rsid w:val="00D337F6"/>
    <w:rsid w:val="00D33B01"/>
    <w:rsid w:val="00D34E21"/>
    <w:rsid w:val="00D441E0"/>
    <w:rsid w:val="00D47267"/>
    <w:rsid w:val="00D50712"/>
    <w:rsid w:val="00D52CDB"/>
    <w:rsid w:val="00D534F4"/>
    <w:rsid w:val="00D57A51"/>
    <w:rsid w:val="00D606D0"/>
    <w:rsid w:val="00D61710"/>
    <w:rsid w:val="00D63C39"/>
    <w:rsid w:val="00D6611E"/>
    <w:rsid w:val="00D663B7"/>
    <w:rsid w:val="00D70734"/>
    <w:rsid w:val="00D70B34"/>
    <w:rsid w:val="00D70C1D"/>
    <w:rsid w:val="00D71F53"/>
    <w:rsid w:val="00D77F90"/>
    <w:rsid w:val="00D80429"/>
    <w:rsid w:val="00D81165"/>
    <w:rsid w:val="00D82C9C"/>
    <w:rsid w:val="00D841D4"/>
    <w:rsid w:val="00D85D2F"/>
    <w:rsid w:val="00D85F37"/>
    <w:rsid w:val="00D909E1"/>
    <w:rsid w:val="00D90B6C"/>
    <w:rsid w:val="00D92460"/>
    <w:rsid w:val="00D96186"/>
    <w:rsid w:val="00D96A98"/>
    <w:rsid w:val="00D96CD7"/>
    <w:rsid w:val="00DA11E8"/>
    <w:rsid w:val="00DA2306"/>
    <w:rsid w:val="00DA2ACC"/>
    <w:rsid w:val="00DA416E"/>
    <w:rsid w:val="00DA4A02"/>
    <w:rsid w:val="00DA4E0E"/>
    <w:rsid w:val="00DA6501"/>
    <w:rsid w:val="00DA7746"/>
    <w:rsid w:val="00DB080C"/>
    <w:rsid w:val="00DB2264"/>
    <w:rsid w:val="00DB4534"/>
    <w:rsid w:val="00DB5A9D"/>
    <w:rsid w:val="00DB6179"/>
    <w:rsid w:val="00DB61C4"/>
    <w:rsid w:val="00DC02BF"/>
    <w:rsid w:val="00DC341A"/>
    <w:rsid w:val="00DC548F"/>
    <w:rsid w:val="00DC5E38"/>
    <w:rsid w:val="00DC5FC2"/>
    <w:rsid w:val="00DC608B"/>
    <w:rsid w:val="00DC6B71"/>
    <w:rsid w:val="00DC723F"/>
    <w:rsid w:val="00DD1314"/>
    <w:rsid w:val="00DD16B7"/>
    <w:rsid w:val="00DD2A82"/>
    <w:rsid w:val="00DD428B"/>
    <w:rsid w:val="00DD5863"/>
    <w:rsid w:val="00DD7131"/>
    <w:rsid w:val="00DE0746"/>
    <w:rsid w:val="00DE0BF3"/>
    <w:rsid w:val="00DE4000"/>
    <w:rsid w:val="00DE770A"/>
    <w:rsid w:val="00DE77FB"/>
    <w:rsid w:val="00DF1174"/>
    <w:rsid w:val="00DF11CA"/>
    <w:rsid w:val="00DF1A61"/>
    <w:rsid w:val="00DF25CA"/>
    <w:rsid w:val="00DF46E4"/>
    <w:rsid w:val="00E00925"/>
    <w:rsid w:val="00E0199F"/>
    <w:rsid w:val="00E04856"/>
    <w:rsid w:val="00E21005"/>
    <w:rsid w:val="00E24287"/>
    <w:rsid w:val="00E260A6"/>
    <w:rsid w:val="00E26165"/>
    <w:rsid w:val="00E26A26"/>
    <w:rsid w:val="00E3071C"/>
    <w:rsid w:val="00E33DB8"/>
    <w:rsid w:val="00E4218C"/>
    <w:rsid w:val="00E4282F"/>
    <w:rsid w:val="00E44AE1"/>
    <w:rsid w:val="00E451FF"/>
    <w:rsid w:val="00E45B89"/>
    <w:rsid w:val="00E50A25"/>
    <w:rsid w:val="00E50CD3"/>
    <w:rsid w:val="00E51565"/>
    <w:rsid w:val="00E518F2"/>
    <w:rsid w:val="00E52EA6"/>
    <w:rsid w:val="00E53731"/>
    <w:rsid w:val="00E55C51"/>
    <w:rsid w:val="00E55FC3"/>
    <w:rsid w:val="00E56089"/>
    <w:rsid w:val="00E5730D"/>
    <w:rsid w:val="00E579CE"/>
    <w:rsid w:val="00E60355"/>
    <w:rsid w:val="00E62568"/>
    <w:rsid w:val="00E67681"/>
    <w:rsid w:val="00E71FEE"/>
    <w:rsid w:val="00E74BCE"/>
    <w:rsid w:val="00E7713E"/>
    <w:rsid w:val="00E77E44"/>
    <w:rsid w:val="00E8103B"/>
    <w:rsid w:val="00E821C7"/>
    <w:rsid w:val="00E82E90"/>
    <w:rsid w:val="00E84CDD"/>
    <w:rsid w:val="00E85EE3"/>
    <w:rsid w:val="00E86988"/>
    <w:rsid w:val="00E87BE1"/>
    <w:rsid w:val="00E90074"/>
    <w:rsid w:val="00E92844"/>
    <w:rsid w:val="00E9287A"/>
    <w:rsid w:val="00E933AC"/>
    <w:rsid w:val="00E93744"/>
    <w:rsid w:val="00E94C9C"/>
    <w:rsid w:val="00E975D5"/>
    <w:rsid w:val="00E97A9C"/>
    <w:rsid w:val="00EA013D"/>
    <w:rsid w:val="00EA020F"/>
    <w:rsid w:val="00EA0E2C"/>
    <w:rsid w:val="00EA0E77"/>
    <w:rsid w:val="00EA1171"/>
    <w:rsid w:val="00EA1F85"/>
    <w:rsid w:val="00EA257A"/>
    <w:rsid w:val="00EA35B5"/>
    <w:rsid w:val="00EA4BC4"/>
    <w:rsid w:val="00EA7337"/>
    <w:rsid w:val="00EB1E93"/>
    <w:rsid w:val="00EB329B"/>
    <w:rsid w:val="00EB4633"/>
    <w:rsid w:val="00EB5825"/>
    <w:rsid w:val="00EB695C"/>
    <w:rsid w:val="00EB7F71"/>
    <w:rsid w:val="00EC7A8B"/>
    <w:rsid w:val="00ED0D13"/>
    <w:rsid w:val="00ED3CB5"/>
    <w:rsid w:val="00ED4585"/>
    <w:rsid w:val="00ED642E"/>
    <w:rsid w:val="00ED735F"/>
    <w:rsid w:val="00EE55A2"/>
    <w:rsid w:val="00EE582C"/>
    <w:rsid w:val="00EF2904"/>
    <w:rsid w:val="00EF2BAC"/>
    <w:rsid w:val="00EF2D9C"/>
    <w:rsid w:val="00EF308E"/>
    <w:rsid w:val="00F014BF"/>
    <w:rsid w:val="00F01E5B"/>
    <w:rsid w:val="00F0264C"/>
    <w:rsid w:val="00F02C38"/>
    <w:rsid w:val="00F1226A"/>
    <w:rsid w:val="00F138FE"/>
    <w:rsid w:val="00F13FFC"/>
    <w:rsid w:val="00F14615"/>
    <w:rsid w:val="00F14A91"/>
    <w:rsid w:val="00F14C35"/>
    <w:rsid w:val="00F15228"/>
    <w:rsid w:val="00F22EE3"/>
    <w:rsid w:val="00F23353"/>
    <w:rsid w:val="00F24057"/>
    <w:rsid w:val="00F24896"/>
    <w:rsid w:val="00F30922"/>
    <w:rsid w:val="00F31AEA"/>
    <w:rsid w:val="00F34E14"/>
    <w:rsid w:val="00F41365"/>
    <w:rsid w:val="00F42610"/>
    <w:rsid w:val="00F427E9"/>
    <w:rsid w:val="00F432D3"/>
    <w:rsid w:val="00F44F81"/>
    <w:rsid w:val="00F47B5D"/>
    <w:rsid w:val="00F54A62"/>
    <w:rsid w:val="00F572D3"/>
    <w:rsid w:val="00F5775F"/>
    <w:rsid w:val="00F6041A"/>
    <w:rsid w:val="00F632D6"/>
    <w:rsid w:val="00F6394A"/>
    <w:rsid w:val="00F63F24"/>
    <w:rsid w:val="00F650D0"/>
    <w:rsid w:val="00F65200"/>
    <w:rsid w:val="00F666CB"/>
    <w:rsid w:val="00F707F2"/>
    <w:rsid w:val="00F73F68"/>
    <w:rsid w:val="00F75CD1"/>
    <w:rsid w:val="00F75F75"/>
    <w:rsid w:val="00F81249"/>
    <w:rsid w:val="00F82B7D"/>
    <w:rsid w:val="00F90AC8"/>
    <w:rsid w:val="00F91D34"/>
    <w:rsid w:val="00F93D0E"/>
    <w:rsid w:val="00FA668A"/>
    <w:rsid w:val="00FB323D"/>
    <w:rsid w:val="00FB3D92"/>
    <w:rsid w:val="00FB447D"/>
    <w:rsid w:val="00FB484D"/>
    <w:rsid w:val="00FB493D"/>
    <w:rsid w:val="00FC5332"/>
    <w:rsid w:val="00FC5E54"/>
    <w:rsid w:val="00FC7E67"/>
    <w:rsid w:val="00FD077A"/>
    <w:rsid w:val="00FD2B83"/>
    <w:rsid w:val="00FD3ECF"/>
    <w:rsid w:val="00FE4E80"/>
    <w:rsid w:val="00FE54D1"/>
    <w:rsid w:val="00FE7330"/>
    <w:rsid w:val="00FF0C0F"/>
    <w:rsid w:val="00FF0D13"/>
    <w:rsid w:val="00FF0E1D"/>
    <w:rsid w:val="00FF179E"/>
    <w:rsid w:val="00FF2260"/>
    <w:rsid w:val="00FF3128"/>
    <w:rsid w:val="00FF3377"/>
    <w:rsid w:val="00FF33EF"/>
    <w:rsid w:val="00FF3AE5"/>
    <w:rsid w:val="00FF4690"/>
    <w:rsid w:val="00FF519B"/>
    <w:rsid w:val="00FF62A3"/>
    <w:rsid w:val="00FF69C7"/>
    <w:rsid w:val="00FF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43A1"/>
  <w15:docId w15:val="{C6CC7D22-9231-4536-938C-3BDBC7A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537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6A7"/>
    <w:pPr>
      <w:ind w:left="720"/>
      <w:contextualSpacing/>
    </w:pPr>
  </w:style>
  <w:style w:type="character" w:styleId="Hyperlink">
    <w:name w:val="Hyperlink"/>
    <w:basedOn w:val="DefaultParagraphFont"/>
    <w:unhideWhenUsed/>
    <w:rsid w:val="00641378"/>
    <w:rPr>
      <w:color w:val="0000FF" w:themeColor="hyperlink"/>
      <w:u w:val="single"/>
    </w:rPr>
  </w:style>
  <w:style w:type="character" w:customStyle="1" w:styleId="UnresolvedMention1">
    <w:name w:val="Unresolved Mention1"/>
    <w:basedOn w:val="DefaultParagraphFont"/>
    <w:uiPriority w:val="99"/>
    <w:semiHidden/>
    <w:unhideWhenUsed/>
    <w:rsid w:val="00641378"/>
    <w:rPr>
      <w:color w:val="605E5C"/>
      <w:shd w:val="clear" w:color="auto" w:fill="E1DFDD"/>
    </w:rPr>
  </w:style>
  <w:style w:type="paragraph" w:styleId="Revision">
    <w:name w:val="Revision"/>
    <w:hidden/>
    <w:uiPriority w:val="99"/>
    <w:semiHidden/>
    <w:rsid w:val="001D677F"/>
    <w:rPr>
      <w:sz w:val="22"/>
      <w:szCs w:val="24"/>
    </w:rPr>
  </w:style>
  <w:style w:type="paragraph" w:styleId="NoSpacing">
    <w:name w:val="No Spacing"/>
    <w:uiPriority w:val="1"/>
    <w:qFormat/>
    <w:rsid w:val="007A20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6413">
      <w:bodyDiv w:val="1"/>
      <w:marLeft w:val="0"/>
      <w:marRight w:val="0"/>
      <w:marTop w:val="0"/>
      <w:marBottom w:val="0"/>
      <w:divBdr>
        <w:top w:val="none" w:sz="0" w:space="0" w:color="auto"/>
        <w:left w:val="none" w:sz="0" w:space="0" w:color="auto"/>
        <w:bottom w:val="none" w:sz="0" w:space="0" w:color="auto"/>
        <w:right w:val="none" w:sz="0" w:space="0" w:color="auto"/>
      </w:divBdr>
    </w:div>
    <w:div w:id="693530997">
      <w:bodyDiv w:val="1"/>
      <w:marLeft w:val="0"/>
      <w:marRight w:val="0"/>
      <w:marTop w:val="0"/>
      <w:marBottom w:val="0"/>
      <w:divBdr>
        <w:top w:val="none" w:sz="0" w:space="0" w:color="auto"/>
        <w:left w:val="none" w:sz="0" w:space="0" w:color="auto"/>
        <w:bottom w:val="none" w:sz="0" w:space="0" w:color="auto"/>
        <w:right w:val="none" w:sz="0" w:space="0" w:color="auto"/>
      </w:divBdr>
      <w:divsChild>
        <w:div w:id="460655676">
          <w:marLeft w:val="0"/>
          <w:marRight w:val="0"/>
          <w:marTop w:val="0"/>
          <w:marBottom w:val="0"/>
          <w:divBdr>
            <w:top w:val="none" w:sz="0" w:space="0" w:color="auto"/>
            <w:left w:val="none" w:sz="0" w:space="0" w:color="auto"/>
            <w:bottom w:val="none" w:sz="0" w:space="0" w:color="auto"/>
            <w:right w:val="none" w:sz="0" w:space="0" w:color="auto"/>
          </w:divBdr>
          <w:divsChild>
            <w:div w:id="1881437420">
              <w:marLeft w:val="0"/>
              <w:marRight w:val="0"/>
              <w:marTop w:val="0"/>
              <w:marBottom w:val="0"/>
              <w:divBdr>
                <w:top w:val="none" w:sz="0" w:space="0" w:color="auto"/>
                <w:left w:val="none" w:sz="0" w:space="0" w:color="auto"/>
                <w:bottom w:val="none" w:sz="0" w:space="0" w:color="auto"/>
                <w:right w:val="none" w:sz="0" w:space="0" w:color="auto"/>
              </w:divBdr>
              <w:divsChild>
                <w:div w:id="872231856">
                  <w:marLeft w:val="0"/>
                  <w:marRight w:val="0"/>
                  <w:marTop w:val="0"/>
                  <w:marBottom w:val="0"/>
                  <w:divBdr>
                    <w:top w:val="none" w:sz="0" w:space="0" w:color="auto"/>
                    <w:left w:val="none" w:sz="0" w:space="0" w:color="auto"/>
                    <w:bottom w:val="none" w:sz="0" w:space="0" w:color="auto"/>
                    <w:right w:val="none" w:sz="0" w:space="0" w:color="auto"/>
                  </w:divBdr>
                  <w:divsChild>
                    <w:div w:id="1748187315">
                      <w:marLeft w:val="0"/>
                      <w:marRight w:val="0"/>
                      <w:marTop w:val="0"/>
                      <w:marBottom w:val="0"/>
                      <w:divBdr>
                        <w:top w:val="none" w:sz="0" w:space="0" w:color="auto"/>
                        <w:left w:val="none" w:sz="0" w:space="0" w:color="auto"/>
                        <w:bottom w:val="none" w:sz="0" w:space="0" w:color="auto"/>
                        <w:right w:val="none" w:sz="0" w:space="0" w:color="auto"/>
                      </w:divBdr>
                      <w:divsChild>
                        <w:div w:id="1413969107">
                          <w:marLeft w:val="0"/>
                          <w:marRight w:val="0"/>
                          <w:marTop w:val="0"/>
                          <w:marBottom w:val="0"/>
                          <w:divBdr>
                            <w:top w:val="none" w:sz="0" w:space="0" w:color="auto"/>
                            <w:left w:val="none" w:sz="0" w:space="0" w:color="auto"/>
                            <w:bottom w:val="none" w:sz="0" w:space="0" w:color="auto"/>
                            <w:right w:val="none" w:sz="0" w:space="0" w:color="auto"/>
                          </w:divBdr>
                          <w:divsChild>
                            <w:div w:id="1195197848">
                              <w:marLeft w:val="0"/>
                              <w:marRight w:val="0"/>
                              <w:marTop w:val="100"/>
                              <w:marBottom w:val="0"/>
                              <w:divBdr>
                                <w:top w:val="none" w:sz="0" w:space="0" w:color="auto"/>
                                <w:left w:val="none" w:sz="0" w:space="0" w:color="auto"/>
                                <w:bottom w:val="none" w:sz="0" w:space="0" w:color="auto"/>
                                <w:right w:val="none" w:sz="0" w:space="0" w:color="auto"/>
                              </w:divBdr>
                              <w:divsChild>
                                <w:div w:id="1509321617">
                                  <w:marLeft w:val="0"/>
                                  <w:marRight w:val="0"/>
                                  <w:marTop w:val="0"/>
                                  <w:marBottom w:val="0"/>
                                  <w:divBdr>
                                    <w:top w:val="none" w:sz="0" w:space="0" w:color="auto"/>
                                    <w:left w:val="none" w:sz="0" w:space="0" w:color="auto"/>
                                    <w:bottom w:val="none" w:sz="0" w:space="0" w:color="auto"/>
                                    <w:right w:val="none" w:sz="0" w:space="0" w:color="auto"/>
                                  </w:divBdr>
                                </w:div>
                              </w:divsChild>
                            </w:div>
                            <w:div w:id="338973744">
                              <w:marLeft w:val="0"/>
                              <w:marRight w:val="0"/>
                              <w:marTop w:val="0"/>
                              <w:marBottom w:val="0"/>
                              <w:divBdr>
                                <w:top w:val="none" w:sz="0" w:space="0" w:color="auto"/>
                                <w:left w:val="none" w:sz="0" w:space="0" w:color="auto"/>
                                <w:bottom w:val="none" w:sz="0" w:space="0" w:color="auto"/>
                                <w:right w:val="none" w:sz="0" w:space="0" w:color="auto"/>
                              </w:divBdr>
                              <w:divsChild>
                                <w:div w:id="343678066">
                                  <w:marLeft w:val="0"/>
                                  <w:marRight w:val="0"/>
                                  <w:marTop w:val="0"/>
                                  <w:marBottom w:val="0"/>
                                  <w:divBdr>
                                    <w:top w:val="none" w:sz="0" w:space="0" w:color="auto"/>
                                    <w:left w:val="none" w:sz="0" w:space="0" w:color="auto"/>
                                    <w:bottom w:val="none" w:sz="0" w:space="0" w:color="auto"/>
                                    <w:right w:val="none" w:sz="0" w:space="0" w:color="auto"/>
                                  </w:divBdr>
                                  <w:divsChild>
                                    <w:div w:id="1982075889">
                                      <w:marLeft w:val="0"/>
                                      <w:marRight w:val="0"/>
                                      <w:marTop w:val="0"/>
                                      <w:marBottom w:val="0"/>
                                      <w:divBdr>
                                        <w:top w:val="none" w:sz="0" w:space="0" w:color="auto"/>
                                        <w:left w:val="none" w:sz="0" w:space="0" w:color="auto"/>
                                        <w:bottom w:val="none" w:sz="0" w:space="0" w:color="auto"/>
                                        <w:right w:val="none" w:sz="0" w:space="0" w:color="auto"/>
                                      </w:divBdr>
                                    </w:div>
                                  </w:divsChild>
                                </w:div>
                                <w:div w:id="1059674392">
                                  <w:marLeft w:val="0"/>
                                  <w:marRight w:val="0"/>
                                  <w:marTop w:val="0"/>
                                  <w:marBottom w:val="0"/>
                                  <w:divBdr>
                                    <w:top w:val="none" w:sz="0" w:space="0" w:color="auto"/>
                                    <w:left w:val="none" w:sz="0" w:space="0" w:color="auto"/>
                                    <w:bottom w:val="none" w:sz="0" w:space="0" w:color="auto"/>
                                    <w:right w:val="none" w:sz="0" w:space="0" w:color="auto"/>
                                  </w:divBdr>
                                  <w:divsChild>
                                    <w:div w:id="13777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116079">
      <w:bodyDiv w:val="1"/>
      <w:marLeft w:val="0"/>
      <w:marRight w:val="0"/>
      <w:marTop w:val="0"/>
      <w:marBottom w:val="0"/>
      <w:divBdr>
        <w:top w:val="none" w:sz="0" w:space="0" w:color="auto"/>
        <w:left w:val="none" w:sz="0" w:space="0" w:color="auto"/>
        <w:bottom w:val="none" w:sz="0" w:space="0" w:color="auto"/>
        <w:right w:val="none" w:sz="0" w:space="0" w:color="auto"/>
      </w:divBdr>
    </w:div>
    <w:div w:id="1136677235">
      <w:bodyDiv w:val="1"/>
      <w:marLeft w:val="0"/>
      <w:marRight w:val="0"/>
      <w:marTop w:val="0"/>
      <w:marBottom w:val="0"/>
      <w:divBdr>
        <w:top w:val="none" w:sz="0" w:space="0" w:color="auto"/>
        <w:left w:val="none" w:sz="0" w:space="0" w:color="auto"/>
        <w:bottom w:val="none" w:sz="0" w:space="0" w:color="auto"/>
        <w:right w:val="none" w:sz="0" w:space="0" w:color="auto"/>
      </w:divBdr>
    </w:div>
    <w:div w:id="17861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C7FE-05F6-4179-87BB-68770338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F9F2B-DE5B-4808-AFD7-86B7CBEED975}">
  <ds:schemaRefs>
    <ds:schemaRef ds:uri="http://schemas.microsoft.com/sharepoint/v3/contenttype/forms"/>
  </ds:schemaRefs>
</ds:datastoreItem>
</file>

<file path=customXml/itemProps3.xml><?xml version="1.0" encoding="utf-8"?>
<ds:datastoreItem xmlns:ds="http://schemas.openxmlformats.org/officeDocument/2006/customXml" ds:itemID="{B4024A6F-424F-448D-9FEA-5982E293F04B}">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3F1E6B91-7307-447F-9BF8-71C6E9F3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25770</Words>
  <Characters>146892</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172318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7</cp:revision>
  <cp:lastPrinted>2022-09-12T10:44:00Z</cp:lastPrinted>
  <dcterms:created xsi:type="dcterms:W3CDTF">2024-12-03T15:28:00Z</dcterms:created>
  <dcterms:modified xsi:type="dcterms:W3CDTF">2024-12-09T13:42:00Z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y fmtid="{D5CDD505-2E9C-101B-9397-08002B2CF9AE}" pid="4" name="_ExtendedDescription">
    <vt:lpwstr/>
  </property>
</Properties>
</file>