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1D632" w14:textId="77777777" w:rsidR="00322292" w:rsidRPr="003445F5" w:rsidRDefault="00322292" w:rsidP="00322292">
      <w:pPr>
        <w:jc w:val="center"/>
        <w:rPr>
          <w:b/>
          <w:bCs/>
          <w:iCs/>
          <w:szCs w:val="22"/>
          <w:u w:val="single"/>
          <w:lang w:val="sr-Latn-ME"/>
        </w:rPr>
      </w:pPr>
      <w:r w:rsidRPr="003445F5">
        <w:rPr>
          <w:b/>
          <w:bCs/>
          <w:iCs/>
          <w:szCs w:val="22"/>
          <w:u w:val="single"/>
          <w:lang w:val="sr-Latn-ME"/>
        </w:rPr>
        <w:t>SAŽETAK KARAKTERISTIKA LIJEKA</w:t>
      </w:r>
    </w:p>
    <w:p w14:paraId="2192FDBA" w14:textId="77777777" w:rsidR="00322292" w:rsidRPr="003445F5" w:rsidRDefault="00322292" w:rsidP="00322292">
      <w:pPr>
        <w:rPr>
          <w:szCs w:val="22"/>
          <w:lang w:val="sr-Latn-ME"/>
        </w:rPr>
      </w:pPr>
    </w:p>
    <w:p w14:paraId="1F1C9FF0" w14:textId="77777777" w:rsidR="00322292" w:rsidRPr="003445F5" w:rsidRDefault="00322292" w:rsidP="00322292">
      <w:pPr>
        <w:rPr>
          <w:szCs w:val="22"/>
          <w:lang w:val="sr-Latn-ME"/>
        </w:rPr>
      </w:pPr>
    </w:p>
    <w:p w14:paraId="28308C16" w14:textId="5DE7B179" w:rsidR="00322292" w:rsidRPr="003445F5" w:rsidRDefault="00322292" w:rsidP="00322292">
      <w:pPr>
        <w:rPr>
          <w:bCs/>
          <w:szCs w:val="22"/>
          <w:lang w:val="sr-Latn-ME"/>
        </w:rPr>
      </w:pPr>
      <w:r w:rsidRPr="003445F5">
        <w:rPr>
          <w:bCs/>
          <w:noProof/>
          <w:szCs w:val="22"/>
        </w:rPr>
        <w:drawing>
          <wp:inline distT="0" distB="0" distL="0" distR="0" wp14:anchorId="697AEFEC" wp14:editId="2C5318F6">
            <wp:extent cx="200025" cy="171450"/>
            <wp:effectExtent l="19050" t="0" r="9525"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10"/>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3445F5">
        <w:rPr>
          <w:bCs/>
          <w:szCs w:val="22"/>
          <w:lang w:val="sr-Latn-ME"/>
        </w:rPr>
        <w:t xml:space="preserve"> Ovaj lijek je pod dodatnim praćenjem. Time se omogućava brzo otkrivanje novih bezbjednosnih informacija. Zdravstveni radnici treba da prijave svaku sumnju na neželjeno dejstvo ovog lijeka. Za način prijavljivanja neželjenih dejstava </w:t>
      </w:r>
      <w:r w:rsidR="007E1F86" w:rsidRPr="003445F5">
        <w:rPr>
          <w:bCs/>
          <w:szCs w:val="22"/>
          <w:lang w:val="sr-Latn-ME"/>
        </w:rPr>
        <w:t>pogledati dio</w:t>
      </w:r>
      <w:r w:rsidRPr="003445F5">
        <w:rPr>
          <w:bCs/>
          <w:szCs w:val="22"/>
          <w:lang w:val="sr-Latn-ME"/>
        </w:rPr>
        <w:t xml:space="preserve"> 4.8</w:t>
      </w:r>
      <w:r w:rsidR="00551F1D" w:rsidRPr="003445F5">
        <w:rPr>
          <w:bCs/>
          <w:szCs w:val="22"/>
          <w:lang w:val="sr-Latn-ME"/>
        </w:rPr>
        <w:t>.</w:t>
      </w:r>
    </w:p>
    <w:p w14:paraId="072D43A8" w14:textId="77777777" w:rsidR="00E50CD3" w:rsidRPr="003445F5" w:rsidRDefault="00E50CD3" w:rsidP="00524FDF">
      <w:pPr>
        <w:rPr>
          <w:b/>
          <w:bCs/>
          <w:szCs w:val="22"/>
          <w:lang w:val="sr-Latn-ME"/>
        </w:rPr>
      </w:pPr>
    </w:p>
    <w:p w14:paraId="072D43A9" w14:textId="77777777" w:rsidR="00CE09F3" w:rsidRPr="003445F5" w:rsidRDefault="00CE09F3" w:rsidP="00524FDF">
      <w:pPr>
        <w:rPr>
          <w:b/>
          <w:bCs/>
          <w:szCs w:val="22"/>
          <w:lang w:val="sr-Latn-ME"/>
        </w:rPr>
      </w:pPr>
    </w:p>
    <w:p w14:paraId="072D43AB" w14:textId="1A5ECC3C" w:rsidR="00CE09F3" w:rsidRPr="003445F5" w:rsidRDefault="00CE09F3" w:rsidP="00524FDF">
      <w:pPr>
        <w:pStyle w:val="NASLOV123"/>
        <w:spacing w:before="0" w:after="0"/>
        <w:rPr>
          <w:lang w:val="sr-Latn-ME"/>
        </w:rPr>
      </w:pPr>
      <w:r w:rsidRPr="003445F5">
        <w:rPr>
          <w:lang w:val="sr-Latn-ME"/>
        </w:rPr>
        <w:t>1</w:t>
      </w:r>
      <w:r w:rsidR="005456BC" w:rsidRPr="003445F5">
        <w:rPr>
          <w:lang w:val="sr-Latn-ME"/>
        </w:rPr>
        <w:t xml:space="preserve">. </w:t>
      </w:r>
      <w:r w:rsidR="007E1F86" w:rsidRPr="003445F5">
        <w:rPr>
          <w:lang w:val="sr-Latn-ME"/>
        </w:rPr>
        <w:t>NAZIV LIJEKA</w:t>
      </w:r>
    </w:p>
    <w:p w14:paraId="17CE0A30" w14:textId="77777777" w:rsidR="005E2D68" w:rsidRPr="003445F5" w:rsidRDefault="005E2D68" w:rsidP="00524FDF">
      <w:pPr>
        <w:rPr>
          <w:szCs w:val="22"/>
          <w:lang w:val="sr-Latn-ME"/>
        </w:rPr>
      </w:pPr>
    </w:p>
    <w:p w14:paraId="072D43AC" w14:textId="1B4A22AE" w:rsidR="00CE09F3" w:rsidRPr="003445F5" w:rsidRDefault="00D34E21" w:rsidP="00524FDF">
      <w:pPr>
        <w:rPr>
          <w:szCs w:val="22"/>
          <w:lang w:val="sr-Latn-ME"/>
        </w:rPr>
      </w:pPr>
      <w:r w:rsidRPr="003445F5">
        <w:rPr>
          <w:szCs w:val="22"/>
          <w:lang w:val="sr-Latn-ME"/>
        </w:rPr>
        <w:t xml:space="preserve">Hukyndra, </w:t>
      </w:r>
      <w:r w:rsidR="00F47E0E" w:rsidRPr="003445F5">
        <w:rPr>
          <w:szCs w:val="22"/>
          <w:lang w:val="sr-Latn-ME"/>
        </w:rPr>
        <w:t>8</w:t>
      </w:r>
      <w:r w:rsidRPr="003445F5">
        <w:rPr>
          <w:szCs w:val="22"/>
          <w:lang w:val="sr-Latn-ME"/>
        </w:rPr>
        <w:t>0 m</w:t>
      </w:r>
      <w:r w:rsidR="00A56881" w:rsidRPr="003445F5">
        <w:rPr>
          <w:szCs w:val="22"/>
          <w:lang w:val="sr-Latn-ME"/>
        </w:rPr>
        <w:t>g</w:t>
      </w:r>
      <w:r w:rsidRPr="003445F5">
        <w:rPr>
          <w:szCs w:val="22"/>
          <w:lang w:val="sr-Latn-ME"/>
        </w:rPr>
        <w:t xml:space="preserve">, </w:t>
      </w:r>
      <w:r w:rsidR="00BA26A2" w:rsidRPr="003445F5">
        <w:rPr>
          <w:szCs w:val="22"/>
          <w:lang w:val="sr-Latn-ME"/>
        </w:rPr>
        <w:t>rastvor za injekciju u napunjenom injekcionom špricu</w:t>
      </w:r>
    </w:p>
    <w:p w14:paraId="072D43AF" w14:textId="77777777" w:rsidR="00CE09F3" w:rsidRPr="003445F5" w:rsidRDefault="00CE09F3" w:rsidP="00524FDF">
      <w:pPr>
        <w:rPr>
          <w:bCs/>
          <w:szCs w:val="22"/>
          <w:lang w:val="sr-Latn-ME"/>
        </w:rPr>
      </w:pPr>
    </w:p>
    <w:p w14:paraId="6FCC24C0" w14:textId="39CA433F" w:rsidR="00910194" w:rsidRPr="003445F5" w:rsidRDefault="00CE09F3" w:rsidP="00524FDF">
      <w:pPr>
        <w:rPr>
          <w:szCs w:val="22"/>
          <w:lang w:val="sr-Latn-ME"/>
        </w:rPr>
      </w:pPr>
      <w:r w:rsidRPr="003445F5">
        <w:rPr>
          <w:szCs w:val="22"/>
          <w:lang w:val="sr-Latn-ME"/>
        </w:rPr>
        <w:t>INN:</w:t>
      </w:r>
      <w:r w:rsidR="00BA26A2" w:rsidRPr="003445F5">
        <w:rPr>
          <w:szCs w:val="22"/>
          <w:lang w:val="sr-Latn-ME"/>
        </w:rPr>
        <w:t xml:space="preserve"> adalimumab</w:t>
      </w:r>
    </w:p>
    <w:p w14:paraId="1E0DB0CE" w14:textId="77777777" w:rsidR="005E2D68" w:rsidRPr="003445F5" w:rsidRDefault="005E2D68" w:rsidP="00524FDF">
      <w:pPr>
        <w:pStyle w:val="NASLOV123"/>
        <w:spacing w:before="0" w:after="0"/>
        <w:rPr>
          <w:lang w:val="sr-Latn-ME"/>
        </w:rPr>
      </w:pPr>
    </w:p>
    <w:p w14:paraId="75002BF7" w14:textId="77777777" w:rsidR="005E2D68" w:rsidRPr="003445F5" w:rsidRDefault="005E2D68" w:rsidP="00524FDF">
      <w:pPr>
        <w:pStyle w:val="NASLOV123"/>
        <w:spacing w:before="0" w:after="0"/>
        <w:rPr>
          <w:lang w:val="sr-Latn-ME"/>
        </w:rPr>
      </w:pPr>
    </w:p>
    <w:p w14:paraId="06E5727A" w14:textId="0E448071" w:rsidR="00910194" w:rsidRPr="003445F5" w:rsidRDefault="00CE09F3" w:rsidP="00524FDF">
      <w:pPr>
        <w:pStyle w:val="NASLOV123"/>
        <w:spacing w:before="0" w:after="0"/>
        <w:rPr>
          <w:lang w:val="sr-Latn-ME"/>
        </w:rPr>
      </w:pPr>
      <w:r w:rsidRPr="003445F5">
        <w:rPr>
          <w:lang w:val="sr-Latn-ME"/>
        </w:rPr>
        <w:t>2. KVALITATIVNI I KVANTITATIVNI SASTAV</w:t>
      </w:r>
    </w:p>
    <w:p w14:paraId="78CE7217" w14:textId="77777777" w:rsidR="005E2D68" w:rsidRPr="003445F5" w:rsidRDefault="005E2D68" w:rsidP="00524FDF">
      <w:pPr>
        <w:rPr>
          <w:szCs w:val="22"/>
          <w:lang w:val="sr-Latn-ME"/>
        </w:rPr>
      </w:pPr>
    </w:p>
    <w:p w14:paraId="45EFAA73" w14:textId="2FD03342" w:rsidR="00240A4D" w:rsidRPr="003445F5" w:rsidRDefault="00240A4D" w:rsidP="00524FDF">
      <w:pPr>
        <w:rPr>
          <w:szCs w:val="22"/>
          <w:lang w:val="sr-Latn-ME"/>
        </w:rPr>
      </w:pPr>
      <w:r w:rsidRPr="003445F5">
        <w:rPr>
          <w:szCs w:val="22"/>
          <w:lang w:val="sr-Latn-ME"/>
        </w:rPr>
        <w:t xml:space="preserve">Jedan napunjen injekcioni špric od </w:t>
      </w:r>
      <w:r w:rsidR="007A1D70" w:rsidRPr="003445F5">
        <w:rPr>
          <w:szCs w:val="22"/>
          <w:lang w:val="sr-Latn-ME"/>
        </w:rPr>
        <w:t>0,8</w:t>
      </w:r>
      <w:r w:rsidRPr="003445F5">
        <w:rPr>
          <w:szCs w:val="22"/>
          <w:lang w:val="sr-Latn-ME"/>
        </w:rPr>
        <w:t xml:space="preserve"> m</w:t>
      </w:r>
      <w:r w:rsidR="009D2148" w:rsidRPr="003445F5">
        <w:rPr>
          <w:szCs w:val="22"/>
          <w:lang w:val="sr-Latn-ME"/>
        </w:rPr>
        <w:t>l</w:t>
      </w:r>
      <w:r w:rsidRPr="003445F5">
        <w:rPr>
          <w:szCs w:val="22"/>
          <w:lang w:val="sr-Latn-ME"/>
        </w:rPr>
        <w:t xml:space="preserve"> sadrži </w:t>
      </w:r>
      <w:r w:rsidR="00F47E0E" w:rsidRPr="003445F5">
        <w:rPr>
          <w:szCs w:val="22"/>
          <w:lang w:val="sr-Latn-ME"/>
        </w:rPr>
        <w:t>8</w:t>
      </w:r>
      <w:r w:rsidRPr="003445F5">
        <w:rPr>
          <w:szCs w:val="22"/>
          <w:lang w:val="sr-Latn-ME"/>
        </w:rPr>
        <w:t xml:space="preserve">0 mg adalimumaba. </w:t>
      </w:r>
    </w:p>
    <w:p w14:paraId="65E5517F" w14:textId="77777777" w:rsidR="00240A4D" w:rsidRPr="003445F5" w:rsidRDefault="00240A4D" w:rsidP="00524FDF">
      <w:pPr>
        <w:rPr>
          <w:szCs w:val="22"/>
          <w:lang w:val="sr-Latn-ME"/>
        </w:rPr>
      </w:pPr>
    </w:p>
    <w:p w14:paraId="31B2E7E4" w14:textId="77777777" w:rsidR="008A5258" w:rsidRPr="003445F5" w:rsidRDefault="008A5258" w:rsidP="008A5258">
      <w:pPr>
        <w:rPr>
          <w:szCs w:val="22"/>
          <w:lang w:val="sr-Latn-ME"/>
        </w:rPr>
      </w:pPr>
      <w:r w:rsidRPr="003445F5">
        <w:rPr>
          <w:szCs w:val="22"/>
          <w:lang w:val="sr-Latn-ME"/>
        </w:rPr>
        <w:t xml:space="preserve">Adalimumab je rekombinantno humano monoklonsko antitijelo, dobijeno iz ćelija jajnika kineskog hrčka. </w:t>
      </w:r>
    </w:p>
    <w:p w14:paraId="3776DAFD" w14:textId="77777777" w:rsidR="008A5258" w:rsidRPr="003445F5" w:rsidRDefault="008A5258" w:rsidP="008A5258">
      <w:pPr>
        <w:rPr>
          <w:szCs w:val="22"/>
          <w:lang w:val="sr-Latn-ME"/>
        </w:rPr>
      </w:pPr>
    </w:p>
    <w:p w14:paraId="65BBE87C" w14:textId="77777777" w:rsidR="008A5258" w:rsidRPr="003445F5" w:rsidRDefault="008A5258" w:rsidP="008A5258">
      <w:pPr>
        <w:rPr>
          <w:szCs w:val="22"/>
          <w:lang w:val="sr-Latn-ME"/>
        </w:rPr>
      </w:pPr>
      <w:r w:rsidRPr="003445F5">
        <w:rPr>
          <w:szCs w:val="22"/>
          <w:lang w:val="sr-Latn-ME"/>
        </w:rPr>
        <w:t>Za spisak svih ekscipijenasa, pogledati dio 6.1.</w:t>
      </w:r>
    </w:p>
    <w:p w14:paraId="32DED08F" w14:textId="77777777" w:rsidR="005E2D68" w:rsidRPr="003445F5" w:rsidRDefault="005E2D68" w:rsidP="00524FDF">
      <w:pPr>
        <w:pStyle w:val="NASLOV123"/>
        <w:spacing w:before="0" w:after="0"/>
        <w:rPr>
          <w:lang w:val="sr-Latn-ME"/>
        </w:rPr>
      </w:pPr>
    </w:p>
    <w:p w14:paraId="29CA7EAC" w14:textId="77777777" w:rsidR="005E2D68" w:rsidRPr="003445F5" w:rsidRDefault="005E2D68" w:rsidP="00524FDF">
      <w:pPr>
        <w:pStyle w:val="NASLOV123"/>
        <w:spacing w:before="0" w:after="0"/>
        <w:rPr>
          <w:lang w:val="sr-Latn-ME"/>
        </w:rPr>
      </w:pPr>
    </w:p>
    <w:p w14:paraId="6C806EF6" w14:textId="28F3BDF1" w:rsidR="00910194" w:rsidRPr="003445F5" w:rsidRDefault="00CE09F3" w:rsidP="00524FDF">
      <w:pPr>
        <w:pStyle w:val="NASLOV123"/>
        <w:spacing w:before="0" w:after="0"/>
        <w:rPr>
          <w:lang w:val="sr-Latn-ME"/>
        </w:rPr>
      </w:pPr>
      <w:r w:rsidRPr="003445F5">
        <w:rPr>
          <w:lang w:val="sr-Latn-ME"/>
        </w:rPr>
        <w:t>3. FARMACEUTSKI OBLIK</w:t>
      </w:r>
    </w:p>
    <w:p w14:paraId="052C2C98" w14:textId="77777777" w:rsidR="005E2D68" w:rsidRPr="003445F5" w:rsidRDefault="005E2D68" w:rsidP="00524FDF">
      <w:pPr>
        <w:pStyle w:val="NASLOV123"/>
        <w:spacing w:before="0" w:after="0"/>
        <w:rPr>
          <w:b w:val="0"/>
          <w:bCs/>
          <w:lang w:val="sr-Latn-ME"/>
        </w:rPr>
      </w:pPr>
    </w:p>
    <w:p w14:paraId="0774B550" w14:textId="77777777" w:rsidR="00A837E9" w:rsidRPr="003445F5" w:rsidRDefault="00A837E9" w:rsidP="00A837E9">
      <w:pPr>
        <w:pStyle w:val="NASLOV123"/>
        <w:spacing w:before="0" w:after="0"/>
        <w:rPr>
          <w:b w:val="0"/>
          <w:bCs/>
          <w:lang w:val="sr-Latn-ME"/>
        </w:rPr>
      </w:pPr>
      <w:r w:rsidRPr="003445F5">
        <w:rPr>
          <w:b w:val="0"/>
          <w:bCs/>
          <w:lang w:val="sr-Latn-ME"/>
        </w:rPr>
        <w:t>Rastvor za injekciju u napunjenom injekcionom špricu.</w:t>
      </w:r>
    </w:p>
    <w:p w14:paraId="235C64CD" w14:textId="77777777" w:rsidR="00A837E9" w:rsidRPr="003445F5" w:rsidRDefault="00A837E9" w:rsidP="00A837E9">
      <w:pPr>
        <w:pStyle w:val="NASLOV123"/>
        <w:spacing w:before="0" w:after="0"/>
        <w:rPr>
          <w:b w:val="0"/>
          <w:bCs/>
          <w:lang w:val="sr-Latn-ME"/>
        </w:rPr>
      </w:pPr>
      <w:r w:rsidRPr="003445F5">
        <w:rPr>
          <w:b w:val="0"/>
          <w:bCs/>
          <w:lang w:val="sr-Latn-ME"/>
        </w:rPr>
        <w:t>Bistar, bezbojan rastvor.</w:t>
      </w:r>
    </w:p>
    <w:p w14:paraId="3D0EE84A" w14:textId="77777777" w:rsidR="005E2D68" w:rsidRPr="003445F5" w:rsidRDefault="005E2D68" w:rsidP="00524FDF">
      <w:pPr>
        <w:pStyle w:val="NASLOV123"/>
        <w:spacing w:before="0" w:after="0"/>
        <w:rPr>
          <w:lang w:val="sr-Latn-ME"/>
        </w:rPr>
      </w:pPr>
    </w:p>
    <w:p w14:paraId="0C682C82" w14:textId="77777777" w:rsidR="005E2D68" w:rsidRPr="003445F5" w:rsidRDefault="005E2D68" w:rsidP="00524FDF">
      <w:pPr>
        <w:pStyle w:val="NASLOV123"/>
        <w:spacing w:before="0" w:after="0"/>
        <w:rPr>
          <w:lang w:val="sr-Latn-ME"/>
        </w:rPr>
      </w:pPr>
    </w:p>
    <w:p w14:paraId="072D43BB" w14:textId="7FF245AE" w:rsidR="00CE09F3" w:rsidRPr="003445F5" w:rsidRDefault="00CE09F3" w:rsidP="00524FDF">
      <w:pPr>
        <w:pStyle w:val="NASLOV123"/>
        <w:spacing w:before="0" w:after="0"/>
        <w:rPr>
          <w:lang w:val="sr-Latn-ME"/>
        </w:rPr>
      </w:pPr>
      <w:r w:rsidRPr="003445F5">
        <w:rPr>
          <w:lang w:val="sr-Latn-ME"/>
        </w:rPr>
        <w:t>4. KLINIČKI PODACI</w:t>
      </w:r>
    </w:p>
    <w:p w14:paraId="3948F22A" w14:textId="77777777" w:rsidR="005E2D68" w:rsidRPr="003445F5" w:rsidRDefault="005E2D68" w:rsidP="00524FDF">
      <w:pPr>
        <w:rPr>
          <w:b/>
          <w:bCs/>
          <w:szCs w:val="22"/>
          <w:lang w:val="sr-Latn-ME"/>
        </w:rPr>
      </w:pPr>
    </w:p>
    <w:p w14:paraId="072D43BC" w14:textId="13803A4A" w:rsidR="00CE09F3" w:rsidRPr="003445F5" w:rsidRDefault="00CE09F3" w:rsidP="00524FDF">
      <w:pPr>
        <w:rPr>
          <w:b/>
          <w:bCs/>
          <w:szCs w:val="22"/>
          <w:lang w:val="sr-Latn-ME"/>
        </w:rPr>
      </w:pPr>
      <w:r w:rsidRPr="003445F5">
        <w:rPr>
          <w:b/>
          <w:bCs/>
          <w:szCs w:val="22"/>
          <w:lang w:val="sr-Latn-ME"/>
        </w:rPr>
        <w:t>4.1. Terapijske indikacije</w:t>
      </w:r>
    </w:p>
    <w:p w14:paraId="072D43BD" w14:textId="284C02A7" w:rsidR="00CE09F3" w:rsidRPr="003445F5" w:rsidRDefault="00CE09F3" w:rsidP="00524FDF">
      <w:pPr>
        <w:rPr>
          <w:szCs w:val="22"/>
          <w:lang w:val="sr-Latn-ME"/>
        </w:rPr>
      </w:pPr>
    </w:p>
    <w:p w14:paraId="7A10625E" w14:textId="77777777" w:rsidR="005D3973" w:rsidRPr="003445F5" w:rsidRDefault="005D3973" w:rsidP="00524FDF">
      <w:pPr>
        <w:rPr>
          <w:szCs w:val="22"/>
          <w:u w:val="single"/>
          <w:lang w:val="sr-Latn-ME"/>
        </w:rPr>
      </w:pPr>
      <w:r w:rsidRPr="003445F5">
        <w:rPr>
          <w:szCs w:val="22"/>
          <w:u w:val="single"/>
          <w:lang w:val="sr-Latn-ME"/>
        </w:rPr>
        <w:t xml:space="preserve">Reumatoidni artritis </w:t>
      </w:r>
    </w:p>
    <w:p w14:paraId="05750991" w14:textId="77777777" w:rsidR="005D3973" w:rsidRPr="003445F5" w:rsidRDefault="005D3973" w:rsidP="00524FDF">
      <w:pPr>
        <w:rPr>
          <w:szCs w:val="22"/>
          <w:lang w:val="sr-Latn-ME"/>
        </w:rPr>
      </w:pPr>
    </w:p>
    <w:p w14:paraId="5AB9C703" w14:textId="77777777" w:rsidR="00AA251F" w:rsidRPr="003445F5" w:rsidRDefault="00AA251F" w:rsidP="00AA251F">
      <w:pPr>
        <w:rPr>
          <w:szCs w:val="22"/>
          <w:lang w:val="sr-Latn-ME"/>
        </w:rPr>
      </w:pPr>
      <w:r w:rsidRPr="003445F5">
        <w:rPr>
          <w:szCs w:val="22"/>
          <w:lang w:val="sr-Latn-ME"/>
        </w:rPr>
        <w:t xml:space="preserve">Lijek Hukyndra je, u kombinaciji sa metotreksatom, indikovan za: </w:t>
      </w:r>
    </w:p>
    <w:p w14:paraId="2414B3A8" w14:textId="77777777" w:rsidR="00AA251F" w:rsidRPr="003445F5" w:rsidRDefault="00AA251F" w:rsidP="00AA251F">
      <w:pPr>
        <w:pStyle w:val="ListParagraph"/>
        <w:numPr>
          <w:ilvl w:val="0"/>
          <w:numId w:val="6"/>
        </w:numPr>
        <w:tabs>
          <w:tab w:val="clear" w:pos="284"/>
        </w:tabs>
        <w:rPr>
          <w:szCs w:val="22"/>
          <w:lang w:val="sr-Latn-ME"/>
        </w:rPr>
      </w:pPr>
      <w:r w:rsidRPr="003445F5">
        <w:rPr>
          <w:szCs w:val="22"/>
          <w:lang w:val="sr-Latn-ME"/>
        </w:rPr>
        <w:t xml:space="preserve">liječenje umjerenog do teškog oblika aktivnog reumatoidnog artritisa kod odraslih osoba, kada odgovor na modifikujuće antireumatske ljekove, uključujući metotreksat, nije bio zadovoljavajući, </w:t>
      </w:r>
    </w:p>
    <w:p w14:paraId="493CE748" w14:textId="77777777" w:rsidR="00AA251F" w:rsidRPr="003445F5" w:rsidRDefault="00AA251F" w:rsidP="00AA251F">
      <w:pPr>
        <w:pStyle w:val="ListParagraph"/>
        <w:numPr>
          <w:ilvl w:val="0"/>
          <w:numId w:val="6"/>
        </w:numPr>
        <w:tabs>
          <w:tab w:val="clear" w:pos="284"/>
        </w:tabs>
        <w:rPr>
          <w:szCs w:val="22"/>
          <w:lang w:val="sr-Latn-ME"/>
        </w:rPr>
      </w:pPr>
      <w:r w:rsidRPr="003445F5">
        <w:rPr>
          <w:szCs w:val="22"/>
          <w:lang w:val="sr-Latn-ME"/>
        </w:rPr>
        <w:t xml:space="preserve">liječenje teškog, aktivnog i progresivnog reumatoidnog artritisa odraslih, koji nisu prethodno liječeni metotreksatom. </w:t>
      </w:r>
    </w:p>
    <w:p w14:paraId="40819849" w14:textId="77777777" w:rsidR="00AA251F" w:rsidRPr="003445F5" w:rsidRDefault="00AA251F" w:rsidP="00AA251F">
      <w:pPr>
        <w:rPr>
          <w:szCs w:val="22"/>
          <w:lang w:val="sr-Latn-ME"/>
        </w:rPr>
      </w:pPr>
    </w:p>
    <w:p w14:paraId="46BC0E46" w14:textId="77777777" w:rsidR="00AA251F" w:rsidRPr="003445F5" w:rsidRDefault="00AA251F" w:rsidP="00AA251F">
      <w:pPr>
        <w:rPr>
          <w:szCs w:val="22"/>
          <w:lang w:val="sr-Latn-ME"/>
        </w:rPr>
      </w:pPr>
      <w:r w:rsidRPr="003445F5">
        <w:rPr>
          <w:szCs w:val="22"/>
          <w:lang w:val="sr-Latn-ME"/>
        </w:rPr>
        <w:t xml:space="preserve">Lijek Hukyndra se može primijeniti i kao monoterapija u slučajevima kada pacijenti ne podnose metotreksat ili kada kontinuirana primjena metotreksata nije odgovarajuća. </w:t>
      </w:r>
    </w:p>
    <w:p w14:paraId="377C6088" w14:textId="77777777" w:rsidR="00AA251F" w:rsidRPr="003445F5" w:rsidRDefault="00AA251F" w:rsidP="00AA251F">
      <w:pPr>
        <w:rPr>
          <w:szCs w:val="22"/>
          <w:lang w:val="sr-Latn-ME"/>
        </w:rPr>
      </w:pPr>
    </w:p>
    <w:p w14:paraId="399017B9" w14:textId="77777777" w:rsidR="00AA251F" w:rsidRPr="003445F5" w:rsidRDefault="00AA251F" w:rsidP="00AA251F">
      <w:pPr>
        <w:rPr>
          <w:szCs w:val="22"/>
          <w:lang w:val="sr-Latn-ME"/>
        </w:rPr>
      </w:pPr>
      <w:r w:rsidRPr="003445F5">
        <w:rPr>
          <w:szCs w:val="22"/>
          <w:lang w:val="sr-Latn-ME"/>
        </w:rPr>
        <w:t xml:space="preserve">Radiološki je potvrđeno da lijek Hukyndra u kombinaciji sa metotreksatom smanjuje brzinu progresije oštećenja zglobova i da poboljšava fizičku funkciju. </w:t>
      </w:r>
    </w:p>
    <w:p w14:paraId="00D78F3D" w14:textId="4769E220" w:rsidR="005D3973" w:rsidRPr="003445F5" w:rsidRDefault="005D3973" w:rsidP="00524FDF">
      <w:pPr>
        <w:rPr>
          <w:szCs w:val="22"/>
          <w:lang w:val="sr-Latn-ME"/>
        </w:rPr>
      </w:pPr>
    </w:p>
    <w:p w14:paraId="1B2C43ED" w14:textId="77777777" w:rsidR="00DE4292" w:rsidRPr="003445F5" w:rsidRDefault="00DE4292" w:rsidP="00DE4292">
      <w:pPr>
        <w:rPr>
          <w:szCs w:val="22"/>
          <w:u w:val="single"/>
          <w:lang w:val="sr-Latn-ME"/>
        </w:rPr>
      </w:pPr>
      <w:r w:rsidRPr="003445F5">
        <w:rPr>
          <w:szCs w:val="22"/>
          <w:u w:val="single"/>
          <w:lang w:val="sr-Latn-ME"/>
        </w:rPr>
        <w:t xml:space="preserve">Psorijaza </w:t>
      </w:r>
    </w:p>
    <w:p w14:paraId="0C368CDB" w14:textId="77777777" w:rsidR="00DE4292" w:rsidRPr="003445F5" w:rsidRDefault="00DE4292" w:rsidP="00DE4292">
      <w:pPr>
        <w:rPr>
          <w:szCs w:val="22"/>
          <w:lang w:val="sr-Latn-ME"/>
        </w:rPr>
      </w:pPr>
    </w:p>
    <w:p w14:paraId="67F2781B" w14:textId="77777777" w:rsidR="006769DE" w:rsidRPr="003445F5" w:rsidRDefault="006769DE" w:rsidP="006769DE">
      <w:pPr>
        <w:rPr>
          <w:szCs w:val="22"/>
          <w:lang w:val="sr-Latn-ME"/>
        </w:rPr>
      </w:pPr>
      <w:r w:rsidRPr="003445F5">
        <w:rPr>
          <w:szCs w:val="22"/>
          <w:lang w:val="sr-Latn-ME"/>
        </w:rPr>
        <w:t xml:space="preserve">Lijek Hukyndra je indikovan za terapiju umjerene do teške hronične plak psorijaze kod odraslih pacijenata koji su kandidati za sistemsku terapiju. </w:t>
      </w:r>
    </w:p>
    <w:p w14:paraId="4A25E1DE" w14:textId="77777777" w:rsidR="00FF179E" w:rsidRPr="003445F5" w:rsidRDefault="00FF179E" w:rsidP="00524FDF">
      <w:pPr>
        <w:rPr>
          <w:szCs w:val="22"/>
          <w:lang w:val="sr-Latn-ME"/>
        </w:rPr>
      </w:pPr>
    </w:p>
    <w:p w14:paraId="42E25CD0" w14:textId="77777777" w:rsidR="00F62A6A" w:rsidRPr="003445F5" w:rsidRDefault="00F62A6A" w:rsidP="00F62A6A">
      <w:pPr>
        <w:rPr>
          <w:szCs w:val="22"/>
          <w:u w:val="single"/>
          <w:lang w:val="sr-Latn-ME"/>
        </w:rPr>
      </w:pPr>
      <w:r w:rsidRPr="003445F5">
        <w:rPr>
          <w:szCs w:val="22"/>
          <w:u w:val="single"/>
          <w:lang w:val="sr-Latn-ME"/>
        </w:rPr>
        <w:lastRenderedPageBreak/>
        <w:t>Gnojno zapaljenje znojnih žlijezda (</w:t>
      </w:r>
      <w:r w:rsidRPr="003445F5">
        <w:rPr>
          <w:i/>
          <w:iCs/>
          <w:szCs w:val="22"/>
          <w:u w:val="single"/>
          <w:lang w:val="sr-Latn-ME"/>
        </w:rPr>
        <w:t>Hidradenitis suppurativa</w:t>
      </w:r>
      <w:r w:rsidRPr="003445F5">
        <w:rPr>
          <w:szCs w:val="22"/>
          <w:u w:val="single"/>
          <w:lang w:val="sr-Latn-ME"/>
        </w:rPr>
        <w:t xml:space="preserve">) </w:t>
      </w:r>
    </w:p>
    <w:p w14:paraId="010F638B" w14:textId="77777777" w:rsidR="00F62A6A" w:rsidRPr="003445F5" w:rsidRDefault="00F62A6A" w:rsidP="00F62A6A">
      <w:pPr>
        <w:rPr>
          <w:szCs w:val="22"/>
          <w:lang w:val="sr-Latn-ME"/>
        </w:rPr>
      </w:pPr>
    </w:p>
    <w:p w14:paraId="466A8604" w14:textId="768D426B" w:rsidR="00F62A6A" w:rsidRPr="003445F5" w:rsidRDefault="00F62A6A" w:rsidP="00F62A6A">
      <w:pPr>
        <w:rPr>
          <w:szCs w:val="22"/>
          <w:lang w:val="sr-Latn-ME"/>
        </w:rPr>
      </w:pPr>
      <w:r w:rsidRPr="003445F5">
        <w:rPr>
          <w:szCs w:val="22"/>
          <w:lang w:val="sr-Latn-ME"/>
        </w:rPr>
        <w:t>Lijek Hukyndra je indikovan za liječenje umjerenog do teškog oblika aktivnog gnojnog zapaljenja znojnih žlijezda (</w:t>
      </w:r>
      <w:r w:rsidRPr="003445F5">
        <w:rPr>
          <w:i/>
          <w:iCs/>
          <w:szCs w:val="22"/>
          <w:lang w:val="sr-Latn-ME"/>
        </w:rPr>
        <w:t>hidradenitis suppurativa / acne inversa</w:t>
      </w:r>
      <w:r w:rsidRPr="003445F5">
        <w:rPr>
          <w:szCs w:val="22"/>
          <w:lang w:val="sr-Latn-ME"/>
        </w:rPr>
        <w:t>) kod odraslih pacijenata i adolescenata uzrasta od 12 godina i starijih kod kojih nije postignut zadovoljavajući odgovor na konvencionalno sistemsko liječenje gnojnog zapaljenja znojnih žlijezda (</w:t>
      </w:r>
      <w:r w:rsidRPr="003445F5">
        <w:rPr>
          <w:i/>
          <w:iCs/>
          <w:szCs w:val="22"/>
          <w:lang w:val="sr-Latn-ME"/>
        </w:rPr>
        <w:t>hidradenitis suppurativa</w:t>
      </w:r>
      <w:r w:rsidRPr="003445F5">
        <w:rPr>
          <w:szCs w:val="22"/>
          <w:lang w:val="sr-Latn-ME"/>
        </w:rPr>
        <w:t>) (</w:t>
      </w:r>
      <w:r w:rsidR="007E1F86" w:rsidRPr="003445F5">
        <w:rPr>
          <w:szCs w:val="22"/>
          <w:lang w:val="sr-Latn-ME"/>
        </w:rPr>
        <w:t>pogledati djelove</w:t>
      </w:r>
      <w:r w:rsidRPr="003445F5">
        <w:rPr>
          <w:szCs w:val="22"/>
          <w:lang w:val="sr-Latn-ME"/>
        </w:rPr>
        <w:t xml:space="preserve"> 5.1 i 5.2). </w:t>
      </w:r>
    </w:p>
    <w:p w14:paraId="676B04D0" w14:textId="77777777" w:rsidR="00355DD0" w:rsidRPr="003445F5" w:rsidRDefault="00355DD0" w:rsidP="00355DD0">
      <w:pPr>
        <w:rPr>
          <w:szCs w:val="22"/>
          <w:lang w:val="sr-Latn-ME"/>
        </w:rPr>
      </w:pPr>
    </w:p>
    <w:p w14:paraId="0FA49B7F" w14:textId="77777777" w:rsidR="00355DD0" w:rsidRPr="003445F5" w:rsidRDefault="00355DD0" w:rsidP="00355DD0">
      <w:pPr>
        <w:rPr>
          <w:szCs w:val="22"/>
          <w:u w:val="single"/>
          <w:lang w:val="sr-Latn-ME"/>
        </w:rPr>
      </w:pPr>
      <w:r w:rsidRPr="003445F5">
        <w:rPr>
          <w:i/>
          <w:iCs/>
          <w:szCs w:val="22"/>
          <w:u w:val="single"/>
          <w:lang w:val="sr-Latn-ME"/>
        </w:rPr>
        <w:t>Crohn</w:t>
      </w:r>
      <w:r w:rsidRPr="003445F5">
        <w:rPr>
          <w:szCs w:val="22"/>
          <w:u w:val="single"/>
          <w:lang w:val="sr-Latn-ME"/>
        </w:rPr>
        <w:t xml:space="preserve">-ova bolest </w:t>
      </w:r>
    </w:p>
    <w:p w14:paraId="38EE1B3F" w14:textId="77777777" w:rsidR="00355DD0" w:rsidRPr="003445F5" w:rsidRDefault="00355DD0" w:rsidP="00355DD0">
      <w:pPr>
        <w:rPr>
          <w:szCs w:val="22"/>
          <w:lang w:val="sr-Latn-ME"/>
        </w:rPr>
      </w:pPr>
    </w:p>
    <w:p w14:paraId="4763A389" w14:textId="77777777" w:rsidR="00EB47A6" w:rsidRPr="003445F5" w:rsidRDefault="00EB47A6" w:rsidP="00EB47A6">
      <w:pPr>
        <w:rPr>
          <w:szCs w:val="22"/>
          <w:lang w:val="sr-Latn-ME"/>
        </w:rPr>
      </w:pPr>
      <w:r w:rsidRPr="003445F5">
        <w:rPr>
          <w:szCs w:val="22"/>
          <w:lang w:val="sr-Latn-ME"/>
        </w:rPr>
        <w:t xml:space="preserve">Lijek Hukyndra je indikovan za liječenje umjerenog do teškog oblika aktivne </w:t>
      </w:r>
      <w:r w:rsidRPr="003445F5">
        <w:rPr>
          <w:i/>
          <w:iCs/>
          <w:szCs w:val="22"/>
          <w:lang w:val="sr-Latn-ME"/>
        </w:rPr>
        <w:t>Crohn</w:t>
      </w:r>
      <w:r w:rsidRPr="003445F5">
        <w:rPr>
          <w:szCs w:val="22"/>
          <w:lang w:val="sr-Latn-ME"/>
        </w:rPr>
        <w:t>-ove bolesti, kod odraslih pacijenata kod kojih uprkos prethodnom potpunom i odgovarajućem toku liječenja kortikosteroidima i/ili imunosupresivima nije postignut odgovor ili kod pacijenata kod kojih postoji intolerancija ili kontraindikacije za primjenu pomenute konvencionalne terapije.</w:t>
      </w:r>
    </w:p>
    <w:p w14:paraId="5485A6B2" w14:textId="77777777" w:rsidR="00EB47A6" w:rsidRPr="003445F5" w:rsidRDefault="00EB47A6" w:rsidP="00EB47A6">
      <w:pPr>
        <w:rPr>
          <w:szCs w:val="22"/>
          <w:lang w:val="sr-Latn-ME"/>
        </w:rPr>
      </w:pPr>
    </w:p>
    <w:p w14:paraId="2658D208" w14:textId="77777777" w:rsidR="00EB47A6" w:rsidRPr="003445F5" w:rsidRDefault="00EB47A6" w:rsidP="00EB47A6">
      <w:pPr>
        <w:rPr>
          <w:szCs w:val="22"/>
          <w:u w:val="single"/>
          <w:lang w:val="sr-Latn-ME"/>
        </w:rPr>
      </w:pPr>
      <w:r w:rsidRPr="003445F5">
        <w:rPr>
          <w:szCs w:val="22"/>
          <w:u w:val="single"/>
          <w:lang w:val="sr-Latn-ME"/>
        </w:rPr>
        <w:t xml:space="preserve">Pedijatrijski oblik </w:t>
      </w:r>
      <w:r w:rsidRPr="003445F5">
        <w:rPr>
          <w:i/>
          <w:iCs/>
          <w:szCs w:val="22"/>
          <w:u w:val="single"/>
          <w:lang w:val="sr-Latn-ME"/>
        </w:rPr>
        <w:t>Crohn</w:t>
      </w:r>
      <w:r w:rsidRPr="003445F5">
        <w:rPr>
          <w:szCs w:val="22"/>
          <w:u w:val="single"/>
          <w:lang w:val="sr-Latn-ME"/>
        </w:rPr>
        <w:t>-ove bolesti</w:t>
      </w:r>
    </w:p>
    <w:p w14:paraId="387E4ECE" w14:textId="77777777" w:rsidR="00EB47A6" w:rsidRPr="003445F5" w:rsidRDefault="00EB47A6" w:rsidP="00EB47A6">
      <w:pPr>
        <w:rPr>
          <w:szCs w:val="22"/>
          <w:lang w:val="sr-Latn-ME"/>
        </w:rPr>
      </w:pPr>
    </w:p>
    <w:p w14:paraId="60A1FCC4" w14:textId="77777777" w:rsidR="00EB47A6" w:rsidRPr="003445F5" w:rsidRDefault="00EB47A6" w:rsidP="00EB47A6">
      <w:pPr>
        <w:rPr>
          <w:szCs w:val="22"/>
          <w:lang w:val="sr-Latn-ME"/>
        </w:rPr>
      </w:pPr>
      <w:r w:rsidRPr="003445F5">
        <w:rPr>
          <w:szCs w:val="22"/>
          <w:lang w:val="sr-Latn-ME"/>
        </w:rPr>
        <w:t xml:space="preserve">Lijek Hukyndra je indikovan za liječenje umjerenog do teškog oblika aktivne </w:t>
      </w:r>
      <w:r w:rsidRPr="003445F5">
        <w:rPr>
          <w:i/>
          <w:iCs/>
          <w:szCs w:val="22"/>
          <w:lang w:val="sr-Latn-ME"/>
        </w:rPr>
        <w:t>Crohn</w:t>
      </w:r>
      <w:r w:rsidRPr="003445F5">
        <w:rPr>
          <w:szCs w:val="22"/>
          <w:lang w:val="sr-Latn-ME"/>
        </w:rPr>
        <w:t>-ove bolesti kod pedijatrijskih pacijenata (uzrasta od 6 ili više godina), kod kojih nije postignut zadovoljavajući odgovor konvencionalnom terapijom, uključujući primarnu nutritivnu terapiju, kortikosteroid i/ili imunomodulator, ili kod pacijenata kod kojih postoji intolerancija ili kontraindikacije za primjenu pomenute konvencionalne terapije.</w:t>
      </w:r>
    </w:p>
    <w:p w14:paraId="416AD36E" w14:textId="77777777" w:rsidR="00EB47A6" w:rsidRPr="003445F5" w:rsidRDefault="00EB47A6" w:rsidP="00EB47A6">
      <w:pPr>
        <w:rPr>
          <w:szCs w:val="22"/>
          <w:lang w:val="sr-Latn-ME"/>
        </w:rPr>
      </w:pPr>
    </w:p>
    <w:p w14:paraId="3A3DEFD7" w14:textId="77777777" w:rsidR="00EB47A6" w:rsidRPr="003445F5" w:rsidRDefault="00EB47A6" w:rsidP="00EB47A6">
      <w:pPr>
        <w:rPr>
          <w:szCs w:val="22"/>
          <w:u w:val="single"/>
          <w:lang w:val="sr-Latn-ME"/>
        </w:rPr>
      </w:pPr>
      <w:r w:rsidRPr="003445F5">
        <w:rPr>
          <w:szCs w:val="22"/>
          <w:u w:val="single"/>
          <w:lang w:val="sr-Latn-ME"/>
        </w:rPr>
        <w:t xml:space="preserve">Ulcerozni kolitis </w:t>
      </w:r>
    </w:p>
    <w:p w14:paraId="7526CC84" w14:textId="77777777" w:rsidR="00EB47A6" w:rsidRPr="003445F5" w:rsidRDefault="00EB47A6" w:rsidP="00EB47A6">
      <w:pPr>
        <w:rPr>
          <w:szCs w:val="22"/>
          <w:lang w:val="sr-Latn-ME"/>
        </w:rPr>
      </w:pPr>
    </w:p>
    <w:p w14:paraId="6C80D3BE" w14:textId="7CCB4F9C" w:rsidR="00EB47A6" w:rsidRPr="003445F5" w:rsidRDefault="00EB47A6" w:rsidP="00EB47A6">
      <w:pPr>
        <w:rPr>
          <w:szCs w:val="22"/>
          <w:lang w:val="sr-Latn-ME"/>
        </w:rPr>
      </w:pPr>
      <w:r w:rsidRPr="003445F5">
        <w:rPr>
          <w:szCs w:val="22"/>
          <w:lang w:val="sr-Latn-ME"/>
        </w:rPr>
        <w:t>Lijek Hukyndra je indikovan za liječenje umjerenog do teškog oblika aktivnog ulceroznog kolitisa kod odraslih pacijenata, kod kojih nije postignut zadovoljavajući odgovor na konvencionalnu terapiju, uključujući kortikosteroide i</w:t>
      </w:r>
      <w:r w:rsidR="00654A76" w:rsidRPr="003445F5">
        <w:rPr>
          <w:szCs w:val="22"/>
          <w:lang w:val="sr-Latn-ME"/>
        </w:rPr>
        <w:t>/ili</w:t>
      </w:r>
      <w:r w:rsidRPr="003445F5">
        <w:rPr>
          <w:szCs w:val="22"/>
          <w:lang w:val="sr-Latn-ME"/>
        </w:rPr>
        <w:t xml:space="preserve"> 6-merkaptopurin (6-MP) ili azatioprin (AZA), ili kod kojih postoji intolerancija ili kontraindikacije na pomenutu konvencionalnu terapiju. </w:t>
      </w:r>
    </w:p>
    <w:p w14:paraId="47B796BC" w14:textId="77777777" w:rsidR="00ED04B5" w:rsidRPr="003445F5" w:rsidRDefault="00ED04B5" w:rsidP="00ED04B5">
      <w:pPr>
        <w:rPr>
          <w:szCs w:val="22"/>
          <w:lang w:val="sr-Latn-ME"/>
        </w:rPr>
      </w:pPr>
    </w:p>
    <w:p w14:paraId="1EB57F17" w14:textId="77777777" w:rsidR="007433B6" w:rsidRPr="003445F5" w:rsidRDefault="007433B6" w:rsidP="007433B6">
      <w:pPr>
        <w:rPr>
          <w:szCs w:val="22"/>
          <w:u w:val="single"/>
          <w:lang w:val="sr-Latn-ME"/>
        </w:rPr>
      </w:pPr>
      <w:r w:rsidRPr="003445F5">
        <w:rPr>
          <w:szCs w:val="22"/>
          <w:u w:val="single"/>
          <w:lang w:val="sr-Latn-ME"/>
        </w:rPr>
        <w:t>Ulcerozni kolitis kod djece</w:t>
      </w:r>
    </w:p>
    <w:p w14:paraId="33D95E1D" w14:textId="77777777" w:rsidR="007433B6" w:rsidRPr="003445F5" w:rsidRDefault="007433B6" w:rsidP="007433B6">
      <w:pPr>
        <w:rPr>
          <w:szCs w:val="22"/>
          <w:u w:val="single"/>
          <w:lang w:val="sr-Latn-ME"/>
        </w:rPr>
      </w:pPr>
    </w:p>
    <w:p w14:paraId="34FC4053" w14:textId="77777777" w:rsidR="007433B6" w:rsidRPr="003445F5" w:rsidRDefault="007433B6" w:rsidP="007433B6">
      <w:pPr>
        <w:rPr>
          <w:szCs w:val="22"/>
          <w:lang w:val="sr-Latn-ME"/>
        </w:rPr>
      </w:pPr>
      <w:r w:rsidRPr="003445F5">
        <w:rPr>
          <w:szCs w:val="22"/>
          <w:lang w:val="sr-Latn-ME"/>
        </w:rPr>
        <w:t xml:space="preserve">Lijek Hukyndra je indikovan za liječenje umjerenog do teškog oblika aktivnog ulceroznog kolitisa kod pedijatrijskih pacijenata (uzrasta od 6 ili više godina), kod kojih nije postignut zadovoljavajući odgovor na konvencionalnu terapiju, uključujući kortikosteroide i 6-merkaptopurin (6-MP) ili azatioprin (AZA), ili kod kojih postoji intolerancija ili kontraindikacije na pomenutu konvencionalnu terapiju. </w:t>
      </w:r>
    </w:p>
    <w:p w14:paraId="4C3C760F" w14:textId="77777777" w:rsidR="007433B6" w:rsidRPr="003445F5" w:rsidRDefault="007433B6" w:rsidP="007433B6">
      <w:pPr>
        <w:rPr>
          <w:szCs w:val="22"/>
          <w:lang w:val="sr-Latn-ME"/>
        </w:rPr>
      </w:pPr>
    </w:p>
    <w:p w14:paraId="468A0959" w14:textId="77777777" w:rsidR="007433B6" w:rsidRPr="003445F5" w:rsidRDefault="007433B6" w:rsidP="007433B6">
      <w:pPr>
        <w:rPr>
          <w:szCs w:val="22"/>
          <w:u w:val="single"/>
          <w:lang w:val="sr-Latn-ME"/>
        </w:rPr>
      </w:pPr>
      <w:r w:rsidRPr="003445F5">
        <w:rPr>
          <w:szCs w:val="22"/>
          <w:u w:val="single"/>
          <w:lang w:val="sr-Latn-ME"/>
        </w:rPr>
        <w:t xml:space="preserve">Uveitis </w:t>
      </w:r>
    </w:p>
    <w:p w14:paraId="38956463" w14:textId="77777777" w:rsidR="007433B6" w:rsidRPr="003445F5" w:rsidRDefault="007433B6" w:rsidP="007433B6">
      <w:pPr>
        <w:rPr>
          <w:szCs w:val="22"/>
          <w:lang w:val="sr-Latn-ME"/>
        </w:rPr>
      </w:pPr>
    </w:p>
    <w:p w14:paraId="563907A0" w14:textId="77777777" w:rsidR="007433B6" w:rsidRPr="003445F5" w:rsidRDefault="007433B6" w:rsidP="007433B6">
      <w:pPr>
        <w:rPr>
          <w:szCs w:val="22"/>
          <w:lang w:val="sr-Latn-ME"/>
        </w:rPr>
      </w:pPr>
      <w:r w:rsidRPr="003445F5">
        <w:rPr>
          <w:szCs w:val="22"/>
          <w:lang w:val="sr-Latn-ME"/>
        </w:rPr>
        <w:t xml:space="preserve">Lijek Hukyndra je indikovan za liječenje neinfektivnog intermedijalnog, posteriornog uveitisa i panuveitisa kod odraslih pacijenata, kod kojih nije postignut zadovoljavajući odgovor na kortikosteroide, kojima je potrebna smanjena primjena kortikosteroida ili kod kojih liječenje kortikosteroidima nije prikladno. </w:t>
      </w:r>
    </w:p>
    <w:p w14:paraId="64E660E9" w14:textId="77777777" w:rsidR="007433B6" w:rsidRPr="003445F5" w:rsidRDefault="007433B6" w:rsidP="007433B6">
      <w:pPr>
        <w:rPr>
          <w:szCs w:val="22"/>
          <w:lang w:val="sr-Latn-ME"/>
        </w:rPr>
      </w:pPr>
    </w:p>
    <w:p w14:paraId="7520B809" w14:textId="77777777" w:rsidR="007433B6" w:rsidRPr="003445F5" w:rsidRDefault="007433B6" w:rsidP="007433B6">
      <w:pPr>
        <w:rPr>
          <w:szCs w:val="22"/>
          <w:u w:val="single"/>
          <w:lang w:val="sr-Latn-ME"/>
        </w:rPr>
      </w:pPr>
      <w:r w:rsidRPr="003445F5">
        <w:rPr>
          <w:szCs w:val="22"/>
          <w:u w:val="single"/>
          <w:lang w:val="sr-Latn-ME"/>
        </w:rPr>
        <w:t xml:space="preserve">Pedijatrijski uveitis </w:t>
      </w:r>
    </w:p>
    <w:p w14:paraId="034138F8" w14:textId="77777777" w:rsidR="007433B6" w:rsidRPr="003445F5" w:rsidRDefault="007433B6" w:rsidP="007433B6">
      <w:pPr>
        <w:rPr>
          <w:szCs w:val="22"/>
          <w:lang w:val="sr-Latn-ME"/>
        </w:rPr>
      </w:pPr>
    </w:p>
    <w:p w14:paraId="783333C5" w14:textId="77777777" w:rsidR="007433B6" w:rsidRPr="003445F5" w:rsidRDefault="007433B6" w:rsidP="007433B6">
      <w:pPr>
        <w:rPr>
          <w:szCs w:val="22"/>
          <w:lang w:val="sr-Latn-ME"/>
        </w:rPr>
      </w:pPr>
      <w:r w:rsidRPr="003445F5">
        <w:rPr>
          <w:szCs w:val="22"/>
          <w:lang w:val="sr-Latn-ME"/>
        </w:rPr>
        <w:t>Lijek Hukyndra je indikovan za liječenje hroničnog neinfektivnog anteriornog uveitisa kod pedijatrijskih pacijenata uzrasta od 2 godine i starijih kod kojih nije postignut zadovoljavajući odgovor na konvencionalnu terapiju, kod kojih postoji intolerancija na konvencionalnu terapiju ili kod kojih konvencionalna terapija nije prikladna.</w:t>
      </w:r>
    </w:p>
    <w:p w14:paraId="072D43BE" w14:textId="77777777" w:rsidR="00CE09F3" w:rsidRPr="003445F5" w:rsidRDefault="00CE09F3" w:rsidP="00524FDF">
      <w:pPr>
        <w:rPr>
          <w:szCs w:val="22"/>
          <w:lang w:val="sr-Latn-ME"/>
        </w:rPr>
      </w:pPr>
    </w:p>
    <w:p w14:paraId="072D43BF" w14:textId="08470783" w:rsidR="00CE09F3" w:rsidRPr="003445F5" w:rsidRDefault="00CE09F3" w:rsidP="00524FDF">
      <w:pPr>
        <w:rPr>
          <w:b/>
          <w:bCs/>
          <w:szCs w:val="22"/>
          <w:lang w:val="sr-Latn-ME"/>
        </w:rPr>
      </w:pPr>
      <w:r w:rsidRPr="003445F5">
        <w:rPr>
          <w:b/>
          <w:bCs/>
          <w:szCs w:val="22"/>
          <w:lang w:val="sr-Latn-ME"/>
        </w:rPr>
        <w:t>4.2. Doziranje i način prim</w:t>
      </w:r>
      <w:r w:rsidR="007433B6" w:rsidRPr="003445F5">
        <w:rPr>
          <w:b/>
          <w:bCs/>
          <w:szCs w:val="22"/>
          <w:lang w:val="sr-Latn-ME"/>
        </w:rPr>
        <w:t>j</w:t>
      </w:r>
      <w:r w:rsidRPr="003445F5">
        <w:rPr>
          <w:b/>
          <w:bCs/>
          <w:szCs w:val="22"/>
          <w:lang w:val="sr-Latn-ME"/>
        </w:rPr>
        <w:t>ene</w:t>
      </w:r>
    </w:p>
    <w:p w14:paraId="072D43C0" w14:textId="7DCAA1C4" w:rsidR="00CE09F3" w:rsidRPr="003445F5" w:rsidRDefault="00CE09F3" w:rsidP="00524FDF">
      <w:pPr>
        <w:rPr>
          <w:szCs w:val="22"/>
          <w:lang w:val="sr-Latn-ME"/>
        </w:rPr>
      </w:pPr>
    </w:p>
    <w:p w14:paraId="078A50C9" w14:textId="314270A4" w:rsidR="00F37B76" w:rsidRPr="003445F5" w:rsidRDefault="00F37B76" w:rsidP="00F37B76">
      <w:pPr>
        <w:rPr>
          <w:szCs w:val="22"/>
          <w:lang w:val="sr-Latn-ME"/>
        </w:rPr>
      </w:pPr>
      <w:r w:rsidRPr="003445F5">
        <w:rPr>
          <w:szCs w:val="22"/>
          <w:lang w:val="sr-Latn-ME"/>
        </w:rPr>
        <w:t xml:space="preserve">Terapiju lijekom Hukyndra moraju da započnu i da nadziru ljekari specijalisti sa iskustvom u dijagnostici i liječenju stanja za koja je lijek Hukyndra indikovan. Oftalmolozima se preporučuje da se </w:t>
      </w:r>
      <w:r w:rsidRPr="003445F5">
        <w:rPr>
          <w:szCs w:val="22"/>
          <w:lang w:val="sr-Latn-ME"/>
        </w:rPr>
        <w:lastRenderedPageBreak/>
        <w:t>konsultuju sa odgovarajućim specijalistom prije nego što započnu terapiju lijekom Hukyndra (</w:t>
      </w:r>
      <w:r w:rsidR="007E1F86" w:rsidRPr="003445F5">
        <w:rPr>
          <w:szCs w:val="22"/>
          <w:lang w:val="sr-Latn-ME"/>
        </w:rPr>
        <w:t>pogledati dio</w:t>
      </w:r>
      <w:r w:rsidRPr="003445F5">
        <w:rPr>
          <w:szCs w:val="22"/>
          <w:lang w:val="sr-Latn-ME"/>
        </w:rPr>
        <w:t xml:space="preserve"> 4.4). Pacijentima koji se liječe lijekom Hukyndra treba dati Karticu sa podsjetnikom za pacijenta. </w:t>
      </w:r>
    </w:p>
    <w:p w14:paraId="6049DD2C" w14:textId="77777777" w:rsidR="00F37B76" w:rsidRPr="003445F5" w:rsidRDefault="00F37B76" w:rsidP="00F37B76">
      <w:pPr>
        <w:rPr>
          <w:szCs w:val="22"/>
          <w:lang w:val="sr-Latn-ME"/>
        </w:rPr>
      </w:pPr>
    </w:p>
    <w:p w14:paraId="0CB6DCFF" w14:textId="4BB3B05B" w:rsidR="00F37B76" w:rsidRPr="003445F5" w:rsidRDefault="00F37B76" w:rsidP="00F37B76">
      <w:pPr>
        <w:rPr>
          <w:szCs w:val="22"/>
          <w:lang w:val="sr-Latn-ME"/>
        </w:rPr>
      </w:pPr>
      <w:r w:rsidRPr="003445F5">
        <w:rPr>
          <w:szCs w:val="22"/>
          <w:lang w:val="sr-Latn-ME"/>
        </w:rPr>
        <w:t>Nakon odgovarajuće obuke o načinu primjene injekcija, pacijenti mogu sami sebi da daju injekcije lijeka Hukyndra ako njihov ljekar proc</w:t>
      </w:r>
      <w:r w:rsidR="0047711E" w:rsidRPr="003445F5">
        <w:rPr>
          <w:szCs w:val="22"/>
          <w:lang w:val="sr-Latn-ME"/>
        </w:rPr>
        <w:t>i</w:t>
      </w:r>
      <w:r w:rsidRPr="003445F5">
        <w:rPr>
          <w:szCs w:val="22"/>
          <w:lang w:val="sr-Latn-ME"/>
        </w:rPr>
        <w:t xml:space="preserve">jeni da je to moguće sprovesti, uz medicinsko praćenje po potrebi. </w:t>
      </w:r>
    </w:p>
    <w:p w14:paraId="5E48C75A" w14:textId="77777777" w:rsidR="00F37B76" w:rsidRPr="003445F5" w:rsidRDefault="00F37B76" w:rsidP="00F37B76">
      <w:pPr>
        <w:rPr>
          <w:szCs w:val="22"/>
          <w:lang w:val="sr-Latn-ME"/>
        </w:rPr>
      </w:pPr>
    </w:p>
    <w:p w14:paraId="2914A1B0" w14:textId="77777777" w:rsidR="00F37B76" w:rsidRPr="003445F5" w:rsidRDefault="00F37B76" w:rsidP="00F37B76">
      <w:pPr>
        <w:rPr>
          <w:szCs w:val="22"/>
          <w:lang w:val="sr-Latn-ME"/>
        </w:rPr>
      </w:pPr>
      <w:r w:rsidRPr="003445F5">
        <w:rPr>
          <w:szCs w:val="22"/>
          <w:lang w:val="sr-Latn-ME"/>
        </w:rPr>
        <w:t>Tokom terapije lijekom Hukyndra treba prilagoditi ostalu istovremeno primijenjenu terapiju (npr. kortikosteroide i/ili imunomodulatore).</w:t>
      </w:r>
    </w:p>
    <w:p w14:paraId="3D12C743" w14:textId="77777777" w:rsidR="00225748" w:rsidRPr="003445F5" w:rsidRDefault="00225748" w:rsidP="00225748">
      <w:pPr>
        <w:rPr>
          <w:szCs w:val="22"/>
          <w:lang w:val="sr-Latn-ME"/>
        </w:rPr>
      </w:pPr>
    </w:p>
    <w:p w14:paraId="0E92173F" w14:textId="77777777" w:rsidR="00AC3E67" w:rsidRPr="003445F5" w:rsidRDefault="00AC3E67" w:rsidP="00AC3E67">
      <w:pPr>
        <w:rPr>
          <w:szCs w:val="22"/>
          <w:lang w:val="sr-Latn-ME"/>
        </w:rPr>
      </w:pPr>
      <w:r w:rsidRPr="003445F5">
        <w:rPr>
          <w:szCs w:val="22"/>
          <w:lang w:val="sr-Latn-ME"/>
        </w:rPr>
        <w:t>Lijek Hukyndra je dostupan samo kao napunjeni injekcioni špric od 40 mg, napunjeni injekcioni pen od 40 mg i napunjen injekcioni špric od 80 mg. Stoga, nije moguće davati lijek Hukyndra pacijentima kojima je potrebna manja doza od 40 mg. Ako je potrebna alternativna doza, treba koristiti druge ljekove koji sadrže adalimumab i omogućavaju primjenu odgovarajuće doze.</w:t>
      </w:r>
    </w:p>
    <w:p w14:paraId="6BA24EB6" w14:textId="77777777" w:rsidR="008E4FC4" w:rsidRPr="003445F5" w:rsidRDefault="008E4FC4" w:rsidP="00524FDF">
      <w:pPr>
        <w:rPr>
          <w:szCs w:val="22"/>
          <w:lang w:val="sr-Latn-ME"/>
        </w:rPr>
      </w:pPr>
    </w:p>
    <w:p w14:paraId="3960F926" w14:textId="77777777" w:rsidR="00FF33EF" w:rsidRPr="003445F5" w:rsidRDefault="00FF33EF" w:rsidP="00524FDF">
      <w:pPr>
        <w:rPr>
          <w:szCs w:val="22"/>
          <w:u w:val="single"/>
          <w:lang w:val="sr-Latn-ME"/>
        </w:rPr>
      </w:pPr>
      <w:r w:rsidRPr="003445F5">
        <w:rPr>
          <w:szCs w:val="22"/>
          <w:u w:val="single"/>
          <w:lang w:val="sr-Latn-ME"/>
        </w:rPr>
        <w:t xml:space="preserve">Doziranje </w:t>
      </w:r>
    </w:p>
    <w:p w14:paraId="1DCD07FF" w14:textId="77777777" w:rsidR="00FF33EF" w:rsidRPr="003445F5" w:rsidRDefault="00FF33EF" w:rsidP="00524FDF">
      <w:pPr>
        <w:rPr>
          <w:szCs w:val="22"/>
          <w:lang w:val="sr-Latn-ME"/>
        </w:rPr>
      </w:pPr>
    </w:p>
    <w:p w14:paraId="3194DE1D" w14:textId="77777777" w:rsidR="00422B9B" w:rsidRPr="003445F5" w:rsidRDefault="00422B9B" w:rsidP="00422B9B">
      <w:pPr>
        <w:rPr>
          <w:i/>
          <w:iCs/>
          <w:szCs w:val="22"/>
          <w:lang w:val="sr-Latn-ME"/>
        </w:rPr>
      </w:pPr>
      <w:r w:rsidRPr="003445F5">
        <w:rPr>
          <w:i/>
          <w:iCs/>
          <w:szCs w:val="22"/>
          <w:lang w:val="sr-Latn-ME"/>
        </w:rPr>
        <w:t xml:space="preserve">Reumatoidni artritis </w:t>
      </w:r>
    </w:p>
    <w:p w14:paraId="7D5D2996" w14:textId="1C906A24" w:rsidR="005E35DF" w:rsidRPr="003445F5" w:rsidRDefault="005E35DF" w:rsidP="005E35DF">
      <w:pPr>
        <w:rPr>
          <w:szCs w:val="22"/>
          <w:lang w:val="sr-Latn-ME"/>
        </w:rPr>
      </w:pPr>
      <w:r w:rsidRPr="003445F5">
        <w:rPr>
          <w:szCs w:val="22"/>
          <w:lang w:val="sr-Latn-ME"/>
        </w:rPr>
        <w:t xml:space="preserve">Kod odraslih pacijenata sa reumatoidnim artritisom preporučena doza lijeka Hukyndra iznosi 40 mg adalimumaba, a primjenjuje se kao jednokratna doza svake dvije </w:t>
      </w:r>
      <w:r w:rsidR="00551F1D" w:rsidRPr="003445F5">
        <w:rPr>
          <w:szCs w:val="22"/>
          <w:lang w:val="sr-Latn-ME"/>
        </w:rPr>
        <w:t>nedjelj</w:t>
      </w:r>
      <w:r w:rsidR="0047711E" w:rsidRPr="003445F5">
        <w:rPr>
          <w:szCs w:val="22"/>
          <w:lang w:val="sr-Latn-ME"/>
        </w:rPr>
        <w:t>e</w:t>
      </w:r>
      <w:r w:rsidRPr="003445F5">
        <w:rPr>
          <w:szCs w:val="22"/>
          <w:lang w:val="sr-Latn-ME"/>
        </w:rPr>
        <w:t xml:space="preserve"> supkutanom injekcijom. Za vr</w:t>
      </w:r>
      <w:r w:rsidR="00432884" w:rsidRPr="003445F5">
        <w:rPr>
          <w:szCs w:val="22"/>
          <w:lang w:val="sr-Latn-ME"/>
        </w:rPr>
        <w:t>ij</w:t>
      </w:r>
      <w:r w:rsidRPr="003445F5">
        <w:rPr>
          <w:szCs w:val="22"/>
          <w:lang w:val="sr-Latn-ME"/>
        </w:rPr>
        <w:t xml:space="preserve">eme terapije lijekom Hukyndra treba nastaviti primjenu metotreksata. </w:t>
      </w:r>
    </w:p>
    <w:p w14:paraId="7A1158CC" w14:textId="77777777" w:rsidR="005E35DF" w:rsidRPr="003445F5" w:rsidRDefault="005E35DF" w:rsidP="005E35DF">
      <w:pPr>
        <w:rPr>
          <w:szCs w:val="22"/>
          <w:lang w:val="sr-Latn-ME"/>
        </w:rPr>
      </w:pPr>
    </w:p>
    <w:p w14:paraId="06888D50" w14:textId="2767B708" w:rsidR="005E35DF" w:rsidRPr="003445F5" w:rsidRDefault="005E35DF" w:rsidP="005E35DF">
      <w:pPr>
        <w:rPr>
          <w:szCs w:val="22"/>
          <w:lang w:val="sr-Latn-ME"/>
        </w:rPr>
      </w:pPr>
      <w:r w:rsidRPr="003445F5">
        <w:rPr>
          <w:szCs w:val="22"/>
          <w:lang w:val="sr-Latn-ME"/>
        </w:rPr>
        <w:t>Glukokortikoidi, salicilati, nesteroidni antiinflamatorni ljekovi ili analgetici mogu se i dalje primjenjivati za vr</w:t>
      </w:r>
      <w:r w:rsidR="00432884" w:rsidRPr="003445F5">
        <w:rPr>
          <w:szCs w:val="22"/>
          <w:lang w:val="sr-Latn-ME"/>
        </w:rPr>
        <w:t>ij</w:t>
      </w:r>
      <w:r w:rsidRPr="003445F5">
        <w:rPr>
          <w:szCs w:val="22"/>
          <w:lang w:val="sr-Latn-ME"/>
        </w:rPr>
        <w:t xml:space="preserve">eme terapije lijekom Hukyndra. Za informacije o istovremenoj primjeni sa antireumatskim ljekovima koji modifikuju tok bolesti, a nisu metotreksat, </w:t>
      </w:r>
      <w:r w:rsidR="0047711E" w:rsidRPr="003445F5">
        <w:rPr>
          <w:szCs w:val="22"/>
          <w:lang w:val="sr-Latn-ME"/>
        </w:rPr>
        <w:t>pogledati</w:t>
      </w:r>
      <w:r w:rsidRPr="003445F5">
        <w:rPr>
          <w:szCs w:val="22"/>
          <w:lang w:val="sr-Latn-ME"/>
        </w:rPr>
        <w:t xml:space="preserve"> </w:t>
      </w:r>
      <w:r w:rsidR="007E1F86" w:rsidRPr="003445F5">
        <w:rPr>
          <w:szCs w:val="22"/>
          <w:lang w:val="sr-Latn-ME"/>
        </w:rPr>
        <w:t>djelove</w:t>
      </w:r>
      <w:r w:rsidRPr="003445F5">
        <w:rPr>
          <w:szCs w:val="22"/>
          <w:lang w:val="sr-Latn-ME"/>
        </w:rPr>
        <w:t xml:space="preserve"> 4.4 i 5.1. </w:t>
      </w:r>
    </w:p>
    <w:p w14:paraId="3FA1EBA3" w14:textId="77777777" w:rsidR="005E35DF" w:rsidRPr="003445F5" w:rsidRDefault="005E35DF" w:rsidP="005E35DF">
      <w:pPr>
        <w:rPr>
          <w:szCs w:val="22"/>
          <w:lang w:val="sr-Latn-ME"/>
        </w:rPr>
      </w:pPr>
    </w:p>
    <w:p w14:paraId="41D9A12F" w14:textId="69A971F7" w:rsidR="005E35DF" w:rsidRPr="003445F5" w:rsidRDefault="005E35DF" w:rsidP="005E35DF">
      <w:pPr>
        <w:rPr>
          <w:szCs w:val="22"/>
          <w:lang w:val="sr-Latn-ME"/>
        </w:rPr>
      </w:pPr>
      <w:r w:rsidRPr="003445F5">
        <w:rPr>
          <w:szCs w:val="22"/>
          <w:lang w:val="sr-Latn-ME"/>
        </w:rPr>
        <w:t xml:space="preserve">U slučaju monoterapije, kod nekih pacijenata kod kojih je došlo do slabljenja odgovora na terapiju lijekom Hukyndra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možda će biti efikasno povećanje doze adalimumaba na 40 mg svake </w:t>
      </w:r>
      <w:r w:rsidR="00551F1D" w:rsidRPr="003445F5">
        <w:rPr>
          <w:szCs w:val="22"/>
          <w:lang w:val="sr-Latn-ME"/>
        </w:rPr>
        <w:t>nedjelj</w:t>
      </w:r>
      <w:r w:rsidR="0047711E" w:rsidRPr="003445F5">
        <w:rPr>
          <w:szCs w:val="22"/>
          <w:lang w:val="sr-Latn-ME"/>
        </w:rPr>
        <w:t>e</w:t>
      </w:r>
      <w:r w:rsidRPr="003445F5">
        <w:rPr>
          <w:szCs w:val="22"/>
          <w:lang w:val="sr-Latn-ME"/>
        </w:rPr>
        <w:t xml:space="preserve"> ili 80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5509612A" w14:textId="77777777" w:rsidR="005E35DF" w:rsidRPr="003445F5" w:rsidRDefault="005E35DF" w:rsidP="005E35DF">
      <w:pPr>
        <w:rPr>
          <w:szCs w:val="22"/>
          <w:lang w:val="sr-Latn-ME"/>
        </w:rPr>
      </w:pPr>
    </w:p>
    <w:p w14:paraId="63E160F9" w14:textId="77777777" w:rsidR="005E35DF" w:rsidRPr="003445F5" w:rsidRDefault="005E35DF" w:rsidP="005E35DF">
      <w:pPr>
        <w:rPr>
          <w:szCs w:val="22"/>
          <w:lang w:val="sr-Latn-ME"/>
        </w:rPr>
      </w:pPr>
      <w:r w:rsidRPr="003445F5">
        <w:rPr>
          <w:szCs w:val="22"/>
          <w:lang w:val="sr-Latn-ME"/>
        </w:rPr>
        <w:t xml:space="preserve">Dostupni podaci pokazuju da se klinički odgovor obično postiže tokom 12 nedjelja od početka terapije. Nastavak terapije treba razmotriti kod onih pacijenata koji nisu odgovorili na terapiju u ovom vremenskom periodu. </w:t>
      </w:r>
    </w:p>
    <w:p w14:paraId="739D4692" w14:textId="77777777" w:rsidR="00EB7F71" w:rsidRPr="003445F5" w:rsidRDefault="00EB7F71" w:rsidP="00524FDF">
      <w:pPr>
        <w:rPr>
          <w:szCs w:val="22"/>
          <w:lang w:val="sr-Latn-ME"/>
        </w:rPr>
      </w:pPr>
    </w:p>
    <w:p w14:paraId="13B7113F" w14:textId="77777777" w:rsidR="00264C3F" w:rsidRPr="003445F5" w:rsidRDefault="00264C3F" w:rsidP="00264C3F">
      <w:pPr>
        <w:rPr>
          <w:i/>
          <w:iCs/>
          <w:szCs w:val="22"/>
          <w:lang w:val="sr-Latn-ME"/>
        </w:rPr>
      </w:pPr>
      <w:r w:rsidRPr="003445F5">
        <w:rPr>
          <w:i/>
          <w:iCs/>
          <w:szCs w:val="22"/>
          <w:lang w:val="sr-Latn-ME"/>
        </w:rPr>
        <w:t>Psorijaza</w:t>
      </w:r>
    </w:p>
    <w:p w14:paraId="711D534F" w14:textId="2485F031" w:rsidR="00264C3F" w:rsidRPr="003445F5" w:rsidRDefault="005C296B" w:rsidP="00264C3F">
      <w:pPr>
        <w:rPr>
          <w:szCs w:val="22"/>
          <w:lang w:val="sr-Latn-ME"/>
        </w:rPr>
      </w:pPr>
      <w:r w:rsidRPr="003445F5">
        <w:rPr>
          <w:szCs w:val="22"/>
          <w:lang w:val="sr-Latn-ME"/>
        </w:rPr>
        <w:t xml:space="preserve">Kod odraslih pacijenata preporučena početna doza lijeka Hukyndra je 80 mg supkutano, praćena dozom od 40 mg supkutano svake dvije </w:t>
      </w:r>
      <w:r w:rsidR="00551F1D" w:rsidRPr="003445F5">
        <w:rPr>
          <w:szCs w:val="22"/>
          <w:lang w:val="sr-Latn-ME"/>
        </w:rPr>
        <w:t>nedjelj</w:t>
      </w:r>
      <w:r w:rsidR="0047711E" w:rsidRPr="003445F5">
        <w:rPr>
          <w:szCs w:val="22"/>
          <w:lang w:val="sr-Latn-ME"/>
        </w:rPr>
        <w:t>e</w:t>
      </w:r>
      <w:r w:rsidRPr="003445F5">
        <w:rPr>
          <w:szCs w:val="22"/>
          <w:lang w:val="sr-Latn-ME"/>
        </w:rPr>
        <w:t>, s tim što se prva doza od 40 mg primjenjuje nedjelju dana nakon inicijalne doze</w:t>
      </w:r>
      <w:r w:rsidR="00264C3F" w:rsidRPr="003445F5">
        <w:rPr>
          <w:szCs w:val="22"/>
          <w:lang w:val="sr-Latn-ME"/>
        </w:rPr>
        <w:t xml:space="preserve">. </w:t>
      </w:r>
      <w:r w:rsidR="00BA1174" w:rsidRPr="003445F5">
        <w:rPr>
          <w:szCs w:val="22"/>
          <w:lang w:val="sr-Latn-ME"/>
        </w:rPr>
        <w:t>L</w:t>
      </w:r>
      <w:r w:rsidRPr="003445F5">
        <w:rPr>
          <w:szCs w:val="22"/>
          <w:lang w:val="sr-Latn-ME"/>
        </w:rPr>
        <w:t>ij</w:t>
      </w:r>
      <w:r w:rsidR="00BA1174" w:rsidRPr="003445F5">
        <w:rPr>
          <w:szCs w:val="22"/>
          <w:lang w:val="sr-Latn-ME"/>
        </w:rPr>
        <w:t>ek Hukyndra u dozi od 40 mg u na</w:t>
      </w:r>
      <w:r w:rsidR="003B62F7" w:rsidRPr="003445F5">
        <w:rPr>
          <w:szCs w:val="22"/>
          <w:lang w:val="sr-Latn-ME"/>
        </w:rPr>
        <w:t xml:space="preserve">punjenom injekcionom špricu i napunjenom injekcionom penu je dostupan </w:t>
      </w:r>
      <w:r w:rsidR="00DD20BF" w:rsidRPr="003445F5">
        <w:rPr>
          <w:szCs w:val="22"/>
          <w:lang w:val="sr-Latn-ME"/>
        </w:rPr>
        <w:t>za do</w:t>
      </w:r>
      <w:r w:rsidR="00F61E64" w:rsidRPr="003445F5">
        <w:rPr>
          <w:szCs w:val="22"/>
          <w:lang w:val="sr-Latn-ME"/>
        </w:rPr>
        <w:t>zu održavanja.</w:t>
      </w:r>
    </w:p>
    <w:p w14:paraId="0D11EB19" w14:textId="77777777" w:rsidR="00264C3F" w:rsidRPr="003445F5" w:rsidRDefault="00264C3F" w:rsidP="00264C3F">
      <w:pPr>
        <w:rPr>
          <w:szCs w:val="22"/>
          <w:lang w:val="sr-Latn-ME"/>
        </w:rPr>
      </w:pPr>
    </w:p>
    <w:p w14:paraId="2C53268F" w14:textId="77777777" w:rsidR="00E82950" w:rsidRPr="003445F5" w:rsidRDefault="00E82950" w:rsidP="00E82950">
      <w:pPr>
        <w:rPr>
          <w:szCs w:val="22"/>
          <w:lang w:val="sr-Latn-ME"/>
        </w:rPr>
      </w:pPr>
      <w:r w:rsidRPr="003445F5">
        <w:rPr>
          <w:szCs w:val="22"/>
          <w:lang w:val="sr-Latn-ME"/>
        </w:rPr>
        <w:t xml:space="preserve">Ukoliko pacijent ne postigne terapijski odgovor tokom perioda od 16 nedjelja, nastavak liječenja nakon tog perioda potrebno je pažljivo razmotriti. </w:t>
      </w:r>
    </w:p>
    <w:p w14:paraId="34B79FB1" w14:textId="77777777" w:rsidR="00264C3F" w:rsidRPr="003445F5" w:rsidRDefault="00264C3F" w:rsidP="00264C3F">
      <w:pPr>
        <w:rPr>
          <w:szCs w:val="22"/>
          <w:lang w:val="sr-Latn-ME"/>
        </w:rPr>
      </w:pPr>
    </w:p>
    <w:p w14:paraId="320D8180" w14:textId="54E7229D" w:rsidR="004E49FF" w:rsidRPr="003445F5" w:rsidRDefault="004E49FF" w:rsidP="004E49FF">
      <w:pPr>
        <w:rPr>
          <w:szCs w:val="22"/>
          <w:lang w:val="sr-Latn-ME"/>
        </w:rPr>
      </w:pPr>
      <w:r w:rsidRPr="003445F5">
        <w:rPr>
          <w:szCs w:val="22"/>
          <w:lang w:val="sr-Latn-ME"/>
        </w:rPr>
        <w:t xml:space="preserve">Kod pacijenata kod kojih nije postignut adekvatan odgovor na lijek Hukyndra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nakon 16 nedjelja, možda će biti efikasno povećanje doze na 40 mg adalimumaba svake </w:t>
      </w:r>
      <w:r w:rsidR="00551F1D" w:rsidRPr="003445F5">
        <w:rPr>
          <w:szCs w:val="22"/>
          <w:lang w:val="sr-Latn-ME"/>
        </w:rPr>
        <w:t>nedjelj</w:t>
      </w:r>
      <w:r w:rsidR="0047711E" w:rsidRPr="003445F5">
        <w:rPr>
          <w:szCs w:val="22"/>
          <w:lang w:val="sr-Latn-ME"/>
        </w:rPr>
        <w:t>e</w:t>
      </w:r>
      <w:r w:rsidRPr="003445F5">
        <w:rPr>
          <w:szCs w:val="22"/>
          <w:lang w:val="sr-Latn-ME"/>
        </w:rPr>
        <w:t xml:space="preserve"> ili 80 mg svake druge </w:t>
      </w:r>
      <w:r w:rsidR="00551F1D" w:rsidRPr="003445F5">
        <w:rPr>
          <w:szCs w:val="22"/>
          <w:lang w:val="sr-Latn-ME"/>
        </w:rPr>
        <w:t>nedjelj</w:t>
      </w:r>
      <w:r w:rsidR="0047711E" w:rsidRPr="003445F5">
        <w:rPr>
          <w:szCs w:val="22"/>
          <w:lang w:val="sr-Latn-ME"/>
        </w:rPr>
        <w:t>e</w:t>
      </w:r>
      <w:r w:rsidRPr="003445F5">
        <w:rPr>
          <w:szCs w:val="22"/>
          <w:lang w:val="sr-Latn-ME"/>
        </w:rPr>
        <w:t>. Potrebno je pažljivo ponovo proc</w:t>
      </w:r>
      <w:r w:rsidR="00432884" w:rsidRPr="003445F5">
        <w:rPr>
          <w:szCs w:val="22"/>
          <w:lang w:val="sr-Latn-ME"/>
        </w:rPr>
        <w:t>i</w:t>
      </w:r>
      <w:r w:rsidRPr="003445F5">
        <w:rPr>
          <w:szCs w:val="22"/>
          <w:lang w:val="sr-Latn-ME"/>
        </w:rPr>
        <w:t xml:space="preserve">jeniti odnos koristi i rizika kontinuirane terapije lijekom Hukyndra u dozi od 40 mg jednom nedjeljno ili 80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kod pacijenata kod kojih nije postignut zadovoljavajući odgovor nakon povećanja doze (</w:t>
      </w:r>
      <w:r w:rsidR="007E1F86" w:rsidRPr="003445F5">
        <w:rPr>
          <w:szCs w:val="22"/>
          <w:lang w:val="sr-Latn-ME"/>
        </w:rPr>
        <w:t>pogledati dio</w:t>
      </w:r>
      <w:r w:rsidRPr="003445F5">
        <w:rPr>
          <w:szCs w:val="22"/>
          <w:lang w:val="sr-Latn-ME"/>
        </w:rPr>
        <w:t xml:space="preserve"> 5.1). Ako se sa dozom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ili 80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postigne zadovoljavajući odgovor, doza se potom može smanjiti na 40 mg svake druge </w:t>
      </w:r>
      <w:r w:rsidR="00551F1D" w:rsidRPr="003445F5">
        <w:rPr>
          <w:szCs w:val="22"/>
          <w:lang w:val="sr-Latn-ME"/>
        </w:rPr>
        <w:t>nedjelj</w:t>
      </w:r>
      <w:r w:rsidR="0047711E" w:rsidRPr="003445F5">
        <w:rPr>
          <w:szCs w:val="22"/>
          <w:lang w:val="sr-Latn-ME"/>
        </w:rPr>
        <w:t>e</w:t>
      </w:r>
      <w:r w:rsidRPr="003445F5">
        <w:rPr>
          <w:szCs w:val="22"/>
          <w:lang w:val="sr-Latn-ME"/>
        </w:rPr>
        <w:t>.</w:t>
      </w:r>
    </w:p>
    <w:p w14:paraId="26C25285" w14:textId="77777777" w:rsidR="00CC2AC4" w:rsidRPr="003445F5" w:rsidRDefault="00CC2AC4" w:rsidP="00524FDF">
      <w:pPr>
        <w:rPr>
          <w:szCs w:val="22"/>
          <w:lang w:val="sr-Latn-ME"/>
        </w:rPr>
      </w:pPr>
    </w:p>
    <w:p w14:paraId="538F8D31" w14:textId="77777777" w:rsidR="004E17F0" w:rsidRPr="003445F5" w:rsidRDefault="004E17F0" w:rsidP="004E17F0">
      <w:pPr>
        <w:rPr>
          <w:i/>
          <w:iCs/>
          <w:szCs w:val="22"/>
          <w:lang w:val="sr-Latn-ME"/>
        </w:rPr>
      </w:pPr>
      <w:r w:rsidRPr="003445F5">
        <w:rPr>
          <w:i/>
          <w:iCs/>
          <w:szCs w:val="22"/>
          <w:lang w:val="sr-Latn-ME"/>
        </w:rPr>
        <w:t xml:space="preserve">Gnojno zapaljenje znojnih žlijezda (Hidradenitis suppurativa) </w:t>
      </w:r>
    </w:p>
    <w:p w14:paraId="4528653F" w14:textId="5303033F" w:rsidR="004E17F0" w:rsidRPr="003445F5" w:rsidRDefault="004E17F0" w:rsidP="004E17F0">
      <w:pPr>
        <w:rPr>
          <w:szCs w:val="22"/>
          <w:lang w:val="sr-Latn-ME"/>
        </w:rPr>
      </w:pPr>
      <w:r w:rsidRPr="003445F5">
        <w:rPr>
          <w:szCs w:val="22"/>
          <w:lang w:val="sr-Latn-ME"/>
        </w:rPr>
        <w:t xml:space="preserve">Preporučen režim doziranja lijeka Hukyndra za odrasle pacijente sa gnojnim zapaljenjem znojnih žlijezda je početna doza od 160 mg prvog dana (primijenjena u obliku </w:t>
      </w:r>
      <w:r w:rsidR="00D85FEF" w:rsidRPr="003445F5">
        <w:rPr>
          <w:szCs w:val="22"/>
          <w:lang w:val="sr-Latn-ME"/>
        </w:rPr>
        <w:t>dvije</w:t>
      </w:r>
      <w:r w:rsidRPr="003445F5">
        <w:rPr>
          <w:szCs w:val="22"/>
          <w:lang w:val="sr-Latn-ME"/>
        </w:rPr>
        <w:t xml:space="preserve"> injekcije od </w:t>
      </w:r>
      <w:r w:rsidR="00D85FEF" w:rsidRPr="003445F5">
        <w:rPr>
          <w:szCs w:val="22"/>
          <w:lang w:val="sr-Latn-ME"/>
        </w:rPr>
        <w:t>8</w:t>
      </w:r>
      <w:r w:rsidRPr="003445F5">
        <w:rPr>
          <w:szCs w:val="22"/>
          <w:lang w:val="sr-Latn-ME"/>
        </w:rPr>
        <w:t xml:space="preserve">0 mg u jednom danu ili </w:t>
      </w:r>
      <w:r w:rsidR="00D85FEF" w:rsidRPr="003445F5">
        <w:rPr>
          <w:szCs w:val="22"/>
          <w:lang w:val="sr-Latn-ME"/>
        </w:rPr>
        <w:t>jedne</w:t>
      </w:r>
      <w:r w:rsidRPr="003445F5">
        <w:rPr>
          <w:szCs w:val="22"/>
          <w:lang w:val="sr-Latn-ME"/>
        </w:rPr>
        <w:t xml:space="preserve"> injekcije od </w:t>
      </w:r>
      <w:r w:rsidR="00D85FEF" w:rsidRPr="003445F5">
        <w:rPr>
          <w:szCs w:val="22"/>
          <w:lang w:val="sr-Latn-ME"/>
        </w:rPr>
        <w:t>8</w:t>
      </w:r>
      <w:r w:rsidRPr="003445F5">
        <w:rPr>
          <w:szCs w:val="22"/>
          <w:lang w:val="sr-Latn-ME"/>
        </w:rPr>
        <w:t xml:space="preserve">0 mg na dan tokom dva uzastopna dana), praćena dozom od 80 mg nakon </w:t>
      </w:r>
      <w:r w:rsidRPr="003445F5">
        <w:rPr>
          <w:szCs w:val="22"/>
          <w:lang w:val="sr-Latn-ME"/>
        </w:rPr>
        <w:lastRenderedPageBreak/>
        <w:t xml:space="preserve">dvije </w:t>
      </w:r>
      <w:r w:rsidR="00551F1D" w:rsidRPr="003445F5">
        <w:rPr>
          <w:szCs w:val="22"/>
          <w:lang w:val="sr-Latn-ME"/>
        </w:rPr>
        <w:t>nedjelj</w:t>
      </w:r>
      <w:r w:rsidR="0047711E" w:rsidRPr="003445F5">
        <w:rPr>
          <w:szCs w:val="22"/>
          <w:lang w:val="sr-Latn-ME"/>
        </w:rPr>
        <w:t>e</w:t>
      </w:r>
      <w:r w:rsidRPr="003445F5">
        <w:rPr>
          <w:szCs w:val="22"/>
          <w:lang w:val="sr-Latn-ME"/>
        </w:rPr>
        <w:t xml:space="preserve">, 15. dana (primijenjena u obliku </w:t>
      </w:r>
      <w:r w:rsidR="00212B73" w:rsidRPr="003445F5">
        <w:rPr>
          <w:szCs w:val="22"/>
          <w:lang w:val="sr-Latn-ME"/>
        </w:rPr>
        <w:t>jedne</w:t>
      </w:r>
      <w:r w:rsidRPr="003445F5">
        <w:rPr>
          <w:szCs w:val="22"/>
          <w:lang w:val="sr-Latn-ME"/>
        </w:rPr>
        <w:t xml:space="preserve"> injekcije od </w:t>
      </w:r>
      <w:r w:rsidR="00212B73" w:rsidRPr="003445F5">
        <w:rPr>
          <w:szCs w:val="22"/>
          <w:lang w:val="sr-Latn-ME"/>
        </w:rPr>
        <w:t>8</w:t>
      </w:r>
      <w:r w:rsidRPr="003445F5">
        <w:rPr>
          <w:szCs w:val="22"/>
          <w:lang w:val="sr-Latn-ME"/>
        </w:rPr>
        <w:t xml:space="preserve">0 mg u jednom danu). Dvije </w:t>
      </w:r>
      <w:r w:rsidR="00551F1D" w:rsidRPr="003445F5">
        <w:rPr>
          <w:szCs w:val="22"/>
          <w:lang w:val="sr-Latn-ME"/>
        </w:rPr>
        <w:t>nedjelj</w:t>
      </w:r>
      <w:r w:rsidR="0047711E" w:rsidRPr="003445F5">
        <w:rPr>
          <w:szCs w:val="22"/>
          <w:lang w:val="sr-Latn-ME"/>
        </w:rPr>
        <w:t>e</w:t>
      </w:r>
      <w:r w:rsidRPr="003445F5">
        <w:rPr>
          <w:szCs w:val="22"/>
          <w:lang w:val="sr-Latn-ME"/>
        </w:rPr>
        <w:t xml:space="preserve"> kasnije (29. dan) liječenje se nastavlja dozom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ili 80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(primijenjena u obliku </w:t>
      </w:r>
      <w:r w:rsidR="00212B73" w:rsidRPr="003445F5">
        <w:rPr>
          <w:szCs w:val="22"/>
          <w:lang w:val="sr-Latn-ME"/>
        </w:rPr>
        <w:t>jedne</w:t>
      </w:r>
      <w:r w:rsidRPr="003445F5">
        <w:rPr>
          <w:szCs w:val="22"/>
          <w:lang w:val="sr-Latn-ME"/>
        </w:rPr>
        <w:t xml:space="preserve"> injekcije od </w:t>
      </w:r>
      <w:r w:rsidR="00212B73" w:rsidRPr="003445F5">
        <w:rPr>
          <w:szCs w:val="22"/>
          <w:lang w:val="sr-Latn-ME"/>
        </w:rPr>
        <w:t>8</w:t>
      </w:r>
      <w:r w:rsidRPr="003445F5">
        <w:rPr>
          <w:szCs w:val="22"/>
          <w:lang w:val="sr-Latn-ME"/>
        </w:rPr>
        <w:t xml:space="preserve">0 mg u jednom danu). Ako je potrebno, primjena antibiotika može se nastaviti i tokom liječenja lijekom Hukyndra. Preporučuje se da pacijent tokom terapije lijekom Hukyndra svakodnevno koristi topikalni antiseptički rastvor za ispiranje lezija uzrokovanih gnojnim zapaljenjem znojnih žlijezda. </w:t>
      </w:r>
    </w:p>
    <w:p w14:paraId="39C0F090" w14:textId="77777777" w:rsidR="004E17F0" w:rsidRPr="003445F5" w:rsidRDefault="004E17F0" w:rsidP="004E17F0">
      <w:pPr>
        <w:rPr>
          <w:szCs w:val="22"/>
          <w:lang w:val="sr-Latn-ME"/>
        </w:rPr>
      </w:pPr>
    </w:p>
    <w:p w14:paraId="39D99383" w14:textId="77777777" w:rsidR="004E17F0" w:rsidRPr="003445F5" w:rsidRDefault="004E17F0" w:rsidP="004E17F0">
      <w:pPr>
        <w:rPr>
          <w:szCs w:val="22"/>
          <w:lang w:val="sr-Latn-ME"/>
        </w:rPr>
      </w:pPr>
      <w:r w:rsidRPr="003445F5">
        <w:rPr>
          <w:szCs w:val="22"/>
          <w:lang w:val="sr-Latn-ME"/>
        </w:rPr>
        <w:t xml:space="preserve">Ukoliko pacijent ne postigne terapijski odgovor tokom perioda od 12 nedjelja, nastavak liječenja nakon tog perioda potrebno je pažljivo razmotriti. </w:t>
      </w:r>
    </w:p>
    <w:p w14:paraId="6AFCE234" w14:textId="77777777" w:rsidR="004E17F0" w:rsidRPr="003445F5" w:rsidRDefault="004E17F0" w:rsidP="004E17F0">
      <w:pPr>
        <w:rPr>
          <w:szCs w:val="22"/>
          <w:lang w:val="sr-Latn-ME"/>
        </w:rPr>
      </w:pPr>
    </w:p>
    <w:p w14:paraId="027EC806" w14:textId="66B1F8A5" w:rsidR="004E17F0" w:rsidRPr="003445F5" w:rsidRDefault="004E17F0" w:rsidP="004E17F0">
      <w:pPr>
        <w:rPr>
          <w:szCs w:val="22"/>
          <w:lang w:val="sr-Latn-ME"/>
        </w:rPr>
      </w:pPr>
      <w:r w:rsidRPr="003445F5">
        <w:rPr>
          <w:szCs w:val="22"/>
          <w:lang w:val="sr-Latn-ME"/>
        </w:rPr>
        <w:t xml:space="preserve">Ukoliko je potrebno privremeno prekinuti terapiju, lijek Hukyndra se kasnije može ponovno uvesti u dozi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ili 80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w:t>
      </w:r>
      <w:r w:rsidR="007E1F86" w:rsidRPr="003445F5">
        <w:rPr>
          <w:szCs w:val="22"/>
          <w:lang w:val="sr-Latn-ME"/>
        </w:rPr>
        <w:t>pogledati dio</w:t>
      </w:r>
      <w:r w:rsidRPr="003445F5">
        <w:rPr>
          <w:szCs w:val="22"/>
          <w:lang w:val="sr-Latn-ME"/>
        </w:rPr>
        <w:t xml:space="preserve"> 5.1). </w:t>
      </w:r>
    </w:p>
    <w:p w14:paraId="54CC4DA5" w14:textId="77777777" w:rsidR="004E17F0" w:rsidRPr="003445F5" w:rsidRDefault="004E17F0" w:rsidP="004E17F0">
      <w:pPr>
        <w:rPr>
          <w:szCs w:val="22"/>
          <w:lang w:val="sr-Latn-ME"/>
        </w:rPr>
      </w:pPr>
    </w:p>
    <w:p w14:paraId="3CCB8704" w14:textId="65C795F7" w:rsidR="004E17F0" w:rsidRPr="003445F5" w:rsidRDefault="004E17F0" w:rsidP="004E17F0">
      <w:pPr>
        <w:rPr>
          <w:szCs w:val="22"/>
          <w:lang w:val="sr-Latn-ME"/>
        </w:rPr>
      </w:pPr>
      <w:r w:rsidRPr="003445F5">
        <w:rPr>
          <w:szCs w:val="22"/>
          <w:lang w:val="sr-Latn-ME"/>
        </w:rPr>
        <w:t>Potrebno je periodično procjenjivati odnos koristi i rizika kontinuirane dugotrajne terapije (</w:t>
      </w:r>
      <w:r w:rsidR="007E1F86" w:rsidRPr="003445F5">
        <w:rPr>
          <w:szCs w:val="22"/>
          <w:lang w:val="sr-Latn-ME"/>
        </w:rPr>
        <w:t>pogledati dio</w:t>
      </w:r>
      <w:r w:rsidRPr="003445F5">
        <w:rPr>
          <w:szCs w:val="22"/>
          <w:lang w:val="sr-Latn-ME"/>
        </w:rPr>
        <w:t xml:space="preserve"> 5.1). </w:t>
      </w:r>
    </w:p>
    <w:p w14:paraId="1C1F272E" w14:textId="77777777" w:rsidR="00CC2AC4" w:rsidRPr="003445F5" w:rsidRDefault="00CC2AC4" w:rsidP="00524FDF">
      <w:pPr>
        <w:rPr>
          <w:szCs w:val="22"/>
          <w:lang w:val="sr-Latn-ME"/>
        </w:rPr>
      </w:pPr>
    </w:p>
    <w:p w14:paraId="5C3FD416" w14:textId="77777777" w:rsidR="000B52CB" w:rsidRPr="003445F5" w:rsidRDefault="000B52CB" w:rsidP="000B52CB">
      <w:pPr>
        <w:rPr>
          <w:i/>
          <w:iCs/>
          <w:szCs w:val="22"/>
          <w:lang w:val="sr-Latn-ME"/>
        </w:rPr>
      </w:pPr>
      <w:r w:rsidRPr="003445F5">
        <w:rPr>
          <w:i/>
          <w:iCs/>
          <w:szCs w:val="22"/>
          <w:lang w:val="sr-Latn-ME"/>
        </w:rPr>
        <w:t>Crohn-ova bolest</w:t>
      </w:r>
    </w:p>
    <w:p w14:paraId="464E3D03" w14:textId="2BBCAB94" w:rsidR="00102194" w:rsidRPr="003445F5" w:rsidRDefault="00102194" w:rsidP="00102194">
      <w:pPr>
        <w:rPr>
          <w:szCs w:val="22"/>
          <w:lang w:val="sr-Latn-ME"/>
        </w:rPr>
      </w:pPr>
      <w:r w:rsidRPr="003445F5">
        <w:rPr>
          <w:szCs w:val="22"/>
          <w:lang w:val="sr-Latn-ME"/>
        </w:rPr>
        <w:t xml:space="preserve">Preporučena indukciona doza lijeka Hukyndra kod odraslih pacijenata sa umjerenom do teškom aktivnom </w:t>
      </w:r>
      <w:r w:rsidRPr="003445F5">
        <w:rPr>
          <w:i/>
          <w:iCs/>
          <w:szCs w:val="22"/>
          <w:lang w:val="sr-Latn-ME"/>
        </w:rPr>
        <w:t>Crohn</w:t>
      </w:r>
      <w:r w:rsidRPr="003445F5">
        <w:rPr>
          <w:szCs w:val="22"/>
          <w:lang w:val="sr-Latn-ME"/>
        </w:rPr>
        <w:t xml:space="preserve">-ovom bolešću je 80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praćena dozom od 40 mg nakon dvije </w:t>
      </w:r>
      <w:r w:rsidR="00551F1D" w:rsidRPr="003445F5">
        <w:rPr>
          <w:szCs w:val="22"/>
          <w:lang w:val="sr-Latn-ME"/>
        </w:rPr>
        <w:t>nedjelj</w:t>
      </w:r>
      <w:r w:rsidR="0047711E" w:rsidRPr="003445F5">
        <w:rPr>
          <w:szCs w:val="22"/>
          <w:lang w:val="sr-Latn-ME"/>
        </w:rPr>
        <w:t>e</w:t>
      </w:r>
      <w:r w:rsidRPr="003445F5">
        <w:rPr>
          <w:szCs w:val="22"/>
          <w:lang w:val="sr-Latn-ME"/>
        </w:rPr>
        <w:t xml:space="preserve">. U slučaju da postoji potreba za bržim terapijskim odgovorom, liječenje se može započeti dozom od 160 mg u prvoj </w:t>
      </w:r>
      <w:r w:rsidR="00551F1D" w:rsidRPr="003445F5">
        <w:rPr>
          <w:szCs w:val="22"/>
          <w:lang w:val="sr-Latn-ME"/>
        </w:rPr>
        <w:t>nedjelj</w:t>
      </w:r>
      <w:r w:rsidR="00704AF5" w:rsidRPr="003445F5">
        <w:rPr>
          <w:szCs w:val="22"/>
          <w:lang w:val="sr-Latn-ME"/>
        </w:rPr>
        <w:t>i</w:t>
      </w:r>
      <w:r w:rsidRPr="003445F5">
        <w:rPr>
          <w:szCs w:val="22"/>
          <w:lang w:val="sr-Latn-ME"/>
        </w:rPr>
        <w:t xml:space="preserve"> (primijenjenom u obliku </w:t>
      </w:r>
      <w:r w:rsidR="00FA57ED" w:rsidRPr="003445F5">
        <w:rPr>
          <w:szCs w:val="22"/>
          <w:lang w:val="sr-Latn-ME"/>
        </w:rPr>
        <w:t>dvije</w:t>
      </w:r>
      <w:r w:rsidRPr="003445F5">
        <w:rPr>
          <w:szCs w:val="22"/>
          <w:lang w:val="sr-Latn-ME"/>
        </w:rPr>
        <w:t xml:space="preserve"> injekcije od </w:t>
      </w:r>
      <w:r w:rsidR="00FA57ED" w:rsidRPr="003445F5">
        <w:rPr>
          <w:szCs w:val="22"/>
          <w:lang w:val="sr-Latn-ME"/>
        </w:rPr>
        <w:t>8</w:t>
      </w:r>
      <w:r w:rsidRPr="003445F5">
        <w:rPr>
          <w:szCs w:val="22"/>
          <w:lang w:val="sr-Latn-ME"/>
        </w:rPr>
        <w:t xml:space="preserve">0 mg u jednom danu ili kao </w:t>
      </w:r>
      <w:r w:rsidR="00FA57ED" w:rsidRPr="003445F5">
        <w:rPr>
          <w:szCs w:val="22"/>
          <w:lang w:val="sr-Latn-ME"/>
        </w:rPr>
        <w:t>jedna</w:t>
      </w:r>
      <w:r w:rsidRPr="003445F5">
        <w:rPr>
          <w:szCs w:val="22"/>
          <w:lang w:val="sr-Latn-ME"/>
        </w:rPr>
        <w:t xml:space="preserve"> injekcij</w:t>
      </w:r>
      <w:r w:rsidR="00FA57ED" w:rsidRPr="003445F5">
        <w:rPr>
          <w:szCs w:val="22"/>
          <w:lang w:val="sr-Latn-ME"/>
        </w:rPr>
        <w:t>a</w:t>
      </w:r>
      <w:r w:rsidRPr="003445F5">
        <w:rPr>
          <w:szCs w:val="22"/>
          <w:lang w:val="sr-Latn-ME"/>
        </w:rPr>
        <w:t xml:space="preserve"> od </w:t>
      </w:r>
      <w:r w:rsidR="00FA57ED" w:rsidRPr="003445F5">
        <w:rPr>
          <w:szCs w:val="22"/>
          <w:lang w:val="sr-Latn-ME"/>
        </w:rPr>
        <w:t>8</w:t>
      </w:r>
      <w:r w:rsidRPr="003445F5">
        <w:rPr>
          <w:szCs w:val="22"/>
          <w:lang w:val="sr-Latn-ME"/>
        </w:rPr>
        <w:t xml:space="preserve">0 mg na dan tokom dva uzastopna dana) praćena dozom od 80 mg nakon dvije </w:t>
      </w:r>
      <w:r w:rsidR="00551F1D" w:rsidRPr="003445F5">
        <w:rPr>
          <w:szCs w:val="22"/>
          <w:lang w:val="sr-Latn-ME"/>
        </w:rPr>
        <w:t>nedjelj</w:t>
      </w:r>
      <w:r w:rsidR="0047711E" w:rsidRPr="003445F5">
        <w:rPr>
          <w:szCs w:val="22"/>
          <w:lang w:val="sr-Latn-ME"/>
        </w:rPr>
        <w:t>e</w:t>
      </w:r>
      <w:r w:rsidRPr="003445F5">
        <w:rPr>
          <w:szCs w:val="22"/>
          <w:lang w:val="sr-Latn-ME"/>
        </w:rPr>
        <w:t xml:space="preserve">, uz napomenu da je rizik od razvoja neželjenih dejstava veći tokom indukcione terapije. </w:t>
      </w:r>
    </w:p>
    <w:p w14:paraId="42877D46" w14:textId="77777777" w:rsidR="00102194" w:rsidRPr="003445F5" w:rsidRDefault="00102194" w:rsidP="00102194">
      <w:pPr>
        <w:rPr>
          <w:szCs w:val="22"/>
          <w:lang w:val="sr-Latn-ME"/>
        </w:rPr>
      </w:pPr>
    </w:p>
    <w:p w14:paraId="62DDB075" w14:textId="000F0D35" w:rsidR="00102194" w:rsidRPr="003445F5" w:rsidRDefault="00102194" w:rsidP="00102194">
      <w:pPr>
        <w:rPr>
          <w:szCs w:val="22"/>
          <w:lang w:val="sr-Latn-ME"/>
        </w:rPr>
      </w:pPr>
      <w:r w:rsidRPr="003445F5">
        <w:rPr>
          <w:szCs w:val="22"/>
          <w:lang w:val="sr-Latn-ME"/>
        </w:rPr>
        <w:t xml:space="preserve">Nakon indukcije, preporučena doza je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supkutanom injekcijom. Alternativno, ako je pacijent prestao da uzima lijek Hukyndra, a znakovi i simptomi bolesti su se opet pojavili, lijek Hukyndra se može ponovno primijeniti. Postoji malo podataka o ponovnoj primjeni lijeka Hukyndra kada je prekid terapije trajao duže od 8 nedjelja. </w:t>
      </w:r>
    </w:p>
    <w:p w14:paraId="6DC76406" w14:textId="77777777" w:rsidR="00102194" w:rsidRPr="003445F5" w:rsidRDefault="00102194" w:rsidP="00102194">
      <w:pPr>
        <w:rPr>
          <w:szCs w:val="22"/>
          <w:lang w:val="sr-Latn-ME"/>
        </w:rPr>
      </w:pPr>
    </w:p>
    <w:p w14:paraId="15552D1F" w14:textId="77777777" w:rsidR="00102194" w:rsidRPr="003445F5" w:rsidRDefault="00102194" w:rsidP="00102194">
      <w:pPr>
        <w:rPr>
          <w:szCs w:val="22"/>
          <w:lang w:val="sr-Latn-ME"/>
        </w:rPr>
      </w:pPr>
      <w:r w:rsidRPr="003445F5">
        <w:rPr>
          <w:szCs w:val="22"/>
          <w:lang w:val="sr-Latn-ME"/>
        </w:rPr>
        <w:t xml:space="preserve">Tokom terapije održavanja, doza kortikosteroida može se postepeno smanjivati u skladu sa smjernicama iz kliničke prakse. </w:t>
      </w:r>
    </w:p>
    <w:p w14:paraId="7FB0CA4F" w14:textId="77777777" w:rsidR="00102194" w:rsidRPr="003445F5" w:rsidRDefault="00102194" w:rsidP="00102194">
      <w:pPr>
        <w:rPr>
          <w:szCs w:val="22"/>
          <w:lang w:val="sr-Latn-ME"/>
        </w:rPr>
      </w:pPr>
    </w:p>
    <w:p w14:paraId="3C4E46EA" w14:textId="6454ED86" w:rsidR="00102194" w:rsidRPr="003445F5" w:rsidRDefault="00102194" w:rsidP="00102194">
      <w:pPr>
        <w:rPr>
          <w:szCs w:val="22"/>
          <w:lang w:val="sr-Latn-ME"/>
        </w:rPr>
      </w:pPr>
      <w:r w:rsidRPr="003445F5">
        <w:rPr>
          <w:szCs w:val="22"/>
          <w:lang w:val="sr-Latn-ME"/>
        </w:rPr>
        <w:t xml:space="preserve">Kod nekih pacijenata kod kojih dođe do slabljenja odgovora na terapiju lijekom Hukyndra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možda će biti efikasno povećanje doze na 40 mg lijeka Hukyndra svake </w:t>
      </w:r>
      <w:r w:rsidR="00551F1D" w:rsidRPr="003445F5">
        <w:rPr>
          <w:szCs w:val="22"/>
          <w:lang w:val="sr-Latn-ME"/>
        </w:rPr>
        <w:t>nedjelj</w:t>
      </w:r>
      <w:r w:rsidR="0047711E" w:rsidRPr="003445F5">
        <w:rPr>
          <w:szCs w:val="22"/>
          <w:lang w:val="sr-Latn-ME"/>
        </w:rPr>
        <w:t>e</w:t>
      </w:r>
      <w:r w:rsidRPr="003445F5">
        <w:rPr>
          <w:szCs w:val="22"/>
          <w:lang w:val="sr-Latn-ME"/>
        </w:rPr>
        <w:t xml:space="preserve"> ili 80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22034F8F" w14:textId="77777777" w:rsidR="00102194" w:rsidRPr="003445F5" w:rsidRDefault="00102194" w:rsidP="00102194">
      <w:pPr>
        <w:rPr>
          <w:szCs w:val="22"/>
          <w:lang w:val="sr-Latn-ME"/>
        </w:rPr>
      </w:pPr>
    </w:p>
    <w:p w14:paraId="740FDE8A" w14:textId="2ABB3552" w:rsidR="00102194" w:rsidRPr="003445F5" w:rsidRDefault="00102194" w:rsidP="00102194">
      <w:pPr>
        <w:rPr>
          <w:szCs w:val="22"/>
          <w:lang w:val="sr-Latn-ME"/>
        </w:rPr>
      </w:pPr>
      <w:r w:rsidRPr="003445F5">
        <w:rPr>
          <w:szCs w:val="22"/>
          <w:lang w:val="sr-Latn-ME"/>
        </w:rPr>
        <w:t xml:space="preserve">Kod nekih pacijenata koji ne reaguju na terapiju do 4. </w:t>
      </w:r>
      <w:r w:rsidR="00551F1D" w:rsidRPr="003445F5">
        <w:rPr>
          <w:szCs w:val="22"/>
          <w:lang w:val="sr-Latn-ME"/>
        </w:rPr>
        <w:t>nedjelj</w:t>
      </w:r>
      <w:r w:rsidR="0047711E" w:rsidRPr="003445F5">
        <w:rPr>
          <w:szCs w:val="22"/>
          <w:lang w:val="sr-Latn-ME"/>
        </w:rPr>
        <w:t>e</w:t>
      </w:r>
      <w:r w:rsidRPr="003445F5">
        <w:rPr>
          <w:szCs w:val="22"/>
          <w:lang w:val="sr-Latn-ME"/>
        </w:rPr>
        <w:t xml:space="preserve">, terapijski odgovor se može postići produženjem terapije održavanja do 12. </w:t>
      </w:r>
      <w:r w:rsidR="00551F1D" w:rsidRPr="003445F5">
        <w:rPr>
          <w:szCs w:val="22"/>
          <w:lang w:val="sr-Latn-ME"/>
        </w:rPr>
        <w:t>nedjelj</w:t>
      </w:r>
      <w:r w:rsidR="0047711E" w:rsidRPr="003445F5">
        <w:rPr>
          <w:szCs w:val="22"/>
          <w:lang w:val="sr-Latn-ME"/>
        </w:rPr>
        <w:t>e</w:t>
      </w:r>
      <w:r w:rsidRPr="003445F5">
        <w:rPr>
          <w:szCs w:val="22"/>
          <w:lang w:val="sr-Latn-ME"/>
        </w:rPr>
        <w:t xml:space="preserve">. Nastavak terapije treba razmotriti kod onih pacijenata koji nisu odgovorili na terapiju u ovom vremenskom periodu. </w:t>
      </w:r>
    </w:p>
    <w:p w14:paraId="072D43C1" w14:textId="1F6709F4" w:rsidR="00CE09F3" w:rsidRPr="003445F5" w:rsidRDefault="00CE09F3" w:rsidP="00524FDF">
      <w:pPr>
        <w:rPr>
          <w:szCs w:val="22"/>
          <w:lang w:val="sr-Latn-ME"/>
        </w:rPr>
      </w:pPr>
    </w:p>
    <w:p w14:paraId="09875D2F" w14:textId="77777777" w:rsidR="00F3537A" w:rsidRPr="003445F5" w:rsidRDefault="00F3537A" w:rsidP="00F3537A">
      <w:pPr>
        <w:rPr>
          <w:i/>
          <w:iCs/>
          <w:szCs w:val="22"/>
          <w:lang w:val="sr-Latn-ME"/>
        </w:rPr>
      </w:pPr>
      <w:r w:rsidRPr="003445F5">
        <w:rPr>
          <w:i/>
          <w:iCs/>
          <w:szCs w:val="22"/>
          <w:lang w:val="sr-Latn-ME"/>
        </w:rPr>
        <w:t xml:space="preserve">Ulcerozni kolitis </w:t>
      </w:r>
    </w:p>
    <w:p w14:paraId="1F1AC5DA" w14:textId="26B7177D" w:rsidR="006D4D26" w:rsidRPr="003445F5" w:rsidRDefault="006D4D26" w:rsidP="006D4D26">
      <w:pPr>
        <w:rPr>
          <w:szCs w:val="22"/>
          <w:lang w:val="sr-Latn-ME"/>
        </w:rPr>
      </w:pPr>
      <w:r w:rsidRPr="003445F5">
        <w:rPr>
          <w:szCs w:val="22"/>
          <w:lang w:val="sr-Latn-ME"/>
        </w:rPr>
        <w:t xml:space="preserve">Preporučena indukciona doza lijeka Hukyndra kod odraslih pacijenata sa umjerenim do teškim ulceroznim kolitisom je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(primijenjena u obliku četiri injekcije od 40 mg u jednom danu ili kao dvije injekcije od 40 mg na dan tokom dva uzastopna dana) praćena dozom od 80 mg nakon dvije </w:t>
      </w:r>
      <w:r w:rsidR="00551F1D" w:rsidRPr="003445F5">
        <w:rPr>
          <w:szCs w:val="22"/>
          <w:lang w:val="sr-Latn-ME"/>
        </w:rPr>
        <w:t>nedjelj</w:t>
      </w:r>
      <w:r w:rsidR="0047711E" w:rsidRPr="003445F5">
        <w:rPr>
          <w:szCs w:val="22"/>
          <w:lang w:val="sr-Latn-ME"/>
        </w:rPr>
        <w:t>e</w:t>
      </w:r>
      <w:r w:rsidRPr="003445F5">
        <w:rPr>
          <w:szCs w:val="22"/>
          <w:lang w:val="sr-Latn-ME"/>
        </w:rPr>
        <w:t xml:space="preserve">. Nakon indukcione terapije, preporučena doza je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supkutanom injekcijom. </w:t>
      </w:r>
    </w:p>
    <w:p w14:paraId="6124F7FD" w14:textId="77777777" w:rsidR="006D4D26" w:rsidRPr="003445F5" w:rsidRDefault="006D4D26" w:rsidP="006D4D26">
      <w:pPr>
        <w:rPr>
          <w:szCs w:val="22"/>
          <w:lang w:val="sr-Latn-ME"/>
        </w:rPr>
      </w:pPr>
    </w:p>
    <w:p w14:paraId="624A7CCD" w14:textId="77777777" w:rsidR="006D4D26" w:rsidRPr="003445F5" w:rsidRDefault="006D4D26" w:rsidP="006D4D26">
      <w:pPr>
        <w:rPr>
          <w:szCs w:val="22"/>
          <w:lang w:val="sr-Latn-ME"/>
        </w:rPr>
      </w:pPr>
      <w:r w:rsidRPr="003445F5">
        <w:rPr>
          <w:szCs w:val="22"/>
          <w:lang w:val="sr-Latn-ME"/>
        </w:rPr>
        <w:t xml:space="preserve">Tokom terapije održavanja, doza kortikosteroida može se postepeno smanjivati u skladu sa smjernicama iz kliničke prakse. </w:t>
      </w:r>
    </w:p>
    <w:p w14:paraId="5EA2A0C8" w14:textId="77777777" w:rsidR="006D4D26" w:rsidRPr="003445F5" w:rsidRDefault="006D4D26" w:rsidP="006D4D26">
      <w:pPr>
        <w:rPr>
          <w:szCs w:val="22"/>
          <w:lang w:val="sr-Latn-ME"/>
        </w:rPr>
      </w:pPr>
    </w:p>
    <w:p w14:paraId="1FFF1078" w14:textId="131BE380" w:rsidR="006D4D26" w:rsidRPr="003445F5" w:rsidRDefault="006D4D26" w:rsidP="006D4D26">
      <w:pPr>
        <w:rPr>
          <w:szCs w:val="22"/>
          <w:lang w:val="sr-Latn-ME"/>
        </w:rPr>
      </w:pPr>
      <w:r w:rsidRPr="003445F5">
        <w:rPr>
          <w:szCs w:val="22"/>
          <w:lang w:val="sr-Latn-ME"/>
        </w:rPr>
        <w:t xml:space="preserve">Kod nekih pacijenata kod kojih dođe do slabljenja odgovora na terapiju lijekom Hukyndra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može biti efikasno povećanje doze na 40 mg lijeka Hukyndra svake </w:t>
      </w:r>
      <w:r w:rsidR="00551F1D" w:rsidRPr="003445F5">
        <w:rPr>
          <w:szCs w:val="22"/>
          <w:lang w:val="sr-Latn-ME"/>
        </w:rPr>
        <w:t>nedjelj</w:t>
      </w:r>
      <w:r w:rsidR="0047711E" w:rsidRPr="003445F5">
        <w:rPr>
          <w:szCs w:val="22"/>
          <w:lang w:val="sr-Latn-ME"/>
        </w:rPr>
        <w:t>e</w:t>
      </w:r>
      <w:r w:rsidRPr="003445F5">
        <w:rPr>
          <w:szCs w:val="22"/>
          <w:lang w:val="sr-Latn-ME"/>
        </w:rPr>
        <w:t xml:space="preserve"> ili 80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17279015" w14:textId="77777777" w:rsidR="006D4D26" w:rsidRPr="003445F5" w:rsidRDefault="006D4D26" w:rsidP="006D4D26">
      <w:pPr>
        <w:rPr>
          <w:szCs w:val="22"/>
          <w:lang w:val="sr-Latn-ME"/>
        </w:rPr>
      </w:pPr>
    </w:p>
    <w:p w14:paraId="63CF29DA" w14:textId="2FF364BE" w:rsidR="006D4D26" w:rsidRPr="003445F5" w:rsidRDefault="006D4D26" w:rsidP="006D4D26">
      <w:pPr>
        <w:rPr>
          <w:szCs w:val="22"/>
          <w:lang w:val="sr-Latn-ME"/>
        </w:rPr>
      </w:pPr>
      <w:r w:rsidRPr="003445F5">
        <w:rPr>
          <w:szCs w:val="22"/>
          <w:lang w:val="sr-Latn-ME"/>
        </w:rPr>
        <w:lastRenderedPageBreak/>
        <w:t xml:space="preserve">Dostupni podaci pokazuju da se klinički odgovor obično postiže tokom 2-8 </w:t>
      </w:r>
      <w:r w:rsidR="00551F1D" w:rsidRPr="003445F5">
        <w:rPr>
          <w:szCs w:val="22"/>
          <w:lang w:val="sr-Latn-ME"/>
        </w:rPr>
        <w:t>nedjelj</w:t>
      </w:r>
      <w:r w:rsidR="0047711E" w:rsidRPr="003445F5">
        <w:rPr>
          <w:szCs w:val="22"/>
          <w:lang w:val="sr-Latn-ME"/>
        </w:rPr>
        <w:t>e</w:t>
      </w:r>
      <w:r w:rsidRPr="003445F5">
        <w:rPr>
          <w:szCs w:val="22"/>
          <w:lang w:val="sr-Latn-ME"/>
        </w:rPr>
        <w:t xml:space="preserve"> od početka terapije. Kod pacijenata koji nisu odgovorili na terapiju, terapiju lijekom Hukyndra ne treba nastaviti.</w:t>
      </w:r>
    </w:p>
    <w:p w14:paraId="5F4196F9" w14:textId="77777777" w:rsidR="00F3537A" w:rsidRPr="003445F5" w:rsidRDefault="00F3537A" w:rsidP="00F3537A">
      <w:pPr>
        <w:rPr>
          <w:szCs w:val="22"/>
          <w:lang w:val="sr-Latn-ME"/>
        </w:rPr>
      </w:pPr>
    </w:p>
    <w:p w14:paraId="7249A778" w14:textId="77777777" w:rsidR="00F3537A" w:rsidRPr="003445F5" w:rsidRDefault="00F3537A" w:rsidP="00F3537A">
      <w:pPr>
        <w:rPr>
          <w:i/>
          <w:iCs/>
          <w:szCs w:val="22"/>
          <w:lang w:val="sr-Latn-ME"/>
        </w:rPr>
      </w:pPr>
      <w:r w:rsidRPr="003445F5">
        <w:rPr>
          <w:i/>
          <w:iCs/>
          <w:szCs w:val="22"/>
          <w:lang w:val="sr-Latn-ME"/>
        </w:rPr>
        <w:t xml:space="preserve">Uveitis </w:t>
      </w:r>
    </w:p>
    <w:p w14:paraId="05717F5D" w14:textId="0A4AEC00" w:rsidR="001673B0" w:rsidRPr="003445F5" w:rsidRDefault="001673B0" w:rsidP="001673B0">
      <w:pPr>
        <w:rPr>
          <w:szCs w:val="22"/>
          <w:lang w:val="sr-Latn-ME"/>
        </w:rPr>
      </w:pPr>
      <w:r w:rsidRPr="003445F5">
        <w:rPr>
          <w:szCs w:val="22"/>
          <w:lang w:val="sr-Latn-ME"/>
        </w:rPr>
        <w:t xml:space="preserve">Preporučena doza lijeka Hukyndra kod odraslih pacijenata sa uveitisom je inicijalna doza od 80 mg, praćena dozom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počevši nedjelju dana nakon početne doze. Iskustvo sa započinjanjem terapije samo adalimumabom je ograničeno. Terapija lijekom Hukyndra može da se započne u kombinaciji sa kortikosteroidima i/ili drugim nebiološkim imunomodulatorima. Doza istovremeno primijenjenih kortikosteroida može da se postepeno smanjuje u skladu sa kliničkom praksom, počevši dvije </w:t>
      </w:r>
      <w:r w:rsidR="00551F1D" w:rsidRPr="003445F5">
        <w:rPr>
          <w:szCs w:val="22"/>
          <w:lang w:val="sr-Latn-ME"/>
        </w:rPr>
        <w:t>nedjelj</w:t>
      </w:r>
      <w:r w:rsidR="0047711E" w:rsidRPr="003445F5">
        <w:rPr>
          <w:szCs w:val="22"/>
          <w:lang w:val="sr-Latn-ME"/>
        </w:rPr>
        <w:t>e</w:t>
      </w:r>
      <w:r w:rsidRPr="003445F5">
        <w:rPr>
          <w:szCs w:val="22"/>
          <w:lang w:val="sr-Latn-ME"/>
        </w:rPr>
        <w:t xml:space="preserve"> nakon započinjanja terapije lijekom Hukyndra. </w:t>
      </w:r>
    </w:p>
    <w:p w14:paraId="6E2FCEBA" w14:textId="77777777" w:rsidR="001673B0" w:rsidRPr="003445F5" w:rsidRDefault="001673B0" w:rsidP="001673B0">
      <w:pPr>
        <w:rPr>
          <w:szCs w:val="22"/>
          <w:lang w:val="sr-Latn-ME"/>
        </w:rPr>
      </w:pPr>
    </w:p>
    <w:p w14:paraId="3B1A9B66" w14:textId="532FDCC7" w:rsidR="001673B0" w:rsidRPr="003445F5" w:rsidRDefault="001673B0" w:rsidP="001673B0">
      <w:pPr>
        <w:rPr>
          <w:szCs w:val="22"/>
          <w:lang w:val="sr-Latn-ME"/>
        </w:rPr>
      </w:pPr>
      <w:r w:rsidRPr="003445F5">
        <w:rPr>
          <w:szCs w:val="22"/>
          <w:lang w:val="sr-Latn-ME"/>
        </w:rPr>
        <w:t>Preporučuje se da se svake godine procjeni odnos koristi i rizika kontinuirane dugotrajne terapije (</w:t>
      </w:r>
      <w:r w:rsidR="007E1F86" w:rsidRPr="003445F5">
        <w:rPr>
          <w:szCs w:val="22"/>
          <w:lang w:val="sr-Latn-ME"/>
        </w:rPr>
        <w:t>pogledati dio</w:t>
      </w:r>
      <w:r w:rsidRPr="003445F5">
        <w:rPr>
          <w:szCs w:val="22"/>
          <w:lang w:val="sr-Latn-ME"/>
        </w:rPr>
        <w:t xml:space="preserve"> 5.1). </w:t>
      </w:r>
    </w:p>
    <w:p w14:paraId="06C86C34" w14:textId="77777777" w:rsidR="001673B0" w:rsidRPr="003445F5" w:rsidRDefault="001673B0" w:rsidP="001673B0">
      <w:pPr>
        <w:rPr>
          <w:szCs w:val="22"/>
          <w:lang w:val="sr-Latn-ME"/>
        </w:rPr>
      </w:pPr>
    </w:p>
    <w:p w14:paraId="4AE50F3A" w14:textId="77777777" w:rsidR="004F1EED" w:rsidRPr="003445F5" w:rsidRDefault="004F1EED" w:rsidP="004F1EED">
      <w:pPr>
        <w:rPr>
          <w:szCs w:val="22"/>
          <w:u w:val="single"/>
          <w:lang w:val="sr-Latn-ME"/>
        </w:rPr>
      </w:pPr>
      <w:r w:rsidRPr="003445F5">
        <w:rPr>
          <w:szCs w:val="22"/>
          <w:u w:val="single"/>
          <w:lang w:val="sr-Latn-ME"/>
        </w:rPr>
        <w:t xml:space="preserve">Posebne populacije </w:t>
      </w:r>
    </w:p>
    <w:p w14:paraId="5085FC69" w14:textId="77777777" w:rsidR="004F1EED" w:rsidRPr="003445F5" w:rsidRDefault="004F1EED" w:rsidP="004F1EED">
      <w:pPr>
        <w:rPr>
          <w:szCs w:val="22"/>
          <w:lang w:val="sr-Latn-ME"/>
        </w:rPr>
      </w:pPr>
    </w:p>
    <w:p w14:paraId="3F3127E7" w14:textId="29030C3B" w:rsidR="004F1EED" w:rsidRPr="003445F5" w:rsidRDefault="004F1EED" w:rsidP="004F1EED">
      <w:pPr>
        <w:rPr>
          <w:i/>
          <w:iCs/>
          <w:szCs w:val="22"/>
          <w:lang w:val="sr-Latn-ME"/>
        </w:rPr>
      </w:pPr>
      <w:r w:rsidRPr="003445F5">
        <w:rPr>
          <w:i/>
          <w:iCs/>
          <w:szCs w:val="22"/>
          <w:lang w:val="sr-Latn-ME"/>
        </w:rPr>
        <w:t>Starije os</w:t>
      </w:r>
      <w:r w:rsidR="00704AF5" w:rsidRPr="003445F5">
        <w:rPr>
          <w:i/>
          <w:iCs/>
          <w:szCs w:val="22"/>
          <w:lang w:val="sr-Latn-ME"/>
        </w:rPr>
        <w:t>obe</w:t>
      </w:r>
      <w:r w:rsidRPr="003445F5">
        <w:rPr>
          <w:i/>
          <w:iCs/>
          <w:szCs w:val="22"/>
          <w:lang w:val="sr-Latn-ME"/>
        </w:rPr>
        <w:t xml:space="preserve"> </w:t>
      </w:r>
    </w:p>
    <w:p w14:paraId="5BD4A800" w14:textId="77777777" w:rsidR="004F1EED" w:rsidRPr="003445F5" w:rsidRDefault="004F1EED" w:rsidP="004F1EED">
      <w:pPr>
        <w:rPr>
          <w:szCs w:val="22"/>
          <w:lang w:val="sr-Latn-ME"/>
        </w:rPr>
      </w:pPr>
      <w:r w:rsidRPr="003445F5">
        <w:rPr>
          <w:szCs w:val="22"/>
          <w:lang w:val="sr-Latn-ME"/>
        </w:rPr>
        <w:t xml:space="preserve">Nije potrebno prilagođavanje doze. </w:t>
      </w:r>
    </w:p>
    <w:p w14:paraId="083DF519" w14:textId="77777777" w:rsidR="004F1EED" w:rsidRPr="003445F5" w:rsidRDefault="004F1EED" w:rsidP="004F1EED">
      <w:pPr>
        <w:rPr>
          <w:szCs w:val="22"/>
          <w:lang w:val="sr-Latn-ME"/>
        </w:rPr>
      </w:pPr>
    </w:p>
    <w:p w14:paraId="4BF0858A" w14:textId="77777777" w:rsidR="004F1EED" w:rsidRPr="003445F5" w:rsidRDefault="004F1EED" w:rsidP="004F1EED">
      <w:pPr>
        <w:rPr>
          <w:i/>
          <w:iCs/>
          <w:szCs w:val="22"/>
          <w:lang w:val="sr-Latn-ME"/>
        </w:rPr>
      </w:pPr>
      <w:r w:rsidRPr="003445F5">
        <w:rPr>
          <w:i/>
          <w:iCs/>
          <w:szCs w:val="22"/>
          <w:lang w:val="sr-Latn-ME"/>
        </w:rPr>
        <w:t xml:space="preserve">Oštećenje funkcije bubrega i/ili jetre </w:t>
      </w:r>
    </w:p>
    <w:p w14:paraId="653FE795" w14:textId="4DEF1F02" w:rsidR="004F1EED" w:rsidRPr="003445F5" w:rsidRDefault="004F1EED" w:rsidP="004F1EED">
      <w:pPr>
        <w:rPr>
          <w:szCs w:val="22"/>
          <w:lang w:val="sr-Latn-ME"/>
        </w:rPr>
      </w:pPr>
      <w:r w:rsidRPr="003445F5">
        <w:rPr>
          <w:szCs w:val="22"/>
          <w:lang w:val="sr-Latn-ME"/>
        </w:rPr>
        <w:t xml:space="preserve">Adalimumab nije ispitivan u ovoj populaciji pacijenata. Ne mogu se dati preporuke za doziranje. </w:t>
      </w:r>
    </w:p>
    <w:p w14:paraId="5FA420E9" w14:textId="77777777" w:rsidR="004F1EED" w:rsidRPr="003445F5" w:rsidRDefault="004F1EED" w:rsidP="004F1EED">
      <w:pPr>
        <w:rPr>
          <w:szCs w:val="22"/>
          <w:lang w:val="sr-Latn-ME"/>
        </w:rPr>
      </w:pPr>
    </w:p>
    <w:p w14:paraId="368F660F" w14:textId="77777777" w:rsidR="004F1EED" w:rsidRPr="003445F5" w:rsidRDefault="004F1EED" w:rsidP="004F1EED">
      <w:pPr>
        <w:rPr>
          <w:i/>
          <w:iCs/>
          <w:szCs w:val="22"/>
          <w:lang w:val="sr-Latn-ME"/>
        </w:rPr>
      </w:pPr>
      <w:r w:rsidRPr="003445F5">
        <w:rPr>
          <w:i/>
          <w:iCs/>
          <w:szCs w:val="22"/>
          <w:lang w:val="sr-Latn-ME"/>
        </w:rPr>
        <w:t xml:space="preserve">Pedijatrijska populacija </w:t>
      </w:r>
    </w:p>
    <w:p w14:paraId="591DA54B" w14:textId="608FEFFF" w:rsidR="00002D1D" w:rsidRPr="003445F5" w:rsidRDefault="00002D1D" w:rsidP="00002D1D">
      <w:pPr>
        <w:rPr>
          <w:szCs w:val="22"/>
          <w:lang w:val="sr-Latn-ME"/>
        </w:rPr>
      </w:pPr>
      <w:r w:rsidRPr="003445F5">
        <w:rPr>
          <w:szCs w:val="22"/>
          <w:lang w:val="sr-Latn-ME"/>
        </w:rPr>
        <w:t xml:space="preserve">Lijek Hukyndra je dostupan samo kao napunjen injekcioni špric od 40 mg, napunjen injekcioni pen od 40 mg i napunjen injekcioni špric od 80 mg. Zato se lijek Hukyndra ne može primijeniti kod pedijatrijskih pacijenata kojima je potrebna manja doza od </w:t>
      </w:r>
      <w:r w:rsidR="0047711E" w:rsidRPr="003445F5">
        <w:rPr>
          <w:szCs w:val="22"/>
          <w:lang w:val="sr-Latn-ME"/>
        </w:rPr>
        <w:t>cijele</w:t>
      </w:r>
      <w:r w:rsidRPr="003445F5">
        <w:rPr>
          <w:szCs w:val="22"/>
          <w:lang w:val="sr-Latn-ME"/>
        </w:rPr>
        <w:t xml:space="preserve"> doze od 40 mg. Ako je potrebna alternativna doza, potrebno je primijeniti druge ljekove koji sadrže adalimumab i koji omogućavaju primjenu odgovarajuće doze. </w:t>
      </w:r>
    </w:p>
    <w:p w14:paraId="2B3B98B3" w14:textId="77777777" w:rsidR="00DA11E8" w:rsidRPr="003445F5" w:rsidRDefault="00DA11E8" w:rsidP="00524FDF">
      <w:pPr>
        <w:rPr>
          <w:szCs w:val="22"/>
          <w:lang w:val="sr-Latn-ME"/>
        </w:rPr>
      </w:pPr>
    </w:p>
    <w:p w14:paraId="6787DE78" w14:textId="5550A642" w:rsidR="007C6E14" w:rsidRPr="003445F5" w:rsidRDefault="00C25ACC" w:rsidP="00524FDF">
      <w:pPr>
        <w:rPr>
          <w:szCs w:val="22"/>
          <w:u w:val="single"/>
          <w:lang w:val="sr-Latn-ME"/>
        </w:rPr>
      </w:pPr>
      <w:r w:rsidRPr="003445F5">
        <w:rPr>
          <w:szCs w:val="22"/>
          <w:u w:val="single"/>
          <w:lang w:val="sr-Latn-ME"/>
        </w:rPr>
        <w:t xml:space="preserve">Plak psorijaza kod </w:t>
      </w:r>
      <w:r w:rsidR="0047711E" w:rsidRPr="003445F5">
        <w:rPr>
          <w:szCs w:val="22"/>
          <w:u w:val="single"/>
          <w:lang w:val="sr-Latn-ME"/>
        </w:rPr>
        <w:t>djece</w:t>
      </w:r>
      <w:r w:rsidRPr="003445F5">
        <w:rPr>
          <w:szCs w:val="22"/>
          <w:u w:val="single"/>
          <w:lang w:val="sr-Latn-ME"/>
        </w:rPr>
        <w:t xml:space="preserve"> </w:t>
      </w:r>
    </w:p>
    <w:p w14:paraId="28F51EFD" w14:textId="468D350D" w:rsidR="00C25ACC" w:rsidRPr="003445F5" w:rsidRDefault="00C25ACC" w:rsidP="00524FDF">
      <w:pPr>
        <w:rPr>
          <w:szCs w:val="22"/>
          <w:u w:val="single"/>
          <w:lang w:val="sr-Latn-ME"/>
        </w:rPr>
      </w:pPr>
    </w:p>
    <w:p w14:paraId="3239022C" w14:textId="1F07DBF0" w:rsidR="000C34FF" w:rsidRPr="003445F5" w:rsidRDefault="000C34FF" w:rsidP="00524FDF">
      <w:pPr>
        <w:rPr>
          <w:szCs w:val="22"/>
          <w:lang w:val="sr-Latn-ME"/>
        </w:rPr>
      </w:pPr>
      <w:r w:rsidRPr="003445F5">
        <w:rPr>
          <w:szCs w:val="22"/>
          <w:lang w:val="sr-Latn-ME"/>
        </w:rPr>
        <w:t xml:space="preserve">Sigurnost i efikasnost adalimumama kod </w:t>
      </w:r>
      <w:r w:rsidR="0047711E" w:rsidRPr="003445F5">
        <w:rPr>
          <w:szCs w:val="22"/>
          <w:lang w:val="sr-Latn-ME"/>
        </w:rPr>
        <w:t>djece</w:t>
      </w:r>
      <w:r w:rsidRPr="003445F5">
        <w:rPr>
          <w:szCs w:val="22"/>
          <w:lang w:val="sr-Latn-ME"/>
        </w:rPr>
        <w:t xml:space="preserve"> uzrasta od 4 do 17 godina je </w:t>
      </w:r>
      <w:r w:rsidR="00EA320A" w:rsidRPr="003445F5">
        <w:rPr>
          <w:szCs w:val="22"/>
          <w:lang w:val="sr-Latn-ME"/>
        </w:rPr>
        <w:t>dokazana za tretman plak psorijaze. Preporučena doza l</w:t>
      </w:r>
      <w:r w:rsidR="004B2B0E" w:rsidRPr="003445F5">
        <w:rPr>
          <w:szCs w:val="22"/>
          <w:lang w:val="sr-Latn-ME"/>
        </w:rPr>
        <w:t>ij</w:t>
      </w:r>
      <w:r w:rsidR="00EA320A" w:rsidRPr="003445F5">
        <w:rPr>
          <w:szCs w:val="22"/>
          <w:lang w:val="sr-Latn-ME"/>
        </w:rPr>
        <w:t xml:space="preserve">eka </w:t>
      </w:r>
      <w:r w:rsidR="002A2EA1" w:rsidRPr="003445F5">
        <w:rPr>
          <w:szCs w:val="22"/>
          <w:lang w:val="sr-Latn-ME"/>
        </w:rPr>
        <w:t>H</w:t>
      </w:r>
      <w:r w:rsidR="00EA320A" w:rsidRPr="003445F5">
        <w:rPr>
          <w:szCs w:val="22"/>
          <w:lang w:val="sr-Latn-ME"/>
        </w:rPr>
        <w:t>u</w:t>
      </w:r>
      <w:r w:rsidR="009F6CA8" w:rsidRPr="003445F5">
        <w:rPr>
          <w:szCs w:val="22"/>
          <w:lang w:val="sr-Latn-ME"/>
        </w:rPr>
        <w:t>k</w:t>
      </w:r>
      <w:r w:rsidR="00EA320A" w:rsidRPr="003445F5">
        <w:rPr>
          <w:szCs w:val="22"/>
          <w:lang w:val="sr-Latn-ME"/>
        </w:rPr>
        <w:t>yndra je maksimalno 40 mg po dozi</w:t>
      </w:r>
      <w:r w:rsidR="00A54BB4" w:rsidRPr="003445F5">
        <w:rPr>
          <w:szCs w:val="22"/>
          <w:lang w:val="sr-Latn-ME"/>
        </w:rPr>
        <w:t>.</w:t>
      </w:r>
    </w:p>
    <w:p w14:paraId="678AAD88" w14:textId="77777777" w:rsidR="00C25ACC" w:rsidRPr="003445F5" w:rsidRDefault="00C25ACC" w:rsidP="00524FDF">
      <w:pPr>
        <w:rPr>
          <w:szCs w:val="22"/>
          <w:lang w:val="sr-Latn-ME"/>
        </w:rPr>
      </w:pPr>
    </w:p>
    <w:p w14:paraId="5FA378B4" w14:textId="77777777" w:rsidR="00842CBA" w:rsidRPr="003445F5" w:rsidRDefault="00842CBA" w:rsidP="00842CBA">
      <w:pPr>
        <w:rPr>
          <w:i/>
          <w:iCs/>
          <w:szCs w:val="22"/>
          <w:u w:val="single"/>
          <w:lang w:val="sr-Latn-ME"/>
        </w:rPr>
      </w:pPr>
      <w:r w:rsidRPr="003445F5">
        <w:rPr>
          <w:i/>
          <w:iCs/>
          <w:szCs w:val="22"/>
          <w:u w:val="single"/>
          <w:lang w:val="sr-Latn-ME"/>
        </w:rPr>
        <w:t xml:space="preserve">Gnojno zapaljenje znojnih žlijezda (Hidradenitis suppurativa) kod adolescenata (od 12 godina i starijih, tjelesne mase najmanje 30 kg) </w:t>
      </w:r>
    </w:p>
    <w:p w14:paraId="1D5A85C2" w14:textId="77777777" w:rsidR="00842CBA" w:rsidRPr="003445F5" w:rsidRDefault="00842CBA" w:rsidP="00842CBA">
      <w:pPr>
        <w:rPr>
          <w:szCs w:val="22"/>
          <w:lang w:val="sr-Latn-ME"/>
        </w:rPr>
      </w:pPr>
    </w:p>
    <w:p w14:paraId="41217047" w14:textId="17DDF041" w:rsidR="007E6122" w:rsidRPr="003445F5" w:rsidRDefault="007E6122" w:rsidP="007E6122">
      <w:pPr>
        <w:rPr>
          <w:szCs w:val="22"/>
          <w:lang w:val="sr-Latn-ME"/>
        </w:rPr>
      </w:pPr>
      <w:r w:rsidRPr="003445F5">
        <w:rPr>
          <w:szCs w:val="22"/>
          <w:lang w:val="sr-Latn-ME"/>
        </w:rPr>
        <w:t>Nisu sprovedena klinička ispitivanja adalimumaba kod adolescenata sa gnojnim zapaljenjem znojnih žlijezda. Doziranje adalimumaba kod tih pacijenata utvrđeno je na osnovu farmakokinetičkog modelovanja i simulacije (</w:t>
      </w:r>
      <w:r w:rsidR="007E1F86" w:rsidRPr="003445F5">
        <w:rPr>
          <w:szCs w:val="22"/>
          <w:lang w:val="sr-Latn-ME"/>
        </w:rPr>
        <w:t>pogledati dio</w:t>
      </w:r>
      <w:r w:rsidRPr="003445F5">
        <w:rPr>
          <w:szCs w:val="22"/>
          <w:lang w:val="sr-Latn-ME"/>
        </w:rPr>
        <w:t xml:space="preserve"> 5.2). </w:t>
      </w:r>
    </w:p>
    <w:p w14:paraId="3ADD2983" w14:textId="77777777" w:rsidR="007E6122" w:rsidRPr="003445F5" w:rsidRDefault="007E6122" w:rsidP="007E6122">
      <w:pPr>
        <w:rPr>
          <w:szCs w:val="22"/>
          <w:lang w:val="sr-Latn-ME"/>
        </w:rPr>
      </w:pPr>
    </w:p>
    <w:p w14:paraId="518E58A3" w14:textId="4BB09DBB" w:rsidR="007E6122" w:rsidRPr="003445F5" w:rsidRDefault="007E6122" w:rsidP="007E6122">
      <w:pPr>
        <w:rPr>
          <w:szCs w:val="22"/>
          <w:lang w:val="sr-Latn-ME"/>
        </w:rPr>
      </w:pPr>
      <w:r w:rsidRPr="003445F5">
        <w:rPr>
          <w:szCs w:val="22"/>
          <w:lang w:val="sr-Latn-ME"/>
        </w:rPr>
        <w:t xml:space="preserve">Preporučena doza lijeka Hukyndra je 80 mg na početku terapije (nulta nedjelja, </w:t>
      </w:r>
      <w:r w:rsidRPr="003445F5">
        <w:rPr>
          <w:i/>
          <w:iCs/>
          <w:szCs w:val="22"/>
          <w:lang w:val="sr-Latn-ME"/>
        </w:rPr>
        <w:t>Week 0</w:t>
      </w:r>
      <w:r w:rsidRPr="003445F5">
        <w:rPr>
          <w:szCs w:val="22"/>
          <w:lang w:val="sr-Latn-ME"/>
        </w:rPr>
        <w:t xml:space="preserve">), praćena dozom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počevši od prve </w:t>
      </w:r>
      <w:r w:rsidR="00551F1D" w:rsidRPr="003445F5">
        <w:rPr>
          <w:szCs w:val="22"/>
          <w:lang w:val="sr-Latn-ME"/>
        </w:rPr>
        <w:t>nedjelj</w:t>
      </w:r>
      <w:r w:rsidR="0047711E" w:rsidRPr="003445F5">
        <w:rPr>
          <w:szCs w:val="22"/>
          <w:lang w:val="sr-Latn-ME"/>
        </w:rPr>
        <w:t>e</w:t>
      </w:r>
      <w:r w:rsidRPr="003445F5">
        <w:rPr>
          <w:szCs w:val="22"/>
          <w:lang w:val="sr-Latn-ME"/>
        </w:rPr>
        <w:t xml:space="preserve">, supkutanom injekcijom. </w:t>
      </w:r>
    </w:p>
    <w:p w14:paraId="5CEB3B15" w14:textId="77777777" w:rsidR="007E6122" w:rsidRPr="003445F5" w:rsidRDefault="007E6122" w:rsidP="007E6122">
      <w:pPr>
        <w:rPr>
          <w:szCs w:val="22"/>
          <w:lang w:val="sr-Latn-ME"/>
        </w:rPr>
      </w:pPr>
    </w:p>
    <w:p w14:paraId="4746749D" w14:textId="70F8ACD7" w:rsidR="007E6122" w:rsidRPr="003445F5" w:rsidRDefault="007E6122" w:rsidP="007E6122">
      <w:pPr>
        <w:rPr>
          <w:szCs w:val="22"/>
          <w:lang w:val="sr-Latn-ME"/>
        </w:rPr>
      </w:pPr>
      <w:r w:rsidRPr="003445F5">
        <w:rPr>
          <w:szCs w:val="22"/>
          <w:lang w:val="sr-Latn-ME"/>
        </w:rPr>
        <w:t xml:space="preserve">Kod adolescenata kod kojih nije postignut adekvatan terapijski odgovor na lijek Hukyndra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može se razmotriti povećanje doze na 40 mg svake </w:t>
      </w:r>
      <w:r w:rsidR="00551F1D" w:rsidRPr="003445F5">
        <w:rPr>
          <w:szCs w:val="22"/>
          <w:lang w:val="sr-Latn-ME"/>
        </w:rPr>
        <w:t>nedjelj</w:t>
      </w:r>
      <w:r w:rsidR="0047711E" w:rsidRPr="003445F5">
        <w:rPr>
          <w:szCs w:val="22"/>
          <w:lang w:val="sr-Latn-ME"/>
        </w:rPr>
        <w:t>e</w:t>
      </w:r>
      <w:r w:rsidRPr="003445F5">
        <w:rPr>
          <w:szCs w:val="22"/>
          <w:lang w:val="sr-Latn-ME"/>
        </w:rPr>
        <w:t xml:space="preserve"> ili 80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74F478A8" w14:textId="77777777" w:rsidR="007E6122" w:rsidRPr="003445F5" w:rsidRDefault="007E6122" w:rsidP="007E6122">
      <w:pPr>
        <w:rPr>
          <w:szCs w:val="22"/>
          <w:lang w:val="sr-Latn-ME"/>
        </w:rPr>
      </w:pPr>
    </w:p>
    <w:p w14:paraId="61C5CC20" w14:textId="77777777" w:rsidR="007E6122" w:rsidRPr="003445F5" w:rsidRDefault="007E6122" w:rsidP="007E6122">
      <w:pPr>
        <w:rPr>
          <w:szCs w:val="22"/>
          <w:lang w:val="sr-Latn-ME"/>
        </w:rPr>
      </w:pPr>
      <w:r w:rsidRPr="003445F5">
        <w:rPr>
          <w:szCs w:val="22"/>
          <w:lang w:val="sr-Latn-ME"/>
        </w:rPr>
        <w:t xml:space="preserve">Ako je potrebno, primjena antibiotika može da se nastavi i tokom liječenja lijekom Hukyndra. Preporučuje se da pacijent tokom terapije lijekom Hukyndra svakodnevno koristi topikalni antiseptički rastvor za ispiranje lezija uzrokovanih gnojnim zapaljenjem znojnih žlijezda. </w:t>
      </w:r>
    </w:p>
    <w:p w14:paraId="7C34D4A4" w14:textId="77777777" w:rsidR="007E6122" w:rsidRPr="003445F5" w:rsidRDefault="007E6122" w:rsidP="007E6122">
      <w:pPr>
        <w:rPr>
          <w:szCs w:val="22"/>
          <w:lang w:val="sr-Latn-ME"/>
        </w:rPr>
      </w:pPr>
    </w:p>
    <w:p w14:paraId="11CEA2CC" w14:textId="77777777" w:rsidR="007E6122" w:rsidRPr="003445F5" w:rsidRDefault="007E6122" w:rsidP="007E6122">
      <w:pPr>
        <w:rPr>
          <w:szCs w:val="22"/>
          <w:lang w:val="sr-Latn-ME"/>
        </w:rPr>
      </w:pPr>
      <w:r w:rsidRPr="003445F5">
        <w:rPr>
          <w:szCs w:val="22"/>
          <w:lang w:val="sr-Latn-ME"/>
        </w:rPr>
        <w:t xml:space="preserve">Ukoliko pacijent ne postigne terapijski odgovor tokom perioda od 12 nedjelja, nastavak terapije nakon tog perioda potrebno je pažljivo razmotriti. </w:t>
      </w:r>
    </w:p>
    <w:p w14:paraId="3D6866AA" w14:textId="77777777" w:rsidR="00014FB0" w:rsidRPr="003445F5" w:rsidRDefault="00014FB0" w:rsidP="00014FB0">
      <w:pPr>
        <w:rPr>
          <w:szCs w:val="22"/>
          <w:lang w:val="sr-Latn-ME"/>
        </w:rPr>
      </w:pPr>
    </w:p>
    <w:p w14:paraId="09DE7629" w14:textId="77777777" w:rsidR="00D5473A" w:rsidRPr="003445F5" w:rsidRDefault="00D5473A" w:rsidP="00D5473A">
      <w:pPr>
        <w:rPr>
          <w:szCs w:val="22"/>
          <w:lang w:val="sr-Latn-ME"/>
        </w:rPr>
      </w:pPr>
      <w:r w:rsidRPr="003445F5">
        <w:rPr>
          <w:szCs w:val="22"/>
          <w:lang w:val="sr-Latn-ME"/>
        </w:rPr>
        <w:lastRenderedPageBreak/>
        <w:t xml:space="preserve">Ukoliko je potrebno privremeno prekinuti terapiju, lijek Hukyndra se kasnije po potrebi može ponovno uvesti. </w:t>
      </w:r>
    </w:p>
    <w:p w14:paraId="3667A776" w14:textId="77777777" w:rsidR="00D5473A" w:rsidRPr="003445F5" w:rsidRDefault="00D5473A" w:rsidP="00D5473A">
      <w:pPr>
        <w:rPr>
          <w:szCs w:val="22"/>
          <w:lang w:val="sr-Latn-ME"/>
        </w:rPr>
      </w:pPr>
    </w:p>
    <w:p w14:paraId="419025EB" w14:textId="796E457F" w:rsidR="00D5473A" w:rsidRPr="003445F5" w:rsidRDefault="00D5473A" w:rsidP="00D5473A">
      <w:pPr>
        <w:rPr>
          <w:szCs w:val="22"/>
          <w:lang w:val="sr-Latn-ME"/>
        </w:rPr>
      </w:pPr>
      <w:r w:rsidRPr="003445F5">
        <w:rPr>
          <w:szCs w:val="22"/>
          <w:lang w:val="sr-Latn-ME"/>
        </w:rPr>
        <w:t>Potrebno je periodično procjenjivati odnos koristi i rizika kontinuirane dugotrajne terapije (</w:t>
      </w:r>
      <w:r w:rsidR="0047711E" w:rsidRPr="003445F5">
        <w:rPr>
          <w:szCs w:val="22"/>
          <w:lang w:val="sr-Latn-ME"/>
        </w:rPr>
        <w:t xml:space="preserve"> pogledati </w:t>
      </w:r>
      <w:r w:rsidRPr="003445F5">
        <w:rPr>
          <w:szCs w:val="22"/>
          <w:lang w:val="sr-Latn-ME"/>
        </w:rPr>
        <w:t xml:space="preserve">podatke za odrasle u dijelu 5.1). </w:t>
      </w:r>
    </w:p>
    <w:p w14:paraId="520B9039" w14:textId="77777777" w:rsidR="00D5473A" w:rsidRPr="003445F5" w:rsidRDefault="00D5473A" w:rsidP="00D5473A">
      <w:pPr>
        <w:rPr>
          <w:szCs w:val="22"/>
          <w:lang w:val="sr-Latn-ME"/>
        </w:rPr>
      </w:pPr>
    </w:p>
    <w:p w14:paraId="20A8AB1B" w14:textId="77777777" w:rsidR="00D5473A" w:rsidRPr="003445F5" w:rsidRDefault="00D5473A" w:rsidP="00D5473A">
      <w:pPr>
        <w:rPr>
          <w:szCs w:val="22"/>
          <w:lang w:val="sr-Latn-ME"/>
        </w:rPr>
      </w:pPr>
      <w:r w:rsidRPr="003445F5">
        <w:rPr>
          <w:szCs w:val="22"/>
          <w:lang w:val="sr-Latn-ME"/>
        </w:rPr>
        <w:t xml:space="preserve">Nema relevantne primjene adalimumaba kod djece mlađe od 12 godina za ovu indikaciju. </w:t>
      </w:r>
    </w:p>
    <w:p w14:paraId="3945F93E" w14:textId="77777777" w:rsidR="00DF1174" w:rsidRPr="003445F5" w:rsidRDefault="00DF1174" w:rsidP="00524FDF">
      <w:pPr>
        <w:rPr>
          <w:szCs w:val="22"/>
          <w:lang w:val="sr-Latn-ME"/>
        </w:rPr>
      </w:pPr>
    </w:p>
    <w:p w14:paraId="21F30597" w14:textId="5A75315B" w:rsidR="00DF1174" w:rsidRPr="003445F5" w:rsidRDefault="00DF1174" w:rsidP="00524FDF">
      <w:pPr>
        <w:rPr>
          <w:i/>
          <w:iCs/>
          <w:szCs w:val="22"/>
          <w:u w:val="single"/>
          <w:lang w:val="sr-Latn-ME"/>
        </w:rPr>
      </w:pPr>
      <w:r w:rsidRPr="003445F5">
        <w:rPr>
          <w:i/>
          <w:iCs/>
          <w:szCs w:val="22"/>
          <w:u w:val="single"/>
          <w:lang w:val="sr-Latn-ME"/>
        </w:rPr>
        <w:t>Crohn-ova bolest kod d</w:t>
      </w:r>
      <w:r w:rsidR="00D5473A" w:rsidRPr="003445F5">
        <w:rPr>
          <w:i/>
          <w:iCs/>
          <w:szCs w:val="22"/>
          <w:u w:val="single"/>
          <w:lang w:val="sr-Latn-ME"/>
        </w:rPr>
        <w:t>j</w:t>
      </w:r>
      <w:r w:rsidRPr="003445F5">
        <w:rPr>
          <w:i/>
          <w:iCs/>
          <w:szCs w:val="22"/>
          <w:u w:val="single"/>
          <w:lang w:val="sr-Latn-ME"/>
        </w:rPr>
        <w:t xml:space="preserve">ece </w:t>
      </w:r>
    </w:p>
    <w:p w14:paraId="061A3AB2" w14:textId="77777777" w:rsidR="00DF1174" w:rsidRPr="003445F5" w:rsidRDefault="00DF1174" w:rsidP="00524FDF">
      <w:pPr>
        <w:rPr>
          <w:szCs w:val="22"/>
          <w:lang w:val="sr-Latn-ME"/>
        </w:rPr>
      </w:pPr>
    </w:p>
    <w:p w14:paraId="0D30B10B" w14:textId="4E36B05D" w:rsidR="00796C23" w:rsidRPr="003445F5" w:rsidRDefault="00796C23" w:rsidP="00796C23">
      <w:pPr>
        <w:rPr>
          <w:szCs w:val="22"/>
          <w:lang w:val="sr-Latn-ME"/>
        </w:rPr>
      </w:pPr>
      <w:r w:rsidRPr="003445F5">
        <w:rPr>
          <w:szCs w:val="22"/>
          <w:lang w:val="sr-Latn-ME"/>
        </w:rPr>
        <w:t xml:space="preserve">Preporučena doza lijeka Hukyndra kod pacijenata sa </w:t>
      </w:r>
      <w:r w:rsidRPr="003445F5">
        <w:rPr>
          <w:i/>
          <w:iCs/>
          <w:szCs w:val="22"/>
          <w:lang w:val="sr-Latn-ME"/>
        </w:rPr>
        <w:t>Crohn</w:t>
      </w:r>
      <w:r w:rsidRPr="003445F5">
        <w:rPr>
          <w:szCs w:val="22"/>
          <w:lang w:val="sr-Latn-ME"/>
        </w:rPr>
        <w:t xml:space="preserve">-ovom bolešću uzrasta od 6 do 17 godina određuje se na osnovu tjelesne mase (Tabela </w:t>
      </w:r>
      <w:r w:rsidR="000C0DE7" w:rsidRPr="003445F5">
        <w:rPr>
          <w:szCs w:val="22"/>
          <w:lang w:val="sr-Latn-ME"/>
        </w:rPr>
        <w:t>1</w:t>
      </w:r>
      <w:r w:rsidRPr="003445F5">
        <w:rPr>
          <w:szCs w:val="22"/>
          <w:lang w:val="sr-Latn-ME"/>
        </w:rPr>
        <w:t>). Lijek Hukyndra se primjenjuje supkutanom injekcijom.</w:t>
      </w:r>
    </w:p>
    <w:p w14:paraId="78BEAECF" w14:textId="77777777" w:rsidR="0010698F" w:rsidRPr="003445F5" w:rsidRDefault="0010698F" w:rsidP="0010698F">
      <w:pPr>
        <w:rPr>
          <w:szCs w:val="22"/>
          <w:lang w:val="sr-Latn-ME"/>
        </w:rPr>
      </w:pPr>
    </w:p>
    <w:p w14:paraId="4645436B" w14:textId="20980DC8" w:rsidR="0010698F" w:rsidRPr="003445F5" w:rsidRDefault="0010698F" w:rsidP="0010698F">
      <w:pPr>
        <w:rPr>
          <w:b/>
          <w:bCs/>
          <w:szCs w:val="22"/>
          <w:lang w:val="sr-Latn-ME"/>
        </w:rPr>
      </w:pPr>
      <w:r w:rsidRPr="003445F5">
        <w:rPr>
          <w:b/>
          <w:bCs/>
          <w:szCs w:val="22"/>
          <w:lang w:val="sr-Latn-ME"/>
        </w:rPr>
        <w:t xml:space="preserve">Tabela </w:t>
      </w:r>
      <w:r w:rsidR="00461DFD" w:rsidRPr="003445F5">
        <w:rPr>
          <w:b/>
          <w:bCs/>
          <w:szCs w:val="22"/>
          <w:lang w:val="sr-Latn-ME"/>
        </w:rPr>
        <w:t>1</w:t>
      </w:r>
      <w:r w:rsidRPr="003445F5">
        <w:rPr>
          <w:b/>
          <w:bCs/>
          <w:szCs w:val="22"/>
          <w:lang w:val="sr-Latn-ME"/>
        </w:rPr>
        <w:t xml:space="preserve">. Doza adalimumaba </w:t>
      </w:r>
      <w:r w:rsidR="00EC3DEA" w:rsidRPr="003445F5">
        <w:rPr>
          <w:b/>
          <w:bCs/>
          <w:szCs w:val="22"/>
          <w:lang w:val="sr-Latn-ME"/>
        </w:rPr>
        <w:t xml:space="preserve">kod </w:t>
      </w:r>
      <w:r w:rsidRPr="003445F5">
        <w:rPr>
          <w:b/>
          <w:bCs/>
          <w:szCs w:val="22"/>
          <w:lang w:val="sr-Latn-ME"/>
        </w:rPr>
        <w:t>pedijatrijsk</w:t>
      </w:r>
      <w:r w:rsidR="00EC3DEA" w:rsidRPr="003445F5">
        <w:rPr>
          <w:b/>
          <w:bCs/>
          <w:szCs w:val="22"/>
          <w:lang w:val="sr-Latn-ME"/>
        </w:rPr>
        <w:t>ih</w:t>
      </w:r>
      <w:r w:rsidRPr="003445F5">
        <w:rPr>
          <w:b/>
          <w:bCs/>
          <w:szCs w:val="22"/>
          <w:lang w:val="sr-Latn-ME"/>
        </w:rPr>
        <w:t xml:space="preserve"> pacijen</w:t>
      </w:r>
      <w:r w:rsidR="00EC3DEA" w:rsidRPr="003445F5">
        <w:rPr>
          <w:b/>
          <w:bCs/>
          <w:szCs w:val="22"/>
          <w:lang w:val="sr-Latn-ME"/>
        </w:rPr>
        <w:t>ata</w:t>
      </w:r>
      <w:r w:rsidRPr="003445F5">
        <w:rPr>
          <w:b/>
          <w:bCs/>
          <w:szCs w:val="22"/>
          <w:lang w:val="sr-Latn-ME"/>
        </w:rPr>
        <w:t xml:space="preserve"> sa </w:t>
      </w:r>
      <w:r w:rsidRPr="003445F5">
        <w:rPr>
          <w:b/>
          <w:bCs/>
          <w:i/>
          <w:iCs/>
          <w:szCs w:val="22"/>
          <w:lang w:val="sr-Latn-ME"/>
        </w:rPr>
        <w:t>Crohn</w:t>
      </w:r>
      <w:r w:rsidRPr="003445F5">
        <w:rPr>
          <w:b/>
          <w:bCs/>
          <w:szCs w:val="22"/>
          <w:lang w:val="sr-Latn-ME"/>
        </w:rPr>
        <w:t>-ovom bolešću</w:t>
      </w:r>
    </w:p>
    <w:p w14:paraId="6A384266" w14:textId="77777777" w:rsidR="0010698F" w:rsidRPr="003445F5" w:rsidRDefault="0010698F" w:rsidP="0010698F">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555"/>
        <w:gridCol w:w="5244"/>
        <w:gridCol w:w="2218"/>
      </w:tblGrid>
      <w:tr w:rsidR="00B22F2A" w:rsidRPr="003445F5" w14:paraId="1A153D17" w14:textId="77777777" w:rsidTr="00704956">
        <w:trPr>
          <w:trHeight w:val="20"/>
        </w:trPr>
        <w:tc>
          <w:tcPr>
            <w:tcW w:w="862" w:type="pct"/>
            <w:vAlign w:val="center"/>
          </w:tcPr>
          <w:p w14:paraId="0B583DCA" w14:textId="57C91846" w:rsidR="00B22F2A" w:rsidRPr="003445F5" w:rsidRDefault="00B22F2A" w:rsidP="00B22F2A">
            <w:pPr>
              <w:jc w:val="center"/>
              <w:rPr>
                <w:b/>
                <w:bCs/>
                <w:szCs w:val="22"/>
                <w:lang w:val="sr-Latn-ME"/>
              </w:rPr>
            </w:pPr>
            <w:r w:rsidRPr="003445F5">
              <w:rPr>
                <w:b/>
                <w:bCs/>
                <w:szCs w:val="22"/>
                <w:lang w:val="sr-Latn-ME"/>
              </w:rPr>
              <w:t>Tjelesna masa pacijenta</w:t>
            </w:r>
          </w:p>
        </w:tc>
        <w:tc>
          <w:tcPr>
            <w:tcW w:w="2908" w:type="pct"/>
            <w:vAlign w:val="center"/>
          </w:tcPr>
          <w:p w14:paraId="53473617" w14:textId="3989E887" w:rsidR="00B22F2A" w:rsidRPr="003445F5" w:rsidRDefault="00B22F2A" w:rsidP="00B22F2A">
            <w:pPr>
              <w:jc w:val="center"/>
              <w:rPr>
                <w:b/>
                <w:bCs/>
                <w:szCs w:val="22"/>
                <w:lang w:val="sr-Latn-ME"/>
              </w:rPr>
            </w:pPr>
            <w:r w:rsidRPr="003445F5">
              <w:rPr>
                <w:b/>
                <w:bCs/>
                <w:szCs w:val="22"/>
                <w:lang w:val="sr-Latn-ME"/>
              </w:rPr>
              <w:t>Indukciona doza</w:t>
            </w:r>
          </w:p>
        </w:tc>
        <w:tc>
          <w:tcPr>
            <w:tcW w:w="1230" w:type="pct"/>
            <w:vAlign w:val="center"/>
          </w:tcPr>
          <w:p w14:paraId="6DF2E3AC" w14:textId="0F0B97EA" w:rsidR="00B22F2A" w:rsidRPr="003445F5" w:rsidRDefault="00B22F2A" w:rsidP="00B22F2A">
            <w:pPr>
              <w:jc w:val="center"/>
              <w:rPr>
                <w:b/>
                <w:bCs/>
                <w:szCs w:val="22"/>
                <w:lang w:val="sr-Latn-ME"/>
              </w:rPr>
            </w:pPr>
            <w:r w:rsidRPr="003445F5">
              <w:rPr>
                <w:b/>
                <w:bCs/>
                <w:szCs w:val="22"/>
                <w:lang w:val="sr-Latn-ME"/>
              </w:rPr>
              <w:t xml:space="preserve">Doza održavanja počevši od 4. </w:t>
            </w:r>
            <w:r w:rsidR="00551F1D" w:rsidRPr="003445F5">
              <w:rPr>
                <w:b/>
                <w:bCs/>
                <w:szCs w:val="22"/>
                <w:lang w:val="sr-Latn-ME"/>
              </w:rPr>
              <w:t>nedjelj</w:t>
            </w:r>
            <w:r w:rsidR="0047711E" w:rsidRPr="003445F5">
              <w:rPr>
                <w:b/>
                <w:bCs/>
                <w:szCs w:val="22"/>
                <w:lang w:val="sr-Latn-ME"/>
              </w:rPr>
              <w:t>e</w:t>
            </w:r>
          </w:p>
        </w:tc>
      </w:tr>
      <w:tr w:rsidR="00CE4715" w:rsidRPr="003445F5" w14:paraId="74BFE21E" w14:textId="77777777" w:rsidTr="00704956">
        <w:trPr>
          <w:trHeight w:val="20"/>
        </w:trPr>
        <w:tc>
          <w:tcPr>
            <w:tcW w:w="862" w:type="pct"/>
            <w:vAlign w:val="center"/>
          </w:tcPr>
          <w:p w14:paraId="3BD55BB8" w14:textId="77777777" w:rsidR="00CE4715" w:rsidRPr="003445F5" w:rsidRDefault="00CE4715" w:rsidP="00CE4715">
            <w:pPr>
              <w:jc w:val="center"/>
              <w:rPr>
                <w:szCs w:val="22"/>
                <w:lang w:val="sr-Latn-ME"/>
              </w:rPr>
            </w:pPr>
            <w:r w:rsidRPr="003445F5">
              <w:rPr>
                <w:szCs w:val="22"/>
                <w:lang w:val="sr-Latn-ME"/>
              </w:rPr>
              <w:t>&lt; 40 kg</w:t>
            </w:r>
          </w:p>
        </w:tc>
        <w:tc>
          <w:tcPr>
            <w:tcW w:w="2908" w:type="pct"/>
            <w:vAlign w:val="center"/>
          </w:tcPr>
          <w:p w14:paraId="66DE7CF1" w14:textId="1B90596D" w:rsidR="00CE4715" w:rsidRPr="003445F5" w:rsidRDefault="00CE4715" w:rsidP="00CE4715">
            <w:pPr>
              <w:jc w:val="left"/>
              <w:rPr>
                <w:szCs w:val="22"/>
                <w:lang w:val="sr-Latn-ME"/>
              </w:rPr>
            </w:pPr>
            <w:r w:rsidRPr="003445F5">
              <w:rPr>
                <w:szCs w:val="22"/>
                <w:lang w:val="sr-Latn-ME"/>
              </w:rPr>
              <w:sym w:font="Symbol" w:char="F0B7"/>
            </w:r>
            <w:r w:rsidRPr="003445F5">
              <w:rPr>
                <w:szCs w:val="22"/>
                <w:lang w:val="sr-Latn-ME"/>
              </w:rPr>
              <w:t xml:space="preserve"> 40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praćena dozom od 20 mg nakon dvije </w:t>
            </w:r>
            <w:r w:rsidR="00551F1D" w:rsidRPr="003445F5">
              <w:rPr>
                <w:szCs w:val="22"/>
                <w:lang w:val="sr-Latn-ME"/>
              </w:rPr>
              <w:t>nedjelj</w:t>
            </w:r>
            <w:r w:rsidR="0047711E" w:rsidRPr="003445F5">
              <w:rPr>
                <w:szCs w:val="22"/>
                <w:lang w:val="sr-Latn-ME"/>
              </w:rPr>
              <w:t>e</w:t>
            </w:r>
            <w:r w:rsidRPr="003445F5">
              <w:rPr>
                <w:szCs w:val="22"/>
                <w:lang w:val="sr-Latn-ME"/>
              </w:rPr>
              <w:t>*</w:t>
            </w:r>
          </w:p>
          <w:p w14:paraId="006C1E85" w14:textId="77777777" w:rsidR="00CE4715" w:rsidRPr="003445F5" w:rsidRDefault="00CE4715" w:rsidP="00CE4715">
            <w:pPr>
              <w:jc w:val="left"/>
              <w:rPr>
                <w:szCs w:val="22"/>
                <w:lang w:val="sr-Latn-ME"/>
              </w:rPr>
            </w:pPr>
          </w:p>
          <w:p w14:paraId="4EDB762F" w14:textId="77777777" w:rsidR="00CE4715" w:rsidRPr="003445F5" w:rsidRDefault="00CE4715" w:rsidP="00CE4715">
            <w:pPr>
              <w:jc w:val="left"/>
              <w:rPr>
                <w:szCs w:val="22"/>
                <w:lang w:val="sr-Latn-ME"/>
              </w:rPr>
            </w:pPr>
            <w:r w:rsidRPr="003445F5">
              <w:rPr>
                <w:szCs w:val="22"/>
                <w:lang w:val="sr-Latn-ME"/>
              </w:rPr>
              <w:t>U slučaju kada je potreban brži odgovor na terapiju, imajući u vidu da rizik od neželjenih dejstava može biti veći kod primjene veće indukcione doze, može se primijeniti sljedeća doza:</w:t>
            </w:r>
          </w:p>
          <w:p w14:paraId="7D62280F" w14:textId="6397B292" w:rsidR="00CE4715" w:rsidRPr="003445F5" w:rsidRDefault="00CE4715" w:rsidP="00CE4715">
            <w:pPr>
              <w:jc w:val="left"/>
              <w:rPr>
                <w:szCs w:val="22"/>
                <w:lang w:val="sr-Latn-ME"/>
              </w:rPr>
            </w:pPr>
            <w:r w:rsidRPr="003445F5">
              <w:rPr>
                <w:szCs w:val="22"/>
                <w:lang w:val="sr-Latn-ME"/>
              </w:rPr>
              <w:sym w:font="Symbol" w:char="F0B7"/>
            </w:r>
            <w:r w:rsidRPr="003445F5">
              <w:rPr>
                <w:szCs w:val="22"/>
                <w:lang w:val="sr-Latn-ME"/>
              </w:rPr>
              <w:t xml:space="preserve"> 80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praćena dozom od 40 mg nakon dvije </w:t>
            </w:r>
            <w:r w:rsidR="00551F1D" w:rsidRPr="003445F5">
              <w:rPr>
                <w:szCs w:val="22"/>
                <w:lang w:val="sr-Latn-ME"/>
              </w:rPr>
              <w:t>nedjelj</w:t>
            </w:r>
            <w:r w:rsidR="0047711E" w:rsidRPr="003445F5">
              <w:rPr>
                <w:szCs w:val="22"/>
                <w:lang w:val="sr-Latn-ME"/>
              </w:rPr>
              <w:t>e</w:t>
            </w:r>
          </w:p>
        </w:tc>
        <w:tc>
          <w:tcPr>
            <w:tcW w:w="1230" w:type="pct"/>
            <w:vAlign w:val="center"/>
          </w:tcPr>
          <w:p w14:paraId="39A7C867" w14:textId="77777777" w:rsidR="00CE4715" w:rsidRPr="003445F5" w:rsidRDefault="00CE4715" w:rsidP="00CE4715">
            <w:pPr>
              <w:jc w:val="center"/>
              <w:rPr>
                <w:szCs w:val="22"/>
                <w:lang w:val="sr-Latn-ME"/>
              </w:rPr>
            </w:pPr>
            <w:r w:rsidRPr="003445F5">
              <w:rPr>
                <w:szCs w:val="22"/>
                <w:lang w:val="sr-Latn-ME"/>
              </w:rPr>
              <w:t>-</w:t>
            </w:r>
          </w:p>
        </w:tc>
      </w:tr>
      <w:tr w:rsidR="00CE4715" w:rsidRPr="003445F5" w14:paraId="1B000A49" w14:textId="77777777" w:rsidTr="00704956">
        <w:trPr>
          <w:trHeight w:val="20"/>
        </w:trPr>
        <w:tc>
          <w:tcPr>
            <w:tcW w:w="862" w:type="pct"/>
            <w:vAlign w:val="center"/>
          </w:tcPr>
          <w:p w14:paraId="00529CC7" w14:textId="77777777" w:rsidR="00CE4715" w:rsidRPr="003445F5" w:rsidRDefault="00CE4715" w:rsidP="00CE4715">
            <w:pPr>
              <w:jc w:val="center"/>
              <w:rPr>
                <w:szCs w:val="22"/>
                <w:lang w:val="sr-Latn-ME"/>
              </w:rPr>
            </w:pPr>
            <w:r w:rsidRPr="003445F5">
              <w:rPr>
                <w:szCs w:val="22"/>
                <w:lang w:val="sr-Latn-ME"/>
              </w:rPr>
              <w:t>≥ 40 kg</w:t>
            </w:r>
          </w:p>
        </w:tc>
        <w:tc>
          <w:tcPr>
            <w:tcW w:w="2908" w:type="pct"/>
            <w:vAlign w:val="center"/>
          </w:tcPr>
          <w:p w14:paraId="4D88A721" w14:textId="1D4E9904" w:rsidR="00CE4715" w:rsidRPr="003445F5" w:rsidRDefault="00CE4715" w:rsidP="00CE4715">
            <w:pPr>
              <w:jc w:val="left"/>
              <w:rPr>
                <w:szCs w:val="22"/>
                <w:lang w:val="sr-Latn-ME"/>
              </w:rPr>
            </w:pPr>
            <w:r w:rsidRPr="003445F5">
              <w:rPr>
                <w:szCs w:val="22"/>
                <w:lang w:val="sr-Latn-ME"/>
              </w:rPr>
              <w:sym w:font="Symbol" w:char="F0B7"/>
            </w:r>
            <w:r w:rsidRPr="003445F5">
              <w:rPr>
                <w:szCs w:val="22"/>
                <w:lang w:val="sr-Latn-ME"/>
              </w:rPr>
              <w:t xml:space="preserve"> 80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praćena dozom od 40 mg nakon dvije </w:t>
            </w:r>
            <w:r w:rsidR="00551F1D" w:rsidRPr="003445F5">
              <w:rPr>
                <w:szCs w:val="22"/>
                <w:lang w:val="sr-Latn-ME"/>
              </w:rPr>
              <w:t>nedjelj</w:t>
            </w:r>
            <w:r w:rsidR="0047711E" w:rsidRPr="003445F5">
              <w:rPr>
                <w:szCs w:val="22"/>
                <w:lang w:val="sr-Latn-ME"/>
              </w:rPr>
              <w:t>e</w:t>
            </w:r>
          </w:p>
          <w:p w14:paraId="0E806DFD" w14:textId="77777777" w:rsidR="00CE4715" w:rsidRPr="003445F5" w:rsidRDefault="00CE4715" w:rsidP="00CE4715">
            <w:pPr>
              <w:jc w:val="left"/>
              <w:rPr>
                <w:szCs w:val="22"/>
                <w:lang w:val="sr-Latn-ME"/>
              </w:rPr>
            </w:pPr>
          </w:p>
          <w:p w14:paraId="700843F2" w14:textId="77777777" w:rsidR="00CE4715" w:rsidRPr="003445F5" w:rsidRDefault="00CE4715" w:rsidP="00CE4715">
            <w:pPr>
              <w:jc w:val="left"/>
              <w:rPr>
                <w:szCs w:val="22"/>
                <w:lang w:val="sr-Latn-ME"/>
              </w:rPr>
            </w:pPr>
            <w:r w:rsidRPr="003445F5">
              <w:rPr>
                <w:szCs w:val="22"/>
                <w:lang w:val="sr-Latn-ME"/>
              </w:rPr>
              <w:t>U slučaju kada je potreban brži odgovor na terapiju, imajući u vidu da rizik od neželjenih dejstava može biti veći kod primjene veće indukcione doze, može se primijeniti sljedeća doza:</w:t>
            </w:r>
          </w:p>
          <w:p w14:paraId="068DE32E" w14:textId="1AE6A2E4" w:rsidR="00CE4715" w:rsidRPr="003445F5" w:rsidRDefault="00CE4715" w:rsidP="00CE4715">
            <w:pPr>
              <w:jc w:val="left"/>
              <w:rPr>
                <w:szCs w:val="22"/>
                <w:lang w:val="sr-Latn-ME"/>
              </w:rPr>
            </w:pPr>
            <w:r w:rsidRPr="003445F5">
              <w:rPr>
                <w:szCs w:val="22"/>
                <w:lang w:val="sr-Latn-ME"/>
              </w:rPr>
              <w:sym w:font="Symbol" w:char="F0B7"/>
            </w:r>
            <w:r w:rsidRPr="003445F5">
              <w:rPr>
                <w:szCs w:val="22"/>
                <w:lang w:val="sr-Latn-ME"/>
              </w:rPr>
              <w:t xml:space="preserve">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praćena dozom od 80 mg nakon dvije </w:t>
            </w:r>
            <w:r w:rsidR="00551F1D" w:rsidRPr="003445F5">
              <w:rPr>
                <w:szCs w:val="22"/>
                <w:lang w:val="sr-Latn-ME"/>
              </w:rPr>
              <w:t>nedjelj</w:t>
            </w:r>
            <w:r w:rsidR="0047711E" w:rsidRPr="003445F5">
              <w:rPr>
                <w:szCs w:val="22"/>
                <w:lang w:val="sr-Latn-ME"/>
              </w:rPr>
              <w:t>e</w:t>
            </w:r>
          </w:p>
        </w:tc>
        <w:tc>
          <w:tcPr>
            <w:tcW w:w="1230" w:type="pct"/>
            <w:vAlign w:val="center"/>
          </w:tcPr>
          <w:p w14:paraId="0C510380" w14:textId="1D03CC16" w:rsidR="00CE4715" w:rsidRPr="003445F5" w:rsidRDefault="00CE4715" w:rsidP="00CE4715">
            <w:pPr>
              <w:jc w:val="center"/>
              <w:rPr>
                <w:szCs w:val="22"/>
                <w:lang w:val="sr-Latn-ME"/>
              </w:rPr>
            </w:pPr>
            <w:r w:rsidRPr="003445F5">
              <w:rPr>
                <w:szCs w:val="22"/>
                <w:lang w:val="sr-Latn-ME"/>
              </w:rPr>
              <w:t xml:space="preserve">40 mg svake druge </w:t>
            </w:r>
            <w:r w:rsidR="00551F1D" w:rsidRPr="003445F5">
              <w:rPr>
                <w:szCs w:val="22"/>
                <w:lang w:val="sr-Latn-ME"/>
              </w:rPr>
              <w:t>nedjelj</w:t>
            </w:r>
            <w:r w:rsidR="0047711E" w:rsidRPr="003445F5">
              <w:rPr>
                <w:szCs w:val="22"/>
                <w:lang w:val="sr-Latn-ME"/>
              </w:rPr>
              <w:t>e</w:t>
            </w:r>
          </w:p>
        </w:tc>
      </w:tr>
    </w:tbl>
    <w:p w14:paraId="18A5EF6D" w14:textId="77777777" w:rsidR="004D68BA" w:rsidRPr="003445F5" w:rsidRDefault="004D68BA" w:rsidP="004D68BA">
      <w:pPr>
        <w:rPr>
          <w:i/>
          <w:iCs/>
          <w:szCs w:val="22"/>
          <w:lang w:val="sr-Latn-ME"/>
        </w:rPr>
      </w:pPr>
      <w:r w:rsidRPr="003445F5">
        <w:rPr>
          <w:i/>
          <w:iCs/>
          <w:szCs w:val="22"/>
          <w:lang w:val="sr-Latn-ME"/>
        </w:rPr>
        <w:t>*Napomena: Lijek Hukyndra je trenutno dostupan samo kao napunjen injekcioni špric od 40 mg, napunjen injekcioni pen od 40 mg i kao napunjen injekcioni špric od 80 mg. Stoga, nije moguće primijeniti lijek Hukyndra pacijentima kojima je potrebna manja od pune doze od 40 mg.</w:t>
      </w:r>
    </w:p>
    <w:p w14:paraId="30DEF853" w14:textId="77777777" w:rsidR="004D68BA" w:rsidRPr="003445F5" w:rsidRDefault="004D68BA" w:rsidP="004D68BA">
      <w:pPr>
        <w:rPr>
          <w:szCs w:val="22"/>
          <w:lang w:val="sr-Latn-ME"/>
        </w:rPr>
      </w:pPr>
    </w:p>
    <w:p w14:paraId="74E945D1" w14:textId="77777777" w:rsidR="004D68BA" w:rsidRPr="003445F5" w:rsidRDefault="004D68BA" w:rsidP="004D68BA">
      <w:pPr>
        <w:rPr>
          <w:szCs w:val="22"/>
          <w:lang w:val="sr-Latn-ME"/>
        </w:rPr>
      </w:pPr>
      <w:r w:rsidRPr="003445F5">
        <w:rPr>
          <w:szCs w:val="22"/>
          <w:lang w:val="sr-Latn-ME"/>
        </w:rPr>
        <w:t>Pacijenti kod kojih nije postignut zadovoljavajući odgovor mogu da imaju korist od povećanja doze:</w:t>
      </w:r>
    </w:p>
    <w:p w14:paraId="09817C91" w14:textId="1DA10B41" w:rsidR="004D68BA" w:rsidRPr="003445F5" w:rsidRDefault="004D68BA" w:rsidP="004D68BA">
      <w:pPr>
        <w:rPr>
          <w:szCs w:val="22"/>
          <w:lang w:val="sr-Latn-ME"/>
        </w:rPr>
      </w:pPr>
      <w:r w:rsidRPr="003445F5">
        <w:rPr>
          <w:szCs w:val="22"/>
          <w:lang w:val="sr-Latn-ME"/>
        </w:rPr>
        <w:sym w:font="Symbol" w:char="F0B7"/>
      </w:r>
      <w:r w:rsidRPr="003445F5">
        <w:rPr>
          <w:szCs w:val="22"/>
          <w:lang w:val="sr-Latn-ME"/>
        </w:rPr>
        <w:t xml:space="preserve"> ≥ 40 kg: 40 mg svake </w:t>
      </w:r>
      <w:r w:rsidR="00551F1D" w:rsidRPr="003445F5">
        <w:rPr>
          <w:szCs w:val="22"/>
          <w:lang w:val="sr-Latn-ME"/>
        </w:rPr>
        <w:t>nedjelj</w:t>
      </w:r>
      <w:r w:rsidR="0047711E" w:rsidRPr="003445F5">
        <w:rPr>
          <w:szCs w:val="22"/>
          <w:lang w:val="sr-Latn-ME"/>
        </w:rPr>
        <w:t>e</w:t>
      </w:r>
      <w:r w:rsidRPr="003445F5">
        <w:rPr>
          <w:szCs w:val="22"/>
          <w:lang w:val="sr-Latn-ME"/>
        </w:rPr>
        <w:t xml:space="preserve"> ili 80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6AB8DC56" w14:textId="77777777" w:rsidR="0010698F" w:rsidRPr="003445F5" w:rsidRDefault="0010698F" w:rsidP="0010698F">
      <w:pPr>
        <w:rPr>
          <w:szCs w:val="22"/>
          <w:lang w:val="sr-Latn-ME"/>
        </w:rPr>
      </w:pPr>
    </w:p>
    <w:p w14:paraId="19C4B6D7" w14:textId="46397AA7" w:rsidR="00CC71C1" w:rsidRPr="003445F5" w:rsidRDefault="00CC71C1" w:rsidP="00CC71C1">
      <w:pPr>
        <w:rPr>
          <w:szCs w:val="22"/>
          <w:lang w:val="sr-Latn-ME"/>
        </w:rPr>
      </w:pPr>
      <w:r w:rsidRPr="003445F5">
        <w:rPr>
          <w:szCs w:val="22"/>
          <w:lang w:val="sr-Latn-ME"/>
        </w:rPr>
        <w:t xml:space="preserve">Ukoliko pacijent ne postigne terapijski odgovor do 12 </w:t>
      </w:r>
      <w:r w:rsidR="00551F1D" w:rsidRPr="003445F5">
        <w:rPr>
          <w:szCs w:val="22"/>
          <w:lang w:val="sr-Latn-ME"/>
        </w:rPr>
        <w:t>nedjelj</w:t>
      </w:r>
      <w:r w:rsidR="0047711E" w:rsidRPr="003445F5">
        <w:rPr>
          <w:szCs w:val="22"/>
          <w:lang w:val="sr-Latn-ME"/>
        </w:rPr>
        <w:t>e</w:t>
      </w:r>
      <w:r w:rsidRPr="003445F5">
        <w:rPr>
          <w:szCs w:val="22"/>
          <w:lang w:val="sr-Latn-ME"/>
        </w:rPr>
        <w:t xml:space="preserve">, nastavak terapije nakon tog perioda potrebno je pažljivo razmotriti. </w:t>
      </w:r>
    </w:p>
    <w:p w14:paraId="2AA713C6" w14:textId="77777777" w:rsidR="00CC71C1" w:rsidRPr="003445F5" w:rsidRDefault="00CC71C1" w:rsidP="00CC71C1">
      <w:pPr>
        <w:rPr>
          <w:szCs w:val="22"/>
          <w:lang w:val="sr-Latn-ME"/>
        </w:rPr>
      </w:pPr>
    </w:p>
    <w:p w14:paraId="66AE5936" w14:textId="77777777" w:rsidR="00CC71C1" w:rsidRPr="003445F5" w:rsidRDefault="00CC71C1" w:rsidP="00CC71C1">
      <w:pPr>
        <w:rPr>
          <w:szCs w:val="22"/>
          <w:lang w:val="sr-Latn-ME"/>
        </w:rPr>
      </w:pPr>
      <w:r w:rsidRPr="003445F5">
        <w:rPr>
          <w:szCs w:val="22"/>
          <w:lang w:val="sr-Latn-ME"/>
        </w:rPr>
        <w:t xml:space="preserve">Nema relevantne primjene adalimumaba kod djece mlađe od 6 godina u ovoj indikaciji. </w:t>
      </w:r>
    </w:p>
    <w:p w14:paraId="1DC91759" w14:textId="1B9BD7E6" w:rsidR="00313B3D" w:rsidRPr="003445F5" w:rsidRDefault="00313B3D" w:rsidP="00524FDF">
      <w:pPr>
        <w:rPr>
          <w:szCs w:val="22"/>
          <w:lang w:val="sr-Latn-ME"/>
        </w:rPr>
      </w:pPr>
    </w:p>
    <w:p w14:paraId="2180DD5F" w14:textId="4679B283" w:rsidR="00E9496F" w:rsidRPr="003445F5" w:rsidRDefault="00E9496F" w:rsidP="00524FDF">
      <w:pPr>
        <w:rPr>
          <w:szCs w:val="22"/>
          <w:lang w:val="sr-Latn-ME"/>
        </w:rPr>
      </w:pPr>
      <w:r w:rsidRPr="003445F5">
        <w:rPr>
          <w:szCs w:val="22"/>
          <w:lang w:val="sr-Latn-ME"/>
        </w:rPr>
        <w:t>L</w:t>
      </w:r>
      <w:r w:rsidR="00CC71C1" w:rsidRPr="003445F5">
        <w:rPr>
          <w:szCs w:val="22"/>
          <w:lang w:val="sr-Latn-ME"/>
        </w:rPr>
        <w:t>ij</w:t>
      </w:r>
      <w:r w:rsidRPr="003445F5">
        <w:rPr>
          <w:szCs w:val="22"/>
          <w:lang w:val="sr-Latn-ME"/>
        </w:rPr>
        <w:t>ek Hukyndra je dostupan samo kao napunjen injekcioni špric od 40 mg, napunjen injekcioni pen od 40 mg i napunjen injekcioni špric od 80 mg. Zato se l</w:t>
      </w:r>
      <w:r w:rsidR="00CC71C1" w:rsidRPr="003445F5">
        <w:rPr>
          <w:szCs w:val="22"/>
          <w:lang w:val="sr-Latn-ME"/>
        </w:rPr>
        <w:t>ij</w:t>
      </w:r>
      <w:r w:rsidRPr="003445F5">
        <w:rPr>
          <w:szCs w:val="22"/>
          <w:lang w:val="sr-Latn-ME"/>
        </w:rPr>
        <w:t xml:space="preserve">ek Hukyndra ne može </w:t>
      </w:r>
      <w:r w:rsidR="0047711E" w:rsidRPr="003445F5">
        <w:rPr>
          <w:szCs w:val="22"/>
          <w:lang w:val="sr-Latn-ME"/>
        </w:rPr>
        <w:t>primijeniti</w:t>
      </w:r>
      <w:r w:rsidRPr="003445F5">
        <w:rPr>
          <w:szCs w:val="22"/>
          <w:lang w:val="sr-Latn-ME"/>
        </w:rPr>
        <w:t xml:space="preserve"> kod pedijatrijskih pacijenata koji </w:t>
      </w:r>
      <w:r w:rsidR="00CC71C1" w:rsidRPr="003445F5">
        <w:rPr>
          <w:szCs w:val="22"/>
          <w:lang w:val="sr-Latn-ME"/>
        </w:rPr>
        <w:t>zahtijevaju</w:t>
      </w:r>
      <w:r w:rsidRPr="003445F5">
        <w:rPr>
          <w:szCs w:val="22"/>
          <w:lang w:val="sr-Latn-ME"/>
        </w:rPr>
        <w:t xml:space="preserve"> manje od </w:t>
      </w:r>
      <w:r w:rsidR="0047711E" w:rsidRPr="003445F5">
        <w:rPr>
          <w:szCs w:val="22"/>
          <w:lang w:val="sr-Latn-ME"/>
        </w:rPr>
        <w:t>cijele</w:t>
      </w:r>
      <w:r w:rsidRPr="003445F5">
        <w:rPr>
          <w:szCs w:val="22"/>
          <w:lang w:val="sr-Latn-ME"/>
        </w:rPr>
        <w:t xml:space="preserve"> doze od 40 mg. Ako je potrebna </w:t>
      </w:r>
      <w:r w:rsidR="00CE3EAE" w:rsidRPr="003445F5">
        <w:rPr>
          <w:szCs w:val="22"/>
          <w:lang w:val="sr-Latn-ME"/>
        </w:rPr>
        <w:t>alternativna</w:t>
      </w:r>
      <w:r w:rsidRPr="003445F5">
        <w:rPr>
          <w:szCs w:val="22"/>
          <w:lang w:val="sr-Latn-ME"/>
        </w:rPr>
        <w:t xml:space="preserve"> doza, </w:t>
      </w:r>
      <w:r w:rsidR="00401256" w:rsidRPr="003445F5">
        <w:rPr>
          <w:szCs w:val="22"/>
          <w:lang w:val="sr-Latn-ME"/>
        </w:rPr>
        <w:t>potrebno je</w:t>
      </w:r>
      <w:r w:rsidRPr="003445F5">
        <w:rPr>
          <w:szCs w:val="22"/>
          <w:lang w:val="sr-Latn-ME"/>
        </w:rPr>
        <w:t xml:space="preserve"> </w:t>
      </w:r>
      <w:r w:rsidR="0047711E" w:rsidRPr="003445F5">
        <w:rPr>
          <w:szCs w:val="22"/>
          <w:lang w:val="sr-Latn-ME"/>
        </w:rPr>
        <w:t>primijeniti</w:t>
      </w:r>
      <w:r w:rsidRPr="003445F5">
        <w:rPr>
          <w:szCs w:val="22"/>
          <w:lang w:val="sr-Latn-ME"/>
        </w:rPr>
        <w:t xml:space="preserve"> druge l</w:t>
      </w:r>
      <w:r w:rsidR="0047711E" w:rsidRPr="003445F5">
        <w:rPr>
          <w:szCs w:val="22"/>
          <w:lang w:val="sr-Latn-ME"/>
        </w:rPr>
        <w:t>j</w:t>
      </w:r>
      <w:r w:rsidRPr="003445F5">
        <w:rPr>
          <w:szCs w:val="22"/>
          <w:lang w:val="sr-Latn-ME"/>
        </w:rPr>
        <w:t xml:space="preserve">ekove koji sadrže adalimumab i koji </w:t>
      </w:r>
      <w:r w:rsidR="00401256" w:rsidRPr="003445F5">
        <w:rPr>
          <w:szCs w:val="22"/>
          <w:lang w:val="sr-Latn-ME"/>
        </w:rPr>
        <w:t>omogućavaju prim</w:t>
      </w:r>
      <w:r w:rsidR="00CC71C1" w:rsidRPr="003445F5">
        <w:rPr>
          <w:szCs w:val="22"/>
          <w:lang w:val="sr-Latn-ME"/>
        </w:rPr>
        <w:t>j</w:t>
      </w:r>
      <w:r w:rsidR="00401256" w:rsidRPr="003445F5">
        <w:rPr>
          <w:szCs w:val="22"/>
          <w:lang w:val="sr-Latn-ME"/>
        </w:rPr>
        <w:t>enu odgovarajuće doze</w:t>
      </w:r>
      <w:r w:rsidRPr="003445F5">
        <w:rPr>
          <w:szCs w:val="22"/>
          <w:lang w:val="sr-Latn-ME"/>
        </w:rPr>
        <w:t xml:space="preserve">. </w:t>
      </w:r>
    </w:p>
    <w:p w14:paraId="44B65252" w14:textId="77777777" w:rsidR="00E9496F" w:rsidRPr="003445F5" w:rsidRDefault="00E9496F" w:rsidP="00524FDF">
      <w:pPr>
        <w:rPr>
          <w:szCs w:val="22"/>
          <w:lang w:val="sr-Latn-ME"/>
        </w:rPr>
      </w:pPr>
    </w:p>
    <w:p w14:paraId="6C08E6D6" w14:textId="2A78E41E" w:rsidR="00E3071C" w:rsidRPr="003445F5" w:rsidRDefault="00151340" w:rsidP="00524FDF">
      <w:pPr>
        <w:rPr>
          <w:i/>
          <w:iCs/>
          <w:szCs w:val="22"/>
          <w:u w:val="single"/>
          <w:lang w:val="sr-Latn-ME"/>
        </w:rPr>
      </w:pPr>
      <w:r w:rsidRPr="003445F5">
        <w:rPr>
          <w:i/>
          <w:iCs/>
          <w:szCs w:val="22"/>
          <w:u w:val="single"/>
          <w:lang w:val="sr-Latn-ME"/>
        </w:rPr>
        <w:lastRenderedPageBreak/>
        <w:t>U</w:t>
      </w:r>
      <w:r w:rsidR="00E3071C" w:rsidRPr="003445F5">
        <w:rPr>
          <w:i/>
          <w:iCs/>
          <w:szCs w:val="22"/>
          <w:u w:val="single"/>
          <w:lang w:val="sr-Latn-ME"/>
        </w:rPr>
        <w:t xml:space="preserve">lcerozni </w:t>
      </w:r>
      <w:r w:rsidR="00AB70B6" w:rsidRPr="003445F5">
        <w:rPr>
          <w:i/>
          <w:iCs/>
          <w:szCs w:val="22"/>
          <w:u w:val="single"/>
          <w:lang w:val="sr-Latn-ME"/>
        </w:rPr>
        <w:t>k</w:t>
      </w:r>
      <w:r w:rsidR="00E3071C" w:rsidRPr="003445F5">
        <w:rPr>
          <w:i/>
          <w:iCs/>
          <w:szCs w:val="22"/>
          <w:u w:val="single"/>
          <w:lang w:val="sr-Latn-ME"/>
        </w:rPr>
        <w:t>olitis</w:t>
      </w:r>
      <w:r w:rsidRPr="003445F5">
        <w:rPr>
          <w:i/>
          <w:iCs/>
          <w:szCs w:val="22"/>
          <w:u w:val="single"/>
          <w:lang w:val="sr-Latn-ME"/>
        </w:rPr>
        <w:t xml:space="preserve"> kod d</w:t>
      </w:r>
      <w:r w:rsidR="007461F4" w:rsidRPr="003445F5">
        <w:rPr>
          <w:i/>
          <w:iCs/>
          <w:szCs w:val="22"/>
          <w:u w:val="single"/>
          <w:lang w:val="sr-Latn-ME"/>
        </w:rPr>
        <w:t>j</w:t>
      </w:r>
      <w:r w:rsidRPr="003445F5">
        <w:rPr>
          <w:i/>
          <w:iCs/>
          <w:szCs w:val="22"/>
          <w:u w:val="single"/>
          <w:lang w:val="sr-Latn-ME"/>
        </w:rPr>
        <w:t>ece</w:t>
      </w:r>
    </w:p>
    <w:p w14:paraId="7C1CFD54" w14:textId="45BB2792" w:rsidR="00E3071C" w:rsidRPr="003445F5" w:rsidRDefault="00E3071C" w:rsidP="00524FDF">
      <w:pPr>
        <w:rPr>
          <w:i/>
          <w:iCs/>
          <w:szCs w:val="22"/>
          <w:lang w:val="sr-Latn-ME"/>
        </w:rPr>
      </w:pPr>
    </w:p>
    <w:p w14:paraId="7B751979" w14:textId="06F4DC88" w:rsidR="00FE4FCA" w:rsidRPr="003445F5" w:rsidRDefault="00FE4FCA" w:rsidP="00FE4FCA">
      <w:pPr>
        <w:rPr>
          <w:szCs w:val="22"/>
          <w:lang w:val="sr-Latn-ME"/>
        </w:rPr>
      </w:pPr>
      <w:r w:rsidRPr="003445F5">
        <w:rPr>
          <w:szCs w:val="22"/>
          <w:lang w:val="sr-Latn-ME"/>
        </w:rPr>
        <w:t xml:space="preserve">Preporučena doza lijeka Hukyndra kod pacijenata sa ulceroznim kolitisom uzrasta od 6 do 17 godina određuje se na osnovu tjelesne mase (Tabela </w:t>
      </w:r>
      <w:r w:rsidR="000C0DE7" w:rsidRPr="003445F5">
        <w:rPr>
          <w:szCs w:val="22"/>
          <w:lang w:val="sr-Latn-ME"/>
        </w:rPr>
        <w:t>2</w:t>
      </w:r>
      <w:r w:rsidRPr="003445F5">
        <w:rPr>
          <w:szCs w:val="22"/>
          <w:lang w:val="sr-Latn-ME"/>
        </w:rPr>
        <w:t>). Lijek Hukyndra se primjenjuje supkutanom injekcijom.</w:t>
      </w:r>
    </w:p>
    <w:p w14:paraId="23E7D886" w14:textId="77777777" w:rsidR="00151340" w:rsidRPr="003445F5" w:rsidRDefault="00151340" w:rsidP="00524FDF">
      <w:pPr>
        <w:rPr>
          <w:szCs w:val="22"/>
          <w:lang w:val="sr-Latn-ME"/>
        </w:rPr>
      </w:pPr>
    </w:p>
    <w:p w14:paraId="5C970A2C" w14:textId="19D19584" w:rsidR="00294A3B" w:rsidRPr="003445F5" w:rsidRDefault="00E3071C" w:rsidP="00524FDF">
      <w:pPr>
        <w:rPr>
          <w:b/>
          <w:bCs/>
          <w:szCs w:val="22"/>
          <w:lang w:val="sr-Latn-ME"/>
        </w:rPr>
      </w:pPr>
      <w:r w:rsidRPr="003445F5">
        <w:rPr>
          <w:b/>
          <w:bCs/>
          <w:szCs w:val="22"/>
          <w:lang w:val="sr-Latn-ME"/>
        </w:rPr>
        <w:t xml:space="preserve">Tabela </w:t>
      </w:r>
      <w:r w:rsidR="00E9496F" w:rsidRPr="003445F5">
        <w:rPr>
          <w:b/>
          <w:bCs/>
          <w:szCs w:val="22"/>
          <w:lang w:val="sr-Latn-ME"/>
        </w:rPr>
        <w:t>2</w:t>
      </w:r>
      <w:r w:rsidRPr="003445F5">
        <w:rPr>
          <w:b/>
          <w:bCs/>
          <w:szCs w:val="22"/>
          <w:lang w:val="sr-Latn-ME"/>
        </w:rPr>
        <w:t>. Doza adalimumab</w:t>
      </w:r>
      <w:r w:rsidR="0060252C" w:rsidRPr="003445F5">
        <w:rPr>
          <w:b/>
          <w:bCs/>
          <w:szCs w:val="22"/>
          <w:lang w:val="sr-Latn-ME"/>
        </w:rPr>
        <w:t>a</w:t>
      </w:r>
      <w:r w:rsidRPr="003445F5">
        <w:rPr>
          <w:b/>
          <w:bCs/>
          <w:szCs w:val="22"/>
          <w:lang w:val="sr-Latn-ME"/>
        </w:rPr>
        <w:t xml:space="preserve"> </w:t>
      </w:r>
      <w:r w:rsidR="00D5046A" w:rsidRPr="003445F5">
        <w:rPr>
          <w:b/>
          <w:bCs/>
          <w:szCs w:val="22"/>
          <w:lang w:val="sr-Latn-ME"/>
        </w:rPr>
        <w:t xml:space="preserve">kod </w:t>
      </w:r>
      <w:r w:rsidRPr="003445F5">
        <w:rPr>
          <w:b/>
          <w:bCs/>
          <w:szCs w:val="22"/>
          <w:lang w:val="sr-Latn-ME"/>
        </w:rPr>
        <w:t>pedijatrijsk</w:t>
      </w:r>
      <w:r w:rsidR="00D5046A" w:rsidRPr="003445F5">
        <w:rPr>
          <w:b/>
          <w:bCs/>
          <w:szCs w:val="22"/>
          <w:lang w:val="sr-Latn-ME"/>
        </w:rPr>
        <w:t>ih</w:t>
      </w:r>
      <w:r w:rsidRPr="003445F5">
        <w:rPr>
          <w:b/>
          <w:bCs/>
          <w:szCs w:val="22"/>
          <w:lang w:val="sr-Latn-ME"/>
        </w:rPr>
        <w:t xml:space="preserve"> pacijen</w:t>
      </w:r>
      <w:r w:rsidR="00D5046A" w:rsidRPr="003445F5">
        <w:rPr>
          <w:b/>
          <w:bCs/>
          <w:szCs w:val="22"/>
          <w:lang w:val="sr-Latn-ME"/>
        </w:rPr>
        <w:t>ata</w:t>
      </w:r>
      <w:r w:rsidRPr="003445F5">
        <w:rPr>
          <w:b/>
          <w:bCs/>
          <w:szCs w:val="22"/>
          <w:lang w:val="sr-Latn-ME"/>
        </w:rPr>
        <w:t xml:space="preserve"> sa ulceroznim kolitisom</w:t>
      </w:r>
    </w:p>
    <w:p w14:paraId="009CF698" w14:textId="77777777" w:rsidR="0060252C" w:rsidRPr="003445F5" w:rsidRDefault="0060252C" w:rsidP="00524FDF">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237"/>
        <w:gridCol w:w="5935"/>
        <w:gridCol w:w="1845"/>
      </w:tblGrid>
      <w:tr w:rsidR="00A0565D" w:rsidRPr="003445F5" w14:paraId="2E45D553" w14:textId="77777777" w:rsidTr="003C689B">
        <w:trPr>
          <w:trHeight w:val="20"/>
        </w:trPr>
        <w:tc>
          <w:tcPr>
            <w:tcW w:w="686" w:type="pct"/>
            <w:vAlign w:val="center"/>
          </w:tcPr>
          <w:p w14:paraId="77B06C0B" w14:textId="391FB401" w:rsidR="00A0565D" w:rsidRPr="003445F5" w:rsidRDefault="00A0565D" w:rsidP="00A0565D">
            <w:pPr>
              <w:jc w:val="center"/>
              <w:rPr>
                <w:b/>
                <w:bCs/>
                <w:szCs w:val="22"/>
                <w:lang w:val="sr-Latn-ME"/>
              </w:rPr>
            </w:pPr>
            <w:r w:rsidRPr="003445F5">
              <w:rPr>
                <w:b/>
                <w:bCs/>
                <w:szCs w:val="22"/>
                <w:lang w:val="sr-Latn-ME"/>
              </w:rPr>
              <w:t>Tjelesna masa pacijenta</w:t>
            </w:r>
          </w:p>
        </w:tc>
        <w:tc>
          <w:tcPr>
            <w:tcW w:w="3291" w:type="pct"/>
            <w:vAlign w:val="center"/>
          </w:tcPr>
          <w:p w14:paraId="462DEABD" w14:textId="6B90054F" w:rsidR="00A0565D" w:rsidRPr="003445F5" w:rsidRDefault="00A0565D" w:rsidP="00A0565D">
            <w:pPr>
              <w:jc w:val="center"/>
              <w:rPr>
                <w:b/>
                <w:bCs/>
                <w:szCs w:val="22"/>
                <w:lang w:val="sr-Latn-ME"/>
              </w:rPr>
            </w:pPr>
            <w:r w:rsidRPr="003445F5">
              <w:rPr>
                <w:b/>
                <w:bCs/>
                <w:szCs w:val="22"/>
                <w:lang w:val="sr-Latn-ME"/>
              </w:rPr>
              <w:t>Indukciona doza</w:t>
            </w:r>
          </w:p>
        </w:tc>
        <w:tc>
          <w:tcPr>
            <w:tcW w:w="1023" w:type="pct"/>
            <w:vAlign w:val="center"/>
          </w:tcPr>
          <w:p w14:paraId="6A934187" w14:textId="262341CB" w:rsidR="00A0565D" w:rsidRPr="003445F5" w:rsidRDefault="00A0565D" w:rsidP="00A0565D">
            <w:pPr>
              <w:jc w:val="center"/>
              <w:rPr>
                <w:b/>
                <w:bCs/>
                <w:szCs w:val="22"/>
                <w:lang w:val="sr-Latn-ME"/>
              </w:rPr>
            </w:pPr>
            <w:r w:rsidRPr="003445F5">
              <w:rPr>
                <w:b/>
                <w:bCs/>
                <w:szCs w:val="22"/>
                <w:lang w:val="sr-Latn-ME"/>
              </w:rPr>
              <w:t xml:space="preserve">Doza održavanja počevši od 4. </w:t>
            </w:r>
            <w:r w:rsidR="00551F1D" w:rsidRPr="003445F5">
              <w:rPr>
                <w:b/>
                <w:bCs/>
                <w:szCs w:val="22"/>
                <w:lang w:val="sr-Latn-ME"/>
              </w:rPr>
              <w:t>nedjelj</w:t>
            </w:r>
            <w:r w:rsidR="0047711E" w:rsidRPr="003445F5">
              <w:rPr>
                <w:b/>
                <w:bCs/>
                <w:szCs w:val="22"/>
                <w:lang w:val="sr-Latn-ME"/>
              </w:rPr>
              <w:t>e</w:t>
            </w:r>
            <w:r w:rsidRPr="003445F5">
              <w:rPr>
                <w:b/>
                <w:bCs/>
                <w:szCs w:val="22"/>
                <w:lang w:val="sr-Latn-ME"/>
              </w:rPr>
              <w:t>*</w:t>
            </w:r>
          </w:p>
        </w:tc>
      </w:tr>
      <w:tr w:rsidR="00AC03EB" w:rsidRPr="003445F5" w14:paraId="50DEB6BC" w14:textId="77777777" w:rsidTr="003C689B">
        <w:trPr>
          <w:trHeight w:val="20"/>
        </w:trPr>
        <w:tc>
          <w:tcPr>
            <w:tcW w:w="686" w:type="pct"/>
            <w:vAlign w:val="center"/>
          </w:tcPr>
          <w:p w14:paraId="48159F9A" w14:textId="2F1C2113" w:rsidR="00AC03EB" w:rsidRPr="003445F5" w:rsidRDefault="00AC03EB" w:rsidP="00AC03EB">
            <w:pPr>
              <w:jc w:val="center"/>
              <w:rPr>
                <w:szCs w:val="22"/>
                <w:lang w:val="sr-Latn-ME"/>
              </w:rPr>
            </w:pPr>
            <w:r w:rsidRPr="003445F5">
              <w:rPr>
                <w:szCs w:val="22"/>
                <w:lang w:val="sr-Latn-ME"/>
              </w:rPr>
              <w:t>&lt; 40 kg</w:t>
            </w:r>
          </w:p>
        </w:tc>
        <w:tc>
          <w:tcPr>
            <w:tcW w:w="3291" w:type="pct"/>
            <w:vAlign w:val="center"/>
          </w:tcPr>
          <w:p w14:paraId="71114584" w14:textId="5CDB90A3" w:rsidR="00AC03EB" w:rsidRPr="003445F5" w:rsidRDefault="00AC03EB" w:rsidP="00AC03EB">
            <w:pPr>
              <w:jc w:val="left"/>
              <w:rPr>
                <w:szCs w:val="22"/>
                <w:lang w:val="sr-Latn-ME"/>
              </w:rPr>
            </w:pPr>
            <w:r w:rsidRPr="003445F5">
              <w:rPr>
                <w:szCs w:val="22"/>
                <w:lang w:val="sr-Latn-ME"/>
              </w:rPr>
              <w:sym w:font="Symbol" w:char="F0B7"/>
            </w:r>
            <w:r w:rsidRPr="003445F5">
              <w:rPr>
                <w:szCs w:val="22"/>
                <w:lang w:val="sr-Latn-ME"/>
              </w:rPr>
              <w:t xml:space="preserve"> 80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(primijenjena kao </w:t>
            </w:r>
            <w:r w:rsidR="005626D3" w:rsidRPr="003445F5">
              <w:rPr>
                <w:szCs w:val="22"/>
                <w:lang w:val="sr-Latn-ME"/>
              </w:rPr>
              <w:t>jedna injekcija od 80</w:t>
            </w:r>
            <w:r w:rsidRPr="003445F5">
              <w:rPr>
                <w:szCs w:val="22"/>
                <w:lang w:val="sr-Latn-ME"/>
              </w:rPr>
              <w:t xml:space="preserve"> mg na dan) praćena dozom od 40 mg </w:t>
            </w:r>
            <w:r w:rsidR="00C61C3E" w:rsidRPr="003445F5">
              <w:rPr>
                <w:szCs w:val="22"/>
                <w:lang w:val="sr-Latn-ME"/>
              </w:rPr>
              <w:t xml:space="preserve">u drugoj </w:t>
            </w:r>
            <w:r w:rsidR="00551F1D" w:rsidRPr="003445F5">
              <w:rPr>
                <w:szCs w:val="22"/>
                <w:lang w:val="sr-Latn-ME"/>
              </w:rPr>
              <w:t>nedjelj</w:t>
            </w:r>
            <w:r w:rsidR="00C61C3E" w:rsidRPr="003445F5">
              <w:rPr>
                <w:szCs w:val="22"/>
                <w:lang w:val="sr-Latn-ME"/>
              </w:rPr>
              <w:t>i</w:t>
            </w:r>
            <w:r w:rsidRPr="003445F5">
              <w:rPr>
                <w:szCs w:val="22"/>
                <w:lang w:val="sr-Latn-ME"/>
              </w:rPr>
              <w:t xml:space="preserve"> (primijenjena kao jedna injekcija od 40 mg)</w:t>
            </w:r>
          </w:p>
        </w:tc>
        <w:tc>
          <w:tcPr>
            <w:tcW w:w="1023" w:type="pct"/>
            <w:vAlign w:val="center"/>
          </w:tcPr>
          <w:p w14:paraId="3EA4BC75" w14:textId="6E48B180" w:rsidR="00AC03EB" w:rsidRPr="003445F5" w:rsidRDefault="00AC03EB" w:rsidP="00AC03EB">
            <w:pPr>
              <w:jc w:val="center"/>
              <w:rPr>
                <w:szCs w:val="22"/>
                <w:lang w:val="sr-Latn-ME"/>
              </w:rPr>
            </w:pPr>
            <w:r w:rsidRPr="003445F5">
              <w:rPr>
                <w:szCs w:val="22"/>
                <w:lang w:val="sr-Latn-ME"/>
              </w:rPr>
              <w:t xml:space="preserve">40 mg svake druge </w:t>
            </w:r>
            <w:r w:rsidR="00551F1D" w:rsidRPr="003445F5">
              <w:rPr>
                <w:szCs w:val="22"/>
                <w:lang w:val="sr-Latn-ME"/>
              </w:rPr>
              <w:t>nedjelj</w:t>
            </w:r>
            <w:r w:rsidR="0047711E" w:rsidRPr="003445F5">
              <w:rPr>
                <w:szCs w:val="22"/>
                <w:lang w:val="sr-Latn-ME"/>
              </w:rPr>
              <w:t>e</w:t>
            </w:r>
          </w:p>
        </w:tc>
      </w:tr>
      <w:tr w:rsidR="00AC03EB" w:rsidRPr="003445F5" w14:paraId="4EDD4A03" w14:textId="77777777" w:rsidTr="003C689B">
        <w:trPr>
          <w:trHeight w:val="20"/>
        </w:trPr>
        <w:tc>
          <w:tcPr>
            <w:tcW w:w="686" w:type="pct"/>
            <w:vAlign w:val="center"/>
          </w:tcPr>
          <w:p w14:paraId="0B152929" w14:textId="3E8DFBD6" w:rsidR="00AC03EB" w:rsidRPr="003445F5" w:rsidRDefault="00AC03EB" w:rsidP="00AC03EB">
            <w:pPr>
              <w:jc w:val="center"/>
              <w:rPr>
                <w:szCs w:val="22"/>
                <w:lang w:val="sr-Latn-ME"/>
              </w:rPr>
            </w:pPr>
            <w:r w:rsidRPr="003445F5">
              <w:rPr>
                <w:szCs w:val="22"/>
                <w:lang w:val="sr-Latn-ME"/>
              </w:rPr>
              <w:t>≥ 40 kg</w:t>
            </w:r>
          </w:p>
        </w:tc>
        <w:tc>
          <w:tcPr>
            <w:tcW w:w="3291" w:type="pct"/>
            <w:vAlign w:val="center"/>
          </w:tcPr>
          <w:p w14:paraId="481941FF" w14:textId="0CE28059" w:rsidR="00AC03EB" w:rsidRPr="003445F5" w:rsidRDefault="00AC03EB" w:rsidP="00AC03EB">
            <w:pPr>
              <w:jc w:val="left"/>
              <w:rPr>
                <w:szCs w:val="22"/>
                <w:lang w:val="sr-Latn-ME"/>
              </w:rPr>
            </w:pPr>
            <w:r w:rsidRPr="003445F5">
              <w:rPr>
                <w:szCs w:val="22"/>
                <w:lang w:val="sr-Latn-ME"/>
              </w:rPr>
              <w:sym w:font="Symbol" w:char="F0B7"/>
            </w:r>
            <w:r w:rsidRPr="003445F5">
              <w:rPr>
                <w:szCs w:val="22"/>
                <w:lang w:val="sr-Latn-ME"/>
              </w:rPr>
              <w:t xml:space="preserve">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(primijenjena u obliku </w:t>
            </w:r>
            <w:r w:rsidR="008D0971" w:rsidRPr="003445F5">
              <w:rPr>
                <w:szCs w:val="22"/>
                <w:lang w:val="sr-Latn-ME"/>
              </w:rPr>
              <w:t>dvije</w:t>
            </w:r>
            <w:r w:rsidRPr="003445F5">
              <w:rPr>
                <w:szCs w:val="22"/>
                <w:lang w:val="sr-Latn-ME"/>
              </w:rPr>
              <w:t xml:space="preserve"> injekcije od </w:t>
            </w:r>
            <w:r w:rsidR="008D0971" w:rsidRPr="003445F5">
              <w:rPr>
                <w:szCs w:val="22"/>
                <w:lang w:val="sr-Latn-ME"/>
              </w:rPr>
              <w:t>8</w:t>
            </w:r>
            <w:r w:rsidRPr="003445F5">
              <w:rPr>
                <w:szCs w:val="22"/>
                <w:lang w:val="sr-Latn-ME"/>
              </w:rPr>
              <w:t xml:space="preserve">0 mg u jednom danu ili kao </w:t>
            </w:r>
            <w:r w:rsidR="008D0971" w:rsidRPr="003445F5">
              <w:rPr>
                <w:szCs w:val="22"/>
                <w:lang w:val="sr-Latn-ME"/>
              </w:rPr>
              <w:t>jedna</w:t>
            </w:r>
            <w:r w:rsidRPr="003445F5">
              <w:rPr>
                <w:szCs w:val="22"/>
                <w:lang w:val="sr-Latn-ME"/>
              </w:rPr>
              <w:t xml:space="preserve"> injekcije od </w:t>
            </w:r>
            <w:r w:rsidR="008D0971" w:rsidRPr="003445F5">
              <w:rPr>
                <w:szCs w:val="22"/>
                <w:lang w:val="sr-Latn-ME"/>
              </w:rPr>
              <w:t>8</w:t>
            </w:r>
            <w:r w:rsidRPr="003445F5">
              <w:rPr>
                <w:szCs w:val="22"/>
                <w:lang w:val="sr-Latn-ME"/>
              </w:rPr>
              <w:t>0 mg na dan tokom dva uzastopna dana)</w:t>
            </w:r>
            <w:r w:rsidR="00E30178" w:rsidRPr="003445F5">
              <w:rPr>
                <w:szCs w:val="22"/>
                <w:lang w:val="sr-Latn-ME"/>
              </w:rPr>
              <w:t xml:space="preserve"> ili dvije injekcije od 40 mg na dan tokom dva uzastopna dana </w:t>
            </w:r>
            <w:r w:rsidRPr="003445F5">
              <w:rPr>
                <w:szCs w:val="22"/>
                <w:lang w:val="sr-Latn-ME"/>
              </w:rPr>
              <w:t xml:space="preserve"> praćena dozom od 80 mg </w:t>
            </w:r>
            <w:r w:rsidR="0088666B" w:rsidRPr="003445F5">
              <w:rPr>
                <w:szCs w:val="22"/>
                <w:lang w:val="sr-Latn-ME"/>
              </w:rPr>
              <w:t xml:space="preserve"> drugoj </w:t>
            </w:r>
            <w:r w:rsidR="00551F1D" w:rsidRPr="003445F5">
              <w:rPr>
                <w:szCs w:val="22"/>
                <w:lang w:val="sr-Latn-ME"/>
              </w:rPr>
              <w:t>nedjelj</w:t>
            </w:r>
            <w:r w:rsidR="00704AF5" w:rsidRPr="003445F5">
              <w:rPr>
                <w:szCs w:val="22"/>
                <w:lang w:val="sr-Latn-ME"/>
              </w:rPr>
              <w:t>i</w:t>
            </w:r>
            <w:r w:rsidRPr="003445F5">
              <w:rPr>
                <w:szCs w:val="22"/>
                <w:lang w:val="sr-Latn-ME"/>
              </w:rPr>
              <w:t xml:space="preserve"> (primijenjena u obliku </w:t>
            </w:r>
            <w:r w:rsidR="0088666B" w:rsidRPr="003445F5">
              <w:rPr>
                <w:szCs w:val="22"/>
                <w:lang w:val="sr-Latn-ME"/>
              </w:rPr>
              <w:t>jedne</w:t>
            </w:r>
            <w:r w:rsidRPr="003445F5">
              <w:rPr>
                <w:szCs w:val="22"/>
                <w:lang w:val="sr-Latn-ME"/>
              </w:rPr>
              <w:t xml:space="preserve"> injekcije od </w:t>
            </w:r>
            <w:r w:rsidR="0088666B" w:rsidRPr="003445F5">
              <w:rPr>
                <w:szCs w:val="22"/>
                <w:lang w:val="sr-Latn-ME"/>
              </w:rPr>
              <w:t>8</w:t>
            </w:r>
            <w:r w:rsidRPr="003445F5">
              <w:rPr>
                <w:szCs w:val="22"/>
                <w:lang w:val="sr-Latn-ME"/>
              </w:rPr>
              <w:t>0 mg u jednom danu)</w:t>
            </w:r>
          </w:p>
        </w:tc>
        <w:tc>
          <w:tcPr>
            <w:tcW w:w="1023" w:type="pct"/>
            <w:vAlign w:val="center"/>
          </w:tcPr>
          <w:p w14:paraId="0C05A024" w14:textId="68629665" w:rsidR="00AC03EB" w:rsidRPr="003445F5" w:rsidRDefault="00AC03EB" w:rsidP="00AC03EB">
            <w:pPr>
              <w:jc w:val="center"/>
              <w:rPr>
                <w:szCs w:val="22"/>
                <w:lang w:val="sr-Latn-ME"/>
              </w:rPr>
            </w:pPr>
            <w:r w:rsidRPr="003445F5">
              <w:rPr>
                <w:szCs w:val="22"/>
                <w:lang w:val="sr-Latn-ME"/>
              </w:rPr>
              <w:t xml:space="preserve">80 mg svake druge </w:t>
            </w:r>
            <w:r w:rsidR="00551F1D" w:rsidRPr="003445F5">
              <w:rPr>
                <w:szCs w:val="22"/>
                <w:lang w:val="sr-Latn-ME"/>
              </w:rPr>
              <w:t>nedjelj</w:t>
            </w:r>
            <w:r w:rsidR="0047711E" w:rsidRPr="003445F5">
              <w:rPr>
                <w:szCs w:val="22"/>
                <w:lang w:val="sr-Latn-ME"/>
              </w:rPr>
              <w:t>e</w:t>
            </w:r>
          </w:p>
        </w:tc>
      </w:tr>
    </w:tbl>
    <w:p w14:paraId="1D37624B" w14:textId="2D113C86" w:rsidR="00894E14" w:rsidRPr="003445F5" w:rsidRDefault="00894E14" w:rsidP="00894E14">
      <w:pPr>
        <w:rPr>
          <w:szCs w:val="22"/>
          <w:lang w:val="sr-Latn-ME"/>
        </w:rPr>
      </w:pPr>
      <w:r w:rsidRPr="003445F5">
        <w:rPr>
          <w:szCs w:val="22"/>
          <w:lang w:val="sr-Latn-ME"/>
        </w:rPr>
        <w:t>* Pedijatrijski pacijenti koji napune 18 godina dok su na l</w:t>
      </w:r>
      <w:r w:rsidR="00D54545" w:rsidRPr="003445F5">
        <w:rPr>
          <w:szCs w:val="22"/>
          <w:lang w:val="sr-Latn-ME"/>
        </w:rPr>
        <w:t>ij</w:t>
      </w:r>
      <w:r w:rsidRPr="003445F5">
        <w:rPr>
          <w:szCs w:val="22"/>
          <w:lang w:val="sr-Latn-ME"/>
        </w:rPr>
        <w:t>eku Hukyndra treba da nastave sa propisanom dozom održavanja.</w:t>
      </w:r>
    </w:p>
    <w:p w14:paraId="70C2ABC3" w14:textId="77777777" w:rsidR="00894E14" w:rsidRPr="003445F5" w:rsidRDefault="00894E14" w:rsidP="00894E14">
      <w:pPr>
        <w:rPr>
          <w:b/>
          <w:bCs/>
          <w:szCs w:val="22"/>
          <w:lang w:val="sr-Latn-ME"/>
        </w:rPr>
      </w:pPr>
    </w:p>
    <w:p w14:paraId="774453D8" w14:textId="29308625" w:rsidR="00894E14" w:rsidRPr="003445F5" w:rsidRDefault="00894E14" w:rsidP="00894E14">
      <w:pPr>
        <w:rPr>
          <w:szCs w:val="22"/>
          <w:lang w:val="sr-Latn-ME"/>
        </w:rPr>
      </w:pPr>
      <w:r w:rsidRPr="003445F5">
        <w:rPr>
          <w:szCs w:val="22"/>
          <w:lang w:val="sr-Latn-ME"/>
        </w:rPr>
        <w:t xml:space="preserve">Ukoliko pacijent ne postigne terapijski odgovor do 8 </w:t>
      </w:r>
      <w:r w:rsidR="00551F1D" w:rsidRPr="003445F5">
        <w:rPr>
          <w:szCs w:val="22"/>
          <w:lang w:val="sr-Latn-ME"/>
        </w:rPr>
        <w:t>nedjelj</w:t>
      </w:r>
      <w:r w:rsidR="0047711E" w:rsidRPr="003445F5">
        <w:rPr>
          <w:szCs w:val="22"/>
          <w:lang w:val="sr-Latn-ME"/>
        </w:rPr>
        <w:t>e</w:t>
      </w:r>
      <w:r w:rsidRPr="003445F5">
        <w:rPr>
          <w:szCs w:val="22"/>
          <w:lang w:val="sr-Latn-ME"/>
        </w:rPr>
        <w:t xml:space="preserve">, nastavak terapije nakon tog perioda potrebno je pažljivo razmotriti. </w:t>
      </w:r>
    </w:p>
    <w:p w14:paraId="135176FD" w14:textId="77777777" w:rsidR="00894E14" w:rsidRPr="003445F5" w:rsidRDefault="00894E14" w:rsidP="00894E14">
      <w:pPr>
        <w:rPr>
          <w:szCs w:val="22"/>
          <w:lang w:val="sr-Latn-ME"/>
        </w:rPr>
      </w:pPr>
    </w:p>
    <w:p w14:paraId="374E8294" w14:textId="77777777" w:rsidR="00894E14" w:rsidRPr="003445F5" w:rsidRDefault="00894E14" w:rsidP="00894E14">
      <w:pPr>
        <w:rPr>
          <w:szCs w:val="22"/>
          <w:lang w:val="sr-Latn-ME"/>
        </w:rPr>
      </w:pPr>
      <w:r w:rsidRPr="003445F5">
        <w:rPr>
          <w:szCs w:val="22"/>
          <w:lang w:val="sr-Latn-ME"/>
        </w:rPr>
        <w:t>Nema relevantne primjene lijeka Hukyndra kod djece mlađe od 6 godina u ovoj indikaciji.</w:t>
      </w:r>
    </w:p>
    <w:p w14:paraId="0CE2C52C" w14:textId="72B2EAC5" w:rsidR="00171738" w:rsidRPr="003445F5" w:rsidRDefault="00171738" w:rsidP="00524FDF">
      <w:pPr>
        <w:rPr>
          <w:szCs w:val="22"/>
          <w:lang w:val="sr-Latn-ME"/>
        </w:rPr>
      </w:pPr>
    </w:p>
    <w:p w14:paraId="7E43D40E" w14:textId="514C0130" w:rsidR="00171738" w:rsidRPr="003445F5" w:rsidRDefault="00171738" w:rsidP="00524FDF">
      <w:pPr>
        <w:rPr>
          <w:i/>
          <w:iCs/>
          <w:szCs w:val="22"/>
          <w:u w:val="single"/>
          <w:lang w:val="sr-Latn-ME"/>
        </w:rPr>
      </w:pPr>
      <w:r w:rsidRPr="003445F5">
        <w:rPr>
          <w:i/>
          <w:iCs/>
          <w:szCs w:val="22"/>
          <w:u w:val="single"/>
          <w:lang w:val="sr-Latn-ME"/>
        </w:rPr>
        <w:t>Pedijatrijski uveitis</w:t>
      </w:r>
    </w:p>
    <w:p w14:paraId="6BD676BC" w14:textId="77777777" w:rsidR="00171738" w:rsidRPr="003445F5" w:rsidRDefault="00171738" w:rsidP="00524FDF">
      <w:pPr>
        <w:rPr>
          <w:i/>
          <w:iCs/>
          <w:szCs w:val="22"/>
          <w:lang w:val="sr-Latn-ME"/>
        </w:rPr>
      </w:pPr>
    </w:p>
    <w:p w14:paraId="208B4B90" w14:textId="4264326B" w:rsidR="0026369B" w:rsidRPr="003445F5" w:rsidRDefault="0026369B" w:rsidP="0026369B">
      <w:pPr>
        <w:rPr>
          <w:szCs w:val="22"/>
          <w:lang w:val="sr-Latn-ME"/>
        </w:rPr>
      </w:pPr>
      <w:r w:rsidRPr="003445F5">
        <w:rPr>
          <w:szCs w:val="22"/>
          <w:lang w:val="sr-Latn-ME"/>
        </w:rPr>
        <w:t xml:space="preserve">Preporučena doza lijeka Hukyndra kod pedijatrijskih pacijenata sa uveitisom uzrasta od 2 i više godina određuje se na osnovu tjelesne mase (Tabela </w:t>
      </w:r>
      <w:r w:rsidR="000C0DE7" w:rsidRPr="003445F5">
        <w:rPr>
          <w:szCs w:val="22"/>
          <w:lang w:val="sr-Latn-ME"/>
        </w:rPr>
        <w:t>3</w:t>
      </w:r>
      <w:r w:rsidRPr="003445F5">
        <w:rPr>
          <w:szCs w:val="22"/>
          <w:lang w:val="sr-Latn-ME"/>
        </w:rPr>
        <w:t xml:space="preserve">). Lijek Hukyndra se primjenjuje supkutanom injekcijom. </w:t>
      </w:r>
    </w:p>
    <w:p w14:paraId="1ADEA270" w14:textId="77777777" w:rsidR="0026369B" w:rsidRPr="003445F5" w:rsidRDefault="0026369B" w:rsidP="0026369B">
      <w:pPr>
        <w:rPr>
          <w:szCs w:val="22"/>
          <w:lang w:val="sr-Latn-ME"/>
        </w:rPr>
      </w:pPr>
    </w:p>
    <w:p w14:paraId="6A0A7555" w14:textId="77777777" w:rsidR="0026369B" w:rsidRPr="003445F5" w:rsidRDefault="0026369B" w:rsidP="0026369B">
      <w:pPr>
        <w:rPr>
          <w:szCs w:val="22"/>
          <w:lang w:val="sr-Latn-ME"/>
        </w:rPr>
      </w:pPr>
      <w:r w:rsidRPr="003445F5">
        <w:rPr>
          <w:szCs w:val="22"/>
          <w:lang w:val="sr-Latn-ME"/>
        </w:rPr>
        <w:t>Kod pedijatrijskih pacijenata sa uveitisom, nema dovoljno podataka o primjeni adalimumaba bez istovremene primjene metotreksata.</w:t>
      </w:r>
    </w:p>
    <w:p w14:paraId="3BD5871C" w14:textId="77777777" w:rsidR="003B3F93" w:rsidRPr="003445F5" w:rsidRDefault="003B3F93" w:rsidP="00704956">
      <w:pPr>
        <w:rPr>
          <w:szCs w:val="22"/>
          <w:lang w:val="sr-Latn-ME"/>
        </w:rPr>
      </w:pPr>
    </w:p>
    <w:p w14:paraId="09AD0242" w14:textId="141C52E4" w:rsidR="003B3F93" w:rsidRPr="003445F5" w:rsidRDefault="003B3F93" w:rsidP="003B3F93">
      <w:pPr>
        <w:rPr>
          <w:b/>
          <w:bCs/>
          <w:szCs w:val="22"/>
          <w:lang w:val="sr-Latn-ME"/>
        </w:rPr>
      </w:pPr>
      <w:r w:rsidRPr="003445F5">
        <w:rPr>
          <w:b/>
          <w:bCs/>
          <w:szCs w:val="22"/>
          <w:lang w:val="sr-Latn-ME"/>
        </w:rPr>
        <w:t xml:space="preserve">Tabela 3. Doza adalimumaba </w:t>
      </w:r>
      <w:r w:rsidR="00D5046A" w:rsidRPr="003445F5">
        <w:rPr>
          <w:b/>
          <w:bCs/>
          <w:szCs w:val="22"/>
          <w:lang w:val="sr-Latn-ME"/>
        </w:rPr>
        <w:t xml:space="preserve">kod </w:t>
      </w:r>
      <w:r w:rsidRPr="003445F5">
        <w:rPr>
          <w:b/>
          <w:bCs/>
          <w:szCs w:val="22"/>
          <w:lang w:val="sr-Latn-ME"/>
        </w:rPr>
        <w:t>pedijatrijsk</w:t>
      </w:r>
      <w:r w:rsidR="00D5046A" w:rsidRPr="003445F5">
        <w:rPr>
          <w:b/>
          <w:bCs/>
          <w:szCs w:val="22"/>
          <w:lang w:val="sr-Latn-ME"/>
        </w:rPr>
        <w:t>ih</w:t>
      </w:r>
      <w:r w:rsidRPr="003445F5">
        <w:rPr>
          <w:b/>
          <w:bCs/>
          <w:szCs w:val="22"/>
          <w:lang w:val="sr-Latn-ME"/>
        </w:rPr>
        <w:t xml:space="preserve"> pacijen</w:t>
      </w:r>
      <w:r w:rsidR="00D5046A" w:rsidRPr="003445F5">
        <w:rPr>
          <w:b/>
          <w:bCs/>
          <w:szCs w:val="22"/>
          <w:lang w:val="sr-Latn-ME"/>
        </w:rPr>
        <w:t>ata</w:t>
      </w:r>
      <w:r w:rsidRPr="003445F5">
        <w:rPr>
          <w:b/>
          <w:bCs/>
          <w:szCs w:val="22"/>
          <w:lang w:val="sr-Latn-ME"/>
        </w:rPr>
        <w:t xml:space="preserve"> sa uveitisom</w:t>
      </w:r>
    </w:p>
    <w:p w14:paraId="15DCEBE5" w14:textId="77777777" w:rsidR="00FF4118" w:rsidRPr="003445F5" w:rsidRDefault="00FF4118" w:rsidP="00FF4118">
      <w:pPr>
        <w:rPr>
          <w:b/>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398"/>
        <w:gridCol w:w="5619"/>
      </w:tblGrid>
      <w:tr w:rsidR="00FF4118" w:rsidRPr="003445F5" w14:paraId="11EA0050" w14:textId="77777777" w:rsidTr="00587744">
        <w:trPr>
          <w:trHeight w:val="20"/>
        </w:trPr>
        <w:tc>
          <w:tcPr>
            <w:tcW w:w="1884" w:type="pct"/>
            <w:tcBorders>
              <w:top w:val="single" w:sz="4" w:space="0" w:color="FFFFFF" w:themeColor="background1"/>
              <w:left w:val="single" w:sz="4" w:space="0" w:color="FFFFFF" w:themeColor="background1"/>
              <w:right w:val="single" w:sz="4" w:space="0" w:color="FFFFFF" w:themeColor="background1"/>
            </w:tcBorders>
            <w:vAlign w:val="center"/>
          </w:tcPr>
          <w:p w14:paraId="57526B15" w14:textId="38A16B42" w:rsidR="00FF4118" w:rsidRPr="003445F5" w:rsidRDefault="00FF4118" w:rsidP="00704956">
            <w:pPr>
              <w:jc w:val="center"/>
              <w:rPr>
                <w:b/>
                <w:bCs/>
                <w:szCs w:val="22"/>
                <w:lang w:val="sr-Latn-ME"/>
              </w:rPr>
            </w:pPr>
            <w:r w:rsidRPr="003445F5">
              <w:rPr>
                <w:b/>
                <w:bCs/>
                <w:szCs w:val="22"/>
                <w:lang w:val="sr-Latn-ME"/>
              </w:rPr>
              <w:t>T</w:t>
            </w:r>
            <w:r w:rsidR="00587744" w:rsidRPr="003445F5">
              <w:rPr>
                <w:b/>
                <w:bCs/>
                <w:szCs w:val="22"/>
                <w:lang w:val="sr-Latn-ME"/>
              </w:rPr>
              <w:t>j</w:t>
            </w:r>
            <w:r w:rsidRPr="003445F5">
              <w:rPr>
                <w:b/>
                <w:bCs/>
                <w:szCs w:val="22"/>
                <w:lang w:val="sr-Latn-ME"/>
              </w:rPr>
              <w:t>elesna masa pacijenta</w:t>
            </w:r>
          </w:p>
        </w:tc>
        <w:tc>
          <w:tcPr>
            <w:tcW w:w="3116" w:type="pct"/>
            <w:tcBorders>
              <w:top w:val="single" w:sz="4" w:space="0" w:color="FFFFFF" w:themeColor="background1"/>
              <w:left w:val="single" w:sz="4" w:space="0" w:color="FFFFFF" w:themeColor="background1"/>
              <w:right w:val="single" w:sz="4" w:space="0" w:color="FFFFFF" w:themeColor="background1"/>
            </w:tcBorders>
            <w:vAlign w:val="center"/>
          </w:tcPr>
          <w:p w14:paraId="0FE2FBFE" w14:textId="77777777" w:rsidR="00FF4118" w:rsidRPr="003445F5" w:rsidRDefault="00FF4118" w:rsidP="00704956">
            <w:pPr>
              <w:jc w:val="center"/>
              <w:rPr>
                <w:b/>
                <w:bCs/>
                <w:szCs w:val="22"/>
                <w:lang w:val="sr-Latn-ME"/>
              </w:rPr>
            </w:pPr>
            <w:r w:rsidRPr="003445F5">
              <w:rPr>
                <w:b/>
                <w:bCs/>
                <w:szCs w:val="22"/>
                <w:lang w:val="sr-Latn-ME"/>
              </w:rPr>
              <w:t>Režim doziranja</w:t>
            </w:r>
          </w:p>
        </w:tc>
      </w:tr>
      <w:tr w:rsidR="00FF4118" w:rsidRPr="003445F5" w14:paraId="5E99AE0D" w14:textId="77777777" w:rsidTr="00587744">
        <w:trPr>
          <w:trHeight w:val="20"/>
        </w:trPr>
        <w:tc>
          <w:tcPr>
            <w:tcW w:w="1884" w:type="pct"/>
            <w:tcBorders>
              <w:left w:val="single" w:sz="4" w:space="0" w:color="FFFFFF" w:themeColor="background1"/>
              <w:right w:val="single" w:sz="4" w:space="0" w:color="FFFFFF" w:themeColor="background1"/>
            </w:tcBorders>
            <w:vAlign w:val="center"/>
          </w:tcPr>
          <w:p w14:paraId="591ACA03" w14:textId="77777777" w:rsidR="00FF4118" w:rsidRPr="003445F5" w:rsidRDefault="00FF4118" w:rsidP="00704956">
            <w:pPr>
              <w:jc w:val="center"/>
              <w:rPr>
                <w:b/>
                <w:bCs/>
                <w:szCs w:val="22"/>
                <w:lang w:val="sr-Latn-ME"/>
              </w:rPr>
            </w:pPr>
            <w:r w:rsidRPr="003445F5">
              <w:rPr>
                <w:szCs w:val="22"/>
                <w:lang w:val="sr-Latn-ME"/>
              </w:rPr>
              <w:t>&lt; 30 kg</w:t>
            </w:r>
          </w:p>
        </w:tc>
        <w:tc>
          <w:tcPr>
            <w:tcW w:w="3116" w:type="pct"/>
            <w:tcBorders>
              <w:left w:val="single" w:sz="4" w:space="0" w:color="FFFFFF" w:themeColor="background1"/>
              <w:right w:val="single" w:sz="4" w:space="0" w:color="FFFFFF" w:themeColor="background1"/>
            </w:tcBorders>
            <w:vAlign w:val="center"/>
          </w:tcPr>
          <w:p w14:paraId="73C4C3D5" w14:textId="77777777" w:rsidR="00FF4118" w:rsidRPr="003445F5" w:rsidRDefault="00FF4118" w:rsidP="00704956">
            <w:pPr>
              <w:jc w:val="center"/>
              <w:rPr>
                <w:b/>
                <w:bCs/>
                <w:szCs w:val="22"/>
                <w:lang w:val="sr-Latn-ME"/>
              </w:rPr>
            </w:pPr>
            <w:r w:rsidRPr="003445F5">
              <w:rPr>
                <w:szCs w:val="22"/>
                <w:lang w:val="sr-Latn-ME"/>
              </w:rPr>
              <w:t>–</w:t>
            </w:r>
          </w:p>
        </w:tc>
      </w:tr>
      <w:tr w:rsidR="00FF4118" w:rsidRPr="003445F5" w14:paraId="129A02D9" w14:textId="77777777" w:rsidTr="00587744">
        <w:trPr>
          <w:trHeight w:val="20"/>
        </w:trPr>
        <w:tc>
          <w:tcPr>
            <w:tcW w:w="1884" w:type="pct"/>
            <w:tcBorders>
              <w:left w:val="single" w:sz="4" w:space="0" w:color="FFFFFF" w:themeColor="background1"/>
              <w:right w:val="single" w:sz="4" w:space="0" w:color="FFFFFF" w:themeColor="background1"/>
            </w:tcBorders>
            <w:vAlign w:val="center"/>
          </w:tcPr>
          <w:p w14:paraId="48B70350" w14:textId="77777777" w:rsidR="00FF4118" w:rsidRPr="003445F5" w:rsidRDefault="00FF4118" w:rsidP="00704956">
            <w:pPr>
              <w:jc w:val="center"/>
              <w:rPr>
                <w:b/>
                <w:bCs/>
                <w:szCs w:val="22"/>
                <w:lang w:val="sr-Latn-ME"/>
              </w:rPr>
            </w:pPr>
            <w:r w:rsidRPr="003445F5">
              <w:rPr>
                <w:szCs w:val="22"/>
                <w:lang w:val="sr-Latn-ME"/>
              </w:rPr>
              <w:t>≥ 30 kg</w:t>
            </w:r>
          </w:p>
        </w:tc>
        <w:tc>
          <w:tcPr>
            <w:tcW w:w="3116" w:type="pct"/>
            <w:tcBorders>
              <w:left w:val="single" w:sz="4" w:space="0" w:color="FFFFFF" w:themeColor="background1"/>
              <w:right w:val="single" w:sz="4" w:space="0" w:color="FFFFFF" w:themeColor="background1"/>
            </w:tcBorders>
            <w:vAlign w:val="center"/>
          </w:tcPr>
          <w:p w14:paraId="3006DEB1" w14:textId="45971108" w:rsidR="00FF4118" w:rsidRPr="003445F5" w:rsidRDefault="00FF4118" w:rsidP="00704956">
            <w:pPr>
              <w:jc w:val="center"/>
              <w:rPr>
                <w:b/>
                <w:bCs/>
                <w:szCs w:val="22"/>
                <w:lang w:val="sr-Latn-ME"/>
              </w:rPr>
            </w:pPr>
            <w:r w:rsidRPr="003445F5">
              <w:rPr>
                <w:szCs w:val="22"/>
                <w:lang w:val="sr-Latn-ME"/>
              </w:rPr>
              <w:t xml:space="preserve">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u kombinaciji sa metotreksatom</w:t>
            </w:r>
          </w:p>
        </w:tc>
      </w:tr>
    </w:tbl>
    <w:p w14:paraId="396BEA71" w14:textId="77777777" w:rsidR="00FF4118" w:rsidRPr="003445F5" w:rsidRDefault="00FF4118" w:rsidP="00FF4118">
      <w:pPr>
        <w:rPr>
          <w:szCs w:val="22"/>
          <w:lang w:val="sr-Latn-ME"/>
        </w:rPr>
      </w:pPr>
    </w:p>
    <w:p w14:paraId="1E601B0B" w14:textId="6D4F4DF5" w:rsidR="00405C94" w:rsidRPr="003445F5" w:rsidRDefault="00405C94" w:rsidP="00405C94">
      <w:pPr>
        <w:rPr>
          <w:szCs w:val="22"/>
          <w:lang w:val="sr-Latn-ME"/>
        </w:rPr>
      </w:pPr>
      <w:r w:rsidRPr="003445F5">
        <w:rPr>
          <w:szCs w:val="22"/>
          <w:lang w:val="sr-Latn-ME"/>
        </w:rPr>
        <w:t>Kad se uvodi terapija lijekom Hukyndra može se primijeniti udarna doza od 40 mg kod pacijenata tjelesne mase &lt; 30 kg ili 80 mg kod pacijenata tjelesne mase ≥ 30 kg nedjelju dana prije početka terapije održavanja. Nisu dostupni klinički podaci o primjeni udarne doze adalimumaba kod djece uzrasta &lt; 6 godina (</w:t>
      </w:r>
      <w:r w:rsidR="007E1F86" w:rsidRPr="003445F5">
        <w:rPr>
          <w:szCs w:val="22"/>
          <w:lang w:val="sr-Latn-ME"/>
        </w:rPr>
        <w:t>pogledati dio</w:t>
      </w:r>
      <w:r w:rsidRPr="003445F5">
        <w:rPr>
          <w:szCs w:val="22"/>
          <w:lang w:val="sr-Latn-ME"/>
        </w:rPr>
        <w:t xml:space="preserve"> 5.2). </w:t>
      </w:r>
    </w:p>
    <w:p w14:paraId="67FA483D" w14:textId="77777777" w:rsidR="00405C94" w:rsidRPr="003445F5" w:rsidRDefault="00405C94" w:rsidP="00405C94">
      <w:pPr>
        <w:rPr>
          <w:szCs w:val="22"/>
          <w:lang w:val="sr-Latn-ME"/>
        </w:rPr>
      </w:pPr>
    </w:p>
    <w:p w14:paraId="07B244CC" w14:textId="77777777" w:rsidR="00405C94" w:rsidRPr="003445F5" w:rsidRDefault="00405C94" w:rsidP="00405C94">
      <w:pPr>
        <w:rPr>
          <w:szCs w:val="22"/>
          <w:lang w:val="sr-Latn-ME"/>
        </w:rPr>
      </w:pPr>
      <w:r w:rsidRPr="003445F5">
        <w:rPr>
          <w:szCs w:val="22"/>
          <w:lang w:val="sr-Latn-ME"/>
        </w:rPr>
        <w:t xml:space="preserve">Nema relevantne primjene lijeka adalimumab kod djece mlađe od 2 godine u ovoj indikaciji. </w:t>
      </w:r>
    </w:p>
    <w:p w14:paraId="5D060A84" w14:textId="77777777" w:rsidR="00405C94" w:rsidRPr="003445F5" w:rsidRDefault="00405C94" w:rsidP="00405C94">
      <w:pPr>
        <w:rPr>
          <w:szCs w:val="22"/>
          <w:lang w:val="sr-Latn-ME"/>
        </w:rPr>
      </w:pPr>
    </w:p>
    <w:p w14:paraId="4BCE63F0" w14:textId="2DDE04D9" w:rsidR="00405C94" w:rsidRPr="003445F5" w:rsidRDefault="00405C94" w:rsidP="00405C94">
      <w:pPr>
        <w:rPr>
          <w:szCs w:val="22"/>
          <w:lang w:val="sr-Latn-ME"/>
        </w:rPr>
      </w:pPr>
      <w:r w:rsidRPr="003445F5">
        <w:rPr>
          <w:szCs w:val="22"/>
          <w:lang w:val="sr-Latn-ME"/>
        </w:rPr>
        <w:t>Preporučuje se da se svake godine ocjeni odnos koristi i rizika kontinuirane dugotrajne terapije (</w:t>
      </w:r>
      <w:r w:rsidR="007E1F86" w:rsidRPr="003445F5">
        <w:rPr>
          <w:szCs w:val="22"/>
          <w:lang w:val="sr-Latn-ME"/>
        </w:rPr>
        <w:t>pogledati dio</w:t>
      </w:r>
      <w:r w:rsidRPr="003445F5">
        <w:rPr>
          <w:szCs w:val="22"/>
          <w:lang w:val="sr-Latn-ME"/>
        </w:rPr>
        <w:t xml:space="preserve"> 5.1). </w:t>
      </w:r>
    </w:p>
    <w:p w14:paraId="3C7BAD67" w14:textId="77777777" w:rsidR="00171738" w:rsidRPr="003445F5" w:rsidRDefault="00171738" w:rsidP="00524FDF">
      <w:pPr>
        <w:rPr>
          <w:szCs w:val="22"/>
          <w:lang w:val="sr-Latn-ME"/>
        </w:rPr>
      </w:pPr>
    </w:p>
    <w:p w14:paraId="2BCE8305" w14:textId="34D9D2E3" w:rsidR="00B076A7" w:rsidRPr="003445F5" w:rsidRDefault="00B076A7" w:rsidP="00524FDF">
      <w:pPr>
        <w:rPr>
          <w:szCs w:val="22"/>
          <w:u w:val="single"/>
          <w:lang w:val="sr-Latn-ME"/>
        </w:rPr>
      </w:pPr>
      <w:r w:rsidRPr="003445F5">
        <w:rPr>
          <w:szCs w:val="22"/>
          <w:u w:val="single"/>
          <w:lang w:val="sr-Latn-ME"/>
        </w:rPr>
        <w:t>Način prim</w:t>
      </w:r>
      <w:r w:rsidR="00405C94" w:rsidRPr="003445F5">
        <w:rPr>
          <w:szCs w:val="22"/>
          <w:u w:val="single"/>
          <w:lang w:val="sr-Latn-ME"/>
        </w:rPr>
        <w:t>j</w:t>
      </w:r>
      <w:r w:rsidRPr="003445F5">
        <w:rPr>
          <w:szCs w:val="22"/>
          <w:u w:val="single"/>
          <w:lang w:val="sr-Latn-ME"/>
        </w:rPr>
        <w:t xml:space="preserve">ene </w:t>
      </w:r>
    </w:p>
    <w:p w14:paraId="0D1B6989" w14:textId="77777777" w:rsidR="00B076A7" w:rsidRPr="003445F5" w:rsidRDefault="00B076A7" w:rsidP="00524FDF">
      <w:pPr>
        <w:rPr>
          <w:szCs w:val="22"/>
          <w:lang w:val="sr-Latn-ME"/>
        </w:rPr>
      </w:pPr>
    </w:p>
    <w:p w14:paraId="6EB071C4" w14:textId="77777777" w:rsidR="00C003FD" w:rsidRPr="003445F5" w:rsidRDefault="00C003FD" w:rsidP="00C003FD">
      <w:pPr>
        <w:rPr>
          <w:szCs w:val="22"/>
          <w:lang w:val="sr-Latn-ME"/>
        </w:rPr>
      </w:pPr>
      <w:r w:rsidRPr="003445F5">
        <w:rPr>
          <w:szCs w:val="22"/>
          <w:lang w:val="sr-Latn-ME"/>
        </w:rPr>
        <w:lastRenderedPageBreak/>
        <w:t xml:space="preserve">Lijek Hukyndra se primjenjuje supkutanom injekcijom. Detaljne instrukcije za primjenu nalaze se u Uputstvu za lijek. </w:t>
      </w:r>
    </w:p>
    <w:p w14:paraId="02095E06" w14:textId="77777777" w:rsidR="00C003FD" w:rsidRPr="003445F5" w:rsidRDefault="00C003FD" w:rsidP="00C003FD">
      <w:pPr>
        <w:rPr>
          <w:szCs w:val="22"/>
          <w:lang w:val="sr-Latn-ME"/>
        </w:rPr>
      </w:pPr>
    </w:p>
    <w:p w14:paraId="3C68BC5C" w14:textId="77777777" w:rsidR="00C003FD" w:rsidRPr="003445F5" w:rsidRDefault="00C003FD" w:rsidP="00C003FD">
      <w:pPr>
        <w:rPr>
          <w:szCs w:val="22"/>
          <w:lang w:val="sr-Latn-ME"/>
        </w:rPr>
      </w:pPr>
      <w:r w:rsidRPr="003445F5">
        <w:rPr>
          <w:szCs w:val="22"/>
          <w:lang w:val="sr-Latn-ME"/>
        </w:rPr>
        <w:t>Lijek Hukyndra je dostupan samo kao napunjeni injekcioni špric od 40 mg, napunjeni injekcioni pen od 40 mg i napunjen injekcioni špric od 80 mg. Stoga, nije moguće primijeniti lijek Hukyndra kod pacijenata kojima je potrebna manja doza od 40 mg. Ako je potrebna alternativna doza, treba koristiti druge ljekove koji sadrže adalimumab i omogućavaju primjenu odgovarajuće doze.</w:t>
      </w:r>
    </w:p>
    <w:p w14:paraId="55C3F686" w14:textId="77777777" w:rsidR="00171738" w:rsidRPr="003445F5" w:rsidRDefault="00171738" w:rsidP="00524FDF">
      <w:pPr>
        <w:rPr>
          <w:b/>
          <w:bCs/>
          <w:szCs w:val="22"/>
          <w:lang w:val="sr-Latn-ME"/>
        </w:rPr>
      </w:pPr>
    </w:p>
    <w:p w14:paraId="072D43C2" w14:textId="77777777" w:rsidR="00CE09F3" w:rsidRPr="003445F5" w:rsidRDefault="00CE09F3" w:rsidP="00524FDF">
      <w:pPr>
        <w:rPr>
          <w:b/>
          <w:bCs/>
          <w:szCs w:val="22"/>
          <w:lang w:val="sr-Latn-ME"/>
        </w:rPr>
      </w:pPr>
      <w:r w:rsidRPr="003445F5">
        <w:rPr>
          <w:b/>
          <w:bCs/>
          <w:szCs w:val="22"/>
          <w:lang w:val="sr-Latn-ME"/>
        </w:rPr>
        <w:t>4.3. Kontraindikacije</w:t>
      </w:r>
    </w:p>
    <w:p w14:paraId="072D43C3" w14:textId="409FEF9E" w:rsidR="00CE09F3" w:rsidRPr="003445F5" w:rsidRDefault="00CE09F3" w:rsidP="00524FDF">
      <w:pPr>
        <w:rPr>
          <w:szCs w:val="22"/>
          <w:lang w:val="sr-Latn-ME"/>
        </w:rPr>
      </w:pPr>
    </w:p>
    <w:p w14:paraId="1ED81092" w14:textId="77777777" w:rsidR="00D669A5" w:rsidRPr="003445F5" w:rsidRDefault="00D669A5" w:rsidP="00D669A5">
      <w:pPr>
        <w:pStyle w:val="ListParagraph"/>
        <w:numPr>
          <w:ilvl w:val="0"/>
          <w:numId w:val="5"/>
        </w:numPr>
        <w:tabs>
          <w:tab w:val="clear" w:pos="284"/>
        </w:tabs>
        <w:ind w:left="360"/>
        <w:rPr>
          <w:szCs w:val="22"/>
          <w:lang w:val="sr-Latn-ME"/>
        </w:rPr>
      </w:pPr>
      <w:r w:rsidRPr="003445F5">
        <w:rPr>
          <w:szCs w:val="22"/>
          <w:lang w:val="sr-Latn-ME"/>
        </w:rPr>
        <w:t xml:space="preserve">Preosjetljivost na aktivnu supstancu ili na bilo koju od pomoćnih supstanci navedenih u dijelu 6.1. </w:t>
      </w:r>
    </w:p>
    <w:p w14:paraId="62006E8E" w14:textId="1ED2428C" w:rsidR="00D669A5" w:rsidRPr="003445F5" w:rsidRDefault="00D669A5" w:rsidP="00D669A5">
      <w:pPr>
        <w:pStyle w:val="ListParagraph"/>
        <w:numPr>
          <w:ilvl w:val="0"/>
          <w:numId w:val="5"/>
        </w:numPr>
        <w:tabs>
          <w:tab w:val="clear" w:pos="284"/>
        </w:tabs>
        <w:ind w:left="360"/>
        <w:rPr>
          <w:szCs w:val="22"/>
          <w:lang w:val="sr-Latn-ME"/>
        </w:rPr>
      </w:pPr>
      <w:r w:rsidRPr="003445F5">
        <w:rPr>
          <w:szCs w:val="22"/>
          <w:lang w:val="sr-Latn-ME"/>
        </w:rPr>
        <w:t>Aktivna tuberkuloza ili druge teške infekcije kao što su sepsa i oportunističke infekcije (</w:t>
      </w:r>
      <w:r w:rsidR="007E1F86" w:rsidRPr="003445F5">
        <w:rPr>
          <w:szCs w:val="22"/>
          <w:lang w:val="sr-Latn-ME"/>
        </w:rPr>
        <w:t>pogledati dio</w:t>
      </w:r>
      <w:r w:rsidRPr="003445F5">
        <w:rPr>
          <w:szCs w:val="22"/>
          <w:lang w:val="sr-Latn-ME"/>
        </w:rPr>
        <w:t xml:space="preserve"> 4.4). </w:t>
      </w:r>
    </w:p>
    <w:p w14:paraId="459E1C4C" w14:textId="23C2C85A" w:rsidR="00D669A5" w:rsidRPr="003445F5" w:rsidRDefault="00D669A5" w:rsidP="00D669A5">
      <w:pPr>
        <w:pStyle w:val="ListParagraph"/>
        <w:numPr>
          <w:ilvl w:val="0"/>
          <w:numId w:val="5"/>
        </w:numPr>
        <w:tabs>
          <w:tab w:val="clear" w:pos="284"/>
        </w:tabs>
        <w:ind w:left="360"/>
        <w:rPr>
          <w:szCs w:val="22"/>
          <w:lang w:val="sr-Latn-ME"/>
        </w:rPr>
      </w:pPr>
      <w:r w:rsidRPr="003445F5">
        <w:rPr>
          <w:szCs w:val="22"/>
          <w:lang w:val="sr-Latn-ME"/>
        </w:rPr>
        <w:t>Umjerena do teška srčana insuficijencija (NYHA klasa III/IV) (</w:t>
      </w:r>
      <w:r w:rsidR="007E1F86" w:rsidRPr="003445F5">
        <w:rPr>
          <w:szCs w:val="22"/>
          <w:lang w:val="sr-Latn-ME"/>
        </w:rPr>
        <w:t>pogledati dio</w:t>
      </w:r>
      <w:r w:rsidRPr="003445F5">
        <w:rPr>
          <w:szCs w:val="22"/>
          <w:lang w:val="sr-Latn-ME"/>
        </w:rPr>
        <w:t xml:space="preserve"> 4.4).</w:t>
      </w:r>
    </w:p>
    <w:p w14:paraId="072D43C4" w14:textId="77777777" w:rsidR="00CE09F3" w:rsidRPr="003445F5" w:rsidRDefault="00CE09F3" w:rsidP="00524FDF">
      <w:pPr>
        <w:rPr>
          <w:szCs w:val="22"/>
          <w:lang w:val="sr-Latn-ME"/>
        </w:rPr>
      </w:pPr>
    </w:p>
    <w:p w14:paraId="072D43C5" w14:textId="0FBCFA18" w:rsidR="00CE09F3" w:rsidRPr="003445F5" w:rsidRDefault="00CE09F3" w:rsidP="00524FDF">
      <w:pPr>
        <w:rPr>
          <w:b/>
          <w:bCs/>
          <w:szCs w:val="22"/>
          <w:lang w:val="sr-Latn-ME"/>
        </w:rPr>
      </w:pPr>
      <w:r w:rsidRPr="003445F5">
        <w:rPr>
          <w:b/>
          <w:bCs/>
          <w:szCs w:val="22"/>
          <w:lang w:val="sr-Latn-ME"/>
        </w:rPr>
        <w:t>4.4. Posebna upozorenja i m</w:t>
      </w:r>
      <w:r w:rsidR="001119C7" w:rsidRPr="003445F5">
        <w:rPr>
          <w:b/>
          <w:bCs/>
          <w:szCs w:val="22"/>
          <w:lang w:val="sr-Latn-ME"/>
        </w:rPr>
        <w:t>j</w:t>
      </w:r>
      <w:r w:rsidRPr="003445F5">
        <w:rPr>
          <w:b/>
          <w:bCs/>
          <w:szCs w:val="22"/>
          <w:lang w:val="sr-Latn-ME"/>
        </w:rPr>
        <w:t xml:space="preserve">ere opreza pri upotrebi </w:t>
      </w:r>
      <w:r w:rsidR="007E1F86" w:rsidRPr="003445F5">
        <w:rPr>
          <w:b/>
          <w:bCs/>
          <w:szCs w:val="22"/>
          <w:lang w:val="sr-Latn-ME"/>
        </w:rPr>
        <w:t>lijeka</w:t>
      </w:r>
    </w:p>
    <w:p w14:paraId="014F62C5" w14:textId="77777777" w:rsidR="00B076A7" w:rsidRPr="003445F5" w:rsidRDefault="00B076A7" w:rsidP="00524FDF">
      <w:pPr>
        <w:rPr>
          <w:szCs w:val="22"/>
          <w:lang w:val="sr-Latn-ME"/>
        </w:rPr>
      </w:pPr>
    </w:p>
    <w:p w14:paraId="33F9F453" w14:textId="73BED5D2" w:rsidR="001D7000" w:rsidRPr="003445F5" w:rsidRDefault="001D7000" w:rsidP="001D7000">
      <w:pPr>
        <w:rPr>
          <w:szCs w:val="22"/>
          <w:u w:val="single"/>
          <w:lang w:val="sr-Latn-ME"/>
        </w:rPr>
      </w:pPr>
      <w:r w:rsidRPr="003445F5">
        <w:rPr>
          <w:szCs w:val="22"/>
          <w:u w:val="single"/>
          <w:lang w:val="sr-Latn-ME"/>
        </w:rPr>
        <w:t>Sl</w:t>
      </w:r>
      <w:r w:rsidR="006A25E7" w:rsidRPr="003445F5">
        <w:rPr>
          <w:szCs w:val="22"/>
          <w:u w:val="single"/>
          <w:lang w:val="sr-Latn-ME"/>
        </w:rPr>
        <w:t>j</w:t>
      </w:r>
      <w:r w:rsidRPr="003445F5">
        <w:rPr>
          <w:szCs w:val="22"/>
          <w:u w:val="single"/>
          <w:lang w:val="sr-Latn-ME"/>
        </w:rPr>
        <w:t xml:space="preserve">edljivost </w:t>
      </w:r>
    </w:p>
    <w:p w14:paraId="171EEA79" w14:textId="77777777" w:rsidR="001D7000" w:rsidRPr="003445F5" w:rsidRDefault="001D7000" w:rsidP="001D7000">
      <w:pPr>
        <w:rPr>
          <w:szCs w:val="22"/>
          <w:lang w:val="sr-Latn-ME"/>
        </w:rPr>
      </w:pPr>
    </w:p>
    <w:p w14:paraId="1815E107" w14:textId="3CB7FCBE" w:rsidR="001D7000" w:rsidRPr="003445F5" w:rsidRDefault="001D7000" w:rsidP="001D7000">
      <w:pPr>
        <w:rPr>
          <w:szCs w:val="22"/>
          <w:lang w:val="sr-Latn-ME"/>
        </w:rPr>
      </w:pPr>
      <w:r w:rsidRPr="003445F5">
        <w:rPr>
          <w:szCs w:val="22"/>
          <w:lang w:val="sr-Latn-ME"/>
        </w:rPr>
        <w:t>Kako bi se poboljšala sljedljivost bioloških ljekova, potrebno je jasno evidentirati naziv i broj serije primijenjenog lijeka</w:t>
      </w:r>
      <w:r w:rsidR="00654A76" w:rsidRPr="003445F5">
        <w:rPr>
          <w:szCs w:val="22"/>
          <w:lang w:val="sr-Latn-ME"/>
        </w:rPr>
        <w:t xml:space="preserve"> u zdravstvenom kartonu pacijenta.</w:t>
      </w:r>
    </w:p>
    <w:p w14:paraId="1A667E72" w14:textId="77777777" w:rsidR="001D7000" w:rsidRPr="003445F5" w:rsidRDefault="001D7000" w:rsidP="001D7000">
      <w:pPr>
        <w:rPr>
          <w:szCs w:val="22"/>
          <w:lang w:val="sr-Latn-ME"/>
        </w:rPr>
      </w:pPr>
    </w:p>
    <w:p w14:paraId="690D9807" w14:textId="77777777" w:rsidR="001D7000" w:rsidRPr="003445F5" w:rsidRDefault="001D7000" w:rsidP="001D7000">
      <w:pPr>
        <w:rPr>
          <w:szCs w:val="22"/>
          <w:u w:val="single"/>
          <w:lang w:val="sr-Latn-ME"/>
        </w:rPr>
      </w:pPr>
      <w:r w:rsidRPr="003445F5">
        <w:rPr>
          <w:szCs w:val="22"/>
          <w:u w:val="single"/>
          <w:lang w:val="sr-Latn-ME"/>
        </w:rPr>
        <w:t xml:space="preserve">Infekcije </w:t>
      </w:r>
    </w:p>
    <w:p w14:paraId="498E42B9" w14:textId="77777777" w:rsidR="001D7000" w:rsidRPr="003445F5" w:rsidRDefault="001D7000" w:rsidP="001D7000">
      <w:pPr>
        <w:rPr>
          <w:szCs w:val="22"/>
          <w:lang w:val="sr-Latn-ME"/>
        </w:rPr>
      </w:pPr>
    </w:p>
    <w:p w14:paraId="71A2888C" w14:textId="38D34884" w:rsidR="001D7000" w:rsidRPr="003445F5" w:rsidRDefault="001D7000" w:rsidP="001D7000">
      <w:pPr>
        <w:rPr>
          <w:szCs w:val="22"/>
          <w:lang w:val="sr-Latn-ME"/>
        </w:rPr>
      </w:pPr>
      <w:r w:rsidRPr="003445F5">
        <w:rPr>
          <w:szCs w:val="22"/>
          <w:lang w:val="sr-Latn-ME"/>
        </w:rPr>
        <w:t xml:space="preserve">Pacijenti koji primaju TNF antagoniste su podložniji ozbiljnim infekcijama. Oštećena funkcija pluća može povećati rizik od nastanka infekcija. Zbog toga je potrebno pažljivo pratiti pacijente prije, </w:t>
      </w:r>
      <w:r w:rsidR="00AC1691" w:rsidRPr="003445F5">
        <w:rPr>
          <w:szCs w:val="22"/>
          <w:lang w:val="sr-Latn-ME"/>
        </w:rPr>
        <w:t>za vrijeme</w:t>
      </w:r>
      <w:r w:rsidRPr="003445F5">
        <w:rPr>
          <w:szCs w:val="22"/>
          <w:lang w:val="sr-Latn-ME"/>
        </w:rPr>
        <w:t xml:space="preserve"> i nakon završetka terapije lijekom Hukyndra zbog moguće pojave infekcija, uključujući tuberkulozu. Budući da eliminacija adalimumaba može da traje i do četiri mjeseca, praćenje je potrebno nastaviti za vr</w:t>
      </w:r>
      <w:r w:rsidR="006A25E7" w:rsidRPr="003445F5">
        <w:rPr>
          <w:szCs w:val="22"/>
          <w:lang w:val="sr-Latn-ME"/>
        </w:rPr>
        <w:t>ij</w:t>
      </w:r>
      <w:r w:rsidRPr="003445F5">
        <w:rPr>
          <w:szCs w:val="22"/>
          <w:lang w:val="sr-Latn-ME"/>
        </w:rPr>
        <w:t>eme c</w:t>
      </w:r>
      <w:r w:rsidR="006A25E7" w:rsidRPr="003445F5">
        <w:rPr>
          <w:szCs w:val="22"/>
          <w:lang w:val="sr-Latn-ME"/>
        </w:rPr>
        <w:t>ij</w:t>
      </w:r>
      <w:r w:rsidRPr="003445F5">
        <w:rPr>
          <w:szCs w:val="22"/>
          <w:lang w:val="sr-Latn-ME"/>
        </w:rPr>
        <w:t xml:space="preserve">elog tog perioda. </w:t>
      </w:r>
    </w:p>
    <w:p w14:paraId="035D5ECB" w14:textId="77777777" w:rsidR="001D7000" w:rsidRPr="003445F5" w:rsidRDefault="001D7000" w:rsidP="001D7000">
      <w:pPr>
        <w:rPr>
          <w:szCs w:val="22"/>
          <w:lang w:val="sr-Latn-ME"/>
        </w:rPr>
      </w:pPr>
    </w:p>
    <w:p w14:paraId="300A5602" w14:textId="6D34D8AF" w:rsidR="001D7000" w:rsidRPr="003445F5" w:rsidRDefault="001D7000" w:rsidP="001D7000">
      <w:pPr>
        <w:rPr>
          <w:szCs w:val="22"/>
          <w:lang w:val="sr-Latn-ME"/>
        </w:rPr>
      </w:pPr>
      <w:r w:rsidRPr="003445F5">
        <w:rPr>
          <w:szCs w:val="22"/>
          <w:lang w:val="sr-Latn-ME"/>
        </w:rPr>
        <w:t>Terapija lijekom Hukyndra ne smije da se započne kod pacijenata sa aktivnim infekcijama, uključujući hronične ili lokalizovane infekcije, sve dok se te infekcije ne stave pod kontrolu. Kod pacijenata koji su bili izloženi tuberkulozi ili pacijenata koji su putovali u područja visokog rizika od tuberkuloze ili endemskih mikoza, kao što su histoplazmoza, kokcidioidomikoza ili blastomikoza, prije započinjanja terapije treba razmotriti rizike i prednosti liječenja lijekom Hukyndra (</w:t>
      </w:r>
      <w:r w:rsidR="006A25E7" w:rsidRPr="003445F5">
        <w:rPr>
          <w:szCs w:val="22"/>
          <w:lang w:val="sr-Latn-ME"/>
        </w:rPr>
        <w:t xml:space="preserve">pogledati </w:t>
      </w:r>
      <w:r w:rsidRPr="003445F5">
        <w:rPr>
          <w:i/>
          <w:iCs/>
          <w:szCs w:val="22"/>
          <w:lang w:val="sr-Latn-ME"/>
        </w:rPr>
        <w:t>Druge oportunističke infekcije</w:t>
      </w:r>
      <w:r w:rsidRPr="003445F5">
        <w:rPr>
          <w:szCs w:val="22"/>
          <w:lang w:val="sr-Latn-ME"/>
        </w:rPr>
        <w:t>).</w:t>
      </w:r>
    </w:p>
    <w:p w14:paraId="0384684A" w14:textId="77777777" w:rsidR="00F82C12" w:rsidRPr="003445F5" w:rsidRDefault="00F82C12" w:rsidP="00F82C12">
      <w:pPr>
        <w:rPr>
          <w:szCs w:val="22"/>
          <w:lang w:val="sr-Latn-ME"/>
        </w:rPr>
      </w:pPr>
    </w:p>
    <w:p w14:paraId="21ABC510" w14:textId="32942B1C" w:rsidR="00240507" w:rsidRPr="003445F5" w:rsidRDefault="00240507" w:rsidP="00240507">
      <w:pPr>
        <w:rPr>
          <w:szCs w:val="22"/>
          <w:lang w:val="sr-Latn-ME"/>
        </w:rPr>
      </w:pPr>
      <w:r w:rsidRPr="003445F5">
        <w:rPr>
          <w:szCs w:val="22"/>
          <w:lang w:val="sr-Latn-ME"/>
        </w:rPr>
        <w:t>Pacijente kod kojih se za vr</w:t>
      </w:r>
      <w:r w:rsidR="006A25E7" w:rsidRPr="003445F5">
        <w:rPr>
          <w:szCs w:val="22"/>
          <w:lang w:val="sr-Latn-ME"/>
        </w:rPr>
        <w:t>ij</w:t>
      </w:r>
      <w:r w:rsidRPr="003445F5">
        <w:rPr>
          <w:szCs w:val="22"/>
          <w:lang w:val="sr-Latn-ME"/>
        </w:rPr>
        <w:t xml:space="preserve">eme liječenja lijekom Hukyndra razviju nove infekcije potrebno je pažljivo pratiti i podvrgnuti kompletnoj dijagnostičkoj procjeni. Primjena lijeka Hukyndra mora da se obustavi ako pacijent razvije novu ozbiljnu infekciju ili sepsu i potrebno je započeti odgovarajuću antimikrobnu ili antifungalnu terapiju sve dok se infekcija ne stavi pod kontrolu. Ljekari treba oprezno da razmotre terapiju lijekom Hukyndra kod pacijenata sa ponavljajućim infekcijama u anamnezi ili postojećim oboljenjima koja pogoduju razvoju infekcija kod pacijenata, uključujući istovremenu primjenu imunosupresivnih ljekova. </w:t>
      </w:r>
    </w:p>
    <w:p w14:paraId="760DDF14" w14:textId="77777777" w:rsidR="00B076A7" w:rsidRPr="003445F5" w:rsidRDefault="00B076A7" w:rsidP="00524FDF">
      <w:pPr>
        <w:rPr>
          <w:szCs w:val="22"/>
          <w:lang w:val="sr-Latn-ME"/>
        </w:rPr>
      </w:pPr>
    </w:p>
    <w:p w14:paraId="151685F8" w14:textId="77777777" w:rsidR="00A27EDD" w:rsidRPr="003445F5" w:rsidRDefault="00A27EDD" w:rsidP="00A27EDD">
      <w:pPr>
        <w:rPr>
          <w:i/>
          <w:iCs/>
          <w:szCs w:val="22"/>
          <w:lang w:val="sr-Latn-ME"/>
        </w:rPr>
      </w:pPr>
      <w:r w:rsidRPr="003445F5">
        <w:rPr>
          <w:i/>
          <w:iCs/>
          <w:szCs w:val="22"/>
          <w:lang w:val="sr-Latn-ME"/>
        </w:rPr>
        <w:t xml:space="preserve">Ozbiljne infekcije </w:t>
      </w:r>
    </w:p>
    <w:p w14:paraId="0C70D971" w14:textId="77777777" w:rsidR="002E7088" w:rsidRPr="003445F5" w:rsidRDefault="002E7088" w:rsidP="002E7088">
      <w:pPr>
        <w:rPr>
          <w:szCs w:val="22"/>
          <w:lang w:val="sr-Latn-ME"/>
        </w:rPr>
      </w:pPr>
      <w:r w:rsidRPr="003445F5">
        <w:rPr>
          <w:szCs w:val="22"/>
          <w:lang w:val="sr-Latn-ME"/>
        </w:rPr>
        <w:t xml:space="preserve">Kod pacijenata koji su primali adalimumab zabilježene su ozbiljne infekcije, uključujući sepsu, uzrokovane bakterijama, mikobakterijama, invazivnim gljivicama, parazitima, virusima, ili druge oportunističke infekcije poput listerioze, legioneloze i pneumocistisa. </w:t>
      </w:r>
    </w:p>
    <w:p w14:paraId="60527C3F" w14:textId="77777777" w:rsidR="002E7088" w:rsidRPr="003445F5" w:rsidRDefault="002E7088" w:rsidP="002E7088">
      <w:pPr>
        <w:rPr>
          <w:szCs w:val="22"/>
          <w:lang w:val="sr-Latn-ME"/>
        </w:rPr>
      </w:pPr>
    </w:p>
    <w:p w14:paraId="57755F91" w14:textId="70E82C5D" w:rsidR="002E7088" w:rsidRPr="003445F5" w:rsidRDefault="002E7088" w:rsidP="002E7088">
      <w:pPr>
        <w:rPr>
          <w:szCs w:val="22"/>
          <w:lang w:val="sr-Latn-ME"/>
        </w:rPr>
      </w:pPr>
      <w:r w:rsidRPr="003445F5">
        <w:rPr>
          <w:szCs w:val="22"/>
          <w:lang w:val="sr-Latn-ME"/>
        </w:rPr>
        <w:t xml:space="preserve">Ostale ozbiljne infekcije </w:t>
      </w:r>
      <w:r w:rsidR="00704AF5" w:rsidRPr="003445F5">
        <w:rPr>
          <w:szCs w:val="22"/>
          <w:lang w:val="sr-Latn-ME"/>
        </w:rPr>
        <w:t>primijećene</w:t>
      </w:r>
      <w:r w:rsidRPr="003445F5">
        <w:rPr>
          <w:szCs w:val="22"/>
          <w:lang w:val="sr-Latn-ME"/>
        </w:rPr>
        <w:t xml:space="preserve"> u kliničkim ispitivanjima uključuju pneumoniju, pijelonefritis, septički artritis i septikemiju. Prijavljene su hospitalizacije ili smrtni ishodi povezani sa infekcijama. </w:t>
      </w:r>
    </w:p>
    <w:p w14:paraId="787437C4" w14:textId="77777777" w:rsidR="00A27EDD" w:rsidRPr="003445F5" w:rsidRDefault="00A27EDD" w:rsidP="00A27EDD">
      <w:pPr>
        <w:rPr>
          <w:szCs w:val="22"/>
          <w:lang w:val="sr-Latn-ME"/>
        </w:rPr>
      </w:pPr>
    </w:p>
    <w:p w14:paraId="40C1A2D6" w14:textId="77777777" w:rsidR="004214EC" w:rsidRPr="003445F5" w:rsidRDefault="004214EC" w:rsidP="004214EC">
      <w:pPr>
        <w:rPr>
          <w:i/>
          <w:iCs/>
          <w:szCs w:val="22"/>
          <w:lang w:val="sr-Latn-ME"/>
        </w:rPr>
      </w:pPr>
      <w:r w:rsidRPr="003445F5">
        <w:rPr>
          <w:i/>
          <w:iCs/>
          <w:szCs w:val="22"/>
          <w:lang w:val="sr-Latn-ME"/>
        </w:rPr>
        <w:t xml:space="preserve">Tuberkuloza </w:t>
      </w:r>
    </w:p>
    <w:p w14:paraId="5F90C97A" w14:textId="77777777" w:rsidR="004214EC" w:rsidRPr="003445F5" w:rsidRDefault="004214EC" w:rsidP="004214EC">
      <w:pPr>
        <w:rPr>
          <w:szCs w:val="22"/>
          <w:lang w:val="sr-Latn-ME"/>
        </w:rPr>
      </w:pPr>
      <w:r w:rsidRPr="003445F5">
        <w:rPr>
          <w:szCs w:val="22"/>
          <w:lang w:val="sr-Latn-ME"/>
        </w:rPr>
        <w:lastRenderedPageBreak/>
        <w:t xml:space="preserve">Kod pacijenata liječenih adalimumabom prijavljeni su slučajevi tuberkuloze, uključujući reaktivaciju i razvoj tuberkuloze. Prijave su obuhvatale slučajeve pulmonalne i ekstrapulmonalne (tj. disemenovane) tuberkuloze. </w:t>
      </w:r>
    </w:p>
    <w:p w14:paraId="508E3013" w14:textId="77777777" w:rsidR="004214EC" w:rsidRPr="003445F5" w:rsidRDefault="004214EC" w:rsidP="004214EC">
      <w:pPr>
        <w:rPr>
          <w:szCs w:val="22"/>
          <w:lang w:val="sr-Latn-ME"/>
        </w:rPr>
      </w:pPr>
    </w:p>
    <w:p w14:paraId="79D7322C" w14:textId="77777777" w:rsidR="004214EC" w:rsidRPr="003445F5" w:rsidRDefault="004214EC" w:rsidP="004214EC">
      <w:pPr>
        <w:rPr>
          <w:szCs w:val="22"/>
          <w:lang w:val="sr-Latn-ME"/>
        </w:rPr>
      </w:pPr>
      <w:r w:rsidRPr="003445F5">
        <w:rPr>
          <w:szCs w:val="22"/>
          <w:lang w:val="sr-Latn-ME"/>
        </w:rPr>
        <w:t xml:space="preserve">Prije početka terapije lijekom Hukyndra sve pacijente treba ispitati u pogledu postojanja aktivnog i neaktivnog („latentnog“) oblika tuberkuloze. Ovo ispitivanje treba da uključi detaljnu medicinsku procjenu pacijentove anamneze o tuberkulozi ili eventualnoj prethodnoj izloženosti osobama sa aktivnom tuberkulozom, kao i prethodnoj i/ili sadašnjoj imunosupresivnoj terapiji. Kod svih pacijenata treba sprovesti odgovarajuće skrining testove (tj. tuberkulinski kožni test i rendgen pluća, uz pridržavanje lokalnih preporuka). Preporučuje se da se sprovođenje i rezultati tih analiza upišu u Karticu sa podsjetnikom za pacijenta. Pri tome ljekari koji propisuju lijek treba da imaju na umu da tuberkulinski kožni test može dati lažno negativne rezultate, pogotovo kod teško bolesnih ili imunokompromitovanih pacijenata. </w:t>
      </w:r>
    </w:p>
    <w:p w14:paraId="4FACCA0E" w14:textId="77777777" w:rsidR="004214EC" w:rsidRPr="003445F5" w:rsidRDefault="004214EC" w:rsidP="004214EC">
      <w:pPr>
        <w:rPr>
          <w:szCs w:val="22"/>
          <w:lang w:val="sr-Latn-ME"/>
        </w:rPr>
      </w:pPr>
    </w:p>
    <w:p w14:paraId="32D04F88" w14:textId="75869C85" w:rsidR="004214EC" w:rsidRPr="003445F5" w:rsidRDefault="004214EC" w:rsidP="004214EC">
      <w:pPr>
        <w:rPr>
          <w:szCs w:val="22"/>
          <w:lang w:val="sr-Latn-ME"/>
        </w:rPr>
      </w:pPr>
      <w:r w:rsidRPr="003445F5">
        <w:rPr>
          <w:szCs w:val="22"/>
          <w:lang w:val="sr-Latn-ME"/>
        </w:rPr>
        <w:t>Ako se dijagnostikuje aktivna tuberkuloza, ne smije da se započne liječenje lijekom Hukyndra (</w:t>
      </w:r>
      <w:r w:rsidR="007E1F86" w:rsidRPr="003445F5">
        <w:rPr>
          <w:szCs w:val="22"/>
          <w:lang w:val="sr-Latn-ME"/>
        </w:rPr>
        <w:t>pogledati dio</w:t>
      </w:r>
      <w:r w:rsidRPr="003445F5">
        <w:rPr>
          <w:szCs w:val="22"/>
          <w:lang w:val="sr-Latn-ME"/>
        </w:rPr>
        <w:t xml:space="preserve"> 4.3). </w:t>
      </w:r>
    </w:p>
    <w:p w14:paraId="2EE6ABAB" w14:textId="77777777" w:rsidR="00A27EDD" w:rsidRPr="003445F5" w:rsidRDefault="00A27EDD" w:rsidP="00A27EDD">
      <w:pPr>
        <w:rPr>
          <w:szCs w:val="22"/>
          <w:lang w:val="sr-Latn-ME"/>
        </w:rPr>
      </w:pPr>
    </w:p>
    <w:p w14:paraId="60E3CB65" w14:textId="47AC1A38" w:rsidR="00032218" w:rsidRPr="003445F5" w:rsidRDefault="00032218" w:rsidP="00032218">
      <w:pPr>
        <w:rPr>
          <w:szCs w:val="22"/>
          <w:lang w:val="sr-Latn-ME"/>
        </w:rPr>
      </w:pPr>
      <w:r w:rsidRPr="003445F5">
        <w:rPr>
          <w:szCs w:val="22"/>
          <w:lang w:val="sr-Latn-ME"/>
        </w:rPr>
        <w:t>U svim dol</w:t>
      </w:r>
      <w:r w:rsidR="006A25E7" w:rsidRPr="003445F5">
        <w:rPr>
          <w:szCs w:val="22"/>
          <w:lang w:val="sr-Latn-ME"/>
        </w:rPr>
        <w:t>j</w:t>
      </w:r>
      <w:r w:rsidRPr="003445F5">
        <w:rPr>
          <w:szCs w:val="22"/>
          <w:lang w:val="sr-Latn-ME"/>
        </w:rPr>
        <w:t>e opisanim situacijama potrebno je da se vrlo pažljivo proc</w:t>
      </w:r>
      <w:r w:rsidR="006A25E7" w:rsidRPr="003445F5">
        <w:rPr>
          <w:szCs w:val="22"/>
          <w:lang w:val="sr-Latn-ME"/>
        </w:rPr>
        <w:t>i</w:t>
      </w:r>
      <w:r w:rsidRPr="003445F5">
        <w:rPr>
          <w:szCs w:val="22"/>
          <w:lang w:val="sr-Latn-ME"/>
        </w:rPr>
        <w:t xml:space="preserve">jeni odnos koristi i rizika terapije. </w:t>
      </w:r>
    </w:p>
    <w:p w14:paraId="1DFEC427" w14:textId="77777777" w:rsidR="00032218" w:rsidRPr="003445F5" w:rsidRDefault="00032218" w:rsidP="00032218">
      <w:pPr>
        <w:rPr>
          <w:szCs w:val="22"/>
          <w:lang w:val="sr-Latn-ME"/>
        </w:rPr>
      </w:pPr>
    </w:p>
    <w:p w14:paraId="51B7CA35" w14:textId="77777777" w:rsidR="00032218" w:rsidRPr="003445F5" w:rsidRDefault="00032218" w:rsidP="00032218">
      <w:pPr>
        <w:rPr>
          <w:szCs w:val="22"/>
          <w:lang w:val="sr-Latn-ME"/>
        </w:rPr>
      </w:pPr>
      <w:r w:rsidRPr="003445F5">
        <w:rPr>
          <w:szCs w:val="22"/>
          <w:lang w:val="sr-Latn-ME"/>
        </w:rPr>
        <w:t xml:space="preserve">Ako se sumnja na latentnu tuberkulozu, potrebno je da se konsultuje ljekar sa iskustvom u liječenju tuberkuloze. </w:t>
      </w:r>
    </w:p>
    <w:p w14:paraId="12D53C62" w14:textId="77777777" w:rsidR="00032218" w:rsidRPr="003445F5" w:rsidRDefault="00032218" w:rsidP="00032218">
      <w:pPr>
        <w:rPr>
          <w:szCs w:val="22"/>
          <w:lang w:val="sr-Latn-ME"/>
        </w:rPr>
      </w:pPr>
    </w:p>
    <w:p w14:paraId="197A2903" w14:textId="77777777" w:rsidR="00032218" w:rsidRPr="003445F5" w:rsidRDefault="00032218" w:rsidP="00032218">
      <w:pPr>
        <w:rPr>
          <w:szCs w:val="22"/>
          <w:lang w:val="sr-Latn-ME"/>
        </w:rPr>
      </w:pPr>
      <w:r w:rsidRPr="003445F5">
        <w:rPr>
          <w:szCs w:val="22"/>
          <w:lang w:val="sr-Latn-ME"/>
        </w:rPr>
        <w:t xml:space="preserve">Ako se dijagnostikuje latentna tuberkuloza, prije početka terapije lijekom Hukyndra mora da se započne odgovarajuća profilaksa tuberkuloze, u skladu s lokalnim preporukama. </w:t>
      </w:r>
    </w:p>
    <w:p w14:paraId="7E840E69" w14:textId="77777777" w:rsidR="00032218" w:rsidRPr="003445F5" w:rsidRDefault="00032218" w:rsidP="00032218">
      <w:pPr>
        <w:rPr>
          <w:szCs w:val="22"/>
          <w:lang w:val="sr-Latn-ME"/>
        </w:rPr>
      </w:pPr>
    </w:p>
    <w:p w14:paraId="2B29C66F" w14:textId="77777777" w:rsidR="00032218" w:rsidRPr="003445F5" w:rsidRDefault="00032218" w:rsidP="00032218">
      <w:pPr>
        <w:rPr>
          <w:szCs w:val="22"/>
          <w:lang w:val="sr-Latn-ME"/>
        </w:rPr>
      </w:pPr>
      <w:r w:rsidRPr="003445F5">
        <w:rPr>
          <w:szCs w:val="22"/>
          <w:lang w:val="sr-Latn-ME"/>
        </w:rPr>
        <w:t xml:space="preserve">Primjena profilakse tuberkuloze takođe treba da se razmotri prije početka terapije lijekom Hukyndra kod pacijenata sa nekoliko faktora rizika ili sa značajnim faktorima rizika od tuberkuloze uprkos negativnom nalazu na tuberkulozu i kod pacijenata sa latentnom ili aktivnom tuberkulozom u anamnezi kod kojih se ne može utvrditi adekvatan tok liječenja. </w:t>
      </w:r>
    </w:p>
    <w:p w14:paraId="7CAE6690" w14:textId="77777777" w:rsidR="00032218" w:rsidRPr="003445F5" w:rsidRDefault="00032218" w:rsidP="00032218">
      <w:pPr>
        <w:rPr>
          <w:szCs w:val="22"/>
          <w:lang w:val="sr-Latn-ME"/>
        </w:rPr>
      </w:pPr>
      <w:r w:rsidRPr="003445F5">
        <w:rPr>
          <w:szCs w:val="22"/>
          <w:lang w:val="sr-Latn-ME"/>
        </w:rPr>
        <w:t xml:space="preserve"> </w:t>
      </w:r>
    </w:p>
    <w:p w14:paraId="49A1A523" w14:textId="1C3A0D7C" w:rsidR="00032218" w:rsidRPr="003445F5" w:rsidRDefault="00032218" w:rsidP="00032218">
      <w:pPr>
        <w:rPr>
          <w:szCs w:val="22"/>
          <w:lang w:val="sr-Latn-ME"/>
        </w:rPr>
      </w:pPr>
      <w:r w:rsidRPr="003445F5">
        <w:rPr>
          <w:szCs w:val="22"/>
          <w:lang w:val="sr-Latn-ME"/>
        </w:rPr>
        <w:t xml:space="preserve">Uprkos profilaksi tuberkuloze, zabilježeni su slučajevi reaktivacije tuberkuloze kod pacijenata liječenih adalimumabom. Kod nekih pacijenata koji su bili uspješno liječeni zbog aktivne tuberkuloze, </w:t>
      </w:r>
      <w:r w:rsidR="00AC1691" w:rsidRPr="003445F5">
        <w:rPr>
          <w:szCs w:val="22"/>
          <w:lang w:val="sr-Latn-ME"/>
        </w:rPr>
        <w:t>za vrijeme</w:t>
      </w:r>
      <w:r w:rsidRPr="003445F5">
        <w:rPr>
          <w:szCs w:val="22"/>
          <w:lang w:val="sr-Latn-ME"/>
        </w:rPr>
        <w:t xml:space="preserve"> liječenja adalimumabom ponovo se razvila tuberkuloza. </w:t>
      </w:r>
    </w:p>
    <w:p w14:paraId="59490F3F" w14:textId="77777777" w:rsidR="00032218" w:rsidRPr="003445F5" w:rsidRDefault="00032218" w:rsidP="00032218">
      <w:pPr>
        <w:rPr>
          <w:szCs w:val="22"/>
          <w:lang w:val="sr-Latn-ME"/>
        </w:rPr>
      </w:pPr>
    </w:p>
    <w:p w14:paraId="62DAD46D" w14:textId="1127D6C0" w:rsidR="00032218" w:rsidRPr="003445F5" w:rsidRDefault="00032218" w:rsidP="00032218">
      <w:pPr>
        <w:rPr>
          <w:szCs w:val="22"/>
          <w:lang w:val="sr-Latn-ME"/>
        </w:rPr>
      </w:pPr>
      <w:r w:rsidRPr="003445F5">
        <w:rPr>
          <w:szCs w:val="22"/>
          <w:lang w:val="sr-Latn-ME"/>
        </w:rPr>
        <w:t>Pacijente treba uputiti da potraže medicinski savjet ako se za vr</w:t>
      </w:r>
      <w:r w:rsidR="006A25E7" w:rsidRPr="003445F5">
        <w:rPr>
          <w:szCs w:val="22"/>
          <w:lang w:val="sr-Latn-ME"/>
        </w:rPr>
        <w:t>ij</w:t>
      </w:r>
      <w:r w:rsidRPr="003445F5">
        <w:rPr>
          <w:szCs w:val="22"/>
          <w:lang w:val="sr-Latn-ME"/>
        </w:rPr>
        <w:t>eme ili nakon terapije lijekom Hukyndra pojave znakovi/simptomi koji upućuju na tuberkuloznu infekciju (npr. perzistentan kašalj, progresivno propadanje/gubitak tjelesne mase, blago povišena tjelesna temperatura, bezvoljnost).</w:t>
      </w:r>
    </w:p>
    <w:p w14:paraId="2B6C66E4" w14:textId="78B3FC7C" w:rsidR="0083737F" w:rsidRPr="003445F5" w:rsidRDefault="0083737F" w:rsidP="00524FDF">
      <w:pPr>
        <w:rPr>
          <w:szCs w:val="22"/>
          <w:lang w:val="sr-Latn-ME"/>
        </w:rPr>
      </w:pPr>
    </w:p>
    <w:p w14:paraId="12E9BF59" w14:textId="77777777" w:rsidR="008A1467" w:rsidRPr="003445F5" w:rsidRDefault="008A1467" w:rsidP="008A1467">
      <w:pPr>
        <w:rPr>
          <w:i/>
          <w:iCs/>
          <w:szCs w:val="22"/>
          <w:lang w:val="sr-Latn-ME"/>
        </w:rPr>
      </w:pPr>
      <w:r w:rsidRPr="003445F5">
        <w:rPr>
          <w:i/>
          <w:iCs/>
          <w:szCs w:val="22"/>
          <w:lang w:val="sr-Latn-ME"/>
        </w:rPr>
        <w:t xml:space="preserve">Druge oportunističke infekcije </w:t>
      </w:r>
    </w:p>
    <w:p w14:paraId="2C5E77D3" w14:textId="2FF6747D" w:rsidR="008A1467" w:rsidRPr="003445F5" w:rsidRDefault="008A1467" w:rsidP="008A1467">
      <w:pPr>
        <w:rPr>
          <w:szCs w:val="22"/>
          <w:lang w:val="sr-Latn-ME"/>
        </w:rPr>
      </w:pPr>
      <w:r w:rsidRPr="003445F5">
        <w:rPr>
          <w:szCs w:val="22"/>
          <w:lang w:val="sr-Latn-ME"/>
        </w:rPr>
        <w:t>Kod pacijenata koji primaju adalimumab zabilježene su oportunističke infekcije, uključujući invazivne gljivične infekcije. Ove infekcije nisu uv</w:t>
      </w:r>
      <w:r w:rsidR="006A25E7" w:rsidRPr="003445F5">
        <w:rPr>
          <w:szCs w:val="22"/>
          <w:lang w:val="sr-Latn-ME"/>
        </w:rPr>
        <w:t>ij</w:t>
      </w:r>
      <w:r w:rsidRPr="003445F5">
        <w:rPr>
          <w:szCs w:val="22"/>
          <w:lang w:val="sr-Latn-ME"/>
        </w:rPr>
        <w:t xml:space="preserve">ek bile prepoznate kod pacijenata koji su primali antagoniste TNF-a, što je rezultiralo kašnjenjem sa odgovarajućim liječenjem i ponekad dovelo do smrtnog ishoda. </w:t>
      </w:r>
    </w:p>
    <w:p w14:paraId="3F279FDC" w14:textId="77777777" w:rsidR="008A1467" w:rsidRPr="003445F5" w:rsidRDefault="008A1467" w:rsidP="008A1467">
      <w:pPr>
        <w:rPr>
          <w:szCs w:val="22"/>
          <w:lang w:val="sr-Latn-ME"/>
        </w:rPr>
      </w:pPr>
    </w:p>
    <w:p w14:paraId="6E2C9C53" w14:textId="77777777" w:rsidR="008A1467" w:rsidRPr="003445F5" w:rsidRDefault="008A1467" w:rsidP="008A1467">
      <w:pPr>
        <w:rPr>
          <w:szCs w:val="22"/>
          <w:lang w:val="sr-Latn-ME"/>
        </w:rPr>
      </w:pPr>
      <w:r w:rsidRPr="003445F5">
        <w:rPr>
          <w:szCs w:val="22"/>
          <w:lang w:val="sr-Latn-ME"/>
        </w:rPr>
        <w:t>Ako se kod pacijenata pojave znakovi i simptomi kao što su povišena tjelesna temperatura, malaksalost, gubitak tjelesne mase, znojenje, kašalj, dispneja i/ili plućni infiltrati ili druge ozbiljne sistemske bolesti s istovremenim šokom ili bez njega, treba posumnjati na invazivnu gljivičnu infekciju i odmah prekinuti primjenu lijeka Hukyndra. Kod ovih pacijenata dijagnozu i primjenu empirijske antifungalne terapije potrebno je sprovesti uz savjetovanje sa ljekarom koji ima iskustva u liječenju pacijenata sa invazivnim gljivičnim infekcijama.</w:t>
      </w:r>
    </w:p>
    <w:p w14:paraId="072D43C7" w14:textId="4BEFB3BD" w:rsidR="00CE09F3" w:rsidRPr="003445F5" w:rsidRDefault="00CE09F3" w:rsidP="00524FDF">
      <w:pPr>
        <w:rPr>
          <w:szCs w:val="22"/>
          <w:lang w:val="sr-Latn-ME"/>
        </w:rPr>
      </w:pPr>
    </w:p>
    <w:p w14:paraId="4EE9B0AF" w14:textId="77777777" w:rsidR="005E1352" w:rsidRPr="003445F5" w:rsidRDefault="005E1352" w:rsidP="005E1352">
      <w:pPr>
        <w:rPr>
          <w:szCs w:val="22"/>
          <w:u w:val="single"/>
          <w:lang w:val="sr-Latn-ME"/>
        </w:rPr>
      </w:pPr>
      <w:r w:rsidRPr="003445F5">
        <w:rPr>
          <w:szCs w:val="22"/>
          <w:u w:val="single"/>
          <w:lang w:val="sr-Latn-ME"/>
        </w:rPr>
        <w:t xml:space="preserve">Reaktivacija hepatitisa B </w:t>
      </w:r>
    </w:p>
    <w:p w14:paraId="762BF613" w14:textId="77777777" w:rsidR="005E1352" w:rsidRPr="003445F5" w:rsidRDefault="005E1352" w:rsidP="005E1352">
      <w:pPr>
        <w:rPr>
          <w:szCs w:val="22"/>
          <w:lang w:val="sr-Latn-ME"/>
        </w:rPr>
      </w:pPr>
    </w:p>
    <w:p w14:paraId="0F8C2234" w14:textId="77777777" w:rsidR="005E1352" w:rsidRPr="003445F5" w:rsidRDefault="005E1352" w:rsidP="005E1352">
      <w:pPr>
        <w:rPr>
          <w:szCs w:val="22"/>
          <w:lang w:val="sr-Latn-ME"/>
        </w:rPr>
      </w:pPr>
      <w:r w:rsidRPr="003445F5">
        <w:rPr>
          <w:szCs w:val="22"/>
          <w:lang w:val="sr-Latn-ME"/>
        </w:rPr>
        <w:t xml:space="preserve">Zabilježena je reaktivacija hepatitisa B kod pacijenata koji su uzimali antagoniste TNF-a, uključujući adalimumab i koji su bili hronični nosioci tog virusa (tj. pozitivni na površinski antigen), a bilo je i </w:t>
      </w:r>
      <w:r w:rsidRPr="003445F5">
        <w:rPr>
          <w:szCs w:val="22"/>
          <w:lang w:val="sr-Latn-ME"/>
        </w:rPr>
        <w:lastRenderedPageBreak/>
        <w:t xml:space="preserve">slučajeva sa smrtnim ishodom. Pacijente je potrebno prije početka terapije lijekom Hukyndra testirati na infekciju virusom hepatitisa B (HBV). Kod pacijenata koji su pozitivni na infekciju virusom hepatitisa B, preporuka je da se potraži savjet ljekara sa iskustvom u liječenju hepatitisa B. </w:t>
      </w:r>
    </w:p>
    <w:p w14:paraId="0E08DC91" w14:textId="77777777" w:rsidR="005E1352" w:rsidRPr="003445F5" w:rsidRDefault="005E1352" w:rsidP="005E1352">
      <w:pPr>
        <w:rPr>
          <w:szCs w:val="22"/>
          <w:lang w:val="sr-Latn-ME"/>
        </w:rPr>
      </w:pPr>
    </w:p>
    <w:p w14:paraId="05025895" w14:textId="4C37906A" w:rsidR="005E1352" w:rsidRPr="003445F5" w:rsidRDefault="005E1352" w:rsidP="005E1352">
      <w:pPr>
        <w:rPr>
          <w:szCs w:val="22"/>
          <w:lang w:val="sr-Latn-ME"/>
        </w:rPr>
      </w:pPr>
      <w:r w:rsidRPr="003445F5">
        <w:rPr>
          <w:szCs w:val="22"/>
          <w:lang w:val="sr-Latn-ME"/>
        </w:rPr>
        <w:t xml:space="preserve">Nosioce HBV-a kod kojih je nužna primjena lijeka Hukyndra treba pažljivo pratiti zbog moguće pojave znakova i simptoma aktivne HBV infekcije tokom </w:t>
      </w:r>
      <w:r w:rsidR="006A25E7" w:rsidRPr="003445F5">
        <w:rPr>
          <w:szCs w:val="22"/>
          <w:lang w:val="sr-Latn-ME"/>
        </w:rPr>
        <w:t>cijelog</w:t>
      </w:r>
      <w:r w:rsidRPr="003445F5">
        <w:rPr>
          <w:szCs w:val="22"/>
          <w:lang w:val="sr-Latn-ME"/>
        </w:rPr>
        <w:t xml:space="preserve"> trajanja terapije, kao i nekoliko mjeseci nakon njenog prekida. Nisu dostupni odgovarajući podaci o kombinovanom liječenju antivirusnom terapijom i antagonistom TNF-a u svrhu prevencije reaktivacije HBV-a kod pacijenata koji su nosioci HBV-a. Kod pacijenata kod kojih se javi reaktivacija HBV infekcije mora da se obustavi terapija lijekom Hukyndra i započne efektivna antivirusna terapija uz odgovarajuće suportivne mjere. </w:t>
      </w:r>
    </w:p>
    <w:p w14:paraId="5B82C7FD" w14:textId="77777777" w:rsidR="00CE5838" w:rsidRPr="003445F5" w:rsidRDefault="00CE5838" w:rsidP="00524FDF">
      <w:pPr>
        <w:rPr>
          <w:szCs w:val="22"/>
          <w:lang w:val="sr-Latn-ME"/>
        </w:rPr>
      </w:pPr>
    </w:p>
    <w:p w14:paraId="5C7C150D" w14:textId="77777777" w:rsidR="00BD6431" w:rsidRPr="003445F5" w:rsidRDefault="00BD6431" w:rsidP="00BD6431">
      <w:pPr>
        <w:rPr>
          <w:szCs w:val="22"/>
          <w:u w:val="single"/>
          <w:lang w:val="sr-Latn-ME"/>
        </w:rPr>
      </w:pPr>
      <w:r w:rsidRPr="003445F5">
        <w:rPr>
          <w:szCs w:val="22"/>
          <w:u w:val="single"/>
          <w:lang w:val="sr-Latn-ME"/>
        </w:rPr>
        <w:t xml:space="preserve">Neurološki događaji </w:t>
      </w:r>
    </w:p>
    <w:p w14:paraId="1F407535" w14:textId="77777777" w:rsidR="00BD6431" w:rsidRPr="003445F5" w:rsidRDefault="00BD6431" w:rsidP="00BD6431">
      <w:pPr>
        <w:rPr>
          <w:szCs w:val="22"/>
          <w:lang w:val="sr-Latn-ME"/>
        </w:rPr>
      </w:pPr>
    </w:p>
    <w:p w14:paraId="58FA8FC4" w14:textId="77777777" w:rsidR="00B11480" w:rsidRPr="003445F5" w:rsidRDefault="00B11480" w:rsidP="00B11480">
      <w:pPr>
        <w:rPr>
          <w:szCs w:val="22"/>
          <w:lang w:val="sr-Latn-ME"/>
        </w:rPr>
      </w:pPr>
      <w:r w:rsidRPr="003445F5">
        <w:rPr>
          <w:szCs w:val="22"/>
          <w:lang w:val="sr-Latn-ME"/>
        </w:rPr>
        <w:t xml:space="preserve">U rijetkim slučajevima su antagonisti TNF-a, uključujući adalimumab, bili povezani sa pojavom novih ili pogoršanjem postojećih kliničkih simptoma i/ili radiografskih dokaza demijelinizirajuće bolesti centralnog nervnog sistema, uključujući multiplu sklerozu i optički neuritis, i periferne demijelinizirajuće bolesti, uključujući </w:t>
      </w:r>
      <w:r w:rsidRPr="003445F5">
        <w:rPr>
          <w:i/>
          <w:iCs/>
          <w:szCs w:val="22"/>
          <w:lang w:val="sr-Latn-ME"/>
        </w:rPr>
        <w:t>Guillain-Barré</w:t>
      </w:r>
      <w:r w:rsidRPr="003445F5">
        <w:rPr>
          <w:szCs w:val="22"/>
          <w:lang w:val="sr-Latn-ME"/>
        </w:rPr>
        <w:t xml:space="preserve">-ov sindrom. Ljekari koji propisuju lijek treba da budu oprezni prilikom razmatranja terapije lijekom Hukyndra kod pacijenata sa ranije postojećim ili nedavno nastalim demijelinizirajućim poremećajima centralnog ili perifernog nervnog sistema; ako se razvije bilo koji od tih poremećaja, treba razmotriti prekid terapije lijekom Hukyndra. Poznato je da postoji povezanost između intermedijarnog uveitisa i demijelinizirajućih poremećaja centralnog nervnog sistema. Kod pacijenata sa neinfektivnim intermedijarnim uveitisom treba sprovesti neurološku procjenu prije početka terapije lijekom Hukyndra i redovno tokom liječenja kako bi se utvrdili od ranije postojeći ili novorazvijeni demijelinizirajući poremećaji centralnog nervnog sistema. </w:t>
      </w:r>
    </w:p>
    <w:p w14:paraId="1F6A3AF5" w14:textId="77777777" w:rsidR="00B11480" w:rsidRPr="003445F5" w:rsidRDefault="00B11480" w:rsidP="00B11480">
      <w:pPr>
        <w:rPr>
          <w:szCs w:val="22"/>
          <w:lang w:val="sr-Latn-ME"/>
        </w:rPr>
      </w:pPr>
    </w:p>
    <w:p w14:paraId="496479EF" w14:textId="77777777" w:rsidR="00B11480" w:rsidRPr="003445F5" w:rsidRDefault="00B11480" w:rsidP="00B11480">
      <w:pPr>
        <w:rPr>
          <w:szCs w:val="22"/>
          <w:u w:val="single"/>
          <w:lang w:val="sr-Latn-ME"/>
        </w:rPr>
      </w:pPr>
      <w:r w:rsidRPr="003445F5">
        <w:rPr>
          <w:szCs w:val="22"/>
          <w:u w:val="single"/>
          <w:lang w:val="sr-Latn-ME"/>
        </w:rPr>
        <w:t xml:space="preserve">Alergijske reakcije </w:t>
      </w:r>
    </w:p>
    <w:p w14:paraId="2EA690C1" w14:textId="77777777" w:rsidR="00B11480" w:rsidRPr="003445F5" w:rsidRDefault="00B11480" w:rsidP="00B11480">
      <w:pPr>
        <w:rPr>
          <w:szCs w:val="22"/>
          <w:lang w:val="sr-Latn-ME"/>
        </w:rPr>
      </w:pPr>
    </w:p>
    <w:p w14:paraId="470C082A" w14:textId="77777777" w:rsidR="00B11480" w:rsidRPr="003445F5" w:rsidRDefault="00B11480" w:rsidP="00B11480">
      <w:pPr>
        <w:rPr>
          <w:szCs w:val="22"/>
          <w:lang w:val="sr-Latn-ME"/>
        </w:rPr>
      </w:pPr>
      <w:r w:rsidRPr="003445F5">
        <w:rPr>
          <w:szCs w:val="22"/>
          <w:lang w:val="sr-Latn-ME"/>
        </w:rPr>
        <w:t xml:space="preserve">Tokom kliničkih ispitivanja rijetko su prijavljivane ozbiljne alergijske reakcije povezane sa primjenom adalimumaba. Povremeno su u kliničkim ispitivanjima zabilježene alergijske reakcije povezane sa adalimumabom koje nisu bile ozbiljne. Ozbiljne alergijske reakcije, uključujući anafilaksu, prijavljivane su nakon primjene adalimumaba. Ako se pojavi anafilaktička reakcija ili druga ozbiljna alergijska reakcija, primjenu lijeka Hukyndra treba odmah obustaviti i započeti odgovarajuću terapiju. </w:t>
      </w:r>
    </w:p>
    <w:p w14:paraId="57DFA78E" w14:textId="77777777" w:rsidR="00CE5838" w:rsidRPr="003445F5" w:rsidRDefault="00CE5838" w:rsidP="00524FDF">
      <w:pPr>
        <w:rPr>
          <w:szCs w:val="22"/>
          <w:lang w:val="sr-Latn-ME"/>
        </w:rPr>
      </w:pPr>
    </w:p>
    <w:p w14:paraId="2705CF15" w14:textId="77777777" w:rsidR="003A05BD" w:rsidRPr="003445F5" w:rsidRDefault="003A05BD" w:rsidP="003A05BD">
      <w:pPr>
        <w:rPr>
          <w:szCs w:val="22"/>
          <w:u w:val="single"/>
          <w:lang w:val="sr-Latn-ME"/>
        </w:rPr>
      </w:pPr>
      <w:r w:rsidRPr="003445F5">
        <w:rPr>
          <w:szCs w:val="22"/>
          <w:u w:val="single"/>
          <w:lang w:val="sr-Latn-ME"/>
        </w:rPr>
        <w:t xml:space="preserve">Imunosupresija </w:t>
      </w:r>
    </w:p>
    <w:p w14:paraId="24E62F3F" w14:textId="77777777" w:rsidR="003A05BD" w:rsidRPr="003445F5" w:rsidRDefault="003A05BD" w:rsidP="003A05BD">
      <w:pPr>
        <w:rPr>
          <w:szCs w:val="22"/>
          <w:lang w:val="sr-Latn-ME"/>
        </w:rPr>
      </w:pPr>
    </w:p>
    <w:p w14:paraId="3FE386F3" w14:textId="77777777" w:rsidR="0065444A" w:rsidRPr="003445F5" w:rsidRDefault="0065444A" w:rsidP="0065444A">
      <w:pPr>
        <w:rPr>
          <w:szCs w:val="22"/>
          <w:lang w:val="sr-Latn-ME"/>
        </w:rPr>
      </w:pPr>
      <w:r w:rsidRPr="003445F5">
        <w:rPr>
          <w:szCs w:val="22"/>
          <w:lang w:val="sr-Latn-ME"/>
        </w:rPr>
        <w:t>U ispitivanju 64 pacijenta sa reumatoidnim artritisom liječena adalimumabom nije zabilježeno smanjenje odložene preosjetljivosti, sniženje nivoa imunoglobulina, kao ni promjene broja efektorskih T i B ćelija, NK ćelija, monocita/makrofaga i neutrofila.</w:t>
      </w:r>
    </w:p>
    <w:p w14:paraId="3B88FBCB" w14:textId="77777777" w:rsidR="003A05BD" w:rsidRPr="003445F5" w:rsidRDefault="003A05BD" w:rsidP="003A05BD">
      <w:pPr>
        <w:rPr>
          <w:szCs w:val="22"/>
          <w:lang w:val="sr-Latn-ME"/>
        </w:rPr>
      </w:pPr>
    </w:p>
    <w:p w14:paraId="11307F3A" w14:textId="77777777" w:rsidR="003A05BD" w:rsidRPr="003445F5" w:rsidRDefault="003A05BD" w:rsidP="003A05BD">
      <w:pPr>
        <w:rPr>
          <w:szCs w:val="22"/>
          <w:u w:val="single"/>
          <w:lang w:val="sr-Latn-ME"/>
        </w:rPr>
      </w:pPr>
      <w:r w:rsidRPr="003445F5">
        <w:rPr>
          <w:szCs w:val="22"/>
          <w:u w:val="single"/>
          <w:lang w:val="sr-Latn-ME"/>
        </w:rPr>
        <w:t xml:space="preserve">Maligne bolesti i limfoproliferativni poremećaji </w:t>
      </w:r>
    </w:p>
    <w:p w14:paraId="0C8D9DCE" w14:textId="77777777" w:rsidR="003A05BD" w:rsidRPr="003445F5" w:rsidRDefault="003A05BD" w:rsidP="003A05BD">
      <w:pPr>
        <w:rPr>
          <w:szCs w:val="22"/>
          <w:lang w:val="sr-Latn-ME"/>
        </w:rPr>
      </w:pPr>
    </w:p>
    <w:p w14:paraId="1AC962EF" w14:textId="20D90BB3" w:rsidR="005D26D0" w:rsidRPr="003445F5" w:rsidRDefault="005D26D0" w:rsidP="005D26D0">
      <w:pPr>
        <w:rPr>
          <w:szCs w:val="22"/>
          <w:lang w:val="sr-Latn-ME"/>
        </w:rPr>
      </w:pPr>
      <w:r w:rsidRPr="003445F5">
        <w:rPr>
          <w:szCs w:val="22"/>
          <w:lang w:val="sr-Latn-ME"/>
        </w:rPr>
        <w:t xml:space="preserve">U kontrolisanim </w:t>
      </w:r>
      <w:r w:rsidR="006A25E7" w:rsidRPr="003445F5">
        <w:rPr>
          <w:szCs w:val="22"/>
          <w:lang w:val="sr-Latn-ME"/>
        </w:rPr>
        <w:t>djelovima</w:t>
      </w:r>
      <w:r w:rsidRPr="003445F5">
        <w:rPr>
          <w:szCs w:val="22"/>
          <w:lang w:val="sr-Latn-ME"/>
        </w:rPr>
        <w:t xml:space="preserve"> kliničkih ispitivanja antagonista TNF-a zabilježeno je više slučajeva malignih bolesti, uključujući i limfome, kod pacijenata liječenih antagonistima TNF-a nego u kontrolnoj grupi. Međutim, učestalost je bila rijetka. Nakon stavljanja lijeka u promet prijavljeni su slučajevi leukemije kod pacijenata liječenih antagonistima TNF-a. Procjenu rizika otežava i inače povećani rizik od razvoja limfoma i leukemije kod pacijenata sa reumatoidnim artritisom sa dugotrajnom, izrazito aktivnom zapaljenjskom bolešću. Prema postojećim saznanjima, mogući rizik od razvoja limfoma, leukemija i ostalih malignih bolesti kod pacijenata liječenih antagonistima TNF-a se ne može se isključiti. </w:t>
      </w:r>
    </w:p>
    <w:p w14:paraId="3AE53C1F" w14:textId="77777777" w:rsidR="005D26D0" w:rsidRPr="003445F5" w:rsidRDefault="005D26D0" w:rsidP="005D26D0">
      <w:pPr>
        <w:rPr>
          <w:szCs w:val="22"/>
          <w:lang w:val="sr-Latn-ME"/>
        </w:rPr>
      </w:pPr>
    </w:p>
    <w:p w14:paraId="07404E2D" w14:textId="77777777" w:rsidR="005D26D0" w:rsidRPr="003445F5" w:rsidRDefault="005D26D0" w:rsidP="005D26D0">
      <w:pPr>
        <w:rPr>
          <w:szCs w:val="22"/>
          <w:lang w:val="sr-Latn-ME"/>
        </w:rPr>
      </w:pPr>
      <w:r w:rsidRPr="003445F5">
        <w:rPr>
          <w:szCs w:val="22"/>
          <w:lang w:val="sr-Latn-ME"/>
        </w:rPr>
        <w:t xml:space="preserve">Nakon stavljanja lijeka u promet zabilježene su maligne bolesti, neke sa smrtnim ishodom, kod djece, adolescenata i mlađih odraslih osoba (uzrasta do 22 godine) liječenih antagonistima TNF-a (početak terapije u 18. godini života ili ranije), uključujući adalimumab. Otprilike polovina slučajeva su bili limfomi. Ostali slučajevi predstavljali su mnoštvo različitih malignih bolesti, uključujući i rijetke </w:t>
      </w:r>
      <w:r w:rsidRPr="003445F5">
        <w:rPr>
          <w:szCs w:val="22"/>
          <w:lang w:val="sr-Latn-ME"/>
        </w:rPr>
        <w:lastRenderedPageBreak/>
        <w:t xml:space="preserve">maligne bolesti obično povezane sa imunosupresijom. Rizik od pojave malignih bolesti kod djece i adolescenata liječenih antagonistima TNF-a ne može se isključiti. </w:t>
      </w:r>
    </w:p>
    <w:p w14:paraId="086A669E" w14:textId="77777777" w:rsidR="000F6669" w:rsidRPr="003445F5" w:rsidRDefault="000F6669" w:rsidP="00524FDF">
      <w:pPr>
        <w:rPr>
          <w:szCs w:val="22"/>
          <w:lang w:val="sr-Latn-ME"/>
        </w:rPr>
      </w:pPr>
    </w:p>
    <w:p w14:paraId="21347EF8" w14:textId="33FA6DC4" w:rsidR="008B158F" w:rsidRPr="003445F5" w:rsidRDefault="008B158F" w:rsidP="008B158F">
      <w:pPr>
        <w:rPr>
          <w:szCs w:val="22"/>
          <w:lang w:val="sr-Latn-ME"/>
        </w:rPr>
      </w:pPr>
      <w:r w:rsidRPr="003445F5">
        <w:rPr>
          <w:szCs w:val="22"/>
          <w:lang w:val="sr-Latn-ME"/>
        </w:rPr>
        <w:t xml:space="preserve">Kod pacijenata liječenih adalimumabom prijavljeni su rijetki slučajevi hepatospleničnog T-ćelijskog limfoma nakon stavljanja lijeka u promet. Ovaj </w:t>
      </w:r>
      <w:r w:rsidR="006A25E7" w:rsidRPr="003445F5">
        <w:rPr>
          <w:szCs w:val="22"/>
          <w:lang w:val="sr-Latn-ME"/>
        </w:rPr>
        <w:t xml:space="preserve">rijedak </w:t>
      </w:r>
      <w:r w:rsidRPr="003445F5">
        <w:rPr>
          <w:szCs w:val="22"/>
          <w:lang w:val="sr-Latn-ME"/>
        </w:rPr>
        <w:t>oblik T-ćelijskog limfoma ima izrazito agresivan tok bolesti i uglavnom je smrtonosan. Neki od tih hepatospleničnih T-ćelijskih limfoma povezanih sa primjenom adalimumaba javili su se kod mladih odraslih pacijenata koji su istovremeno bili liječeni azatioprinom ili 6-merkaptopurinom zbog inflamatorne bolesti crijeva. Potrebno je pažljivo razmotriti mogući rizik kod primjene kombinacije azatioprina ili 6-merkaptopurina i lijeka Hukyndra. Rizik od pojave hepatospleničnog T-ćelijskog limfoma kod pacijenata liječenih lijekom Hukyndra ne može se isključiti (</w:t>
      </w:r>
      <w:r w:rsidR="007E1F86" w:rsidRPr="003445F5">
        <w:rPr>
          <w:szCs w:val="22"/>
          <w:lang w:val="sr-Latn-ME"/>
        </w:rPr>
        <w:t>pogledati dio</w:t>
      </w:r>
      <w:r w:rsidRPr="003445F5">
        <w:rPr>
          <w:szCs w:val="22"/>
          <w:lang w:val="sr-Latn-ME"/>
        </w:rPr>
        <w:t xml:space="preserve"> 4.8). </w:t>
      </w:r>
    </w:p>
    <w:p w14:paraId="75F7A896" w14:textId="77777777" w:rsidR="008B158F" w:rsidRPr="003445F5" w:rsidRDefault="008B158F" w:rsidP="008B158F">
      <w:pPr>
        <w:rPr>
          <w:szCs w:val="22"/>
          <w:lang w:val="sr-Latn-ME"/>
        </w:rPr>
      </w:pPr>
    </w:p>
    <w:p w14:paraId="390B810C" w14:textId="604E5D6D" w:rsidR="008B158F" w:rsidRPr="003445F5" w:rsidRDefault="008B158F" w:rsidP="008B158F">
      <w:pPr>
        <w:rPr>
          <w:szCs w:val="22"/>
          <w:lang w:val="sr-Latn-ME"/>
        </w:rPr>
      </w:pPr>
      <w:r w:rsidRPr="003445F5">
        <w:rPr>
          <w:szCs w:val="22"/>
          <w:lang w:val="sr-Latn-ME"/>
        </w:rPr>
        <w:t>Nisu sprovedena ispitivanja kod pacijenata sa malignim bolestima u anamnezi ili kod pacijenata koji su nastavili liječenje adalimumabom nakon obol</w:t>
      </w:r>
      <w:r w:rsidR="00AC1691" w:rsidRPr="003445F5">
        <w:rPr>
          <w:szCs w:val="22"/>
          <w:lang w:val="sr-Latn-ME"/>
        </w:rPr>
        <w:t>ij</w:t>
      </w:r>
      <w:r w:rsidRPr="003445F5">
        <w:rPr>
          <w:szCs w:val="22"/>
          <w:lang w:val="sr-Latn-ME"/>
        </w:rPr>
        <w:t>evanja od maligne bolesti. Zbog toga je potreban dodatni oprez prilikom razmatranja liječenja lijekom Hukyndra kod takvih pacijenata (</w:t>
      </w:r>
      <w:r w:rsidR="007E1F86" w:rsidRPr="003445F5">
        <w:rPr>
          <w:szCs w:val="22"/>
          <w:lang w:val="sr-Latn-ME"/>
        </w:rPr>
        <w:t>pogledati dio</w:t>
      </w:r>
      <w:r w:rsidRPr="003445F5">
        <w:rPr>
          <w:szCs w:val="22"/>
          <w:lang w:val="sr-Latn-ME"/>
        </w:rPr>
        <w:t xml:space="preserve"> 4.8). </w:t>
      </w:r>
    </w:p>
    <w:p w14:paraId="09627B42" w14:textId="77777777" w:rsidR="008B158F" w:rsidRPr="003445F5" w:rsidRDefault="008B158F" w:rsidP="008B158F">
      <w:pPr>
        <w:rPr>
          <w:szCs w:val="22"/>
          <w:lang w:val="sr-Latn-ME"/>
        </w:rPr>
      </w:pPr>
    </w:p>
    <w:p w14:paraId="221F5AE9" w14:textId="27ECAF50" w:rsidR="008B158F" w:rsidRPr="003445F5" w:rsidRDefault="008B158F" w:rsidP="008B158F">
      <w:pPr>
        <w:rPr>
          <w:szCs w:val="22"/>
          <w:lang w:val="sr-Latn-ME"/>
        </w:rPr>
      </w:pPr>
      <w:r w:rsidRPr="003445F5">
        <w:rPr>
          <w:szCs w:val="22"/>
          <w:lang w:val="sr-Latn-ME"/>
        </w:rPr>
        <w:t>Sve pacijente, a posebno one koji u anamnezi imaju dugotrajno korišćenje imunosupresivne terapije ili pacijente sa psorijazom i PUVA liječenjem u anamnezi, potrebno je prije i za vr</w:t>
      </w:r>
      <w:r w:rsidR="00AC1691" w:rsidRPr="003445F5">
        <w:rPr>
          <w:szCs w:val="22"/>
          <w:lang w:val="sr-Latn-ME"/>
        </w:rPr>
        <w:t>ij</w:t>
      </w:r>
      <w:r w:rsidRPr="003445F5">
        <w:rPr>
          <w:szCs w:val="22"/>
          <w:lang w:val="sr-Latn-ME"/>
        </w:rPr>
        <w:t>eme terapije lijekom Hukyndra pregledati u svrhu otkrivanja nemelanomskog karcinoma kože. Melanom i karcinom Merkelovih ćelija su takođe prijavljeni kod pacijenata liječenih antagonistima TNF-a, uključujući adalimumab (</w:t>
      </w:r>
      <w:r w:rsidR="007E1F86" w:rsidRPr="003445F5">
        <w:rPr>
          <w:szCs w:val="22"/>
          <w:lang w:val="sr-Latn-ME"/>
        </w:rPr>
        <w:t>pogledati dio</w:t>
      </w:r>
      <w:r w:rsidRPr="003445F5">
        <w:rPr>
          <w:szCs w:val="22"/>
          <w:lang w:val="sr-Latn-ME"/>
        </w:rPr>
        <w:t xml:space="preserve"> 4.8). </w:t>
      </w:r>
    </w:p>
    <w:p w14:paraId="27EF5E82" w14:textId="77777777" w:rsidR="008B158F" w:rsidRPr="003445F5" w:rsidRDefault="008B158F" w:rsidP="008B158F">
      <w:pPr>
        <w:rPr>
          <w:szCs w:val="22"/>
          <w:lang w:val="sr-Latn-ME"/>
        </w:rPr>
      </w:pPr>
    </w:p>
    <w:p w14:paraId="25096E1B" w14:textId="77777777" w:rsidR="008B158F" w:rsidRPr="003445F5" w:rsidRDefault="008B158F" w:rsidP="008B158F">
      <w:pPr>
        <w:rPr>
          <w:szCs w:val="22"/>
          <w:lang w:val="sr-Latn-ME"/>
        </w:rPr>
      </w:pPr>
      <w:r w:rsidRPr="003445F5">
        <w:rPr>
          <w:szCs w:val="22"/>
          <w:lang w:val="sr-Latn-ME"/>
        </w:rPr>
        <w:t xml:space="preserve">U eksplorativnom kliničkom ispitivanju kojim se procjenjivala primjena drugog antagonista TNF-a, infliksimaba, kod pacijenata sa umjerenom do teškom hroničnom opstruktivnom bolešću pluća (HOBP), prijavljen je veći broj malignih bolesti, uglavnom na plućima ili glavi i vratu, kod pacijenata liječenih infliksimabom nego kod pacijenata u kontrolnoj grupi. Svi pacijenti bili su teški pušači. Zbog toga je potreban oprez kod primjene antagonista TNF-a kod pacijenata sa HOBP, kao i kod pacijenata koji imaju povećan rizik od razvoja malignih bolesti zbog teškog pušenja. </w:t>
      </w:r>
    </w:p>
    <w:p w14:paraId="75D1C338" w14:textId="77777777" w:rsidR="008B158F" w:rsidRPr="003445F5" w:rsidRDefault="008B158F" w:rsidP="008B158F">
      <w:pPr>
        <w:rPr>
          <w:szCs w:val="22"/>
          <w:lang w:val="sr-Latn-ME"/>
        </w:rPr>
      </w:pPr>
    </w:p>
    <w:p w14:paraId="0B3B2B24" w14:textId="77777777" w:rsidR="008B158F" w:rsidRPr="003445F5" w:rsidRDefault="008B158F" w:rsidP="008B158F">
      <w:pPr>
        <w:rPr>
          <w:szCs w:val="22"/>
          <w:lang w:val="sr-Latn-ME"/>
        </w:rPr>
      </w:pPr>
      <w:r w:rsidRPr="003445F5">
        <w:rPr>
          <w:szCs w:val="22"/>
          <w:lang w:val="sr-Latn-ME"/>
        </w:rPr>
        <w:t>Prema trenutnim podacima nije poznato da li liječenje adalimumabom utiče na rizik od pojave displazije ili raka debelog crijeva. Sve pacijente sa ulceroznim kolitisom kod kojih je povećan rizik od displazije ili karcinoma debelog crijeva (na primjer, pacijenti sa dugotrajnim ulceroznim kolitisom ili primarnim sklerozirajućim holangitisom) ili pacijente koji su imali displaziju ili karcinom debelog crijeva treba kontrolisati zbog mogućeg razvoja displazije u redovnim intervalima prije početka liječenja i tokom čitavog trajanja bolesti. Ti pregledi bi trebalo da uključuju kolonoskopiju i biopsije u skladu sa lokalnim preporukama.</w:t>
      </w:r>
    </w:p>
    <w:p w14:paraId="2B4C241F" w14:textId="231270C9" w:rsidR="00631C85" w:rsidRPr="003445F5" w:rsidRDefault="00631C85" w:rsidP="00524FDF">
      <w:pPr>
        <w:rPr>
          <w:szCs w:val="22"/>
          <w:lang w:val="sr-Latn-ME"/>
        </w:rPr>
      </w:pPr>
    </w:p>
    <w:p w14:paraId="448BA940" w14:textId="77777777" w:rsidR="00ED1988" w:rsidRPr="003445F5" w:rsidRDefault="00ED1988" w:rsidP="00ED1988">
      <w:pPr>
        <w:rPr>
          <w:szCs w:val="22"/>
          <w:u w:val="single"/>
          <w:lang w:val="sr-Latn-ME"/>
        </w:rPr>
      </w:pPr>
      <w:r w:rsidRPr="003445F5">
        <w:rPr>
          <w:szCs w:val="22"/>
          <w:u w:val="single"/>
          <w:lang w:val="sr-Latn-ME"/>
        </w:rPr>
        <w:t xml:space="preserve">Hematološke reakcije </w:t>
      </w:r>
    </w:p>
    <w:p w14:paraId="3CE8DBB6" w14:textId="77777777" w:rsidR="00ED1988" w:rsidRPr="003445F5" w:rsidRDefault="00ED1988" w:rsidP="00ED1988">
      <w:pPr>
        <w:rPr>
          <w:szCs w:val="22"/>
          <w:lang w:val="sr-Latn-ME"/>
        </w:rPr>
      </w:pPr>
    </w:p>
    <w:p w14:paraId="1C390D9F" w14:textId="69E8B970" w:rsidR="00DC52CB" w:rsidRPr="003445F5" w:rsidRDefault="00DC52CB" w:rsidP="00DC52CB">
      <w:pPr>
        <w:rPr>
          <w:szCs w:val="22"/>
          <w:lang w:val="sr-Latn-ME"/>
        </w:rPr>
      </w:pPr>
      <w:r w:rsidRPr="003445F5">
        <w:rPr>
          <w:szCs w:val="22"/>
          <w:lang w:val="sr-Latn-ME"/>
        </w:rPr>
        <w:t>U rijetkim slučajevima za vr</w:t>
      </w:r>
      <w:r w:rsidR="00AC1691" w:rsidRPr="003445F5">
        <w:rPr>
          <w:szCs w:val="22"/>
          <w:lang w:val="sr-Latn-ME"/>
        </w:rPr>
        <w:t>ij</w:t>
      </w:r>
      <w:r w:rsidRPr="003445F5">
        <w:rPr>
          <w:szCs w:val="22"/>
          <w:lang w:val="sr-Latn-ME"/>
        </w:rPr>
        <w:t>eme liječenja antagonistima TNF-a zabilježena je pojava pancitopenije, uključujući i aplastičnu anemiju. Kod pacijenata liječenih adalimumabom prijavljeni su neželjeni događaji u hematološkom sistemu, uključujući medicinski značajne citopenije (npr. trombocitopenija, leukopenija). Sve pacijente treba posavjetovati da odmah potraže medicinsku pomoć ako se za vr</w:t>
      </w:r>
      <w:r w:rsidR="00AC1691" w:rsidRPr="003445F5">
        <w:rPr>
          <w:szCs w:val="22"/>
          <w:lang w:val="sr-Latn-ME"/>
        </w:rPr>
        <w:t>ij</w:t>
      </w:r>
      <w:r w:rsidRPr="003445F5">
        <w:rPr>
          <w:szCs w:val="22"/>
          <w:lang w:val="sr-Latn-ME"/>
        </w:rPr>
        <w:t>eme terapije lijekom Hukyndra pojave znakovi i simptomi koji upućuju na krvne diskrazije (npr. stalna povišena temperatura, stvaranje modrica, krvarenje, bl</w:t>
      </w:r>
      <w:r w:rsidR="00AC1691" w:rsidRPr="003445F5">
        <w:rPr>
          <w:szCs w:val="22"/>
          <w:lang w:val="sr-Latn-ME"/>
        </w:rPr>
        <w:t>j</w:t>
      </w:r>
      <w:r w:rsidRPr="003445F5">
        <w:rPr>
          <w:szCs w:val="22"/>
          <w:lang w:val="sr-Latn-ME"/>
        </w:rPr>
        <w:t xml:space="preserve">edilo). Ako se dokažu značajne hematološke abnormalnosti, potrebno je razmotriti prekid terapije lijekom Hukyndra kod takvih pacijenata. </w:t>
      </w:r>
    </w:p>
    <w:p w14:paraId="2B341F2D" w14:textId="77777777" w:rsidR="00631C85" w:rsidRPr="003445F5" w:rsidRDefault="00631C85" w:rsidP="00524FDF">
      <w:pPr>
        <w:rPr>
          <w:szCs w:val="22"/>
          <w:lang w:val="sr-Latn-ME"/>
        </w:rPr>
      </w:pPr>
    </w:p>
    <w:p w14:paraId="6B15CC6F" w14:textId="77777777" w:rsidR="00F323BE" w:rsidRPr="003445F5" w:rsidRDefault="00F323BE" w:rsidP="00F323BE">
      <w:pPr>
        <w:rPr>
          <w:szCs w:val="22"/>
          <w:u w:val="single"/>
          <w:lang w:val="sr-Latn-ME"/>
        </w:rPr>
      </w:pPr>
      <w:r w:rsidRPr="003445F5">
        <w:rPr>
          <w:szCs w:val="22"/>
          <w:u w:val="single"/>
          <w:lang w:val="sr-Latn-ME"/>
        </w:rPr>
        <w:t xml:space="preserve">Vakcinacije </w:t>
      </w:r>
    </w:p>
    <w:p w14:paraId="3E50B443" w14:textId="77777777" w:rsidR="00F323BE" w:rsidRPr="003445F5" w:rsidRDefault="00F323BE" w:rsidP="00F323BE">
      <w:pPr>
        <w:rPr>
          <w:szCs w:val="22"/>
          <w:lang w:val="sr-Latn-ME"/>
        </w:rPr>
      </w:pPr>
    </w:p>
    <w:p w14:paraId="7A8D00DA" w14:textId="77777777" w:rsidR="00CB6939" w:rsidRPr="003445F5" w:rsidRDefault="00CB6939" w:rsidP="00CB6939">
      <w:pPr>
        <w:rPr>
          <w:szCs w:val="22"/>
          <w:lang w:val="sr-Latn-ME"/>
        </w:rPr>
      </w:pPr>
      <w:r w:rsidRPr="003445F5">
        <w:rPr>
          <w:szCs w:val="22"/>
          <w:lang w:val="sr-Latn-ME"/>
        </w:rPr>
        <w:t xml:space="preserve">U studiji na 226 odraslih pacijenata sa reumatoidnim artritisom sličan odgovor antitijela na 23-valentnu pneumokoknu vakcinu i trovalentnu vakcinu protiv influence je zabilježen kod pacijenata liječenih adalimumabom ili placebom. Nema dostupnih podataka o sekundarnoj transmisiji živim vakcinama kod pacijenata liječenih adalimumabom. </w:t>
      </w:r>
    </w:p>
    <w:p w14:paraId="0E66B73D" w14:textId="77777777" w:rsidR="00CB6939" w:rsidRPr="003445F5" w:rsidRDefault="00CB6939" w:rsidP="00CB6939">
      <w:pPr>
        <w:rPr>
          <w:szCs w:val="22"/>
          <w:lang w:val="sr-Latn-ME"/>
        </w:rPr>
      </w:pPr>
    </w:p>
    <w:p w14:paraId="1590655F" w14:textId="77777777" w:rsidR="00CB6939" w:rsidRPr="003445F5" w:rsidRDefault="00CB6939" w:rsidP="00CB6939">
      <w:pPr>
        <w:rPr>
          <w:szCs w:val="22"/>
          <w:lang w:val="sr-Latn-ME"/>
        </w:rPr>
      </w:pPr>
      <w:r w:rsidRPr="003445F5">
        <w:rPr>
          <w:szCs w:val="22"/>
          <w:lang w:val="sr-Latn-ME"/>
        </w:rPr>
        <w:lastRenderedPageBreak/>
        <w:t xml:space="preserve">Preporučuje se da pedijatrijski pacijenti, ukoliko je to moguće, prime sve potrebne vakcine u skladu sa kalendarom obaveznih vakcinacija prije početka terapije lijekom Hukyndra. </w:t>
      </w:r>
    </w:p>
    <w:p w14:paraId="5F8DA88E" w14:textId="77777777" w:rsidR="00CB6939" w:rsidRPr="003445F5" w:rsidRDefault="00CB6939" w:rsidP="00CB6939">
      <w:pPr>
        <w:rPr>
          <w:szCs w:val="22"/>
          <w:lang w:val="sr-Latn-ME"/>
        </w:rPr>
      </w:pPr>
    </w:p>
    <w:p w14:paraId="58882E85" w14:textId="77777777" w:rsidR="00CB6939" w:rsidRPr="003445F5" w:rsidRDefault="00CB6939" w:rsidP="00CB6939">
      <w:pPr>
        <w:rPr>
          <w:szCs w:val="22"/>
          <w:lang w:val="sr-Latn-ME"/>
        </w:rPr>
      </w:pPr>
      <w:r w:rsidRPr="003445F5">
        <w:rPr>
          <w:szCs w:val="22"/>
          <w:lang w:val="sr-Latn-ME"/>
        </w:rPr>
        <w:t xml:space="preserve">Pacijenti koji primaju lijek Hukyndra mogu istovremeno primiti vakcine, ali ne žive. Primjena živih vakcina (npr. vakcina BCG) kod djece koja su bila izložena adalimumabu </w:t>
      </w:r>
      <w:r w:rsidRPr="003445F5">
        <w:rPr>
          <w:i/>
          <w:iCs/>
          <w:szCs w:val="22"/>
          <w:lang w:val="sr-Latn-ME"/>
        </w:rPr>
        <w:t>in utero</w:t>
      </w:r>
      <w:r w:rsidRPr="003445F5">
        <w:rPr>
          <w:szCs w:val="22"/>
          <w:lang w:val="sr-Latn-ME"/>
        </w:rPr>
        <w:t xml:space="preserve"> se ne preporučuje 5 mjeseci nakon posljednje injekcije adalimumaba koju je majka primila tokom trudnoće. </w:t>
      </w:r>
    </w:p>
    <w:p w14:paraId="54E4B3B5" w14:textId="77777777" w:rsidR="001F2D06" w:rsidRPr="003445F5" w:rsidRDefault="001F2D06" w:rsidP="00524FDF">
      <w:pPr>
        <w:rPr>
          <w:szCs w:val="22"/>
          <w:lang w:val="sr-Latn-ME"/>
        </w:rPr>
      </w:pPr>
    </w:p>
    <w:p w14:paraId="1C11D67A" w14:textId="77777777" w:rsidR="003E6A37" w:rsidRPr="003445F5" w:rsidRDefault="003E6A37" w:rsidP="003E6A37">
      <w:pPr>
        <w:rPr>
          <w:szCs w:val="22"/>
          <w:u w:val="single"/>
          <w:lang w:val="sr-Latn-ME"/>
        </w:rPr>
      </w:pPr>
      <w:r w:rsidRPr="003445F5">
        <w:rPr>
          <w:szCs w:val="22"/>
          <w:u w:val="single"/>
          <w:lang w:val="sr-Latn-ME"/>
        </w:rPr>
        <w:t xml:space="preserve">Kongestivna srčana insuficijencija </w:t>
      </w:r>
    </w:p>
    <w:p w14:paraId="735DB8F8" w14:textId="77777777" w:rsidR="003E6A37" w:rsidRPr="003445F5" w:rsidRDefault="003E6A37" w:rsidP="003E6A37">
      <w:pPr>
        <w:rPr>
          <w:szCs w:val="22"/>
          <w:lang w:val="sr-Latn-ME"/>
        </w:rPr>
      </w:pPr>
    </w:p>
    <w:p w14:paraId="6C19EC20" w14:textId="37AA6E94" w:rsidR="001F46C6" w:rsidRPr="003445F5" w:rsidRDefault="001F46C6" w:rsidP="001F46C6">
      <w:pPr>
        <w:rPr>
          <w:szCs w:val="22"/>
          <w:lang w:val="sr-Latn-ME"/>
        </w:rPr>
      </w:pPr>
      <w:r w:rsidRPr="003445F5">
        <w:rPr>
          <w:szCs w:val="22"/>
          <w:lang w:val="sr-Latn-ME"/>
        </w:rPr>
        <w:t>U kliničkom ispitivanju jednog drugog antagonista TNF-a zabilježeno je pogoršanje kongestivne srčane insuficijencije i povećana smrtnost zbog kongestivne srčane insuficijencije. Slučajevi pogoršanja kongestivne srčane insuficijencije takođe su prijavljeni i kod pacijenata liječenih adalimumabom. Zato se pacijentima sa blagom srčanom insuficijencijom (NYHA klasa I/II) lijek Hukyndra mora davati oprezno. Primjena lijeka Hukyndra je kontraindikovana kod pacijenata sa umjerenom do teškom srčanom insuficijencijom (</w:t>
      </w:r>
      <w:r w:rsidR="007E1F86" w:rsidRPr="003445F5">
        <w:rPr>
          <w:szCs w:val="22"/>
          <w:lang w:val="sr-Latn-ME"/>
        </w:rPr>
        <w:t>pogledati dio</w:t>
      </w:r>
      <w:r w:rsidRPr="003445F5">
        <w:rPr>
          <w:szCs w:val="22"/>
          <w:lang w:val="sr-Latn-ME"/>
        </w:rPr>
        <w:t xml:space="preserve"> 4.3). Ako se pojave novi ili pogoršaju postojeći simptomi kongestivne srčane insuficijencije, mora da se obustavi terapija lijekom Hukyndra. </w:t>
      </w:r>
    </w:p>
    <w:p w14:paraId="7AC47D52" w14:textId="77777777" w:rsidR="003E6A37" w:rsidRPr="003445F5" w:rsidRDefault="003E6A37" w:rsidP="003E6A37">
      <w:pPr>
        <w:rPr>
          <w:szCs w:val="22"/>
          <w:lang w:val="sr-Latn-ME"/>
        </w:rPr>
      </w:pPr>
    </w:p>
    <w:p w14:paraId="5F08AA4C" w14:textId="77777777" w:rsidR="003E6A37" w:rsidRPr="003445F5" w:rsidRDefault="003E6A37" w:rsidP="003E6A37">
      <w:pPr>
        <w:rPr>
          <w:szCs w:val="22"/>
          <w:u w:val="single"/>
          <w:lang w:val="sr-Latn-ME"/>
        </w:rPr>
      </w:pPr>
      <w:r w:rsidRPr="003445F5">
        <w:rPr>
          <w:szCs w:val="22"/>
          <w:u w:val="single"/>
          <w:lang w:val="sr-Latn-ME"/>
        </w:rPr>
        <w:t xml:space="preserve">Autoimunski procesi </w:t>
      </w:r>
    </w:p>
    <w:p w14:paraId="6A7A1B05" w14:textId="77777777" w:rsidR="003E6A37" w:rsidRPr="003445F5" w:rsidRDefault="003E6A37" w:rsidP="003E6A37">
      <w:pPr>
        <w:rPr>
          <w:szCs w:val="22"/>
          <w:lang w:val="sr-Latn-ME"/>
        </w:rPr>
      </w:pPr>
    </w:p>
    <w:p w14:paraId="6CC226C9" w14:textId="5B981832" w:rsidR="00DC47E0" w:rsidRPr="003445F5" w:rsidRDefault="00DC47E0" w:rsidP="00DC47E0">
      <w:pPr>
        <w:rPr>
          <w:szCs w:val="22"/>
          <w:lang w:val="sr-Latn-ME"/>
        </w:rPr>
      </w:pPr>
      <w:r w:rsidRPr="003445F5">
        <w:rPr>
          <w:szCs w:val="22"/>
          <w:lang w:val="sr-Latn-ME"/>
        </w:rPr>
        <w:t>Za vr</w:t>
      </w:r>
      <w:r w:rsidR="00AC1691" w:rsidRPr="003445F5">
        <w:rPr>
          <w:szCs w:val="22"/>
          <w:lang w:val="sr-Latn-ME"/>
        </w:rPr>
        <w:t>ij</w:t>
      </w:r>
      <w:r w:rsidRPr="003445F5">
        <w:rPr>
          <w:szCs w:val="22"/>
          <w:lang w:val="sr-Latn-ME"/>
        </w:rPr>
        <w:t>eme primjene lijeka Hukyndra mogu da se razviju autoimunska antitijela. Uticaj dugotrajnog liječenja adalimumabom na razvoj autoimunskih bolesti nije poznat. Ako pacijent nakon primjene lijeka Hukyndra razvije simptome koji ukazuju na sindrom sličan lupusu i pozitivan je na antitijela usmjerena protiv dvolančane DNK, terapija lijekom Hukyndra se ne smije nastaviti (</w:t>
      </w:r>
      <w:r w:rsidR="007E1F86" w:rsidRPr="003445F5">
        <w:rPr>
          <w:szCs w:val="22"/>
          <w:lang w:val="sr-Latn-ME"/>
        </w:rPr>
        <w:t>pogledati dio</w:t>
      </w:r>
      <w:r w:rsidRPr="003445F5">
        <w:rPr>
          <w:szCs w:val="22"/>
          <w:lang w:val="sr-Latn-ME"/>
        </w:rPr>
        <w:t xml:space="preserve"> 4.8) </w:t>
      </w:r>
    </w:p>
    <w:p w14:paraId="5C3B3CEE" w14:textId="77777777" w:rsidR="003E6A37" w:rsidRPr="003445F5" w:rsidRDefault="003E6A37" w:rsidP="003E6A37">
      <w:pPr>
        <w:rPr>
          <w:szCs w:val="22"/>
          <w:lang w:val="sr-Latn-ME"/>
        </w:rPr>
      </w:pPr>
    </w:p>
    <w:p w14:paraId="1C7EA764" w14:textId="77777777" w:rsidR="00FD7BB6" w:rsidRPr="003445F5" w:rsidRDefault="00FD7BB6" w:rsidP="00FD7BB6">
      <w:pPr>
        <w:rPr>
          <w:szCs w:val="22"/>
          <w:u w:val="single"/>
          <w:lang w:val="sr-Latn-ME"/>
        </w:rPr>
      </w:pPr>
      <w:r w:rsidRPr="003445F5">
        <w:rPr>
          <w:szCs w:val="22"/>
          <w:u w:val="single"/>
          <w:lang w:val="sr-Latn-ME"/>
        </w:rPr>
        <w:t xml:space="preserve">Istovremena primjena bioloških antireumatskih ljekova koji modifikuju tok bolesti (DMARD) ili TNF-antagonista </w:t>
      </w:r>
    </w:p>
    <w:p w14:paraId="41E8631F" w14:textId="77777777" w:rsidR="00FD7BB6" w:rsidRPr="003445F5" w:rsidRDefault="00FD7BB6" w:rsidP="00FD7BB6">
      <w:pPr>
        <w:rPr>
          <w:szCs w:val="22"/>
          <w:lang w:val="sr-Latn-ME"/>
        </w:rPr>
      </w:pPr>
    </w:p>
    <w:p w14:paraId="0B2F7428" w14:textId="6180FC88" w:rsidR="00FD7BB6" w:rsidRPr="003445F5" w:rsidRDefault="00FD7BB6" w:rsidP="00FD7BB6">
      <w:pPr>
        <w:rPr>
          <w:szCs w:val="22"/>
          <w:lang w:val="sr-Latn-ME"/>
        </w:rPr>
      </w:pPr>
      <w:r w:rsidRPr="003445F5">
        <w:rPr>
          <w:szCs w:val="22"/>
          <w:lang w:val="sr-Latn-ME"/>
        </w:rPr>
        <w:t>U kliničkim ispitivanjima istovremene primjene anakinre i drugog TNF-antagonista, etanercepta, zabilježene su ozbiljne infekcije, a pritom nije bilo dodatne kliničke koristi u odnosu na monoterapiju etanerceptom. S obzirom na prirodu neželjenih događaja primjećenih pri istovremenoj primjeni anakinre i etanercepta, slične toksičnosti se takođe mogu pojaviti i za vr</w:t>
      </w:r>
      <w:r w:rsidR="00AC1691" w:rsidRPr="003445F5">
        <w:rPr>
          <w:szCs w:val="22"/>
          <w:lang w:val="sr-Latn-ME"/>
        </w:rPr>
        <w:t>ij</w:t>
      </w:r>
      <w:r w:rsidRPr="003445F5">
        <w:rPr>
          <w:szCs w:val="22"/>
          <w:lang w:val="sr-Latn-ME"/>
        </w:rPr>
        <w:t>eme liječenja anakinrom u kombinaciji sa drugim TNF-antagonistima. Stoga se istovremena primjena adalimumaba i anakinre ne preporučuje (</w:t>
      </w:r>
      <w:r w:rsidR="007E1F86" w:rsidRPr="003445F5">
        <w:rPr>
          <w:szCs w:val="22"/>
          <w:lang w:val="sr-Latn-ME"/>
        </w:rPr>
        <w:t>pogledati dio</w:t>
      </w:r>
      <w:r w:rsidRPr="003445F5">
        <w:rPr>
          <w:szCs w:val="22"/>
          <w:lang w:val="sr-Latn-ME"/>
        </w:rPr>
        <w:t xml:space="preserve"> 4.5). </w:t>
      </w:r>
    </w:p>
    <w:p w14:paraId="3687D87B" w14:textId="77777777" w:rsidR="00FD7BB6" w:rsidRPr="003445F5" w:rsidRDefault="00FD7BB6" w:rsidP="00FD7BB6">
      <w:pPr>
        <w:rPr>
          <w:szCs w:val="22"/>
          <w:lang w:val="sr-Latn-ME"/>
        </w:rPr>
      </w:pPr>
    </w:p>
    <w:p w14:paraId="1488B822" w14:textId="495E8BE1" w:rsidR="00FD7BB6" w:rsidRPr="003445F5" w:rsidRDefault="00FD7BB6" w:rsidP="00FD7BB6">
      <w:pPr>
        <w:rPr>
          <w:szCs w:val="22"/>
          <w:lang w:val="sr-Latn-ME"/>
        </w:rPr>
      </w:pPr>
      <w:r w:rsidRPr="003445F5">
        <w:rPr>
          <w:szCs w:val="22"/>
          <w:lang w:val="sr-Latn-ME"/>
        </w:rPr>
        <w:t>Istovremena primjena adalimumaba i drugih bioloških antireumatskih ljekova koji modifikuju tok bolesti (npr. anakinra i abatacept) ili drugih TNF-antagonista se ne preporučuje zbog mogućeg povećanog rizika od razvoja infekcija, uključujući ozbiljne infekcije, i drugih potencijalnih farmakoloških interakcija (</w:t>
      </w:r>
      <w:r w:rsidR="007E1F86" w:rsidRPr="003445F5">
        <w:rPr>
          <w:szCs w:val="22"/>
          <w:lang w:val="sr-Latn-ME"/>
        </w:rPr>
        <w:t>pogledati dio</w:t>
      </w:r>
      <w:r w:rsidRPr="003445F5">
        <w:rPr>
          <w:szCs w:val="22"/>
          <w:lang w:val="sr-Latn-ME"/>
        </w:rPr>
        <w:t xml:space="preserve"> 4.5). </w:t>
      </w:r>
    </w:p>
    <w:p w14:paraId="7CC18D43" w14:textId="77777777" w:rsidR="008564DD" w:rsidRPr="003445F5" w:rsidRDefault="008564DD" w:rsidP="008564DD">
      <w:pPr>
        <w:rPr>
          <w:szCs w:val="22"/>
          <w:lang w:val="sr-Latn-ME"/>
        </w:rPr>
      </w:pPr>
    </w:p>
    <w:p w14:paraId="285546EA" w14:textId="77777777" w:rsidR="008564DD" w:rsidRPr="003445F5" w:rsidRDefault="008564DD" w:rsidP="008564DD">
      <w:pPr>
        <w:rPr>
          <w:szCs w:val="22"/>
          <w:u w:val="single"/>
          <w:lang w:val="sr-Latn-ME"/>
        </w:rPr>
      </w:pPr>
      <w:r w:rsidRPr="003445F5">
        <w:rPr>
          <w:szCs w:val="22"/>
          <w:u w:val="single"/>
          <w:lang w:val="sr-Latn-ME"/>
        </w:rPr>
        <w:t xml:space="preserve">Hirurške intervencije </w:t>
      </w:r>
    </w:p>
    <w:p w14:paraId="6A8E5759" w14:textId="77777777" w:rsidR="008564DD" w:rsidRPr="003445F5" w:rsidRDefault="008564DD" w:rsidP="008564DD">
      <w:pPr>
        <w:rPr>
          <w:szCs w:val="22"/>
          <w:lang w:val="sr-Latn-ME"/>
        </w:rPr>
      </w:pPr>
    </w:p>
    <w:p w14:paraId="0A9C11B7" w14:textId="34D1844E" w:rsidR="00F177EA" w:rsidRPr="003445F5" w:rsidRDefault="00F177EA" w:rsidP="00F177EA">
      <w:pPr>
        <w:rPr>
          <w:szCs w:val="22"/>
          <w:lang w:val="sr-Latn-ME"/>
        </w:rPr>
      </w:pPr>
      <w:r w:rsidRPr="003445F5">
        <w:rPr>
          <w:szCs w:val="22"/>
          <w:lang w:val="sr-Latn-ME"/>
        </w:rPr>
        <w:t xml:space="preserve">Raspoloživi podaci o bezbjednosti hirurških zahvata kod pacijenata liječenih adalimumabom su ograničeni. Pri planiranju operacije treba voditi računa o dugom poluvremenu eliminacije adalimumaba. Pacijenta kome je </w:t>
      </w:r>
      <w:r w:rsidR="00AC1691" w:rsidRPr="003445F5">
        <w:rPr>
          <w:szCs w:val="22"/>
          <w:lang w:val="sr-Latn-ME"/>
        </w:rPr>
        <w:t>za vrijeme</w:t>
      </w:r>
      <w:r w:rsidRPr="003445F5">
        <w:rPr>
          <w:szCs w:val="22"/>
          <w:lang w:val="sr-Latn-ME"/>
        </w:rPr>
        <w:t xml:space="preserve"> terapije lijekom Hukyndra potreban operativni zahvat potrebno je pažljivo pratiti zbog moguće pojave infekcija i preduzeti odgovarajuće mjere. Raspoloživi podaci o bezbjednosti pacijenata koji se podvrgnu artroplastici liječenih adalimumabom su ograničeni.</w:t>
      </w:r>
    </w:p>
    <w:p w14:paraId="79F4C26D" w14:textId="3DD3D9FE" w:rsidR="00E55C51" w:rsidRPr="003445F5" w:rsidRDefault="00E55C51" w:rsidP="00524FDF">
      <w:pPr>
        <w:rPr>
          <w:szCs w:val="22"/>
          <w:lang w:val="sr-Latn-ME"/>
        </w:rPr>
      </w:pPr>
    </w:p>
    <w:p w14:paraId="6F39B1B0" w14:textId="77777777" w:rsidR="00DA4F6F" w:rsidRPr="003445F5" w:rsidRDefault="00DA4F6F" w:rsidP="00DA4F6F">
      <w:pPr>
        <w:rPr>
          <w:szCs w:val="22"/>
          <w:u w:val="single"/>
          <w:lang w:val="sr-Latn-ME"/>
        </w:rPr>
      </w:pPr>
      <w:r w:rsidRPr="003445F5">
        <w:rPr>
          <w:szCs w:val="22"/>
          <w:u w:val="single"/>
          <w:lang w:val="sr-Latn-ME"/>
        </w:rPr>
        <w:t xml:space="preserve">Opstrukcija tankog crijeva </w:t>
      </w:r>
    </w:p>
    <w:p w14:paraId="1362958A" w14:textId="77777777" w:rsidR="00DA4F6F" w:rsidRPr="003445F5" w:rsidRDefault="00DA4F6F" w:rsidP="00DA4F6F">
      <w:pPr>
        <w:rPr>
          <w:szCs w:val="22"/>
          <w:lang w:val="sr-Latn-ME"/>
        </w:rPr>
      </w:pPr>
    </w:p>
    <w:p w14:paraId="480F987D" w14:textId="77777777" w:rsidR="00DA4F6F" w:rsidRPr="003445F5" w:rsidRDefault="00DA4F6F" w:rsidP="00DA4F6F">
      <w:pPr>
        <w:rPr>
          <w:szCs w:val="22"/>
          <w:lang w:val="sr-Latn-ME"/>
        </w:rPr>
      </w:pPr>
      <w:r w:rsidRPr="003445F5">
        <w:rPr>
          <w:szCs w:val="22"/>
          <w:lang w:val="sr-Latn-ME"/>
        </w:rPr>
        <w:t xml:space="preserve">Neuspješan odgovor na terapiju za </w:t>
      </w:r>
      <w:r w:rsidRPr="003445F5">
        <w:rPr>
          <w:i/>
          <w:iCs/>
          <w:szCs w:val="22"/>
          <w:lang w:val="sr-Latn-ME"/>
        </w:rPr>
        <w:t>Crohn</w:t>
      </w:r>
      <w:r w:rsidRPr="003445F5">
        <w:rPr>
          <w:szCs w:val="22"/>
          <w:lang w:val="sr-Latn-ME"/>
        </w:rPr>
        <w:t xml:space="preserve">-ovu bolest može biti znak fiksne fibrozne strikture koju je možda potrebno hirurški liječiti. Dostupni podaci pokazuju da adalimumab ne uzrokuje i ne pogoršava strikture. </w:t>
      </w:r>
    </w:p>
    <w:p w14:paraId="1959C695" w14:textId="77777777" w:rsidR="00DA4F6F" w:rsidRPr="003445F5" w:rsidRDefault="00DA4F6F" w:rsidP="00DA4F6F">
      <w:pPr>
        <w:rPr>
          <w:szCs w:val="22"/>
          <w:lang w:val="sr-Latn-ME"/>
        </w:rPr>
      </w:pPr>
    </w:p>
    <w:p w14:paraId="24240D6F" w14:textId="4F7546B5" w:rsidR="00DA4F6F" w:rsidRPr="003445F5" w:rsidRDefault="00DA4F6F" w:rsidP="00DA4F6F">
      <w:pPr>
        <w:rPr>
          <w:szCs w:val="22"/>
          <w:u w:val="single"/>
          <w:lang w:val="sr-Latn-ME"/>
        </w:rPr>
      </w:pPr>
      <w:r w:rsidRPr="003445F5">
        <w:rPr>
          <w:szCs w:val="22"/>
          <w:u w:val="single"/>
          <w:lang w:val="sr-Latn-ME"/>
        </w:rPr>
        <w:t>Starije os</w:t>
      </w:r>
      <w:r w:rsidR="00704AF5" w:rsidRPr="003445F5">
        <w:rPr>
          <w:szCs w:val="22"/>
          <w:u w:val="single"/>
          <w:lang w:val="sr-Latn-ME"/>
        </w:rPr>
        <w:t>obe</w:t>
      </w:r>
      <w:r w:rsidRPr="003445F5">
        <w:rPr>
          <w:szCs w:val="22"/>
          <w:u w:val="single"/>
          <w:lang w:val="sr-Latn-ME"/>
        </w:rPr>
        <w:t xml:space="preserve"> </w:t>
      </w:r>
    </w:p>
    <w:p w14:paraId="162423DC" w14:textId="77777777" w:rsidR="00DA4F6F" w:rsidRPr="003445F5" w:rsidRDefault="00DA4F6F" w:rsidP="00DA4F6F">
      <w:pPr>
        <w:rPr>
          <w:szCs w:val="22"/>
          <w:lang w:val="sr-Latn-ME"/>
        </w:rPr>
      </w:pPr>
    </w:p>
    <w:p w14:paraId="03805BCF" w14:textId="77777777" w:rsidR="00DA4F6F" w:rsidRPr="003445F5" w:rsidRDefault="00DA4F6F" w:rsidP="00DA4F6F">
      <w:pPr>
        <w:rPr>
          <w:szCs w:val="22"/>
          <w:lang w:val="sr-Latn-ME"/>
        </w:rPr>
      </w:pPr>
      <w:r w:rsidRPr="003445F5">
        <w:rPr>
          <w:szCs w:val="22"/>
          <w:lang w:val="sr-Latn-ME"/>
        </w:rPr>
        <w:lastRenderedPageBreak/>
        <w:t xml:space="preserve">Učestalost ozbiljnih infekcija među pacijentima liječenim adalimumabom veća je kod osoba starijih od 65 godina (3,7%) nego kod osoba mlađih od 65 godina (1,5%). Neke od tih infekcija imale su smrtni ishod. Stoga se tokom liječenja starijih osoba mora obratiti posebna pažnja na mogući rizik od infekcije. </w:t>
      </w:r>
    </w:p>
    <w:p w14:paraId="6E4EC01B" w14:textId="77777777" w:rsidR="00DA4F6F" w:rsidRPr="003445F5" w:rsidRDefault="00DA4F6F" w:rsidP="00DA4F6F">
      <w:pPr>
        <w:rPr>
          <w:szCs w:val="22"/>
          <w:lang w:val="sr-Latn-ME"/>
        </w:rPr>
      </w:pPr>
    </w:p>
    <w:p w14:paraId="5E2CB694" w14:textId="77777777" w:rsidR="00DA4F6F" w:rsidRPr="003445F5" w:rsidRDefault="00DA4F6F" w:rsidP="00DA4F6F">
      <w:pPr>
        <w:rPr>
          <w:szCs w:val="22"/>
          <w:u w:val="single"/>
          <w:lang w:val="sr-Latn-ME"/>
        </w:rPr>
      </w:pPr>
      <w:r w:rsidRPr="003445F5">
        <w:rPr>
          <w:szCs w:val="22"/>
          <w:u w:val="single"/>
          <w:lang w:val="sr-Latn-ME"/>
        </w:rPr>
        <w:t xml:space="preserve">Pedijatrijska populacija </w:t>
      </w:r>
    </w:p>
    <w:p w14:paraId="746545D2" w14:textId="77777777" w:rsidR="00DA4F6F" w:rsidRPr="003445F5" w:rsidRDefault="00DA4F6F" w:rsidP="00DA4F6F">
      <w:pPr>
        <w:rPr>
          <w:szCs w:val="22"/>
          <w:lang w:val="sr-Latn-ME"/>
        </w:rPr>
      </w:pPr>
    </w:p>
    <w:p w14:paraId="6C34855E" w14:textId="77777777" w:rsidR="00DA4F6F" w:rsidRPr="003445F5" w:rsidRDefault="00DA4F6F" w:rsidP="00DA4F6F">
      <w:pPr>
        <w:rPr>
          <w:szCs w:val="22"/>
          <w:lang w:val="sr-Latn-ME"/>
        </w:rPr>
      </w:pPr>
      <w:r w:rsidRPr="003445F5">
        <w:rPr>
          <w:szCs w:val="22"/>
          <w:lang w:val="sr-Latn-ME"/>
        </w:rPr>
        <w:t xml:space="preserve">Vidjeti prethodno naveden dio „Vakcinacije“. </w:t>
      </w:r>
    </w:p>
    <w:p w14:paraId="35ED5F8F" w14:textId="77777777" w:rsidR="00DA4F6F" w:rsidRPr="003445F5" w:rsidRDefault="00DA4F6F" w:rsidP="00DA4F6F">
      <w:pPr>
        <w:rPr>
          <w:szCs w:val="22"/>
          <w:lang w:val="sr-Latn-ME"/>
        </w:rPr>
      </w:pPr>
    </w:p>
    <w:p w14:paraId="6E77C6E4" w14:textId="77777777" w:rsidR="00DA4F6F" w:rsidRPr="003445F5" w:rsidRDefault="00DA4F6F" w:rsidP="00DA4F6F">
      <w:pPr>
        <w:rPr>
          <w:szCs w:val="22"/>
          <w:u w:val="single"/>
          <w:lang w:val="sr-Latn-ME"/>
        </w:rPr>
      </w:pPr>
      <w:r w:rsidRPr="003445F5">
        <w:rPr>
          <w:szCs w:val="22"/>
          <w:u w:val="single"/>
          <w:lang w:val="sr-Latn-ME"/>
        </w:rPr>
        <w:t xml:space="preserve">Sadržaj natrijuma </w:t>
      </w:r>
    </w:p>
    <w:p w14:paraId="0415FFC9" w14:textId="77777777" w:rsidR="00DA4F6F" w:rsidRPr="003445F5" w:rsidRDefault="00DA4F6F" w:rsidP="00DA4F6F">
      <w:pPr>
        <w:rPr>
          <w:szCs w:val="22"/>
          <w:lang w:val="sr-Latn-ME"/>
        </w:rPr>
      </w:pPr>
    </w:p>
    <w:p w14:paraId="5B02654F" w14:textId="61266FAF" w:rsidR="00DA4F6F" w:rsidRPr="003445F5" w:rsidRDefault="00DA4F6F" w:rsidP="00DA4F6F">
      <w:pPr>
        <w:rPr>
          <w:szCs w:val="22"/>
          <w:lang w:val="sr-Latn-ME"/>
        </w:rPr>
      </w:pPr>
      <w:r w:rsidRPr="003445F5">
        <w:rPr>
          <w:szCs w:val="22"/>
          <w:lang w:val="sr-Latn-ME"/>
        </w:rPr>
        <w:t>Ovaj lijek sadrži manje od 1 mmol (23 mg) natrijuma po dozi od 0,</w:t>
      </w:r>
      <w:r w:rsidR="00751832" w:rsidRPr="003445F5">
        <w:rPr>
          <w:szCs w:val="22"/>
          <w:lang w:val="sr-Latn-ME"/>
        </w:rPr>
        <w:t>8</w:t>
      </w:r>
      <w:r w:rsidRPr="003445F5">
        <w:rPr>
          <w:szCs w:val="22"/>
          <w:lang w:val="sr-Latn-ME"/>
        </w:rPr>
        <w:t xml:space="preserve"> m</w:t>
      </w:r>
      <w:r w:rsidR="00CA5EC3" w:rsidRPr="003445F5">
        <w:rPr>
          <w:szCs w:val="22"/>
          <w:lang w:val="sr-Latn-ME"/>
        </w:rPr>
        <w:t>l</w:t>
      </w:r>
      <w:r w:rsidRPr="003445F5">
        <w:rPr>
          <w:szCs w:val="22"/>
          <w:lang w:val="sr-Latn-ME"/>
        </w:rPr>
        <w:t>, tj. suštinski je „bez natrijuma“.</w:t>
      </w:r>
    </w:p>
    <w:p w14:paraId="16707813" w14:textId="77777777" w:rsidR="00E55C51" w:rsidRPr="003445F5" w:rsidRDefault="00E55C51" w:rsidP="00524FDF">
      <w:pPr>
        <w:rPr>
          <w:szCs w:val="22"/>
          <w:lang w:val="sr-Latn-ME"/>
        </w:rPr>
      </w:pPr>
    </w:p>
    <w:p w14:paraId="072D43C8" w14:textId="490DC56F" w:rsidR="00CE09F3" w:rsidRPr="003445F5" w:rsidRDefault="00CE09F3" w:rsidP="00524FDF">
      <w:pPr>
        <w:rPr>
          <w:b/>
          <w:bCs/>
          <w:szCs w:val="22"/>
          <w:lang w:val="sr-Latn-ME"/>
        </w:rPr>
      </w:pPr>
      <w:r w:rsidRPr="003445F5">
        <w:rPr>
          <w:b/>
          <w:bCs/>
          <w:szCs w:val="22"/>
          <w:lang w:val="sr-Latn-ME"/>
        </w:rPr>
        <w:t>4.5. Interakcije sa drugim l</w:t>
      </w:r>
      <w:r w:rsidR="00DA4F6F" w:rsidRPr="003445F5">
        <w:rPr>
          <w:b/>
          <w:bCs/>
          <w:szCs w:val="22"/>
          <w:lang w:val="sr-Latn-ME"/>
        </w:rPr>
        <w:t>j</w:t>
      </w:r>
      <w:r w:rsidRPr="003445F5">
        <w:rPr>
          <w:b/>
          <w:bCs/>
          <w:szCs w:val="22"/>
          <w:lang w:val="sr-Latn-ME"/>
        </w:rPr>
        <w:t>ekovima i druge vrste interakcija</w:t>
      </w:r>
    </w:p>
    <w:p w14:paraId="072D43C9" w14:textId="77777777" w:rsidR="00CE09F3" w:rsidRPr="003445F5" w:rsidRDefault="00CE09F3" w:rsidP="00524FDF">
      <w:pPr>
        <w:rPr>
          <w:szCs w:val="22"/>
          <w:lang w:val="sr-Latn-ME"/>
        </w:rPr>
      </w:pPr>
    </w:p>
    <w:p w14:paraId="7B5BD64E" w14:textId="0220076C" w:rsidR="0041210F" w:rsidRPr="003445F5" w:rsidRDefault="0041210F" w:rsidP="0041210F">
      <w:pPr>
        <w:rPr>
          <w:szCs w:val="22"/>
          <w:lang w:val="sr-Latn-ME"/>
        </w:rPr>
      </w:pPr>
      <w:r w:rsidRPr="003445F5">
        <w:rPr>
          <w:szCs w:val="22"/>
          <w:lang w:val="sr-Latn-ME"/>
        </w:rPr>
        <w:t>Adalimumab je ispitivan kod pacijenata sa reumatoidnim artritisom, poliartikularnim juvenilnim idiopatskim artritisom i psorijaznim artritisom koji su dobijali adalimumab kao monoterapiju i kod onih koji su istovremeno uzimali i metotreksat. Stvaranje antitijela bilo je manje kada se adalimumab davao zajedno sa metotreksatom nego kada se primjenjivao kao monoterapija. Primjena adalimumaba bez metotreksata rezultirala je povećanim stvaranjem antitijela, povećanim klirensom i smanjenom efikasnošću adalimumaba (</w:t>
      </w:r>
      <w:r w:rsidR="007E1F86" w:rsidRPr="003445F5">
        <w:rPr>
          <w:szCs w:val="22"/>
          <w:lang w:val="sr-Latn-ME"/>
        </w:rPr>
        <w:t>pogledati dio</w:t>
      </w:r>
      <w:r w:rsidRPr="003445F5">
        <w:rPr>
          <w:szCs w:val="22"/>
          <w:lang w:val="sr-Latn-ME"/>
        </w:rPr>
        <w:t xml:space="preserve"> 5.1). </w:t>
      </w:r>
    </w:p>
    <w:p w14:paraId="0D396194" w14:textId="77777777" w:rsidR="0041210F" w:rsidRPr="003445F5" w:rsidRDefault="0041210F" w:rsidP="0041210F">
      <w:pPr>
        <w:rPr>
          <w:szCs w:val="22"/>
          <w:lang w:val="sr-Latn-ME"/>
        </w:rPr>
      </w:pPr>
    </w:p>
    <w:p w14:paraId="6D612C53" w14:textId="49659B10" w:rsidR="0041210F" w:rsidRPr="003445F5" w:rsidRDefault="0041210F" w:rsidP="0041210F">
      <w:pPr>
        <w:rPr>
          <w:szCs w:val="22"/>
          <w:lang w:val="sr-Latn-ME"/>
        </w:rPr>
      </w:pPr>
      <w:r w:rsidRPr="003445F5">
        <w:rPr>
          <w:szCs w:val="22"/>
          <w:lang w:val="sr-Latn-ME"/>
        </w:rPr>
        <w:t>Kombinovana terapija adalimumabom i anakinrom se ne preporučuje (</w:t>
      </w:r>
      <w:r w:rsidR="007E1F86" w:rsidRPr="003445F5">
        <w:rPr>
          <w:szCs w:val="22"/>
          <w:lang w:val="sr-Latn-ME"/>
        </w:rPr>
        <w:t>pogledati dio</w:t>
      </w:r>
      <w:r w:rsidRPr="003445F5">
        <w:rPr>
          <w:szCs w:val="22"/>
          <w:lang w:val="sr-Latn-ME"/>
        </w:rPr>
        <w:t xml:space="preserve"> 4.4 „Istovremena primjena bioloških antireumatskih ljekova koji modifikuju tok bolesti (DMARD) ili TNF-antagonista“). </w:t>
      </w:r>
    </w:p>
    <w:p w14:paraId="43EE69E2" w14:textId="77777777" w:rsidR="0041210F" w:rsidRPr="003445F5" w:rsidRDefault="0041210F" w:rsidP="0041210F">
      <w:pPr>
        <w:rPr>
          <w:szCs w:val="22"/>
          <w:lang w:val="sr-Latn-ME"/>
        </w:rPr>
      </w:pPr>
    </w:p>
    <w:p w14:paraId="2C60D526" w14:textId="7F5BAA83" w:rsidR="0041210F" w:rsidRPr="003445F5" w:rsidRDefault="0041210F" w:rsidP="0041210F">
      <w:pPr>
        <w:rPr>
          <w:szCs w:val="22"/>
          <w:lang w:val="sr-Latn-ME"/>
        </w:rPr>
      </w:pPr>
      <w:r w:rsidRPr="003445F5">
        <w:rPr>
          <w:szCs w:val="22"/>
          <w:lang w:val="sr-Latn-ME"/>
        </w:rPr>
        <w:t>Kombinovana terapija adalimumabom i abataceptom se ne preporučuje (</w:t>
      </w:r>
      <w:r w:rsidR="007E1F86" w:rsidRPr="003445F5">
        <w:rPr>
          <w:szCs w:val="22"/>
          <w:lang w:val="sr-Latn-ME"/>
        </w:rPr>
        <w:t>pogledati dio</w:t>
      </w:r>
      <w:r w:rsidRPr="003445F5">
        <w:rPr>
          <w:szCs w:val="22"/>
          <w:lang w:val="sr-Latn-ME"/>
        </w:rPr>
        <w:t xml:space="preserve"> 4.4 „Istovremena primjena bioloških antireumatskih ljekova koji modifikuju tok bolesti (DMARD) ili TNF-antagonista“).</w:t>
      </w:r>
    </w:p>
    <w:p w14:paraId="05582D9D" w14:textId="77777777" w:rsidR="00E55C51" w:rsidRPr="003445F5" w:rsidRDefault="00E55C51" w:rsidP="00524FDF">
      <w:pPr>
        <w:rPr>
          <w:szCs w:val="22"/>
          <w:lang w:val="sr-Latn-ME"/>
        </w:rPr>
      </w:pPr>
    </w:p>
    <w:p w14:paraId="072D43CB" w14:textId="77777777" w:rsidR="00CE09F3" w:rsidRPr="003445F5" w:rsidRDefault="00CE09F3" w:rsidP="00524FDF">
      <w:pPr>
        <w:rPr>
          <w:b/>
          <w:bCs/>
          <w:szCs w:val="22"/>
          <w:lang w:val="sr-Latn-ME"/>
        </w:rPr>
      </w:pPr>
      <w:r w:rsidRPr="003445F5">
        <w:rPr>
          <w:b/>
          <w:bCs/>
          <w:szCs w:val="22"/>
          <w:lang w:val="sr-Latn-ME"/>
        </w:rPr>
        <w:t>4.6. Plodnost, trudnoća i dojenje</w:t>
      </w:r>
    </w:p>
    <w:p w14:paraId="072D43CC" w14:textId="7EFF8A66" w:rsidR="00CE09F3" w:rsidRPr="003445F5" w:rsidRDefault="00CE09F3" w:rsidP="00524FDF">
      <w:pPr>
        <w:rPr>
          <w:szCs w:val="22"/>
          <w:lang w:val="sr-Latn-ME"/>
        </w:rPr>
      </w:pPr>
    </w:p>
    <w:p w14:paraId="11588603" w14:textId="77777777" w:rsidR="00621F0A" w:rsidRPr="003445F5" w:rsidRDefault="00621F0A" w:rsidP="00621F0A">
      <w:pPr>
        <w:rPr>
          <w:szCs w:val="22"/>
          <w:u w:val="single"/>
          <w:lang w:val="sr-Latn-ME"/>
        </w:rPr>
      </w:pPr>
      <w:r w:rsidRPr="003445F5">
        <w:rPr>
          <w:szCs w:val="22"/>
          <w:u w:val="single"/>
          <w:lang w:val="sr-Latn-ME"/>
        </w:rPr>
        <w:t>Žene u reproduktivnom periodu</w:t>
      </w:r>
    </w:p>
    <w:p w14:paraId="0C19D9BD" w14:textId="77777777" w:rsidR="00621F0A" w:rsidRPr="003445F5" w:rsidRDefault="00621F0A" w:rsidP="00621F0A">
      <w:pPr>
        <w:rPr>
          <w:szCs w:val="22"/>
          <w:lang w:val="sr-Latn-ME"/>
        </w:rPr>
      </w:pPr>
    </w:p>
    <w:p w14:paraId="459F7A43" w14:textId="737A2552" w:rsidR="00797C87" w:rsidRPr="003445F5" w:rsidRDefault="00797C87" w:rsidP="00797C87">
      <w:pPr>
        <w:rPr>
          <w:szCs w:val="22"/>
          <w:lang w:val="sr-Latn-ME"/>
        </w:rPr>
      </w:pPr>
      <w:r w:rsidRPr="003445F5">
        <w:rPr>
          <w:szCs w:val="22"/>
          <w:lang w:val="sr-Latn-ME"/>
        </w:rPr>
        <w:t xml:space="preserve">Žene u reproduktivnom periodu treba da razmotre korišćenje odgovarajuće kontracepcije kako bi </w:t>
      </w:r>
      <w:r w:rsidR="00AC1691" w:rsidRPr="003445F5">
        <w:rPr>
          <w:szCs w:val="22"/>
          <w:lang w:val="sr-Latn-ME"/>
        </w:rPr>
        <w:t>s</w:t>
      </w:r>
      <w:r w:rsidR="00994777" w:rsidRPr="003445F5">
        <w:rPr>
          <w:szCs w:val="22"/>
          <w:lang w:val="sr-Latn-ME"/>
        </w:rPr>
        <w:t>p</w:t>
      </w:r>
      <w:r w:rsidR="00AC1691" w:rsidRPr="003445F5">
        <w:rPr>
          <w:szCs w:val="22"/>
          <w:lang w:val="sr-Latn-ME"/>
        </w:rPr>
        <w:t>riječile</w:t>
      </w:r>
      <w:r w:rsidRPr="003445F5">
        <w:rPr>
          <w:szCs w:val="22"/>
          <w:lang w:val="sr-Latn-ME"/>
        </w:rPr>
        <w:t xml:space="preserve"> trudnoću i trebalo bi da nastave da je koriste još najmanje pet mjeseci nakon posljednje doze lijeka Hukyndra. </w:t>
      </w:r>
    </w:p>
    <w:p w14:paraId="0E350A2E" w14:textId="77777777" w:rsidR="00621F0A" w:rsidRPr="003445F5" w:rsidRDefault="00621F0A" w:rsidP="00621F0A">
      <w:pPr>
        <w:rPr>
          <w:szCs w:val="22"/>
          <w:lang w:val="sr-Latn-ME"/>
        </w:rPr>
      </w:pPr>
    </w:p>
    <w:p w14:paraId="23D4486D" w14:textId="77777777" w:rsidR="00621F0A" w:rsidRPr="003445F5" w:rsidRDefault="00621F0A" w:rsidP="00621F0A">
      <w:pPr>
        <w:rPr>
          <w:szCs w:val="22"/>
          <w:u w:val="single"/>
          <w:lang w:val="sr-Latn-ME"/>
        </w:rPr>
      </w:pPr>
      <w:r w:rsidRPr="003445F5">
        <w:rPr>
          <w:szCs w:val="22"/>
          <w:u w:val="single"/>
          <w:lang w:val="sr-Latn-ME"/>
        </w:rPr>
        <w:t xml:space="preserve">Trudnoća </w:t>
      </w:r>
    </w:p>
    <w:p w14:paraId="21EB3C8A" w14:textId="77777777" w:rsidR="00621F0A" w:rsidRPr="003445F5" w:rsidRDefault="00621F0A" w:rsidP="00621F0A">
      <w:pPr>
        <w:rPr>
          <w:szCs w:val="22"/>
          <w:lang w:val="sr-Latn-ME"/>
        </w:rPr>
      </w:pPr>
    </w:p>
    <w:p w14:paraId="7764FA86" w14:textId="667CB1F6" w:rsidR="00FB347D" w:rsidRPr="003445F5" w:rsidRDefault="00FB347D" w:rsidP="00FB347D">
      <w:pPr>
        <w:rPr>
          <w:szCs w:val="22"/>
          <w:lang w:val="sr-Latn-ME"/>
        </w:rPr>
      </w:pPr>
      <w:r w:rsidRPr="003445F5">
        <w:rPr>
          <w:szCs w:val="22"/>
          <w:lang w:val="sr-Latn-ME"/>
        </w:rPr>
        <w:t xml:space="preserve">Prospektivno prikupljeni podaci o velikom broju trudnoća izloženih adalimumabu (približno 2100) sa živorođenom </w:t>
      </w:r>
      <w:r w:rsidR="00AC1691" w:rsidRPr="003445F5">
        <w:rPr>
          <w:szCs w:val="22"/>
          <w:lang w:val="sr-Latn-ME"/>
        </w:rPr>
        <w:t>djecom</w:t>
      </w:r>
      <w:r w:rsidRPr="003445F5">
        <w:rPr>
          <w:szCs w:val="22"/>
          <w:lang w:val="sr-Latn-ME"/>
        </w:rPr>
        <w:t xml:space="preserve"> sa poznatim ishodom, uključujući više od 1500 trudnoća izloženih tokom prvog tromjesečja, ne ukazuju na povećanu stopu malformacija kod novorođenčeta. </w:t>
      </w:r>
    </w:p>
    <w:p w14:paraId="77EBF02C" w14:textId="77777777" w:rsidR="00FB347D" w:rsidRPr="003445F5" w:rsidRDefault="00FB347D" w:rsidP="00FB347D">
      <w:pPr>
        <w:rPr>
          <w:szCs w:val="22"/>
          <w:lang w:val="sr-Latn-ME"/>
        </w:rPr>
      </w:pPr>
    </w:p>
    <w:p w14:paraId="3169ADD0" w14:textId="7793C0DD" w:rsidR="00FB347D" w:rsidRPr="003445F5" w:rsidRDefault="00FB347D" w:rsidP="00FB347D">
      <w:pPr>
        <w:rPr>
          <w:szCs w:val="22"/>
          <w:lang w:val="sr-Latn-ME"/>
        </w:rPr>
      </w:pPr>
      <w:r w:rsidRPr="003445F5">
        <w:rPr>
          <w:szCs w:val="22"/>
          <w:lang w:val="sr-Latn-ME"/>
        </w:rPr>
        <w:t xml:space="preserve">U prospektivan kohortni registar uključeno je 257 žena sa reumatoidnim artritisom ili </w:t>
      </w:r>
      <w:r w:rsidRPr="003445F5">
        <w:rPr>
          <w:i/>
          <w:iCs/>
          <w:szCs w:val="22"/>
          <w:lang w:val="sr-Latn-ME"/>
        </w:rPr>
        <w:t>Crohn</w:t>
      </w:r>
      <w:r w:rsidRPr="003445F5">
        <w:rPr>
          <w:szCs w:val="22"/>
          <w:lang w:val="sr-Latn-ME"/>
        </w:rPr>
        <w:t xml:space="preserve">-ovom bolešću koje su se liječile adalimumabom najmanje tokom prvog tromjesečja, kao i 120 žena sa reumatoidnim artritisom ili </w:t>
      </w:r>
      <w:r w:rsidRPr="003445F5">
        <w:rPr>
          <w:i/>
          <w:iCs/>
          <w:szCs w:val="22"/>
          <w:lang w:val="sr-Latn-ME"/>
        </w:rPr>
        <w:t>Crohn</w:t>
      </w:r>
      <w:r w:rsidRPr="003445F5">
        <w:rPr>
          <w:szCs w:val="22"/>
          <w:lang w:val="sr-Latn-ME"/>
        </w:rPr>
        <w:t xml:space="preserve">-ovom bolešću koje se nisu liječile adalimumabom. Primarni parametar praćenja bio je prevalenca velikih (major) urođenih mana pri porođaju. Stopa trudnoća koje su završile najmanje jednim živorođenim djetetom sa velikom urođenom manom iznosila je 6/69 (8,7%) među ženama liječenim adalimumabom koje su imale reumatoidni artritis i 5/74 (6,8%) među ženama sa reumatoidnim artritisom koje nisu primale terapiju (neprilagođen OR: 1,31; 95% CI: 0,38 - 4,52) i 16/152 (10,5%) među ženama liječenim adalimumabom koje su imale </w:t>
      </w:r>
      <w:r w:rsidRPr="003445F5">
        <w:rPr>
          <w:i/>
          <w:iCs/>
          <w:szCs w:val="22"/>
          <w:lang w:val="sr-Latn-ME"/>
        </w:rPr>
        <w:t>Crohn</w:t>
      </w:r>
      <w:r w:rsidRPr="003445F5">
        <w:rPr>
          <w:szCs w:val="22"/>
          <w:lang w:val="sr-Latn-ME"/>
        </w:rPr>
        <w:t xml:space="preserve">-ovu bolest i 3/32 (9,4%) među ženama sa </w:t>
      </w:r>
      <w:r w:rsidRPr="003445F5">
        <w:rPr>
          <w:i/>
          <w:iCs/>
          <w:szCs w:val="22"/>
          <w:lang w:val="sr-Latn-ME"/>
        </w:rPr>
        <w:t>Crohn</w:t>
      </w:r>
      <w:r w:rsidRPr="003445F5">
        <w:rPr>
          <w:szCs w:val="22"/>
          <w:lang w:val="sr-Latn-ME"/>
        </w:rPr>
        <w:t xml:space="preserve">-ovom bolešću koje nisu primale terapiju (neprilagođen OR: 1,14; 95% CI: 0,31 - 4,16). Prilagođen OR (kod kojeg su uzete u obzir početne razlike) iznosio je 1,10 (95% CI: 0,45 - 2,73) za reumatoidni artritis i </w:t>
      </w:r>
      <w:r w:rsidRPr="003445F5">
        <w:rPr>
          <w:i/>
          <w:iCs/>
          <w:szCs w:val="22"/>
          <w:lang w:val="sr-Latn-ME"/>
        </w:rPr>
        <w:t>Crohn</w:t>
      </w:r>
      <w:r w:rsidRPr="003445F5">
        <w:rPr>
          <w:szCs w:val="22"/>
          <w:lang w:val="sr-Latn-ME"/>
        </w:rPr>
        <w:t xml:space="preserve">-ovu bolest zajedno. Nije bilo velikih razlika između žena liječenih adalimumabom i onih koje ga nisu primale s obzirom na sekundarne mjere ishoda – spontane pobačaje, male urođene mane, prevremeni porođaj, porođajnu veličinu i ozbiljne ili oportunističke infekcije, a nije prijavljeno nijedno mrtvorođeno </w:t>
      </w:r>
      <w:r w:rsidR="00AC1691" w:rsidRPr="003445F5">
        <w:rPr>
          <w:szCs w:val="22"/>
          <w:lang w:val="sr-Latn-ME"/>
        </w:rPr>
        <w:t>dijete</w:t>
      </w:r>
      <w:r w:rsidRPr="003445F5">
        <w:rPr>
          <w:szCs w:val="22"/>
          <w:lang w:val="sr-Latn-ME"/>
        </w:rPr>
        <w:t xml:space="preserve"> ni maligna bolest. Na interpretaciju podataka mogu uticati </w:t>
      </w:r>
      <w:r w:rsidRPr="003445F5">
        <w:rPr>
          <w:szCs w:val="22"/>
          <w:lang w:val="sr-Latn-ME"/>
        </w:rPr>
        <w:lastRenderedPageBreak/>
        <w:t xml:space="preserve">metodološka ograničenja ispitivanja, uključujući malu veličinu uzorka i dizajn koji nije uključivao randomizaciju. </w:t>
      </w:r>
    </w:p>
    <w:p w14:paraId="5BEBD94A" w14:textId="77777777" w:rsidR="00BF0C67" w:rsidRPr="003445F5" w:rsidRDefault="00BF0C67" w:rsidP="00524FDF">
      <w:pPr>
        <w:rPr>
          <w:szCs w:val="22"/>
          <w:lang w:val="sr-Latn-ME"/>
        </w:rPr>
      </w:pPr>
    </w:p>
    <w:p w14:paraId="34F28DAA" w14:textId="0038370A" w:rsidR="00394B2D" w:rsidRPr="003445F5" w:rsidRDefault="00394B2D" w:rsidP="00394B2D">
      <w:pPr>
        <w:rPr>
          <w:szCs w:val="22"/>
          <w:lang w:val="sr-Latn-ME"/>
        </w:rPr>
      </w:pPr>
      <w:r w:rsidRPr="003445F5">
        <w:rPr>
          <w:szCs w:val="22"/>
          <w:lang w:val="sr-Latn-ME"/>
        </w:rPr>
        <w:t>U studiji razvojne toksičnosti sprovedenoj kod majmuna nisu zabilježeni znakovi toksičnosti za majku, embriotoksičnosti ni teratogenosti. Nisu dostupni pr</w:t>
      </w:r>
      <w:r w:rsidR="00AC1691" w:rsidRPr="003445F5">
        <w:rPr>
          <w:szCs w:val="22"/>
          <w:lang w:val="sr-Latn-ME"/>
        </w:rPr>
        <w:t>e</w:t>
      </w:r>
      <w:r w:rsidR="0081333C" w:rsidRPr="003445F5">
        <w:rPr>
          <w:szCs w:val="22"/>
          <w:lang w:val="sr-Latn-ME"/>
        </w:rPr>
        <w:t>t</w:t>
      </w:r>
      <w:r w:rsidRPr="003445F5">
        <w:rPr>
          <w:szCs w:val="22"/>
          <w:lang w:val="sr-Latn-ME"/>
        </w:rPr>
        <w:t>klinički podaci o postnatalnoj toksičnosti adalimumaba (</w:t>
      </w:r>
      <w:r w:rsidR="007E1F86" w:rsidRPr="003445F5">
        <w:rPr>
          <w:szCs w:val="22"/>
          <w:lang w:val="sr-Latn-ME"/>
        </w:rPr>
        <w:t>pogledati dio</w:t>
      </w:r>
      <w:r w:rsidRPr="003445F5">
        <w:rPr>
          <w:szCs w:val="22"/>
          <w:lang w:val="sr-Latn-ME"/>
        </w:rPr>
        <w:t xml:space="preserve"> 5.3). </w:t>
      </w:r>
    </w:p>
    <w:p w14:paraId="58318A6C" w14:textId="77777777" w:rsidR="00394B2D" w:rsidRPr="003445F5" w:rsidRDefault="00394B2D" w:rsidP="00394B2D">
      <w:pPr>
        <w:rPr>
          <w:szCs w:val="22"/>
          <w:lang w:val="sr-Latn-ME"/>
        </w:rPr>
      </w:pPr>
    </w:p>
    <w:p w14:paraId="7F983F00" w14:textId="77777777" w:rsidR="00394B2D" w:rsidRPr="003445F5" w:rsidRDefault="00394B2D" w:rsidP="00394B2D">
      <w:pPr>
        <w:rPr>
          <w:szCs w:val="22"/>
          <w:lang w:val="sr-Latn-ME"/>
        </w:rPr>
      </w:pPr>
      <w:r w:rsidRPr="003445F5">
        <w:rPr>
          <w:szCs w:val="22"/>
          <w:lang w:val="sr-Latn-ME"/>
        </w:rPr>
        <w:t xml:space="preserve">Zbog inhibicije faktora tumorske nekroze α (TNFα), adalimumab primijenjen u trudnoći mogao bi da utiče na normalne imune odgovore novorođenčeta. Adalimumab se tokom trudnoće smije primjenjivati samo ako je to zaista neophodno. </w:t>
      </w:r>
    </w:p>
    <w:p w14:paraId="0EB5E72D" w14:textId="77777777" w:rsidR="00394B2D" w:rsidRPr="003445F5" w:rsidRDefault="00394B2D" w:rsidP="00394B2D">
      <w:pPr>
        <w:rPr>
          <w:szCs w:val="22"/>
          <w:lang w:val="sr-Latn-ME"/>
        </w:rPr>
      </w:pPr>
    </w:p>
    <w:p w14:paraId="73726CB5" w14:textId="3C283D4B" w:rsidR="00394B2D" w:rsidRPr="003445F5" w:rsidRDefault="00394B2D" w:rsidP="00394B2D">
      <w:pPr>
        <w:rPr>
          <w:szCs w:val="22"/>
          <w:lang w:val="sr-Latn-ME"/>
        </w:rPr>
      </w:pPr>
      <w:r w:rsidRPr="003445F5">
        <w:rPr>
          <w:szCs w:val="22"/>
          <w:lang w:val="sr-Latn-ME"/>
        </w:rPr>
        <w:t>Adalimumab može preći preko posteljice u serum djece čije su majke tokom trudnoće liječene adalimumabom. Zbog toga ta deca mogu imati povećan rizik od infekcija. D</w:t>
      </w:r>
      <w:r w:rsidR="0081333C" w:rsidRPr="003445F5">
        <w:rPr>
          <w:szCs w:val="22"/>
          <w:lang w:val="sr-Latn-ME"/>
        </w:rPr>
        <w:t>j</w:t>
      </w:r>
      <w:r w:rsidRPr="003445F5">
        <w:rPr>
          <w:szCs w:val="22"/>
          <w:lang w:val="sr-Latn-ME"/>
        </w:rPr>
        <w:t xml:space="preserve">eci koja su </w:t>
      </w:r>
      <w:r w:rsidRPr="003445F5">
        <w:rPr>
          <w:i/>
          <w:iCs/>
          <w:szCs w:val="22"/>
          <w:lang w:val="sr-Latn-ME"/>
        </w:rPr>
        <w:t>in utero</w:t>
      </w:r>
      <w:r w:rsidRPr="003445F5">
        <w:rPr>
          <w:szCs w:val="22"/>
          <w:lang w:val="sr-Latn-ME"/>
        </w:rPr>
        <w:t xml:space="preserve"> bila izložena adalimumabu ne preporučuje se davanje živih vakcina (npr. vakcina BCG) najmanje 5 mjeseci otkad je majka u trudnoći primila posljednju injekciju adalimumaba. </w:t>
      </w:r>
    </w:p>
    <w:p w14:paraId="48BCF01F" w14:textId="77777777" w:rsidR="00BF0C67" w:rsidRPr="003445F5" w:rsidRDefault="00BF0C67" w:rsidP="00524FDF">
      <w:pPr>
        <w:rPr>
          <w:szCs w:val="22"/>
          <w:lang w:val="sr-Latn-ME"/>
        </w:rPr>
      </w:pPr>
    </w:p>
    <w:p w14:paraId="29AF498F" w14:textId="77777777" w:rsidR="002C752E" w:rsidRPr="003445F5" w:rsidRDefault="002C752E" w:rsidP="002C752E">
      <w:pPr>
        <w:rPr>
          <w:szCs w:val="22"/>
          <w:u w:val="single"/>
          <w:lang w:val="sr-Latn-ME"/>
        </w:rPr>
      </w:pPr>
      <w:r w:rsidRPr="003445F5">
        <w:rPr>
          <w:szCs w:val="22"/>
          <w:u w:val="single"/>
          <w:lang w:val="sr-Latn-ME"/>
        </w:rPr>
        <w:t xml:space="preserve">Dojenje </w:t>
      </w:r>
    </w:p>
    <w:p w14:paraId="44A5C2D3" w14:textId="77777777" w:rsidR="002C752E" w:rsidRPr="003445F5" w:rsidRDefault="002C752E" w:rsidP="002C752E">
      <w:pPr>
        <w:rPr>
          <w:szCs w:val="22"/>
          <w:lang w:val="sr-Latn-ME"/>
        </w:rPr>
      </w:pPr>
    </w:p>
    <w:p w14:paraId="4980989F" w14:textId="77777777" w:rsidR="004E58D1" w:rsidRPr="003445F5" w:rsidRDefault="004E58D1" w:rsidP="004E58D1">
      <w:pPr>
        <w:rPr>
          <w:szCs w:val="22"/>
          <w:lang w:val="sr-Latn-ME"/>
        </w:rPr>
      </w:pPr>
      <w:r w:rsidRPr="003445F5">
        <w:rPr>
          <w:szCs w:val="22"/>
          <w:lang w:val="sr-Latn-ME"/>
        </w:rPr>
        <w:t xml:space="preserve">Ograničeni podaci iz objavljene literature ukazuju na to da se adalimumab izlučuje u majčino mlijeko u vrlo maloj koncentraciji, kao i da koncentracije adalimumaba u majčinom mlijeku iznose 0,1% do 1% nivoa u serumu majke. Kada se primjenjuju peroralno, imunoglobulin G proteini prolaze proteolizu u crijevima pa imaju malu bioraspoloživost. Ne očekuju se efekti na dojenu novorođenčad/dojenčad. Zato se lijek Hukyndra može primjenjivati tokom dojenja. </w:t>
      </w:r>
    </w:p>
    <w:p w14:paraId="16547605" w14:textId="77777777" w:rsidR="002C752E" w:rsidRPr="003445F5" w:rsidRDefault="002C752E" w:rsidP="002C752E">
      <w:pPr>
        <w:rPr>
          <w:szCs w:val="22"/>
          <w:lang w:val="sr-Latn-ME"/>
        </w:rPr>
      </w:pPr>
    </w:p>
    <w:p w14:paraId="41406094" w14:textId="77777777" w:rsidR="002C752E" w:rsidRPr="003445F5" w:rsidRDefault="002C752E" w:rsidP="002C752E">
      <w:pPr>
        <w:rPr>
          <w:szCs w:val="22"/>
          <w:u w:val="single"/>
          <w:lang w:val="sr-Latn-ME"/>
        </w:rPr>
      </w:pPr>
      <w:r w:rsidRPr="003445F5">
        <w:rPr>
          <w:szCs w:val="22"/>
          <w:u w:val="single"/>
          <w:lang w:val="sr-Latn-ME"/>
        </w:rPr>
        <w:t xml:space="preserve">Plodnost </w:t>
      </w:r>
    </w:p>
    <w:p w14:paraId="5DC5E189" w14:textId="77777777" w:rsidR="002C752E" w:rsidRPr="003445F5" w:rsidRDefault="002C752E" w:rsidP="002C752E">
      <w:pPr>
        <w:rPr>
          <w:szCs w:val="22"/>
          <w:lang w:val="sr-Latn-ME"/>
        </w:rPr>
      </w:pPr>
    </w:p>
    <w:p w14:paraId="0B6A2176" w14:textId="77777777" w:rsidR="002C752E" w:rsidRPr="003445F5" w:rsidRDefault="002C752E" w:rsidP="002C752E">
      <w:pPr>
        <w:rPr>
          <w:szCs w:val="22"/>
          <w:lang w:val="sr-Latn-ME"/>
        </w:rPr>
      </w:pPr>
      <w:r w:rsidRPr="003445F5">
        <w:rPr>
          <w:szCs w:val="22"/>
          <w:lang w:val="sr-Latn-ME"/>
        </w:rPr>
        <w:t>Nisu dostupni pretklinički podaci o uticaju adalimumaba na plodnost.</w:t>
      </w:r>
    </w:p>
    <w:p w14:paraId="072D43CD" w14:textId="77777777" w:rsidR="00CE09F3" w:rsidRPr="003445F5" w:rsidRDefault="00CE09F3" w:rsidP="00524FDF">
      <w:pPr>
        <w:rPr>
          <w:szCs w:val="22"/>
          <w:lang w:val="sr-Latn-ME"/>
        </w:rPr>
      </w:pPr>
    </w:p>
    <w:p w14:paraId="072D43CE" w14:textId="2F37E5A5" w:rsidR="00CE09F3" w:rsidRPr="003445F5" w:rsidRDefault="00CE09F3" w:rsidP="00524FDF">
      <w:pPr>
        <w:rPr>
          <w:b/>
          <w:bCs/>
          <w:spacing w:val="-8"/>
          <w:szCs w:val="22"/>
          <w:lang w:val="sr-Latn-ME"/>
        </w:rPr>
      </w:pPr>
      <w:r w:rsidRPr="003445F5">
        <w:rPr>
          <w:b/>
          <w:bCs/>
          <w:spacing w:val="-8"/>
          <w:szCs w:val="22"/>
          <w:lang w:val="sr-Latn-ME"/>
        </w:rPr>
        <w:t>4.7. Uticaj na sposobnost upravljanja vozilima i rukovanj</w:t>
      </w:r>
      <w:r w:rsidR="00994777" w:rsidRPr="003445F5">
        <w:rPr>
          <w:b/>
          <w:bCs/>
          <w:spacing w:val="-8"/>
          <w:szCs w:val="22"/>
          <w:lang w:val="sr-Latn-ME"/>
        </w:rPr>
        <w:t>e</w:t>
      </w:r>
      <w:r w:rsidRPr="003445F5">
        <w:rPr>
          <w:b/>
          <w:bCs/>
          <w:spacing w:val="-8"/>
          <w:szCs w:val="22"/>
          <w:lang w:val="sr-Latn-ME"/>
        </w:rPr>
        <w:t xml:space="preserve"> mašinama</w:t>
      </w:r>
    </w:p>
    <w:p w14:paraId="072D43CF" w14:textId="5357ED33" w:rsidR="00CE09F3" w:rsidRPr="003445F5" w:rsidRDefault="00CE09F3" w:rsidP="00524FDF">
      <w:pPr>
        <w:rPr>
          <w:szCs w:val="22"/>
          <w:lang w:val="sr-Latn-ME"/>
        </w:rPr>
      </w:pPr>
    </w:p>
    <w:p w14:paraId="6993FF44" w14:textId="3ACCC259" w:rsidR="000C390E" w:rsidRPr="003445F5" w:rsidRDefault="000C390E" w:rsidP="000C390E">
      <w:pPr>
        <w:rPr>
          <w:szCs w:val="22"/>
          <w:lang w:val="sr-Latn-ME"/>
        </w:rPr>
      </w:pPr>
      <w:r w:rsidRPr="003445F5">
        <w:rPr>
          <w:szCs w:val="22"/>
          <w:lang w:val="sr-Latn-ME"/>
        </w:rPr>
        <w:t>Lijek Hukyndra može da ima mali uticaj na sposobnost upravljanja vozilima i rukovanja mašinama. Nakon primjene lijeka Hukyndra mogu da se pojave vertigo i poremećaji vida (</w:t>
      </w:r>
      <w:r w:rsidR="007E1F86" w:rsidRPr="003445F5">
        <w:rPr>
          <w:szCs w:val="22"/>
          <w:lang w:val="sr-Latn-ME"/>
        </w:rPr>
        <w:t>pogledati dio</w:t>
      </w:r>
      <w:r w:rsidRPr="003445F5">
        <w:rPr>
          <w:szCs w:val="22"/>
          <w:lang w:val="sr-Latn-ME"/>
        </w:rPr>
        <w:t xml:space="preserve"> 4.8).</w:t>
      </w:r>
    </w:p>
    <w:p w14:paraId="072D43D0" w14:textId="77777777" w:rsidR="00CE09F3" w:rsidRPr="003445F5" w:rsidRDefault="00CE09F3" w:rsidP="00524FDF">
      <w:pPr>
        <w:rPr>
          <w:szCs w:val="22"/>
          <w:lang w:val="sr-Latn-ME"/>
        </w:rPr>
      </w:pPr>
    </w:p>
    <w:p w14:paraId="072D43D1" w14:textId="77777777" w:rsidR="00CE09F3" w:rsidRPr="003445F5" w:rsidRDefault="00CE09F3" w:rsidP="00524FDF">
      <w:pPr>
        <w:rPr>
          <w:b/>
          <w:bCs/>
          <w:szCs w:val="22"/>
          <w:lang w:val="sr-Latn-ME"/>
        </w:rPr>
      </w:pPr>
      <w:r w:rsidRPr="003445F5">
        <w:rPr>
          <w:b/>
          <w:bCs/>
          <w:szCs w:val="22"/>
          <w:lang w:val="sr-Latn-ME"/>
        </w:rPr>
        <w:t>4.8. Neželjena dejstva</w:t>
      </w:r>
    </w:p>
    <w:p w14:paraId="072D43D2" w14:textId="1A3FDD90" w:rsidR="00CE09F3" w:rsidRPr="003445F5" w:rsidRDefault="00CE09F3" w:rsidP="00524FDF">
      <w:pPr>
        <w:rPr>
          <w:noProof/>
          <w:szCs w:val="22"/>
          <w:u w:val="single"/>
          <w:lang w:val="sr-Latn-ME"/>
        </w:rPr>
      </w:pPr>
    </w:p>
    <w:p w14:paraId="6832D14C" w14:textId="77777777" w:rsidR="00007556" w:rsidRPr="003445F5" w:rsidRDefault="00007556" w:rsidP="00007556">
      <w:pPr>
        <w:rPr>
          <w:szCs w:val="22"/>
          <w:u w:val="single"/>
          <w:lang w:val="sr-Latn-ME"/>
        </w:rPr>
      </w:pPr>
      <w:r w:rsidRPr="003445F5">
        <w:rPr>
          <w:szCs w:val="22"/>
          <w:u w:val="single"/>
          <w:lang w:val="sr-Latn-ME"/>
        </w:rPr>
        <w:t xml:space="preserve">Sažetak bezbjednosnog profila </w:t>
      </w:r>
    </w:p>
    <w:p w14:paraId="0094347E" w14:textId="77777777" w:rsidR="00007556" w:rsidRPr="003445F5" w:rsidRDefault="00007556" w:rsidP="00007556">
      <w:pPr>
        <w:rPr>
          <w:szCs w:val="22"/>
          <w:lang w:val="sr-Latn-ME"/>
        </w:rPr>
      </w:pPr>
    </w:p>
    <w:p w14:paraId="50AE7E1E" w14:textId="77777777" w:rsidR="00007556" w:rsidRPr="003445F5" w:rsidRDefault="00007556" w:rsidP="00007556">
      <w:pPr>
        <w:rPr>
          <w:szCs w:val="22"/>
          <w:lang w:val="sr-Latn-ME"/>
        </w:rPr>
      </w:pPr>
      <w:r w:rsidRPr="003445F5">
        <w:rPr>
          <w:szCs w:val="22"/>
          <w:lang w:val="sr-Latn-ME"/>
        </w:rPr>
        <w:t xml:space="preserve">Adalimumab je ispitivan kod 9506 pacijenata u pivotalnim kontrolisanim i otvorenim ispitivanjima tokom perioda do 60 mjeseci ili duže. Ispitivanjima su obuhvaćeni pacijenti sa nedavnom pojavom reumatoidnog artritisa i oni sa dugotrajnom bolešću, kao i pacijenti sa juvenilnim idiopatskim artritisom (poliartikularnim juvenilnim idiopatskim artritisom i artritisom povezanim sa entezitisom), kao i oni sa aksijalnim spondiloartritisom (ankilozirajućim spondilitisom i aksijalnim spondiloartritisom bez radiografskog dokaza AS-a), psorijaznim artritisom, </w:t>
      </w:r>
      <w:r w:rsidRPr="003445F5">
        <w:rPr>
          <w:i/>
          <w:iCs/>
          <w:szCs w:val="22"/>
          <w:lang w:val="sr-Latn-ME"/>
        </w:rPr>
        <w:t>Crohn</w:t>
      </w:r>
      <w:r w:rsidRPr="003445F5">
        <w:rPr>
          <w:szCs w:val="22"/>
          <w:lang w:val="sr-Latn-ME"/>
        </w:rPr>
        <w:t xml:space="preserve">-ovom bolešću, ulceroznim kolitisom, psorijazom, gnojnim zapaljenjem znojnih žlijezda i uveitisom. Pivotalna kontrolisana ispitivanja uključivala su 6089 pacijenata liječenih adalimumabom i 3801 pacijenta koji je primao placebo ili neki aktivni uporedni lijek tokom kontrolisanog perioda. </w:t>
      </w:r>
    </w:p>
    <w:p w14:paraId="51293584" w14:textId="77777777" w:rsidR="00007556" w:rsidRPr="003445F5" w:rsidRDefault="00007556" w:rsidP="00007556">
      <w:pPr>
        <w:rPr>
          <w:szCs w:val="22"/>
          <w:lang w:val="sr-Latn-ME"/>
        </w:rPr>
      </w:pPr>
    </w:p>
    <w:p w14:paraId="34F6EE7B" w14:textId="1812BC0C" w:rsidR="00007556" w:rsidRPr="003445F5" w:rsidRDefault="00007556" w:rsidP="00007556">
      <w:pPr>
        <w:rPr>
          <w:szCs w:val="22"/>
          <w:lang w:val="sr-Latn-ME"/>
        </w:rPr>
      </w:pPr>
      <w:r w:rsidRPr="003445F5">
        <w:rPr>
          <w:szCs w:val="22"/>
          <w:lang w:val="sr-Latn-ME"/>
        </w:rPr>
        <w:t xml:space="preserve">U dvostruko slijepim, kontrolisanim </w:t>
      </w:r>
      <w:r w:rsidR="006A25E7" w:rsidRPr="003445F5">
        <w:rPr>
          <w:szCs w:val="22"/>
          <w:lang w:val="sr-Latn-ME"/>
        </w:rPr>
        <w:t>djelovima</w:t>
      </w:r>
      <w:r w:rsidRPr="003445F5">
        <w:rPr>
          <w:szCs w:val="22"/>
          <w:lang w:val="sr-Latn-ME"/>
        </w:rPr>
        <w:t xml:space="preserve"> pivotalnih ispitivanja, liječenje je zbog neželjenih događaja prekinuto kod 5,9% pacijenata koji su dobijali adalimumab, odnosno 5,4% pacijenata iz kontrolne grupe. </w:t>
      </w:r>
    </w:p>
    <w:p w14:paraId="0027C33F" w14:textId="77777777" w:rsidR="00007556" w:rsidRPr="003445F5" w:rsidRDefault="00007556" w:rsidP="00007556">
      <w:pPr>
        <w:rPr>
          <w:szCs w:val="22"/>
          <w:lang w:val="sr-Latn-ME"/>
        </w:rPr>
      </w:pPr>
    </w:p>
    <w:p w14:paraId="107A0435" w14:textId="77777777" w:rsidR="00007556" w:rsidRPr="003445F5" w:rsidRDefault="00007556" w:rsidP="00007556">
      <w:pPr>
        <w:rPr>
          <w:szCs w:val="22"/>
          <w:u w:val="single"/>
          <w:lang w:val="sr-Latn-ME"/>
        </w:rPr>
      </w:pPr>
      <w:r w:rsidRPr="003445F5">
        <w:rPr>
          <w:szCs w:val="22"/>
          <w:lang w:val="sr-Latn-ME"/>
        </w:rPr>
        <w:t>Najčešće prijavljena neželjena dejstva su infekcije (kao nazofaringitis, infekcija gornjih disajnih puteva i sinuzitis), reakcije na mjestu primjene injekcije (eritem, svrab, krvarenje, bol ili oticanje), glavobolja i mišićno-skeletni bol.</w:t>
      </w:r>
    </w:p>
    <w:p w14:paraId="34002133" w14:textId="77777777" w:rsidR="00007556" w:rsidRPr="003445F5" w:rsidRDefault="00007556" w:rsidP="00007556">
      <w:pPr>
        <w:rPr>
          <w:szCs w:val="22"/>
          <w:u w:val="single"/>
          <w:lang w:val="sr-Latn-ME"/>
        </w:rPr>
      </w:pPr>
    </w:p>
    <w:p w14:paraId="04066F5D" w14:textId="77777777" w:rsidR="00007556" w:rsidRPr="003445F5" w:rsidRDefault="00007556" w:rsidP="00007556">
      <w:pPr>
        <w:rPr>
          <w:szCs w:val="22"/>
          <w:lang w:val="sr-Latn-ME"/>
        </w:rPr>
      </w:pPr>
      <w:r w:rsidRPr="003445F5">
        <w:rPr>
          <w:szCs w:val="22"/>
          <w:lang w:val="sr-Latn-ME"/>
        </w:rPr>
        <w:lastRenderedPageBreak/>
        <w:t xml:space="preserve">Uz adalimumab su prijavljena ozbiljna neželjena dejstva. Antagonisti TNF-a, kao što je adalimumab, deluju na imunski sistem pa njihova primjena može da utiče na odbranu tijela od infekcija i raka. </w:t>
      </w:r>
    </w:p>
    <w:p w14:paraId="05EAF391" w14:textId="77777777" w:rsidR="00007556" w:rsidRPr="003445F5" w:rsidRDefault="00007556" w:rsidP="00007556">
      <w:pPr>
        <w:rPr>
          <w:szCs w:val="22"/>
          <w:lang w:val="sr-Latn-ME"/>
        </w:rPr>
      </w:pPr>
      <w:r w:rsidRPr="003445F5">
        <w:rPr>
          <w:szCs w:val="22"/>
          <w:lang w:val="sr-Latn-ME"/>
        </w:rPr>
        <w:t xml:space="preserve">Prilikom primjene adalimumaba takođe su prijavljene infekcije sa smrtnim ishodom i po život opasne infekcije (uključujući sepsu, oportunističke infekcije i tuberkulozu), reaktivacija HBV-a i razne maligne bolesti (uključujući leukemiju, limfom i hepatosplenični T-ćelijski limfom). </w:t>
      </w:r>
    </w:p>
    <w:p w14:paraId="218EBEAB" w14:textId="77777777" w:rsidR="00007556" w:rsidRPr="003445F5" w:rsidRDefault="00007556" w:rsidP="00007556">
      <w:pPr>
        <w:rPr>
          <w:szCs w:val="22"/>
          <w:lang w:val="sr-Latn-ME"/>
        </w:rPr>
      </w:pPr>
    </w:p>
    <w:p w14:paraId="7C357A69" w14:textId="77777777" w:rsidR="00007556" w:rsidRPr="003445F5" w:rsidRDefault="00007556" w:rsidP="00007556">
      <w:pPr>
        <w:rPr>
          <w:szCs w:val="22"/>
          <w:lang w:val="sr-Latn-ME"/>
        </w:rPr>
      </w:pPr>
      <w:r w:rsidRPr="003445F5">
        <w:rPr>
          <w:szCs w:val="22"/>
          <w:lang w:val="sr-Latn-ME"/>
        </w:rPr>
        <w:t xml:space="preserve">Takođe su prijavljene ozbiljne hematološke, neurološke i autoimunske reakcije. One uključuju rijetke prijave pancitopenije, aplastične anemije, demijelinizirajućih događaja u centralnom i perifernom nervnom sistemu, kao i prijave lupusa, stanja povezanih sa lupusom i </w:t>
      </w:r>
      <w:r w:rsidRPr="003445F5">
        <w:rPr>
          <w:i/>
          <w:iCs/>
          <w:szCs w:val="22"/>
          <w:lang w:val="sr-Latn-ME"/>
        </w:rPr>
        <w:t>Stevens-Johnson</w:t>
      </w:r>
      <w:r w:rsidRPr="003445F5">
        <w:rPr>
          <w:szCs w:val="22"/>
          <w:lang w:val="sr-Latn-ME"/>
        </w:rPr>
        <w:t xml:space="preserve">-ovog sindroma. </w:t>
      </w:r>
    </w:p>
    <w:p w14:paraId="3687409B" w14:textId="77777777" w:rsidR="006E58B6" w:rsidRPr="003445F5" w:rsidRDefault="006E58B6" w:rsidP="006E58B6">
      <w:pPr>
        <w:rPr>
          <w:szCs w:val="22"/>
          <w:lang w:val="sr-Latn-ME"/>
        </w:rPr>
      </w:pPr>
    </w:p>
    <w:p w14:paraId="7DC65BD3" w14:textId="77777777" w:rsidR="006E58B6" w:rsidRPr="003445F5" w:rsidRDefault="006E58B6" w:rsidP="006E58B6">
      <w:pPr>
        <w:rPr>
          <w:szCs w:val="22"/>
          <w:u w:val="single"/>
          <w:lang w:val="sr-Latn-ME"/>
        </w:rPr>
      </w:pPr>
      <w:r w:rsidRPr="003445F5">
        <w:rPr>
          <w:szCs w:val="22"/>
          <w:u w:val="single"/>
          <w:lang w:val="sr-Latn-ME"/>
        </w:rPr>
        <w:t xml:space="preserve">Pedijatrijska populacija </w:t>
      </w:r>
    </w:p>
    <w:p w14:paraId="3DBDAA2F" w14:textId="77777777" w:rsidR="006E58B6" w:rsidRPr="003445F5" w:rsidRDefault="006E58B6" w:rsidP="006E58B6">
      <w:pPr>
        <w:rPr>
          <w:szCs w:val="22"/>
          <w:lang w:val="sr-Latn-ME"/>
        </w:rPr>
      </w:pPr>
    </w:p>
    <w:p w14:paraId="3036A2B8" w14:textId="77777777" w:rsidR="006E58B6" w:rsidRPr="003445F5" w:rsidRDefault="006E58B6" w:rsidP="006E58B6">
      <w:pPr>
        <w:rPr>
          <w:szCs w:val="22"/>
          <w:lang w:val="sr-Latn-ME"/>
        </w:rPr>
      </w:pPr>
      <w:r w:rsidRPr="003445F5">
        <w:rPr>
          <w:szCs w:val="22"/>
          <w:lang w:val="sr-Latn-ME"/>
        </w:rPr>
        <w:t xml:space="preserve">Generalno su neželjeni događaji kod pedijatrijskih pacijenata prema učestalosti i tipu bili slični onima kod odraslih pacijenata. </w:t>
      </w:r>
    </w:p>
    <w:p w14:paraId="693F6E43" w14:textId="77777777" w:rsidR="000A3B36" w:rsidRPr="003445F5" w:rsidRDefault="000A3B36" w:rsidP="00524FDF">
      <w:pPr>
        <w:rPr>
          <w:szCs w:val="22"/>
          <w:lang w:val="sr-Latn-ME"/>
        </w:rPr>
      </w:pPr>
    </w:p>
    <w:p w14:paraId="4CDE9B3B" w14:textId="77777777" w:rsidR="005002EB" w:rsidRPr="003445F5" w:rsidRDefault="005002EB" w:rsidP="005002EB">
      <w:pPr>
        <w:rPr>
          <w:szCs w:val="22"/>
          <w:u w:val="single"/>
          <w:lang w:val="sr-Latn-ME"/>
        </w:rPr>
      </w:pPr>
      <w:r w:rsidRPr="003445F5">
        <w:rPr>
          <w:szCs w:val="22"/>
          <w:u w:val="single"/>
          <w:lang w:val="sr-Latn-ME"/>
        </w:rPr>
        <w:t xml:space="preserve">Tabelarni prikaz neželjenih reakcija </w:t>
      </w:r>
    </w:p>
    <w:p w14:paraId="12F606DF" w14:textId="77777777" w:rsidR="005002EB" w:rsidRPr="003445F5" w:rsidRDefault="005002EB" w:rsidP="005002EB">
      <w:pPr>
        <w:rPr>
          <w:szCs w:val="22"/>
          <w:lang w:val="sr-Latn-ME"/>
        </w:rPr>
      </w:pPr>
    </w:p>
    <w:p w14:paraId="1BBF7F7A" w14:textId="23170C6C" w:rsidR="006E2A0D" w:rsidRPr="003445F5" w:rsidRDefault="006E2A0D" w:rsidP="006E2A0D">
      <w:pPr>
        <w:rPr>
          <w:szCs w:val="22"/>
          <w:lang w:val="sr-Latn-ME"/>
        </w:rPr>
      </w:pPr>
      <w:r w:rsidRPr="003445F5">
        <w:rPr>
          <w:szCs w:val="22"/>
          <w:lang w:val="sr-Latn-ME"/>
        </w:rPr>
        <w:t xml:space="preserve">Sljedeća lista neželjenih reakcija bazirana je na iskustvu iz kliničkih studija i na postmarketinškom iskustvu, a prikazane su u tabeli </w:t>
      </w:r>
      <w:r w:rsidR="00E30178" w:rsidRPr="003445F5">
        <w:rPr>
          <w:szCs w:val="22"/>
          <w:lang w:val="sr-Latn-ME"/>
        </w:rPr>
        <w:t>4</w:t>
      </w:r>
      <w:r w:rsidRPr="003445F5">
        <w:rPr>
          <w:szCs w:val="22"/>
          <w:lang w:val="sr-Latn-ME"/>
        </w:rPr>
        <w:t xml:space="preserve"> po klasi sistema organa i učestalosti: veoma često (≥1/10); često (≥1/100 do &lt;1/10); povremeno (≥1/1000 do &lt;1/100); rijetko (≥1/10000 do &lt;1/1000); i nepoznate učestalosti (ne može se proc</w:t>
      </w:r>
      <w:r w:rsidR="0081333C" w:rsidRPr="003445F5">
        <w:rPr>
          <w:szCs w:val="22"/>
          <w:lang w:val="sr-Latn-ME"/>
        </w:rPr>
        <w:t>i</w:t>
      </w:r>
      <w:r w:rsidRPr="003445F5">
        <w:rPr>
          <w:szCs w:val="22"/>
          <w:lang w:val="sr-Latn-ME"/>
        </w:rPr>
        <w:t>jeniti na osnovu dostupnih podataka). Unutar svake grupe za određenu učestalost, neželjena dejstva su navedena prema opadajućoj ozbiljnosti.</w:t>
      </w:r>
    </w:p>
    <w:p w14:paraId="1C8A30EE" w14:textId="1919BC65" w:rsidR="006E2A0D" w:rsidRPr="003445F5" w:rsidRDefault="006E2A0D" w:rsidP="006E2A0D">
      <w:pPr>
        <w:rPr>
          <w:szCs w:val="22"/>
          <w:u w:val="single"/>
          <w:lang w:val="sr-Latn-ME"/>
        </w:rPr>
      </w:pPr>
      <w:r w:rsidRPr="003445F5">
        <w:rPr>
          <w:szCs w:val="22"/>
          <w:lang w:val="sr-Latn-ME"/>
        </w:rPr>
        <w:t xml:space="preserve">Obuhvaćena su neželjena dejstva koja su se najčešće javljala prilikom terapije različitih indikacija. Zvjezdica (*) se pojavljuje u koloni „Klasa sistema organa“ ukoliko se dodatne informacije nalaze u </w:t>
      </w:r>
      <w:r w:rsidR="006A25E7" w:rsidRPr="003445F5">
        <w:rPr>
          <w:szCs w:val="22"/>
          <w:lang w:val="sr-Latn-ME"/>
        </w:rPr>
        <w:t>djelovima</w:t>
      </w:r>
      <w:r w:rsidRPr="003445F5">
        <w:rPr>
          <w:szCs w:val="22"/>
          <w:lang w:val="sr-Latn-ME"/>
        </w:rPr>
        <w:t xml:space="preserve"> 4.3, 4.4 i 4.8.</w:t>
      </w:r>
    </w:p>
    <w:p w14:paraId="779E62D1" w14:textId="72FE44EE" w:rsidR="006E01AA" w:rsidRPr="003445F5" w:rsidRDefault="006E01AA" w:rsidP="00524FDF">
      <w:pPr>
        <w:rPr>
          <w:noProof/>
          <w:szCs w:val="22"/>
          <w:u w:val="single"/>
          <w:lang w:val="sr-Latn-ME"/>
        </w:rPr>
      </w:pPr>
    </w:p>
    <w:p w14:paraId="1FA74112" w14:textId="38313D0C" w:rsidR="009632BB" w:rsidRPr="003445F5" w:rsidRDefault="009632BB" w:rsidP="00524FDF">
      <w:pPr>
        <w:rPr>
          <w:b/>
          <w:bCs/>
          <w:noProof/>
          <w:szCs w:val="22"/>
          <w:lang w:val="sr-Latn-ME"/>
        </w:rPr>
      </w:pPr>
      <w:r w:rsidRPr="003445F5">
        <w:rPr>
          <w:b/>
          <w:bCs/>
          <w:noProof/>
          <w:szCs w:val="22"/>
          <w:lang w:val="sr-Latn-ME"/>
        </w:rPr>
        <w:t>Tabela 4: Neželjena dejstva</w:t>
      </w:r>
    </w:p>
    <w:p w14:paraId="61854218" w14:textId="77777777" w:rsidR="00FB543A" w:rsidRPr="003445F5" w:rsidRDefault="00FB543A" w:rsidP="00524FDF">
      <w:pPr>
        <w:rPr>
          <w:b/>
          <w:bCs/>
          <w:noProof/>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264"/>
        <w:gridCol w:w="1417"/>
        <w:gridCol w:w="5336"/>
      </w:tblGrid>
      <w:tr w:rsidR="00886191" w:rsidRPr="003445F5" w14:paraId="6B854826" w14:textId="77777777" w:rsidTr="00DC1FBA">
        <w:trPr>
          <w:trHeight w:val="20"/>
        </w:trPr>
        <w:tc>
          <w:tcPr>
            <w:tcW w:w="1255" w:type="pct"/>
            <w:vAlign w:val="center"/>
          </w:tcPr>
          <w:p w14:paraId="6682A20B" w14:textId="77777777" w:rsidR="00886191" w:rsidRPr="003445F5" w:rsidRDefault="00886191" w:rsidP="00704956">
            <w:pPr>
              <w:jc w:val="left"/>
              <w:rPr>
                <w:b/>
                <w:bCs/>
                <w:noProof/>
                <w:szCs w:val="22"/>
                <w:u w:val="single"/>
                <w:lang w:val="sr-Latn-ME"/>
              </w:rPr>
            </w:pPr>
            <w:r w:rsidRPr="003445F5">
              <w:rPr>
                <w:b/>
                <w:bCs/>
                <w:szCs w:val="22"/>
                <w:lang w:val="sr-Latn-ME"/>
              </w:rPr>
              <w:t xml:space="preserve">Klasa sistema organa </w:t>
            </w:r>
          </w:p>
        </w:tc>
        <w:tc>
          <w:tcPr>
            <w:tcW w:w="786" w:type="pct"/>
            <w:vAlign w:val="center"/>
          </w:tcPr>
          <w:p w14:paraId="3C8F7BEE" w14:textId="77777777" w:rsidR="00886191" w:rsidRPr="003445F5" w:rsidRDefault="00886191" w:rsidP="00704956">
            <w:pPr>
              <w:jc w:val="left"/>
              <w:rPr>
                <w:b/>
                <w:bCs/>
                <w:noProof/>
                <w:szCs w:val="22"/>
                <w:u w:val="single"/>
                <w:lang w:val="sr-Latn-ME"/>
              </w:rPr>
            </w:pPr>
            <w:r w:rsidRPr="003445F5">
              <w:rPr>
                <w:b/>
                <w:bCs/>
                <w:szCs w:val="22"/>
                <w:lang w:val="sr-Latn-ME"/>
              </w:rPr>
              <w:t>Učestalost</w:t>
            </w:r>
          </w:p>
        </w:tc>
        <w:tc>
          <w:tcPr>
            <w:tcW w:w="2959" w:type="pct"/>
            <w:vAlign w:val="center"/>
          </w:tcPr>
          <w:p w14:paraId="67921D92" w14:textId="77777777" w:rsidR="00886191" w:rsidRPr="003445F5" w:rsidRDefault="00886191" w:rsidP="00704956">
            <w:pPr>
              <w:jc w:val="left"/>
              <w:rPr>
                <w:b/>
                <w:bCs/>
                <w:noProof/>
                <w:szCs w:val="22"/>
                <w:u w:val="single"/>
                <w:lang w:val="sr-Latn-ME"/>
              </w:rPr>
            </w:pPr>
            <w:r w:rsidRPr="003445F5">
              <w:rPr>
                <w:b/>
                <w:bCs/>
                <w:szCs w:val="22"/>
                <w:lang w:val="sr-Latn-ME"/>
              </w:rPr>
              <w:t>Neželjena reakcija</w:t>
            </w:r>
          </w:p>
        </w:tc>
      </w:tr>
      <w:tr w:rsidR="00886191" w:rsidRPr="003445F5" w14:paraId="73297E2E" w14:textId="77777777" w:rsidTr="00DC1FBA">
        <w:trPr>
          <w:trHeight w:val="20"/>
        </w:trPr>
        <w:tc>
          <w:tcPr>
            <w:tcW w:w="1255" w:type="pct"/>
            <w:vMerge w:val="restart"/>
            <w:vAlign w:val="center"/>
          </w:tcPr>
          <w:p w14:paraId="732DB909" w14:textId="77777777" w:rsidR="00886191" w:rsidRPr="003445F5" w:rsidRDefault="00886191" w:rsidP="00704956">
            <w:pPr>
              <w:jc w:val="left"/>
              <w:rPr>
                <w:noProof/>
                <w:szCs w:val="22"/>
                <w:u w:val="single"/>
                <w:lang w:val="sr-Latn-ME"/>
              </w:rPr>
            </w:pPr>
            <w:r w:rsidRPr="003445F5">
              <w:rPr>
                <w:szCs w:val="22"/>
                <w:lang w:val="sr-Latn-ME"/>
              </w:rPr>
              <w:t>Infekcije i infestacije*</w:t>
            </w:r>
          </w:p>
        </w:tc>
        <w:tc>
          <w:tcPr>
            <w:tcW w:w="786" w:type="pct"/>
            <w:vAlign w:val="center"/>
          </w:tcPr>
          <w:p w14:paraId="3C208961" w14:textId="77777777" w:rsidR="00886191" w:rsidRPr="003445F5" w:rsidRDefault="00886191" w:rsidP="00704956">
            <w:pPr>
              <w:jc w:val="left"/>
              <w:rPr>
                <w:noProof/>
                <w:szCs w:val="22"/>
                <w:u w:val="single"/>
                <w:lang w:val="sr-Latn-ME"/>
              </w:rPr>
            </w:pPr>
            <w:r w:rsidRPr="003445F5">
              <w:rPr>
                <w:szCs w:val="22"/>
                <w:lang w:val="sr-Latn-ME"/>
              </w:rPr>
              <w:t>Veoma često</w:t>
            </w:r>
          </w:p>
        </w:tc>
        <w:tc>
          <w:tcPr>
            <w:tcW w:w="2959" w:type="pct"/>
            <w:vAlign w:val="center"/>
          </w:tcPr>
          <w:p w14:paraId="4743127F" w14:textId="77777777" w:rsidR="00886191" w:rsidRPr="003445F5" w:rsidRDefault="00886191" w:rsidP="00704956">
            <w:pPr>
              <w:jc w:val="left"/>
              <w:rPr>
                <w:noProof/>
                <w:szCs w:val="22"/>
                <w:u w:val="single"/>
                <w:lang w:val="sr-Latn-ME"/>
              </w:rPr>
            </w:pPr>
            <w:r w:rsidRPr="003445F5">
              <w:rPr>
                <w:szCs w:val="22"/>
                <w:lang w:val="sr-Latn-ME"/>
              </w:rPr>
              <w:t>Infekcije respiratornog trakta (uključujući infekcije donjeg i gornjeg respiratornog trakta, pneumoniju, sinuzitis, faringitis, nazofaringitis i pneumoniju uzrokovanu herpes virusom)</w:t>
            </w:r>
          </w:p>
        </w:tc>
      </w:tr>
      <w:tr w:rsidR="00886191" w:rsidRPr="003445F5" w14:paraId="2BE51347" w14:textId="77777777" w:rsidTr="00DC1FBA">
        <w:trPr>
          <w:trHeight w:val="20"/>
        </w:trPr>
        <w:tc>
          <w:tcPr>
            <w:tcW w:w="1255" w:type="pct"/>
            <w:vMerge/>
            <w:vAlign w:val="center"/>
          </w:tcPr>
          <w:p w14:paraId="19DAA812" w14:textId="77777777" w:rsidR="00886191" w:rsidRPr="003445F5" w:rsidRDefault="00886191" w:rsidP="00704956">
            <w:pPr>
              <w:jc w:val="left"/>
              <w:rPr>
                <w:noProof/>
                <w:szCs w:val="22"/>
                <w:u w:val="single"/>
                <w:lang w:val="sr-Latn-ME"/>
              </w:rPr>
            </w:pPr>
          </w:p>
        </w:tc>
        <w:tc>
          <w:tcPr>
            <w:tcW w:w="786" w:type="pct"/>
            <w:vAlign w:val="center"/>
          </w:tcPr>
          <w:p w14:paraId="746E69AB"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4AD8A8A0" w14:textId="77777777" w:rsidR="00886191" w:rsidRPr="003445F5" w:rsidRDefault="00886191" w:rsidP="00704956">
            <w:pPr>
              <w:jc w:val="left"/>
              <w:rPr>
                <w:szCs w:val="22"/>
                <w:lang w:val="sr-Latn-ME"/>
              </w:rPr>
            </w:pPr>
            <w:r w:rsidRPr="003445F5">
              <w:rPr>
                <w:szCs w:val="22"/>
                <w:lang w:val="sr-Latn-ME"/>
              </w:rPr>
              <w:t xml:space="preserve">Sistemske infekcije (uključujući sepsu, kandidijazu i influencu), </w:t>
            </w:r>
          </w:p>
          <w:p w14:paraId="74C9E45A" w14:textId="77777777" w:rsidR="00886191" w:rsidRPr="003445F5" w:rsidRDefault="00886191" w:rsidP="00704956">
            <w:pPr>
              <w:jc w:val="left"/>
              <w:rPr>
                <w:szCs w:val="22"/>
                <w:lang w:val="sr-Latn-ME"/>
              </w:rPr>
            </w:pPr>
            <w:r w:rsidRPr="003445F5">
              <w:rPr>
                <w:szCs w:val="22"/>
                <w:lang w:val="sr-Latn-ME"/>
              </w:rPr>
              <w:t xml:space="preserve">intestinalne infekcije (uključujući virusni gastroenteritis), </w:t>
            </w:r>
          </w:p>
          <w:p w14:paraId="004A55EC" w14:textId="77777777" w:rsidR="00886191" w:rsidRPr="003445F5" w:rsidRDefault="00886191" w:rsidP="00704956">
            <w:pPr>
              <w:jc w:val="left"/>
              <w:rPr>
                <w:szCs w:val="22"/>
                <w:lang w:val="sr-Latn-ME"/>
              </w:rPr>
            </w:pPr>
            <w:r w:rsidRPr="003445F5">
              <w:rPr>
                <w:szCs w:val="22"/>
                <w:lang w:val="sr-Latn-ME"/>
              </w:rPr>
              <w:t xml:space="preserve">infekcije kože i mekih tkiva (uključujući paronihiju, celulitis, impetigo, nekrotizirajući fasciitis i herpes zoster), </w:t>
            </w:r>
          </w:p>
          <w:p w14:paraId="3ECEF0B6" w14:textId="77777777" w:rsidR="00886191" w:rsidRPr="003445F5" w:rsidRDefault="00886191" w:rsidP="00704956">
            <w:pPr>
              <w:jc w:val="left"/>
              <w:rPr>
                <w:szCs w:val="22"/>
                <w:lang w:val="sr-Latn-ME"/>
              </w:rPr>
            </w:pPr>
            <w:r w:rsidRPr="003445F5">
              <w:rPr>
                <w:szCs w:val="22"/>
                <w:lang w:val="sr-Latn-ME"/>
              </w:rPr>
              <w:t xml:space="preserve">infekcije uha, </w:t>
            </w:r>
          </w:p>
          <w:p w14:paraId="23F555E1" w14:textId="77777777" w:rsidR="00886191" w:rsidRPr="003445F5" w:rsidRDefault="00886191" w:rsidP="00704956">
            <w:pPr>
              <w:jc w:val="left"/>
              <w:rPr>
                <w:szCs w:val="22"/>
                <w:lang w:val="sr-Latn-ME"/>
              </w:rPr>
            </w:pPr>
            <w:r w:rsidRPr="003445F5">
              <w:rPr>
                <w:szCs w:val="22"/>
                <w:lang w:val="sr-Latn-ME"/>
              </w:rPr>
              <w:t xml:space="preserve">oralne infekcije (uključujući herpes simplex, oralni herpes i infekcije zuba), </w:t>
            </w:r>
          </w:p>
          <w:p w14:paraId="15EC5FD9" w14:textId="77777777" w:rsidR="00886191" w:rsidRPr="003445F5" w:rsidRDefault="00886191" w:rsidP="00704956">
            <w:pPr>
              <w:jc w:val="left"/>
              <w:rPr>
                <w:szCs w:val="22"/>
                <w:lang w:val="sr-Latn-ME"/>
              </w:rPr>
            </w:pPr>
            <w:r w:rsidRPr="003445F5">
              <w:rPr>
                <w:szCs w:val="22"/>
                <w:lang w:val="sr-Latn-ME"/>
              </w:rPr>
              <w:t xml:space="preserve">infekcije reproduktivnog trakta (uključujući vulvovaginalne mikotične infekcije), </w:t>
            </w:r>
          </w:p>
          <w:p w14:paraId="2825C9C5" w14:textId="77777777" w:rsidR="00886191" w:rsidRPr="003445F5" w:rsidRDefault="00886191" w:rsidP="00704956">
            <w:pPr>
              <w:jc w:val="left"/>
              <w:rPr>
                <w:szCs w:val="22"/>
                <w:lang w:val="sr-Latn-ME"/>
              </w:rPr>
            </w:pPr>
            <w:r w:rsidRPr="003445F5">
              <w:rPr>
                <w:szCs w:val="22"/>
                <w:lang w:val="sr-Latn-ME"/>
              </w:rPr>
              <w:t xml:space="preserve">infekcije urinarnog trakta (uključujući pijelonefritis), </w:t>
            </w:r>
          </w:p>
          <w:p w14:paraId="4CBA5E69" w14:textId="77777777" w:rsidR="00886191" w:rsidRPr="003445F5" w:rsidRDefault="00886191" w:rsidP="00704956">
            <w:pPr>
              <w:jc w:val="left"/>
              <w:rPr>
                <w:szCs w:val="22"/>
                <w:lang w:val="sr-Latn-ME"/>
              </w:rPr>
            </w:pPr>
            <w:r w:rsidRPr="003445F5">
              <w:rPr>
                <w:szCs w:val="22"/>
                <w:lang w:val="sr-Latn-ME"/>
              </w:rPr>
              <w:t xml:space="preserve">gljivične infekcije, </w:t>
            </w:r>
          </w:p>
          <w:p w14:paraId="24C4C5CD" w14:textId="77777777" w:rsidR="00886191" w:rsidRPr="003445F5" w:rsidRDefault="00886191" w:rsidP="00704956">
            <w:pPr>
              <w:jc w:val="left"/>
              <w:rPr>
                <w:noProof/>
                <w:szCs w:val="22"/>
                <w:u w:val="single"/>
                <w:lang w:val="sr-Latn-ME"/>
              </w:rPr>
            </w:pPr>
            <w:r w:rsidRPr="003445F5">
              <w:rPr>
                <w:szCs w:val="22"/>
                <w:lang w:val="sr-Latn-ME"/>
              </w:rPr>
              <w:t>infekcije zglobova</w:t>
            </w:r>
          </w:p>
        </w:tc>
      </w:tr>
      <w:tr w:rsidR="00886191" w:rsidRPr="003445F5" w14:paraId="78196100" w14:textId="77777777" w:rsidTr="00DC1FBA">
        <w:trPr>
          <w:trHeight w:val="20"/>
        </w:trPr>
        <w:tc>
          <w:tcPr>
            <w:tcW w:w="1255" w:type="pct"/>
            <w:vMerge/>
            <w:vAlign w:val="center"/>
          </w:tcPr>
          <w:p w14:paraId="0E21616A" w14:textId="77777777" w:rsidR="00886191" w:rsidRPr="003445F5" w:rsidRDefault="00886191" w:rsidP="00704956">
            <w:pPr>
              <w:jc w:val="left"/>
              <w:rPr>
                <w:noProof/>
                <w:szCs w:val="22"/>
                <w:u w:val="single"/>
                <w:lang w:val="sr-Latn-ME"/>
              </w:rPr>
            </w:pPr>
          </w:p>
        </w:tc>
        <w:tc>
          <w:tcPr>
            <w:tcW w:w="786" w:type="pct"/>
            <w:vAlign w:val="center"/>
          </w:tcPr>
          <w:p w14:paraId="31A2D216"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4E6260C5" w14:textId="77777777" w:rsidR="00886191" w:rsidRPr="003445F5" w:rsidRDefault="00886191" w:rsidP="00704956">
            <w:pPr>
              <w:jc w:val="left"/>
              <w:rPr>
                <w:szCs w:val="22"/>
                <w:lang w:val="sr-Latn-ME"/>
              </w:rPr>
            </w:pPr>
            <w:r w:rsidRPr="003445F5">
              <w:rPr>
                <w:szCs w:val="22"/>
                <w:lang w:val="sr-Latn-ME"/>
              </w:rPr>
              <w:t>Neurološke infekcije (uključujući virusni meningitis),</w:t>
            </w:r>
          </w:p>
          <w:p w14:paraId="2F274A0C" w14:textId="77777777" w:rsidR="00886191" w:rsidRPr="003445F5" w:rsidRDefault="00886191" w:rsidP="00704956">
            <w:pPr>
              <w:jc w:val="left"/>
              <w:rPr>
                <w:szCs w:val="22"/>
                <w:lang w:val="sr-Latn-ME"/>
              </w:rPr>
            </w:pPr>
            <w:r w:rsidRPr="003445F5">
              <w:rPr>
                <w:szCs w:val="22"/>
                <w:lang w:val="sr-Latn-ME"/>
              </w:rPr>
              <w:t xml:space="preserve">oportunističke infekcije i tuberkuloza (uključujući kokcidioidomikozu, histoplazmozu i infekciju kompleksom </w:t>
            </w:r>
            <w:r w:rsidRPr="003445F5">
              <w:rPr>
                <w:i/>
                <w:iCs/>
                <w:szCs w:val="22"/>
                <w:lang w:val="sr-Latn-ME"/>
              </w:rPr>
              <w:t>mycobacterium avium</w:t>
            </w:r>
            <w:r w:rsidRPr="003445F5">
              <w:rPr>
                <w:szCs w:val="22"/>
                <w:lang w:val="sr-Latn-ME"/>
              </w:rPr>
              <w:t xml:space="preserve">), </w:t>
            </w:r>
          </w:p>
          <w:p w14:paraId="11507818" w14:textId="77777777" w:rsidR="00886191" w:rsidRPr="003445F5" w:rsidRDefault="00886191" w:rsidP="00704956">
            <w:pPr>
              <w:jc w:val="left"/>
              <w:rPr>
                <w:szCs w:val="22"/>
                <w:lang w:val="sr-Latn-ME"/>
              </w:rPr>
            </w:pPr>
            <w:r w:rsidRPr="003445F5">
              <w:rPr>
                <w:szCs w:val="22"/>
                <w:lang w:val="sr-Latn-ME"/>
              </w:rPr>
              <w:t xml:space="preserve">bakterijske infekcije, </w:t>
            </w:r>
          </w:p>
          <w:p w14:paraId="571BDA01" w14:textId="77777777" w:rsidR="00886191" w:rsidRPr="003445F5" w:rsidRDefault="00886191" w:rsidP="00704956">
            <w:pPr>
              <w:jc w:val="left"/>
              <w:rPr>
                <w:szCs w:val="22"/>
                <w:lang w:val="sr-Latn-ME"/>
              </w:rPr>
            </w:pPr>
            <w:r w:rsidRPr="003445F5">
              <w:rPr>
                <w:szCs w:val="22"/>
                <w:lang w:val="sr-Latn-ME"/>
              </w:rPr>
              <w:t xml:space="preserve">infekcije oka, </w:t>
            </w:r>
          </w:p>
          <w:p w14:paraId="6287356C" w14:textId="77777777" w:rsidR="00886191" w:rsidRPr="003445F5" w:rsidRDefault="00886191" w:rsidP="00704956">
            <w:pPr>
              <w:jc w:val="left"/>
              <w:rPr>
                <w:noProof/>
                <w:szCs w:val="22"/>
                <w:u w:val="single"/>
                <w:lang w:val="sr-Latn-ME"/>
              </w:rPr>
            </w:pPr>
            <w:r w:rsidRPr="003445F5">
              <w:rPr>
                <w:szCs w:val="22"/>
                <w:lang w:val="sr-Latn-ME"/>
              </w:rPr>
              <w:t>divertikulitis</w:t>
            </w:r>
            <w:r w:rsidRPr="003445F5">
              <w:rPr>
                <w:szCs w:val="22"/>
                <w:vertAlign w:val="superscript"/>
                <w:lang w:val="sr-Latn-ME"/>
              </w:rPr>
              <w:t>1)</w:t>
            </w:r>
          </w:p>
        </w:tc>
      </w:tr>
      <w:tr w:rsidR="00886191" w:rsidRPr="003445F5" w14:paraId="5709422D" w14:textId="77777777" w:rsidTr="00DC1FBA">
        <w:trPr>
          <w:trHeight w:val="20"/>
        </w:trPr>
        <w:tc>
          <w:tcPr>
            <w:tcW w:w="1255" w:type="pct"/>
            <w:vMerge w:val="restart"/>
            <w:vAlign w:val="center"/>
          </w:tcPr>
          <w:p w14:paraId="00AB2501" w14:textId="77777777" w:rsidR="00886191" w:rsidRPr="003445F5" w:rsidRDefault="00886191" w:rsidP="00704956">
            <w:pPr>
              <w:jc w:val="left"/>
              <w:rPr>
                <w:noProof/>
                <w:szCs w:val="22"/>
                <w:u w:val="single"/>
                <w:lang w:val="sr-Latn-ME"/>
              </w:rPr>
            </w:pPr>
            <w:r w:rsidRPr="003445F5">
              <w:rPr>
                <w:szCs w:val="22"/>
                <w:lang w:val="sr-Latn-ME"/>
              </w:rPr>
              <w:lastRenderedPageBreak/>
              <w:t>Neoplazme-benigne, maligne i neodređene (uključujući ciste i polipe)*</w:t>
            </w:r>
          </w:p>
        </w:tc>
        <w:tc>
          <w:tcPr>
            <w:tcW w:w="786" w:type="pct"/>
            <w:vAlign w:val="center"/>
          </w:tcPr>
          <w:p w14:paraId="40B74F56"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536B6405" w14:textId="77777777" w:rsidR="00886191" w:rsidRPr="003445F5" w:rsidRDefault="00886191" w:rsidP="00704956">
            <w:pPr>
              <w:jc w:val="left"/>
              <w:rPr>
                <w:szCs w:val="22"/>
                <w:lang w:val="sr-Latn-ME"/>
              </w:rPr>
            </w:pPr>
            <w:r w:rsidRPr="003445F5">
              <w:rPr>
                <w:szCs w:val="22"/>
                <w:lang w:val="sr-Latn-ME"/>
              </w:rPr>
              <w:t xml:space="preserve">Kancer kože izuzimajući melanom (uključujući karcinom bazalnih ćelija i karcinom skvamoznih ćelija), </w:t>
            </w:r>
          </w:p>
          <w:p w14:paraId="59E8E796" w14:textId="77777777" w:rsidR="00886191" w:rsidRPr="003445F5" w:rsidRDefault="00886191" w:rsidP="00704956">
            <w:pPr>
              <w:jc w:val="left"/>
              <w:rPr>
                <w:noProof/>
                <w:szCs w:val="22"/>
                <w:u w:val="single"/>
                <w:lang w:val="sr-Latn-ME"/>
              </w:rPr>
            </w:pPr>
            <w:r w:rsidRPr="003445F5">
              <w:rPr>
                <w:szCs w:val="22"/>
                <w:lang w:val="sr-Latn-ME"/>
              </w:rPr>
              <w:t>benigne neoplazme</w:t>
            </w:r>
          </w:p>
        </w:tc>
      </w:tr>
      <w:tr w:rsidR="00886191" w:rsidRPr="003445F5" w14:paraId="176FAD5D" w14:textId="77777777" w:rsidTr="00DC1FBA">
        <w:trPr>
          <w:trHeight w:val="20"/>
        </w:trPr>
        <w:tc>
          <w:tcPr>
            <w:tcW w:w="1255" w:type="pct"/>
            <w:vMerge/>
            <w:vAlign w:val="center"/>
          </w:tcPr>
          <w:p w14:paraId="193CACA4" w14:textId="77777777" w:rsidR="00886191" w:rsidRPr="003445F5" w:rsidRDefault="00886191" w:rsidP="00704956">
            <w:pPr>
              <w:jc w:val="left"/>
              <w:rPr>
                <w:noProof/>
                <w:szCs w:val="22"/>
                <w:u w:val="single"/>
                <w:lang w:val="sr-Latn-ME"/>
              </w:rPr>
            </w:pPr>
          </w:p>
        </w:tc>
        <w:tc>
          <w:tcPr>
            <w:tcW w:w="786" w:type="pct"/>
            <w:vAlign w:val="center"/>
          </w:tcPr>
          <w:p w14:paraId="47B7BF75"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6F38C7F6" w14:textId="77777777" w:rsidR="00886191" w:rsidRPr="003445F5" w:rsidRDefault="00886191" w:rsidP="00704956">
            <w:pPr>
              <w:jc w:val="left"/>
              <w:rPr>
                <w:szCs w:val="22"/>
                <w:lang w:val="sr-Latn-ME"/>
              </w:rPr>
            </w:pPr>
            <w:r w:rsidRPr="003445F5">
              <w:rPr>
                <w:szCs w:val="22"/>
                <w:lang w:val="sr-Latn-ME"/>
              </w:rPr>
              <w:t xml:space="preserve">Limfom**, </w:t>
            </w:r>
          </w:p>
          <w:p w14:paraId="705C2E1D" w14:textId="10EF5D92" w:rsidR="00886191" w:rsidRPr="003445F5" w:rsidRDefault="00886191" w:rsidP="00704956">
            <w:pPr>
              <w:jc w:val="left"/>
              <w:rPr>
                <w:szCs w:val="22"/>
                <w:lang w:val="sr-Latn-ME"/>
              </w:rPr>
            </w:pPr>
            <w:r w:rsidRPr="003445F5">
              <w:rPr>
                <w:szCs w:val="22"/>
                <w:lang w:val="sr-Latn-ME"/>
              </w:rPr>
              <w:t>tumori solidnih organa (uključujući kancere dojke, maligne neoplazme pluća i štitaste žl</w:t>
            </w:r>
            <w:r w:rsidR="005236A4" w:rsidRPr="003445F5">
              <w:rPr>
                <w:szCs w:val="22"/>
                <w:lang w:val="sr-Latn-ME"/>
              </w:rPr>
              <w:t>ij</w:t>
            </w:r>
            <w:r w:rsidRPr="003445F5">
              <w:rPr>
                <w:szCs w:val="22"/>
                <w:lang w:val="sr-Latn-ME"/>
              </w:rPr>
              <w:t xml:space="preserve">ezde), </w:t>
            </w:r>
          </w:p>
          <w:p w14:paraId="1B61F138" w14:textId="77777777" w:rsidR="00886191" w:rsidRPr="003445F5" w:rsidRDefault="00886191" w:rsidP="00704956">
            <w:pPr>
              <w:jc w:val="left"/>
              <w:rPr>
                <w:noProof/>
                <w:szCs w:val="22"/>
                <w:u w:val="single"/>
                <w:lang w:val="sr-Latn-ME"/>
              </w:rPr>
            </w:pPr>
            <w:r w:rsidRPr="003445F5">
              <w:rPr>
                <w:szCs w:val="22"/>
                <w:lang w:val="sr-Latn-ME"/>
              </w:rPr>
              <w:t>melanom**</w:t>
            </w:r>
          </w:p>
        </w:tc>
      </w:tr>
      <w:tr w:rsidR="00886191" w:rsidRPr="003445F5" w14:paraId="54AA4435" w14:textId="77777777" w:rsidTr="00DC1FBA">
        <w:trPr>
          <w:trHeight w:val="20"/>
        </w:trPr>
        <w:tc>
          <w:tcPr>
            <w:tcW w:w="1255" w:type="pct"/>
            <w:vMerge/>
            <w:vAlign w:val="center"/>
          </w:tcPr>
          <w:p w14:paraId="325A8F38" w14:textId="77777777" w:rsidR="00886191" w:rsidRPr="003445F5" w:rsidRDefault="00886191" w:rsidP="00704956">
            <w:pPr>
              <w:jc w:val="left"/>
              <w:rPr>
                <w:noProof/>
                <w:szCs w:val="22"/>
                <w:u w:val="single"/>
                <w:lang w:val="sr-Latn-ME"/>
              </w:rPr>
            </w:pPr>
          </w:p>
        </w:tc>
        <w:tc>
          <w:tcPr>
            <w:tcW w:w="786" w:type="pct"/>
            <w:vAlign w:val="center"/>
          </w:tcPr>
          <w:p w14:paraId="5735274B" w14:textId="01244CE7" w:rsidR="00886191" w:rsidRPr="003445F5" w:rsidRDefault="00886191" w:rsidP="00704956">
            <w:pPr>
              <w:jc w:val="left"/>
              <w:rPr>
                <w:noProof/>
                <w:szCs w:val="22"/>
                <w:u w:val="single"/>
                <w:lang w:val="sr-Latn-ME"/>
              </w:rPr>
            </w:pPr>
            <w:r w:rsidRPr="003445F5">
              <w:rPr>
                <w:szCs w:val="22"/>
                <w:lang w:val="sr-Latn-ME"/>
              </w:rPr>
              <w:t>R</w:t>
            </w:r>
            <w:r w:rsidR="005236A4" w:rsidRPr="003445F5">
              <w:rPr>
                <w:szCs w:val="22"/>
                <w:lang w:val="sr-Latn-ME"/>
              </w:rPr>
              <w:t>ij</w:t>
            </w:r>
            <w:r w:rsidRPr="003445F5">
              <w:rPr>
                <w:szCs w:val="22"/>
                <w:lang w:val="sr-Latn-ME"/>
              </w:rPr>
              <w:t>etko</w:t>
            </w:r>
          </w:p>
        </w:tc>
        <w:tc>
          <w:tcPr>
            <w:tcW w:w="2959" w:type="pct"/>
            <w:vAlign w:val="center"/>
          </w:tcPr>
          <w:p w14:paraId="2D313AD2" w14:textId="77777777" w:rsidR="00886191" w:rsidRPr="003445F5" w:rsidRDefault="00886191" w:rsidP="00704956">
            <w:pPr>
              <w:jc w:val="left"/>
              <w:rPr>
                <w:noProof/>
                <w:szCs w:val="22"/>
                <w:u w:val="single"/>
                <w:lang w:val="sr-Latn-ME"/>
              </w:rPr>
            </w:pPr>
            <w:r w:rsidRPr="003445F5">
              <w:rPr>
                <w:szCs w:val="22"/>
                <w:lang w:val="sr-Latn-ME"/>
              </w:rPr>
              <w:t>Leukemija</w:t>
            </w:r>
            <w:r w:rsidRPr="003445F5">
              <w:rPr>
                <w:szCs w:val="22"/>
                <w:vertAlign w:val="superscript"/>
                <w:lang w:val="sr-Latn-ME"/>
              </w:rPr>
              <w:t>1)</w:t>
            </w:r>
          </w:p>
        </w:tc>
      </w:tr>
      <w:tr w:rsidR="00886191" w:rsidRPr="003445F5" w14:paraId="3EFBB19A" w14:textId="77777777" w:rsidTr="00DC1FBA">
        <w:trPr>
          <w:trHeight w:val="20"/>
        </w:trPr>
        <w:tc>
          <w:tcPr>
            <w:tcW w:w="1255" w:type="pct"/>
            <w:vMerge/>
            <w:vAlign w:val="center"/>
          </w:tcPr>
          <w:p w14:paraId="23078EC1" w14:textId="77777777" w:rsidR="00886191" w:rsidRPr="003445F5" w:rsidRDefault="00886191" w:rsidP="00704956">
            <w:pPr>
              <w:jc w:val="left"/>
              <w:rPr>
                <w:noProof/>
                <w:szCs w:val="22"/>
                <w:u w:val="single"/>
                <w:lang w:val="sr-Latn-ME"/>
              </w:rPr>
            </w:pPr>
          </w:p>
        </w:tc>
        <w:tc>
          <w:tcPr>
            <w:tcW w:w="786" w:type="pct"/>
            <w:vAlign w:val="center"/>
          </w:tcPr>
          <w:p w14:paraId="73FC525C" w14:textId="77777777" w:rsidR="00886191" w:rsidRPr="003445F5" w:rsidRDefault="00886191" w:rsidP="00704956">
            <w:pPr>
              <w:jc w:val="left"/>
              <w:rPr>
                <w:noProof/>
                <w:szCs w:val="22"/>
                <w:u w:val="single"/>
                <w:lang w:val="sr-Latn-ME"/>
              </w:rPr>
            </w:pPr>
            <w:r w:rsidRPr="003445F5">
              <w:rPr>
                <w:szCs w:val="22"/>
                <w:lang w:val="sr-Latn-ME"/>
              </w:rPr>
              <w:t>Nepoznato</w:t>
            </w:r>
          </w:p>
        </w:tc>
        <w:tc>
          <w:tcPr>
            <w:tcW w:w="2959" w:type="pct"/>
            <w:vAlign w:val="center"/>
          </w:tcPr>
          <w:p w14:paraId="31F081DE" w14:textId="77777777" w:rsidR="00886191" w:rsidRPr="003445F5" w:rsidRDefault="00886191" w:rsidP="00704956">
            <w:pPr>
              <w:jc w:val="left"/>
              <w:rPr>
                <w:szCs w:val="22"/>
                <w:lang w:val="sr-Latn-ME"/>
              </w:rPr>
            </w:pPr>
            <w:r w:rsidRPr="003445F5">
              <w:rPr>
                <w:szCs w:val="22"/>
                <w:lang w:val="sr-Latn-ME"/>
              </w:rPr>
              <w:t>Hepatosplenični T-ćelijski limfom</w:t>
            </w:r>
            <w:r w:rsidRPr="003445F5">
              <w:rPr>
                <w:szCs w:val="22"/>
                <w:vertAlign w:val="superscript"/>
                <w:lang w:val="sr-Latn-ME"/>
              </w:rPr>
              <w:t>1)</w:t>
            </w:r>
            <w:r w:rsidRPr="003445F5">
              <w:rPr>
                <w:szCs w:val="22"/>
                <w:lang w:val="sr-Latn-ME"/>
              </w:rPr>
              <w:t xml:space="preserve"> , </w:t>
            </w:r>
          </w:p>
          <w:p w14:paraId="72B2F198" w14:textId="77777777" w:rsidR="00886191" w:rsidRPr="003445F5" w:rsidRDefault="00886191" w:rsidP="00704956">
            <w:pPr>
              <w:jc w:val="left"/>
              <w:rPr>
                <w:szCs w:val="22"/>
                <w:vertAlign w:val="superscript"/>
                <w:lang w:val="sr-Latn-ME"/>
              </w:rPr>
            </w:pPr>
            <w:r w:rsidRPr="003445F5">
              <w:rPr>
                <w:szCs w:val="22"/>
                <w:lang w:val="sr-Latn-ME"/>
              </w:rPr>
              <w:t>karcinom Merkelovih ćelija (neuroendokrini karcinom kože)</w:t>
            </w:r>
            <w:r w:rsidRPr="003445F5">
              <w:rPr>
                <w:szCs w:val="22"/>
                <w:vertAlign w:val="superscript"/>
                <w:lang w:val="sr-Latn-ME"/>
              </w:rPr>
              <w:t>1)</w:t>
            </w:r>
          </w:p>
          <w:p w14:paraId="55EB4D27" w14:textId="77777777" w:rsidR="00886191" w:rsidRPr="003445F5" w:rsidRDefault="00886191" w:rsidP="00704956">
            <w:pPr>
              <w:jc w:val="left"/>
              <w:rPr>
                <w:noProof/>
                <w:szCs w:val="22"/>
                <w:lang w:val="sr-Latn-ME"/>
              </w:rPr>
            </w:pPr>
            <w:r w:rsidRPr="003445F5">
              <w:rPr>
                <w:noProof/>
                <w:szCs w:val="22"/>
                <w:lang w:val="sr-Latn-ME"/>
              </w:rPr>
              <w:t>Kapoši sarkom</w:t>
            </w:r>
          </w:p>
        </w:tc>
      </w:tr>
      <w:tr w:rsidR="00886191" w:rsidRPr="003445F5" w14:paraId="1E71BDA0" w14:textId="77777777" w:rsidTr="00DC1FBA">
        <w:trPr>
          <w:trHeight w:val="20"/>
        </w:trPr>
        <w:tc>
          <w:tcPr>
            <w:tcW w:w="1255" w:type="pct"/>
            <w:vMerge w:val="restart"/>
            <w:vAlign w:val="center"/>
          </w:tcPr>
          <w:p w14:paraId="58D93204" w14:textId="77777777" w:rsidR="00886191" w:rsidRPr="003445F5" w:rsidRDefault="00886191" w:rsidP="00704956">
            <w:pPr>
              <w:jc w:val="left"/>
              <w:rPr>
                <w:noProof/>
                <w:szCs w:val="22"/>
                <w:u w:val="single"/>
                <w:lang w:val="sr-Latn-ME"/>
              </w:rPr>
            </w:pPr>
            <w:r w:rsidRPr="003445F5">
              <w:rPr>
                <w:szCs w:val="22"/>
                <w:lang w:val="sr-Latn-ME"/>
              </w:rPr>
              <w:t>Poremećaji krvi i limfnog sistema*</w:t>
            </w:r>
          </w:p>
        </w:tc>
        <w:tc>
          <w:tcPr>
            <w:tcW w:w="786" w:type="pct"/>
            <w:vAlign w:val="center"/>
          </w:tcPr>
          <w:p w14:paraId="1F60B1D3" w14:textId="77777777" w:rsidR="00886191" w:rsidRPr="003445F5" w:rsidRDefault="00886191" w:rsidP="00704956">
            <w:pPr>
              <w:jc w:val="left"/>
              <w:rPr>
                <w:noProof/>
                <w:szCs w:val="22"/>
                <w:u w:val="single"/>
                <w:lang w:val="sr-Latn-ME"/>
              </w:rPr>
            </w:pPr>
            <w:r w:rsidRPr="003445F5">
              <w:rPr>
                <w:szCs w:val="22"/>
                <w:lang w:val="sr-Latn-ME"/>
              </w:rPr>
              <w:t>Veoma često</w:t>
            </w:r>
          </w:p>
        </w:tc>
        <w:tc>
          <w:tcPr>
            <w:tcW w:w="2959" w:type="pct"/>
            <w:vAlign w:val="center"/>
          </w:tcPr>
          <w:p w14:paraId="5B92B47B" w14:textId="77777777" w:rsidR="00886191" w:rsidRPr="003445F5" w:rsidRDefault="00886191" w:rsidP="00704956">
            <w:pPr>
              <w:jc w:val="left"/>
              <w:rPr>
                <w:szCs w:val="22"/>
                <w:lang w:val="sr-Latn-ME"/>
              </w:rPr>
            </w:pPr>
            <w:r w:rsidRPr="003445F5">
              <w:rPr>
                <w:szCs w:val="22"/>
                <w:lang w:val="sr-Latn-ME"/>
              </w:rPr>
              <w:t xml:space="preserve">Leukopenija (uključujući neutropeniju i agranulocitozu), </w:t>
            </w:r>
          </w:p>
          <w:p w14:paraId="2622C1CE" w14:textId="77777777" w:rsidR="00886191" w:rsidRPr="003445F5" w:rsidRDefault="00886191" w:rsidP="00704956">
            <w:pPr>
              <w:jc w:val="left"/>
              <w:rPr>
                <w:noProof/>
                <w:szCs w:val="22"/>
                <w:u w:val="single"/>
                <w:lang w:val="sr-Latn-ME"/>
              </w:rPr>
            </w:pPr>
            <w:r w:rsidRPr="003445F5">
              <w:rPr>
                <w:szCs w:val="22"/>
                <w:lang w:val="sr-Latn-ME"/>
              </w:rPr>
              <w:t>anemija</w:t>
            </w:r>
          </w:p>
        </w:tc>
      </w:tr>
      <w:tr w:rsidR="00886191" w:rsidRPr="003445F5" w14:paraId="0605ED5A" w14:textId="77777777" w:rsidTr="00DC1FBA">
        <w:trPr>
          <w:trHeight w:val="20"/>
        </w:trPr>
        <w:tc>
          <w:tcPr>
            <w:tcW w:w="1255" w:type="pct"/>
            <w:vMerge/>
            <w:vAlign w:val="center"/>
          </w:tcPr>
          <w:p w14:paraId="0C846909" w14:textId="77777777" w:rsidR="00886191" w:rsidRPr="003445F5" w:rsidRDefault="00886191" w:rsidP="00704956">
            <w:pPr>
              <w:jc w:val="left"/>
              <w:rPr>
                <w:noProof/>
                <w:szCs w:val="22"/>
                <w:u w:val="single"/>
                <w:lang w:val="sr-Latn-ME"/>
              </w:rPr>
            </w:pPr>
          </w:p>
        </w:tc>
        <w:tc>
          <w:tcPr>
            <w:tcW w:w="786" w:type="pct"/>
            <w:vAlign w:val="center"/>
          </w:tcPr>
          <w:p w14:paraId="4EBE43CD"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743BFEE3" w14:textId="77777777" w:rsidR="00886191" w:rsidRPr="003445F5" w:rsidRDefault="00886191" w:rsidP="00704956">
            <w:pPr>
              <w:jc w:val="left"/>
              <w:rPr>
                <w:szCs w:val="22"/>
                <w:lang w:val="sr-Latn-ME"/>
              </w:rPr>
            </w:pPr>
            <w:r w:rsidRPr="003445F5">
              <w:rPr>
                <w:szCs w:val="22"/>
                <w:lang w:val="sr-Latn-ME"/>
              </w:rPr>
              <w:t xml:space="preserve">Leukocitoza, </w:t>
            </w:r>
          </w:p>
          <w:p w14:paraId="3CAE4E7D" w14:textId="77777777" w:rsidR="00886191" w:rsidRPr="003445F5" w:rsidRDefault="00886191" w:rsidP="00704956">
            <w:pPr>
              <w:jc w:val="left"/>
              <w:rPr>
                <w:noProof/>
                <w:szCs w:val="22"/>
                <w:u w:val="single"/>
                <w:lang w:val="sr-Latn-ME"/>
              </w:rPr>
            </w:pPr>
            <w:r w:rsidRPr="003445F5">
              <w:rPr>
                <w:szCs w:val="22"/>
                <w:lang w:val="sr-Latn-ME"/>
              </w:rPr>
              <w:t>trombocitopenija</w:t>
            </w:r>
          </w:p>
        </w:tc>
      </w:tr>
      <w:tr w:rsidR="00886191" w:rsidRPr="003445F5" w14:paraId="2E67AC48" w14:textId="77777777" w:rsidTr="00DC1FBA">
        <w:trPr>
          <w:trHeight w:val="20"/>
        </w:trPr>
        <w:tc>
          <w:tcPr>
            <w:tcW w:w="1255" w:type="pct"/>
            <w:vMerge/>
            <w:vAlign w:val="center"/>
          </w:tcPr>
          <w:p w14:paraId="2C6F444D" w14:textId="77777777" w:rsidR="00886191" w:rsidRPr="003445F5" w:rsidRDefault="00886191" w:rsidP="00704956">
            <w:pPr>
              <w:jc w:val="left"/>
              <w:rPr>
                <w:noProof/>
                <w:szCs w:val="22"/>
                <w:u w:val="single"/>
                <w:lang w:val="sr-Latn-ME"/>
              </w:rPr>
            </w:pPr>
          </w:p>
        </w:tc>
        <w:tc>
          <w:tcPr>
            <w:tcW w:w="786" w:type="pct"/>
            <w:vAlign w:val="center"/>
          </w:tcPr>
          <w:p w14:paraId="439C1710"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562D9987" w14:textId="77777777" w:rsidR="00886191" w:rsidRPr="003445F5" w:rsidRDefault="00886191" w:rsidP="00704956">
            <w:pPr>
              <w:jc w:val="left"/>
              <w:rPr>
                <w:noProof/>
                <w:szCs w:val="22"/>
                <w:u w:val="single"/>
                <w:lang w:val="sr-Latn-ME"/>
              </w:rPr>
            </w:pPr>
            <w:r w:rsidRPr="003445F5">
              <w:rPr>
                <w:szCs w:val="22"/>
                <w:lang w:val="sr-Latn-ME"/>
              </w:rPr>
              <w:t>Idiopatska trombocitopenijska purpura</w:t>
            </w:r>
          </w:p>
        </w:tc>
      </w:tr>
      <w:tr w:rsidR="00886191" w:rsidRPr="003445F5" w14:paraId="69AADA03" w14:textId="77777777" w:rsidTr="00DC1FBA">
        <w:trPr>
          <w:trHeight w:val="20"/>
        </w:trPr>
        <w:tc>
          <w:tcPr>
            <w:tcW w:w="1255" w:type="pct"/>
            <w:vMerge/>
            <w:vAlign w:val="center"/>
          </w:tcPr>
          <w:p w14:paraId="5A4910A2" w14:textId="77777777" w:rsidR="00886191" w:rsidRPr="003445F5" w:rsidRDefault="00886191" w:rsidP="00704956">
            <w:pPr>
              <w:jc w:val="left"/>
              <w:rPr>
                <w:noProof/>
                <w:szCs w:val="22"/>
                <w:u w:val="single"/>
                <w:lang w:val="sr-Latn-ME"/>
              </w:rPr>
            </w:pPr>
          </w:p>
        </w:tc>
        <w:tc>
          <w:tcPr>
            <w:tcW w:w="786" w:type="pct"/>
            <w:vAlign w:val="center"/>
          </w:tcPr>
          <w:p w14:paraId="401005D2" w14:textId="6697D13E" w:rsidR="00886191" w:rsidRPr="003445F5" w:rsidRDefault="00886191" w:rsidP="00704956">
            <w:pPr>
              <w:jc w:val="left"/>
              <w:rPr>
                <w:noProof/>
                <w:szCs w:val="22"/>
                <w:u w:val="single"/>
                <w:lang w:val="sr-Latn-ME"/>
              </w:rPr>
            </w:pPr>
            <w:r w:rsidRPr="003445F5">
              <w:rPr>
                <w:szCs w:val="22"/>
                <w:lang w:val="sr-Latn-ME"/>
              </w:rPr>
              <w:t>R</w:t>
            </w:r>
            <w:r w:rsidR="005236A4" w:rsidRPr="003445F5">
              <w:rPr>
                <w:szCs w:val="22"/>
                <w:lang w:val="sr-Latn-ME"/>
              </w:rPr>
              <w:t>ij</w:t>
            </w:r>
            <w:r w:rsidRPr="003445F5">
              <w:rPr>
                <w:szCs w:val="22"/>
                <w:lang w:val="sr-Latn-ME"/>
              </w:rPr>
              <w:t>etko</w:t>
            </w:r>
          </w:p>
        </w:tc>
        <w:tc>
          <w:tcPr>
            <w:tcW w:w="2959" w:type="pct"/>
            <w:vAlign w:val="center"/>
          </w:tcPr>
          <w:p w14:paraId="41BC2381" w14:textId="77777777" w:rsidR="00886191" w:rsidRPr="003445F5" w:rsidRDefault="00886191" w:rsidP="00704956">
            <w:pPr>
              <w:jc w:val="left"/>
              <w:rPr>
                <w:noProof/>
                <w:szCs w:val="22"/>
                <w:u w:val="single"/>
                <w:lang w:val="sr-Latn-ME"/>
              </w:rPr>
            </w:pPr>
            <w:r w:rsidRPr="003445F5">
              <w:rPr>
                <w:szCs w:val="22"/>
                <w:lang w:val="sr-Latn-ME"/>
              </w:rPr>
              <w:t>Pancitopenija</w:t>
            </w:r>
          </w:p>
        </w:tc>
      </w:tr>
      <w:tr w:rsidR="00886191" w:rsidRPr="003445F5" w14:paraId="674A073D" w14:textId="77777777" w:rsidTr="00DC1FBA">
        <w:trPr>
          <w:trHeight w:val="20"/>
        </w:trPr>
        <w:tc>
          <w:tcPr>
            <w:tcW w:w="1255" w:type="pct"/>
            <w:vMerge w:val="restart"/>
            <w:vAlign w:val="center"/>
          </w:tcPr>
          <w:p w14:paraId="5A7A903C" w14:textId="77777777" w:rsidR="00886191" w:rsidRPr="003445F5" w:rsidRDefault="00886191" w:rsidP="00704956">
            <w:pPr>
              <w:jc w:val="left"/>
              <w:rPr>
                <w:noProof/>
                <w:szCs w:val="22"/>
                <w:u w:val="single"/>
                <w:lang w:val="sr-Latn-ME"/>
              </w:rPr>
            </w:pPr>
            <w:r w:rsidRPr="003445F5">
              <w:rPr>
                <w:szCs w:val="22"/>
                <w:lang w:val="sr-Latn-ME"/>
              </w:rPr>
              <w:t>Poremećaji imunskog sistema*</w:t>
            </w:r>
          </w:p>
        </w:tc>
        <w:tc>
          <w:tcPr>
            <w:tcW w:w="786" w:type="pct"/>
            <w:vAlign w:val="center"/>
          </w:tcPr>
          <w:p w14:paraId="2AFC4443"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2AD3787C" w14:textId="77777777" w:rsidR="00886191" w:rsidRPr="003445F5" w:rsidRDefault="00886191" w:rsidP="00704956">
            <w:pPr>
              <w:jc w:val="left"/>
              <w:rPr>
                <w:szCs w:val="22"/>
                <w:lang w:val="sr-Latn-ME"/>
              </w:rPr>
            </w:pPr>
            <w:r w:rsidRPr="003445F5">
              <w:rPr>
                <w:szCs w:val="22"/>
                <w:lang w:val="sr-Latn-ME"/>
              </w:rPr>
              <w:t xml:space="preserve">Hipersenzitivnost, </w:t>
            </w:r>
          </w:p>
          <w:p w14:paraId="0DC20517" w14:textId="77777777" w:rsidR="00886191" w:rsidRPr="003445F5" w:rsidRDefault="00886191" w:rsidP="00704956">
            <w:pPr>
              <w:jc w:val="left"/>
              <w:rPr>
                <w:noProof/>
                <w:szCs w:val="22"/>
                <w:u w:val="single"/>
                <w:lang w:val="sr-Latn-ME"/>
              </w:rPr>
            </w:pPr>
            <w:r w:rsidRPr="003445F5">
              <w:rPr>
                <w:szCs w:val="22"/>
                <w:lang w:val="sr-Latn-ME"/>
              </w:rPr>
              <w:t>alergije (uključujući sezonsku alergiju)</w:t>
            </w:r>
          </w:p>
        </w:tc>
      </w:tr>
      <w:tr w:rsidR="00886191" w:rsidRPr="003445F5" w14:paraId="175B20B6" w14:textId="77777777" w:rsidTr="00DC1FBA">
        <w:trPr>
          <w:trHeight w:val="20"/>
        </w:trPr>
        <w:tc>
          <w:tcPr>
            <w:tcW w:w="1255" w:type="pct"/>
            <w:vMerge/>
            <w:vAlign w:val="center"/>
          </w:tcPr>
          <w:p w14:paraId="1E049EBB" w14:textId="77777777" w:rsidR="00886191" w:rsidRPr="003445F5" w:rsidRDefault="00886191" w:rsidP="00704956">
            <w:pPr>
              <w:jc w:val="left"/>
              <w:rPr>
                <w:noProof/>
                <w:szCs w:val="22"/>
                <w:u w:val="single"/>
                <w:lang w:val="sr-Latn-ME"/>
              </w:rPr>
            </w:pPr>
          </w:p>
        </w:tc>
        <w:tc>
          <w:tcPr>
            <w:tcW w:w="786" w:type="pct"/>
            <w:vAlign w:val="center"/>
          </w:tcPr>
          <w:p w14:paraId="324A312B"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634D122A" w14:textId="4528B5C4" w:rsidR="00886191" w:rsidRPr="003445F5" w:rsidRDefault="00886191" w:rsidP="00704956">
            <w:pPr>
              <w:jc w:val="left"/>
              <w:rPr>
                <w:szCs w:val="22"/>
                <w:lang w:val="sr-Latn-ME"/>
              </w:rPr>
            </w:pPr>
            <w:r w:rsidRPr="003445F5">
              <w:rPr>
                <w:szCs w:val="22"/>
                <w:lang w:val="sr-Latn-ME"/>
              </w:rPr>
              <w:t>Sarkoidoza</w:t>
            </w:r>
            <w:r w:rsidRPr="003445F5">
              <w:rPr>
                <w:szCs w:val="22"/>
                <w:vertAlign w:val="superscript"/>
                <w:lang w:val="sr-Latn-ME"/>
              </w:rPr>
              <w:t>1)</w:t>
            </w:r>
            <w:r w:rsidRPr="003445F5">
              <w:rPr>
                <w:szCs w:val="22"/>
                <w:lang w:val="sr-Latn-ME"/>
              </w:rPr>
              <w:t xml:space="preserve">, </w:t>
            </w:r>
          </w:p>
          <w:p w14:paraId="1EBEC368" w14:textId="77777777" w:rsidR="00886191" w:rsidRPr="003445F5" w:rsidRDefault="00886191" w:rsidP="00704956">
            <w:pPr>
              <w:jc w:val="left"/>
              <w:rPr>
                <w:noProof/>
                <w:szCs w:val="22"/>
                <w:u w:val="single"/>
                <w:lang w:val="sr-Latn-ME"/>
              </w:rPr>
            </w:pPr>
            <w:r w:rsidRPr="003445F5">
              <w:rPr>
                <w:szCs w:val="22"/>
                <w:lang w:val="sr-Latn-ME"/>
              </w:rPr>
              <w:t>vaskulitis</w:t>
            </w:r>
          </w:p>
        </w:tc>
      </w:tr>
      <w:tr w:rsidR="00886191" w:rsidRPr="003445F5" w14:paraId="5CB93ECB" w14:textId="77777777" w:rsidTr="00DC1FBA">
        <w:trPr>
          <w:trHeight w:val="20"/>
        </w:trPr>
        <w:tc>
          <w:tcPr>
            <w:tcW w:w="1255" w:type="pct"/>
            <w:vMerge/>
            <w:vAlign w:val="center"/>
          </w:tcPr>
          <w:p w14:paraId="1E0294E0" w14:textId="77777777" w:rsidR="00886191" w:rsidRPr="003445F5" w:rsidRDefault="00886191" w:rsidP="00704956">
            <w:pPr>
              <w:jc w:val="left"/>
              <w:rPr>
                <w:noProof/>
                <w:szCs w:val="22"/>
                <w:u w:val="single"/>
                <w:lang w:val="sr-Latn-ME"/>
              </w:rPr>
            </w:pPr>
          </w:p>
        </w:tc>
        <w:tc>
          <w:tcPr>
            <w:tcW w:w="786" w:type="pct"/>
            <w:vAlign w:val="center"/>
          </w:tcPr>
          <w:p w14:paraId="64161609" w14:textId="4FEC2CB4" w:rsidR="00886191" w:rsidRPr="003445F5" w:rsidRDefault="00886191" w:rsidP="00704956">
            <w:pPr>
              <w:jc w:val="left"/>
              <w:rPr>
                <w:noProof/>
                <w:szCs w:val="22"/>
                <w:u w:val="single"/>
                <w:lang w:val="sr-Latn-ME"/>
              </w:rPr>
            </w:pPr>
            <w:r w:rsidRPr="003445F5">
              <w:rPr>
                <w:szCs w:val="22"/>
                <w:lang w:val="sr-Latn-ME"/>
              </w:rPr>
              <w:t>R</w:t>
            </w:r>
            <w:r w:rsidR="005236A4" w:rsidRPr="003445F5">
              <w:rPr>
                <w:szCs w:val="22"/>
                <w:lang w:val="sr-Latn-ME"/>
              </w:rPr>
              <w:t>ij</w:t>
            </w:r>
            <w:r w:rsidRPr="003445F5">
              <w:rPr>
                <w:szCs w:val="22"/>
                <w:lang w:val="sr-Latn-ME"/>
              </w:rPr>
              <w:t>etko</w:t>
            </w:r>
          </w:p>
        </w:tc>
        <w:tc>
          <w:tcPr>
            <w:tcW w:w="2959" w:type="pct"/>
            <w:vAlign w:val="center"/>
          </w:tcPr>
          <w:p w14:paraId="3E584E1B" w14:textId="77777777" w:rsidR="00886191" w:rsidRPr="003445F5" w:rsidRDefault="00886191" w:rsidP="00704956">
            <w:pPr>
              <w:jc w:val="left"/>
              <w:rPr>
                <w:noProof/>
                <w:szCs w:val="22"/>
                <w:u w:val="single"/>
                <w:lang w:val="sr-Latn-ME"/>
              </w:rPr>
            </w:pPr>
            <w:r w:rsidRPr="003445F5">
              <w:rPr>
                <w:szCs w:val="22"/>
                <w:lang w:val="sr-Latn-ME"/>
              </w:rPr>
              <w:t>Anafilaksa</w:t>
            </w:r>
            <w:r w:rsidRPr="003445F5">
              <w:rPr>
                <w:szCs w:val="22"/>
                <w:vertAlign w:val="superscript"/>
                <w:lang w:val="sr-Latn-ME"/>
              </w:rPr>
              <w:t>1)</w:t>
            </w:r>
          </w:p>
        </w:tc>
      </w:tr>
      <w:tr w:rsidR="00886191" w:rsidRPr="003445F5" w14:paraId="48B120B8" w14:textId="77777777" w:rsidTr="00DC1FBA">
        <w:trPr>
          <w:trHeight w:val="20"/>
        </w:trPr>
        <w:tc>
          <w:tcPr>
            <w:tcW w:w="1255" w:type="pct"/>
            <w:vMerge w:val="restart"/>
            <w:vAlign w:val="center"/>
          </w:tcPr>
          <w:p w14:paraId="49AADB8B" w14:textId="77777777" w:rsidR="00886191" w:rsidRPr="003445F5" w:rsidRDefault="00886191" w:rsidP="00704956">
            <w:pPr>
              <w:jc w:val="left"/>
              <w:rPr>
                <w:noProof/>
                <w:szCs w:val="22"/>
                <w:u w:val="single"/>
                <w:lang w:val="sr-Latn-ME"/>
              </w:rPr>
            </w:pPr>
            <w:r w:rsidRPr="003445F5">
              <w:rPr>
                <w:szCs w:val="22"/>
                <w:lang w:val="sr-Latn-ME"/>
              </w:rPr>
              <w:t>Poremećaji metabolizma i ishrane</w:t>
            </w:r>
          </w:p>
        </w:tc>
        <w:tc>
          <w:tcPr>
            <w:tcW w:w="786" w:type="pct"/>
            <w:vAlign w:val="center"/>
          </w:tcPr>
          <w:p w14:paraId="3AB54F9E" w14:textId="77777777" w:rsidR="00886191" w:rsidRPr="003445F5" w:rsidRDefault="00886191" w:rsidP="00704956">
            <w:pPr>
              <w:jc w:val="left"/>
              <w:rPr>
                <w:noProof/>
                <w:szCs w:val="22"/>
                <w:u w:val="single"/>
                <w:lang w:val="sr-Latn-ME"/>
              </w:rPr>
            </w:pPr>
            <w:r w:rsidRPr="003445F5">
              <w:rPr>
                <w:szCs w:val="22"/>
                <w:lang w:val="sr-Latn-ME"/>
              </w:rPr>
              <w:t>Veoma često</w:t>
            </w:r>
          </w:p>
        </w:tc>
        <w:tc>
          <w:tcPr>
            <w:tcW w:w="2959" w:type="pct"/>
            <w:vAlign w:val="center"/>
          </w:tcPr>
          <w:p w14:paraId="58BC3E5B" w14:textId="77777777" w:rsidR="00886191" w:rsidRPr="003445F5" w:rsidRDefault="00886191" w:rsidP="00704956">
            <w:pPr>
              <w:jc w:val="left"/>
              <w:rPr>
                <w:noProof/>
                <w:szCs w:val="22"/>
                <w:u w:val="single"/>
                <w:lang w:val="sr-Latn-ME"/>
              </w:rPr>
            </w:pPr>
            <w:r w:rsidRPr="003445F5">
              <w:rPr>
                <w:szCs w:val="22"/>
                <w:lang w:val="sr-Latn-ME"/>
              </w:rPr>
              <w:t>Povećan nivo lipida</w:t>
            </w:r>
          </w:p>
        </w:tc>
      </w:tr>
      <w:tr w:rsidR="00886191" w:rsidRPr="003445F5" w14:paraId="47650D7D" w14:textId="77777777" w:rsidTr="00DC1FBA">
        <w:trPr>
          <w:trHeight w:val="20"/>
        </w:trPr>
        <w:tc>
          <w:tcPr>
            <w:tcW w:w="1255" w:type="pct"/>
            <w:vMerge/>
            <w:vAlign w:val="center"/>
          </w:tcPr>
          <w:p w14:paraId="4E410FC1" w14:textId="77777777" w:rsidR="00886191" w:rsidRPr="003445F5" w:rsidRDefault="00886191" w:rsidP="00704956">
            <w:pPr>
              <w:jc w:val="left"/>
              <w:rPr>
                <w:noProof/>
                <w:szCs w:val="22"/>
                <w:u w:val="single"/>
                <w:lang w:val="sr-Latn-ME"/>
              </w:rPr>
            </w:pPr>
          </w:p>
        </w:tc>
        <w:tc>
          <w:tcPr>
            <w:tcW w:w="786" w:type="pct"/>
            <w:vAlign w:val="center"/>
          </w:tcPr>
          <w:p w14:paraId="310641F2"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581CAACB" w14:textId="77777777" w:rsidR="00886191" w:rsidRPr="003445F5" w:rsidRDefault="00886191" w:rsidP="00704956">
            <w:pPr>
              <w:jc w:val="left"/>
              <w:rPr>
                <w:szCs w:val="22"/>
                <w:lang w:val="sr-Latn-ME"/>
              </w:rPr>
            </w:pPr>
            <w:r w:rsidRPr="003445F5">
              <w:rPr>
                <w:szCs w:val="22"/>
                <w:lang w:val="sr-Latn-ME"/>
              </w:rPr>
              <w:t xml:space="preserve">Hipokalemija, </w:t>
            </w:r>
          </w:p>
          <w:p w14:paraId="5ED10B54" w14:textId="5281FF56" w:rsidR="00886191" w:rsidRPr="003445F5" w:rsidRDefault="00886191" w:rsidP="00704956">
            <w:pPr>
              <w:jc w:val="left"/>
              <w:rPr>
                <w:szCs w:val="22"/>
                <w:lang w:val="sr-Latn-ME"/>
              </w:rPr>
            </w:pPr>
            <w:r w:rsidRPr="003445F5">
              <w:rPr>
                <w:szCs w:val="22"/>
                <w:lang w:val="sr-Latn-ME"/>
              </w:rPr>
              <w:t>povećane vr</w:t>
            </w:r>
            <w:r w:rsidR="005236A4" w:rsidRPr="003445F5">
              <w:rPr>
                <w:szCs w:val="22"/>
                <w:lang w:val="sr-Latn-ME"/>
              </w:rPr>
              <w:t>ij</w:t>
            </w:r>
            <w:r w:rsidRPr="003445F5">
              <w:rPr>
                <w:szCs w:val="22"/>
                <w:lang w:val="sr-Latn-ME"/>
              </w:rPr>
              <w:t xml:space="preserve">ednosti mokraćne kiseline, </w:t>
            </w:r>
          </w:p>
          <w:p w14:paraId="14AC90B3" w14:textId="77777777" w:rsidR="00886191" w:rsidRPr="003445F5" w:rsidRDefault="00886191" w:rsidP="00704956">
            <w:pPr>
              <w:jc w:val="left"/>
              <w:rPr>
                <w:szCs w:val="22"/>
                <w:lang w:val="sr-Latn-ME"/>
              </w:rPr>
            </w:pPr>
            <w:r w:rsidRPr="003445F5">
              <w:rPr>
                <w:szCs w:val="22"/>
                <w:lang w:val="sr-Latn-ME"/>
              </w:rPr>
              <w:t xml:space="preserve">poremećaj koncentracije natrijuma u krvi, </w:t>
            </w:r>
          </w:p>
          <w:p w14:paraId="3B37EE2E" w14:textId="77777777" w:rsidR="00886191" w:rsidRPr="003445F5" w:rsidRDefault="00886191" w:rsidP="00704956">
            <w:pPr>
              <w:jc w:val="left"/>
              <w:rPr>
                <w:szCs w:val="22"/>
                <w:lang w:val="sr-Latn-ME"/>
              </w:rPr>
            </w:pPr>
            <w:r w:rsidRPr="003445F5">
              <w:rPr>
                <w:szCs w:val="22"/>
                <w:lang w:val="sr-Latn-ME"/>
              </w:rPr>
              <w:t xml:space="preserve">hipokalcemija, </w:t>
            </w:r>
          </w:p>
          <w:p w14:paraId="6BB93BAA" w14:textId="77777777" w:rsidR="00886191" w:rsidRPr="003445F5" w:rsidRDefault="00886191" w:rsidP="00704956">
            <w:pPr>
              <w:jc w:val="left"/>
              <w:rPr>
                <w:szCs w:val="22"/>
                <w:lang w:val="sr-Latn-ME"/>
              </w:rPr>
            </w:pPr>
            <w:r w:rsidRPr="003445F5">
              <w:rPr>
                <w:szCs w:val="22"/>
                <w:lang w:val="sr-Latn-ME"/>
              </w:rPr>
              <w:t xml:space="preserve">hiperglikemija, </w:t>
            </w:r>
          </w:p>
          <w:p w14:paraId="3C32EA9C" w14:textId="77777777" w:rsidR="00886191" w:rsidRPr="003445F5" w:rsidRDefault="00886191" w:rsidP="00704956">
            <w:pPr>
              <w:jc w:val="left"/>
              <w:rPr>
                <w:szCs w:val="22"/>
                <w:lang w:val="sr-Latn-ME"/>
              </w:rPr>
            </w:pPr>
            <w:r w:rsidRPr="003445F5">
              <w:rPr>
                <w:szCs w:val="22"/>
                <w:lang w:val="sr-Latn-ME"/>
              </w:rPr>
              <w:t xml:space="preserve">hipofosfatemija, </w:t>
            </w:r>
          </w:p>
          <w:p w14:paraId="085F3446" w14:textId="77777777" w:rsidR="00886191" w:rsidRPr="003445F5" w:rsidRDefault="00886191" w:rsidP="00704956">
            <w:pPr>
              <w:jc w:val="left"/>
              <w:rPr>
                <w:noProof/>
                <w:szCs w:val="22"/>
                <w:u w:val="single"/>
                <w:lang w:val="sr-Latn-ME"/>
              </w:rPr>
            </w:pPr>
            <w:r w:rsidRPr="003445F5">
              <w:rPr>
                <w:szCs w:val="22"/>
                <w:lang w:val="sr-Latn-ME"/>
              </w:rPr>
              <w:t>dehidratacija</w:t>
            </w:r>
          </w:p>
        </w:tc>
      </w:tr>
      <w:tr w:rsidR="00886191" w:rsidRPr="003445F5" w14:paraId="6AE97FCB" w14:textId="77777777" w:rsidTr="00DC1FBA">
        <w:trPr>
          <w:trHeight w:val="20"/>
        </w:trPr>
        <w:tc>
          <w:tcPr>
            <w:tcW w:w="1255" w:type="pct"/>
            <w:vAlign w:val="center"/>
          </w:tcPr>
          <w:p w14:paraId="0AC346C3" w14:textId="77777777" w:rsidR="00886191" w:rsidRPr="003445F5" w:rsidRDefault="00886191" w:rsidP="00704956">
            <w:pPr>
              <w:jc w:val="left"/>
              <w:rPr>
                <w:noProof/>
                <w:szCs w:val="22"/>
                <w:u w:val="single"/>
                <w:lang w:val="sr-Latn-ME"/>
              </w:rPr>
            </w:pPr>
            <w:r w:rsidRPr="003445F5">
              <w:rPr>
                <w:szCs w:val="22"/>
                <w:lang w:val="sr-Latn-ME"/>
              </w:rPr>
              <w:t>Psihijatrijski poremećaji</w:t>
            </w:r>
          </w:p>
        </w:tc>
        <w:tc>
          <w:tcPr>
            <w:tcW w:w="786" w:type="pct"/>
            <w:vAlign w:val="center"/>
          </w:tcPr>
          <w:p w14:paraId="007E4BDC"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0830E010" w14:textId="77777777" w:rsidR="00886191" w:rsidRPr="003445F5" w:rsidRDefault="00886191" w:rsidP="00704956">
            <w:pPr>
              <w:jc w:val="left"/>
              <w:rPr>
                <w:szCs w:val="22"/>
                <w:lang w:val="sr-Latn-ME"/>
              </w:rPr>
            </w:pPr>
            <w:r w:rsidRPr="003445F5">
              <w:rPr>
                <w:szCs w:val="22"/>
                <w:lang w:val="sr-Latn-ME"/>
              </w:rPr>
              <w:t xml:space="preserve">Poremećaji raspoloženja (uključujući depresiju), </w:t>
            </w:r>
          </w:p>
          <w:p w14:paraId="56106E93" w14:textId="77777777" w:rsidR="00886191" w:rsidRPr="003445F5" w:rsidRDefault="00886191" w:rsidP="00704956">
            <w:pPr>
              <w:jc w:val="left"/>
              <w:rPr>
                <w:szCs w:val="22"/>
                <w:lang w:val="sr-Latn-ME"/>
              </w:rPr>
            </w:pPr>
            <w:r w:rsidRPr="003445F5">
              <w:rPr>
                <w:szCs w:val="22"/>
                <w:lang w:val="sr-Latn-ME"/>
              </w:rPr>
              <w:t xml:space="preserve">anksioznost, </w:t>
            </w:r>
          </w:p>
          <w:p w14:paraId="4F6EDB8D" w14:textId="77777777" w:rsidR="00886191" w:rsidRPr="003445F5" w:rsidRDefault="00886191" w:rsidP="00704956">
            <w:pPr>
              <w:jc w:val="left"/>
              <w:rPr>
                <w:noProof/>
                <w:szCs w:val="22"/>
                <w:u w:val="single"/>
                <w:lang w:val="sr-Latn-ME"/>
              </w:rPr>
            </w:pPr>
            <w:r w:rsidRPr="003445F5">
              <w:rPr>
                <w:szCs w:val="22"/>
                <w:lang w:val="sr-Latn-ME"/>
              </w:rPr>
              <w:t>insomnija</w:t>
            </w:r>
          </w:p>
        </w:tc>
      </w:tr>
      <w:tr w:rsidR="00886191" w:rsidRPr="003445F5" w14:paraId="0BBD9E1B" w14:textId="77777777" w:rsidTr="00DC1FBA">
        <w:trPr>
          <w:trHeight w:val="20"/>
        </w:trPr>
        <w:tc>
          <w:tcPr>
            <w:tcW w:w="1255" w:type="pct"/>
            <w:vMerge w:val="restart"/>
            <w:vAlign w:val="center"/>
          </w:tcPr>
          <w:p w14:paraId="1AD88B34" w14:textId="77777777" w:rsidR="00886191" w:rsidRPr="003445F5" w:rsidRDefault="00886191" w:rsidP="00704956">
            <w:pPr>
              <w:jc w:val="left"/>
              <w:rPr>
                <w:noProof/>
                <w:szCs w:val="22"/>
                <w:u w:val="single"/>
                <w:lang w:val="sr-Latn-ME"/>
              </w:rPr>
            </w:pPr>
            <w:r w:rsidRPr="003445F5">
              <w:rPr>
                <w:szCs w:val="22"/>
                <w:lang w:val="sr-Latn-ME"/>
              </w:rPr>
              <w:t>Poremećaji nervnog sistema*</w:t>
            </w:r>
          </w:p>
        </w:tc>
        <w:tc>
          <w:tcPr>
            <w:tcW w:w="786" w:type="pct"/>
            <w:vAlign w:val="center"/>
          </w:tcPr>
          <w:p w14:paraId="0061187F" w14:textId="77777777" w:rsidR="00886191" w:rsidRPr="003445F5" w:rsidRDefault="00886191" w:rsidP="00704956">
            <w:pPr>
              <w:jc w:val="left"/>
              <w:rPr>
                <w:noProof/>
                <w:szCs w:val="22"/>
                <w:u w:val="single"/>
                <w:lang w:val="sr-Latn-ME"/>
              </w:rPr>
            </w:pPr>
            <w:r w:rsidRPr="003445F5">
              <w:rPr>
                <w:szCs w:val="22"/>
                <w:lang w:val="sr-Latn-ME"/>
              </w:rPr>
              <w:t>Veoma često</w:t>
            </w:r>
          </w:p>
        </w:tc>
        <w:tc>
          <w:tcPr>
            <w:tcW w:w="2959" w:type="pct"/>
            <w:vAlign w:val="center"/>
          </w:tcPr>
          <w:p w14:paraId="27F56202" w14:textId="77777777" w:rsidR="00886191" w:rsidRPr="003445F5" w:rsidRDefault="00886191" w:rsidP="00704956">
            <w:pPr>
              <w:jc w:val="left"/>
              <w:rPr>
                <w:noProof/>
                <w:szCs w:val="22"/>
                <w:u w:val="single"/>
                <w:lang w:val="sr-Latn-ME"/>
              </w:rPr>
            </w:pPr>
            <w:r w:rsidRPr="003445F5">
              <w:rPr>
                <w:szCs w:val="22"/>
                <w:lang w:val="sr-Latn-ME"/>
              </w:rPr>
              <w:t>Glavobolja</w:t>
            </w:r>
          </w:p>
        </w:tc>
      </w:tr>
      <w:tr w:rsidR="00886191" w:rsidRPr="003445F5" w14:paraId="3C0105B1" w14:textId="77777777" w:rsidTr="00DC1FBA">
        <w:trPr>
          <w:trHeight w:val="20"/>
        </w:trPr>
        <w:tc>
          <w:tcPr>
            <w:tcW w:w="1255" w:type="pct"/>
            <w:vMerge/>
            <w:vAlign w:val="center"/>
          </w:tcPr>
          <w:p w14:paraId="0467163A" w14:textId="77777777" w:rsidR="00886191" w:rsidRPr="003445F5" w:rsidRDefault="00886191" w:rsidP="00704956">
            <w:pPr>
              <w:jc w:val="left"/>
              <w:rPr>
                <w:noProof/>
                <w:szCs w:val="22"/>
                <w:u w:val="single"/>
                <w:lang w:val="sr-Latn-ME"/>
              </w:rPr>
            </w:pPr>
          </w:p>
        </w:tc>
        <w:tc>
          <w:tcPr>
            <w:tcW w:w="786" w:type="pct"/>
            <w:vAlign w:val="center"/>
          </w:tcPr>
          <w:p w14:paraId="01CC6D31"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1A85942B" w14:textId="77777777" w:rsidR="00886191" w:rsidRPr="003445F5" w:rsidRDefault="00886191" w:rsidP="00704956">
            <w:pPr>
              <w:jc w:val="left"/>
              <w:rPr>
                <w:szCs w:val="22"/>
                <w:lang w:val="sr-Latn-ME"/>
              </w:rPr>
            </w:pPr>
            <w:r w:rsidRPr="003445F5">
              <w:rPr>
                <w:szCs w:val="22"/>
                <w:lang w:val="sr-Latn-ME"/>
              </w:rPr>
              <w:t xml:space="preserve">Parestezije (uključujući hipoestezije), </w:t>
            </w:r>
          </w:p>
          <w:p w14:paraId="11920546" w14:textId="77777777" w:rsidR="00886191" w:rsidRPr="003445F5" w:rsidRDefault="00886191" w:rsidP="00704956">
            <w:pPr>
              <w:jc w:val="left"/>
              <w:rPr>
                <w:szCs w:val="22"/>
                <w:lang w:val="sr-Latn-ME"/>
              </w:rPr>
            </w:pPr>
            <w:r w:rsidRPr="003445F5">
              <w:rPr>
                <w:szCs w:val="22"/>
                <w:lang w:val="sr-Latn-ME"/>
              </w:rPr>
              <w:t xml:space="preserve">migrena, </w:t>
            </w:r>
          </w:p>
          <w:p w14:paraId="29E11C22" w14:textId="77777777" w:rsidR="00886191" w:rsidRPr="003445F5" w:rsidRDefault="00886191" w:rsidP="00704956">
            <w:pPr>
              <w:jc w:val="left"/>
              <w:rPr>
                <w:noProof/>
                <w:szCs w:val="22"/>
                <w:u w:val="single"/>
                <w:lang w:val="sr-Latn-ME"/>
              </w:rPr>
            </w:pPr>
            <w:r w:rsidRPr="003445F5">
              <w:rPr>
                <w:szCs w:val="22"/>
                <w:lang w:val="sr-Latn-ME"/>
              </w:rPr>
              <w:t>pritisak na koren nerva</w:t>
            </w:r>
          </w:p>
        </w:tc>
      </w:tr>
      <w:tr w:rsidR="00886191" w:rsidRPr="003445F5" w14:paraId="746A5885" w14:textId="77777777" w:rsidTr="00DC1FBA">
        <w:trPr>
          <w:trHeight w:val="20"/>
        </w:trPr>
        <w:tc>
          <w:tcPr>
            <w:tcW w:w="1255" w:type="pct"/>
            <w:vMerge/>
            <w:vAlign w:val="center"/>
          </w:tcPr>
          <w:p w14:paraId="0E4419C4" w14:textId="77777777" w:rsidR="00886191" w:rsidRPr="003445F5" w:rsidRDefault="00886191" w:rsidP="00704956">
            <w:pPr>
              <w:jc w:val="left"/>
              <w:rPr>
                <w:noProof/>
                <w:szCs w:val="22"/>
                <w:u w:val="single"/>
                <w:lang w:val="sr-Latn-ME"/>
              </w:rPr>
            </w:pPr>
          </w:p>
        </w:tc>
        <w:tc>
          <w:tcPr>
            <w:tcW w:w="786" w:type="pct"/>
            <w:vAlign w:val="center"/>
          </w:tcPr>
          <w:p w14:paraId="659D2C19"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59B1A840" w14:textId="77777777" w:rsidR="00886191" w:rsidRPr="003445F5" w:rsidRDefault="00886191" w:rsidP="00704956">
            <w:pPr>
              <w:jc w:val="left"/>
              <w:rPr>
                <w:szCs w:val="22"/>
                <w:lang w:val="sr-Latn-ME"/>
              </w:rPr>
            </w:pPr>
            <w:r w:rsidRPr="003445F5">
              <w:rPr>
                <w:szCs w:val="22"/>
                <w:lang w:val="sr-Latn-ME"/>
              </w:rPr>
              <w:t>Cerebrovaskularni događaj</w:t>
            </w:r>
            <w:r w:rsidRPr="003445F5">
              <w:rPr>
                <w:szCs w:val="22"/>
                <w:vertAlign w:val="superscript"/>
                <w:lang w:val="sr-Latn-ME"/>
              </w:rPr>
              <w:t>1)</w:t>
            </w:r>
            <w:r w:rsidRPr="003445F5">
              <w:rPr>
                <w:szCs w:val="22"/>
                <w:lang w:val="sr-Latn-ME"/>
              </w:rPr>
              <w:t xml:space="preserve">, </w:t>
            </w:r>
          </w:p>
          <w:p w14:paraId="0F90920B" w14:textId="77777777" w:rsidR="00886191" w:rsidRPr="003445F5" w:rsidRDefault="00886191" w:rsidP="00704956">
            <w:pPr>
              <w:jc w:val="left"/>
              <w:rPr>
                <w:szCs w:val="22"/>
                <w:lang w:val="sr-Latn-ME"/>
              </w:rPr>
            </w:pPr>
            <w:r w:rsidRPr="003445F5">
              <w:rPr>
                <w:szCs w:val="22"/>
                <w:lang w:val="sr-Latn-ME"/>
              </w:rPr>
              <w:t xml:space="preserve">tremor, </w:t>
            </w:r>
          </w:p>
          <w:p w14:paraId="383F6DF6" w14:textId="77777777" w:rsidR="00886191" w:rsidRPr="003445F5" w:rsidRDefault="00886191" w:rsidP="00704956">
            <w:pPr>
              <w:jc w:val="left"/>
              <w:rPr>
                <w:noProof/>
                <w:szCs w:val="22"/>
                <w:u w:val="single"/>
                <w:lang w:val="sr-Latn-ME"/>
              </w:rPr>
            </w:pPr>
            <w:r w:rsidRPr="003445F5">
              <w:rPr>
                <w:szCs w:val="22"/>
                <w:lang w:val="sr-Latn-ME"/>
              </w:rPr>
              <w:t>neuropatija</w:t>
            </w:r>
          </w:p>
        </w:tc>
      </w:tr>
      <w:tr w:rsidR="00886191" w:rsidRPr="003445F5" w14:paraId="175874E4" w14:textId="77777777" w:rsidTr="00DC1FBA">
        <w:trPr>
          <w:trHeight w:val="20"/>
        </w:trPr>
        <w:tc>
          <w:tcPr>
            <w:tcW w:w="1255" w:type="pct"/>
            <w:vMerge/>
            <w:vAlign w:val="center"/>
          </w:tcPr>
          <w:p w14:paraId="2ED2E492" w14:textId="77777777" w:rsidR="00886191" w:rsidRPr="003445F5" w:rsidRDefault="00886191" w:rsidP="00704956">
            <w:pPr>
              <w:jc w:val="left"/>
              <w:rPr>
                <w:noProof/>
                <w:szCs w:val="22"/>
                <w:u w:val="single"/>
                <w:lang w:val="sr-Latn-ME"/>
              </w:rPr>
            </w:pPr>
          </w:p>
        </w:tc>
        <w:tc>
          <w:tcPr>
            <w:tcW w:w="786" w:type="pct"/>
            <w:vAlign w:val="center"/>
          </w:tcPr>
          <w:p w14:paraId="6B97916C" w14:textId="75DB5A65" w:rsidR="00886191" w:rsidRPr="003445F5" w:rsidRDefault="00886191" w:rsidP="00704956">
            <w:pPr>
              <w:jc w:val="left"/>
              <w:rPr>
                <w:noProof/>
                <w:szCs w:val="22"/>
                <w:u w:val="single"/>
                <w:lang w:val="sr-Latn-ME"/>
              </w:rPr>
            </w:pPr>
            <w:r w:rsidRPr="003445F5">
              <w:rPr>
                <w:szCs w:val="22"/>
                <w:lang w:val="sr-Latn-ME"/>
              </w:rPr>
              <w:t>R</w:t>
            </w:r>
            <w:r w:rsidR="009256F1" w:rsidRPr="003445F5">
              <w:rPr>
                <w:szCs w:val="22"/>
                <w:lang w:val="sr-Latn-ME"/>
              </w:rPr>
              <w:t>ij</w:t>
            </w:r>
            <w:r w:rsidRPr="003445F5">
              <w:rPr>
                <w:szCs w:val="22"/>
                <w:lang w:val="sr-Latn-ME"/>
              </w:rPr>
              <w:t>etko</w:t>
            </w:r>
          </w:p>
        </w:tc>
        <w:tc>
          <w:tcPr>
            <w:tcW w:w="2959" w:type="pct"/>
            <w:vAlign w:val="center"/>
          </w:tcPr>
          <w:p w14:paraId="30B2DB04" w14:textId="77777777" w:rsidR="00886191" w:rsidRPr="003445F5" w:rsidRDefault="00886191" w:rsidP="00704956">
            <w:pPr>
              <w:jc w:val="left"/>
              <w:rPr>
                <w:szCs w:val="22"/>
                <w:lang w:val="sr-Latn-ME"/>
              </w:rPr>
            </w:pPr>
            <w:r w:rsidRPr="003445F5">
              <w:rPr>
                <w:szCs w:val="22"/>
                <w:lang w:val="sr-Latn-ME"/>
              </w:rPr>
              <w:t xml:space="preserve">Multipla skleroza, </w:t>
            </w:r>
          </w:p>
          <w:p w14:paraId="5888E8D1" w14:textId="77777777" w:rsidR="00886191" w:rsidRPr="003445F5" w:rsidRDefault="00886191" w:rsidP="00704956">
            <w:pPr>
              <w:jc w:val="left"/>
              <w:rPr>
                <w:noProof/>
                <w:szCs w:val="22"/>
                <w:u w:val="single"/>
                <w:lang w:val="sr-Latn-ME"/>
              </w:rPr>
            </w:pPr>
            <w:r w:rsidRPr="003445F5">
              <w:rPr>
                <w:szCs w:val="22"/>
                <w:lang w:val="sr-Latn-ME"/>
              </w:rPr>
              <w:t xml:space="preserve">demijelinizirajući poremećaji (npr. optički neuritis, </w:t>
            </w:r>
            <w:r w:rsidRPr="003445F5">
              <w:rPr>
                <w:i/>
                <w:iCs/>
                <w:szCs w:val="22"/>
                <w:lang w:val="sr-Latn-ME"/>
              </w:rPr>
              <w:t>Gullian-Barré</w:t>
            </w:r>
            <w:r w:rsidRPr="003445F5">
              <w:rPr>
                <w:szCs w:val="22"/>
                <w:lang w:val="sr-Latn-ME"/>
              </w:rPr>
              <w:t>-ov sindrom)</w:t>
            </w:r>
            <w:r w:rsidRPr="003445F5">
              <w:rPr>
                <w:szCs w:val="22"/>
                <w:vertAlign w:val="superscript"/>
                <w:lang w:val="sr-Latn-ME"/>
              </w:rPr>
              <w:t>1)</w:t>
            </w:r>
          </w:p>
        </w:tc>
      </w:tr>
      <w:tr w:rsidR="00886191" w:rsidRPr="003445F5" w14:paraId="3BD64A55" w14:textId="77777777" w:rsidTr="00DC1FBA">
        <w:trPr>
          <w:trHeight w:val="20"/>
        </w:trPr>
        <w:tc>
          <w:tcPr>
            <w:tcW w:w="1255" w:type="pct"/>
            <w:vMerge w:val="restart"/>
            <w:vAlign w:val="center"/>
          </w:tcPr>
          <w:p w14:paraId="378915F0" w14:textId="77777777" w:rsidR="00886191" w:rsidRPr="003445F5" w:rsidRDefault="00886191" w:rsidP="00704956">
            <w:pPr>
              <w:jc w:val="left"/>
              <w:rPr>
                <w:noProof/>
                <w:szCs w:val="22"/>
                <w:u w:val="single"/>
                <w:lang w:val="sr-Latn-ME"/>
              </w:rPr>
            </w:pPr>
            <w:r w:rsidRPr="003445F5">
              <w:rPr>
                <w:szCs w:val="22"/>
                <w:lang w:val="sr-Latn-ME"/>
              </w:rPr>
              <w:t>Poremećaji oka</w:t>
            </w:r>
          </w:p>
        </w:tc>
        <w:tc>
          <w:tcPr>
            <w:tcW w:w="786" w:type="pct"/>
            <w:vAlign w:val="center"/>
          </w:tcPr>
          <w:p w14:paraId="211B5A20"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315D5179" w14:textId="77777777" w:rsidR="00886191" w:rsidRPr="003445F5" w:rsidRDefault="00886191" w:rsidP="00704956">
            <w:pPr>
              <w:jc w:val="left"/>
              <w:rPr>
                <w:szCs w:val="22"/>
                <w:lang w:val="sr-Latn-ME"/>
              </w:rPr>
            </w:pPr>
            <w:r w:rsidRPr="003445F5">
              <w:rPr>
                <w:szCs w:val="22"/>
                <w:lang w:val="sr-Latn-ME"/>
              </w:rPr>
              <w:t>Poremećaj vida,</w:t>
            </w:r>
          </w:p>
          <w:p w14:paraId="640B4C3F" w14:textId="77777777" w:rsidR="00886191" w:rsidRPr="003445F5" w:rsidRDefault="00886191" w:rsidP="00704956">
            <w:pPr>
              <w:jc w:val="left"/>
              <w:rPr>
                <w:szCs w:val="22"/>
                <w:lang w:val="sr-Latn-ME"/>
              </w:rPr>
            </w:pPr>
            <w:r w:rsidRPr="003445F5">
              <w:rPr>
                <w:szCs w:val="22"/>
                <w:lang w:val="sr-Latn-ME"/>
              </w:rPr>
              <w:t xml:space="preserve">konjunktivitis, </w:t>
            </w:r>
          </w:p>
          <w:p w14:paraId="2078FD0E" w14:textId="77777777" w:rsidR="00886191" w:rsidRPr="003445F5" w:rsidRDefault="00886191" w:rsidP="00704956">
            <w:pPr>
              <w:jc w:val="left"/>
              <w:rPr>
                <w:szCs w:val="22"/>
                <w:lang w:val="sr-Latn-ME"/>
              </w:rPr>
            </w:pPr>
            <w:r w:rsidRPr="003445F5">
              <w:rPr>
                <w:szCs w:val="22"/>
                <w:lang w:val="sr-Latn-ME"/>
              </w:rPr>
              <w:t xml:space="preserve">blefaritis, </w:t>
            </w:r>
          </w:p>
          <w:p w14:paraId="5C90D8B4" w14:textId="77777777" w:rsidR="00886191" w:rsidRPr="003445F5" w:rsidRDefault="00886191" w:rsidP="00704956">
            <w:pPr>
              <w:jc w:val="left"/>
              <w:rPr>
                <w:noProof/>
                <w:szCs w:val="22"/>
                <w:u w:val="single"/>
                <w:lang w:val="sr-Latn-ME"/>
              </w:rPr>
            </w:pPr>
            <w:r w:rsidRPr="003445F5">
              <w:rPr>
                <w:szCs w:val="22"/>
                <w:lang w:val="sr-Latn-ME"/>
              </w:rPr>
              <w:t>otok oka</w:t>
            </w:r>
          </w:p>
        </w:tc>
      </w:tr>
      <w:tr w:rsidR="00886191" w:rsidRPr="003445F5" w14:paraId="6FE25E6F" w14:textId="77777777" w:rsidTr="00DC1FBA">
        <w:trPr>
          <w:trHeight w:val="20"/>
        </w:trPr>
        <w:tc>
          <w:tcPr>
            <w:tcW w:w="1255" w:type="pct"/>
            <w:vMerge/>
            <w:vAlign w:val="center"/>
          </w:tcPr>
          <w:p w14:paraId="26EE69A9" w14:textId="77777777" w:rsidR="00886191" w:rsidRPr="003445F5" w:rsidRDefault="00886191" w:rsidP="00704956">
            <w:pPr>
              <w:jc w:val="left"/>
              <w:rPr>
                <w:noProof/>
                <w:szCs w:val="22"/>
                <w:u w:val="single"/>
                <w:lang w:val="sr-Latn-ME"/>
              </w:rPr>
            </w:pPr>
          </w:p>
        </w:tc>
        <w:tc>
          <w:tcPr>
            <w:tcW w:w="786" w:type="pct"/>
            <w:vAlign w:val="center"/>
          </w:tcPr>
          <w:p w14:paraId="23583683"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0A300953" w14:textId="77777777" w:rsidR="00886191" w:rsidRPr="003445F5" w:rsidRDefault="00886191" w:rsidP="00704956">
            <w:pPr>
              <w:jc w:val="left"/>
              <w:rPr>
                <w:noProof/>
                <w:szCs w:val="22"/>
                <w:u w:val="single"/>
                <w:lang w:val="sr-Latn-ME"/>
              </w:rPr>
            </w:pPr>
            <w:r w:rsidRPr="003445F5">
              <w:rPr>
                <w:szCs w:val="22"/>
                <w:lang w:val="sr-Latn-ME"/>
              </w:rPr>
              <w:t>Diplopija</w:t>
            </w:r>
          </w:p>
        </w:tc>
      </w:tr>
      <w:tr w:rsidR="00886191" w:rsidRPr="003445F5" w14:paraId="63FEEAE3" w14:textId="77777777" w:rsidTr="00DC1FBA">
        <w:trPr>
          <w:trHeight w:val="20"/>
        </w:trPr>
        <w:tc>
          <w:tcPr>
            <w:tcW w:w="1255" w:type="pct"/>
            <w:vMerge w:val="restart"/>
            <w:vAlign w:val="center"/>
          </w:tcPr>
          <w:p w14:paraId="5A4DCBBF" w14:textId="77777777" w:rsidR="00886191" w:rsidRPr="003445F5" w:rsidRDefault="00886191" w:rsidP="00704956">
            <w:pPr>
              <w:jc w:val="left"/>
              <w:rPr>
                <w:noProof/>
                <w:szCs w:val="22"/>
                <w:u w:val="single"/>
                <w:lang w:val="sr-Latn-ME"/>
              </w:rPr>
            </w:pPr>
            <w:r w:rsidRPr="003445F5">
              <w:rPr>
                <w:szCs w:val="22"/>
                <w:lang w:val="sr-Latn-ME"/>
              </w:rPr>
              <w:t>Poremećaji uha i labirinta</w:t>
            </w:r>
          </w:p>
        </w:tc>
        <w:tc>
          <w:tcPr>
            <w:tcW w:w="786" w:type="pct"/>
            <w:vAlign w:val="center"/>
          </w:tcPr>
          <w:p w14:paraId="758E4F4D"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6F8532E8" w14:textId="77777777" w:rsidR="00886191" w:rsidRPr="003445F5" w:rsidRDefault="00886191" w:rsidP="00704956">
            <w:pPr>
              <w:jc w:val="left"/>
              <w:rPr>
                <w:noProof/>
                <w:szCs w:val="22"/>
                <w:u w:val="single"/>
                <w:lang w:val="sr-Latn-ME"/>
              </w:rPr>
            </w:pPr>
            <w:r w:rsidRPr="003445F5">
              <w:rPr>
                <w:szCs w:val="22"/>
                <w:lang w:val="sr-Latn-ME"/>
              </w:rPr>
              <w:t>Vertigo</w:t>
            </w:r>
          </w:p>
        </w:tc>
      </w:tr>
      <w:tr w:rsidR="00886191" w:rsidRPr="003445F5" w14:paraId="2F3E19AA" w14:textId="77777777" w:rsidTr="00DC1FBA">
        <w:trPr>
          <w:trHeight w:val="20"/>
        </w:trPr>
        <w:tc>
          <w:tcPr>
            <w:tcW w:w="1255" w:type="pct"/>
            <w:vMerge/>
            <w:vAlign w:val="center"/>
          </w:tcPr>
          <w:p w14:paraId="4585E300" w14:textId="77777777" w:rsidR="00886191" w:rsidRPr="003445F5" w:rsidRDefault="00886191" w:rsidP="00704956">
            <w:pPr>
              <w:jc w:val="left"/>
              <w:rPr>
                <w:noProof/>
                <w:szCs w:val="22"/>
                <w:u w:val="single"/>
                <w:lang w:val="sr-Latn-ME"/>
              </w:rPr>
            </w:pPr>
          </w:p>
        </w:tc>
        <w:tc>
          <w:tcPr>
            <w:tcW w:w="786" w:type="pct"/>
            <w:vAlign w:val="center"/>
          </w:tcPr>
          <w:p w14:paraId="3C625D5A"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24A4242F" w14:textId="77777777" w:rsidR="00886191" w:rsidRPr="003445F5" w:rsidRDefault="00886191" w:rsidP="00704956">
            <w:pPr>
              <w:jc w:val="left"/>
              <w:rPr>
                <w:szCs w:val="22"/>
                <w:lang w:val="sr-Latn-ME"/>
              </w:rPr>
            </w:pPr>
            <w:r w:rsidRPr="003445F5">
              <w:rPr>
                <w:szCs w:val="22"/>
                <w:lang w:val="sr-Latn-ME"/>
              </w:rPr>
              <w:t xml:space="preserve">Gubitak sluha, </w:t>
            </w:r>
          </w:p>
          <w:p w14:paraId="480CD46C" w14:textId="77777777" w:rsidR="00886191" w:rsidRPr="003445F5" w:rsidRDefault="00886191" w:rsidP="00704956">
            <w:pPr>
              <w:jc w:val="left"/>
              <w:rPr>
                <w:noProof/>
                <w:szCs w:val="22"/>
                <w:u w:val="single"/>
                <w:lang w:val="sr-Latn-ME"/>
              </w:rPr>
            </w:pPr>
            <w:r w:rsidRPr="003445F5">
              <w:rPr>
                <w:szCs w:val="22"/>
                <w:lang w:val="sr-Latn-ME"/>
              </w:rPr>
              <w:t>tinitus</w:t>
            </w:r>
          </w:p>
        </w:tc>
      </w:tr>
      <w:tr w:rsidR="00886191" w:rsidRPr="003445F5" w14:paraId="76AFD612" w14:textId="77777777" w:rsidTr="00DC1FBA">
        <w:trPr>
          <w:trHeight w:val="20"/>
        </w:trPr>
        <w:tc>
          <w:tcPr>
            <w:tcW w:w="1255" w:type="pct"/>
            <w:vMerge w:val="restart"/>
            <w:vAlign w:val="center"/>
          </w:tcPr>
          <w:p w14:paraId="7C6B4DD8" w14:textId="77777777" w:rsidR="00886191" w:rsidRPr="003445F5" w:rsidRDefault="00886191" w:rsidP="00704956">
            <w:pPr>
              <w:jc w:val="left"/>
              <w:rPr>
                <w:noProof/>
                <w:szCs w:val="22"/>
                <w:u w:val="single"/>
                <w:lang w:val="sr-Latn-ME"/>
              </w:rPr>
            </w:pPr>
            <w:r w:rsidRPr="003445F5">
              <w:rPr>
                <w:szCs w:val="22"/>
                <w:lang w:val="sr-Latn-ME"/>
              </w:rPr>
              <w:t>Kardiološki poremećaji*</w:t>
            </w:r>
          </w:p>
        </w:tc>
        <w:tc>
          <w:tcPr>
            <w:tcW w:w="786" w:type="pct"/>
            <w:vAlign w:val="center"/>
          </w:tcPr>
          <w:p w14:paraId="3B96556C"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1157F71D" w14:textId="77777777" w:rsidR="00886191" w:rsidRPr="003445F5" w:rsidRDefault="00886191" w:rsidP="00704956">
            <w:pPr>
              <w:jc w:val="left"/>
              <w:rPr>
                <w:noProof/>
                <w:szCs w:val="22"/>
                <w:u w:val="single"/>
                <w:lang w:val="sr-Latn-ME"/>
              </w:rPr>
            </w:pPr>
            <w:r w:rsidRPr="003445F5">
              <w:rPr>
                <w:szCs w:val="22"/>
                <w:lang w:val="sr-Latn-ME"/>
              </w:rPr>
              <w:t>Tahikardija</w:t>
            </w:r>
          </w:p>
        </w:tc>
      </w:tr>
      <w:tr w:rsidR="00886191" w:rsidRPr="003445F5" w14:paraId="63B771BC" w14:textId="77777777" w:rsidTr="00DC1FBA">
        <w:trPr>
          <w:trHeight w:val="20"/>
        </w:trPr>
        <w:tc>
          <w:tcPr>
            <w:tcW w:w="1255" w:type="pct"/>
            <w:vMerge/>
            <w:vAlign w:val="center"/>
          </w:tcPr>
          <w:p w14:paraId="52B455C4" w14:textId="77777777" w:rsidR="00886191" w:rsidRPr="003445F5" w:rsidRDefault="00886191" w:rsidP="00704956">
            <w:pPr>
              <w:jc w:val="left"/>
              <w:rPr>
                <w:noProof/>
                <w:szCs w:val="22"/>
                <w:u w:val="single"/>
                <w:lang w:val="sr-Latn-ME"/>
              </w:rPr>
            </w:pPr>
          </w:p>
        </w:tc>
        <w:tc>
          <w:tcPr>
            <w:tcW w:w="786" w:type="pct"/>
            <w:vAlign w:val="center"/>
          </w:tcPr>
          <w:p w14:paraId="6B4B2953"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3D7D4F49" w14:textId="77777777" w:rsidR="00886191" w:rsidRPr="003445F5" w:rsidRDefault="00886191" w:rsidP="00704956">
            <w:pPr>
              <w:jc w:val="left"/>
              <w:rPr>
                <w:szCs w:val="22"/>
                <w:lang w:val="sr-Latn-ME"/>
              </w:rPr>
            </w:pPr>
            <w:r w:rsidRPr="003445F5">
              <w:rPr>
                <w:szCs w:val="22"/>
                <w:lang w:val="sr-Latn-ME"/>
              </w:rPr>
              <w:t>Infarkt miokarda</w:t>
            </w:r>
            <w:r w:rsidRPr="003445F5">
              <w:rPr>
                <w:szCs w:val="22"/>
                <w:vertAlign w:val="superscript"/>
                <w:lang w:val="sr-Latn-ME"/>
              </w:rPr>
              <w:t>1)</w:t>
            </w:r>
            <w:r w:rsidRPr="003445F5">
              <w:rPr>
                <w:szCs w:val="22"/>
                <w:lang w:val="sr-Latn-ME"/>
              </w:rPr>
              <w:t xml:space="preserve">, </w:t>
            </w:r>
          </w:p>
          <w:p w14:paraId="0B57805C" w14:textId="77777777" w:rsidR="00886191" w:rsidRPr="003445F5" w:rsidRDefault="00886191" w:rsidP="00704956">
            <w:pPr>
              <w:jc w:val="left"/>
              <w:rPr>
                <w:szCs w:val="22"/>
                <w:lang w:val="sr-Latn-ME"/>
              </w:rPr>
            </w:pPr>
            <w:r w:rsidRPr="003445F5">
              <w:rPr>
                <w:szCs w:val="22"/>
                <w:lang w:val="sr-Latn-ME"/>
              </w:rPr>
              <w:lastRenderedPageBreak/>
              <w:t xml:space="preserve">aritmija, </w:t>
            </w:r>
          </w:p>
          <w:p w14:paraId="36E3FEEC" w14:textId="77777777" w:rsidR="00886191" w:rsidRPr="003445F5" w:rsidRDefault="00886191" w:rsidP="00704956">
            <w:pPr>
              <w:jc w:val="left"/>
              <w:rPr>
                <w:noProof/>
                <w:szCs w:val="22"/>
                <w:u w:val="single"/>
                <w:lang w:val="sr-Latn-ME"/>
              </w:rPr>
            </w:pPr>
            <w:r w:rsidRPr="003445F5">
              <w:rPr>
                <w:szCs w:val="22"/>
                <w:lang w:val="sr-Latn-ME"/>
              </w:rPr>
              <w:t>kongestivna srčana insuficijencija</w:t>
            </w:r>
          </w:p>
        </w:tc>
      </w:tr>
      <w:tr w:rsidR="00886191" w:rsidRPr="003445F5" w14:paraId="09430C69" w14:textId="77777777" w:rsidTr="00DC1FBA">
        <w:trPr>
          <w:trHeight w:val="20"/>
        </w:trPr>
        <w:tc>
          <w:tcPr>
            <w:tcW w:w="1255" w:type="pct"/>
            <w:vMerge/>
            <w:vAlign w:val="center"/>
          </w:tcPr>
          <w:p w14:paraId="0F931683" w14:textId="77777777" w:rsidR="00886191" w:rsidRPr="003445F5" w:rsidRDefault="00886191" w:rsidP="00704956">
            <w:pPr>
              <w:jc w:val="left"/>
              <w:rPr>
                <w:noProof/>
                <w:szCs w:val="22"/>
                <w:u w:val="single"/>
                <w:lang w:val="sr-Latn-ME"/>
              </w:rPr>
            </w:pPr>
          </w:p>
        </w:tc>
        <w:tc>
          <w:tcPr>
            <w:tcW w:w="786" w:type="pct"/>
            <w:vAlign w:val="center"/>
          </w:tcPr>
          <w:p w14:paraId="18D35192" w14:textId="3F92A438" w:rsidR="00886191" w:rsidRPr="003445F5" w:rsidRDefault="00886191" w:rsidP="00704956">
            <w:pPr>
              <w:jc w:val="left"/>
              <w:rPr>
                <w:noProof/>
                <w:szCs w:val="22"/>
                <w:u w:val="single"/>
                <w:lang w:val="sr-Latn-ME"/>
              </w:rPr>
            </w:pPr>
            <w:r w:rsidRPr="003445F5">
              <w:rPr>
                <w:szCs w:val="22"/>
                <w:lang w:val="sr-Latn-ME"/>
              </w:rPr>
              <w:t>R</w:t>
            </w:r>
            <w:r w:rsidR="009256F1" w:rsidRPr="003445F5">
              <w:rPr>
                <w:szCs w:val="22"/>
                <w:lang w:val="sr-Latn-ME"/>
              </w:rPr>
              <w:t>ij</w:t>
            </w:r>
            <w:r w:rsidRPr="003445F5">
              <w:rPr>
                <w:szCs w:val="22"/>
                <w:lang w:val="sr-Latn-ME"/>
              </w:rPr>
              <w:t>etko</w:t>
            </w:r>
          </w:p>
        </w:tc>
        <w:tc>
          <w:tcPr>
            <w:tcW w:w="2959" w:type="pct"/>
            <w:vAlign w:val="center"/>
          </w:tcPr>
          <w:p w14:paraId="7DED076E" w14:textId="77777777" w:rsidR="00886191" w:rsidRPr="003445F5" w:rsidRDefault="00886191" w:rsidP="00704956">
            <w:pPr>
              <w:jc w:val="left"/>
              <w:rPr>
                <w:noProof/>
                <w:szCs w:val="22"/>
                <w:u w:val="single"/>
                <w:lang w:val="sr-Latn-ME"/>
              </w:rPr>
            </w:pPr>
            <w:r w:rsidRPr="003445F5">
              <w:rPr>
                <w:szCs w:val="22"/>
                <w:lang w:val="sr-Latn-ME"/>
              </w:rPr>
              <w:t>Srčani zastoj</w:t>
            </w:r>
          </w:p>
        </w:tc>
      </w:tr>
      <w:tr w:rsidR="00886191" w:rsidRPr="003445F5" w14:paraId="2A15A911" w14:textId="77777777" w:rsidTr="00DC1FBA">
        <w:trPr>
          <w:trHeight w:val="20"/>
        </w:trPr>
        <w:tc>
          <w:tcPr>
            <w:tcW w:w="1255" w:type="pct"/>
            <w:vMerge w:val="restart"/>
            <w:vAlign w:val="center"/>
          </w:tcPr>
          <w:p w14:paraId="6C3FDEF3" w14:textId="77777777" w:rsidR="00886191" w:rsidRPr="003445F5" w:rsidRDefault="00886191" w:rsidP="00704956">
            <w:pPr>
              <w:jc w:val="left"/>
              <w:rPr>
                <w:noProof/>
                <w:szCs w:val="22"/>
                <w:u w:val="single"/>
                <w:lang w:val="sr-Latn-ME"/>
              </w:rPr>
            </w:pPr>
            <w:r w:rsidRPr="003445F5">
              <w:rPr>
                <w:szCs w:val="22"/>
                <w:lang w:val="sr-Latn-ME"/>
              </w:rPr>
              <w:t>Vaskularni poremećaji</w:t>
            </w:r>
          </w:p>
        </w:tc>
        <w:tc>
          <w:tcPr>
            <w:tcW w:w="786" w:type="pct"/>
            <w:vAlign w:val="center"/>
          </w:tcPr>
          <w:p w14:paraId="69590311"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16D78782" w14:textId="77777777" w:rsidR="00886191" w:rsidRPr="003445F5" w:rsidRDefault="00886191" w:rsidP="00704956">
            <w:pPr>
              <w:jc w:val="left"/>
              <w:rPr>
                <w:szCs w:val="22"/>
                <w:lang w:val="sr-Latn-ME"/>
              </w:rPr>
            </w:pPr>
            <w:r w:rsidRPr="003445F5">
              <w:rPr>
                <w:szCs w:val="22"/>
                <w:lang w:val="sr-Latn-ME"/>
              </w:rPr>
              <w:t xml:space="preserve">Hipertenzija, </w:t>
            </w:r>
          </w:p>
          <w:p w14:paraId="65764204" w14:textId="77777777" w:rsidR="00886191" w:rsidRPr="003445F5" w:rsidRDefault="00886191" w:rsidP="00704956">
            <w:pPr>
              <w:jc w:val="left"/>
              <w:rPr>
                <w:szCs w:val="22"/>
                <w:lang w:val="sr-Latn-ME"/>
              </w:rPr>
            </w:pPr>
            <w:r w:rsidRPr="003445F5">
              <w:rPr>
                <w:szCs w:val="22"/>
                <w:lang w:val="sr-Latn-ME"/>
              </w:rPr>
              <w:t xml:space="preserve">navala crvenila, </w:t>
            </w:r>
          </w:p>
          <w:p w14:paraId="04CF91B6" w14:textId="77777777" w:rsidR="00886191" w:rsidRPr="003445F5" w:rsidRDefault="00886191" w:rsidP="00704956">
            <w:pPr>
              <w:jc w:val="left"/>
              <w:rPr>
                <w:noProof/>
                <w:szCs w:val="22"/>
                <w:u w:val="single"/>
                <w:lang w:val="sr-Latn-ME"/>
              </w:rPr>
            </w:pPr>
            <w:r w:rsidRPr="003445F5">
              <w:rPr>
                <w:szCs w:val="22"/>
                <w:lang w:val="sr-Latn-ME"/>
              </w:rPr>
              <w:t>hematom</w:t>
            </w:r>
          </w:p>
        </w:tc>
      </w:tr>
      <w:tr w:rsidR="00886191" w:rsidRPr="003445F5" w14:paraId="69F09242" w14:textId="77777777" w:rsidTr="00DC1FBA">
        <w:trPr>
          <w:trHeight w:val="20"/>
        </w:trPr>
        <w:tc>
          <w:tcPr>
            <w:tcW w:w="1255" w:type="pct"/>
            <w:vMerge/>
            <w:vAlign w:val="center"/>
          </w:tcPr>
          <w:p w14:paraId="1C03C2A0" w14:textId="77777777" w:rsidR="00886191" w:rsidRPr="003445F5" w:rsidRDefault="00886191" w:rsidP="00704956">
            <w:pPr>
              <w:jc w:val="left"/>
              <w:rPr>
                <w:noProof/>
                <w:szCs w:val="22"/>
                <w:u w:val="single"/>
                <w:lang w:val="sr-Latn-ME"/>
              </w:rPr>
            </w:pPr>
          </w:p>
        </w:tc>
        <w:tc>
          <w:tcPr>
            <w:tcW w:w="786" w:type="pct"/>
            <w:vAlign w:val="center"/>
          </w:tcPr>
          <w:p w14:paraId="574E389C"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6EDE9342" w14:textId="77777777" w:rsidR="00886191" w:rsidRPr="003445F5" w:rsidRDefault="00886191" w:rsidP="00704956">
            <w:pPr>
              <w:jc w:val="left"/>
              <w:rPr>
                <w:szCs w:val="22"/>
                <w:lang w:val="sr-Latn-ME"/>
              </w:rPr>
            </w:pPr>
            <w:r w:rsidRPr="003445F5">
              <w:rPr>
                <w:szCs w:val="22"/>
                <w:lang w:val="sr-Latn-ME"/>
              </w:rPr>
              <w:t xml:space="preserve">Aortna aneurizma, </w:t>
            </w:r>
          </w:p>
          <w:p w14:paraId="6BC43BF7" w14:textId="77777777" w:rsidR="00886191" w:rsidRPr="003445F5" w:rsidRDefault="00886191" w:rsidP="00704956">
            <w:pPr>
              <w:jc w:val="left"/>
              <w:rPr>
                <w:szCs w:val="22"/>
                <w:lang w:val="sr-Latn-ME"/>
              </w:rPr>
            </w:pPr>
            <w:r w:rsidRPr="003445F5">
              <w:rPr>
                <w:szCs w:val="22"/>
                <w:lang w:val="sr-Latn-ME"/>
              </w:rPr>
              <w:t xml:space="preserve">vaskularna arterijalna okluzija, </w:t>
            </w:r>
          </w:p>
          <w:p w14:paraId="623D6FA2" w14:textId="77777777" w:rsidR="00886191" w:rsidRPr="003445F5" w:rsidRDefault="00886191" w:rsidP="00704956">
            <w:pPr>
              <w:jc w:val="left"/>
              <w:rPr>
                <w:noProof/>
                <w:szCs w:val="22"/>
                <w:u w:val="single"/>
                <w:lang w:val="sr-Latn-ME"/>
              </w:rPr>
            </w:pPr>
            <w:r w:rsidRPr="003445F5">
              <w:rPr>
                <w:szCs w:val="22"/>
                <w:lang w:val="sr-Latn-ME"/>
              </w:rPr>
              <w:t>tromboflebitis</w:t>
            </w:r>
          </w:p>
        </w:tc>
      </w:tr>
      <w:tr w:rsidR="00886191" w:rsidRPr="003445F5" w14:paraId="3255638D" w14:textId="77777777" w:rsidTr="00DC1FBA">
        <w:trPr>
          <w:trHeight w:val="20"/>
        </w:trPr>
        <w:tc>
          <w:tcPr>
            <w:tcW w:w="1255" w:type="pct"/>
            <w:vMerge w:val="restart"/>
            <w:vAlign w:val="center"/>
          </w:tcPr>
          <w:p w14:paraId="4D27EA35" w14:textId="77777777" w:rsidR="00886191" w:rsidRPr="003445F5" w:rsidRDefault="00886191" w:rsidP="00704956">
            <w:pPr>
              <w:jc w:val="left"/>
              <w:rPr>
                <w:noProof/>
                <w:szCs w:val="22"/>
                <w:u w:val="single"/>
                <w:lang w:val="sr-Latn-ME"/>
              </w:rPr>
            </w:pPr>
            <w:r w:rsidRPr="003445F5">
              <w:rPr>
                <w:szCs w:val="22"/>
                <w:lang w:val="sr-Latn-ME"/>
              </w:rPr>
              <w:t>Respiratorni, torakalni i medijastinalni poremećaji*</w:t>
            </w:r>
          </w:p>
        </w:tc>
        <w:tc>
          <w:tcPr>
            <w:tcW w:w="786" w:type="pct"/>
            <w:vAlign w:val="center"/>
          </w:tcPr>
          <w:p w14:paraId="0F50D33E"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2AC498CA" w14:textId="77777777" w:rsidR="00886191" w:rsidRPr="003445F5" w:rsidRDefault="00886191" w:rsidP="00704956">
            <w:pPr>
              <w:jc w:val="left"/>
              <w:rPr>
                <w:szCs w:val="22"/>
                <w:lang w:val="sr-Latn-ME"/>
              </w:rPr>
            </w:pPr>
            <w:r w:rsidRPr="003445F5">
              <w:rPr>
                <w:szCs w:val="22"/>
                <w:lang w:val="sr-Latn-ME"/>
              </w:rPr>
              <w:t xml:space="preserve">Astma, </w:t>
            </w:r>
          </w:p>
          <w:p w14:paraId="532637C0" w14:textId="324FD4C4" w:rsidR="00886191" w:rsidRPr="003445F5" w:rsidRDefault="00886191" w:rsidP="00704956">
            <w:pPr>
              <w:jc w:val="left"/>
              <w:rPr>
                <w:szCs w:val="22"/>
                <w:lang w:val="sr-Latn-ME"/>
              </w:rPr>
            </w:pPr>
            <w:r w:rsidRPr="003445F5">
              <w:rPr>
                <w:szCs w:val="22"/>
                <w:lang w:val="sr-Latn-ME"/>
              </w:rPr>
              <w:t>dispne</w:t>
            </w:r>
            <w:r w:rsidR="008D12D7" w:rsidRPr="003445F5">
              <w:rPr>
                <w:szCs w:val="22"/>
                <w:lang w:val="sr-Latn-ME"/>
              </w:rPr>
              <w:t>j</w:t>
            </w:r>
            <w:r w:rsidRPr="003445F5">
              <w:rPr>
                <w:szCs w:val="22"/>
                <w:lang w:val="sr-Latn-ME"/>
              </w:rPr>
              <w:t xml:space="preserve">a, </w:t>
            </w:r>
          </w:p>
          <w:p w14:paraId="7C35ADB1" w14:textId="77777777" w:rsidR="00886191" w:rsidRPr="003445F5" w:rsidRDefault="00886191" w:rsidP="00704956">
            <w:pPr>
              <w:jc w:val="left"/>
              <w:rPr>
                <w:noProof/>
                <w:szCs w:val="22"/>
                <w:u w:val="single"/>
                <w:lang w:val="sr-Latn-ME"/>
              </w:rPr>
            </w:pPr>
            <w:r w:rsidRPr="003445F5">
              <w:rPr>
                <w:szCs w:val="22"/>
                <w:lang w:val="sr-Latn-ME"/>
              </w:rPr>
              <w:t>kašalj</w:t>
            </w:r>
          </w:p>
        </w:tc>
      </w:tr>
      <w:tr w:rsidR="00886191" w:rsidRPr="003445F5" w14:paraId="6672A9ED" w14:textId="77777777" w:rsidTr="00DC1FBA">
        <w:trPr>
          <w:trHeight w:val="20"/>
        </w:trPr>
        <w:tc>
          <w:tcPr>
            <w:tcW w:w="1255" w:type="pct"/>
            <w:vMerge/>
            <w:vAlign w:val="center"/>
          </w:tcPr>
          <w:p w14:paraId="10D8E2A1" w14:textId="77777777" w:rsidR="00886191" w:rsidRPr="003445F5" w:rsidRDefault="00886191" w:rsidP="00704956">
            <w:pPr>
              <w:jc w:val="left"/>
              <w:rPr>
                <w:noProof/>
                <w:szCs w:val="22"/>
                <w:u w:val="single"/>
                <w:lang w:val="sr-Latn-ME"/>
              </w:rPr>
            </w:pPr>
          </w:p>
        </w:tc>
        <w:tc>
          <w:tcPr>
            <w:tcW w:w="786" w:type="pct"/>
            <w:vAlign w:val="center"/>
          </w:tcPr>
          <w:p w14:paraId="6B7AFC20"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682735F5" w14:textId="76D4D60F" w:rsidR="00886191" w:rsidRPr="003445F5" w:rsidRDefault="00886191" w:rsidP="00704956">
            <w:pPr>
              <w:jc w:val="left"/>
              <w:rPr>
                <w:szCs w:val="22"/>
                <w:lang w:val="sr-Latn-ME"/>
              </w:rPr>
            </w:pPr>
            <w:r w:rsidRPr="003445F5">
              <w:rPr>
                <w:szCs w:val="22"/>
                <w:lang w:val="sr-Latn-ME"/>
              </w:rPr>
              <w:t>Plućna embolija</w:t>
            </w:r>
            <w:r w:rsidRPr="003445F5">
              <w:rPr>
                <w:szCs w:val="22"/>
                <w:vertAlign w:val="superscript"/>
                <w:lang w:val="sr-Latn-ME"/>
              </w:rPr>
              <w:t>1)</w:t>
            </w:r>
            <w:r w:rsidRPr="003445F5">
              <w:rPr>
                <w:szCs w:val="22"/>
                <w:lang w:val="sr-Latn-ME"/>
              </w:rPr>
              <w:t xml:space="preserve">, </w:t>
            </w:r>
          </w:p>
          <w:p w14:paraId="434DEC38" w14:textId="77777777" w:rsidR="00886191" w:rsidRPr="003445F5" w:rsidRDefault="00886191" w:rsidP="00704956">
            <w:pPr>
              <w:jc w:val="left"/>
              <w:rPr>
                <w:szCs w:val="22"/>
                <w:lang w:val="sr-Latn-ME"/>
              </w:rPr>
            </w:pPr>
            <w:r w:rsidRPr="003445F5">
              <w:rPr>
                <w:szCs w:val="22"/>
                <w:lang w:val="sr-Latn-ME"/>
              </w:rPr>
              <w:t xml:space="preserve">intersticijalna bolest pluća, </w:t>
            </w:r>
          </w:p>
          <w:p w14:paraId="1F6BEF9F" w14:textId="77777777" w:rsidR="00886191" w:rsidRPr="003445F5" w:rsidRDefault="00886191" w:rsidP="00704956">
            <w:pPr>
              <w:jc w:val="left"/>
              <w:rPr>
                <w:szCs w:val="22"/>
                <w:lang w:val="sr-Latn-ME"/>
              </w:rPr>
            </w:pPr>
            <w:r w:rsidRPr="003445F5">
              <w:rPr>
                <w:szCs w:val="22"/>
                <w:lang w:val="sr-Latn-ME"/>
              </w:rPr>
              <w:t xml:space="preserve">hronična opstruktivna bolest pluća, </w:t>
            </w:r>
          </w:p>
          <w:p w14:paraId="0AD460FC" w14:textId="77777777" w:rsidR="00886191" w:rsidRPr="003445F5" w:rsidRDefault="00886191" w:rsidP="00704956">
            <w:pPr>
              <w:jc w:val="left"/>
              <w:rPr>
                <w:szCs w:val="22"/>
                <w:lang w:val="sr-Latn-ME"/>
              </w:rPr>
            </w:pPr>
            <w:r w:rsidRPr="003445F5">
              <w:rPr>
                <w:szCs w:val="22"/>
                <w:lang w:val="sr-Latn-ME"/>
              </w:rPr>
              <w:t xml:space="preserve">pneumonitis, </w:t>
            </w:r>
          </w:p>
          <w:p w14:paraId="10995C32" w14:textId="77777777" w:rsidR="00886191" w:rsidRPr="003445F5" w:rsidRDefault="00886191" w:rsidP="00704956">
            <w:pPr>
              <w:jc w:val="left"/>
              <w:rPr>
                <w:noProof/>
                <w:szCs w:val="22"/>
                <w:u w:val="single"/>
                <w:lang w:val="sr-Latn-ME"/>
              </w:rPr>
            </w:pPr>
            <w:r w:rsidRPr="003445F5">
              <w:rPr>
                <w:szCs w:val="22"/>
                <w:lang w:val="sr-Latn-ME"/>
              </w:rPr>
              <w:t>pleuralni izliv</w:t>
            </w:r>
            <w:r w:rsidRPr="003445F5">
              <w:rPr>
                <w:szCs w:val="22"/>
                <w:vertAlign w:val="superscript"/>
                <w:lang w:val="sr-Latn-ME"/>
              </w:rPr>
              <w:t>1)</w:t>
            </w:r>
          </w:p>
        </w:tc>
      </w:tr>
      <w:tr w:rsidR="00886191" w:rsidRPr="003445F5" w14:paraId="06DDF61C" w14:textId="77777777" w:rsidTr="00DC1FBA">
        <w:trPr>
          <w:trHeight w:val="20"/>
        </w:trPr>
        <w:tc>
          <w:tcPr>
            <w:tcW w:w="1255" w:type="pct"/>
            <w:vMerge/>
            <w:vAlign w:val="center"/>
          </w:tcPr>
          <w:p w14:paraId="57EDD90A" w14:textId="77777777" w:rsidR="00886191" w:rsidRPr="003445F5" w:rsidRDefault="00886191" w:rsidP="00704956">
            <w:pPr>
              <w:jc w:val="left"/>
              <w:rPr>
                <w:noProof/>
                <w:szCs w:val="22"/>
                <w:u w:val="single"/>
                <w:lang w:val="sr-Latn-ME"/>
              </w:rPr>
            </w:pPr>
          </w:p>
        </w:tc>
        <w:tc>
          <w:tcPr>
            <w:tcW w:w="786" w:type="pct"/>
            <w:vAlign w:val="center"/>
          </w:tcPr>
          <w:p w14:paraId="5AAC3CB5" w14:textId="245E0DEB" w:rsidR="00886191" w:rsidRPr="003445F5" w:rsidRDefault="00886191" w:rsidP="00704956">
            <w:pPr>
              <w:jc w:val="left"/>
              <w:rPr>
                <w:noProof/>
                <w:szCs w:val="22"/>
                <w:u w:val="single"/>
                <w:lang w:val="sr-Latn-ME"/>
              </w:rPr>
            </w:pPr>
            <w:r w:rsidRPr="003445F5">
              <w:rPr>
                <w:szCs w:val="22"/>
                <w:lang w:val="sr-Latn-ME"/>
              </w:rPr>
              <w:t>R</w:t>
            </w:r>
            <w:r w:rsidR="009256F1" w:rsidRPr="003445F5">
              <w:rPr>
                <w:szCs w:val="22"/>
                <w:lang w:val="sr-Latn-ME"/>
              </w:rPr>
              <w:t>ij</w:t>
            </w:r>
            <w:r w:rsidRPr="003445F5">
              <w:rPr>
                <w:szCs w:val="22"/>
                <w:lang w:val="sr-Latn-ME"/>
              </w:rPr>
              <w:t>etko</w:t>
            </w:r>
          </w:p>
        </w:tc>
        <w:tc>
          <w:tcPr>
            <w:tcW w:w="2959" w:type="pct"/>
            <w:vAlign w:val="center"/>
          </w:tcPr>
          <w:p w14:paraId="1CA1D10F" w14:textId="77777777" w:rsidR="00886191" w:rsidRPr="003445F5" w:rsidRDefault="00886191" w:rsidP="00704956">
            <w:pPr>
              <w:jc w:val="left"/>
              <w:rPr>
                <w:noProof/>
                <w:szCs w:val="22"/>
                <w:u w:val="single"/>
                <w:lang w:val="sr-Latn-ME"/>
              </w:rPr>
            </w:pPr>
            <w:r w:rsidRPr="003445F5">
              <w:rPr>
                <w:szCs w:val="22"/>
                <w:lang w:val="sr-Latn-ME"/>
              </w:rPr>
              <w:t>Plućna fibroza</w:t>
            </w:r>
            <w:r w:rsidRPr="003445F5">
              <w:rPr>
                <w:szCs w:val="22"/>
                <w:vertAlign w:val="superscript"/>
                <w:lang w:val="sr-Latn-ME"/>
              </w:rPr>
              <w:t>1)</w:t>
            </w:r>
          </w:p>
        </w:tc>
      </w:tr>
      <w:tr w:rsidR="00886191" w:rsidRPr="003445F5" w14:paraId="3F89ABB9" w14:textId="77777777" w:rsidTr="00DC1FBA">
        <w:trPr>
          <w:trHeight w:val="20"/>
        </w:trPr>
        <w:tc>
          <w:tcPr>
            <w:tcW w:w="1255" w:type="pct"/>
            <w:vMerge w:val="restart"/>
            <w:vAlign w:val="center"/>
          </w:tcPr>
          <w:p w14:paraId="0C37327E" w14:textId="77777777" w:rsidR="00886191" w:rsidRPr="003445F5" w:rsidRDefault="00886191" w:rsidP="00704956">
            <w:pPr>
              <w:jc w:val="left"/>
              <w:rPr>
                <w:noProof/>
                <w:szCs w:val="22"/>
                <w:u w:val="single"/>
                <w:lang w:val="sr-Latn-ME"/>
              </w:rPr>
            </w:pPr>
            <w:r w:rsidRPr="003445F5">
              <w:rPr>
                <w:szCs w:val="22"/>
                <w:lang w:val="sr-Latn-ME"/>
              </w:rPr>
              <w:t>Gastrointestinalni poremećaji</w:t>
            </w:r>
          </w:p>
        </w:tc>
        <w:tc>
          <w:tcPr>
            <w:tcW w:w="786" w:type="pct"/>
            <w:vAlign w:val="center"/>
          </w:tcPr>
          <w:p w14:paraId="3C98C698" w14:textId="77777777" w:rsidR="00886191" w:rsidRPr="003445F5" w:rsidRDefault="00886191" w:rsidP="00704956">
            <w:pPr>
              <w:jc w:val="left"/>
              <w:rPr>
                <w:noProof/>
                <w:szCs w:val="22"/>
                <w:u w:val="single"/>
                <w:lang w:val="sr-Latn-ME"/>
              </w:rPr>
            </w:pPr>
            <w:r w:rsidRPr="003445F5">
              <w:rPr>
                <w:szCs w:val="22"/>
                <w:lang w:val="sr-Latn-ME"/>
              </w:rPr>
              <w:t>Veoma često</w:t>
            </w:r>
          </w:p>
        </w:tc>
        <w:tc>
          <w:tcPr>
            <w:tcW w:w="2959" w:type="pct"/>
            <w:vAlign w:val="center"/>
          </w:tcPr>
          <w:p w14:paraId="4C077F3F" w14:textId="77777777" w:rsidR="00886191" w:rsidRPr="003445F5" w:rsidRDefault="00886191" w:rsidP="00704956">
            <w:pPr>
              <w:jc w:val="left"/>
              <w:rPr>
                <w:szCs w:val="22"/>
                <w:lang w:val="sr-Latn-ME"/>
              </w:rPr>
            </w:pPr>
            <w:r w:rsidRPr="003445F5">
              <w:rPr>
                <w:szCs w:val="22"/>
                <w:lang w:val="sr-Latn-ME"/>
              </w:rPr>
              <w:t xml:space="preserve">Abdominalni bol, </w:t>
            </w:r>
          </w:p>
          <w:p w14:paraId="56A97F68" w14:textId="77777777" w:rsidR="00886191" w:rsidRPr="003445F5" w:rsidRDefault="00886191" w:rsidP="00704956">
            <w:pPr>
              <w:jc w:val="left"/>
              <w:rPr>
                <w:noProof/>
                <w:szCs w:val="22"/>
                <w:u w:val="single"/>
                <w:lang w:val="sr-Latn-ME"/>
              </w:rPr>
            </w:pPr>
            <w:r w:rsidRPr="003445F5">
              <w:rPr>
                <w:szCs w:val="22"/>
                <w:lang w:val="sr-Latn-ME"/>
              </w:rPr>
              <w:t>mučnina i povraćanje</w:t>
            </w:r>
          </w:p>
        </w:tc>
      </w:tr>
      <w:tr w:rsidR="00886191" w:rsidRPr="003445F5" w14:paraId="047B8EB1" w14:textId="77777777" w:rsidTr="00DC1FBA">
        <w:trPr>
          <w:trHeight w:val="20"/>
        </w:trPr>
        <w:tc>
          <w:tcPr>
            <w:tcW w:w="1255" w:type="pct"/>
            <w:vMerge/>
            <w:vAlign w:val="center"/>
          </w:tcPr>
          <w:p w14:paraId="1F8DA41D" w14:textId="77777777" w:rsidR="00886191" w:rsidRPr="003445F5" w:rsidRDefault="00886191" w:rsidP="00704956">
            <w:pPr>
              <w:jc w:val="left"/>
              <w:rPr>
                <w:noProof/>
                <w:szCs w:val="22"/>
                <w:u w:val="single"/>
                <w:lang w:val="sr-Latn-ME"/>
              </w:rPr>
            </w:pPr>
          </w:p>
        </w:tc>
        <w:tc>
          <w:tcPr>
            <w:tcW w:w="786" w:type="pct"/>
            <w:vAlign w:val="center"/>
          </w:tcPr>
          <w:p w14:paraId="17DDA017"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2C5344A2" w14:textId="77777777" w:rsidR="00886191" w:rsidRPr="003445F5" w:rsidRDefault="00886191" w:rsidP="00704956">
            <w:pPr>
              <w:jc w:val="left"/>
              <w:rPr>
                <w:szCs w:val="22"/>
                <w:lang w:val="sr-Latn-ME"/>
              </w:rPr>
            </w:pPr>
            <w:r w:rsidRPr="003445F5">
              <w:rPr>
                <w:szCs w:val="22"/>
                <w:lang w:val="sr-Latn-ME"/>
              </w:rPr>
              <w:t xml:space="preserve">GI hemoragija, </w:t>
            </w:r>
          </w:p>
          <w:p w14:paraId="117CD020" w14:textId="77777777" w:rsidR="00886191" w:rsidRPr="003445F5" w:rsidRDefault="00886191" w:rsidP="00704956">
            <w:pPr>
              <w:jc w:val="left"/>
              <w:rPr>
                <w:szCs w:val="22"/>
                <w:lang w:val="sr-Latn-ME"/>
              </w:rPr>
            </w:pPr>
            <w:r w:rsidRPr="003445F5">
              <w:rPr>
                <w:szCs w:val="22"/>
                <w:lang w:val="sr-Latn-ME"/>
              </w:rPr>
              <w:t xml:space="preserve">dispepsija, </w:t>
            </w:r>
          </w:p>
          <w:p w14:paraId="7C4903DC" w14:textId="77777777" w:rsidR="00886191" w:rsidRPr="003445F5" w:rsidRDefault="00886191" w:rsidP="00704956">
            <w:pPr>
              <w:jc w:val="left"/>
              <w:rPr>
                <w:szCs w:val="22"/>
                <w:lang w:val="sr-Latn-ME"/>
              </w:rPr>
            </w:pPr>
            <w:r w:rsidRPr="003445F5">
              <w:rPr>
                <w:szCs w:val="22"/>
                <w:lang w:val="sr-Latn-ME"/>
              </w:rPr>
              <w:t xml:space="preserve">gastroezofagealna refluksna bolest, </w:t>
            </w:r>
          </w:p>
          <w:p w14:paraId="1825FD85" w14:textId="77777777" w:rsidR="00886191" w:rsidRPr="003445F5" w:rsidRDefault="00886191" w:rsidP="00704956">
            <w:pPr>
              <w:jc w:val="left"/>
              <w:rPr>
                <w:noProof/>
                <w:szCs w:val="22"/>
                <w:u w:val="single"/>
                <w:lang w:val="sr-Latn-ME"/>
              </w:rPr>
            </w:pPr>
            <w:r w:rsidRPr="003445F5">
              <w:rPr>
                <w:i/>
                <w:iCs/>
                <w:szCs w:val="22"/>
                <w:lang w:val="sr-Latn-ME"/>
              </w:rPr>
              <w:t>sicca</w:t>
            </w:r>
            <w:r w:rsidRPr="003445F5">
              <w:rPr>
                <w:szCs w:val="22"/>
                <w:lang w:val="sr-Latn-ME"/>
              </w:rPr>
              <w:t xml:space="preserve"> sindrom</w:t>
            </w:r>
          </w:p>
        </w:tc>
      </w:tr>
      <w:tr w:rsidR="00886191" w:rsidRPr="003445F5" w14:paraId="5C568E1A" w14:textId="77777777" w:rsidTr="00DC1FBA">
        <w:trPr>
          <w:trHeight w:val="20"/>
        </w:trPr>
        <w:tc>
          <w:tcPr>
            <w:tcW w:w="1255" w:type="pct"/>
            <w:vMerge/>
            <w:vAlign w:val="center"/>
          </w:tcPr>
          <w:p w14:paraId="131DD8B2" w14:textId="77777777" w:rsidR="00886191" w:rsidRPr="003445F5" w:rsidRDefault="00886191" w:rsidP="00704956">
            <w:pPr>
              <w:jc w:val="left"/>
              <w:rPr>
                <w:noProof/>
                <w:szCs w:val="22"/>
                <w:u w:val="single"/>
                <w:lang w:val="sr-Latn-ME"/>
              </w:rPr>
            </w:pPr>
          </w:p>
        </w:tc>
        <w:tc>
          <w:tcPr>
            <w:tcW w:w="786" w:type="pct"/>
            <w:vAlign w:val="center"/>
          </w:tcPr>
          <w:p w14:paraId="7B0EE792"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05D6D41D" w14:textId="77777777" w:rsidR="00886191" w:rsidRPr="003445F5" w:rsidRDefault="00886191" w:rsidP="00704956">
            <w:pPr>
              <w:jc w:val="left"/>
              <w:rPr>
                <w:szCs w:val="22"/>
                <w:lang w:val="sr-Latn-ME"/>
              </w:rPr>
            </w:pPr>
            <w:r w:rsidRPr="003445F5">
              <w:rPr>
                <w:szCs w:val="22"/>
                <w:lang w:val="sr-Latn-ME"/>
              </w:rPr>
              <w:t xml:space="preserve">Pankreatitis, </w:t>
            </w:r>
          </w:p>
          <w:p w14:paraId="1D940A9E" w14:textId="77777777" w:rsidR="00886191" w:rsidRPr="003445F5" w:rsidRDefault="00886191" w:rsidP="00704956">
            <w:pPr>
              <w:jc w:val="left"/>
              <w:rPr>
                <w:szCs w:val="22"/>
                <w:lang w:val="sr-Latn-ME"/>
              </w:rPr>
            </w:pPr>
            <w:r w:rsidRPr="003445F5">
              <w:rPr>
                <w:szCs w:val="22"/>
                <w:lang w:val="sr-Latn-ME"/>
              </w:rPr>
              <w:t xml:space="preserve">disfagija, </w:t>
            </w:r>
          </w:p>
          <w:p w14:paraId="53681E13" w14:textId="77777777" w:rsidR="00886191" w:rsidRPr="003445F5" w:rsidRDefault="00886191" w:rsidP="00704956">
            <w:pPr>
              <w:jc w:val="left"/>
              <w:rPr>
                <w:noProof/>
                <w:szCs w:val="22"/>
                <w:u w:val="single"/>
                <w:lang w:val="sr-Latn-ME"/>
              </w:rPr>
            </w:pPr>
            <w:r w:rsidRPr="003445F5">
              <w:rPr>
                <w:szCs w:val="22"/>
                <w:lang w:val="sr-Latn-ME"/>
              </w:rPr>
              <w:t>edem lica</w:t>
            </w:r>
          </w:p>
        </w:tc>
      </w:tr>
      <w:tr w:rsidR="00886191" w:rsidRPr="003445F5" w14:paraId="7406DD49" w14:textId="77777777" w:rsidTr="00DC1FBA">
        <w:trPr>
          <w:trHeight w:val="20"/>
        </w:trPr>
        <w:tc>
          <w:tcPr>
            <w:tcW w:w="1255" w:type="pct"/>
            <w:vMerge/>
            <w:vAlign w:val="center"/>
          </w:tcPr>
          <w:p w14:paraId="7F96550E" w14:textId="77777777" w:rsidR="00886191" w:rsidRPr="003445F5" w:rsidRDefault="00886191" w:rsidP="00704956">
            <w:pPr>
              <w:jc w:val="left"/>
              <w:rPr>
                <w:noProof/>
                <w:szCs w:val="22"/>
                <w:u w:val="single"/>
                <w:lang w:val="sr-Latn-ME"/>
              </w:rPr>
            </w:pPr>
          </w:p>
        </w:tc>
        <w:tc>
          <w:tcPr>
            <w:tcW w:w="786" w:type="pct"/>
            <w:vAlign w:val="center"/>
          </w:tcPr>
          <w:p w14:paraId="454A0394" w14:textId="4ADEF531" w:rsidR="00886191" w:rsidRPr="003445F5" w:rsidRDefault="00886191" w:rsidP="00704956">
            <w:pPr>
              <w:jc w:val="left"/>
              <w:rPr>
                <w:noProof/>
                <w:szCs w:val="22"/>
                <w:u w:val="single"/>
                <w:lang w:val="sr-Latn-ME"/>
              </w:rPr>
            </w:pPr>
            <w:r w:rsidRPr="003445F5">
              <w:rPr>
                <w:szCs w:val="22"/>
                <w:lang w:val="sr-Latn-ME"/>
              </w:rPr>
              <w:t>R</w:t>
            </w:r>
            <w:r w:rsidR="009256F1" w:rsidRPr="003445F5">
              <w:rPr>
                <w:szCs w:val="22"/>
                <w:lang w:val="sr-Latn-ME"/>
              </w:rPr>
              <w:t>ij</w:t>
            </w:r>
            <w:r w:rsidRPr="003445F5">
              <w:rPr>
                <w:szCs w:val="22"/>
                <w:lang w:val="sr-Latn-ME"/>
              </w:rPr>
              <w:t>etko</w:t>
            </w:r>
          </w:p>
        </w:tc>
        <w:tc>
          <w:tcPr>
            <w:tcW w:w="2959" w:type="pct"/>
            <w:vAlign w:val="center"/>
          </w:tcPr>
          <w:p w14:paraId="43782A98" w14:textId="77777777" w:rsidR="00886191" w:rsidRPr="003445F5" w:rsidRDefault="00886191" w:rsidP="00704956">
            <w:pPr>
              <w:jc w:val="left"/>
              <w:rPr>
                <w:noProof/>
                <w:szCs w:val="22"/>
                <w:u w:val="single"/>
                <w:lang w:val="sr-Latn-ME"/>
              </w:rPr>
            </w:pPr>
            <w:r w:rsidRPr="003445F5">
              <w:rPr>
                <w:szCs w:val="22"/>
                <w:lang w:val="sr-Latn-ME"/>
              </w:rPr>
              <w:t>Intestinalna perforacija</w:t>
            </w:r>
            <w:r w:rsidRPr="003445F5">
              <w:rPr>
                <w:szCs w:val="22"/>
                <w:vertAlign w:val="superscript"/>
                <w:lang w:val="sr-Latn-ME"/>
              </w:rPr>
              <w:t>1)</w:t>
            </w:r>
          </w:p>
        </w:tc>
      </w:tr>
      <w:tr w:rsidR="00886191" w:rsidRPr="003445F5" w14:paraId="6094596C" w14:textId="77777777" w:rsidTr="00DC1FBA">
        <w:trPr>
          <w:trHeight w:val="20"/>
        </w:trPr>
        <w:tc>
          <w:tcPr>
            <w:tcW w:w="1255" w:type="pct"/>
            <w:vMerge w:val="restart"/>
            <w:vAlign w:val="center"/>
          </w:tcPr>
          <w:p w14:paraId="46643214" w14:textId="77777777" w:rsidR="00886191" w:rsidRPr="003445F5" w:rsidRDefault="00886191" w:rsidP="00704956">
            <w:pPr>
              <w:jc w:val="left"/>
              <w:rPr>
                <w:noProof/>
                <w:szCs w:val="22"/>
                <w:u w:val="single"/>
                <w:lang w:val="sr-Latn-ME"/>
              </w:rPr>
            </w:pPr>
            <w:r w:rsidRPr="003445F5">
              <w:rPr>
                <w:szCs w:val="22"/>
                <w:lang w:val="sr-Latn-ME"/>
              </w:rPr>
              <w:t>Hepatobilijarni poremećaji*</w:t>
            </w:r>
          </w:p>
        </w:tc>
        <w:tc>
          <w:tcPr>
            <w:tcW w:w="786" w:type="pct"/>
            <w:vAlign w:val="center"/>
          </w:tcPr>
          <w:p w14:paraId="0CE20D26" w14:textId="77777777" w:rsidR="00886191" w:rsidRPr="003445F5" w:rsidRDefault="00886191" w:rsidP="00704956">
            <w:pPr>
              <w:jc w:val="left"/>
              <w:rPr>
                <w:noProof/>
                <w:szCs w:val="22"/>
                <w:u w:val="single"/>
                <w:lang w:val="sr-Latn-ME"/>
              </w:rPr>
            </w:pPr>
            <w:r w:rsidRPr="003445F5">
              <w:rPr>
                <w:szCs w:val="22"/>
                <w:lang w:val="sr-Latn-ME"/>
              </w:rPr>
              <w:t>Veoma često</w:t>
            </w:r>
          </w:p>
        </w:tc>
        <w:tc>
          <w:tcPr>
            <w:tcW w:w="2959" w:type="pct"/>
            <w:vAlign w:val="center"/>
          </w:tcPr>
          <w:p w14:paraId="571F2326" w14:textId="77777777" w:rsidR="00886191" w:rsidRPr="003445F5" w:rsidRDefault="00886191" w:rsidP="00704956">
            <w:pPr>
              <w:jc w:val="left"/>
              <w:rPr>
                <w:noProof/>
                <w:szCs w:val="22"/>
                <w:u w:val="single"/>
                <w:lang w:val="sr-Latn-ME"/>
              </w:rPr>
            </w:pPr>
            <w:r w:rsidRPr="003445F5">
              <w:rPr>
                <w:szCs w:val="22"/>
                <w:lang w:val="sr-Latn-ME"/>
              </w:rPr>
              <w:t>Povećani enzimi jetre</w:t>
            </w:r>
          </w:p>
        </w:tc>
      </w:tr>
      <w:tr w:rsidR="00886191" w:rsidRPr="003445F5" w14:paraId="54D0C950" w14:textId="77777777" w:rsidTr="00DC1FBA">
        <w:trPr>
          <w:trHeight w:val="20"/>
        </w:trPr>
        <w:tc>
          <w:tcPr>
            <w:tcW w:w="1255" w:type="pct"/>
            <w:vMerge/>
            <w:vAlign w:val="center"/>
          </w:tcPr>
          <w:p w14:paraId="36375E4D" w14:textId="77777777" w:rsidR="00886191" w:rsidRPr="003445F5" w:rsidRDefault="00886191" w:rsidP="00704956">
            <w:pPr>
              <w:jc w:val="left"/>
              <w:rPr>
                <w:noProof/>
                <w:szCs w:val="22"/>
                <w:u w:val="single"/>
                <w:lang w:val="sr-Latn-ME"/>
              </w:rPr>
            </w:pPr>
          </w:p>
        </w:tc>
        <w:tc>
          <w:tcPr>
            <w:tcW w:w="786" w:type="pct"/>
            <w:vAlign w:val="center"/>
          </w:tcPr>
          <w:p w14:paraId="05297031"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21C1AE77" w14:textId="77777777" w:rsidR="00886191" w:rsidRPr="003445F5" w:rsidRDefault="00886191" w:rsidP="00704956">
            <w:pPr>
              <w:jc w:val="left"/>
              <w:rPr>
                <w:szCs w:val="22"/>
                <w:lang w:val="sr-Latn-ME"/>
              </w:rPr>
            </w:pPr>
            <w:r w:rsidRPr="003445F5">
              <w:rPr>
                <w:szCs w:val="22"/>
                <w:lang w:val="sr-Latn-ME"/>
              </w:rPr>
              <w:t xml:space="preserve">Holecistitis i holelitijaza, </w:t>
            </w:r>
          </w:p>
          <w:p w14:paraId="1E4EDA95" w14:textId="77777777" w:rsidR="00886191" w:rsidRPr="003445F5" w:rsidRDefault="00886191" w:rsidP="00704956">
            <w:pPr>
              <w:jc w:val="left"/>
              <w:rPr>
                <w:szCs w:val="22"/>
                <w:lang w:val="sr-Latn-ME"/>
              </w:rPr>
            </w:pPr>
            <w:r w:rsidRPr="003445F5">
              <w:rPr>
                <w:szCs w:val="22"/>
                <w:lang w:val="sr-Latn-ME"/>
              </w:rPr>
              <w:t xml:space="preserve">hepatička steatoza, </w:t>
            </w:r>
          </w:p>
          <w:p w14:paraId="52244751" w14:textId="5586234F" w:rsidR="00886191" w:rsidRPr="003445F5" w:rsidRDefault="00886191" w:rsidP="00704956">
            <w:pPr>
              <w:jc w:val="left"/>
              <w:rPr>
                <w:noProof/>
                <w:szCs w:val="22"/>
                <w:u w:val="single"/>
                <w:lang w:val="sr-Latn-ME"/>
              </w:rPr>
            </w:pPr>
            <w:r w:rsidRPr="003445F5">
              <w:rPr>
                <w:szCs w:val="22"/>
                <w:lang w:val="sr-Latn-ME"/>
              </w:rPr>
              <w:t>povećane vr</w:t>
            </w:r>
            <w:r w:rsidR="009256F1" w:rsidRPr="003445F5">
              <w:rPr>
                <w:szCs w:val="22"/>
                <w:lang w:val="sr-Latn-ME"/>
              </w:rPr>
              <w:t>ij</w:t>
            </w:r>
            <w:r w:rsidRPr="003445F5">
              <w:rPr>
                <w:szCs w:val="22"/>
                <w:lang w:val="sr-Latn-ME"/>
              </w:rPr>
              <w:t>ednosti bilirubina</w:t>
            </w:r>
          </w:p>
        </w:tc>
      </w:tr>
      <w:tr w:rsidR="00886191" w:rsidRPr="003445F5" w14:paraId="0D64590D" w14:textId="77777777" w:rsidTr="00DC1FBA">
        <w:trPr>
          <w:trHeight w:val="20"/>
        </w:trPr>
        <w:tc>
          <w:tcPr>
            <w:tcW w:w="1255" w:type="pct"/>
            <w:vMerge/>
            <w:vAlign w:val="center"/>
          </w:tcPr>
          <w:p w14:paraId="68C7E890" w14:textId="77777777" w:rsidR="00886191" w:rsidRPr="003445F5" w:rsidRDefault="00886191" w:rsidP="00704956">
            <w:pPr>
              <w:jc w:val="left"/>
              <w:rPr>
                <w:noProof/>
                <w:szCs w:val="22"/>
                <w:u w:val="single"/>
                <w:lang w:val="sr-Latn-ME"/>
              </w:rPr>
            </w:pPr>
          </w:p>
        </w:tc>
        <w:tc>
          <w:tcPr>
            <w:tcW w:w="786" w:type="pct"/>
            <w:vAlign w:val="center"/>
          </w:tcPr>
          <w:p w14:paraId="5831C8BC" w14:textId="1E7FDCF6" w:rsidR="00886191" w:rsidRPr="003445F5" w:rsidRDefault="00886191" w:rsidP="00704956">
            <w:pPr>
              <w:jc w:val="left"/>
              <w:rPr>
                <w:noProof/>
                <w:szCs w:val="22"/>
                <w:u w:val="single"/>
                <w:lang w:val="sr-Latn-ME"/>
              </w:rPr>
            </w:pPr>
            <w:r w:rsidRPr="003445F5">
              <w:rPr>
                <w:szCs w:val="22"/>
                <w:lang w:val="sr-Latn-ME"/>
              </w:rPr>
              <w:t>R</w:t>
            </w:r>
            <w:r w:rsidR="009256F1" w:rsidRPr="003445F5">
              <w:rPr>
                <w:szCs w:val="22"/>
                <w:lang w:val="sr-Latn-ME"/>
              </w:rPr>
              <w:t>ij</w:t>
            </w:r>
            <w:r w:rsidRPr="003445F5">
              <w:rPr>
                <w:szCs w:val="22"/>
                <w:lang w:val="sr-Latn-ME"/>
              </w:rPr>
              <w:t>etko</w:t>
            </w:r>
          </w:p>
        </w:tc>
        <w:tc>
          <w:tcPr>
            <w:tcW w:w="2959" w:type="pct"/>
            <w:vAlign w:val="center"/>
          </w:tcPr>
          <w:p w14:paraId="08EEA7C5" w14:textId="77777777" w:rsidR="00886191" w:rsidRPr="003445F5" w:rsidRDefault="00886191" w:rsidP="00704956">
            <w:pPr>
              <w:jc w:val="left"/>
              <w:rPr>
                <w:szCs w:val="22"/>
                <w:lang w:val="sr-Latn-ME"/>
              </w:rPr>
            </w:pPr>
            <w:r w:rsidRPr="003445F5">
              <w:rPr>
                <w:szCs w:val="22"/>
                <w:lang w:val="sr-Latn-ME"/>
              </w:rPr>
              <w:t xml:space="preserve">Hepatitis, </w:t>
            </w:r>
          </w:p>
          <w:p w14:paraId="46A6F161" w14:textId="77777777" w:rsidR="00886191" w:rsidRPr="003445F5" w:rsidRDefault="00886191" w:rsidP="00704956">
            <w:pPr>
              <w:jc w:val="left"/>
              <w:rPr>
                <w:szCs w:val="22"/>
                <w:lang w:val="sr-Latn-ME"/>
              </w:rPr>
            </w:pPr>
            <w:r w:rsidRPr="003445F5">
              <w:rPr>
                <w:szCs w:val="22"/>
                <w:lang w:val="sr-Latn-ME"/>
              </w:rPr>
              <w:t>reaktivacija hepatitisa B</w:t>
            </w:r>
            <w:r w:rsidRPr="003445F5">
              <w:rPr>
                <w:szCs w:val="22"/>
                <w:vertAlign w:val="superscript"/>
                <w:lang w:val="sr-Latn-ME"/>
              </w:rPr>
              <w:t>1)</w:t>
            </w:r>
            <w:r w:rsidRPr="003445F5">
              <w:rPr>
                <w:szCs w:val="22"/>
                <w:lang w:val="sr-Latn-ME"/>
              </w:rPr>
              <w:t xml:space="preserve"> , </w:t>
            </w:r>
          </w:p>
          <w:p w14:paraId="0D86F4A7" w14:textId="77777777" w:rsidR="00886191" w:rsidRPr="003445F5" w:rsidRDefault="00886191" w:rsidP="00704956">
            <w:pPr>
              <w:jc w:val="left"/>
              <w:rPr>
                <w:noProof/>
                <w:szCs w:val="22"/>
                <w:u w:val="single"/>
                <w:lang w:val="sr-Latn-ME"/>
              </w:rPr>
            </w:pPr>
            <w:r w:rsidRPr="003445F5">
              <w:rPr>
                <w:szCs w:val="22"/>
                <w:lang w:val="sr-Latn-ME"/>
              </w:rPr>
              <w:t>autoimunski hepatitis</w:t>
            </w:r>
            <w:r w:rsidRPr="003445F5">
              <w:rPr>
                <w:szCs w:val="22"/>
                <w:vertAlign w:val="superscript"/>
                <w:lang w:val="sr-Latn-ME"/>
              </w:rPr>
              <w:t>1)</w:t>
            </w:r>
          </w:p>
        </w:tc>
      </w:tr>
      <w:tr w:rsidR="00886191" w:rsidRPr="003445F5" w14:paraId="7D8CD8CF" w14:textId="77777777" w:rsidTr="00DC1FBA">
        <w:trPr>
          <w:trHeight w:val="20"/>
        </w:trPr>
        <w:tc>
          <w:tcPr>
            <w:tcW w:w="1255" w:type="pct"/>
            <w:vMerge/>
            <w:vAlign w:val="center"/>
          </w:tcPr>
          <w:p w14:paraId="5DB90BE8" w14:textId="77777777" w:rsidR="00886191" w:rsidRPr="003445F5" w:rsidRDefault="00886191" w:rsidP="00704956">
            <w:pPr>
              <w:jc w:val="left"/>
              <w:rPr>
                <w:noProof/>
                <w:szCs w:val="22"/>
                <w:u w:val="single"/>
                <w:lang w:val="sr-Latn-ME"/>
              </w:rPr>
            </w:pPr>
          </w:p>
        </w:tc>
        <w:tc>
          <w:tcPr>
            <w:tcW w:w="786" w:type="pct"/>
            <w:vAlign w:val="center"/>
          </w:tcPr>
          <w:p w14:paraId="1F0AA85D" w14:textId="77777777" w:rsidR="00886191" w:rsidRPr="003445F5" w:rsidRDefault="00886191" w:rsidP="00704956">
            <w:pPr>
              <w:jc w:val="left"/>
              <w:rPr>
                <w:noProof/>
                <w:szCs w:val="22"/>
                <w:u w:val="single"/>
                <w:lang w:val="sr-Latn-ME"/>
              </w:rPr>
            </w:pPr>
            <w:r w:rsidRPr="003445F5">
              <w:rPr>
                <w:szCs w:val="22"/>
                <w:lang w:val="sr-Latn-ME"/>
              </w:rPr>
              <w:t>Nepoznato</w:t>
            </w:r>
          </w:p>
        </w:tc>
        <w:tc>
          <w:tcPr>
            <w:tcW w:w="2959" w:type="pct"/>
            <w:vAlign w:val="center"/>
          </w:tcPr>
          <w:p w14:paraId="76E9AC88" w14:textId="77777777" w:rsidR="00886191" w:rsidRPr="003445F5" w:rsidRDefault="00886191" w:rsidP="00704956">
            <w:pPr>
              <w:jc w:val="left"/>
              <w:rPr>
                <w:noProof/>
                <w:szCs w:val="22"/>
                <w:u w:val="single"/>
                <w:lang w:val="sr-Latn-ME"/>
              </w:rPr>
            </w:pPr>
            <w:r w:rsidRPr="003445F5">
              <w:rPr>
                <w:szCs w:val="22"/>
                <w:lang w:val="sr-Latn-ME"/>
              </w:rPr>
              <w:t>Insuficijencija jetre</w:t>
            </w:r>
            <w:r w:rsidRPr="003445F5">
              <w:rPr>
                <w:szCs w:val="22"/>
                <w:vertAlign w:val="superscript"/>
                <w:lang w:val="sr-Latn-ME"/>
              </w:rPr>
              <w:t>1)</w:t>
            </w:r>
          </w:p>
        </w:tc>
      </w:tr>
      <w:tr w:rsidR="00886191" w:rsidRPr="003445F5" w14:paraId="385BE189" w14:textId="77777777" w:rsidTr="00DC1FBA">
        <w:trPr>
          <w:trHeight w:val="20"/>
        </w:trPr>
        <w:tc>
          <w:tcPr>
            <w:tcW w:w="1255" w:type="pct"/>
            <w:vMerge w:val="restart"/>
            <w:vAlign w:val="center"/>
          </w:tcPr>
          <w:p w14:paraId="1F6683B3" w14:textId="77777777" w:rsidR="00886191" w:rsidRPr="003445F5" w:rsidRDefault="00886191" w:rsidP="00704956">
            <w:pPr>
              <w:jc w:val="left"/>
              <w:rPr>
                <w:noProof/>
                <w:szCs w:val="22"/>
                <w:u w:val="single"/>
                <w:lang w:val="sr-Latn-ME"/>
              </w:rPr>
            </w:pPr>
            <w:r w:rsidRPr="003445F5">
              <w:rPr>
                <w:szCs w:val="22"/>
                <w:lang w:val="sr-Latn-ME"/>
              </w:rPr>
              <w:t>Poremećaji kože i potkožnog tkiva</w:t>
            </w:r>
          </w:p>
        </w:tc>
        <w:tc>
          <w:tcPr>
            <w:tcW w:w="786" w:type="pct"/>
            <w:vAlign w:val="center"/>
          </w:tcPr>
          <w:p w14:paraId="3AD71F4D" w14:textId="77777777" w:rsidR="00886191" w:rsidRPr="003445F5" w:rsidRDefault="00886191" w:rsidP="00704956">
            <w:pPr>
              <w:jc w:val="left"/>
              <w:rPr>
                <w:noProof/>
                <w:szCs w:val="22"/>
                <w:u w:val="single"/>
                <w:lang w:val="sr-Latn-ME"/>
              </w:rPr>
            </w:pPr>
            <w:r w:rsidRPr="003445F5">
              <w:rPr>
                <w:szCs w:val="22"/>
                <w:lang w:val="sr-Latn-ME"/>
              </w:rPr>
              <w:t>Veoma često</w:t>
            </w:r>
          </w:p>
        </w:tc>
        <w:tc>
          <w:tcPr>
            <w:tcW w:w="2959" w:type="pct"/>
            <w:vAlign w:val="center"/>
          </w:tcPr>
          <w:p w14:paraId="69D8AC6E" w14:textId="77777777" w:rsidR="00886191" w:rsidRPr="003445F5" w:rsidRDefault="00886191" w:rsidP="00704956">
            <w:pPr>
              <w:jc w:val="left"/>
              <w:rPr>
                <w:noProof/>
                <w:szCs w:val="22"/>
                <w:u w:val="single"/>
                <w:lang w:val="sr-Latn-ME"/>
              </w:rPr>
            </w:pPr>
            <w:r w:rsidRPr="003445F5">
              <w:rPr>
                <w:szCs w:val="22"/>
                <w:lang w:val="sr-Latn-ME"/>
              </w:rPr>
              <w:t>Osip (uključujući eksfolijativni osip)</w:t>
            </w:r>
          </w:p>
        </w:tc>
      </w:tr>
      <w:tr w:rsidR="00886191" w:rsidRPr="003445F5" w14:paraId="6904EFDA" w14:textId="77777777" w:rsidTr="00DC1FBA">
        <w:trPr>
          <w:trHeight w:val="20"/>
        </w:trPr>
        <w:tc>
          <w:tcPr>
            <w:tcW w:w="1255" w:type="pct"/>
            <w:vMerge/>
            <w:vAlign w:val="center"/>
          </w:tcPr>
          <w:p w14:paraId="37E81BFD" w14:textId="77777777" w:rsidR="00886191" w:rsidRPr="003445F5" w:rsidRDefault="00886191" w:rsidP="00704956">
            <w:pPr>
              <w:jc w:val="left"/>
              <w:rPr>
                <w:noProof/>
                <w:szCs w:val="22"/>
                <w:u w:val="single"/>
                <w:lang w:val="sr-Latn-ME"/>
              </w:rPr>
            </w:pPr>
          </w:p>
        </w:tc>
        <w:tc>
          <w:tcPr>
            <w:tcW w:w="786" w:type="pct"/>
            <w:vAlign w:val="center"/>
          </w:tcPr>
          <w:p w14:paraId="5E867CDE"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6871472F" w14:textId="77777777" w:rsidR="00886191" w:rsidRPr="003445F5" w:rsidRDefault="00886191" w:rsidP="00704956">
            <w:pPr>
              <w:jc w:val="left"/>
              <w:rPr>
                <w:szCs w:val="22"/>
                <w:lang w:val="sr-Latn-ME"/>
              </w:rPr>
            </w:pPr>
            <w:r w:rsidRPr="003445F5">
              <w:rPr>
                <w:szCs w:val="22"/>
                <w:lang w:val="sr-Latn-ME"/>
              </w:rPr>
              <w:t>Pogoršanje i nova pojava psorijaze (uključujući palmoplantarnu pustularnu psorijazu)</w:t>
            </w:r>
            <w:r w:rsidRPr="003445F5">
              <w:rPr>
                <w:szCs w:val="22"/>
                <w:vertAlign w:val="superscript"/>
                <w:lang w:val="sr-Latn-ME"/>
              </w:rPr>
              <w:t>1)</w:t>
            </w:r>
            <w:r w:rsidRPr="003445F5">
              <w:rPr>
                <w:szCs w:val="22"/>
                <w:lang w:val="sr-Latn-ME"/>
              </w:rPr>
              <w:t xml:space="preserve">, </w:t>
            </w:r>
          </w:p>
          <w:p w14:paraId="5CC4BD8C" w14:textId="77777777" w:rsidR="00886191" w:rsidRPr="003445F5" w:rsidRDefault="00886191" w:rsidP="00704956">
            <w:pPr>
              <w:jc w:val="left"/>
              <w:rPr>
                <w:szCs w:val="22"/>
                <w:lang w:val="sr-Latn-ME"/>
              </w:rPr>
            </w:pPr>
            <w:r w:rsidRPr="003445F5">
              <w:rPr>
                <w:szCs w:val="22"/>
                <w:lang w:val="sr-Latn-ME"/>
              </w:rPr>
              <w:t xml:space="preserve">urtikarija, </w:t>
            </w:r>
          </w:p>
          <w:p w14:paraId="02A89E25" w14:textId="77777777" w:rsidR="00886191" w:rsidRPr="003445F5" w:rsidRDefault="00886191" w:rsidP="00704956">
            <w:pPr>
              <w:jc w:val="left"/>
              <w:rPr>
                <w:szCs w:val="22"/>
                <w:lang w:val="sr-Latn-ME"/>
              </w:rPr>
            </w:pPr>
            <w:r w:rsidRPr="003445F5">
              <w:rPr>
                <w:szCs w:val="22"/>
                <w:lang w:val="sr-Latn-ME"/>
              </w:rPr>
              <w:t xml:space="preserve">povećano stvaranje modrica (uključujući purpuru), </w:t>
            </w:r>
          </w:p>
          <w:p w14:paraId="19C7B5B4" w14:textId="77777777" w:rsidR="00886191" w:rsidRPr="003445F5" w:rsidRDefault="00886191" w:rsidP="00704956">
            <w:pPr>
              <w:jc w:val="left"/>
              <w:rPr>
                <w:szCs w:val="22"/>
                <w:lang w:val="sr-Latn-ME"/>
              </w:rPr>
            </w:pPr>
            <w:r w:rsidRPr="003445F5">
              <w:rPr>
                <w:szCs w:val="22"/>
                <w:lang w:val="sr-Latn-ME"/>
              </w:rPr>
              <w:t xml:space="preserve">dermatitis (uključujući ekcem), </w:t>
            </w:r>
          </w:p>
          <w:p w14:paraId="1D928014" w14:textId="77777777" w:rsidR="00886191" w:rsidRPr="003445F5" w:rsidRDefault="00886191" w:rsidP="00704956">
            <w:pPr>
              <w:jc w:val="left"/>
              <w:rPr>
                <w:szCs w:val="22"/>
                <w:lang w:val="sr-Latn-ME"/>
              </w:rPr>
            </w:pPr>
            <w:r w:rsidRPr="003445F5">
              <w:rPr>
                <w:szCs w:val="22"/>
                <w:lang w:val="sr-Latn-ME"/>
              </w:rPr>
              <w:t xml:space="preserve">onihoklazija, </w:t>
            </w:r>
          </w:p>
          <w:p w14:paraId="184846E6" w14:textId="77777777" w:rsidR="00886191" w:rsidRPr="003445F5" w:rsidRDefault="00886191" w:rsidP="00704956">
            <w:pPr>
              <w:jc w:val="left"/>
              <w:rPr>
                <w:szCs w:val="22"/>
                <w:lang w:val="sr-Latn-ME"/>
              </w:rPr>
            </w:pPr>
            <w:r w:rsidRPr="003445F5">
              <w:rPr>
                <w:szCs w:val="22"/>
                <w:lang w:val="sr-Latn-ME"/>
              </w:rPr>
              <w:t xml:space="preserve">hiperhidroza, </w:t>
            </w:r>
          </w:p>
          <w:p w14:paraId="27D4B1E9" w14:textId="77777777" w:rsidR="00886191" w:rsidRPr="003445F5" w:rsidRDefault="00886191" w:rsidP="00704956">
            <w:pPr>
              <w:jc w:val="left"/>
              <w:rPr>
                <w:szCs w:val="22"/>
                <w:lang w:val="sr-Latn-ME"/>
              </w:rPr>
            </w:pPr>
            <w:r w:rsidRPr="003445F5">
              <w:rPr>
                <w:szCs w:val="22"/>
                <w:lang w:val="sr-Latn-ME"/>
              </w:rPr>
              <w:t>alopecija</w:t>
            </w:r>
            <w:r w:rsidRPr="003445F5">
              <w:rPr>
                <w:szCs w:val="22"/>
                <w:vertAlign w:val="superscript"/>
                <w:lang w:val="sr-Latn-ME"/>
              </w:rPr>
              <w:t>1)</w:t>
            </w:r>
            <w:r w:rsidRPr="003445F5">
              <w:rPr>
                <w:szCs w:val="22"/>
                <w:lang w:val="sr-Latn-ME"/>
              </w:rPr>
              <w:t xml:space="preserve">, </w:t>
            </w:r>
          </w:p>
          <w:p w14:paraId="25B9EEA5" w14:textId="77777777" w:rsidR="00886191" w:rsidRPr="003445F5" w:rsidRDefault="00886191" w:rsidP="00704956">
            <w:pPr>
              <w:jc w:val="left"/>
              <w:rPr>
                <w:noProof/>
                <w:szCs w:val="22"/>
                <w:u w:val="single"/>
                <w:lang w:val="sr-Latn-ME"/>
              </w:rPr>
            </w:pPr>
            <w:r w:rsidRPr="003445F5">
              <w:rPr>
                <w:szCs w:val="22"/>
                <w:lang w:val="sr-Latn-ME"/>
              </w:rPr>
              <w:t>pruritis</w:t>
            </w:r>
          </w:p>
        </w:tc>
      </w:tr>
      <w:tr w:rsidR="00886191" w:rsidRPr="003445F5" w14:paraId="4C34DF6C" w14:textId="77777777" w:rsidTr="00DC1FBA">
        <w:trPr>
          <w:trHeight w:val="20"/>
        </w:trPr>
        <w:tc>
          <w:tcPr>
            <w:tcW w:w="1255" w:type="pct"/>
            <w:vMerge/>
            <w:vAlign w:val="center"/>
          </w:tcPr>
          <w:p w14:paraId="7D727C12" w14:textId="77777777" w:rsidR="00886191" w:rsidRPr="003445F5" w:rsidRDefault="00886191" w:rsidP="00704956">
            <w:pPr>
              <w:jc w:val="left"/>
              <w:rPr>
                <w:noProof/>
                <w:szCs w:val="22"/>
                <w:u w:val="single"/>
                <w:lang w:val="sr-Latn-ME"/>
              </w:rPr>
            </w:pPr>
          </w:p>
        </w:tc>
        <w:tc>
          <w:tcPr>
            <w:tcW w:w="786" w:type="pct"/>
            <w:vAlign w:val="center"/>
          </w:tcPr>
          <w:p w14:paraId="2C0EC4BD"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4D9E466C" w14:textId="77777777" w:rsidR="00886191" w:rsidRPr="003445F5" w:rsidRDefault="00886191" w:rsidP="00704956">
            <w:pPr>
              <w:jc w:val="left"/>
              <w:rPr>
                <w:szCs w:val="22"/>
                <w:lang w:val="sr-Latn-ME"/>
              </w:rPr>
            </w:pPr>
            <w:r w:rsidRPr="003445F5">
              <w:rPr>
                <w:szCs w:val="22"/>
                <w:lang w:val="sr-Latn-ME"/>
              </w:rPr>
              <w:t xml:space="preserve">Noćno znojenje, </w:t>
            </w:r>
          </w:p>
          <w:p w14:paraId="4C008D2D" w14:textId="77777777" w:rsidR="00886191" w:rsidRPr="003445F5" w:rsidRDefault="00886191" w:rsidP="00704956">
            <w:pPr>
              <w:jc w:val="left"/>
              <w:rPr>
                <w:noProof/>
                <w:szCs w:val="22"/>
                <w:u w:val="single"/>
                <w:lang w:val="sr-Latn-ME"/>
              </w:rPr>
            </w:pPr>
            <w:r w:rsidRPr="003445F5">
              <w:rPr>
                <w:szCs w:val="22"/>
                <w:lang w:val="sr-Latn-ME"/>
              </w:rPr>
              <w:t>ožiljci</w:t>
            </w:r>
          </w:p>
        </w:tc>
      </w:tr>
      <w:tr w:rsidR="00886191" w:rsidRPr="003445F5" w14:paraId="0A656134" w14:textId="77777777" w:rsidTr="00DC1FBA">
        <w:trPr>
          <w:trHeight w:val="20"/>
        </w:trPr>
        <w:tc>
          <w:tcPr>
            <w:tcW w:w="1255" w:type="pct"/>
            <w:vMerge/>
            <w:vAlign w:val="center"/>
          </w:tcPr>
          <w:p w14:paraId="236C178A" w14:textId="77777777" w:rsidR="00886191" w:rsidRPr="003445F5" w:rsidRDefault="00886191" w:rsidP="00704956">
            <w:pPr>
              <w:jc w:val="left"/>
              <w:rPr>
                <w:noProof/>
                <w:szCs w:val="22"/>
                <w:u w:val="single"/>
                <w:lang w:val="sr-Latn-ME"/>
              </w:rPr>
            </w:pPr>
          </w:p>
        </w:tc>
        <w:tc>
          <w:tcPr>
            <w:tcW w:w="786" w:type="pct"/>
            <w:vAlign w:val="center"/>
          </w:tcPr>
          <w:p w14:paraId="04CFD2CB" w14:textId="6A7892BF" w:rsidR="00886191" w:rsidRPr="003445F5" w:rsidRDefault="00886191" w:rsidP="00704956">
            <w:pPr>
              <w:jc w:val="left"/>
              <w:rPr>
                <w:noProof/>
                <w:szCs w:val="22"/>
                <w:u w:val="single"/>
                <w:lang w:val="sr-Latn-ME"/>
              </w:rPr>
            </w:pPr>
            <w:r w:rsidRPr="003445F5">
              <w:rPr>
                <w:szCs w:val="22"/>
                <w:lang w:val="sr-Latn-ME"/>
              </w:rPr>
              <w:t>R</w:t>
            </w:r>
            <w:r w:rsidR="009256F1" w:rsidRPr="003445F5">
              <w:rPr>
                <w:szCs w:val="22"/>
                <w:lang w:val="sr-Latn-ME"/>
              </w:rPr>
              <w:t>ij</w:t>
            </w:r>
            <w:r w:rsidRPr="003445F5">
              <w:rPr>
                <w:szCs w:val="22"/>
                <w:lang w:val="sr-Latn-ME"/>
              </w:rPr>
              <w:t>etko</w:t>
            </w:r>
          </w:p>
        </w:tc>
        <w:tc>
          <w:tcPr>
            <w:tcW w:w="2959" w:type="pct"/>
            <w:vAlign w:val="center"/>
          </w:tcPr>
          <w:p w14:paraId="33D65810" w14:textId="77777777" w:rsidR="00886191" w:rsidRPr="003445F5" w:rsidRDefault="00886191" w:rsidP="00704956">
            <w:pPr>
              <w:jc w:val="left"/>
              <w:rPr>
                <w:szCs w:val="22"/>
                <w:lang w:val="sr-Latn-ME"/>
              </w:rPr>
            </w:pPr>
            <w:r w:rsidRPr="003445F5">
              <w:rPr>
                <w:szCs w:val="22"/>
                <w:lang w:val="sr-Latn-ME"/>
              </w:rPr>
              <w:t>Multiformni eritem</w:t>
            </w:r>
            <w:r w:rsidRPr="003445F5">
              <w:rPr>
                <w:szCs w:val="22"/>
                <w:vertAlign w:val="superscript"/>
                <w:lang w:val="sr-Latn-ME"/>
              </w:rPr>
              <w:t>1)</w:t>
            </w:r>
            <w:r w:rsidRPr="003445F5">
              <w:rPr>
                <w:szCs w:val="22"/>
                <w:lang w:val="sr-Latn-ME"/>
              </w:rPr>
              <w:t xml:space="preserve">, </w:t>
            </w:r>
          </w:p>
          <w:p w14:paraId="40FD3EFF" w14:textId="77777777" w:rsidR="00886191" w:rsidRPr="003445F5" w:rsidRDefault="00886191" w:rsidP="00704956">
            <w:pPr>
              <w:jc w:val="left"/>
              <w:rPr>
                <w:szCs w:val="22"/>
                <w:lang w:val="sr-Latn-ME"/>
              </w:rPr>
            </w:pPr>
            <w:r w:rsidRPr="003445F5">
              <w:rPr>
                <w:i/>
                <w:iCs/>
                <w:szCs w:val="22"/>
                <w:lang w:val="sr-Latn-ME"/>
              </w:rPr>
              <w:t>Stevens-Johnson</w:t>
            </w:r>
            <w:r w:rsidRPr="003445F5">
              <w:rPr>
                <w:szCs w:val="22"/>
                <w:lang w:val="sr-Latn-ME"/>
              </w:rPr>
              <w:t>-ov sindrom</w:t>
            </w:r>
            <w:r w:rsidRPr="003445F5">
              <w:rPr>
                <w:szCs w:val="22"/>
                <w:vertAlign w:val="superscript"/>
                <w:lang w:val="sr-Latn-ME"/>
              </w:rPr>
              <w:t>1)</w:t>
            </w:r>
            <w:r w:rsidRPr="003445F5">
              <w:rPr>
                <w:szCs w:val="22"/>
                <w:lang w:val="sr-Latn-ME"/>
              </w:rPr>
              <w:t>,</w:t>
            </w:r>
          </w:p>
          <w:p w14:paraId="4E6686AA" w14:textId="77777777" w:rsidR="00886191" w:rsidRPr="003445F5" w:rsidRDefault="00886191" w:rsidP="00704956">
            <w:pPr>
              <w:jc w:val="left"/>
              <w:rPr>
                <w:szCs w:val="22"/>
                <w:lang w:val="sr-Latn-ME"/>
              </w:rPr>
            </w:pPr>
            <w:r w:rsidRPr="003445F5">
              <w:rPr>
                <w:szCs w:val="22"/>
                <w:lang w:val="sr-Latn-ME"/>
              </w:rPr>
              <w:t>angioedem</w:t>
            </w:r>
            <w:r w:rsidRPr="003445F5">
              <w:rPr>
                <w:szCs w:val="22"/>
                <w:vertAlign w:val="superscript"/>
                <w:lang w:val="sr-Latn-ME"/>
              </w:rPr>
              <w:t>1)</w:t>
            </w:r>
            <w:r w:rsidRPr="003445F5">
              <w:rPr>
                <w:szCs w:val="22"/>
                <w:lang w:val="sr-Latn-ME"/>
              </w:rPr>
              <w:t xml:space="preserve">, </w:t>
            </w:r>
          </w:p>
          <w:p w14:paraId="4E491348" w14:textId="77777777" w:rsidR="00886191" w:rsidRPr="003445F5" w:rsidRDefault="00886191" w:rsidP="00704956">
            <w:pPr>
              <w:jc w:val="left"/>
              <w:rPr>
                <w:szCs w:val="22"/>
                <w:lang w:val="sr-Latn-ME"/>
              </w:rPr>
            </w:pPr>
            <w:r w:rsidRPr="003445F5">
              <w:rPr>
                <w:szCs w:val="22"/>
                <w:lang w:val="sr-Latn-ME"/>
              </w:rPr>
              <w:t>kožni vaskulitis</w:t>
            </w:r>
            <w:r w:rsidRPr="003445F5">
              <w:rPr>
                <w:szCs w:val="22"/>
                <w:vertAlign w:val="superscript"/>
                <w:lang w:val="sr-Latn-ME"/>
              </w:rPr>
              <w:t>1)</w:t>
            </w:r>
            <w:r w:rsidRPr="003445F5">
              <w:rPr>
                <w:szCs w:val="22"/>
                <w:lang w:val="sr-Latn-ME"/>
              </w:rPr>
              <w:t xml:space="preserve"> </w:t>
            </w:r>
          </w:p>
          <w:p w14:paraId="64757DBB" w14:textId="77777777" w:rsidR="00886191" w:rsidRPr="003445F5" w:rsidRDefault="00886191" w:rsidP="00704956">
            <w:pPr>
              <w:jc w:val="left"/>
              <w:rPr>
                <w:noProof/>
                <w:szCs w:val="22"/>
                <w:u w:val="single"/>
                <w:lang w:val="sr-Latn-ME"/>
              </w:rPr>
            </w:pPr>
            <w:r w:rsidRPr="003445F5">
              <w:rPr>
                <w:szCs w:val="22"/>
                <w:lang w:val="sr-Latn-ME"/>
              </w:rPr>
              <w:t>lihenoidna kožna reakcija</w:t>
            </w:r>
            <w:r w:rsidRPr="003445F5">
              <w:rPr>
                <w:szCs w:val="22"/>
                <w:vertAlign w:val="superscript"/>
                <w:lang w:val="sr-Latn-ME"/>
              </w:rPr>
              <w:t>1)</w:t>
            </w:r>
          </w:p>
        </w:tc>
      </w:tr>
      <w:tr w:rsidR="00886191" w:rsidRPr="003445F5" w14:paraId="59E18482" w14:textId="77777777" w:rsidTr="00DC1FBA">
        <w:trPr>
          <w:trHeight w:val="20"/>
        </w:trPr>
        <w:tc>
          <w:tcPr>
            <w:tcW w:w="1255" w:type="pct"/>
            <w:vMerge/>
            <w:vAlign w:val="center"/>
          </w:tcPr>
          <w:p w14:paraId="6E4EBB70" w14:textId="77777777" w:rsidR="00886191" w:rsidRPr="003445F5" w:rsidRDefault="00886191" w:rsidP="00704956">
            <w:pPr>
              <w:jc w:val="left"/>
              <w:rPr>
                <w:noProof/>
                <w:szCs w:val="22"/>
                <w:u w:val="single"/>
                <w:lang w:val="sr-Latn-ME"/>
              </w:rPr>
            </w:pPr>
          </w:p>
        </w:tc>
        <w:tc>
          <w:tcPr>
            <w:tcW w:w="786" w:type="pct"/>
            <w:vAlign w:val="center"/>
          </w:tcPr>
          <w:p w14:paraId="5D79B6B1" w14:textId="77777777" w:rsidR="00886191" w:rsidRPr="003445F5" w:rsidRDefault="00886191" w:rsidP="00704956">
            <w:pPr>
              <w:jc w:val="left"/>
              <w:rPr>
                <w:noProof/>
                <w:szCs w:val="22"/>
                <w:u w:val="single"/>
                <w:lang w:val="sr-Latn-ME"/>
              </w:rPr>
            </w:pPr>
            <w:r w:rsidRPr="003445F5">
              <w:rPr>
                <w:szCs w:val="22"/>
                <w:lang w:val="sr-Latn-ME"/>
              </w:rPr>
              <w:t>Nepoznato</w:t>
            </w:r>
          </w:p>
        </w:tc>
        <w:tc>
          <w:tcPr>
            <w:tcW w:w="2959" w:type="pct"/>
            <w:vAlign w:val="center"/>
          </w:tcPr>
          <w:p w14:paraId="216279A5" w14:textId="77777777" w:rsidR="00886191" w:rsidRPr="003445F5" w:rsidRDefault="00886191" w:rsidP="00704956">
            <w:pPr>
              <w:jc w:val="left"/>
              <w:rPr>
                <w:noProof/>
                <w:szCs w:val="22"/>
                <w:u w:val="single"/>
                <w:lang w:val="sr-Latn-ME"/>
              </w:rPr>
            </w:pPr>
            <w:r w:rsidRPr="003445F5">
              <w:rPr>
                <w:szCs w:val="22"/>
                <w:lang w:val="sr-Latn-ME"/>
              </w:rPr>
              <w:t>Pogoršanje simptoma dermatomiozitisa¹</w:t>
            </w:r>
            <w:r w:rsidRPr="003445F5">
              <w:rPr>
                <w:szCs w:val="22"/>
                <w:vertAlign w:val="superscript"/>
                <w:lang w:val="sr-Latn-ME"/>
              </w:rPr>
              <w:t>)</w:t>
            </w:r>
          </w:p>
        </w:tc>
      </w:tr>
      <w:tr w:rsidR="00886191" w:rsidRPr="003445F5" w14:paraId="02AD7DF3" w14:textId="77777777" w:rsidTr="00DC1FBA">
        <w:trPr>
          <w:trHeight w:val="20"/>
        </w:trPr>
        <w:tc>
          <w:tcPr>
            <w:tcW w:w="1255" w:type="pct"/>
            <w:vMerge w:val="restart"/>
            <w:vAlign w:val="center"/>
          </w:tcPr>
          <w:p w14:paraId="3BA559B3" w14:textId="77777777" w:rsidR="00886191" w:rsidRPr="003445F5" w:rsidRDefault="00886191" w:rsidP="00704956">
            <w:pPr>
              <w:jc w:val="left"/>
              <w:rPr>
                <w:noProof/>
                <w:szCs w:val="22"/>
                <w:u w:val="single"/>
                <w:lang w:val="sr-Latn-ME"/>
              </w:rPr>
            </w:pPr>
            <w:r w:rsidRPr="003445F5">
              <w:rPr>
                <w:szCs w:val="22"/>
                <w:lang w:val="sr-Latn-ME"/>
              </w:rPr>
              <w:lastRenderedPageBreak/>
              <w:t>Poremećaji mišićno-koštanog sistema i vezivnog tkiva</w:t>
            </w:r>
          </w:p>
        </w:tc>
        <w:tc>
          <w:tcPr>
            <w:tcW w:w="786" w:type="pct"/>
            <w:vAlign w:val="center"/>
          </w:tcPr>
          <w:p w14:paraId="516F0623" w14:textId="77777777" w:rsidR="00886191" w:rsidRPr="003445F5" w:rsidRDefault="00886191" w:rsidP="00704956">
            <w:pPr>
              <w:jc w:val="left"/>
              <w:rPr>
                <w:noProof/>
                <w:szCs w:val="22"/>
                <w:u w:val="single"/>
                <w:lang w:val="sr-Latn-ME"/>
              </w:rPr>
            </w:pPr>
            <w:r w:rsidRPr="003445F5">
              <w:rPr>
                <w:szCs w:val="22"/>
                <w:lang w:val="sr-Latn-ME"/>
              </w:rPr>
              <w:t>Veoma često</w:t>
            </w:r>
          </w:p>
        </w:tc>
        <w:tc>
          <w:tcPr>
            <w:tcW w:w="2959" w:type="pct"/>
            <w:vAlign w:val="center"/>
          </w:tcPr>
          <w:p w14:paraId="2B4B4BF3" w14:textId="77777777" w:rsidR="00886191" w:rsidRPr="003445F5" w:rsidRDefault="00886191" w:rsidP="00704956">
            <w:pPr>
              <w:jc w:val="left"/>
              <w:rPr>
                <w:noProof/>
                <w:szCs w:val="22"/>
                <w:u w:val="single"/>
                <w:lang w:val="sr-Latn-ME"/>
              </w:rPr>
            </w:pPr>
            <w:r w:rsidRPr="003445F5">
              <w:rPr>
                <w:szCs w:val="22"/>
                <w:lang w:val="sr-Latn-ME"/>
              </w:rPr>
              <w:t>Mišićno-skeletni bol</w:t>
            </w:r>
          </w:p>
        </w:tc>
      </w:tr>
      <w:tr w:rsidR="00886191" w:rsidRPr="003445F5" w14:paraId="1C95D807" w14:textId="77777777" w:rsidTr="00DC1FBA">
        <w:trPr>
          <w:trHeight w:val="20"/>
        </w:trPr>
        <w:tc>
          <w:tcPr>
            <w:tcW w:w="1255" w:type="pct"/>
            <w:vMerge/>
            <w:vAlign w:val="center"/>
          </w:tcPr>
          <w:p w14:paraId="54C5907E" w14:textId="77777777" w:rsidR="00886191" w:rsidRPr="003445F5" w:rsidRDefault="00886191" w:rsidP="00704956">
            <w:pPr>
              <w:jc w:val="left"/>
              <w:rPr>
                <w:noProof/>
                <w:szCs w:val="22"/>
                <w:u w:val="single"/>
                <w:lang w:val="sr-Latn-ME"/>
              </w:rPr>
            </w:pPr>
          </w:p>
        </w:tc>
        <w:tc>
          <w:tcPr>
            <w:tcW w:w="786" w:type="pct"/>
            <w:vAlign w:val="center"/>
          </w:tcPr>
          <w:p w14:paraId="3A451AFA"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0828B434" w14:textId="77777777" w:rsidR="00886191" w:rsidRPr="003445F5" w:rsidRDefault="00886191" w:rsidP="00704956">
            <w:pPr>
              <w:jc w:val="left"/>
              <w:rPr>
                <w:noProof/>
                <w:szCs w:val="22"/>
                <w:u w:val="single"/>
                <w:lang w:val="sr-Latn-ME"/>
              </w:rPr>
            </w:pPr>
            <w:r w:rsidRPr="003445F5">
              <w:rPr>
                <w:szCs w:val="22"/>
                <w:lang w:val="sr-Latn-ME"/>
              </w:rPr>
              <w:t>Spazmi mišića (uključujući povećanje koncentracije kreatin fosfokinaze u krvi)</w:t>
            </w:r>
          </w:p>
        </w:tc>
      </w:tr>
      <w:tr w:rsidR="00886191" w:rsidRPr="003445F5" w14:paraId="191F7CF1" w14:textId="77777777" w:rsidTr="00DC1FBA">
        <w:trPr>
          <w:trHeight w:val="20"/>
        </w:trPr>
        <w:tc>
          <w:tcPr>
            <w:tcW w:w="1255" w:type="pct"/>
            <w:vMerge/>
            <w:vAlign w:val="center"/>
          </w:tcPr>
          <w:p w14:paraId="3B8D53AB" w14:textId="77777777" w:rsidR="00886191" w:rsidRPr="003445F5" w:rsidRDefault="00886191" w:rsidP="00704956">
            <w:pPr>
              <w:jc w:val="left"/>
              <w:rPr>
                <w:noProof/>
                <w:szCs w:val="22"/>
                <w:u w:val="single"/>
                <w:lang w:val="sr-Latn-ME"/>
              </w:rPr>
            </w:pPr>
          </w:p>
        </w:tc>
        <w:tc>
          <w:tcPr>
            <w:tcW w:w="786" w:type="pct"/>
            <w:vAlign w:val="center"/>
          </w:tcPr>
          <w:p w14:paraId="37CF99C5"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324ADB75" w14:textId="77777777" w:rsidR="00886191" w:rsidRPr="003445F5" w:rsidRDefault="00886191" w:rsidP="00704956">
            <w:pPr>
              <w:jc w:val="left"/>
              <w:rPr>
                <w:szCs w:val="22"/>
                <w:lang w:val="sr-Latn-ME"/>
              </w:rPr>
            </w:pPr>
            <w:r w:rsidRPr="003445F5">
              <w:rPr>
                <w:szCs w:val="22"/>
                <w:lang w:val="sr-Latn-ME"/>
              </w:rPr>
              <w:t xml:space="preserve">Rabdomioliza, </w:t>
            </w:r>
          </w:p>
          <w:p w14:paraId="7CD1D684" w14:textId="77777777" w:rsidR="00886191" w:rsidRPr="003445F5" w:rsidRDefault="00886191" w:rsidP="00704956">
            <w:pPr>
              <w:jc w:val="left"/>
              <w:rPr>
                <w:noProof/>
                <w:szCs w:val="22"/>
                <w:u w:val="single"/>
                <w:lang w:val="sr-Latn-ME"/>
              </w:rPr>
            </w:pPr>
            <w:r w:rsidRPr="003445F5">
              <w:rPr>
                <w:szCs w:val="22"/>
                <w:lang w:val="sr-Latn-ME"/>
              </w:rPr>
              <w:t>Sistemski eritemski lupus</w:t>
            </w:r>
          </w:p>
        </w:tc>
      </w:tr>
      <w:tr w:rsidR="00886191" w:rsidRPr="003445F5" w14:paraId="3BC372F8" w14:textId="77777777" w:rsidTr="00DC1FBA">
        <w:trPr>
          <w:trHeight w:val="20"/>
        </w:trPr>
        <w:tc>
          <w:tcPr>
            <w:tcW w:w="1255" w:type="pct"/>
            <w:vMerge/>
            <w:vAlign w:val="center"/>
          </w:tcPr>
          <w:p w14:paraId="6808EE1C" w14:textId="77777777" w:rsidR="00886191" w:rsidRPr="003445F5" w:rsidRDefault="00886191" w:rsidP="00704956">
            <w:pPr>
              <w:jc w:val="left"/>
              <w:rPr>
                <w:noProof/>
                <w:szCs w:val="22"/>
                <w:u w:val="single"/>
                <w:lang w:val="sr-Latn-ME"/>
              </w:rPr>
            </w:pPr>
          </w:p>
        </w:tc>
        <w:tc>
          <w:tcPr>
            <w:tcW w:w="786" w:type="pct"/>
            <w:vAlign w:val="center"/>
          </w:tcPr>
          <w:p w14:paraId="39A389BB" w14:textId="065C637D" w:rsidR="00886191" w:rsidRPr="003445F5" w:rsidRDefault="00886191" w:rsidP="00704956">
            <w:pPr>
              <w:jc w:val="left"/>
              <w:rPr>
                <w:noProof/>
                <w:szCs w:val="22"/>
                <w:u w:val="single"/>
                <w:lang w:val="sr-Latn-ME"/>
              </w:rPr>
            </w:pPr>
            <w:r w:rsidRPr="003445F5">
              <w:rPr>
                <w:szCs w:val="22"/>
                <w:lang w:val="sr-Latn-ME"/>
              </w:rPr>
              <w:t>R</w:t>
            </w:r>
            <w:r w:rsidR="009256F1" w:rsidRPr="003445F5">
              <w:rPr>
                <w:szCs w:val="22"/>
                <w:lang w:val="sr-Latn-ME"/>
              </w:rPr>
              <w:t>ij</w:t>
            </w:r>
            <w:r w:rsidRPr="003445F5">
              <w:rPr>
                <w:szCs w:val="22"/>
                <w:lang w:val="sr-Latn-ME"/>
              </w:rPr>
              <w:t>etko</w:t>
            </w:r>
          </w:p>
        </w:tc>
        <w:tc>
          <w:tcPr>
            <w:tcW w:w="2959" w:type="pct"/>
            <w:vAlign w:val="center"/>
          </w:tcPr>
          <w:p w14:paraId="51E79171" w14:textId="77777777" w:rsidR="00886191" w:rsidRPr="003445F5" w:rsidRDefault="00886191" w:rsidP="00704956">
            <w:pPr>
              <w:jc w:val="left"/>
              <w:rPr>
                <w:noProof/>
                <w:szCs w:val="22"/>
                <w:u w:val="single"/>
                <w:lang w:val="sr-Latn-ME"/>
              </w:rPr>
            </w:pPr>
            <w:r w:rsidRPr="003445F5">
              <w:rPr>
                <w:szCs w:val="22"/>
                <w:lang w:val="sr-Latn-ME"/>
              </w:rPr>
              <w:t>Sindrom sličan lupusu</w:t>
            </w:r>
            <w:r w:rsidRPr="003445F5">
              <w:rPr>
                <w:szCs w:val="22"/>
                <w:vertAlign w:val="superscript"/>
                <w:lang w:val="sr-Latn-ME"/>
              </w:rPr>
              <w:t>1)</w:t>
            </w:r>
          </w:p>
        </w:tc>
      </w:tr>
      <w:tr w:rsidR="00886191" w:rsidRPr="003445F5" w14:paraId="394757BB" w14:textId="77777777" w:rsidTr="00DC1FBA">
        <w:trPr>
          <w:trHeight w:val="20"/>
        </w:trPr>
        <w:tc>
          <w:tcPr>
            <w:tcW w:w="1255" w:type="pct"/>
            <w:vMerge w:val="restart"/>
            <w:vAlign w:val="center"/>
          </w:tcPr>
          <w:p w14:paraId="541E628B" w14:textId="77777777" w:rsidR="00886191" w:rsidRPr="003445F5" w:rsidRDefault="00886191" w:rsidP="00704956">
            <w:pPr>
              <w:jc w:val="left"/>
              <w:rPr>
                <w:noProof/>
                <w:szCs w:val="22"/>
                <w:u w:val="single"/>
                <w:lang w:val="sr-Latn-ME"/>
              </w:rPr>
            </w:pPr>
            <w:r w:rsidRPr="003445F5">
              <w:rPr>
                <w:szCs w:val="22"/>
                <w:lang w:val="sr-Latn-ME"/>
              </w:rPr>
              <w:t>Poremećaji bubrega i urinarnog sistema</w:t>
            </w:r>
          </w:p>
        </w:tc>
        <w:tc>
          <w:tcPr>
            <w:tcW w:w="786" w:type="pct"/>
            <w:vAlign w:val="center"/>
          </w:tcPr>
          <w:p w14:paraId="2CB74F28" w14:textId="77777777" w:rsidR="00886191" w:rsidRPr="003445F5" w:rsidRDefault="00886191" w:rsidP="00704956">
            <w:pPr>
              <w:jc w:val="left"/>
              <w:rPr>
                <w:noProof/>
                <w:szCs w:val="22"/>
                <w:u w:val="single"/>
                <w:lang w:val="sr-Latn-ME"/>
              </w:rPr>
            </w:pPr>
            <w:r w:rsidRPr="003445F5">
              <w:rPr>
                <w:szCs w:val="22"/>
                <w:lang w:val="sr-Latn-ME"/>
              </w:rPr>
              <w:t>Često</w:t>
            </w:r>
          </w:p>
        </w:tc>
        <w:tc>
          <w:tcPr>
            <w:tcW w:w="2959" w:type="pct"/>
            <w:vAlign w:val="center"/>
          </w:tcPr>
          <w:p w14:paraId="0F647126" w14:textId="77777777" w:rsidR="00886191" w:rsidRPr="003445F5" w:rsidRDefault="00886191" w:rsidP="00704956">
            <w:pPr>
              <w:jc w:val="left"/>
              <w:rPr>
                <w:szCs w:val="22"/>
                <w:lang w:val="sr-Latn-ME"/>
              </w:rPr>
            </w:pPr>
            <w:r w:rsidRPr="003445F5">
              <w:rPr>
                <w:szCs w:val="22"/>
                <w:lang w:val="sr-Latn-ME"/>
              </w:rPr>
              <w:t xml:space="preserve">Oslabljena funkcija bubrega, </w:t>
            </w:r>
          </w:p>
          <w:p w14:paraId="1B557A73" w14:textId="77777777" w:rsidR="00886191" w:rsidRPr="003445F5" w:rsidRDefault="00886191" w:rsidP="00704956">
            <w:pPr>
              <w:jc w:val="left"/>
              <w:rPr>
                <w:noProof/>
                <w:szCs w:val="22"/>
                <w:u w:val="single"/>
                <w:lang w:val="sr-Latn-ME"/>
              </w:rPr>
            </w:pPr>
            <w:r w:rsidRPr="003445F5">
              <w:rPr>
                <w:szCs w:val="22"/>
                <w:lang w:val="sr-Latn-ME"/>
              </w:rPr>
              <w:t>hematurija</w:t>
            </w:r>
          </w:p>
        </w:tc>
      </w:tr>
      <w:tr w:rsidR="00886191" w:rsidRPr="003445F5" w14:paraId="33DE29F7" w14:textId="77777777" w:rsidTr="00DC1FBA">
        <w:trPr>
          <w:trHeight w:val="20"/>
        </w:trPr>
        <w:tc>
          <w:tcPr>
            <w:tcW w:w="1255" w:type="pct"/>
            <w:vMerge/>
            <w:vAlign w:val="center"/>
          </w:tcPr>
          <w:p w14:paraId="00FD857E" w14:textId="77777777" w:rsidR="00886191" w:rsidRPr="003445F5" w:rsidRDefault="00886191" w:rsidP="00704956">
            <w:pPr>
              <w:jc w:val="left"/>
              <w:rPr>
                <w:noProof/>
                <w:szCs w:val="22"/>
                <w:u w:val="single"/>
                <w:lang w:val="sr-Latn-ME"/>
              </w:rPr>
            </w:pPr>
          </w:p>
        </w:tc>
        <w:tc>
          <w:tcPr>
            <w:tcW w:w="786" w:type="pct"/>
            <w:vAlign w:val="center"/>
          </w:tcPr>
          <w:p w14:paraId="18F6DD1C"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518D46B3" w14:textId="77777777" w:rsidR="00886191" w:rsidRPr="003445F5" w:rsidRDefault="00886191" w:rsidP="00704956">
            <w:pPr>
              <w:jc w:val="left"/>
              <w:rPr>
                <w:noProof/>
                <w:szCs w:val="22"/>
                <w:u w:val="single"/>
                <w:lang w:val="sr-Latn-ME"/>
              </w:rPr>
            </w:pPr>
            <w:r w:rsidRPr="003445F5">
              <w:rPr>
                <w:szCs w:val="22"/>
                <w:lang w:val="sr-Latn-ME"/>
              </w:rPr>
              <w:t>Nokturija</w:t>
            </w:r>
          </w:p>
        </w:tc>
      </w:tr>
      <w:tr w:rsidR="00886191" w:rsidRPr="003445F5" w14:paraId="697A1CC3" w14:textId="77777777" w:rsidTr="00DC1FBA">
        <w:trPr>
          <w:trHeight w:val="20"/>
        </w:trPr>
        <w:tc>
          <w:tcPr>
            <w:tcW w:w="1255" w:type="pct"/>
            <w:vAlign w:val="center"/>
          </w:tcPr>
          <w:p w14:paraId="6CFCBE4C" w14:textId="77777777" w:rsidR="00886191" w:rsidRPr="003445F5" w:rsidRDefault="00886191" w:rsidP="00704956">
            <w:pPr>
              <w:jc w:val="left"/>
              <w:rPr>
                <w:noProof/>
                <w:szCs w:val="22"/>
                <w:u w:val="single"/>
                <w:lang w:val="sr-Latn-ME"/>
              </w:rPr>
            </w:pPr>
            <w:r w:rsidRPr="003445F5">
              <w:rPr>
                <w:szCs w:val="22"/>
                <w:lang w:val="sr-Latn-ME"/>
              </w:rPr>
              <w:t>Poremećaji reproduktivnog sistema i dojki</w:t>
            </w:r>
          </w:p>
        </w:tc>
        <w:tc>
          <w:tcPr>
            <w:tcW w:w="786" w:type="pct"/>
            <w:vAlign w:val="center"/>
          </w:tcPr>
          <w:p w14:paraId="371D5415" w14:textId="77777777" w:rsidR="00886191" w:rsidRPr="003445F5" w:rsidRDefault="00886191" w:rsidP="00704956">
            <w:pPr>
              <w:jc w:val="left"/>
              <w:rPr>
                <w:noProof/>
                <w:szCs w:val="22"/>
                <w:u w:val="single"/>
                <w:lang w:val="sr-Latn-ME"/>
              </w:rPr>
            </w:pPr>
            <w:r w:rsidRPr="003445F5">
              <w:rPr>
                <w:szCs w:val="22"/>
                <w:lang w:val="sr-Latn-ME"/>
              </w:rPr>
              <w:t>Povremeno</w:t>
            </w:r>
          </w:p>
        </w:tc>
        <w:tc>
          <w:tcPr>
            <w:tcW w:w="2959" w:type="pct"/>
            <w:vAlign w:val="center"/>
          </w:tcPr>
          <w:p w14:paraId="7B2F87CF" w14:textId="77777777" w:rsidR="00886191" w:rsidRPr="003445F5" w:rsidRDefault="00886191" w:rsidP="00704956">
            <w:pPr>
              <w:jc w:val="left"/>
              <w:rPr>
                <w:noProof/>
                <w:szCs w:val="22"/>
                <w:u w:val="single"/>
                <w:lang w:val="sr-Latn-ME"/>
              </w:rPr>
            </w:pPr>
            <w:r w:rsidRPr="003445F5">
              <w:rPr>
                <w:szCs w:val="22"/>
                <w:lang w:val="sr-Latn-ME"/>
              </w:rPr>
              <w:t>Erektilna disfunkcija</w:t>
            </w:r>
          </w:p>
        </w:tc>
      </w:tr>
      <w:tr w:rsidR="001E10E9" w:rsidRPr="003445F5" w14:paraId="079FF3AD" w14:textId="77777777" w:rsidTr="00DC1FBA">
        <w:trPr>
          <w:trHeight w:val="20"/>
        </w:trPr>
        <w:tc>
          <w:tcPr>
            <w:tcW w:w="1255" w:type="pct"/>
            <w:vMerge w:val="restart"/>
            <w:vAlign w:val="center"/>
          </w:tcPr>
          <w:p w14:paraId="0CAE5BC1" w14:textId="6FBB64EB" w:rsidR="001E10E9" w:rsidRPr="003445F5" w:rsidRDefault="001E10E9" w:rsidP="001E10E9">
            <w:pPr>
              <w:jc w:val="left"/>
              <w:rPr>
                <w:noProof/>
                <w:szCs w:val="22"/>
                <w:u w:val="single"/>
                <w:lang w:val="sr-Latn-ME"/>
              </w:rPr>
            </w:pPr>
            <w:r w:rsidRPr="003445F5">
              <w:rPr>
                <w:szCs w:val="22"/>
                <w:lang w:val="sr-Latn-ME"/>
              </w:rPr>
              <w:t>Opšti poremećaji i reakcije na mjestu primjene*</w:t>
            </w:r>
          </w:p>
        </w:tc>
        <w:tc>
          <w:tcPr>
            <w:tcW w:w="786" w:type="pct"/>
            <w:vAlign w:val="center"/>
          </w:tcPr>
          <w:p w14:paraId="1802B8B5" w14:textId="4F4B403D" w:rsidR="001E10E9" w:rsidRPr="003445F5" w:rsidRDefault="001E10E9" w:rsidP="001E10E9">
            <w:pPr>
              <w:jc w:val="left"/>
              <w:rPr>
                <w:noProof/>
                <w:szCs w:val="22"/>
                <w:u w:val="single"/>
                <w:lang w:val="sr-Latn-ME"/>
              </w:rPr>
            </w:pPr>
            <w:r w:rsidRPr="003445F5">
              <w:rPr>
                <w:szCs w:val="22"/>
                <w:lang w:val="sr-Latn-ME"/>
              </w:rPr>
              <w:t>Veoma često</w:t>
            </w:r>
          </w:p>
        </w:tc>
        <w:tc>
          <w:tcPr>
            <w:tcW w:w="2959" w:type="pct"/>
            <w:vAlign w:val="center"/>
          </w:tcPr>
          <w:p w14:paraId="3B74B712" w14:textId="48C82F82" w:rsidR="001E10E9" w:rsidRPr="003445F5" w:rsidRDefault="001E10E9" w:rsidP="001E10E9">
            <w:pPr>
              <w:jc w:val="left"/>
              <w:rPr>
                <w:noProof/>
                <w:szCs w:val="22"/>
                <w:u w:val="single"/>
                <w:lang w:val="sr-Latn-ME"/>
              </w:rPr>
            </w:pPr>
            <w:r w:rsidRPr="003445F5">
              <w:rPr>
                <w:szCs w:val="22"/>
                <w:lang w:val="sr-Latn-ME"/>
              </w:rPr>
              <w:t>Reakcije na mjestu primjene injekcije (uključujući eritem na mjestu primjene injekcije)</w:t>
            </w:r>
          </w:p>
        </w:tc>
      </w:tr>
      <w:tr w:rsidR="001E10E9" w:rsidRPr="003445F5" w14:paraId="1F862819" w14:textId="77777777" w:rsidTr="00DC1FBA">
        <w:trPr>
          <w:trHeight w:val="20"/>
        </w:trPr>
        <w:tc>
          <w:tcPr>
            <w:tcW w:w="1255" w:type="pct"/>
            <w:vMerge/>
            <w:vAlign w:val="center"/>
          </w:tcPr>
          <w:p w14:paraId="1E53E7ED" w14:textId="77777777" w:rsidR="001E10E9" w:rsidRPr="003445F5" w:rsidRDefault="001E10E9" w:rsidP="001E10E9">
            <w:pPr>
              <w:jc w:val="left"/>
              <w:rPr>
                <w:noProof/>
                <w:szCs w:val="22"/>
                <w:u w:val="single"/>
                <w:lang w:val="sr-Latn-ME"/>
              </w:rPr>
            </w:pPr>
          </w:p>
        </w:tc>
        <w:tc>
          <w:tcPr>
            <w:tcW w:w="786" w:type="pct"/>
            <w:vAlign w:val="center"/>
          </w:tcPr>
          <w:p w14:paraId="13F52BCB" w14:textId="4282EEE7" w:rsidR="001E10E9" w:rsidRPr="003445F5" w:rsidRDefault="001E10E9" w:rsidP="001E10E9">
            <w:pPr>
              <w:jc w:val="left"/>
              <w:rPr>
                <w:noProof/>
                <w:szCs w:val="22"/>
                <w:u w:val="single"/>
                <w:lang w:val="sr-Latn-ME"/>
              </w:rPr>
            </w:pPr>
            <w:r w:rsidRPr="003445F5">
              <w:rPr>
                <w:szCs w:val="22"/>
                <w:lang w:val="sr-Latn-ME"/>
              </w:rPr>
              <w:t>Često</w:t>
            </w:r>
          </w:p>
        </w:tc>
        <w:tc>
          <w:tcPr>
            <w:tcW w:w="2959" w:type="pct"/>
            <w:vAlign w:val="center"/>
          </w:tcPr>
          <w:p w14:paraId="78C09DBC" w14:textId="77777777" w:rsidR="001E10E9" w:rsidRPr="003445F5" w:rsidRDefault="001E10E9" w:rsidP="001E10E9">
            <w:pPr>
              <w:jc w:val="left"/>
              <w:rPr>
                <w:szCs w:val="22"/>
                <w:lang w:val="sr-Latn-ME"/>
              </w:rPr>
            </w:pPr>
            <w:r w:rsidRPr="003445F5">
              <w:rPr>
                <w:szCs w:val="22"/>
                <w:lang w:val="sr-Latn-ME"/>
              </w:rPr>
              <w:t xml:space="preserve">Bol u grudnom košu, </w:t>
            </w:r>
          </w:p>
          <w:p w14:paraId="107037C0" w14:textId="77777777" w:rsidR="001E10E9" w:rsidRPr="003445F5" w:rsidRDefault="001E10E9" w:rsidP="001E10E9">
            <w:pPr>
              <w:jc w:val="left"/>
              <w:rPr>
                <w:szCs w:val="22"/>
                <w:lang w:val="sr-Latn-ME"/>
              </w:rPr>
            </w:pPr>
            <w:r w:rsidRPr="003445F5">
              <w:rPr>
                <w:szCs w:val="22"/>
                <w:lang w:val="sr-Latn-ME"/>
              </w:rPr>
              <w:t xml:space="preserve">edem, </w:t>
            </w:r>
          </w:p>
          <w:p w14:paraId="35CD496A" w14:textId="3C177D5E" w:rsidR="001E10E9" w:rsidRPr="003445F5" w:rsidRDefault="001E10E9" w:rsidP="001E10E9">
            <w:pPr>
              <w:jc w:val="left"/>
              <w:rPr>
                <w:noProof/>
                <w:szCs w:val="22"/>
                <w:u w:val="single"/>
                <w:lang w:val="sr-Latn-ME"/>
              </w:rPr>
            </w:pPr>
            <w:r w:rsidRPr="003445F5">
              <w:rPr>
                <w:szCs w:val="22"/>
                <w:lang w:val="sr-Latn-ME"/>
              </w:rPr>
              <w:t>pireksija</w:t>
            </w:r>
            <w:r w:rsidRPr="003445F5">
              <w:rPr>
                <w:szCs w:val="22"/>
                <w:vertAlign w:val="superscript"/>
                <w:lang w:val="sr-Latn-ME"/>
              </w:rPr>
              <w:t>1)</w:t>
            </w:r>
          </w:p>
        </w:tc>
      </w:tr>
      <w:tr w:rsidR="001E10E9" w:rsidRPr="003445F5" w14:paraId="571EF401" w14:textId="77777777" w:rsidTr="00DC1FBA">
        <w:trPr>
          <w:trHeight w:val="20"/>
        </w:trPr>
        <w:tc>
          <w:tcPr>
            <w:tcW w:w="1255" w:type="pct"/>
            <w:vMerge/>
            <w:vAlign w:val="center"/>
          </w:tcPr>
          <w:p w14:paraId="78BD1095" w14:textId="77777777" w:rsidR="001E10E9" w:rsidRPr="003445F5" w:rsidRDefault="001E10E9" w:rsidP="001E10E9">
            <w:pPr>
              <w:jc w:val="left"/>
              <w:rPr>
                <w:noProof/>
                <w:szCs w:val="22"/>
                <w:u w:val="single"/>
                <w:lang w:val="sr-Latn-ME"/>
              </w:rPr>
            </w:pPr>
          </w:p>
        </w:tc>
        <w:tc>
          <w:tcPr>
            <w:tcW w:w="786" w:type="pct"/>
            <w:vAlign w:val="center"/>
          </w:tcPr>
          <w:p w14:paraId="08322B9A" w14:textId="3BE21713" w:rsidR="001E10E9" w:rsidRPr="003445F5" w:rsidRDefault="001E10E9" w:rsidP="001E10E9">
            <w:pPr>
              <w:jc w:val="left"/>
              <w:rPr>
                <w:noProof/>
                <w:szCs w:val="22"/>
                <w:u w:val="single"/>
                <w:lang w:val="sr-Latn-ME"/>
              </w:rPr>
            </w:pPr>
            <w:r w:rsidRPr="003445F5">
              <w:rPr>
                <w:szCs w:val="22"/>
                <w:lang w:val="sr-Latn-ME"/>
              </w:rPr>
              <w:t>Povremeno</w:t>
            </w:r>
          </w:p>
        </w:tc>
        <w:tc>
          <w:tcPr>
            <w:tcW w:w="2959" w:type="pct"/>
            <w:vAlign w:val="center"/>
          </w:tcPr>
          <w:p w14:paraId="07BF7603" w14:textId="5C270AF0" w:rsidR="001E10E9" w:rsidRPr="003445F5" w:rsidRDefault="001E10E9" w:rsidP="001E10E9">
            <w:pPr>
              <w:jc w:val="left"/>
              <w:rPr>
                <w:noProof/>
                <w:szCs w:val="22"/>
                <w:u w:val="single"/>
                <w:lang w:val="sr-Latn-ME"/>
              </w:rPr>
            </w:pPr>
            <w:r w:rsidRPr="003445F5">
              <w:rPr>
                <w:szCs w:val="22"/>
                <w:lang w:val="sr-Latn-ME"/>
              </w:rPr>
              <w:t>Inflamacija</w:t>
            </w:r>
          </w:p>
        </w:tc>
      </w:tr>
      <w:tr w:rsidR="001E10E9" w:rsidRPr="003445F5" w14:paraId="0C012817" w14:textId="77777777" w:rsidTr="00DC1FBA">
        <w:trPr>
          <w:trHeight w:val="20"/>
        </w:trPr>
        <w:tc>
          <w:tcPr>
            <w:tcW w:w="1255" w:type="pct"/>
            <w:vMerge w:val="restart"/>
            <w:vAlign w:val="center"/>
          </w:tcPr>
          <w:p w14:paraId="5983BCED" w14:textId="5DE424B2" w:rsidR="001E10E9" w:rsidRPr="003445F5" w:rsidRDefault="001E10E9" w:rsidP="001E10E9">
            <w:pPr>
              <w:jc w:val="left"/>
              <w:rPr>
                <w:noProof/>
                <w:szCs w:val="22"/>
                <w:u w:val="single"/>
                <w:lang w:val="sr-Latn-ME"/>
              </w:rPr>
            </w:pPr>
            <w:r w:rsidRPr="003445F5">
              <w:rPr>
                <w:szCs w:val="22"/>
                <w:lang w:val="sr-Latn-ME"/>
              </w:rPr>
              <w:t>Ispitivanja*</w:t>
            </w:r>
          </w:p>
        </w:tc>
        <w:tc>
          <w:tcPr>
            <w:tcW w:w="786" w:type="pct"/>
            <w:vAlign w:val="center"/>
          </w:tcPr>
          <w:p w14:paraId="2DF3C5E3" w14:textId="5C4A338C" w:rsidR="001E10E9" w:rsidRPr="003445F5" w:rsidRDefault="001E10E9" w:rsidP="001E10E9">
            <w:pPr>
              <w:jc w:val="left"/>
              <w:rPr>
                <w:noProof/>
                <w:szCs w:val="22"/>
                <w:u w:val="single"/>
                <w:lang w:val="sr-Latn-ME"/>
              </w:rPr>
            </w:pPr>
            <w:r w:rsidRPr="003445F5">
              <w:rPr>
                <w:szCs w:val="22"/>
                <w:lang w:val="sr-Latn-ME"/>
              </w:rPr>
              <w:t>Često</w:t>
            </w:r>
          </w:p>
        </w:tc>
        <w:tc>
          <w:tcPr>
            <w:tcW w:w="2959" w:type="pct"/>
            <w:vAlign w:val="center"/>
          </w:tcPr>
          <w:p w14:paraId="4859A21C" w14:textId="7F431200" w:rsidR="001E10E9" w:rsidRPr="003445F5" w:rsidRDefault="001E10E9" w:rsidP="001E10E9">
            <w:pPr>
              <w:jc w:val="left"/>
              <w:rPr>
                <w:szCs w:val="22"/>
                <w:lang w:val="sr-Latn-ME"/>
              </w:rPr>
            </w:pPr>
            <w:r w:rsidRPr="003445F5">
              <w:rPr>
                <w:szCs w:val="22"/>
                <w:lang w:val="sr-Latn-ME"/>
              </w:rPr>
              <w:t>Poremećaji koagulacije i krvarenja (uključujući produženo aktivirano parcijalno tromboplastinsko vr</w:t>
            </w:r>
            <w:r w:rsidR="00F60D46" w:rsidRPr="003445F5">
              <w:rPr>
                <w:szCs w:val="22"/>
                <w:lang w:val="sr-Latn-ME"/>
              </w:rPr>
              <w:t>ij</w:t>
            </w:r>
            <w:r w:rsidRPr="003445F5">
              <w:rPr>
                <w:szCs w:val="22"/>
                <w:lang w:val="sr-Latn-ME"/>
              </w:rPr>
              <w:t xml:space="preserve">eme), </w:t>
            </w:r>
          </w:p>
          <w:p w14:paraId="31ACF48C" w14:textId="77777777" w:rsidR="001E10E9" w:rsidRPr="003445F5" w:rsidRDefault="001E10E9" w:rsidP="001E10E9">
            <w:pPr>
              <w:jc w:val="left"/>
              <w:rPr>
                <w:szCs w:val="22"/>
                <w:lang w:val="sr-Latn-ME"/>
              </w:rPr>
            </w:pPr>
            <w:r w:rsidRPr="003445F5">
              <w:rPr>
                <w:szCs w:val="22"/>
                <w:lang w:val="sr-Latn-ME"/>
              </w:rPr>
              <w:t xml:space="preserve">pozitivan test na autoantitijela (uključujući pozitivna anti-DNK antitijela), </w:t>
            </w:r>
          </w:p>
          <w:p w14:paraId="37B3E912" w14:textId="532E79AC" w:rsidR="001E10E9" w:rsidRPr="003445F5" w:rsidRDefault="001E10E9" w:rsidP="001E10E9">
            <w:pPr>
              <w:jc w:val="left"/>
              <w:rPr>
                <w:noProof/>
                <w:szCs w:val="22"/>
                <w:u w:val="single"/>
                <w:lang w:val="sr-Latn-ME"/>
              </w:rPr>
            </w:pPr>
            <w:r w:rsidRPr="003445F5">
              <w:rPr>
                <w:szCs w:val="22"/>
                <w:lang w:val="sr-Latn-ME"/>
              </w:rPr>
              <w:t>povećanje koncentracije laktat dehidrogenaze u krvi</w:t>
            </w:r>
          </w:p>
        </w:tc>
      </w:tr>
      <w:tr w:rsidR="001E10E9" w:rsidRPr="003445F5" w14:paraId="26E35423" w14:textId="77777777" w:rsidTr="00DC1FBA">
        <w:trPr>
          <w:trHeight w:val="20"/>
        </w:trPr>
        <w:tc>
          <w:tcPr>
            <w:tcW w:w="1255" w:type="pct"/>
            <w:vMerge/>
            <w:vAlign w:val="center"/>
          </w:tcPr>
          <w:p w14:paraId="236BB7F3" w14:textId="77777777" w:rsidR="001E10E9" w:rsidRPr="003445F5" w:rsidRDefault="001E10E9" w:rsidP="001E10E9">
            <w:pPr>
              <w:jc w:val="left"/>
              <w:rPr>
                <w:szCs w:val="22"/>
                <w:lang w:val="sr-Latn-ME"/>
              </w:rPr>
            </w:pPr>
          </w:p>
        </w:tc>
        <w:tc>
          <w:tcPr>
            <w:tcW w:w="786" w:type="pct"/>
            <w:vAlign w:val="center"/>
          </w:tcPr>
          <w:p w14:paraId="767CA497" w14:textId="1A8DD8FF" w:rsidR="001E10E9" w:rsidRPr="003445F5" w:rsidRDefault="001E10E9" w:rsidP="001E10E9">
            <w:pPr>
              <w:jc w:val="left"/>
              <w:rPr>
                <w:szCs w:val="22"/>
                <w:lang w:val="sr-Latn-ME"/>
              </w:rPr>
            </w:pPr>
            <w:r w:rsidRPr="003445F5">
              <w:rPr>
                <w:szCs w:val="22"/>
                <w:lang w:val="sr-Latn-ME"/>
              </w:rPr>
              <w:t>Nepoznato</w:t>
            </w:r>
          </w:p>
        </w:tc>
        <w:tc>
          <w:tcPr>
            <w:tcW w:w="2959" w:type="pct"/>
            <w:vAlign w:val="center"/>
          </w:tcPr>
          <w:p w14:paraId="26C3215A" w14:textId="49DFCDA2" w:rsidR="001E10E9" w:rsidRPr="003445F5" w:rsidRDefault="001E10E9" w:rsidP="001E10E9">
            <w:pPr>
              <w:jc w:val="left"/>
              <w:rPr>
                <w:noProof/>
                <w:szCs w:val="22"/>
                <w:lang w:val="sr-Latn-ME"/>
              </w:rPr>
            </w:pPr>
            <w:r w:rsidRPr="003445F5">
              <w:rPr>
                <w:szCs w:val="22"/>
                <w:lang w:val="sr-Latn-ME"/>
              </w:rPr>
              <w:t>Povećanje tjelesne mase</w:t>
            </w:r>
            <w:r w:rsidRPr="003445F5">
              <w:rPr>
                <w:szCs w:val="22"/>
                <w:vertAlign w:val="superscript"/>
                <w:lang w:val="sr-Latn-ME"/>
              </w:rPr>
              <w:t>2)</w:t>
            </w:r>
          </w:p>
        </w:tc>
      </w:tr>
      <w:tr w:rsidR="001E10E9" w:rsidRPr="003445F5" w14:paraId="19313B5F" w14:textId="77777777" w:rsidTr="00DC1FBA">
        <w:trPr>
          <w:trHeight w:val="20"/>
        </w:trPr>
        <w:tc>
          <w:tcPr>
            <w:tcW w:w="1255" w:type="pct"/>
            <w:vAlign w:val="center"/>
          </w:tcPr>
          <w:p w14:paraId="7A1F7F67" w14:textId="267B03BC" w:rsidR="001E10E9" w:rsidRPr="003445F5" w:rsidRDefault="001E10E9" w:rsidP="001E10E9">
            <w:pPr>
              <w:jc w:val="left"/>
              <w:rPr>
                <w:noProof/>
                <w:szCs w:val="22"/>
                <w:u w:val="single"/>
                <w:lang w:val="sr-Latn-ME"/>
              </w:rPr>
            </w:pPr>
            <w:r w:rsidRPr="003445F5">
              <w:rPr>
                <w:szCs w:val="22"/>
                <w:lang w:val="sr-Latn-ME"/>
              </w:rPr>
              <w:t>Povrede, trovanja i proceduralne komplikacije</w:t>
            </w:r>
          </w:p>
        </w:tc>
        <w:tc>
          <w:tcPr>
            <w:tcW w:w="786" w:type="pct"/>
            <w:vAlign w:val="center"/>
          </w:tcPr>
          <w:p w14:paraId="25679791" w14:textId="540E605F" w:rsidR="001E10E9" w:rsidRPr="003445F5" w:rsidRDefault="001E10E9" w:rsidP="001E10E9">
            <w:pPr>
              <w:jc w:val="left"/>
              <w:rPr>
                <w:noProof/>
                <w:szCs w:val="22"/>
                <w:u w:val="single"/>
                <w:lang w:val="sr-Latn-ME"/>
              </w:rPr>
            </w:pPr>
            <w:r w:rsidRPr="003445F5">
              <w:rPr>
                <w:szCs w:val="22"/>
                <w:lang w:val="sr-Latn-ME"/>
              </w:rPr>
              <w:t>Često</w:t>
            </w:r>
          </w:p>
        </w:tc>
        <w:tc>
          <w:tcPr>
            <w:tcW w:w="2959" w:type="pct"/>
            <w:vAlign w:val="center"/>
          </w:tcPr>
          <w:p w14:paraId="122E66FA" w14:textId="34283A56" w:rsidR="001E10E9" w:rsidRPr="003445F5" w:rsidRDefault="001E10E9" w:rsidP="001E10E9">
            <w:pPr>
              <w:jc w:val="left"/>
              <w:rPr>
                <w:noProof/>
                <w:szCs w:val="22"/>
                <w:u w:val="single"/>
                <w:lang w:val="sr-Latn-ME"/>
              </w:rPr>
            </w:pPr>
            <w:r w:rsidRPr="003445F5">
              <w:rPr>
                <w:szCs w:val="22"/>
                <w:lang w:val="sr-Latn-ME"/>
              </w:rPr>
              <w:t>Otežano zarastanje rana</w:t>
            </w:r>
          </w:p>
        </w:tc>
      </w:tr>
    </w:tbl>
    <w:p w14:paraId="796F6651" w14:textId="114A8265" w:rsidR="00E66D87" w:rsidRPr="003445F5" w:rsidRDefault="00E66D87" w:rsidP="00E66D87">
      <w:pPr>
        <w:rPr>
          <w:szCs w:val="22"/>
          <w:lang w:val="sr-Latn-ME"/>
        </w:rPr>
      </w:pPr>
      <w:r w:rsidRPr="003445F5">
        <w:rPr>
          <w:szCs w:val="22"/>
          <w:lang w:val="sr-Latn-ME"/>
        </w:rPr>
        <w:t xml:space="preserve">* dodatne informacije se nalaze u daljem tekstu, u </w:t>
      </w:r>
      <w:r w:rsidR="006A25E7" w:rsidRPr="003445F5">
        <w:rPr>
          <w:szCs w:val="22"/>
          <w:lang w:val="sr-Latn-ME"/>
        </w:rPr>
        <w:t>djelovima</w:t>
      </w:r>
      <w:r w:rsidRPr="003445F5">
        <w:rPr>
          <w:szCs w:val="22"/>
          <w:lang w:val="sr-Latn-ME"/>
        </w:rPr>
        <w:t xml:space="preserve"> 4.3, 4.4 i 4.8 </w:t>
      </w:r>
    </w:p>
    <w:p w14:paraId="41B5208B" w14:textId="77777777" w:rsidR="00E66D87" w:rsidRPr="003445F5" w:rsidRDefault="00E66D87" w:rsidP="00E66D87">
      <w:pPr>
        <w:rPr>
          <w:szCs w:val="22"/>
          <w:lang w:val="sr-Latn-ME"/>
        </w:rPr>
      </w:pPr>
      <w:r w:rsidRPr="003445F5">
        <w:rPr>
          <w:szCs w:val="22"/>
          <w:lang w:val="sr-Latn-ME"/>
        </w:rPr>
        <w:t xml:space="preserve">** uključujući otvorene produžene studije </w:t>
      </w:r>
    </w:p>
    <w:p w14:paraId="5CAE5CB8" w14:textId="77777777" w:rsidR="00E66D87" w:rsidRPr="003445F5" w:rsidRDefault="00E66D87" w:rsidP="00E66D87">
      <w:pPr>
        <w:rPr>
          <w:szCs w:val="22"/>
          <w:lang w:val="sr-Latn-ME"/>
        </w:rPr>
      </w:pPr>
      <w:r w:rsidRPr="003445F5">
        <w:rPr>
          <w:szCs w:val="22"/>
          <w:vertAlign w:val="superscript"/>
          <w:lang w:val="sr-Latn-ME"/>
        </w:rPr>
        <w:t>1)</w:t>
      </w:r>
      <w:r w:rsidRPr="003445F5">
        <w:rPr>
          <w:szCs w:val="22"/>
          <w:lang w:val="sr-Latn-ME"/>
        </w:rPr>
        <w:t xml:space="preserve"> uključujući spontane izvještaje</w:t>
      </w:r>
    </w:p>
    <w:p w14:paraId="2827F216" w14:textId="6A216EF7" w:rsidR="00E66D87" w:rsidRPr="003445F5" w:rsidRDefault="00E66D87" w:rsidP="00E66D87">
      <w:pPr>
        <w:rPr>
          <w:szCs w:val="22"/>
          <w:lang w:val="sr-Latn-ME"/>
        </w:rPr>
      </w:pPr>
      <w:r w:rsidRPr="003445F5">
        <w:rPr>
          <w:szCs w:val="22"/>
          <w:vertAlign w:val="superscript"/>
          <w:lang w:val="sr-Latn-ME"/>
        </w:rPr>
        <w:t>2)</w:t>
      </w:r>
      <w:r w:rsidRPr="003445F5">
        <w:rPr>
          <w:szCs w:val="22"/>
          <w:lang w:val="sr-Latn-ME"/>
        </w:rPr>
        <w:t xml:space="preserve"> prosječna promjena tjelesne mase u odnosu na početnu vrijednost za adalimumab kretala se od 0,3 kg do 1,0 kg za indikacije kod odraslih u poređenju sa (minus) -0,4 kg do 0,4 kg za placebo tokom perioda liječenja od 4-6 mjeseci. Povećanje tjelesne mase od 5-6 kg je takođe primjećeno u dugoročnim produženim studijama sa srednjom izloženošću od približno 1-2 godine bez kontrolne grupe, posebno kod pacijenata sa </w:t>
      </w:r>
      <w:r w:rsidRPr="003445F5">
        <w:rPr>
          <w:i/>
          <w:iCs/>
          <w:szCs w:val="22"/>
          <w:lang w:val="sr-Latn-ME"/>
        </w:rPr>
        <w:t>Crohn</w:t>
      </w:r>
      <w:r w:rsidRPr="003445F5">
        <w:rPr>
          <w:szCs w:val="22"/>
          <w:lang w:val="sr-Latn-ME"/>
        </w:rPr>
        <w:t>-ovom bolešću i ulceroznim kolitisom. Mehanizam iza ovog efekta je nejasan, ali bi mogao biti povezan sa antiinflamatornim efektom adalimumaba.</w:t>
      </w:r>
    </w:p>
    <w:p w14:paraId="1F3A3F03" w14:textId="18901B54" w:rsidR="0040462B" w:rsidRPr="003445F5" w:rsidRDefault="0040462B" w:rsidP="00524FDF">
      <w:pPr>
        <w:rPr>
          <w:noProof/>
          <w:szCs w:val="22"/>
          <w:u w:val="single"/>
          <w:lang w:val="sr-Latn-ME"/>
        </w:rPr>
      </w:pPr>
    </w:p>
    <w:p w14:paraId="66841549" w14:textId="77777777" w:rsidR="00CE02B0" w:rsidRPr="003445F5" w:rsidRDefault="00CE02B0" w:rsidP="00CE02B0">
      <w:pPr>
        <w:rPr>
          <w:szCs w:val="22"/>
          <w:u w:val="single"/>
          <w:lang w:val="sr-Latn-ME"/>
        </w:rPr>
      </w:pPr>
      <w:r w:rsidRPr="003445F5">
        <w:rPr>
          <w:szCs w:val="22"/>
          <w:u w:val="single"/>
          <w:lang w:val="sr-Latn-ME"/>
        </w:rPr>
        <w:t>Gnojno zapaljenje znojnih žlijezda (</w:t>
      </w:r>
      <w:r w:rsidRPr="003445F5">
        <w:rPr>
          <w:i/>
          <w:iCs/>
          <w:szCs w:val="22"/>
          <w:u w:val="single"/>
          <w:lang w:val="sr-Latn-ME"/>
        </w:rPr>
        <w:t>Hidradenitis suppurativa</w:t>
      </w:r>
      <w:r w:rsidRPr="003445F5">
        <w:rPr>
          <w:szCs w:val="22"/>
          <w:u w:val="single"/>
          <w:lang w:val="sr-Latn-ME"/>
        </w:rPr>
        <w:t xml:space="preserve">) </w:t>
      </w:r>
    </w:p>
    <w:p w14:paraId="74317565" w14:textId="77777777" w:rsidR="00CE02B0" w:rsidRPr="003445F5" w:rsidRDefault="00CE02B0" w:rsidP="00CE02B0">
      <w:pPr>
        <w:rPr>
          <w:szCs w:val="22"/>
          <w:lang w:val="sr-Latn-ME"/>
        </w:rPr>
      </w:pPr>
    </w:p>
    <w:p w14:paraId="2871A8C4" w14:textId="77777777" w:rsidR="00CE02B0" w:rsidRPr="003445F5" w:rsidRDefault="00CE02B0" w:rsidP="00CE02B0">
      <w:pPr>
        <w:rPr>
          <w:szCs w:val="22"/>
          <w:lang w:val="sr-Latn-ME"/>
        </w:rPr>
      </w:pPr>
      <w:r w:rsidRPr="003445F5">
        <w:rPr>
          <w:szCs w:val="22"/>
          <w:lang w:val="sr-Latn-ME"/>
        </w:rPr>
        <w:t xml:space="preserve">Bezbjednosni profil adalimumaba kod pacijenata sa gnojnim zapaljenjem znojnih žlijezda liječenih jednom nedjeljno bio je u skladu sa poznatim bezbjednosnim profilom adalimumaba. </w:t>
      </w:r>
    </w:p>
    <w:p w14:paraId="2B643175" w14:textId="77777777" w:rsidR="00CE02B0" w:rsidRPr="003445F5" w:rsidRDefault="00CE02B0" w:rsidP="00CE02B0">
      <w:pPr>
        <w:rPr>
          <w:szCs w:val="22"/>
          <w:lang w:val="sr-Latn-ME"/>
        </w:rPr>
      </w:pPr>
    </w:p>
    <w:p w14:paraId="3DCA2F91" w14:textId="77777777" w:rsidR="00CE02B0" w:rsidRPr="003445F5" w:rsidRDefault="00CE02B0" w:rsidP="00CE02B0">
      <w:pPr>
        <w:rPr>
          <w:szCs w:val="22"/>
          <w:u w:val="single"/>
          <w:lang w:val="sr-Latn-ME"/>
        </w:rPr>
      </w:pPr>
      <w:r w:rsidRPr="003445F5">
        <w:rPr>
          <w:szCs w:val="22"/>
          <w:u w:val="single"/>
          <w:lang w:val="sr-Latn-ME"/>
        </w:rPr>
        <w:t xml:space="preserve">Uveitis </w:t>
      </w:r>
    </w:p>
    <w:p w14:paraId="108FB441" w14:textId="77777777" w:rsidR="00CE02B0" w:rsidRPr="003445F5" w:rsidRDefault="00CE02B0" w:rsidP="00CE02B0">
      <w:pPr>
        <w:rPr>
          <w:szCs w:val="22"/>
          <w:lang w:val="sr-Latn-ME"/>
        </w:rPr>
      </w:pPr>
    </w:p>
    <w:p w14:paraId="7402EEA3" w14:textId="0E71B69F" w:rsidR="00CE02B0" w:rsidRPr="003445F5" w:rsidRDefault="00CE02B0" w:rsidP="00CE02B0">
      <w:pPr>
        <w:rPr>
          <w:szCs w:val="22"/>
          <w:lang w:val="sr-Latn-ME"/>
        </w:rPr>
      </w:pPr>
      <w:r w:rsidRPr="003445F5">
        <w:rPr>
          <w:szCs w:val="22"/>
          <w:lang w:val="sr-Latn-ME"/>
        </w:rPr>
        <w:t xml:space="preserve">Bezbjednosni profil adalimumaba kod pacijenata sa uveitisom liječenih svake druge </w:t>
      </w:r>
      <w:r w:rsidR="00551F1D" w:rsidRPr="003445F5">
        <w:rPr>
          <w:szCs w:val="22"/>
          <w:lang w:val="sr-Latn-ME"/>
        </w:rPr>
        <w:t>nedjelj</w:t>
      </w:r>
      <w:r w:rsidR="0047711E" w:rsidRPr="003445F5">
        <w:rPr>
          <w:szCs w:val="22"/>
          <w:lang w:val="sr-Latn-ME"/>
        </w:rPr>
        <w:t>e</w:t>
      </w:r>
      <w:r w:rsidRPr="003445F5">
        <w:rPr>
          <w:szCs w:val="22"/>
          <w:lang w:val="sr-Latn-ME"/>
        </w:rPr>
        <w:t xml:space="preserve"> bio je u skladu sa poznatim bezbjednosnim profilom adalimumaba. </w:t>
      </w:r>
    </w:p>
    <w:p w14:paraId="7A8E3A96" w14:textId="77777777" w:rsidR="000839CB" w:rsidRPr="003445F5" w:rsidRDefault="000839CB" w:rsidP="00524FDF">
      <w:pPr>
        <w:rPr>
          <w:szCs w:val="22"/>
          <w:lang w:val="sr-Latn-ME"/>
        </w:rPr>
      </w:pPr>
    </w:p>
    <w:p w14:paraId="38FB1923" w14:textId="77777777" w:rsidR="000839CB" w:rsidRPr="003445F5" w:rsidRDefault="000839CB" w:rsidP="00524FDF">
      <w:pPr>
        <w:rPr>
          <w:szCs w:val="22"/>
          <w:u w:val="single"/>
          <w:lang w:val="sr-Latn-ME"/>
        </w:rPr>
      </w:pPr>
      <w:r w:rsidRPr="003445F5">
        <w:rPr>
          <w:szCs w:val="22"/>
          <w:u w:val="single"/>
          <w:lang w:val="sr-Latn-ME"/>
        </w:rPr>
        <w:t xml:space="preserve">Opis odabranih neželjenih reakcija </w:t>
      </w:r>
    </w:p>
    <w:p w14:paraId="64C99ECD" w14:textId="77777777" w:rsidR="000839CB" w:rsidRPr="003445F5" w:rsidRDefault="000839CB" w:rsidP="00524FDF">
      <w:pPr>
        <w:rPr>
          <w:szCs w:val="22"/>
          <w:lang w:val="sr-Latn-ME"/>
        </w:rPr>
      </w:pPr>
    </w:p>
    <w:p w14:paraId="2D0AE69D" w14:textId="77777777" w:rsidR="004F76BB" w:rsidRPr="003445F5" w:rsidRDefault="004F76BB" w:rsidP="004F76BB">
      <w:pPr>
        <w:rPr>
          <w:i/>
          <w:iCs/>
          <w:szCs w:val="22"/>
          <w:lang w:val="sr-Latn-ME"/>
        </w:rPr>
      </w:pPr>
      <w:r w:rsidRPr="003445F5">
        <w:rPr>
          <w:i/>
          <w:iCs/>
          <w:szCs w:val="22"/>
          <w:lang w:val="sr-Latn-ME"/>
        </w:rPr>
        <w:t xml:space="preserve">Reakcije na mjestu primjene injekcije </w:t>
      </w:r>
    </w:p>
    <w:p w14:paraId="163DD9BF" w14:textId="77777777" w:rsidR="004F76BB" w:rsidRPr="003445F5" w:rsidRDefault="004F76BB" w:rsidP="004F76BB">
      <w:pPr>
        <w:rPr>
          <w:szCs w:val="22"/>
          <w:lang w:val="sr-Latn-ME"/>
        </w:rPr>
      </w:pPr>
      <w:r w:rsidRPr="003445F5">
        <w:rPr>
          <w:szCs w:val="22"/>
          <w:lang w:val="sr-Latn-ME"/>
        </w:rPr>
        <w:t xml:space="preserve">U pivotalnim kontrolisanim studijama kod odraslih pacijenata i djece liječenih adalimumabom pojavile su se reakcije na mjestu primjene injekcije kod 12,9% pacijenata (eritem i/ili svrab, krvarenje, bol ili otok), u poređenju sa 7,2% pacijenata koji su primali placebo ili aktivnu kontrolu. Obično nije bilo potrebno da se obustavi davanje lijeka zbog reakcije na mjestu primjene injekcije. </w:t>
      </w:r>
    </w:p>
    <w:p w14:paraId="5DD73D84" w14:textId="77777777" w:rsidR="004F76BB" w:rsidRPr="003445F5" w:rsidRDefault="004F76BB" w:rsidP="004F76BB">
      <w:pPr>
        <w:rPr>
          <w:szCs w:val="22"/>
          <w:lang w:val="sr-Latn-ME"/>
        </w:rPr>
      </w:pPr>
    </w:p>
    <w:p w14:paraId="255FD595" w14:textId="77777777" w:rsidR="004F76BB" w:rsidRPr="003445F5" w:rsidRDefault="004F76BB" w:rsidP="004F76BB">
      <w:pPr>
        <w:rPr>
          <w:i/>
          <w:iCs/>
          <w:szCs w:val="22"/>
          <w:lang w:val="sr-Latn-ME"/>
        </w:rPr>
      </w:pPr>
      <w:r w:rsidRPr="003445F5">
        <w:rPr>
          <w:i/>
          <w:iCs/>
          <w:szCs w:val="22"/>
          <w:lang w:val="sr-Latn-ME"/>
        </w:rPr>
        <w:t xml:space="preserve">Infekcije </w:t>
      </w:r>
    </w:p>
    <w:p w14:paraId="68918CCB" w14:textId="77777777" w:rsidR="004F76BB" w:rsidRPr="003445F5" w:rsidRDefault="004F76BB" w:rsidP="004F76BB">
      <w:pPr>
        <w:rPr>
          <w:szCs w:val="22"/>
          <w:u w:val="single"/>
          <w:lang w:val="sr-Latn-ME"/>
        </w:rPr>
      </w:pPr>
      <w:r w:rsidRPr="003445F5">
        <w:rPr>
          <w:szCs w:val="22"/>
          <w:lang w:val="sr-Latn-ME"/>
        </w:rPr>
        <w:t>U pivotalnim kontrolisanim studijama, kod odraslih i djece, stopa infekcija je bila 1,51 po pacijent-godini kod pacijenata liječenih adalimumabom i 1,46 po pacijent-godini kod pacijenata koji su primali placebo ili aktivnu kontrolu. Najčešće infekcije su bile nazofaringitis, infekcije gornjeg respiratornog trakta i sinuzitis. Nakon saniranja infekcije većina pacijenata je nastavila liječenje adalimumabom.</w:t>
      </w:r>
    </w:p>
    <w:p w14:paraId="32D33584" w14:textId="77777777" w:rsidR="004F76BB" w:rsidRPr="003445F5" w:rsidRDefault="004F76BB" w:rsidP="004F76BB">
      <w:pPr>
        <w:rPr>
          <w:szCs w:val="22"/>
          <w:lang w:val="sr-Latn-ME"/>
        </w:rPr>
      </w:pPr>
    </w:p>
    <w:p w14:paraId="6BB8E6C3" w14:textId="77777777" w:rsidR="004F76BB" w:rsidRPr="003445F5" w:rsidRDefault="004F76BB" w:rsidP="004F76BB">
      <w:pPr>
        <w:rPr>
          <w:szCs w:val="22"/>
          <w:lang w:val="sr-Latn-ME"/>
        </w:rPr>
      </w:pPr>
      <w:r w:rsidRPr="003445F5">
        <w:rPr>
          <w:szCs w:val="22"/>
          <w:lang w:val="sr-Latn-ME"/>
        </w:rPr>
        <w:t xml:space="preserve">Učestalost ozbiljnih infekcija je bila 0,04 po pacijent-godini kod pacijenata liječenih adalimumabom i 0,03 po pacijent-godini kod pacijenata koji su primali placebo ili aktivnu kontrolu. </w:t>
      </w:r>
    </w:p>
    <w:p w14:paraId="2F79B091" w14:textId="77777777" w:rsidR="004F76BB" w:rsidRPr="003445F5" w:rsidRDefault="004F76BB" w:rsidP="004F76BB">
      <w:pPr>
        <w:rPr>
          <w:szCs w:val="22"/>
          <w:lang w:val="sr-Latn-ME"/>
        </w:rPr>
      </w:pPr>
    </w:p>
    <w:p w14:paraId="6A77698A" w14:textId="77777777" w:rsidR="004F76BB" w:rsidRPr="003445F5" w:rsidRDefault="004F76BB" w:rsidP="004F76BB">
      <w:pPr>
        <w:rPr>
          <w:szCs w:val="22"/>
          <w:lang w:val="sr-Latn-ME"/>
        </w:rPr>
      </w:pPr>
      <w:r w:rsidRPr="003445F5">
        <w:rPr>
          <w:szCs w:val="22"/>
          <w:lang w:val="sr-Latn-ME"/>
        </w:rPr>
        <w:t xml:space="preserve">U kontrolisanim, otvorenim studijama sa adalimumabom kod odraslih i djece, prijavljivane su ozbiljne infekcije (uključujući infekcije sa smrtnim ishodom, koje su se rijetko javljale), uključujući izvještaje o tuberkulozi (uključujući milijarnu i ekstra-pulmonalnu lokalizaciju) i invazivne oportunističke infekcije (npr. diseminovana ili ekstrapulmonarna histoplazmoza, blastomikoza, kokcidioidomikoza, pneumocistis, kandidijaza, aspergiloza i listerioza). Većina slučajeva tuberkuloze se javila u prvih osam mjeseci od započete terapije i može predstavljati aktiviranje latentne bolesti. </w:t>
      </w:r>
    </w:p>
    <w:p w14:paraId="4F243DAC" w14:textId="77777777" w:rsidR="000839CB" w:rsidRPr="003445F5" w:rsidRDefault="000839CB" w:rsidP="00524FDF">
      <w:pPr>
        <w:rPr>
          <w:szCs w:val="22"/>
          <w:lang w:val="sr-Latn-ME"/>
        </w:rPr>
      </w:pPr>
    </w:p>
    <w:p w14:paraId="4F43DD79" w14:textId="77777777" w:rsidR="009A402A" w:rsidRPr="003445F5" w:rsidRDefault="009A402A" w:rsidP="009A402A">
      <w:pPr>
        <w:rPr>
          <w:i/>
          <w:iCs/>
          <w:szCs w:val="22"/>
          <w:lang w:val="sr-Latn-ME"/>
        </w:rPr>
      </w:pPr>
      <w:r w:rsidRPr="003445F5">
        <w:rPr>
          <w:i/>
          <w:iCs/>
          <w:szCs w:val="22"/>
          <w:lang w:val="sr-Latn-ME"/>
        </w:rPr>
        <w:t xml:space="preserve">Maligne i limfoproliferativne bolesti </w:t>
      </w:r>
    </w:p>
    <w:p w14:paraId="79944637" w14:textId="79F44A6B" w:rsidR="009A402A" w:rsidRPr="003445F5" w:rsidRDefault="009A402A" w:rsidP="009A402A">
      <w:pPr>
        <w:rPr>
          <w:szCs w:val="22"/>
          <w:lang w:val="sr-Latn-ME"/>
        </w:rPr>
      </w:pPr>
      <w:r w:rsidRPr="003445F5">
        <w:rPr>
          <w:szCs w:val="22"/>
          <w:lang w:val="sr-Latn-ME"/>
        </w:rPr>
        <w:t xml:space="preserve">U studijama sa adalimumabom kod 249 pedijatrijskih pacijenata, sa juvenilnim idiopatskim artritisom (poliartikularnim juvenilnim idiopatskim artritisom i artritisom povezanim sa entezitisom), nisu prijavljivani maligniteti tokom 655,6 pacijent-godina. Takođe, nisu prijavljivani maligniteti u studiji sa adalimumabom sa 192 pedijatrijska pacijenta sa </w:t>
      </w:r>
      <w:r w:rsidRPr="003445F5">
        <w:rPr>
          <w:i/>
          <w:iCs/>
          <w:szCs w:val="22"/>
          <w:lang w:val="sr-Latn-ME"/>
        </w:rPr>
        <w:t>Crohn</w:t>
      </w:r>
      <w:r w:rsidRPr="003445F5">
        <w:rPr>
          <w:szCs w:val="22"/>
          <w:lang w:val="sr-Latn-ME"/>
        </w:rPr>
        <w:t xml:space="preserve">-ovom bolešću, tokom 498,1 pacijent-godina. Maligne bolesti nisu </w:t>
      </w:r>
      <w:r w:rsidR="00704AF5" w:rsidRPr="003445F5">
        <w:rPr>
          <w:szCs w:val="22"/>
          <w:lang w:val="sr-Latn-ME"/>
        </w:rPr>
        <w:t>primijećene</w:t>
      </w:r>
      <w:r w:rsidRPr="003445F5">
        <w:rPr>
          <w:szCs w:val="22"/>
          <w:lang w:val="sr-Latn-ME"/>
        </w:rPr>
        <w:t xml:space="preserve"> ni kod 77 pedijatrijskih pacijenata sa izloženošću od 80,0 pacijent-godina u ispitivanju adalimumaba sprovedenim na pedijatrijskim pacijentima sa hroničnom plak psorijazom. Maligne bolesti nisu </w:t>
      </w:r>
      <w:r w:rsidR="00704AF5" w:rsidRPr="003445F5">
        <w:rPr>
          <w:szCs w:val="22"/>
          <w:lang w:val="sr-Latn-ME"/>
        </w:rPr>
        <w:t>primijećene</w:t>
      </w:r>
      <w:r w:rsidRPr="003445F5">
        <w:rPr>
          <w:szCs w:val="22"/>
          <w:lang w:val="sr-Latn-ME"/>
        </w:rPr>
        <w:t xml:space="preserve"> ni kod 93 pedijatrijska pacijenta sa izloženošću od 65,3 pacijent-godina u ispitivanju adalimumaba sprovedenim na pedijatrijskim pacijentima sa ulceroznim kolitisom. Nije primjećena pojava malignih bolesti kod 60 pedijatrijskih pacijenata sa izloženošću od 58,4 pacijent-godina u ispitivanju adalimumaba sprovedenom kod pedijatrijskih pacijenata sa uveitisom. </w:t>
      </w:r>
    </w:p>
    <w:p w14:paraId="4856B553" w14:textId="77777777" w:rsidR="009A402A" w:rsidRPr="003445F5" w:rsidRDefault="009A402A" w:rsidP="009A402A">
      <w:pPr>
        <w:rPr>
          <w:szCs w:val="22"/>
          <w:lang w:val="sr-Latn-ME"/>
        </w:rPr>
      </w:pPr>
    </w:p>
    <w:p w14:paraId="4177090B" w14:textId="2D22A89E" w:rsidR="009A402A" w:rsidRPr="003445F5" w:rsidRDefault="009A402A" w:rsidP="009A402A">
      <w:pPr>
        <w:rPr>
          <w:szCs w:val="22"/>
          <w:lang w:val="sr-Latn-ME"/>
        </w:rPr>
      </w:pPr>
      <w:r w:rsidRPr="003445F5">
        <w:rPr>
          <w:szCs w:val="22"/>
          <w:lang w:val="sr-Latn-ME"/>
        </w:rPr>
        <w:t xml:space="preserve">U kontrolisanim </w:t>
      </w:r>
      <w:r w:rsidR="006A25E7" w:rsidRPr="003445F5">
        <w:rPr>
          <w:szCs w:val="22"/>
          <w:lang w:val="sr-Latn-ME"/>
        </w:rPr>
        <w:t>djelovima</w:t>
      </w:r>
      <w:r w:rsidRPr="003445F5">
        <w:rPr>
          <w:szCs w:val="22"/>
          <w:lang w:val="sr-Latn-ME"/>
        </w:rPr>
        <w:t xml:space="preserve"> pivotalnih ispitivanja, kod odraslih, koje su trajale bar 12 nedjelja kod pacijenata sa umjerenim do teškim aktivnim reumatoidnim artritisom, ankilozirajućim spondilitisom, aksijalnim spondiloartritisom bez radiografskog dokaza AS, psorijaznim artritisom, psorijazom, gnojnim zapaljenjem znojnih žlijezda (</w:t>
      </w:r>
      <w:r w:rsidRPr="003445F5">
        <w:rPr>
          <w:i/>
          <w:iCs/>
          <w:szCs w:val="22"/>
          <w:lang w:val="sr-Latn-ME"/>
        </w:rPr>
        <w:t>hidradenitis suppurativa</w:t>
      </w:r>
      <w:r w:rsidRPr="003445F5">
        <w:rPr>
          <w:szCs w:val="22"/>
          <w:lang w:val="sr-Latn-ME"/>
        </w:rPr>
        <w:t xml:space="preserve">), </w:t>
      </w:r>
      <w:r w:rsidRPr="003445F5">
        <w:rPr>
          <w:i/>
          <w:iCs/>
          <w:szCs w:val="22"/>
          <w:lang w:val="sr-Latn-ME"/>
        </w:rPr>
        <w:t>Crohn</w:t>
      </w:r>
      <w:r w:rsidRPr="003445F5">
        <w:rPr>
          <w:szCs w:val="22"/>
          <w:lang w:val="sr-Latn-ME"/>
        </w:rPr>
        <w:t xml:space="preserve">-ovom bolešću, ulceroznim kolitisom i uveitisom, primjećena je pojava malignih bolesti, isključujući limfome i nemelanomske kancere kože, u učestalosti (interval pouzdanosti 95%) od 6,8 (4,4; 10,5) na 1000 pacijent-godina terapije među 5291 pacijenta liječenih adalimumabom, odnosno 6,3 (3,4; 11,8) na 1000 pacijent-godina među 3444 pacijenta iz kontrolne grupe (medijana trajanja terapije je bila 4,0 mjeseca kod pacijenata koji su primali adalimumab i 3,8 mjeseci u kontrolnoj grupi). Učestalost (interval pouzdanosti 95%) nemelanomskog kancera kože je bila 8,8 (6,0; 13,0) na 1000 pacijent godina među pacijentima liječenim adalimumabom i 3,2 (1,3; 7,6) na 1000 pacijent-godina među kontrolnim pacijentima. Od ovih kancera kože, karcinom skvamoznih ćelija je bio prisutan u učestalosti (interval pouzdanosti 95%) od 2,7 (1,4; 5,4) na 1000 pacijent-godina kod pacijenata liječenih adalimumabom i kod 0,6 (0,1; 4,5) na 1000 pacijent-godina kod kontrolnih pacijenata. Učestalost (interval pouzdanosti 95%) limfoma je bila 0,7 (0,2; 2,7) na 1000 pacijent-godina među pacijentima liječenim adalimumabom i 0,6 (0,1; 4,5) na 1000 pacijent-godina među kontrolnim pacijentima. </w:t>
      </w:r>
    </w:p>
    <w:p w14:paraId="3013711C" w14:textId="77777777" w:rsidR="0028309B" w:rsidRPr="003445F5" w:rsidRDefault="0028309B" w:rsidP="0028309B">
      <w:pPr>
        <w:rPr>
          <w:szCs w:val="22"/>
          <w:lang w:val="sr-Latn-ME"/>
        </w:rPr>
      </w:pPr>
    </w:p>
    <w:p w14:paraId="5224FE81" w14:textId="09DF3F6B" w:rsidR="002F34AF" w:rsidRPr="003445F5" w:rsidRDefault="002F34AF" w:rsidP="002F34AF">
      <w:pPr>
        <w:rPr>
          <w:szCs w:val="22"/>
          <w:lang w:val="sr-Latn-ME"/>
        </w:rPr>
      </w:pPr>
      <w:r w:rsidRPr="003445F5">
        <w:rPr>
          <w:szCs w:val="22"/>
          <w:lang w:val="sr-Latn-ME"/>
        </w:rPr>
        <w:t xml:space="preserve">Kada se kombinuju kontrolisani </w:t>
      </w:r>
      <w:r w:rsidR="006A25E7" w:rsidRPr="003445F5">
        <w:rPr>
          <w:szCs w:val="22"/>
          <w:lang w:val="sr-Latn-ME"/>
        </w:rPr>
        <w:t>djelovi</w:t>
      </w:r>
      <w:r w:rsidRPr="003445F5">
        <w:rPr>
          <w:szCs w:val="22"/>
          <w:lang w:val="sr-Latn-ME"/>
        </w:rPr>
        <w:t xml:space="preserve"> tih studija i tekućih i završenih produženih studija otvorenog tipa sa medijanom trajanja od približno 3,3 godine na 6427 pacijenata i preko 26439 pacijent-godina terapije, zabilježena stopa malignih bolesti, isključujući limfome i nemelanomski kancer kože, je približno 8,5 na 1000 pacijent-godina. Zabilježena stopa nemelanomskih kancera kože je približno 9,6 na 1000 pacijent-godina, a limfoma 1,3 na 1000 pacijent-godina. </w:t>
      </w:r>
    </w:p>
    <w:p w14:paraId="704472C0" w14:textId="77777777" w:rsidR="002F34AF" w:rsidRPr="003445F5" w:rsidRDefault="002F34AF" w:rsidP="002F34AF">
      <w:pPr>
        <w:rPr>
          <w:szCs w:val="22"/>
          <w:lang w:val="sr-Latn-ME"/>
        </w:rPr>
      </w:pPr>
    </w:p>
    <w:p w14:paraId="0CF3326E" w14:textId="7AAB8891" w:rsidR="002F34AF" w:rsidRPr="003445F5" w:rsidRDefault="002F34AF" w:rsidP="002F34AF">
      <w:pPr>
        <w:rPr>
          <w:szCs w:val="22"/>
          <w:lang w:val="sr-Latn-ME"/>
        </w:rPr>
      </w:pPr>
      <w:r w:rsidRPr="003445F5">
        <w:rPr>
          <w:szCs w:val="22"/>
          <w:lang w:val="sr-Latn-ME"/>
        </w:rPr>
        <w:t xml:space="preserve">U postmarketinškim iskustvima od januara 2003. godine do </w:t>
      </w:r>
      <w:r w:rsidR="0047711E" w:rsidRPr="003445F5">
        <w:rPr>
          <w:szCs w:val="22"/>
          <w:lang w:val="sr-Latn-ME"/>
        </w:rPr>
        <w:t>dece</w:t>
      </w:r>
      <w:r w:rsidRPr="003445F5">
        <w:rPr>
          <w:szCs w:val="22"/>
          <w:lang w:val="sr-Latn-ME"/>
        </w:rPr>
        <w:t xml:space="preserve">mbra 2010. godine, prevashodno kod pacijenata sa reumatoidnim artritisom, </w:t>
      </w:r>
      <w:r w:rsidR="002750D9" w:rsidRPr="003445F5">
        <w:rPr>
          <w:szCs w:val="22"/>
          <w:lang w:val="sr-Latn-ME"/>
        </w:rPr>
        <w:t xml:space="preserve">spontano prijavljena </w:t>
      </w:r>
      <w:r w:rsidRPr="003445F5">
        <w:rPr>
          <w:szCs w:val="22"/>
          <w:lang w:val="sr-Latn-ME"/>
        </w:rPr>
        <w:t xml:space="preserve">stopa maligniteta je približno 2,7 na 1000 </w:t>
      </w:r>
      <w:r w:rsidRPr="003445F5">
        <w:rPr>
          <w:szCs w:val="22"/>
          <w:lang w:val="sr-Latn-ME"/>
        </w:rPr>
        <w:lastRenderedPageBreak/>
        <w:t xml:space="preserve">pacijent-godina terapije. </w:t>
      </w:r>
      <w:r w:rsidR="001810C7" w:rsidRPr="003445F5">
        <w:rPr>
          <w:szCs w:val="22"/>
          <w:lang w:val="sr-Latn-ME"/>
        </w:rPr>
        <w:t>Spontano p</w:t>
      </w:r>
      <w:r w:rsidRPr="003445F5">
        <w:rPr>
          <w:szCs w:val="22"/>
          <w:lang w:val="sr-Latn-ME"/>
        </w:rPr>
        <w:t>rijavljene stope nemelanomskih kancera kože i limfoma bile su približno 0,2 odnosno 0,3 na 1000 pacijent-godina terapije (</w:t>
      </w:r>
      <w:r w:rsidR="007E1F86" w:rsidRPr="003445F5">
        <w:rPr>
          <w:szCs w:val="22"/>
          <w:lang w:val="sr-Latn-ME"/>
        </w:rPr>
        <w:t>pogledati dio</w:t>
      </w:r>
      <w:r w:rsidRPr="003445F5">
        <w:rPr>
          <w:szCs w:val="22"/>
          <w:lang w:val="sr-Latn-ME"/>
        </w:rPr>
        <w:t xml:space="preserve"> 4.4). </w:t>
      </w:r>
    </w:p>
    <w:p w14:paraId="68E2510B" w14:textId="77777777" w:rsidR="002F34AF" w:rsidRPr="003445F5" w:rsidRDefault="002F34AF" w:rsidP="002F34AF">
      <w:pPr>
        <w:rPr>
          <w:szCs w:val="22"/>
          <w:lang w:val="sr-Latn-ME"/>
        </w:rPr>
      </w:pPr>
    </w:p>
    <w:p w14:paraId="4D4BFDD8" w14:textId="3AFA2720" w:rsidR="002F34AF" w:rsidRPr="003445F5" w:rsidRDefault="002F34AF" w:rsidP="002F34AF">
      <w:pPr>
        <w:rPr>
          <w:szCs w:val="22"/>
          <w:lang w:val="sr-Latn-ME"/>
        </w:rPr>
      </w:pPr>
      <w:r w:rsidRPr="003445F5">
        <w:rPr>
          <w:szCs w:val="22"/>
          <w:lang w:val="sr-Latn-ME"/>
        </w:rPr>
        <w:t>Rijetki postmarketinški slučajevi hepatospleničnog T-ćelijskog limfoma su prijavljivani kod pacijenata liječenih adalimumabom (</w:t>
      </w:r>
      <w:r w:rsidR="007E1F86" w:rsidRPr="003445F5">
        <w:rPr>
          <w:szCs w:val="22"/>
          <w:lang w:val="sr-Latn-ME"/>
        </w:rPr>
        <w:t>pogledati dio</w:t>
      </w:r>
      <w:r w:rsidRPr="003445F5">
        <w:rPr>
          <w:szCs w:val="22"/>
          <w:lang w:val="sr-Latn-ME"/>
        </w:rPr>
        <w:t xml:space="preserve"> 4.4). </w:t>
      </w:r>
    </w:p>
    <w:p w14:paraId="0E667D21" w14:textId="77777777" w:rsidR="00F539CD" w:rsidRPr="003445F5" w:rsidRDefault="00F539CD" w:rsidP="00F539CD">
      <w:pPr>
        <w:rPr>
          <w:szCs w:val="22"/>
          <w:lang w:val="sr-Latn-ME"/>
        </w:rPr>
      </w:pPr>
    </w:p>
    <w:p w14:paraId="18AFB08D" w14:textId="77777777" w:rsidR="005C0D2D" w:rsidRPr="003445F5" w:rsidRDefault="005C0D2D" w:rsidP="005C0D2D">
      <w:pPr>
        <w:rPr>
          <w:i/>
          <w:iCs/>
          <w:szCs w:val="22"/>
          <w:lang w:val="sr-Latn-ME"/>
        </w:rPr>
      </w:pPr>
      <w:r w:rsidRPr="003445F5">
        <w:rPr>
          <w:i/>
          <w:iCs/>
          <w:szCs w:val="22"/>
          <w:lang w:val="sr-Latn-ME"/>
        </w:rPr>
        <w:t xml:space="preserve">Autoantitijela </w:t>
      </w:r>
    </w:p>
    <w:p w14:paraId="2714C560" w14:textId="21A31D30" w:rsidR="005C0D2D" w:rsidRPr="003445F5" w:rsidRDefault="005C0D2D" w:rsidP="005C0D2D">
      <w:pPr>
        <w:rPr>
          <w:szCs w:val="22"/>
          <w:lang w:val="sr-Latn-ME"/>
        </w:rPr>
      </w:pPr>
      <w:r w:rsidRPr="003445F5">
        <w:rPr>
          <w:szCs w:val="22"/>
          <w:lang w:val="sr-Latn-ME"/>
        </w:rPr>
        <w:t xml:space="preserve">U studijama I-V reumatoidnog artritisa u više navrata su uzimani uzorci seruma pacijenata za testiranje autoantitijela. U ovim studijama, 11,9% pacijenata liječenih adalimumabom i 8,1% pacijenata koji su primali placebo ili aktivnu kontrolu, koji su imali negativna antinuklearna antitijela na početku, u 24. </w:t>
      </w:r>
      <w:r w:rsidR="00551F1D" w:rsidRPr="003445F5">
        <w:rPr>
          <w:szCs w:val="22"/>
          <w:lang w:val="sr-Latn-ME"/>
        </w:rPr>
        <w:t>nedjelj</w:t>
      </w:r>
      <w:r w:rsidR="00704AF5" w:rsidRPr="003445F5">
        <w:rPr>
          <w:szCs w:val="22"/>
          <w:lang w:val="sr-Latn-ME"/>
        </w:rPr>
        <w:t>i</w:t>
      </w:r>
      <w:r w:rsidRPr="003445F5">
        <w:rPr>
          <w:szCs w:val="22"/>
          <w:lang w:val="sr-Latn-ME"/>
        </w:rPr>
        <w:t xml:space="preserve"> pokazali su pozitivan titar. Dva pacijenta od 3441 liječenih adalimumabom u svim studijama sa reumatoidnim artritisom i psorijaznim artritisom razvili su kliničke znake koji ukazuju na novonastali sindrom sličan lupusu. Stanje pacijenata se poboljšalo nakon prekida terapije. Nijedan pacijent nije razvio lupusni nefritis ili simptome centralnog nervnog sistema. </w:t>
      </w:r>
    </w:p>
    <w:p w14:paraId="17624488" w14:textId="77777777" w:rsidR="000839CB" w:rsidRPr="003445F5" w:rsidRDefault="000839CB" w:rsidP="00524FDF">
      <w:pPr>
        <w:rPr>
          <w:szCs w:val="22"/>
          <w:lang w:val="sr-Latn-ME"/>
        </w:rPr>
      </w:pPr>
    </w:p>
    <w:p w14:paraId="4151BEAC" w14:textId="77777777" w:rsidR="005A1CDE" w:rsidRPr="003445F5" w:rsidRDefault="005A1CDE" w:rsidP="005A1CDE">
      <w:pPr>
        <w:rPr>
          <w:i/>
          <w:iCs/>
          <w:szCs w:val="22"/>
          <w:lang w:val="sr-Latn-ME"/>
        </w:rPr>
      </w:pPr>
      <w:r w:rsidRPr="003445F5">
        <w:rPr>
          <w:i/>
          <w:iCs/>
          <w:szCs w:val="22"/>
          <w:lang w:val="sr-Latn-ME"/>
        </w:rPr>
        <w:t>Hepatobilijarni događaji</w:t>
      </w:r>
    </w:p>
    <w:p w14:paraId="30F915B7" w14:textId="09A36D51" w:rsidR="00975660" w:rsidRPr="003445F5" w:rsidRDefault="00975660" w:rsidP="00975660">
      <w:pPr>
        <w:rPr>
          <w:szCs w:val="22"/>
          <w:lang w:val="sr-Latn-ME"/>
        </w:rPr>
      </w:pPr>
      <w:r w:rsidRPr="003445F5">
        <w:rPr>
          <w:szCs w:val="22"/>
          <w:lang w:val="sr-Latn-ME"/>
        </w:rPr>
        <w:t xml:space="preserve">U kontrolisanim ispitivanjima faze 3 adalimumaba u kojima su učestvovali pacijenti sa reumatoidnim artritisom i psorijaznim artritisom, tokom kontrolisanog perioda trajanja ispitivanja od 4 do 104 </w:t>
      </w:r>
      <w:r w:rsidR="00551F1D" w:rsidRPr="003445F5">
        <w:rPr>
          <w:szCs w:val="22"/>
          <w:lang w:val="sr-Latn-ME"/>
        </w:rPr>
        <w:t>nedjelj</w:t>
      </w:r>
      <w:r w:rsidR="0047711E" w:rsidRPr="003445F5">
        <w:rPr>
          <w:szCs w:val="22"/>
          <w:lang w:val="sr-Latn-ME"/>
        </w:rPr>
        <w:t>e</w:t>
      </w:r>
      <w:r w:rsidRPr="003445F5">
        <w:rPr>
          <w:szCs w:val="22"/>
          <w:lang w:val="sr-Latn-ME"/>
        </w:rPr>
        <w:t xml:space="preserve">, povećanje vrijednosti ALT ≥ 3 x GGN (gornja granica normalnog raspona) javilo se kod 3,7% pacijenata koji su primali adalimumab i kod 1,6% pacijenata iz kontrolne grupe. </w:t>
      </w:r>
    </w:p>
    <w:p w14:paraId="5EC2E1A0" w14:textId="77777777" w:rsidR="00975660" w:rsidRPr="003445F5" w:rsidRDefault="00975660" w:rsidP="00975660">
      <w:pPr>
        <w:rPr>
          <w:szCs w:val="22"/>
          <w:lang w:val="sr-Latn-ME"/>
        </w:rPr>
      </w:pPr>
    </w:p>
    <w:p w14:paraId="75569049" w14:textId="77777777" w:rsidR="00975660" w:rsidRPr="003445F5" w:rsidRDefault="00975660" w:rsidP="00975660">
      <w:pPr>
        <w:rPr>
          <w:szCs w:val="22"/>
          <w:lang w:val="sr-Latn-ME"/>
        </w:rPr>
      </w:pPr>
      <w:r w:rsidRPr="003445F5">
        <w:rPr>
          <w:szCs w:val="22"/>
          <w:lang w:val="sr-Latn-ME"/>
        </w:rPr>
        <w:t xml:space="preserve">U kontrolisanoj studiji faze 3 u kojima se adalimumab primjenjivao kod pacijenata sa poliartikularnim juvenilnim idiopatskim artritisom, uzrasta od 4 do 17 godina, i artritisom povezanim sa entezitisom, uzrasta od 6 do 17 godina, povećanje vrijednosti ALT ≥ 3 x GGN je primjećeno kod 6,1% pacijenata liječenih adalimumabom i 1,3% pacijenata iz kontrolne grupe. U najvećem broju slučajeva povećanje vrijednosti ALT-a se desilo prilikom istovremene upotrebe metotreksata. Nije se javilo povećanje vrijednosti ALT ≥ 3 x GGN kod pacijenata u studiji faze 3 sa adalimumabom, sprovedenoj kod pacijenata sa poliartikularnim juvenilnim idiopatskim artritisom uzrasta od 2 do &lt; 4 godine. </w:t>
      </w:r>
    </w:p>
    <w:p w14:paraId="14EA4692" w14:textId="77777777" w:rsidR="00975660" w:rsidRPr="003445F5" w:rsidRDefault="00975660" w:rsidP="00975660">
      <w:pPr>
        <w:rPr>
          <w:szCs w:val="22"/>
          <w:lang w:val="sr-Latn-ME"/>
        </w:rPr>
      </w:pPr>
    </w:p>
    <w:p w14:paraId="7AA200DD" w14:textId="5DA57CB6" w:rsidR="00975660" w:rsidRPr="003445F5" w:rsidRDefault="00975660" w:rsidP="00975660">
      <w:pPr>
        <w:rPr>
          <w:szCs w:val="22"/>
          <w:lang w:val="sr-Latn-ME"/>
        </w:rPr>
      </w:pPr>
      <w:r w:rsidRPr="003445F5">
        <w:rPr>
          <w:szCs w:val="22"/>
          <w:lang w:val="sr-Latn-ME"/>
        </w:rPr>
        <w:t xml:space="preserve">U kontrolisanim ispitivanjima faze 3 u kojima se adalimumab primjenjivao kod pacijenata sa </w:t>
      </w:r>
      <w:r w:rsidRPr="003445F5">
        <w:rPr>
          <w:i/>
          <w:iCs/>
          <w:szCs w:val="22"/>
          <w:lang w:val="sr-Latn-ME"/>
        </w:rPr>
        <w:t>Crohn</w:t>
      </w:r>
      <w:r w:rsidRPr="003445F5">
        <w:rPr>
          <w:szCs w:val="22"/>
          <w:lang w:val="sr-Latn-ME"/>
        </w:rPr>
        <w:t xml:space="preserve">-ovom bolešću i ulceroznim kolitisom, tokom kontrolisanog perioda trajanja ispitivanja od 4 do 52 </w:t>
      </w:r>
      <w:r w:rsidR="00551F1D" w:rsidRPr="003445F5">
        <w:rPr>
          <w:szCs w:val="22"/>
          <w:lang w:val="sr-Latn-ME"/>
        </w:rPr>
        <w:t>nedjelj</w:t>
      </w:r>
      <w:r w:rsidR="0047711E" w:rsidRPr="003445F5">
        <w:rPr>
          <w:szCs w:val="22"/>
          <w:lang w:val="sr-Latn-ME"/>
        </w:rPr>
        <w:t>e</w:t>
      </w:r>
      <w:r w:rsidRPr="003445F5">
        <w:rPr>
          <w:szCs w:val="22"/>
          <w:lang w:val="sr-Latn-ME"/>
        </w:rPr>
        <w:t xml:space="preserve">, povećanje vrijednosti ALT ≥ 3 x GGN javilo se kod 0,9% pacijenata koji su primali adalimumab i kod 0,9% pacijenata iz kontrolne grupe. </w:t>
      </w:r>
    </w:p>
    <w:p w14:paraId="18B03D63" w14:textId="77777777" w:rsidR="00975660" w:rsidRPr="003445F5" w:rsidRDefault="00975660" w:rsidP="005A1CDE">
      <w:pPr>
        <w:rPr>
          <w:szCs w:val="22"/>
          <w:lang w:val="sr-Latn-ME"/>
        </w:rPr>
      </w:pPr>
    </w:p>
    <w:p w14:paraId="59D5F83C" w14:textId="30AE4C7A" w:rsidR="00A13B66" w:rsidRPr="003445F5" w:rsidRDefault="00A13B66" w:rsidP="00A13B66">
      <w:pPr>
        <w:rPr>
          <w:szCs w:val="22"/>
          <w:lang w:val="sr-Latn-ME"/>
        </w:rPr>
      </w:pPr>
      <w:r w:rsidRPr="003445F5">
        <w:rPr>
          <w:szCs w:val="22"/>
          <w:lang w:val="sr-Latn-ME"/>
        </w:rPr>
        <w:t xml:space="preserve">U studijama faze 3 u kojima se adalimumab primjenjivao kod pedijatrijskih pacijenata sa </w:t>
      </w:r>
      <w:r w:rsidRPr="003445F5">
        <w:rPr>
          <w:i/>
          <w:iCs/>
          <w:szCs w:val="22"/>
          <w:lang w:val="sr-Latn-ME"/>
        </w:rPr>
        <w:t>Crohn</w:t>
      </w:r>
      <w:r w:rsidRPr="003445F5">
        <w:rPr>
          <w:szCs w:val="22"/>
          <w:lang w:val="sr-Latn-ME"/>
        </w:rPr>
        <w:t>-ovom bolešću, u kojima su procjenjivani efikasnost i bezbjednost dva režima doze održavanja prilagođenih tjelesnoj masi posl</w:t>
      </w:r>
      <w:r w:rsidR="004A0CF7" w:rsidRPr="003445F5">
        <w:rPr>
          <w:szCs w:val="22"/>
          <w:lang w:val="sr-Latn-ME"/>
        </w:rPr>
        <w:t>ij</w:t>
      </w:r>
      <w:r w:rsidRPr="003445F5">
        <w:rPr>
          <w:szCs w:val="22"/>
          <w:lang w:val="sr-Latn-ME"/>
        </w:rPr>
        <w:t xml:space="preserve">e indukcione terapije prilagođene tjelesnoj masi tokom 52 </w:t>
      </w:r>
      <w:r w:rsidR="00551F1D" w:rsidRPr="003445F5">
        <w:rPr>
          <w:szCs w:val="22"/>
          <w:lang w:val="sr-Latn-ME"/>
        </w:rPr>
        <w:t>nedjelj</w:t>
      </w:r>
      <w:r w:rsidR="0047711E" w:rsidRPr="003445F5">
        <w:rPr>
          <w:szCs w:val="22"/>
          <w:lang w:val="sr-Latn-ME"/>
        </w:rPr>
        <w:t>e</w:t>
      </w:r>
      <w:r w:rsidRPr="003445F5">
        <w:rPr>
          <w:szCs w:val="22"/>
          <w:lang w:val="sr-Latn-ME"/>
        </w:rPr>
        <w:t xml:space="preserve"> liječenja, povećane vrijednosti ALT ≥ 3 x GGN su </w:t>
      </w:r>
      <w:r w:rsidR="00704AF5" w:rsidRPr="003445F5">
        <w:rPr>
          <w:szCs w:val="22"/>
          <w:lang w:val="sr-Latn-ME"/>
        </w:rPr>
        <w:t>primijećene</w:t>
      </w:r>
      <w:r w:rsidRPr="003445F5">
        <w:rPr>
          <w:szCs w:val="22"/>
          <w:lang w:val="sr-Latn-ME"/>
        </w:rPr>
        <w:t xml:space="preserve"> kod 2,6% (5/192) pacijenata od kojih su 4 pacijenta bila na početku terapije izložena istovremenoj terapiji imunosupresivima. </w:t>
      </w:r>
    </w:p>
    <w:p w14:paraId="00A10BF7" w14:textId="77777777" w:rsidR="00A13B66" w:rsidRPr="003445F5" w:rsidRDefault="00A13B66" w:rsidP="00A13B66">
      <w:pPr>
        <w:rPr>
          <w:szCs w:val="22"/>
          <w:lang w:val="sr-Latn-ME"/>
        </w:rPr>
      </w:pPr>
    </w:p>
    <w:p w14:paraId="3D54A101" w14:textId="29B8AF8D" w:rsidR="00A13B66" w:rsidRPr="003445F5" w:rsidRDefault="00A13B66" w:rsidP="00A13B66">
      <w:pPr>
        <w:rPr>
          <w:szCs w:val="22"/>
          <w:lang w:val="sr-Latn-ME"/>
        </w:rPr>
      </w:pPr>
      <w:r w:rsidRPr="003445F5">
        <w:rPr>
          <w:szCs w:val="22"/>
          <w:lang w:val="sr-Latn-ME"/>
        </w:rPr>
        <w:t xml:space="preserve">U kontrolisanim ispitivanjima faze 3 u kojima se adalimumab primjenjivao kod pacijenata sa plak psorijazom, tokom kontrolisanog perioda trajanja ispitivanja od 12 do 24 </w:t>
      </w:r>
      <w:r w:rsidR="00551F1D" w:rsidRPr="003445F5">
        <w:rPr>
          <w:szCs w:val="22"/>
          <w:lang w:val="sr-Latn-ME"/>
        </w:rPr>
        <w:t>nedjelj</w:t>
      </w:r>
      <w:r w:rsidR="0047711E" w:rsidRPr="003445F5">
        <w:rPr>
          <w:szCs w:val="22"/>
          <w:lang w:val="sr-Latn-ME"/>
        </w:rPr>
        <w:t>e</w:t>
      </w:r>
      <w:r w:rsidRPr="003445F5">
        <w:rPr>
          <w:szCs w:val="22"/>
          <w:lang w:val="sr-Latn-ME"/>
        </w:rPr>
        <w:t xml:space="preserve">, povećanje vrijednosti ALT ≥ 3 x GGN javilo se kod 1,8% pacijenata koji su primali adalimumab i kod 1,8% pacijenata u kontrolnoj grupi. </w:t>
      </w:r>
    </w:p>
    <w:p w14:paraId="72B16586" w14:textId="77777777" w:rsidR="00A13B66" w:rsidRPr="003445F5" w:rsidRDefault="00A13B66" w:rsidP="00A13B66">
      <w:pPr>
        <w:rPr>
          <w:szCs w:val="22"/>
          <w:lang w:val="sr-Latn-ME"/>
        </w:rPr>
      </w:pPr>
    </w:p>
    <w:p w14:paraId="1A90B9E5" w14:textId="77777777" w:rsidR="00A13B66" w:rsidRPr="003445F5" w:rsidRDefault="00A13B66" w:rsidP="00A13B66">
      <w:pPr>
        <w:rPr>
          <w:szCs w:val="22"/>
          <w:lang w:val="sr-Latn-ME"/>
        </w:rPr>
      </w:pPr>
      <w:r w:rsidRPr="003445F5">
        <w:rPr>
          <w:szCs w:val="22"/>
          <w:lang w:val="sr-Latn-ME"/>
        </w:rPr>
        <w:t xml:space="preserve">U ispitivanju faze 3 u kojem se adalimumab primjenjivao kod pedijatrijskih pacijenata sa plak psorijazom, nije primjećeno povećanje vrijednosti ALT-a ≥ 3 x GGN. </w:t>
      </w:r>
    </w:p>
    <w:p w14:paraId="3D38558A" w14:textId="77777777" w:rsidR="00A13B66" w:rsidRPr="003445F5" w:rsidRDefault="00A13B66" w:rsidP="00A13B66">
      <w:pPr>
        <w:rPr>
          <w:szCs w:val="22"/>
          <w:lang w:val="sr-Latn-ME"/>
        </w:rPr>
      </w:pPr>
    </w:p>
    <w:p w14:paraId="353676AF" w14:textId="29C60038" w:rsidR="00A13B66" w:rsidRPr="003445F5" w:rsidRDefault="00A13B66" w:rsidP="00A13B66">
      <w:pPr>
        <w:rPr>
          <w:szCs w:val="22"/>
          <w:lang w:val="sr-Latn-ME"/>
        </w:rPr>
      </w:pPr>
      <w:r w:rsidRPr="003445F5">
        <w:rPr>
          <w:szCs w:val="22"/>
          <w:lang w:val="sr-Latn-ME"/>
        </w:rPr>
        <w:t xml:space="preserve">U kontrolisanim ispitivanjima adalimumaba (početne doze od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praćena dozom od 80 mg nakon dvije </w:t>
      </w:r>
      <w:r w:rsidR="00551F1D" w:rsidRPr="003445F5">
        <w:rPr>
          <w:szCs w:val="22"/>
          <w:lang w:val="sr-Latn-ME"/>
        </w:rPr>
        <w:t>nedjelj</w:t>
      </w:r>
      <w:r w:rsidR="0047711E" w:rsidRPr="003445F5">
        <w:rPr>
          <w:szCs w:val="22"/>
          <w:lang w:val="sr-Latn-ME"/>
        </w:rPr>
        <w:t>e</w:t>
      </w:r>
      <w:r w:rsidRPr="003445F5">
        <w:rPr>
          <w:szCs w:val="22"/>
          <w:lang w:val="sr-Latn-ME"/>
        </w:rPr>
        <w:t xml:space="preserve">, a zatim dozama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počevši od 4. </w:t>
      </w:r>
      <w:r w:rsidR="00551F1D" w:rsidRPr="003445F5">
        <w:rPr>
          <w:szCs w:val="22"/>
          <w:lang w:val="sr-Latn-ME"/>
        </w:rPr>
        <w:t>nedjelj</w:t>
      </w:r>
      <w:r w:rsidR="0047711E" w:rsidRPr="003445F5">
        <w:rPr>
          <w:szCs w:val="22"/>
          <w:lang w:val="sr-Latn-ME"/>
        </w:rPr>
        <w:t>e</w:t>
      </w:r>
      <w:r w:rsidRPr="003445F5">
        <w:rPr>
          <w:szCs w:val="22"/>
          <w:lang w:val="sr-Latn-ME"/>
        </w:rPr>
        <w:t>) kod pacijenata sa gnojnim zapaljenjem znojnih žlijezda (</w:t>
      </w:r>
      <w:r w:rsidRPr="003445F5">
        <w:rPr>
          <w:i/>
          <w:iCs/>
          <w:szCs w:val="22"/>
          <w:lang w:val="sr-Latn-ME"/>
        </w:rPr>
        <w:t>hidradenitis suppurativa</w:t>
      </w:r>
      <w:r w:rsidRPr="003445F5">
        <w:rPr>
          <w:szCs w:val="22"/>
          <w:lang w:val="sr-Latn-ME"/>
        </w:rPr>
        <w:t xml:space="preserve">), uz kontrolni period u trajanju od 12 do 16 nedjelja, povećane vrijednosti ALT-a ≥ 3 x GGN zabilježeni su kod 0,3% pacijenata liječenih adalimumabom i 0,6% pacijenata iz kontrolne grupe. </w:t>
      </w:r>
    </w:p>
    <w:p w14:paraId="1D738091" w14:textId="77777777" w:rsidR="005A1CDE" w:rsidRPr="003445F5" w:rsidRDefault="005A1CDE" w:rsidP="005A1CDE">
      <w:pPr>
        <w:rPr>
          <w:szCs w:val="22"/>
          <w:lang w:val="sr-Latn-ME"/>
        </w:rPr>
      </w:pPr>
    </w:p>
    <w:p w14:paraId="2F0DFFE4" w14:textId="4155B5C4" w:rsidR="00DF3352" w:rsidRPr="003445F5" w:rsidRDefault="00DF3352" w:rsidP="00DF3352">
      <w:pPr>
        <w:rPr>
          <w:szCs w:val="22"/>
          <w:lang w:val="sr-Latn-ME"/>
        </w:rPr>
      </w:pPr>
      <w:r w:rsidRPr="003445F5">
        <w:rPr>
          <w:szCs w:val="22"/>
          <w:lang w:val="sr-Latn-ME"/>
        </w:rPr>
        <w:lastRenderedPageBreak/>
        <w:t xml:space="preserve">U kontrolisanim ispitivanjima adalimumaba (početne doze od 80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nakon kojih </w:t>
      </w:r>
      <w:r w:rsidR="004A0CF7" w:rsidRPr="003445F5">
        <w:rPr>
          <w:szCs w:val="22"/>
          <w:lang w:val="sr-Latn-ME"/>
        </w:rPr>
        <w:t>slijede</w:t>
      </w:r>
      <w:r w:rsidRPr="003445F5">
        <w:rPr>
          <w:szCs w:val="22"/>
          <w:lang w:val="sr-Latn-ME"/>
        </w:rPr>
        <w:t xml:space="preserve"> doze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počevši od 1. </w:t>
      </w:r>
      <w:r w:rsidR="00551F1D" w:rsidRPr="003445F5">
        <w:rPr>
          <w:szCs w:val="22"/>
          <w:lang w:val="sr-Latn-ME"/>
        </w:rPr>
        <w:t>nedjelj</w:t>
      </w:r>
      <w:r w:rsidR="0047711E" w:rsidRPr="003445F5">
        <w:rPr>
          <w:szCs w:val="22"/>
          <w:lang w:val="sr-Latn-ME"/>
        </w:rPr>
        <w:t>e</w:t>
      </w:r>
      <w:r w:rsidRPr="003445F5">
        <w:rPr>
          <w:szCs w:val="22"/>
          <w:lang w:val="sr-Latn-ME"/>
        </w:rPr>
        <w:t xml:space="preserve">) kod odraslih pacijenata sa uveitisom u trajanju do 80 nedjelja, sa medijanom izloženosti od 166,5 dana kod pacijenata liječenih adalimumabom i 105,0 dana kod pacijenata iz kontrolne grupe, povećanje vrijednosti ALT-a ≥ 3 x GGN zabilježene su kod 2,4% pacijenata liječenih adalimumabom i 2,4% pacijenata iz kontrolne grupe. </w:t>
      </w:r>
    </w:p>
    <w:p w14:paraId="471E8EDE" w14:textId="77777777" w:rsidR="00DF3352" w:rsidRPr="003445F5" w:rsidRDefault="00DF3352" w:rsidP="00DF3352">
      <w:pPr>
        <w:rPr>
          <w:szCs w:val="22"/>
          <w:lang w:val="sr-Latn-ME"/>
        </w:rPr>
      </w:pPr>
    </w:p>
    <w:p w14:paraId="7A5BA799" w14:textId="06299F73" w:rsidR="00DF3352" w:rsidRPr="003445F5" w:rsidRDefault="00DF3352" w:rsidP="00DF3352">
      <w:pPr>
        <w:rPr>
          <w:szCs w:val="22"/>
          <w:lang w:val="sr-Latn-ME"/>
        </w:rPr>
      </w:pPr>
      <w:r w:rsidRPr="003445F5">
        <w:rPr>
          <w:szCs w:val="22"/>
          <w:lang w:val="sr-Latn-ME"/>
        </w:rPr>
        <w:t xml:space="preserve">U kontrolisanom ispitivanju faze 3 adalimumaba kod pacijenata sa pedijatrijskim ulceroznim kolitisom (N=93) u kojima su procjenjivani efikasnost i bezbjednost doze održavanja od 0,6 mg/kg (maksimalno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(N=31) i doze održavanja od 0,6 mg/kg (maksimalno 40 mg) svake </w:t>
      </w:r>
      <w:r w:rsidR="00551F1D" w:rsidRPr="003445F5">
        <w:rPr>
          <w:szCs w:val="22"/>
          <w:lang w:val="sr-Latn-ME"/>
        </w:rPr>
        <w:t>nedjelj</w:t>
      </w:r>
      <w:r w:rsidR="0047711E" w:rsidRPr="003445F5">
        <w:rPr>
          <w:szCs w:val="22"/>
          <w:lang w:val="sr-Latn-ME"/>
        </w:rPr>
        <w:t>e</w:t>
      </w:r>
      <w:r w:rsidRPr="003445F5">
        <w:rPr>
          <w:szCs w:val="22"/>
          <w:lang w:val="sr-Latn-ME"/>
        </w:rPr>
        <w:t xml:space="preserve"> (N=32), nakon indukcione doze prilagođene tjelesnoj masi od 2,4 mg/kg (maksimalno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w:t>
      </w:r>
      <w:r w:rsidRPr="003445F5">
        <w:rPr>
          <w:szCs w:val="22"/>
          <w:lang w:val="sr-Latn-ME"/>
        </w:rPr>
        <w:t xml:space="preserve"> 0) i 1. </w:t>
      </w:r>
      <w:r w:rsidR="00551F1D" w:rsidRPr="003445F5">
        <w:rPr>
          <w:szCs w:val="22"/>
          <w:lang w:val="sr-Latn-ME"/>
        </w:rPr>
        <w:t>nedjelj</w:t>
      </w:r>
      <w:r w:rsidR="00704AF5" w:rsidRPr="003445F5">
        <w:rPr>
          <w:szCs w:val="22"/>
          <w:lang w:val="sr-Latn-ME"/>
        </w:rPr>
        <w:t>i</w:t>
      </w:r>
      <w:r w:rsidRPr="003445F5">
        <w:rPr>
          <w:szCs w:val="22"/>
          <w:lang w:val="sr-Latn-ME"/>
        </w:rPr>
        <w:t xml:space="preserve">, i 1,2 mg/kg (maksimalno 80 mg) u 2. </w:t>
      </w:r>
      <w:r w:rsidR="00551F1D" w:rsidRPr="003445F5">
        <w:rPr>
          <w:szCs w:val="22"/>
          <w:lang w:val="sr-Latn-ME"/>
        </w:rPr>
        <w:t>nedjelj</w:t>
      </w:r>
      <w:r w:rsidR="00704AF5" w:rsidRPr="003445F5">
        <w:rPr>
          <w:szCs w:val="22"/>
          <w:lang w:val="sr-Latn-ME"/>
        </w:rPr>
        <w:t>i</w:t>
      </w:r>
      <w:r w:rsidRPr="003445F5">
        <w:rPr>
          <w:szCs w:val="22"/>
          <w:lang w:val="sr-Latn-ME"/>
        </w:rPr>
        <w:t xml:space="preserve"> (N=63), ili nakon indukcione doze od 2,4 mg/kg (maksimalno 160 mg) u 0. </w:t>
      </w:r>
      <w:r w:rsidR="00551F1D" w:rsidRPr="003445F5">
        <w:rPr>
          <w:szCs w:val="22"/>
          <w:lang w:val="sr-Latn-ME"/>
        </w:rPr>
        <w:t>nedjelj</w:t>
      </w:r>
      <w:r w:rsidR="00704AF5" w:rsidRPr="003445F5">
        <w:rPr>
          <w:szCs w:val="22"/>
          <w:lang w:val="sr-Latn-ME"/>
        </w:rPr>
        <w:t>i</w:t>
      </w:r>
      <w:r w:rsidRPr="003445F5">
        <w:rPr>
          <w:szCs w:val="22"/>
          <w:lang w:val="sr-Latn-ME"/>
        </w:rPr>
        <w:t xml:space="preserve">, placebo u 1. </w:t>
      </w:r>
      <w:r w:rsidR="00551F1D" w:rsidRPr="003445F5">
        <w:rPr>
          <w:szCs w:val="22"/>
          <w:lang w:val="sr-Latn-ME"/>
        </w:rPr>
        <w:t>nedjelj</w:t>
      </w:r>
      <w:r w:rsidR="00704AF5" w:rsidRPr="003445F5">
        <w:rPr>
          <w:szCs w:val="22"/>
          <w:lang w:val="sr-Latn-ME"/>
        </w:rPr>
        <w:t>i</w:t>
      </w:r>
      <w:r w:rsidRPr="003445F5">
        <w:rPr>
          <w:szCs w:val="22"/>
          <w:lang w:val="sr-Latn-ME"/>
        </w:rPr>
        <w:t xml:space="preserve"> i 1,2 mg/kg (maksimalno 80 mg) u 2. </w:t>
      </w:r>
      <w:r w:rsidR="00551F1D" w:rsidRPr="003445F5">
        <w:rPr>
          <w:szCs w:val="22"/>
          <w:lang w:val="sr-Latn-ME"/>
        </w:rPr>
        <w:t>nedjelj</w:t>
      </w:r>
      <w:r w:rsidR="00704AF5" w:rsidRPr="003445F5">
        <w:rPr>
          <w:szCs w:val="22"/>
          <w:lang w:val="sr-Latn-ME"/>
        </w:rPr>
        <w:t>i</w:t>
      </w:r>
      <w:r w:rsidRPr="003445F5">
        <w:rPr>
          <w:szCs w:val="22"/>
          <w:lang w:val="sr-Latn-ME"/>
        </w:rPr>
        <w:t xml:space="preserve"> (N=30), povećanje vrijednosti ALT ≥ 3 x GGN javilo se kod 1,1% (1/93) pacijenata.</w:t>
      </w:r>
    </w:p>
    <w:p w14:paraId="29398754" w14:textId="77777777" w:rsidR="00DF3352" w:rsidRPr="003445F5" w:rsidRDefault="00DF3352" w:rsidP="00DF3352">
      <w:pPr>
        <w:rPr>
          <w:szCs w:val="22"/>
          <w:lang w:val="sr-Latn-ME"/>
        </w:rPr>
      </w:pPr>
    </w:p>
    <w:p w14:paraId="1F0966FA" w14:textId="77777777" w:rsidR="00DF3352" w:rsidRPr="003445F5" w:rsidRDefault="00DF3352" w:rsidP="00DF3352">
      <w:pPr>
        <w:rPr>
          <w:szCs w:val="22"/>
          <w:u w:val="single"/>
          <w:lang w:val="sr-Latn-ME"/>
        </w:rPr>
      </w:pPr>
      <w:r w:rsidRPr="003445F5">
        <w:rPr>
          <w:szCs w:val="22"/>
          <w:lang w:val="sr-Latn-ME"/>
        </w:rPr>
        <w:t>U svim ispitivanjima, u svim indikacijama, pacijenti sa povećanim vrijednostima ALT su bili asimptomatični i u većini slučajeva povećanje vrijednosti je bilo prolazno i riješilo se tokom samog liječenja. Međutim, postoje postmarketinški izvještaji insuficijencije jetre, kao i manje ozbiljnih reakcija koje mogu prethoditi otkazivanju funkcije jetre kao što su hepatitis, uključujući autoimunski hepatitis, kod pacijenata koji su primali adalimumab.</w:t>
      </w:r>
    </w:p>
    <w:p w14:paraId="286C48CE" w14:textId="77777777" w:rsidR="005A1CDE" w:rsidRPr="003445F5" w:rsidRDefault="005A1CDE" w:rsidP="005A1CDE">
      <w:pPr>
        <w:rPr>
          <w:noProof/>
          <w:szCs w:val="22"/>
          <w:u w:val="single"/>
          <w:lang w:val="sr-Latn-ME"/>
        </w:rPr>
      </w:pPr>
    </w:p>
    <w:p w14:paraId="53F8FD23" w14:textId="77777777" w:rsidR="00BF3C07" w:rsidRPr="003445F5" w:rsidRDefault="00BF3C07" w:rsidP="00BF3C07">
      <w:pPr>
        <w:rPr>
          <w:szCs w:val="22"/>
          <w:u w:val="single"/>
          <w:lang w:val="sr-Latn-ME"/>
        </w:rPr>
      </w:pPr>
      <w:r w:rsidRPr="003445F5">
        <w:rPr>
          <w:szCs w:val="22"/>
          <w:u w:val="single"/>
          <w:lang w:val="sr-Latn-ME"/>
        </w:rPr>
        <w:t xml:space="preserve">Istovremena primjena sa azatioprinom ili 6-merkaptopurinom </w:t>
      </w:r>
    </w:p>
    <w:p w14:paraId="12140501" w14:textId="77777777" w:rsidR="00BF3C07" w:rsidRPr="003445F5" w:rsidRDefault="00BF3C07" w:rsidP="00BF3C07">
      <w:pPr>
        <w:rPr>
          <w:szCs w:val="22"/>
          <w:lang w:val="sr-Latn-ME"/>
        </w:rPr>
      </w:pPr>
    </w:p>
    <w:p w14:paraId="2510B050" w14:textId="77777777" w:rsidR="00BF3C07" w:rsidRPr="003445F5" w:rsidRDefault="00BF3C07" w:rsidP="00BF3C07">
      <w:pPr>
        <w:rPr>
          <w:szCs w:val="22"/>
          <w:u w:val="single"/>
          <w:lang w:val="sr-Latn-ME"/>
        </w:rPr>
      </w:pPr>
      <w:r w:rsidRPr="003445F5">
        <w:rPr>
          <w:szCs w:val="22"/>
          <w:lang w:val="sr-Latn-ME"/>
        </w:rPr>
        <w:t xml:space="preserve">U ispitivanjima kod odraslih pacijenata sa </w:t>
      </w:r>
      <w:r w:rsidRPr="003445F5">
        <w:rPr>
          <w:i/>
          <w:iCs/>
          <w:szCs w:val="22"/>
          <w:lang w:val="sr-Latn-ME"/>
        </w:rPr>
        <w:t>Crohn</w:t>
      </w:r>
      <w:r w:rsidRPr="003445F5">
        <w:rPr>
          <w:szCs w:val="22"/>
          <w:lang w:val="sr-Latn-ME"/>
        </w:rPr>
        <w:t>-ovom bolešću, uočena je veća učestalost malignih i ozbiljnih neželjenih događaja povezanih sa infekcijama prilikom istovremene upotrebe adalimumaba i azatioprina/6-merkaptopurina u poređenju sa monoterapijom adalimumabom.</w:t>
      </w:r>
    </w:p>
    <w:p w14:paraId="0C48A257" w14:textId="77777777" w:rsidR="00BF3C07" w:rsidRPr="003445F5" w:rsidRDefault="00BF3C07" w:rsidP="00BF3C07">
      <w:pPr>
        <w:rPr>
          <w:szCs w:val="22"/>
          <w:u w:val="single"/>
          <w:lang w:val="sr-Latn-ME"/>
        </w:rPr>
      </w:pPr>
    </w:p>
    <w:p w14:paraId="59889CB3" w14:textId="18C6362F" w:rsidR="00BF3C07" w:rsidRPr="003445F5" w:rsidRDefault="00BF3C07" w:rsidP="00BF3C07">
      <w:pPr>
        <w:rPr>
          <w:szCs w:val="22"/>
          <w:u w:val="single"/>
          <w:lang w:val="sr-Latn-ME"/>
        </w:rPr>
      </w:pPr>
      <w:r w:rsidRPr="003445F5">
        <w:rPr>
          <w:szCs w:val="22"/>
          <w:u w:val="single"/>
          <w:lang w:val="sr-Latn-ME"/>
        </w:rPr>
        <w:t>Prijavljivanje</w:t>
      </w:r>
      <w:r w:rsidR="00B16325" w:rsidRPr="003445F5">
        <w:rPr>
          <w:szCs w:val="22"/>
          <w:u w:val="single"/>
          <w:lang w:val="sr-Latn-ME"/>
        </w:rPr>
        <w:t xml:space="preserve"> sumnji na</w:t>
      </w:r>
      <w:r w:rsidRPr="003445F5">
        <w:rPr>
          <w:szCs w:val="22"/>
          <w:u w:val="single"/>
          <w:lang w:val="sr-Latn-ME"/>
        </w:rPr>
        <w:t xml:space="preserve"> neželjen</w:t>
      </w:r>
      <w:r w:rsidR="00B16325" w:rsidRPr="003445F5">
        <w:rPr>
          <w:szCs w:val="22"/>
          <w:u w:val="single"/>
          <w:lang w:val="sr-Latn-ME"/>
        </w:rPr>
        <w:t>a</w:t>
      </w:r>
      <w:r w:rsidRPr="003445F5">
        <w:rPr>
          <w:szCs w:val="22"/>
          <w:u w:val="single"/>
          <w:lang w:val="sr-Latn-ME"/>
        </w:rPr>
        <w:t xml:space="preserve"> </w:t>
      </w:r>
      <w:r w:rsidR="00B16325" w:rsidRPr="003445F5">
        <w:rPr>
          <w:szCs w:val="22"/>
          <w:u w:val="single"/>
          <w:lang w:val="sr-Latn-ME"/>
        </w:rPr>
        <w:t>de</w:t>
      </w:r>
      <w:r w:rsidRPr="003445F5">
        <w:rPr>
          <w:szCs w:val="22"/>
          <w:u w:val="single"/>
          <w:lang w:val="sr-Latn-ME"/>
        </w:rPr>
        <w:t>j</w:t>
      </w:r>
      <w:r w:rsidR="00B16325" w:rsidRPr="003445F5">
        <w:rPr>
          <w:szCs w:val="22"/>
          <w:u w:val="single"/>
          <w:lang w:val="sr-Latn-ME"/>
        </w:rPr>
        <w:t>stv</w:t>
      </w:r>
      <w:r w:rsidRPr="003445F5">
        <w:rPr>
          <w:szCs w:val="22"/>
          <w:u w:val="single"/>
          <w:lang w:val="sr-Latn-ME"/>
        </w:rPr>
        <w:t>a</w:t>
      </w:r>
    </w:p>
    <w:p w14:paraId="68F06899" w14:textId="77777777" w:rsidR="00BF3C07" w:rsidRPr="003445F5" w:rsidRDefault="00BF3C07" w:rsidP="00BF3C07">
      <w:pPr>
        <w:rPr>
          <w:szCs w:val="22"/>
          <w:u w:val="single"/>
          <w:lang w:val="sr-Latn-ME"/>
        </w:rPr>
      </w:pPr>
    </w:p>
    <w:p w14:paraId="69E9B329" w14:textId="648763D3" w:rsidR="00BF3C07" w:rsidRPr="003445F5" w:rsidRDefault="00BF3C07" w:rsidP="00BF3C07">
      <w:pPr>
        <w:spacing w:after="200"/>
        <w:rPr>
          <w:rFonts w:eastAsia="Calibri"/>
          <w:szCs w:val="22"/>
          <w:lang w:val="sr-Latn-ME"/>
        </w:rPr>
      </w:pPr>
      <w:r w:rsidRPr="003445F5">
        <w:rPr>
          <w:rFonts w:eastAsia="Calibri"/>
          <w:szCs w:val="22"/>
          <w:lang w:val="sr-Latn-ME"/>
        </w:rPr>
        <w:t>Prijavljivanje neželjenih dejstava nakon dobijanja dozvole je od velikog značaja jer </w:t>
      </w:r>
      <w:r w:rsidR="00704AF5" w:rsidRPr="003445F5">
        <w:rPr>
          <w:rFonts w:eastAsia="Calibri"/>
          <w:szCs w:val="22"/>
          <w:lang w:val="sr-Latn-ME"/>
        </w:rPr>
        <w:t>obije</w:t>
      </w:r>
      <w:r w:rsidRPr="003445F5">
        <w:rPr>
          <w:rFonts w:eastAsia="Calibri"/>
          <w:szCs w:val="22"/>
          <w:lang w:val="sr-Latn-ME"/>
        </w:rPr>
        <w:t>zbjeđuje kontinuirano praćenje odnosa korist/rizik primjene lijeka. Zdravstveni radnici treba da prijave svaku sumnju na neželjeno dejstvo ovog lijeka Institutu za ljekove i medicinska sredstva (CInMED):</w:t>
      </w:r>
    </w:p>
    <w:p w14:paraId="458B1638" w14:textId="77777777" w:rsidR="00BF3C07" w:rsidRPr="003445F5" w:rsidRDefault="00BF3C07" w:rsidP="00BF3C07">
      <w:pPr>
        <w:pStyle w:val="NoSpacing"/>
        <w:jc w:val="both"/>
        <w:rPr>
          <w:rFonts w:eastAsia="Calibri"/>
          <w:sz w:val="22"/>
          <w:szCs w:val="22"/>
          <w:lang w:val="sr-Latn-ME"/>
        </w:rPr>
      </w:pPr>
      <w:r w:rsidRPr="003445F5">
        <w:rPr>
          <w:rFonts w:eastAsia="Calibri"/>
          <w:sz w:val="22"/>
          <w:szCs w:val="22"/>
          <w:lang w:val="sr-Latn-ME"/>
        </w:rPr>
        <w:t xml:space="preserve">Institut za ljekove i medicinska sredstva </w:t>
      </w:r>
    </w:p>
    <w:p w14:paraId="03E03285" w14:textId="77777777" w:rsidR="00BF3C07" w:rsidRPr="003445F5" w:rsidRDefault="00BF3C07" w:rsidP="00BF3C07">
      <w:pPr>
        <w:pStyle w:val="NoSpacing"/>
        <w:jc w:val="both"/>
        <w:rPr>
          <w:rFonts w:eastAsia="Calibri"/>
          <w:sz w:val="22"/>
          <w:szCs w:val="22"/>
          <w:lang w:val="sr-Latn-ME"/>
        </w:rPr>
      </w:pPr>
      <w:r w:rsidRPr="003445F5">
        <w:rPr>
          <w:rFonts w:eastAsia="Calibri"/>
          <w:sz w:val="22"/>
          <w:szCs w:val="22"/>
          <w:lang w:val="sr-Latn-ME"/>
        </w:rPr>
        <w:t>Odjeljenje za farmakovigilancu</w:t>
      </w:r>
    </w:p>
    <w:p w14:paraId="4AFED96E" w14:textId="77777777" w:rsidR="00BF3C07" w:rsidRPr="003445F5" w:rsidRDefault="00BF3C07" w:rsidP="00BF3C07">
      <w:pPr>
        <w:pStyle w:val="NoSpacing"/>
        <w:jc w:val="both"/>
        <w:rPr>
          <w:rFonts w:eastAsia="Calibri"/>
          <w:sz w:val="22"/>
          <w:szCs w:val="22"/>
          <w:lang w:val="sr-Latn-ME"/>
        </w:rPr>
      </w:pPr>
      <w:r w:rsidRPr="003445F5">
        <w:rPr>
          <w:rFonts w:eastAsia="Calibri"/>
          <w:sz w:val="22"/>
          <w:szCs w:val="22"/>
          <w:lang w:val="sr-Latn-ME"/>
        </w:rPr>
        <w:t>Bulevar Ivana Crnojevića 64a, 81000 Podgorica</w:t>
      </w:r>
    </w:p>
    <w:p w14:paraId="2DE824E2" w14:textId="77777777" w:rsidR="00BF3C07" w:rsidRPr="003445F5" w:rsidRDefault="00BF3C07" w:rsidP="00BF3C07">
      <w:pPr>
        <w:pStyle w:val="NoSpacing"/>
        <w:rPr>
          <w:rFonts w:eastAsia="Calibri"/>
          <w:sz w:val="22"/>
          <w:szCs w:val="22"/>
          <w:lang w:val="sr-Latn-ME"/>
        </w:rPr>
      </w:pPr>
    </w:p>
    <w:p w14:paraId="3DDBB65D" w14:textId="77777777" w:rsidR="00BF3C07" w:rsidRPr="003445F5" w:rsidRDefault="00BF3C07" w:rsidP="00BF3C07">
      <w:pPr>
        <w:pStyle w:val="NoSpacing"/>
        <w:jc w:val="both"/>
        <w:rPr>
          <w:rFonts w:eastAsia="Calibri"/>
          <w:sz w:val="22"/>
          <w:szCs w:val="22"/>
          <w:lang w:val="sr-Latn-ME"/>
        </w:rPr>
      </w:pPr>
      <w:r w:rsidRPr="003445F5">
        <w:rPr>
          <w:rFonts w:eastAsia="Calibri"/>
          <w:sz w:val="22"/>
          <w:szCs w:val="22"/>
          <w:lang w:val="sr-Latn-ME"/>
        </w:rPr>
        <w:t>tel: +382 (0) 20 310 280</w:t>
      </w:r>
    </w:p>
    <w:p w14:paraId="30EFD378" w14:textId="77777777" w:rsidR="00BF3C07" w:rsidRPr="003445F5" w:rsidRDefault="00BF3C07" w:rsidP="00BF3C07">
      <w:pPr>
        <w:pStyle w:val="NoSpacing"/>
        <w:tabs>
          <w:tab w:val="left" w:pos="6720"/>
        </w:tabs>
        <w:jc w:val="both"/>
        <w:rPr>
          <w:rFonts w:eastAsia="Calibri"/>
          <w:sz w:val="22"/>
          <w:szCs w:val="22"/>
          <w:lang w:val="sr-Latn-ME"/>
        </w:rPr>
      </w:pPr>
      <w:r w:rsidRPr="003445F5">
        <w:rPr>
          <w:rFonts w:eastAsia="Calibri"/>
          <w:sz w:val="22"/>
          <w:szCs w:val="22"/>
          <w:lang w:val="sr-Latn-ME"/>
        </w:rPr>
        <w:t>fax: +382 (0) 20 310 581</w:t>
      </w:r>
      <w:r w:rsidRPr="003445F5">
        <w:rPr>
          <w:rFonts w:eastAsia="Calibri"/>
          <w:sz w:val="22"/>
          <w:szCs w:val="22"/>
          <w:lang w:val="sr-Latn-ME"/>
        </w:rPr>
        <w:tab/>
      </w:r>
    </w:p>
    <w:p w14:paraId="7B907995" w14:textId="77777777" w:rsidR="00BF3C07" w:rsidRPr="003445F5" w:rsidRDefault="00BF64DD" w:rsidP="00BF3C07">
      <w:pPr>
        <w:pStyle w:val="NoSpacing"/>
        <w:jc w:val="both"/>
        <w:rPr>
          <w:rFonts w:eastAsia="Calibri"/>
          <w:sz w:val="22"/>
          <w:szCs w:val="22"/>
          <w:lang w:val="sr-Latn-ME"/>
        </w:rPr>
      </w:pPr>
      <w:hyperlink r:id="rId11" w:history="1">
        <w:r w:rsidR="00BF3C07" w:rsidRPr="003445F5">
          <w:rPr>
            <w:rStyle w:val="Hyperlink"/>
            <w:rFonts w:eastAsia="Calibri"/>
            <w:sz w:val="22"/>
            <w:szCs w:val="22"/>
            <w:lang w:val="sr-Latn-ME"/>
          </w:rPr>
          <w:t>www.cinmed.me</w:t>
        </w:r>
      </w:hyperlink>
    </w:p>
    <w:p w14:paraId="709544E8" w14:textId="77777777" w:rsidR="00BF3C07" w:rsidRPr="003445F5" w:rsidRDefault="00BF64DD" w:rsidP="00BF3C07">
      <w:pPr>
        <w:pStyle w:val="NoSpacing"/>
        <w:jc w:val="both"/>
        <w:rPr>
          <w:rFonts w:eastAsia="Calibri"/>
          <w:color w:val="0000FF"/>
          <w:sz w:val="22"/>
          <w:szCs w:val="22"/>
          <w:u w:val="single"/>
          <w:lang w:val="sr-Latn-ME"/>
        </w:rPr>
      </w:pPr>
      <w:hyperlink r:id="rId12" w:history="1">
        <w:r w:rsidR="00BF3C07" w:rsidRPr="003445F5">
          <w:rPr>
            <w:rStyle w:val="Hyperlink"/>
            <w:rFonts w:eastAsia="Calibri"/>
            <w:sz w:val="22"/>
            <w:szCs w:val="22"/>
            <w:lang w:val="sr-Latn-ME"/>
          </w:rPr>
          <w:t>nezeljenadejstva@cinmed.me</w:t>
        </w:r>
      </w:hyperlink>
    </w:p>
    <w:p w14:paraId="29817B2F" w14:textId="77777777" w:rsidR="00BF3C07" w:rsidRPr="003445F5" w:rsidRDefault="00BF3C07" w:rsidP="00BF3C07">
      <w:pPr>
        <w:pStyle w:val="NoSpacing"/>
        <w:jc w:val="both"/>
        <w:rPr>
          <w:rFonts w:eastAsia="Calibri"/>
          <w:sz w:val="22"/>
          <w:szCs w:val="22"/>
          <w:lang w:val="sr-Latn-ME"/>
        </w:rPr>
      </w:pPr>
      <w:r w:rsidRPr="003445F5">
        <w:rPr>
          <w:rFonts w:eastAsia="Calibri"/>
          <w:sz w:val="22"/>
          <w:szCs w:val="22"/>
          <w:lang w:val="sr-Latn-ME"/>
        </w:rPr>
        <w:t>putem IS zdravstvene zaštite</w:t>
      </w:r>
    </w:p>
    <w:p w14:paraId="675F7A23" w14:textId="77777777" w:rsidR="00BF3C07" w:rsidRPr="003445F5" w:rsidRDefault="00BF3C07" w:rsidP="00BF3C07">
      <w:pPr>
        <w:pStyle w:val="NoSpacing"/>
        <w:jc w:val="both"/>
        <w:rPr>
          <w:rFonts w:eastAsia="Calibri"/>
          <w:sz w:val="22"/>
          <w:szCs w:val="22"/>
          <w:lang w:val="sr-Latn-ME"/>
        </w:rPr>
      </w:pPr>
      <w:r w:rsidRPr="003445F5">
        <w:rPr>
          <w:rFonts w:eastAsia="Calibri"/>
          <w:sz w:val="22"/>
          <w:szCs w:val="22"/>
          <w:lang w:val="sr-Latn-ME"/>
        </w:rPr>
        <w:t>QR kod za online prijavu sumnje na neželjeno dejstvo lijeka:</w:t>
      </w:r>
    </w:p>
    <w:p w14:paraId="54DD762B" w14:textId="77777777" w:rsidR="00BF3C07" w:rsidRPr="003445F5" w:rsidRDefault="00BF3C07" w:rsidP="00BF3C07">
      <w:pPr>
        <w:pStyle w:val="NoSpacing"/>
        <w:jc w:val="both"/>
        <w:rPr>
          <w:rFonts w:eastAsia="Calibri"/>
          <w:sz w:val="22"/>
          <w:szCs w:val="22"/>
          <w:lang w:val="sr-Latn-ME"/>
        </w:rPr>
      </w:pPr>
    </w:p>
    <w:p w14:paraId="4F0B2736" w14:textId="07196C4A" w:rsidR="00BF3C07" w:rsidRPr="003445F5" w:rsidRDefault="00180D36" w:rsidP="00BF3C07">
      <w:pPr>
        <w:pStyle w:val="NoSpacing"/>
        <w:rPr>
          <w:rFonts w:eastAsia="Calibri"/>
          <w:sz w:val="22"/>
          <w:szCs w:val="22"/>
          <w:lang w:val="sr-Latn-ME"/>
        </w:rPr>
      </w:pPr>
      <w:r w:rsidRPr="003445F5">
        <w:rPr>
          <w:noProof/>
          <w:sz w:val="22"/>
          <w:szCs w:val="22"/>
        </w:rPr>
        <w:drawing>
          <wp:inline distT="0" distB="0" distL="0" distR="0" wp14:anchorId="12C05B24" wp14:editId="7875356A">
            <wp:extent cx="982980" cy="975360"/>
            <wp:effectExtent l="0" t="0" r="7620" b="0"/>
            <wp:docPr id="544051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980" cy="975360"/>
                    </a:xfrm>
                    <a:prstGeom prst="rect">
                      <a:avLst/>
                    </a:prstGeom>
                    <a:noFill/>
                    <a:ln>
                      <a:noFill/>
                    </a:ln>
                  </pic:spPr>
                </pic:pic>
              </a:graphicData>
            </a:graphic>
          </wp:inline>
        </w:drawing>
      </w:r>
    </w:p>
    <w:p w14:paraId="79EC296A" w14:textId="77777777" w:rsidR="00BF3C07" w:rsidRPr="003445F5" w:rsidRDefault="00BF3C07" w:rsidP="00BF3C07">
      <w:pPr>
        <w:rPr>
          <w:szCs w:val="22"/>
          <w:lang w:val="sr-Latn-ME"/>
        </w:rPr>
      </w:pPr>
    </w:p>
    <w:p w14:paraId="73FDCFCD" w14:textId="77777777" w:rsidR="00BF3C07" w:rsidRPr="003445F5" w:rsidRDefault="00BF3C07" w:rsidP="00BF3C07">
      <w:pPr>
        <w:rPr>
          <w:b/>
          <w:bCs/>
          <w:szCs w:val="22"/>
          <w:lang w:val="sr-Latn-ME"/>
        </w:rPr>
      </w:pPr>
      <w:r w:rsidRPr="003445F5">
        <w:rPr>
          <w:b/>
          <w:bCs/>
          <w:szCs w:val="22"/>
          <w:lang w:val="sr-Latn-ME"/>
        </w:rPr>
        <w:t>4.9. Predoziranje</w:t>
      </w:r>
    </w:p>
    <w:p w14:paraId="6B19D4E5" w14:textId="77777777" w:rsidR="00BF3C07" w:rsidRPr="003445F5" w:rsidRDefault="00BF3C07" w:rsidP="00BF3C07">
      <w:pPr>
        <w:rPr>
          <w:szCs w:val="22"/>
          <w:lang w:val="sr-Latn-ME"/>
        </w:rPr>
      </w:pPr>
    </w:p>
    <w:p w14:paraId="590944E9" w14:textId="44B97ADF" w:rsidR="00BF3C07" w:rsidRPr="003445F5" w:rsidRDefault="00BF3C07" w:rsidP="00BF3C07">
      <w:pPr>
        <w:rPr>
          <w:szCs w:val="22"/>
          <w:lang w:val="sr-Latn-ME"/>
        </w:rPr>
      </w:pPr>
      <w:r w:rsidRPr="003445F5">
        <w:rPr>
          <w:szCs w:val="22"/>
          <w:lang w:val="sr-Latn-ME"/>
        </w:rPr>
        <w:lastRenderedPageBreak/>
        <w:t xml:space="preserve">U kliničkim ispitivanjima nisu </w:t>
      </w:r>
      <w:r w:rsidR="00704AF5" w:rsidRPr="003445F5">
        <w:rPr>
          <w:szCs w:val="22"/>
          <w:lang w:val="sr-Latn-ME"/>
        </w:rPr>
        <w:t>primijećene</w:t>
      </w:r>
      <w:r w:rsidRPr="003445F5">
        <w:rPr>
          <w:szCs w:val="22"/>
          <w:lang w:val="sr-Latn-ME"/>
        </w:rPr>
        <w:t xml:space="preserve"> toksične reakcije koje bi ograničavale dozu. Najveća ispitivana doza bila je višestruka intravenska doza od 10 mg/kg, koja je oko 15 puta veća od preporučene doze.</w:t>
      </w:r>
    </w:p>
    <w:p w14:paraId="1F30580E" w14:textId="77777777" w:rsidR="00FB543A" w:rsidRPr="003445F5" w:rsidRDefault="00FB543A" w:rsidP="00524FDF">
      <w:pPr>
        <w:pStyle w:val="NASLOV123"/>
        <w:spacing w:before="0" w:after="0"/>
        <w:rPr>
          <w:lang w:val="sr-Latn-ME"/>
        </w:rPr>
      </w:pPr>
    </w:p>
    <w:p w14:paraId="785892BD" w14:textId="77777777" w:rsidR="00FB543A" w:rsidRPr="003445F5" w:rsidRDefault="00FB543A" w:rsidP="00524FDF">
      <w:pPr>
        <w:pStyle w:val="NASLOV123"/>
        <w:spacing w:before="0" w:after="0"/>
        <w:rPr>
          <w:lang w:val="sr-Latn-ME"/>
        </w:rPr>
      </w:pPr>
    </w:p>
    <w:p w14:paraId="072D43E4" w14:textId="1CAEC8C3" w:rsidR="00CE09F3" w:rsidRPr="003445F5" w:rsidRDefault="00CE09F3" w:rsidP="00524FDF">
      <w:pPr>
        <w:pStyle w:val="NASLOV123"/>
        <w:spacing w:before="0" w:after="0"/>
        <w:rPr>
          <w:lang w:val="sr-Latn-ME"/>
        </w:rPr>
      </w:pPr>
      <w:r w:rsidRPr="003445F5">
        <w:rPr>
          <w:lang w:val="sr-Latn-ME"/>
        </w:rPr>
        <w:t>5. FARMAKOLOŠKI PODACI</w:t>
      </w:r>
    </w:p>
    <w:p w14:paraId="291A50A1" w14:textId="77777777" w:rsidR="00FB543A" w:rsidRPr="003445F5" w:rsidRDefault="00FB543A" w:rsidP="00524FDF">
      <w:pPr>
        <w:rPr>
          <w:b/>
          <w:bCs/>
          <w:szCs w:val="22"/>
          <w:lang w:val="sr-Latn-ME"/>
        </w:rPr>
      </w:pPr>
    </w:p>
    <w:p w14:paraId="072D43E5" w14:textId="6061F5A9" w:rsidR="00CE09F3" w:rsidRPr="003445F5" w:rsidRDefault="00CE09F3" w:rsidP="00524FDF">
      <w:pPr>
        <w:rPr>
          <w:b/>
          <w:bCs/>
          <w:szCs w:val="22"/>
          <w:lang w:val="sr-Latn-ME"/>
        </w:rPr>
      </w:pPr>
      <w:r w:rsidRPr="003445F5">
        <w:rPr>
          <w:b/>
          <w:bCs/>
          <w:szCs w:val="22"/>
          <w:lang w:val="sr-Latn-ME"/>
        </w:rPr>
        <w:t>5.1. Farmakodinamski podaci</w:t>
      </w:r>
    </w:p>
    <w:p w14:paraId="528901CC" w14:textId="77777777" w:rsidR="00FB543A" w:rsidRPr="003445F5" w:rsidRDefault="00FB543A" w:rsidP="00524FDF">
      <w:pPr>
        <w:rPr>
          <w:b/>
          <w:bCs/>
          <w:szCs w:val="22"/>
          <w:lang w:val="sr-Latn-ME"/>
        </w:rPr>
      </w:pPr>
    </w:p>
    <w:p w14:paraId="072D43E6" w14:textId="7193EA1B" w:rsidR="00CE09F3" w:rsidRPr="003445F5" w:rsidRDefault="00CE09F3" w:rsidP="00524FDF">
      <w:pPr>
        <w:rPr>
          <w:b/>
          <w:bCs/>
          <w:szCs w:val="22"/>
          <w:lang w:val="sr-Latn-ME"/>
        </w:rPr>
      </w:pPr>
      <w:r w:rsidRPr="003445F5">
        <w:rPr>
          <w:b/>
          <w:bCs/>
          <w:szCs w:val="22"/>
          <w:lang w:val="sr-Latn-ME"/>
        </w:rPr>
        <w:t>Farmakoterapijska grupa:</w:t>
      </w:r>
      <w:r w:rsidR="00641378" w:rsidRPr="003445F5">
        <w:rPr>
          <w:szCs w:val="22"/>
          <w:lang w:val="sr-Latn-ME"/>
        </w:rPr>
        <w:t xml:space="preserve"> imunosupresivna sredstva; inhibitori faktora nekroze tumora alfa (TNF-α).</w:t>
      </w:r>
    </w:p>
    <w:p w14:paraId="072D43E8" w14:textId="671213A0" w:rsidR="00CE09F3" w:rsidRPr="003445F5" w:rsidRDefault="00CE09F3" w:rsidP="00524FDF">
      <w:pPr>
        <w:rPr>
          <w:b/>
          <w:bCs/>
          <w:szCs w:val="22"/>
          <w:lang w:val="sr-Latn-ME"/>
        </w:rPr>
      </w:pPr>
      <w:r w:rsidRPr="003445F5">
        <w:rPr>
          <w:b/>
          <w:bCs/>
          <w:szCs w:val="22"/>
          <w:lang w:val="sr-Latn-ME"/>
        </w:rPr>
        <w:t xml:space="preserve">ATC </w:t>
      </w:r>
      <w:r w:rsidR="002B0201" w:rsidRPr="003445F5">
        <w:rPr>
          <w:b/>
          <w:bCs/>
          <w:szCs w:val="22"/>
          <w:lang w:val="sr-Latn-ME"/>
        </w:rPr>
        <w:t>kod</w:t>
      </w:r>
      <w:r w:rsidRPr="003445F5">
        <w:rPr>
          <w:b/>
          <w:bCs/>
          <w:szCs w:val="22"/>
          <w:lang w:val="sr-Latn-ME"/>
        </w:rPr>
        <w:t>:</w:t>
      </w:r>
      <w:r w:rsidR="00641378" w:rsidRPr="003445F5">
        <w:rPr>
          <w:b/>
          <w:bCs/>
          <w:szCs w:val="22"/>
          <w:lang w:val="sr-Latn-ME"/>
        </w:rPr>
        <w:t xml:space="preserve"> </w:t>
      </w:r>
      <w:r w:rsidR="00641378" w:rsidRPr="003445F5">
        <w:rPr>
          <w:szCs w:val="22"/>
          <w:lang w:val="sr-Latn-ME"/>
        </w:rPr>
        <w:t>L04AB04</w:t>
      </w:r>
    </w:p>
    <w:p w14:paraId="072D43E9" w14:textId="1B054F6A" w:rsidR="00CE09F3" w:rsidRPr="003445F5" w:rsidRDefault="00CE09F3" w:rsidP="00524FDF">
      <w:pPr>
        <w:rPr>
          <w:szCs w:val="22"/>
          <w:lang w:val="sr-Latn-ME"/>
        </w:rPr>
      </w:pPr>
    </w:p>
    <w:p w14:paraId="013122A3" w14:textId="77777777" w:rsidR="00340F3C" w:rsidRPr="003445F5" w:rsidRDefault="00340F3C" w:rsidP="00340F3C">
      <w:pPr>
        <w:rPr>
          <w:szCs w:val="22"/>
          <w:lang w:val="sr-Latn-ME"/>
        </w:rPr>
      </w:pPr>
      <w:r w:rsidRPr="003445F5">
        <w:rPr>
          <w:szCs w:val="22"/>
          <w:lang w:val="sr-Latn-ME"/>
        </w:rPr>
        <w:t xml:space="preserve">Lijek Hukyndra je biološki sličan lijek. Detaljne informacije dostupne su na veb stranici Evropske agencije za ljekove </w:t>
      </w:r>
      <w:hyperlink r:id="rId14" w:history="1">
        <w:r w:rsidRPr="003445F5">
          <w:rPr>
            <w:rStyle w:val="Hyperlink"/>
            <w:szCs w:val="22"/>
            <w:lang w:val="sr-Latn-ME"/>
          </w:rPr>
          <w:t>http://www.ema.europa.eu</w:t>
        </w:r>
      </w:hyperlink>
      <w:r w:rsidRPr="003445F5">
        <w:rPr>
          <w:szCs w:val="22"/>
          <w:lang w:val="sr-Latn-ME"/>
        </w:rPr>
        <w:t xml:space="preserve"> </w:t>
      </w:r>
    </w:p>
    <w:p w14:paraId="1A166F2D" w14:textId="77777777" w:rsidR="00677643" w:rsidRPr="003445F5" w:rsidRDefault="00677643" w:rsidP="00677643">
      <w:pPr>
        <w:rPr>
          <w:szCs w:val="22"/>
          <w:lang w:val="sr-Latn-ME"/>
        </w:rPr>
      </w:pPr>
    </w:p>
    <w:p w14:paraId="6C1AC99A" w14:textId="77777777" w:rsidR="00641378" w:rsidRPr="003445F5" w:rsidRDefault="00641378" w:rsidP="00524FDF">
      <w:pPr>
        <w:rPr>
          <w:szCs w:val="22"/>
          <w:u w:val="single"/>
          <w:lang w:val="sr-Latn-ME"/>
        </w:rPr>
      </w:pPr>
      <w:r w:rsidRPr="003445F5">
        <w:rPr>
          <w:szCs w:val="22"/>
          <w:u w:val="single"/>
          <w:lang w:val="sr-Latn-ME"/>
        </w:rPr>
        <w:t xml:space="preserve">Mehanizam dejstva </w:t>
      </w:r>
    </w:p>
    <w:p w14:paraId="6BB030BB" w14:textId="77777777" w:rsidR="00641378" w:rsidRPr="003445F5" w:rsidRDefault="00641378" w:rsidP="00524FDF">
      <w:pPr>
        <w:rPr>
          <w:szCs w:val="22"/>
          <w:lang w:val="sr-Latn-ME"/>
        </w:rPr>
      </w:pPr>
    </w:p>
    <w:p w14:paraId="0AE9980F" w14:textId="77777777" w:rsidR="001A1EA2" w:rsidRPr="003445F5" w:rsidRDefault="001A1EA2" w:rsidP="001A1EA2">
      <w:pPr>
        <w:rPr>
          <w:szCs w:val="22"/>
          <w:lang w:val="sr-Latn-ME"/>
        </w:rPr>
      </w:pPr>
      <w:r w:rsidRPr="003445F5">
        <w:rPr>
          <w:szCs w:val="22"/>
          <w:lang w:val="sr-Latn-ME"/>
        </w:rPr>
        <w:t xml:space="preserve">Adalimumab se specifično vezuje za TNF i neutrališe biološke funkcije TNF-a blokirajući njegovu interakciju sa p55 i p75 površinskim ćelijskim TNF receptorima. </w:t>
      </w:r>
    </w:p>
    <w:p w14:paraId="3E7B1CD7" w14:textId="77777777" w:rsidR="001A1EA2" w:rsidRPr="003445F5" w:rsidRDefault="001A1EA2" w:rsidP="001A1EA2">
      <w:pPr>
        <w:rPr>
          <w:szCs w:val="22"/>
          <w:lang w:val="sr-Latn-ME"/>
        </w:rPr>
      </w:pPr>
    </w:p>
    <w:p w14:paraId="140E3016" w14:textId="77777777" w:rsidR="001A1EA2" w:rsidRPr="003445F5" w:rsidRDefault="001A1EA2" w:rsidP="001A1EA2">
      <w:pPr>
        <w:rPr>
          <w:szCs w:val="22"/>
          <w:lang w:val="sr-Latn-ME"/>
        </w:rPr>
      </w:pPr>
      <w:r w:rsidRPr="003445F5">
        <w:rPr>
          <w:szCs w:val="22"/>
          <w:lang w:val="sr-Latn-ME"/>
        </w:rPr>
        <w:t>Adalimumab, takođe, mijenja biološke odgovore koje indukuje ili reguliše TNF, uključujući promjene u nivou adhezije molekula odgovornih za migraciju leukocita (ELAM-1, VCAM-1 i ICAM-1 sa IC</w:t>
      </w:r>
      <w:r w:rsidRPr="003445F5">
        <w:rPr>
          <w:szCs w:val="22"/>
          <w:vertAlign w:val="subscript"/>
          <w:lang w:val="sr-Latn-ME"/>
        </w:rPr>
        <w:t>50</w:t>
      </w:r>
      <w:r w:rsidRPr="003445F5">
        <w:rPr>
          <w:szCs w:val="22"/>
          <w:lang w:val="sr-Latn-ME"/>
        </w:rPr>
        <w:t xml:space="preserve"> od 0,1-0,2 nM). </w:t>
      </w:r>
    </w:p>
    <w:p w14:paraId="7F577682" w14:textId="77777777" w:rsidR="001A1EA2" w:rsidRPr="003445F5" w:rsidRDefault="001A1EA2" w:rsidP="001A1EA2">
      <w:pPr>
        <w:rPr>
          <w:szCs w:val="22"/>
          <w:lang w:val="sr-Latn-ME"/>
        </w:rPr>
      </w:pPr>
    </w:p>
    <w:p w14:paraId="596A541C" w14:textId="77777777" w:rsidR="001A1EA2" w:rsidRPr="003445F5" w:rsidRDefault="001A1EA2" w:rsidP="001A1EA2">
      <w:pPr>
        <w:rPr>
          <w:szCs w:val="22"/>
          <w:u w:val="single"/>
          <w:lang w:val="sr-Latn-ME"/>
        </w:rPr>
      </w:pPr>
      <w:r w:rsidRPr="003445F5">
        <w:rPr>
          <w:szCs w:val="22"/>
          <w:u w:val="single"/>
          <w:lang w:val="sr-Latn-ME"/>
        </w:rPr>
        <w:t xml:space="preserve">Farmakodinamsko dejstvo </w:t>
      </w:r>
    </w:p>
    <w:p w14:paraId="5F298BD0" w14:textId="77777777" w:rsidR="001A1EA2" w:rsidRPr="003445F5" w:rsidRDefault="001A1EA2" w:rsidP="001A1EA2">
      <w:pPr>
        <w:rPr>
          <w:szCs w:val="22"/>
          <w:lang w:val="sr-Latn-ME"/>
        </w:rPr>
      </w:pPr>
    </w:p>
    <w:p w14:paraId="57E59C01" w14:textId="77777777" w:rsidR="001A1EA2" w:rsidRPr="003445F5" w:rsidRDefault="001A1EA2" w:rsidP="001A1EA2">
      <w:pPr>
        <w:rPr>
          <w:szCs w:val="22"/>
          <w:lang w:val="sr-Latn-ME"/>
        </w:rPr>
      </w:pPr>
      <w:r w:rsidRPr="003445F5">
        <w:rPr>
          <w:szCs w:val="22"/>
          <w:lang w:val="sr-Latn-ME"/>
        </w:rPr>
        <w:t xml:space="preserve">Nakon liječenja adalimumabom brz pad u vrijednostima reaktanata akutne faze zapaljenja (C-reaktivni protein (CRP) i brzina sedimentacije eritrocita (ESR)) i serumskih citokina (IL-6) je primjećen kod pacijenata sa reumatoidnim artritisom u poređenju sa početnim vrijednostima. Serumske vrijednosti matriksnih metaloproteinaza (MMP-1 i MMP-3) koje uzrokuju preoblikovanje tkiva odgovorno za uništenje hrskavice takođe su se smanjili nakon primjene adalimumaba. Pacijenti liječeni adalimumabom obično ispoljavaju poboljšanje hematoloških znakova hronične inflamacije. </w:t>
      </w:r>
    </w:p>
    <w:p w14:paraId="1E9EAC5B" w14:textId="77777777" w:rsidR="001A1EA2" w:rsidRPr="003445F5" w:rsidRDefault="001A1EA2" w:rsidP="001A1EA2">
      <w:pPr>
        <w:rPr>
          <w:szCs w:val="22"/>
          <w:lang w:val="sr-Latn-ME"/>
        </w:rPr>
      </w:pPr>
    </w:p>
    <w:p w14:paraId="4846D84E" w14:textId="77777777" w:rsidR="001A1EA2" w:rsidRPr="003445F5" w:rsidRDefault="001A1EA2" w:rsidP="001A1EA2">
      <w:pPr>
        <w:rPr>
          <w:szCs w:val="22"/>
          <w:lang w:val="sr-Latn-ME"/>
        </w:rPr>
      </w:pPr>
      <w:r w:rsidRPr="003445F5">
        <w:rPr>
          <w:szCs w:val="22"/>
          <w:lang w:val="sr-Latn-ME"/>
        </w:rPr>
        <w:t xml:space="preserve">Kod pacijenata sa poliartikularnim juvenilnim idiopatskim artritisom, </w:t>
      </w:r>
      <w:r w:rsidRPr="003445F5">
        <w:rPr>
          <w:i/>
          <w:iCs/>
          <w:szCs w:val="22"/>
          <w:lang w:val="sr-Latn-ME"/>
        </w:rPr>
        <w:t>Crohn</w:t>
      </w:r>
      <w:r w:rsidRPr="003445F5">
        <w:rPr>
          <w:szCs w:val="22"/>
          <w:lang w:val="sr-Latn-ME"/>
        </w:rPr>
        <w:t xml:space="preserve">-ovom bolešću, ulceroznim kolitisom i gnojnim zapaljenjem znojnih žlijezda primjećeno je naglo smanjenje vrijednosti CRP-a nakon liječenja adalimumabom. Kod pacijenata sa </w:t>
      </w:r>
      <w:r w:rsidRPr="003445F5">
        <w:rPr>
          <w:i/>
          <w:iCs/>
          <w:szCs w:val="22"/>
          <w:lang w:val="sr-Latn-ME"/>
        </w:rPr>
        <w:t>Crohn</w:t>
      </w:r>
      <w:r w:rsidRPr="003445F5">
        <w:rPr>
          <w:szCs w:val="22"/>
          <w:lang w:val="sr-Latn-ME"/>
        </w:rPr>
        <w:t>-ovom bolešću primjećeno je smanjenje broja ćelija u debelom crijevu koji eksprimiraju markere zapaljenja uključujući i značajno sniženje ekspresije TNFα. Endoskopska ispitivanja intestinalne mukoze pokazala su znakove zaceljivanja sluzokože kod pacijenata koji su liječeni adalimumabom.</w:t>
      </w:r>
    </w:p>
    <w:p w14:paraId="072D43EA" w14:textId="2AF4824C" w:rsidR="00CE09F3" w:rsidRPr="003445F5" w:rsidRDefault="00CE09F3" w:rsidP="00524FDF">
      <w:pPr>
        <w:rPr>
          <w:szCs w:val="22"/>
          <w:lang w:val="sr-Latn-ME"/>
        </w:rPr>
      </w:pPr>
    </w:p>
    <w:p w14:paraId="7DE8EDC0" w14:textId="77777777" w:rsidR="008817D3" w:rsidRPr="003445F5" w:rsidRDefault="008817D3" w:rsidP="008817D3">
      <w:pPr>
        <w:rPr>
          <w:szCs w:val="22"/>
          <w:u w:val="single"/>
          <w:lang w:val="sr-Latn-ME"/>
        </w:rPr>
      </w:pPr>
      <w:r w:rsidRPr="003445F5">
        <w:rPr>
          <w:szCs w:val="22"/>
          <w:u w:val="single"/>
          <w:lang w:val="sr-Latn-ME"/>
        </w:rPr>
        <w:t xml:space="preserve">Klinička efikasnost i bezbjednost </w:t>
      </w:r>
    </w:p>
    <w:p w14:paraId="6BF5E937" w14:textId="77777777" w:rsidR="008817D3" w:rsidRPr="003445F5" w:rsidRDefault="008817D3" w:rsidP="008817D3">
      <w:pPr>
        <w:rPr>
          <w:szCs w:val="22"/>
          <w:lang w:val="sr-Latn-ME"/>
        </w:rPr>
      </w:pPr>
    </w:p>
    <w:p w14:paraId="5400D698" w14:textId="77777777" w:rsidR="008817D3" w:rsidRPr="003445F5" w:rsidRDefault="008817D3" w:rsidP="008817D3">
      <w:pPr>
        <w:rPr>
          <w:i/>
          <w:iCs/>
          <w:szCs w:val="22"/>
          <w:lang w:val="sr-Latn-ME"/>
        </w:rPr>
      </w:pPr>
      <w:r w:rsidRPr="003445F5">
        <w:rPr>
          <w:i/>
          <w:iCs/>
          <w:szCs w:val="22"/>
          <w:lang w:val="sr-Latn-ME"/>
        </w:rPr>
        <w:t xml:space="preserve">Reumatoidni artritis </w:t>
      </w:r>
    </w:p>
    <w:p w14:paraId="3F35698C" w14:textId="16CD7BC9" w:rsidR="008817D3" w:rsidRPr="003445F5" w:rsidRDefault="008817D3" w:rsidP="008817D3">
      <w:pPr>
        <w:rPr>
          <w:szCs w:val="22"/>
          <w:lang w:val="sr-Latn-ME"/>
        </w:rPr>
      </w:pPr>
      <w:r w:rsidRPr="003445F5">
        <w:rPr>
          <w:szCs w:val="22"/>
          <w:lang w:val="sr-Latn-ME"/>
        </w:rPr>
        <w:t>Adalimumab je ispitivan u preko 3000 pacijenata u svim kliničkim istraživanjima reumatoidnog artritisa. Efikasnost i bezbjednost adalimumaba u liječenju reumatoidnog artritisa je proc</w:t>
      </w:r>
      <w:r w:rsidR="004A0CF7" w:rsidRPr="003445F5">
        <w:rPr>
          <w:szCs w:val="22"/>
          <w:lang w:val="sr-Latn-ME"/>
        </w:rPr>
        <w:t>i</w:t>
      </w:r>
      <w:r w:rsidRPr="003445F5">
        <w:rPr>
          <w:szCs w:val="22"/>
          <w:lang w:val="sr-Latn-ME"/>
        </w:rPr>
        <w:t>jenjena u pet randomizovanih, dvostruko slijepih i dobro kontrolisanih studija. Neki pacijenti su liječeni u periodu i do 120 mjeseci. Bol na mjestu primjene nakon injekcije adalimumaba u dozi od 40 mg/0,4 m</w:t>
      </w:r>
      <w:r w:rsidR="00AF00CF" w:rsidRPr="003445F5">
        <w:rPr>
          <w:szCs w:val="22"/>
          <w:lang w:val="sr-Latn-ME"/>
        </w:rPr>
        <w:t>l</w:t>
      </w:r>
      <w:r w:rsidRPr="003445F5">
        <w:rPr>
          <w:szCs w:val="22"/>
          <w:lang w:val="sr-Latn-ME"/>
        </w:rPr>
        <w:t xml:space="preserve"> je proc</w:t>
      </w:r>
      <w:r w:rsidR="004A0CF7" w:rsidRPr="003445F5">
        <w:rPr>
          <w:szCs w:val="22"/>
          <w:lang w:val="sr-Latn-ME"/>
        </w:rPr>
        <w:t>i</w:t>
      </w:r>
      <w:r w:rsidRPr="003445F5">
        <w:rPr>
          <w:szCs w:val="22"/>
          <w:lang w:val="sr-Latn-ME"/>
        </w:rPr>
        <w:t>jenjen u dvije randomizovane, aktivne, kontrolisane, jednostruko slijepe, dvoperiodične unakrsne studije.</w:t>
      </w:r>
    </w:p>
    <w:p w14:paraId="7F1F0203" w14:textId="77777777" w:rsidR="008817D3" w:rsidRPr="003445F5" w:rsidRDefault="008817D3" w:rsidP="008817D3">
      <w:pPr>
        <w:rPr>
          <w:szCs w:val="22"/>
          <w:lang w:val="sr-Latn-ME"/>
        </w:rPr>
      </w:pPr>
    </w:p>
    <w:p w14:paraId="639D2B58" w14:textId="62A5B983" w:rsidR="008817D3" w:rsidRPr="003445F5" w:rsidRDefault="008817D3" w:rsidP="008817D3">
      <w:pPr>
        <w:rPr>
          <w:szCs w:val="22"/>
          <w:lang w:val="sr-Latn-ME"/>
        </w:rPr>
      </w:pPr>
      <w:r w:rsidRPr="003445F5">
        <w:rPr>
          <w:szCs w:val="22"/>
          <w:lang w:val="sr-Latn-ME"/>
        </w:rPr>
        <w:t xml:space="preserve">RA studija I je ispitivala 271 pacijenta sa umjerenim do teškim aktivnim reumatoidnim artritisom, uzrasta ≥18 godina, koji nisu odgovorili na terapiju bar jednim antireumatskim lijekom koji modifikuje tok bolesti i koji su imali nedovoljan odgovor na metotreksat u dozi 12,5 do 25 mg (10 mg ukoliko postoji intolerancija na metotreksat) svake </w:t>
      </w:r>
      <w:r w:rsidR="00551F1D" w:rsidRPr="003445F5">
        <w:rPr>
          <w:szCs w:val="22"/>
          <w:lang w:val="sr-Latn-ME"/>
        </w:rPr>
        <w:t>nedjelj</w:t>
      </w:r>
      <w:r w:rsidR="0047711E" w:rsidRPr="003445F5">
        <w:rPr>
          <w:szCs w:val="22"/>
          <w:lang w:val="sr-Latn-ME"/>
        </w:rPr>
        <w:t>e</w:t>
      </w:r>
      <w:r w:rsidRPr="003445F5">
        <w:rPr>
          <w:szCs w:val="22"/>
          <w:lang w:val="sr-Latn-ME"/>
        </w:rPr>
        <w:t xml:space="preserve"> i kojima je doza metotreksata ostala konstantna od </w:t>
      </w:r>
      <w:r w:rsidRPr="003445F5">
        <w:rPr>
          <w:szCs w:val="22"/>
          <w:lang w:val="sr-Latn-ME"/>
        </w:rPr>
        <w:lastRenderedPageBreak/>
        <w:t xml:space="preserve">10 do 25 mg, svake </w:t>
      </w:r>
      <w:r w:rsidR="00551F1D" w:rsidRPr="003445F5">
        <w:rPr>
          <w:szCs w:val="22"/>
          <w:lang w:val="sr-Latn-ME"/>
        </w:rPr>
        <w:t>nedjelj</w:t>
      </w:r>
      <w:r w:rsidR="0047711E" w:rsidRPr="003445F5">
        <w:rPr>
          <w:szCs w:val="22"/>
          <w:lang w:val="sr-Latn-ME"/>
        </w:rPr>
        <w:t>e</w:t>
      </w:r>
      <w:r w:rsidRPr="003445F5">
        <w:rPr>
          <w:szCs w:val="22"/>
          <w:lang w:val="sr-Latn-ME"/>
        </w:rPr>
        <w:t xml:space="preserve">. Doze adalimumaba od 20, 40 ili 80 mg ili placebo su davani svake druge </w:t>
      </w:r>
      <w:r w:rsidR="00551F1D" w:rsidRPr="003445F5">
        <w:rPr>
          <w:szCs w:val="22"/>
          <w:lang w:val="sr-Latn-ME"/>
        </w:rPr>
        <w:t>nedjelj</w:t>
      </w:r>
      <w:r w:rsidR="0047711E" w:rsidRPr="003445F5">
        <w:rPr>
          <w:szCs w:val="22"/>
          <w:lang w:val="sr-Latn-ME"/>
        </w:rPr>
        <w:t>e</w:t>
      </w:r>
      <w:r w:rsidRPr="003445F5">
        <w:rPr>
          <w:szCs w:val="22"/>
          <w:lang w:val="sr-Latn-ME"/>
        </w:rPr>
        <w:t xml:space="preserve"> tokom 24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56FE4C3D" w14:textId="77777777" w:rsidR="00046B1E" w:rsidRPr="003445F5" w:rsidRDefault="00046B1E" w:rsidP="00046B1E">
      <w:pPr>
        <w:rPr>
          <w:szCs w:val="22"/>
          <w:lang w:val="sr-Latn-ME"/>
        </w:rPr>
      </w:pPr>
    </w:p>
    <w:p w14:paraId="666E03E4" w14:textId="00F0AD38" w:rsidR="00384BA0" w:rsidRPr="003445F5" w:rsidRDefault="00384BA0" w:rsidP="00384BA0">
      <w:pPr>
        <w:rPr>
          <w:szCs w:val="22"/>
          <w:lang w:val="sr-Latn-ME"/>
        </w:rPr>
      </w:pPr>
      <w:r w:rsidRPr="003445F5">
        <w:rPr>
          <w:szCs w:val="22"/>
          <w:lang w:val="sr-Latn-ME"/>
        </w:rPr>
        <w:t xml:space="preserve">RA studija II je ispitivala 544 pacijenta sa umjerenim do teškim aktivnim reumatoidnim artritisom, uzrasta ≥18 godina, koji nisu odgovorili na terapiju bar jednim antireumatskim lijekom koji modifikuje tok bolesti. Doze od 20 ili 40 mg adalimumaba su date u vidu supkutanih injekcija svake druge </w:t>
      </w:r>
      <w:r w:rsidR="00551F1D" w:rsidRPr="003445F5">
        <w:rPr>
          <w:szCs w:val="22"/>
          <w:lang w:val="sr-Latn-ME"/>
        </w:rPr>
        <w:t>nedjelj</w:t>
      </w:r>
      <w:r w:rsidR="0047711E" w:rsidRPr="003445F5">
        <w:rPr>
          <w:szCs w:val="22"/>
          <w:lang w:val="sr-Latn-ME"/>
        </w:rPr>
        <w:t>e</w:t>
      </w:r>
      <w:r w:rsidRPr="003445F5">
        <w:rPr>
          <w:szCs w:val="22"/>
          <w:lang w:val="sr-Latn-ME"/>
        </w:rPr>
        <w:t xml:space="preserve"> sa placebom svake druge </w:t>
      </w:r>
      <w:r w:rsidR="00551F1D" w:rsidRPr="003445F5">
        <w:rPr>
          <w:szCs w:val="22"/>
          <w:lang w:val="sr-Latn-ME"/>
        </w:rPr>
        <w:t>nedjelj</w:t>
      </w:r>
      <w:r w:rsidR="0047711E" w:rsidRPr="003445F5">
        <w:rPr>
          <w:szCs w:val="22"/>
          <w:lang w:val="sr-Latn-ME"/>
        </w:rPr>
        <w:t>e</w:t>
      </w:r>
      <w:r w:rsidRPr="003445F5">
        <w:rPr>
          <w:szCs w:val="22"/>
          <w:lang w:val="sr-Latn-ME"/>
        </w:rPr>
        <w:t xml:space="preserve"> ili svake </w:t>
      </w:r>
      <w:r w:rsidR="00551F1D" w:rsidRPr="003445F5">
        <w:rPr>
          <w:szCs w:val="22"/>
          <w:lang w:val="sr-Latn-ME"/>
        </w:rPr>
        <w:t>nedjelj</w:t>
      </w:r>
      <w:r w:rsidR="0047711E" w:rsidRPr="003445F5">
        <w:rPr>
          <w:szCs w:val="22"/>
          <w:lang w:val="sr-Latn-ME"/>
        </w:rPr>
        <w:t>e</w:t>
      </w:r>
      <w:r w:rsidRPr="003445F5">
        <w:rPr>
          <w:szCs w:val="22"/>
          <w:lang w:val="sr-Latn-ME"/>
        </w:rPr>
        <w:t xml:space="preserve"> tokom 26 nedjelja; placebo je primjenjivan svake </w:t>
      </w:r>
      <w:r w:rsidR="00551F1D" w:rsidRPr="003445F5">
        <w:rPr>
          <w:szCs w:val="22"/>
          <w:lang w:val="sr-Latn-ME"/>
        </w:rPr>
        <w:t>nedjelj</w:t>
      </w:r>
      <w:r w:rsidR="0047711E" w:rsidRPr="003445F5">
        <w:rPr>
          <w:szCs w:val="22"/>
          <w:lang w:val="sr-Latn-ME"/>
        </w:rPr>
        <w:t>e</w:t>
      </w:r>
      <w:r w:rsidRPr="003445F5">
        <w:rPr>
          <w:szCs w:val="22"/>
          <w:lang w:val="sr-Latn-ME"/>
        </w:rPr>
        <w:t xml:space="preserve"> u istom trajanju. Nije bila dozvoljena upotreba drugih antireumatskih ljekova koji modifikuju tok bolesti. </w:t>
      </w:r>
    </w:p>
    <w:p w14:paraId="25982C74" w14:textId="77777777" w:rsidR="00384BA0" w:rsidRPr="003445F5" w:rsidRDefault="00384BA0" w:rsidP="00384BA0">
      <w:pPr>
        <w:rPr>
          <w:szCs w:val="22"/>
          <w:lang w:val="sr-Latn-ME"/>
        </w:rPr>
      </w:pPr>
    </w:p>
    <w:p w14:paraId="59EE23D3" w14:textId="79664432" w:rsidR="00384BA0" w:rsidRPr="003445F5" w:rsidRDefault="00384BA0" w:rsidP="00384BA0">
      <w:pPr>
        <w:rPr>
          <w:szCs w:val="22"/>
          <w:lang w:val="sr-Latn-ME"/>
        </w:rPr>
      </w:pPr>
      <w:r w:rsidRPr="003445F5">
        <w:rPr>
          <w:szCs w:val="22"/>
          <w:lang w:val="sr-Latn-ME"/>
        </w:rPr>
        <w:t xml:space="preserve">RA studija III je ispitivala 619 pacijenata sa umjerenim do teškim aktivnim reumatoidnim artritisom, uzrasta ≥18 godina, koji su imali nedovoljan odgovor na metotreksat u dozi 12,5 do 25 mg ili je postojala netolerancija na 10 mg metotreksata svake </w:t>
      </w:r>
      <w:r w:rsidR="00551F1D" w:rsidRPr="003445F5">
        <w:rPr>
          <w:szCs w:val="22"/>
          <w:lang w:val="sr-Latn-ME"/>
        </w:rPr>
        <w:t>nedjelj</w:t>
      </w:r>
      <w:r w:rsidR="0047711E" w:rsidRPr="003445F5">
        <w:rPr>
          <w:szCs w:val="22"/>
          <w:lang w:val="sr-Latn-ME"/>
        </w:rPr>
        <w:t>e</w:t>
      </w:r>
      <w:r w:rsidRPr="003445F5">
        <w:rPr>
          <w:szCs w:val="22"/>
          <w:lang w:val="sr-Latn-ME"/>
        </w:rPr>
        <w:t xml:space="preserve">. U studiji su postojale tri grupe. Prva grupa je primala placebo injekcije svake </w:t>
      </w:r>
      <w:r w:rsidR="00551F1D" w:rsidRPr="003445F5">
        <w:rPr>
          <w:szCs w:val="22"/>
          <w:lang w:val="sr-Latn-ME"/>
        </w:rPr>
        <w:t>nedjelj</w:t>
      </w:r>
      <w:r w:rsidR="0047711E" w:rsidRPr="003445F5">
        <w:rPr>
          <w:szCs w:val="22"/>
          <w:lang w:val="sr-Latn-ME"/>
        </w:rPr>
        <w:t>e</w:t>
      </w:r>
      <w:r w:rsidRPr="003445F5">
        <w:rPr>
          <w:szCs w:val="22"/>
          <w:lang w:val="sr-Latn-ME"/>
        </w:rPr>
        <w:t xml:space="preserve"> tokom 52 </w:t>
      </w:r>
      <w:r w:rsidR="00551F1D" w:rsidRPr="003445F5">
        <w:rPr>
          <w:szCs w:val="22"/>
          <w:lang w:val="sr-Latn-ME"/>
        </w:rPr>
        <w:t>nedjelj</w:t>
      </w:r>
      <w:r w:rsidR="0047711E" w:rsidRPr="003445F5">
        <w:rPr>
          <w:szCs w:val="22"/>
          <w:lang w:val="sr-Latn-ME"/>
        </w:rPr>
        <w:t>e</w:t>
      </w:r>
      <w:r w:rsidRPr="003445F5">
        <w:rPr>
          <w:szCs w:val="22"/>
          <w:lang w:val="sr-Latn-ME"/>
        </w:rPr>
        <w:t xml:space="preserve">. Druga grupa je primala 20 mg adalimumaba svake </w:t>
      </w:r>
      <w:r w:rsidR="00551F1D" w:rsidRPr="003445F5">
        <w:rPr>
          <w:szCs w:val="22"/>
          <w:lang w:val="sr-Latn-ME"/>
        </w:rPr>
        <w:t>nedjelj</w:t>
      </w:r>
      <w:r w:rsidR="0047711E" w:rsidRPr="003445F5">
        <w:rPr>
          <w:szCs w:val="22"/>
          <w:lang w:val="sr-Latn-ME"/>
        </w:rPr>
        <w:t>e</w:t>
      </w:r>
      <w:r w:rsidRPr="003445F5">
        <w:rPr>
          <w:szCs w:val="22"/>
          <w:lang w:val="sr-Latn-ME"/>
        </w:rPr>
        <w:t xml:space="preserve"> tokom 52 </w:t>
      </w:r>
      <w:r w:rsidR="00551F1D" w:rsidRPr="003445F5">
        <w:rPr>
          <w:szCs w:val="22"/>
          <w:lang w:val="sr-Latn-ME"/>
        </w:rPr>
        <w:t>nedjelj</w:t>
      </w:r>
      <w:r w:rsidR="0047711E" w:rsidRPr="003445F5">
        <w:rPr>
          <w:szCs w:val="22"/>
          <w:lang w:val="sr-Latn-ME"/>
        </w:rPr>
        <w:t>e</w:t>
      </w:r>
      <w:r w:rsidRPr="003445F5">
        <w:rPr>
          <w:szCs w:val="22"/>
          <w:lang w:val="sr-Latn-ME"/>
        </w:rPr>
        <w:t xml:space="preserve">. Treća grupa je primala 40 mg adalimumaba svake druge </w:t>
      </w:r>
      <w:r w:rsidR="00551F1D" w:rsidRPr="003445F5">
        <w:rPr>
          <w:szCs w:val="22"/>
          <w:lang w:val="sr-Latn-ME"/>
        </w:rPr>
        <w:t>nedjelj</w:t>
      </w:r>
      <w:r w:rsidR="0047711E" w:rsidRPr="003445F5">
        <w:rPr>
          <w:szCs w:val="22"/>
          <w:lang w:val="sr-Latn-ME"/>
        </w:rPr>
        <w:t>e</w:t>
      </w:r>
      <w:r w:rsidRPr="003445F5">
        <w:rPr>
          <w:szCs w:val="22"/>
          <w:lang w:val="sr-Latn-ME"/>
        </w:rPr>
        <w:t xml:space="preserve"> sa placebo injekcijama svake druge </w:t>
      </w:r>
      <w:r w:rsidR="00551F1D" w:rsidRPr="003445F5">
        <w:rPr>
          <w:szCs w:val="22"/>
          <w:lang w:val="sr-Latn-ME"/>
        </w:rPr>
        <w:t>nedjelj</w:t>
      </w:r>
      <w:r w:rsidR="0047711E" w:rsidRPr="003445F5">
        <w:rPr>
          <w:szCs w:val="22"/>
          <w:lang w:val="sr-Latn-ME"/>
        </w:rPr>
        <w:t>e</w:t>
      </w:r>
      <w:r w:rsidRPr="003445F5">
        <w:rPr>
          <w:szCs w:val="22"/>
          <w:lang w:val="sr-Latn-ME"/>
        </w:rPr>
        <w:t xml:space="preserve">, naizmenično. Po završetku prve 52 </w:t>
      </w:r>
      <w:r w:rsidR="00551F1D" w:rsidRPr="003445F5">
        <w:rPr>
          <w:szCs w:val="22"/>
          <w:lang w:val="sr-Latn-ME"/>
        </w:rPr>
        <w:t>nedjelj</w:t>
      </w:r>
      <w:r w:rsidR="0047711E" w:rsidRPr="003445F5">
        <w:rPr>
          <w:szCs w:val="22"/>
          <w:lang w:val="sr-Latn-ME"/>
        </w:rPr>
        <w:t>e</w:t>
      </w:r>
      <w:r w:rsidRPr="003445F5">
        <w:rPr>
          <w:szCs w:val="22"/>
          <w:lang w:val="sr-Latn-ME"/>
        </w:rPr>
        <w:t xml:space="preserve"> terapije, 457 pacijenata je uključeno u otvorenu, produženu fazu u kojoj su 40 mg adalimumaba/metotreksat (MTX) primali svake druge </w:t>
      </w:r>
      <w:r w:rsidR="00551F1D" w:rsidRPr="003445F5">
        <w:rPr>
          <w:szCs w:val="22"/>
          <w:lang w:val="sr-Latn-ME"/>
        </w:rPr>
        <w:t>nedjelj</w:t>
      </w:r>
      <w:r w:rsidR="0047711E" w:rsidRPr="003445F5">
        <w:rPr>
          <w:szCs w:val="22"/>
          <w:lang w:val="sr-Latn-ME"/>
        </w:rPr>
        <w:t>e</w:t>
      </w:r>
      <w:r w:rsidRPr="003445F5">
        <w:rPr>
          <w:szCs w:val="22"/>
          <w:lang w:val="sr-Latn-ME"/>
        </w:rPr>
        <w:t xml:space="preserve"> tokom 10 godina. </w:t>
      </w:r>
    </w:p>
    <w:p w14:paraId="1FE12CA5" w14:textId="77777777" w:rsidR="00384BA0" w:rsidRPr="003445F5" w:rsidRDefault="00384BA0" w:rsidP="00384BA0">
      <w:pPr>
        <w:rPr>
          <w:szCs w:val="22"/>
          <w:lang w:val="sr-Latn-ME"/>
        </w:rPr>
      </w:pPr>
    </w:p>
    <w:p w14:paraId="1C7A8B5D" w14:textId="0969D5C7" w:rsidR="00384BA0" w:rsidRPr="003445F5" w:rsidRDefault="00384BA0" w:rsidP="00384BA0">
      <w:pPr>
        <w:rPr>
          <w:szCs w:val="22"/>
          <w:lang w:val="sr-Latn-ME"/>
        </w:rPr>
      </w:pPr>
      <w:r w:rsidRPr="003445F5">
        <w:rPr>
          <w:szCs w:val="22"/>
          <w:lang w:val="sr-Latn-ME"/>
        </w:rPr>
        <w:t>RA studija IV je primarno proc</w:t>
      </w:r>
      <w:r w:rsidR="004A0CF7" w:rsidRPr="003445F5">
        <w:rPr>
          <w:szCs w:val="22"/>
          <w:lang w:val="sr-Latn-ME"/>
        </w:rPr>
        <w:t>i</w:t>
      </w:r>
      <w:r w:rsidRPr="003445F5">
        <w:rPr>
          <w:szCs w:val="22"/>
          <w:lang w:val="sr-Latn-ME"/>
        </w:rPr>
        <w:t xml:space="preserve">jenila bezbjednost kod 636 pacijenata sa umjerenim do teškim aktivnim reumatoidnim artritisom, uzrasta ≥18 godina. Pacijentima je bilo dozvoljeno da budu ili na antireumatskoj terapiji koja modifikuje tok bolesti, koju primaju prvi put ili da ostanu na prethodnoj antireumatskoj terapiji, pod uslovom da je ta terapija stabilna najmanje 28 dana. Ova terapija uključuje metotreksat, leflunomid, hidroksihlorohin, sulfasalazin i/ili soli zlata. Pacijenti su randomizovani na 40 mg adalimumaba ili placeba svake druge </w:t>
      </w:r>
      <w:r w:rsidR="00551F1D" w:rsidRPr="003445F5">
        <w:rPr>
          <w:szCs w:val="22"/>
          <w:lang w:val="sr-Latn-ME"/>
        </w:rPr>
        <w:t>nedjelj</w:t>
      </w:r>
      <w:r w:rsidR="0047711E" w:rsidRPr="003445F5">
        <w:rPr>
          <w:szCs w:val="22"/>
          <w:lang w:val="sr-Latn-ME"/>
        </w:rPr>
        <w:t>e</w:t>
      </w:r>
      <w:r w:rsidRPr="003445F5">
        <w:rPr>
          <w:szCs w:val="22"/>
          <w:lang w:val="sr-Latn-ME"/>
        </w:rPr>
        <w:t xml:space="preserve"> tokom 24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244124F6" w14:textId="77777777" w:rsidR="00384BA0" w:rsidRPr="003445F5" w:rsidRDefault="00384BA0" w:rsidP="00384BA0">
      <w:pPr>
        <w:rPr>
          <w:szCs w:val="22"/>
          <w:lang w:val="sr-Latn-ME"/>
        </w:rPr>
      </w:pPr>
    </w:p>
    <w:p w14:paraId="7233B15A" w14:textId="66AD11B2" w:rsidR="00384BA0" w:rsidRPr="003445F5" w:rsidRDefault="00384BA0" w:rsidP="00384BA0">
      <w:pPr>
        <w:rPr>
          <w:szCs w:val="22"/>
          <w:lang w:val="sr-Latn-ME"/>
        </w:rPr>
      </w:pPr>
      <w:r w:rsidRPr="003445F5">
        <w:rPr>
          <w:szCs w:val="22"/>
          <w:lang w:val="sr-Latn-ME"/>
        </w:rPr>
        <w:t xml:space="preserve">RA studija V je ispitivala 799 odraslih pacijenata koji prvi put primaju metotreksat, sa umjerenim do teškim aktivnim ranim reumatoidnim artritisom (prosječno trajanje bolesti manje od 9 mjeseci). Studija procjenjuje efikasnost kombinovane terapije adalimumab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/metotreksat, monoterapije adalimumabom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i monoterapije metotreksatom, u smanjenju znakova, simptoma i brzine progresije oštećenja zglobova u reumatoidnom artritisu tokom 104 </w:t>
      </w:r>
      <w:r w:rsidR="00551F1D" w:rsidRPr="003445F5">
        <w:rPr>
          <w:szCs w:val="22"/>
          <w:lang w:val="sr-Latn-ME"/>
        </w:rPr>
        <w:t>nedjelj</w:t>
      </w:r>
      <w:r w:rsidR="0047711E" w:rsidRPr="003445F5">
        <w:rPr>
          <w:szCs w:val="22"/>
          <w:lang w:val="sr-Latn-ME"/>
        </w:rPr>
        <w:t>e</w:t>
      </w:r>
      <w:r w:rsidRPr="003445F5">
        <w:rPr>
          <w:szCs w:val="22"/>
          <w:lang w:val="sr-Latn-ME"/>
        </w:rPr>
        <w:t xml:space="preserve">. Po završetku prve 104 </w:t>
      </w:r>
      <w:r w:rsidR="00551F1D" w:rsidRPr="003445F5">
        <w:rPr>
          <w:szCs w:val="22"/>
          <w:lang w:val="sr-Latn-ME"/>
        </w:rPr>
        <w:t>nedjelj</w:t>
      </w:r>
      <w:r w:rsidR="0047711E" w:rsidRPr="003445F5">
        <w:rPr>
          <w:szCs w:val="22"/>
          <w:lang w:val="sr-Latn-ME"/>
        </w:rPr>
        <w:t>e</w:t>
      </w:r>
      <w:r w:rsidRPr="003445F5">
        <w:rPr>
          <w:szCs w:val="22"/>
          <w:lang w:val="sr-Latn-ME"/>
        </w:rPr>
        <w:t xml:space="preserve">, 497 pacijenata uključeno je u otvoreni produžetak studije, u kojem se adalimumab u dozi od 40 mg primjenjivao svake dvije </w:t>
      </w:r>
      <w:r w:rsidR="00551F1D" w:rsidRPr="003445F5">
        <w:rPr>
          <w:szCs w:val="22"/>
          <w:lang w:val="sr-Latn-ME"/>
        </w:rPr>
        <w:t>nedjelj</w:t>
      </w:r>
      <w:r w:rsidR="0047711E" w:rsidRPr="003445F5">
        <w:rPr>
          <w:szCs w:val="22"/>
          <w:lang w:val="sr-Latn-ME"/>
        </w:rPr>
        <w:t>e</w:t>
      </w:r>
      <w:r w:rsidRPr="003445F5">
        <w:rPr>
          <w:szCs w:val="22"/>
          <w:lang w:val="sr-Latn-ME"/>
        </w:rPr>
        <w:t xml:space="preserve"> tokom perioda do 10 godina. </w:t>
      </w:r>
    </w:p>
    <w:p w14:paraId="0CBA7940" w14:textId="77777777" w:rsidR="00046B1E" w:rsidRPr="003445F5" w:rsidRDefault="00046B1E" w:rsidP="00046B1E">
      <w:pPr>
        <w:rPr>
          <w:szCs w:val="22"/>
          <w:lang w:val="sr-Latn-ME"/>
        </w:rPr>
      </w:pPr>
    </w:p>
    <w:p w14:paraId="7C8335B3" w14:textId="38398BC2" w:rsidR="001627CE" w:rsidRPr="003445F5" w:rsidRDefault="001627CE" w:rsidP="001627CE">
      <w:pPr>
        <w:rPr>
          <w:szCs w:val="22"/>
          <w:lang w:val="sr-Latn-ME"/>
        </w:rPr>
      </w:pPr>
      <w:r w:rsidRPr="003445F5">
        <w:rPr>
          <w:szCs w:val="22"/>
          <w:lang w:val="sr-Latn-ME"/>
        </w:rPr>
        <w:t>RA studije VI i VII su procjenjivale 60 pacijenata sa umjerenim do teškim aktivnim reumatoidnim artritisom uzrasta ≥ 18 godina. Uključeni pacijenti su bili ili trenutni korisnici adalimumaba u dozi od 40 mg/0,8 m</w:t>
      </w:r>
      <w:r w:rsidR="00AF00CF" w:rsidRPr="003445F5">
        <w:rPr>
          <w:szCs w:val="22"/>
          <w:lang w:val="sr-Latn-ME"/>
        </w:rPr>
        <w:t>l</w:t>
      </w:r>
      <w:r w:rsidRPr="003445F5">
        <w:rPr>
          <w:szCs w:val="22"/>
          <w:lang w:val="sr-Latn-ME"/>
        </w:rPr>
        <w:t xml:space="preserve"> koji su oc</w:t>
      </w:r>
      <w:r w:rsidR="004A0CF7" w:rsidRPr="003445F5">
        <w:rPr>
          <w:szCs w:val="22"/>
          <w:lang w:val="sr-Latn-ME"/>
        </w:rPr>
        <w:t>i</w:t>
      </w:r>
      <w:r w:rsidRPr="003445F5">
        <w:rPr>
          <w:szCs w:val="22"/>
          <w:lang w:val="sr-Latn-ME"/>
        </w:rPr>
        <w:t>jenili svoj prosječni bol na mjestu primjene injekcije kao najmanje 3 cm (na vizuelno analognoj skali (VAS) od 0-10 cm) ili su bili subjekti koji su prvi put uzimali adalimumab u dozi od 40 mg/0,8 m</w:t>
      </w:r>
      <w:r w:rsidR="00AF00CF" w:rsidRPr="003445F5">
        <w:rPr>
          <w:szCs w:val="22"/>
          <w:lang w:val="sr-Latn-ME"/>
        </w:rPr>
        <w:t>l</w:t>
      </w:r>
      <w:r w:rsidRPr="003445F5">
        <w:rPr>
          <w:szCs w:val="22"/>
          <w:lang w:val="sr-Latn-ME"/>
        </w:rPr>
        <w:t>. Pacijenti su randomizovani da primaju jednu dozu adalimumaba u dozi od 40 mg/0,8 m</w:t>
      </w:r>
      <w:r w:rsidR="00AF00CF" w:rsidRPr="003445F5">
        <w:rPr>
          <w:szCs w:val="22"/>
          <w:lang w:val="sr-Latn-ME"/>
        </w:rPr>
        <w:t>l</w:t>
      </w:r>
      <w:r w:rsidRPr="003445F5">
        <w:rPr>
          <w:szCs w:val="22"/>
          <w:lang w:val="sr-Latn-ME"/>
        </w:rPr>
        <w:t xml:space="preserve"> ili adalimumab u dozi od 40 mg/0,4 </w:t>
      </w:r>
      <w:r w:rsidR="00AF00CF" w:rsidRPr="003445F5">
        <w:rPr>
          <w:szCs w:val="22"/>
          <w:lang w:val="sr-Latn-ME"/>
        </w:rPr>
        <w:t>ml</w:t>
      </w:r>
      <w:r w:rsidRPr="003445F5">
        <w:rPr>
          <w:szCs w:val="22"/>
          <w:lang w:val="sr-Latn-ME"/>
        </w:rPr>
        <w:t>, nakon čega je usl</w:t>
      </w:r>
      <w:r w:rsidR="00180D36" w:rsidRPr="003445F5">
        <w:rPr>
          <w:szCs w:val="22"/>
          <w:lang w:val="sr-Latn-ME"/>
        </w:rPr>
        <w:t>i</w:t>
      </w:r>
      <w:r w:rsidRPr="003445F5">
        <w:rPr>
          <w:szCs w:val="22"/>
          <w:lang w:val="sr-Latn-ME"/>
        </w:rPr>
        <w:t>jedila jedna injekcija suprotnog tretmana u sljedećoj dozi.</w:t>
      </w:r>
    </w:p>
    <w:p w14:paraId="50B016A0" w14:textId="77777777" w:rsidR="001627CE" w:rsidRPr="003445F5" w:rsidRDefault="001627CE" w:rsidP="001627CE">
      <w:pPr>
        <w:rPr>
          <w:szCs w:val="22"/>
          <w:lang w:val="sr-Latn-ME"/>
        </w:rPr>
      </w:pPr>
    </w:p>
    <w:p w14:paraId="0E60E90C" w14:textId="44EFE5CC" w:rsidR="001627CE" w:rsidRPr="003445F5" w:rsidRDefault="001627CE" w:rsidP="001627CE">
      <w:pPr>
        <w:rPr>
          <w:szCs w:val="22"/>
          <w:lang w:val="sr-Latn-ME"/>
        </w:rPr>
      </w:pPr>
      <w:r w:rsidRPr="003445F5">
        <w:rPr>
          <w:szCs w:val="22"/>
          <w:lang w:val="sr-Latn-ME"/>
        </w:rPr>
        <w:t xml:space="preserve">Primarni parametar praćenja u RA studijama I, II i III i sekundarni parametar praćenja u RA studiji IV je bio procenat pacijenata koji su postigli ACR 20 odgovor u 24. ili 26. </w:t>
      </w:r>
      <w:r w:rsidR="00551F1D" w:rsidRPr="003445F5">
        <w:rPr>
          <w:szCs w:val="22"/>
          <w:lang w:val="sr-Latn-ME"/>
        </w:rPr>
        <w:t>nedjelj</w:t>
      </w:r>
      <w:r w:rsidR="00704AF5" w:rsidRPr="003445F5">
        <w:rPr>
          <w:szCs w:val="22"/>
          <w:lang w:val="sr-Latn-ME"/>
        </w:rPr>
        <w:t>i</w:t>
      </w:r>
      <w:r w:rsidRPr="003445F5">
        <w:rPr>
          <w:szCs w:val="22"/>
          <w:lang w:val="sr-Latn-ME"/>
        </w:rPr>
        <w:t xml:space="preserve">. Primarni parametar praćenja u RA studiji V je bio procenat pacijenata koji su postigli ACR 50 odgovor u </w:t>
      </w:r>
      <w:r w:rsidR="00551F1D" w:rsidRPr="003445F5">
        <w:rPr>
          <w:szCs w:val="22"/>
          <w:lang w:val="sr-Latn-ME"/>
        </w:rPr>
        <w:t>nedjelj</w:t>
      </w:r>
      <w:r w:rsidR="00704AF5" w:rsidRPr="003445F5">
        <w:rPr>
          <w:szCs w:val="22"/>
          <w:lang w:val="sr-Latn-ME"/>
        </w:rPr>
        <w:t>i</w:t>
      </w:r>
      <w:r w:rsidRPr="003445F5">
        <w:rPr>
          <w:szCs w:val="22"/>
          <w:lang w:val="sr-Latn-ME"/>
        </w:rPr>
        <w:t xml:space="preserve"> 52. RA studije III i V su imale dodatni parametar praćenja u </w:t>
      </w:r>
      <w:r w:rsidR="00551F1D" w:rsidRPr="003445F5">
        <w:rPr>
          <w:szCs w:val="22"/>
          <w:lang w:val="sr-Latn-ME"/>
        </w:rPr>
        <w:t>nedjelj</w:t>
      </w:r>
      <w:r w:rsidR="00704AF5" w:rsidRPr="003445F5">
        <w:rPr>
          <w:szCs w:val="22"/>
          <w:lang w:val="sr-Latn-ME"/>
        </w:rPr>
        <w:t>i</w:t>
      </w:r>
      <w:r w:rsidRPr="003445F5">
        <w:rPr>
          <w:szCs w:val="22"/>
          <w:lang w:val="sr-Latn-ME"/>
        </w:rPr>
        <w:t xml:space="preserve"> 52 u zaustavljanju progresije bolesti (kao što je primjećeno na rentgenskim snimcima). RA studija III je takođe imala primarni parametar praćenja u promjeni kvaliteta života. Primarni parametar praćenja u RA studijama VI i VII bio je bol na mjestu injekcije neposredno nakon injekcije, mjereno vizuelnom analognom skalom (VAS) od 0-10 cm.</w:t>
      </w:r>
    </w:p>
    <w:p w14:paraId="20CC21C2" w14:textId="77777777" w:rsidR="00046B1E" w:rsidRPr="003445F5" w:rsidRDefault="00046B1E" w:rsidP="00046B1E">
      <w:pPr>
        <w:rPr>
          <w:szCs w:val="22"/>
          <w:lang w:val="sr-Latn-ME"/>
        </w:rPr>
      </w:pPr>
    </w:p>
    <w:p w14:paraId="5237C25A" w14:textId="77777777" w:rsidR="00046B1E" w:rsidRPr="003445F5" w:rsidRDefault="00046B1E" w:rsidP="00046B1E">
      <w:pPr>
        <w:rPr>
          <w:szCs w:val="22"/>
          <w:u w:val="single"/>
          <w:lang w:val="sr-Latn-ME"/>
        </w:rPr>
      </w:pPr>
      <w:r w:rsidRPr="003445F5">
        <w:rPr>
          <w:szCs w:val="22"/>
          <w:u w:val="single"/>
          <w:lang w:val="sr-Latn-ME"/>
        </w:rPr>
        <w:t xml:space="preserve">ACR odgovor </w:t>
      </w:r>
    </w:p>
    <w:p w14:paraId="7EEEE74F" w14:textId="424F9E99" w:rsidR="00907B55" w:rsidRPr="003445F5" w:rsidRDefault="00907B55" w:rsidP="00907B55">
      <w:pPr>
        <w:rPr>
          <w:szCs w:val="22"/>
          <w:lang w:val="sr-Latn-ME"/>
        </w:rPr>
      </w:pPr>
      <w:r w:rsidRPr="003445F5">
        <w:rPr>
          <w:szCs w:val="22"/>
          <w:lang w:val="sr-Latn-ME"/>
        </w:rPr>
        <w:t xml:space="preserve">Procenat pacijenata liječenih adalimumabom koji su postigli ACR 20, 50 i 70 odgovor je bio stalan tokom RA studija I, II i III. Rezultati primjene doze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su prikazani u Tabeli 5. </w:t>
      </w:r>
    </w:p>
    <w:p w14:paraId="7C51C717" w14:textId="684FC799" w:rsidR="00EB1E93" w:rsidRPr="003445F5" w:rsidRDefault="00EB1E93" w:rsidP="00524FDF">
      <w:pPr>
        <w:rPr>
          <w:szCs w:val="22"/>
          <w:lang w:val="sr-Latn-ME"/>
        </w:rPr>
      </w:pPr>
    </w:p>
    <w:p w14:paraId="06FF2EE6" w14:textId="7FE0A347" w:rsidR="00EB1E93" w:rsidRPr="003445F5" w:rsidRDefault="00EB1E93" w:rsidP="00524FDF">
      <w:pPr>
        <w:rPr>
          <w:b/>
          <w:bCs/>
          <w:szCs w:val="22"/>
          <w:lang w:val="sr-Latn-ME"/>
        </w:rPr>
      </w:pPr>
      <w:r w:rsidRPr="003445F5">
        <w:rPr>
          <w:b/>
          <w:bCs/>
          <w:szCs w:val="22"/>
          <w:lang w:val="sr-Latn-ME"/>
        </w:rPr>
        <w:t xml:space="preserve">Tabela </w:t>
      </w:r>
      <w:r w:rsidR="00A70CD0" w:rsidRPr="003445F5">
        <w:rPr>
          <w:b/>
          <w:bCs/>
          <w:szCs w:val="22"/>
          <w:lang w:val="sr-Latn-ME"/>
        </w:rPr>
        <w:t>5</w:t>
      </w:r>
      <w:r w:rsidRPr="003445F5">
        <w:rPr>
          <w:b/>
          <w:bCs/>
          <w:szCs w:val="22"/>
          <w:lang w:val="sr-Latn-ME"/>
        </w:rPr>
        <w:t>. ACR odgovori u placebo-kontrolisanim studijama (procenat pacijenata)</w:t>
      </w:r>
    </w:p>
    <w:p w14:paraId="3076867E" w14:textId="4E126C4F" w:rsidR="00EB1E93" w:rsidRPr="003445F5" w:rsidRDefault="00EB1E93" w:rsidP="00524FDF">
      <w:pPr>
        <w:rPr>
          <w:szCs w:val="22"/>
          <w:lang w:val="sr-Latn-ME"/>
        </w:rPr>
      </w:pPr>
    </w:p>
    <w:tbl>
      <w:tblPr>
        <w:tblStyle w:val="TableGrid"/>
        <w:tblW w:w="5000" w:type="pct"/>
        <w:tblLayout w:type="fixed"/>
        <w:tblCellMar>
          <w:left w:w="85" w:type="dxa"/>
          <w:right w:w="85" w:type="dxa"/>
        </w:tblCellMar>
        <w:tblLook w:val="04A0" w:firstRow="1" w:lastRow="0" w:firstColumn="1" w:lastColumn="0" w:noHBand="0" w:noVBand="1"/>
      </w:tblPr>
      <w:tblGrid>
        <w:gridCol w:w="1275"/>
        <w:gridCol w:w="1293"/>
        <w:gridCol w:w="1329"/>
        <w:gridCol w:w="995"/>
        <w:gridCol w:w="1329"/>
        <w:gridCol w:w="1479"/>
        <w:gridCol w:w="1327"/>
      </w:tblGrid>
      <w:tr w:rsidR="00E3174D" w:rsidRPr="003445F5" w14:paraId="4F71B27C" w14:textId="77777777" w:rsidTr="00736420">
        <w:trPr>
          <w:trHeight w:val="20"/>
        </w:trPr>
        <w:tc>
          <w:tcPr>
            <w:tcW w:w="706" w:type="pct"/>
            <w:vMerge w:val="restart"/>
            <w:tcBorders>
              <w:left w:val="nil"/>
            </w:tcBorders>
            <w:vAlign w:val="center"/>
          </w:tcPr>
          <w:p w14:paraId="31DAAE94" w14:textId="77777777" w:rsidR="00E3174D" w:rsidRPr="003445F5" w:rsidRDefault="00E3174D" w:rsidP="00704956">
            <w:pPr>
              <w:jc w:val="center"/>
              <w:rPr>
                <w:b/>
                <w:bCs/>
                <w:szCs w:val="22"/>
                <w:lang w:val="sr-Latn-ME"/>
              </w:rPr>
            </w:pPr>
            <w:r w:rsidRPr="003445F5">
              <w:rPr>
                <w:b/>
                <w:bCs/>
                <w:szCs w:val="22"/>
                <w:lang w:val="sr-Latn-ME"/>
              </w:rPr>
              <w:t>Odgovor</w:t>
            </w:r>
          </w:p>
        </w:tc>
        <w:tc>
          <w:tcPr>
            <w:tcW w:w="1452" w:type="pct"/>
            <w:gridSpan w:val="2"/>
            <w:vAlign w:val="center"/>
          </w:tcPr>
          <w:p w14:paraId="2D68240E" w14:textId="77777777" w:rsidR="00E3174D" w:rsidRPr="003445F5" w:rsidRDefault="00E3174D" w:rsidP="00704956">
            <w:pPr>
              <w:tabs>
                <w:tab w:val="clear" w:pos="284"/>
              </w:tabs>
              <w:jc w:val="center"/>
              <w:rPr>
                <w:b/>
                <w:bCs/>
                <w:szCs w:val="22"/>
                <w:lang w:val="sr-Latn-ME"/>
              </w:rPr>
            </w:pPr>
            <w:r w:rsidRPr="003445F5">
              <w:rPr>
                <w:b/>
                <w:bCs/>
                <w:szCs w:val="22"/>
                <w:lang w:val="sr-Latn-ME"/>
              </w:rPr>
              <w:t>Studija RA I</w:t>
            </w:r>
            <w:r w:rsidRPr="003445F5">
              <w:rPr>
                <w:b/>
                <w:bCs/>
                <w:szCs w:val="22"/>
                <w:vertAlign w:val="superscript"/>
                <w:lang w:val="sr-Latn-ME"/>
              </w:rPr>
              <w:t>a</w:t>
            </w:r>
            <w:r w:rsidRPr="003445F5">
              <w:rPr>
                <w:b/>
                <w:bCs/>
                <w:szCs w:val="22"/>
                <w:lang w:val="sr-Latn-ME"/>
              </w:rPr>
              <w:t xml:space="preserve"> **</w:t>
            </w:r>
          </w:p>
        </w:tc>
        <w:tc>
          <w:tcPr>
            <w:tcW w:w="1287" w:type="pct"/>
            <w:gridSpan w:val="2"/>
            <w:vAlign w:val="center"/>
          </w:tcPr>
          <w:p w14:paraId="0F3C0115" w14:textId="77777777" w:rsidR="00E3174D" w:rsidRPr="003445F5" w:rsidRDefault="00E3174D" w:rsidP="00704956">
            <w:pPr>
              <w:jc w:val="center"/>
              <w:rPr>
                <w:b/>
                <w:bCs/>
                <w:szCs w:val="22"/>
                <w:lang w:val="sr-Latn-ME"/>
              </w:rPr>
            </w:pPr>
            <w:r w:rsidRPr="003445F5">
              <w:rPr>
                <w:b/>
                <w:bCs/>
                <w:szCs w:val="22"/>
                <w:lang w:val="sr-Latn-ME"/>
              </w:rPr>
              <w:t>Studija RA II</w:t>
            </w:r>
            <w:r w:rsidRPr="003445F5">
              <w:rPr>
                <w:b/>
                <w:bCs/>
                <w:szCs w:val="22"/>
                <w:vertAlign w:val="superscript"/>
                <w:lang w:val="sr-Latn-ME"/>
              </w:rPr>
              <w:t>a</w:t>
            </w:r>
            <w:r w:rsidRPr="003445F5">
              <w:rPr>
                <w:b/>
                <w:bCs/>
                <w:szCs w:val="22"/>
                <w:lang w:val="sr-Latn-ME"/>
              </w:rPr>
              <w:t xml:space="preserve"> **</w:t>
            </w:r>
          </w:p>
        </w:tc>
        <w:tc>
          <w:tcPr>
            <w:tcW w:w="1554" w:type="pct"/>
            <w:gridSpan w:val="2"/>
            <w:tcBorders>
              <w:right w:val="nil"/>
            </w:tcBorders>
            <w:vAlign w:val="center"/>
          </w:tcPr>
          <w:p w14:paraId="0C024DDC" w14:textId="77777777" w:rsidR="00E3174D" w:rsidRPr="003445F5" w:rsidRDefault="00E3174D" w:rsidP="00704956">
            <w:pPr>
              <w:jc w:val="center"/>
              <w:rPr>
                <w:b/>
                <w:bCs/>
                <w:szCs w:val="22"/>
                <w:lang w:val="sr-Latn-ME"/>
              </w:rPr>
            </w:pPr>
            <w:r w:rsidRPr="003445F5">
              <w:rPr>
                <w:b/>
                <w:bCs/>
                <w:szCs w:val="22"/>
                <w:lang w:val="sr-Latn-ME"/>
              </w:rPr>
              <w:t>Studija RA III</w:t>
            </w:r>
            <w:r w:rsidRPr="003445F5">
              <w:rPr>
                <w:b/>
                <w:bCs/>
                <w:szCs w:val="22"/>
                <w:vertAlign w:val="superscript"/>
                <w:lang w:val="sr-Latn-ME"/>
              </w:rPr>
              <w:t>a</w:t>
            </w:r>
            <w:r w:rsidRPr="003445F5">
              <w:rPr>
                <w:b/>
                <w:bCs/>
                <w:szCs w:val="22"/>
                <w:lang w:val="sr-Latn-ME"/>
              </w:rPr>
              <w:t xml:space="preserve"> **</w:t>
            </w:r>
          </w:p>
        </w:tc>
      </w:tr>
      <w:tr w:rsidR="00E3174D" w:rsidRPr="003445F5" w14:paraId="75777FBD" w14:textId="77777777" w:rsidTr="00736420">
        <w:trPr>
          <w:trHeight w:val="20"/>
        </w:trPr>
        <w:tc>
          <w:tcPr>
            <w:tcW w:w="706" w:type="pct"/>
            <w:vMerge/>
            <w:tcBorders>
              <w:left w:val="nil"/>
              <w:bottom w:val="single" w:sz="4" w:space="0" w:color="auto"/>
            </w:tcBorders>
            <w:vAlign w:val="center"/>
          </w:tcPr>
          <w:p w14:paraId="57D9166A" w14:textId="77777777" w:rsidR="00E3174D" w:rsidRPr="003445F5" w:rsidRDefault="00E3174D" w:rsidP="00704956">
            <w:pPr>
              <w:jc w:val="center"/>
              <w:rPr>
                <w:szCs w:val="22"/>
                <w:lang w:val="sr-Latn-ME"/>
              </w:rPr>
            </w:pPr>
          </w:p>
        </w:tc>
        <w:tc>
          <w:tcPr>
            <w:tcW w:w="716" w:type="pct"/>
            <w:tcBorders>
              <w:bottom w:val="single" w:sz="4" w:space="0" w:color="auto"/>
              <w:right w:val="single" w:sz="4" w:space="0" w:color="FFFFFF" w:themeColor="background1"/>
            </w:tcBorders>
            <w:vAlign w:val="center"/>
          </w:tcPr>
          <w:p w14:paraId="3E3DB268" w14:textId="77777777" w:rsidR="00E3174D" w:rsidRPr="003445F5" w:rsidRDefault="00E3174D" w:rsidP="00704956">
            <w:pPr>
              <w:jc w:val="center"/>
              <w:rPr>
                <w:szCs w:val="22"/>
                <w:lang w:val="sr-Latn-ME"/>
              </w:rPr>
            </w:pPr>
            <w:r w:rsidRPr="003445F5">
              <w:rPr>
                <w:szCs w:val="22"/>
                <w:lang w:val="sr-Latn-ME"/>
              </w:rPr>
              <w:t>Placebo/MTX</w:t>
            </w:r>
            <w:r w:rsidRPr="003445F5">
              <w:rPr>
                <w:szCs w:val="22"/>
                <w:vertAlign w:val="superscript"/>
                <w:lang w:val="sr-Latn-ME"/>
              </w:rPr>
              <w:t>c</w:t>
            </w:r>
            <w:r w:rsidRPr="003445F5">
              <w:rPr>
                <w:szCs w:val="22"/>
                <w:lang w:val="sr-Latn-ME"/>
              </w:rPr>
              <w:t xml:space="preserve"> n=60</w:t>
            </w:r>
          </w:p>
        </w:tc>
        <w:tc>
          <w:tcPr>
            <w:tcW w:w="736" w:type="pct"/>
            <w:tcBorders>
              <w:left w:val="single" w:sz="4" w:space="0" w:color="FFFFFF" w:themeColor="background1"/>
              <w:bottom w:val="single" w:sz="4" w:space="0" w:color="auto"/>
            </w:tcBorders>
            <w:vAlign w:val="center"/>
          </w:tcPr>
          <w:p w14:paraId="5FF207B6" w14:textId="77777777" w:rsidR="00E3174D" w:rsidRPr="003445F5" w:rsidRDefault="00E3174D" w:rsidP="00704956">
            <w:pPr>
              <w:jc w:val="center"/>
              <w:rPr>
                <w:szCs w:val="22"/>
                <w:lang w:val="sr-Latn-ME"/>
              </w:rPr>
            </w:pPr>
            <w:r w:rsidRPr="003445F5">
              <w:rPr>
                <w:szCs w:val="22"/>
                <w:lang w:val="sr-Latn-ME"/>
              </w:rPr>
              <w:t>adalimumab</w:t>
            </w:r>
            <w:r w:rsidRPr="003445F5">
              <w:rPr>
                <w:szCs w:val="22"/>
                <w:vertAlign w:val="superscript"/>
                <w:lang w:val="sr-Latn-ME"/>
              </w:rPr>
              <w:t>b</w:t>
            </w:r>
            <w:r w:rsidRPr="003445F5">
              <w:rPr>
                <w:szCs w:val="22"/>
                <w:lang w:val="sr-Latn-ME"/>
              </w:rPr>
              <w:t xml:space="preserve"> / MTX</w:t>
            </w:r>
            <w:r w:rsidRPr="003445F5">
              <w:rPr>
                <w:szCs w:val="22"/>
                <w:vertAlign w:val="superscript"/>
                <w:lang w:val="sr-Latn-ME"/>
              </w:rPr>
              <w:t>c</w:t>
            </w:r>
            <w:r w:rsidRPr="003445F5">
              <w:rPr>
                <w:szCs w:val="22"/>
                <w:lang w:val="sr-Latn-ME"/>
              </w:rPr>
              <w:t xml:space="preserve"> </w:t>
            </w:r>
          </w:p>
          <w:p w14:paraId="631EB957" w14:textId="77777777" w:rsidR="00E3174D" w:rsidRPr="003445F5" w:rsidRDefault="00E3174D" w:rsidP="00704956">
            <w:pPr>
              <w:jc w:val="center"/>
              <w:rPr>
                <w:szCs w:val="22"/>
                <w:lang w:val="sr-Latn-ME"/>
              </w:rPr>
            </w:pPr>
            <w:r w:rsidRPr="003445F5">
              <w:rPr>
                <w:szCs w:val="22"/>
                <w:lang w:val="sr-Latn-ME"/>
              </w:rPr>
              <w:t>n=63</w:t>
            </w:r>
          </w:p>
        </w:tc>
        <w:tc>
          <w:tcPr>
            <w:tcW w:w="551" w:type="pct"/>
            <w:tcBorders>
              <w:bottom w:val="single" w:sz="4" w:space="0" w:color="auto"/>
              <w:right w:val="single" w:sz="4" w:space="0" w:color="FFFFFF" w:themeColor="background1"/>
            </w:tcBorders>
            <w:vAlign w:val="center"/>
          </w:tcPr>
          <w:p w14:paraId="2CB931D9" w14:textId="77777777" w:rsidR="00E3174D" w:rsidRPr="003445F5" w:rsidRDefault="00E3174D" w:rsidP="00704956">
            <w:pPr>
              <w:jc w:val="center"/>
              <w:rPr>
                <w:szCs w:val="22"/>
                <w:lang w:val="sr-Latn-ME"/>
              </w:rPr>
            </w:pPr>
            <w:r w:rsidRPr="003445F5">
              <w:rPr>
                <w:szCs w:val="22"/>
                <w:lang w:val="sr-Latn-ME"/>
              </w:rPr>
              <w:t xml:space="preserve">Placebo </w:t>
            </w:r>
          </w:p>
          <w:p w14:paraId="57BA133E" w14:textId="77777777" w:rsidR="00E3174D" w:rsidRPr="003445F5" w:rsidRDefault="00E3174D" w:rsidP="00704956">
            <w:pPr>
              <w:jc w:val="center"/>
              <w:rPr>
                <w:szCs w:val="22"/>
                <w:lang w:val="sr-Latn-ME"/>
              </w:rPr>
            </w:pPr>
            <w:r w:rsidRPr="003445F5">
              <w:rPr>
                <w:szCs w:val="22"/>
                <w:lang w:val="sr-Latn-ME"/>
              </w:rPr>
              <w:t>n=110</w:t>
            </w:r>
          </w:p>
        </w:tc>
        <w:tc>
          <w:tcPr>
            <w:tcW w:w="736" w:type="pct"/>
            <w:tcBorders>
              <w:left w:val="single" w:sz="4" w:space="0" w:color="FFFFFF" w:themeColor="background1"/>
              <w:bottom w:val="single" w:sz="4" w:space="0" w:color="auto"/>
            </w:tcBorders>
            <w:vAlign w:val="center"/>
          </w:tcPr>
          <w:p w14:paraId="18812152" w14:textId="77777777" w:rsidR="00E3174D" w:rsidRPr="003445F5" w:rsidRDefault="00E3174D" w:rsidP="00704956">
            <w:pPr>
              <w:jc w:val="center"/>
              <w:rPr>
                <w:szCs w:val="22"/>
                <w:lang w:val="sr-Latn-ME"/>
              </w:rPr>
            </w:pPr>
            <w:r w:rsidRPr="003445F5">
              <w:rPr>
                <w:szCs w:val="22"/>
                <w:lang w:val="sr-Latn-ME"/>
              </w:rPr>
              <w:t>adalimumab</w:t>
            </w:r>
            <w:r w:rsidRPr="003445F5">
              <w:rPr>
                <w:szCs w:val="22"/>
                <w:vertAlign w:val="superscript"/>
                <w:lang w:val="sr-Latn-ME"/>
              </w:rPr>
              <w:t>b</w:t>
            </w:r>
            <w:r w:rsidRPr="003445F5">
              <w:rPr>
                <w:szCs w:val="22"/>
                <w:lang w:val="sr-Latn-ME"/>
              </w:rPr>
              <w:t xml:space="preserve"> n=113</w:t>
            </w:r>
          </w:p>
        </w:tc>
        <w:tc>
          <w:tcPr>
            <w:tcW w:w="819" w:type="pct"/>
            <w:tcBorders>
              <w:bottom w:val="single" w:sz="4" w:space="0" w:color="auto"/>
              <w:right w:val="single" w:sz="4" w:space="0" w:color="FFFFFF" w:themeColor="background1"/>
            </w:tcBorders>
            <w:vAlign w:val="center"/>
          </w:tcPr>
          <w:p w14:paraId="2CE7FA91" w14:textId="77777777" w:rsidR="00E3174D" w:rsidRPr="003445F5" w:rsidRDefault="00E3174D" w:rsidP="00704956">
            <w:pPr>
              <w:jc w:val="center"/>
              <w:rPr>
                <w:szCs w:val="22"/>
                <w:lang w:val="sr-Latn-ME"/>
              </w:rPr>
            </w:pPr>
            <w:r w:rsidRPr="003445F5">
              <w:rPr>
                <w:szCs w:val="22"/>
                <w:lang w:val="sr-Latn-ME"/>
              </w:rPr>
              <w:t>Placebo/MTX</w:t>
            </w:r>
            <w:r w:rsidRPr="003445F5">
              <w:rPr>
                <w:szCs w:val="22"/>
                <w:vertAlign w:val="superscript"/>
                <w:lang w:val="sr-Latn-ME"/>
              </w:rPr>
              <w:t>c</w:t>
            </w:r>
            <w:r w:rsidRPr="003445F5">
              <w:rPr>
                <w:szCs w:val="22"/>
                <w:lang w:val="sr-Latn-ME"/>
              </w:rPr>
              <w:t xml:space="preserve"> n=200</w:t>
            </w:r>
          </w:p>
        </w:tc>
        <w:tc>
          <w:tcPr>
            <w:tcW w:w="735" w:type="pct"/>
            <w:tcBorders>
              <w:left w:val="single" w:sz="4" w:space="0" w:color="FFFFFF" w:themeColor="background1"/>
              <w:bottom w:val="single" w:sz="4" w:space="0" w:color="auto"/>
              <w:right w:val="nil"/>
            </w:tcBorders>
            <w:vAlign w:val="center"/>
          </w:tcPr>
          <w:p w14:paraId="5A8453DB" w14:textId="77777777" w:rsidR="00E3174D" w:rsidRPr="003445F5" w:rsidRDefault="00E3174D" w:rsidP="00704956">
            <w:pPr>
              <w:jc w:val="center"/>
              <w:rPr>
                <w:szCs w:val="22"/>
                <w:lang w:val="sr-Latn-ME"/>
              </w:rPr>
            </w:pPr>
            <w:r w:rsidRPr="003445F5">
              <w:rPr>
                <w:szCs w:val="22"/>
                <w:lang w:val="sr-Latn-ME"/>
              </w:rPr>
              <w:t>adalimumab</w:t>
            </w:r>
            <w:r w:rsidRPr="003445F5">
              <w:rPr>
                <w:szCs w:val="22"/>
                <w:vertAlign w:val="superscript"/>
                <w:lang w:val="sr-Latn-ME"/>
              </w:rPr>
              <w:t>b</w:t>
            </w:r>
            <w:r w:rsidRPr="003445F5">
              <w:rPr>
                <w:szCs w:val="22"/>
                <w:lang w:val="sr-Latn-ME"/>
              </w:rPr>
              <w:t xml:space="preserve"> / MTX</w:t>
            </w:r>
            <w:r w:rsidRPr="003445F5">
              <w:rPr>
                <w:szCs w:val="22"/>
                <w:vertAlign w:val="superscript"/>
                <w:lang w:val="sr-Latn-ME"/>
              </w:rPr>
              <w:t>c</w:t>
            </w:r>
            <w:r w:rsidRPr="003445F5">
              <w:rPr>
                <w:szCs w:val="22"/>
                <w:lang w:val="sr-Latn-ME"/>
              </w:rPr>
              <w:t xml:space="preserve"> </w:t>
            </w:r>
          </w:p>
          <w:p w14:paraId="2191E7D4" w14:textId="77777777" w:rsidR="00E3174D" w:rsidRPr="003445F5" w:rsidRDefault="00E3174D" w:rsidP="00704956">
            <w:pPr>
              <w:jc w:val="center"/>
              <w:rPr>
                <w:szCs w:val="22"/>
                <w:lang w:val="sr-Latn-ME"/>
              </w:rPr>
            </w:pPr>
            <w:r w:rsidRPr="003445F5">
              <w:rPr>
                <w:szCs w:val="22"/>
                <w:lang w:val="sr-Latn-ME"/>
              </w:rPr>
              <w:t>n=207</w:t>
            </w:r>
          </w:p>
        </w:tc>
      </w:tr>
      <w:tr w:rsidR="00E124B2" w:rsidRPr="003445F5" w14:paraId="1414C856" w14:textId="77777777" w:rsidTr="00736420">
        <w:trPr>
          <w:trHeight w:val="20"/>
        </w:trPr>
        <w:tc>
          <w:tcPr>
            <w:tcW w:w="706" w:type="pct"/>
            <w:tcBorders>
              <w:left w:val="nil"/>
              <w:bottom w:val="nil"/>
            </w:tcBorders>
            <w:vAlign w:val="center"/>
          </w:tcPr>
          <w:p w14:paraId="52EC1504" w14:textId="77777777" w:rsidR="00E124B2" w:rsidRPr="003445F5" w:rsidRDefault="00E124B2" w:rsidP="00E124B2">
            <w:pPr>
              <w:rPr>
                <w:szCs w:val="22"/>
                <w:lang w:val="sr-Latn-ME"/>
              </w:rPr>
            </w:pPr>
            <w:r w:rsidRPr="003445F5">
              <w:rPr>
                <w:szCs w:val="22"/>
                <w:lang w:val="sr-Latn-ME"/>
              </w:rPr>
              <w:t>ACR 20</w:t>
            </w:r>
          </w:p>
          <w:p w14:paraId="45EF2C0B" w14:textId="77777777" w:rsidR="00E124B2" w:rsidRPr="003445F5" w:rsidRDefault="00E124B2" w:rsidP="00E124B2">
            <w:pPr>
              <w:jc w:val="center"/>
              <w:rPr>
                <w:szCs w:val="22"/>
                <w:lang w:val="sr-Latn-ME"/>
              </w:rPr>
            </w:pPr>
            <w:r w:rsidRPr="003445F5">
              <w:rPr>
                <w:szCs w:val="22"/>
                <w:lang w:val="sr-Latn-ME"/>
              </w:rPr>
              <w:t>6 mjeseci</w:t>
            </w:r>
          </w:p>
          <w:p w14:paraId="2B7B9960" w14:textId="037989ED" w:rsidR="00E124B2" w:rsidRPr="003445F5" w:rsidRDefault="00E124B2" w:rsidP="00E124B2">
            <w:pPr>
              <w:jc w:val="center"/>
              <w:rPr>
                <w:szCs w:val="22"/>
                <w:lang w:val="sr-Latn-ME"/>
              </w:rPr>
            </w:pPr>
            <w:r w:rsidRPr="003445F5">
              <w:rPr>
                <w:szCs w:val="22"/>
                <w:lang w:val="sr-Latn-ME"/>
              </w:rPr>
              <w:t>12 mjeseci</w:t>
            </w:r>
          </w:p>
        </w:tc>
        <w:tc>
          <w:tcPr>
            <w:tcW w:w="716" w:type="pct"/>
            <w:tcBorders>
              <w:bottom w:val="nil"/>
              <w:right w:val="single" w:sz="4" w:space="0" w:color="FFFFFF" w:themeColor="background1"/>
            </w:tcBorders>
            <w:vAlign w:val="center"/>
          </w:tcPr>
          <w:p w14:paraId="3FB7CE91" w14:textId="77777777" w:rsidR="00E124B2" w:rsidRPr="003445F5" w:rsidRDefault="00E124B2" w:rsidP="00E124B2">
            <w:pPr>
              <w:jc w:val="center"/>
              <w:rPr>
                <w:szCs w:val="22"/>
                <w:lang w:val="sr-Latn-ME"/>
              </w:rPr>
            </w:pPr>
          </w:p>
          <w:p w14:paraId="097C7096" w14:textId="77777777" w:rsidR="00E124B2" w:rsidRPr="003445F5" w:rsidRDefault="00E124B2" w:rsidP="00E124B2">
            <w:pPr>
              <w:jc w:val="center"/>
              <w:rPr>
                <w:szCs w:val="22"/>
                <w:lang w:val="sr-Latn-ME"/>
              </w:rPr>
            </w:pPr>
            <w:r w:rsidRPr="003445F5">
              <w:rPr>
                <w:szCs w:val="22"/>
                <w:lang w:val="sr-Latn-ME"/>
              </w:rPr>
              <w:t>13,3 %</w:t>
            </w:r>
          </w:p>
          <w:p w14:paraId="05F7F127" w14:textId="77777777" w:rsidR="00E124B2" w:rsidRPr="003445F5" w:rsidRDefault="00E124B2" w:rsidP="00E124B2">
            <w:pPr>
              <w:jc w:val="center"/>
              <w:rPr>
                <w:szCs w:val="22"/>
                <w:lang w:val="sr-Latn-ME"/>
              </w:rPr>
            </w:pPr>
            <w:r w:rsidRPr="003445F5">
              <w:rPr>
                <w:szCs w:val="22"/>
                <w:lang w:val="sr-Latn-ME"/>
              </w:rPr>
              <w:t xml:space="preserve">NA </w:t>
            </w:r>
          </w:p>
        </w:tc>
        <w:tc>
          <w:tcPr>
            <w:tcW w:w="736" w:type="pct"/>
            <w:tcBorders>
              <w:left w:val="single" w:sz="4" w:space="0" w:color="FFFFFF" w:themeColor="background1"/>
              <w:bottom w:val="nil"/>
            </w:tcBorders>
            <w:vAlign w:val="center"/>
          </w:tcPr>
          <w:p w14:paraId="13EB23A9" w14:textId="77777777" w:rsidR="00E124B2" w:rsidRPr="003445F5" w:rsidRDefault="00E124B2" w:rsidP="00E124B2">
            <w:pPr>
              <w:jc w:val="center"/>
              <w:rPr>
                <w:szCs w:val="22"/>
                <w:lang w:val="sr-Latn-ME"/>
              </w:rPr>
            </w:pPr>
          </w:p>
          <w:p w14:paraId="3EC3D09A" w14:textId="77777777" w:rsidR="00E124B2" w:rsidRPr="003445F5" w:rsidRDefault="00E124B2" w:rsidP="00E124B2">
            <w:pPr>
              <w:jc w:val="center"/>
              <w:rPr>
                <w:szCs w:val="22"/>
                <w:lang w:val="sr-Latn-ME"/>
              </w:rPr>
            </w:pPr>
            <w:r w:rsidRPr="003445F5">
              <w:rPr>
                <w:szCs w:val="22"/>
                <w:lang w:val="sr-Latn-ME"/>
              </w:rPr>
              <w:t>65,1%</w:t>
            </w:r>
          </w:p>
          <w:p w14:paraId="79268559" w14:textId="77777777" w:rsidR="00E124B2" w:rsidRPr="003445F5" w:rsidRDefault="00E124B2" w:rsidP="00E124B2">
            <w:pPr>
              <w:jc w:val="center"/>
              <w:rPr>
                <w:szCs w:val="22"/>
                <w:lang w:val="sr-Latn-ME"/>
              </w:rPr>
            </w:pPr>
            <w:r w:rsidRPr="003445F5">
              <w:rPr>
                <w:szCs w:val="22"/>
                <w:lang w:val="sr-Latn-ME"/>
              </w:rPr>
              <w:t>NA</w:t>
            </w:r>
          </w:p>
        </w:tc>
        <w:tc>
          <w:tcPr>
            <w:tcW w:w="551" w:type="pct"/>
            <w:tcBorders>
              <w:bottom w:val="nil"/>
              <w:right w:val="single" w:sz="4" w:space="0" w:color="FFFFFF" w:themeColor="background1"/>
            </w:tcBorders>
            <w:vAlign w:val="center"/>
          </w:tcPr>
          <w:p w14:paraId="55D6ACA1" w14:textId="77777777" w:rsidR="00E124B2" w:rsidRPr="003445F5" w:rsidRDefault="00E124B2" w:rsidP="00E124B2">
            <w:pPr>
              <w:jc w:val="center"/>
              <w:rPr>
                <w:szCs w:val="22"/>
                <w:lang w:val="sr-Latn-ME"/>
              </w:rPr>
            </w:pPr>
          </w:p>
          <w:p w14:paraId="27A97BB9" w14:textId="77777777" w:rsidR="00E124B2" w:rsidRPr="003445F5" w:rsidRDefault="00E124B2" w:rsidP="00E124B2">
            <w:pPr>
              <w:jc w:val="center"/>
              <w:rPr>
                <w:szCs w:val="22"/>
                <w:lang w:val="sr-Latn-ME"/>
              </w:rPr>
            </w:pPr>
            <w:r w:rsidRPr="003445F5">
              <w:rPr>
                <w:szCs w:val="22"/>
                <w:lang w:val="sr-Latn-ME"/>
              </w:rPr>
              <w:t>19,1%</w:t>
            </w:r>
          </w:p>
          <w:p w14:paraId="2BFC3CE1" w14:textId="77777777" w:rsidR="00E124B2" w:rsidRPr="003445F5" w:rsidRDefault="00E124B2" w:rsidP="00E124B2">
            <w:pPr>
              <w:jc w:val="center"/>
              <w:rPr>
                <w:szCs w:val="22"/>
                <w:lang w:val="sr-Latn-ME"/>
              </w:rPr>
            </w:pPr>
            <w:r w:rsidRPr="003445F5">
              <w:rPr>
                <w:szCs w:val="22"/>
                <w:lang w:val="sr-Latn-ME"/>
              </w:rPr>
              <w:t>NA</w:t>
            </w:r>
          </w:p>
        </w:tc>
        <w:tc>
          <w:tcPr>
            <w:tcW w:w="736" w:type="pct"/>
            <w:tcBorders>
              <w:left w:val="single" w:sz="4" w:space="0" w:color="FFFFFF" w:themeColor="background1"/>
              <w:bottom w:val="nil"/>
            </w:tcBorders>
            <w:vAlign w:val="center"/>
          </w:tcPr>
          <w:p w14:paraId="06B840F5" w14:textId="77777777" w:rsidR="00E124B2" w:rsidRPr="003445F5" w:rsidRDefault="00E124B2" w:rsidP="00E124B2">
            <w:pPr>
              <w:jc w:val="center"/>
              <w:rPr>
                <w:szCs w:val="22"/>
                <w:lang w:val="sr-Latn-ME"/>
              </w:rPr>
            </w:pPr>
          </w:p>
          <w:p w14:paraId="65A0B9D7" w14:textId="77777777" w:rsidR="00E124B2" w:rsidRPr="003445F5" w:rsidRDefault="00E124B2" w:rsidP="00E124B2">
            <w:pPr>
              <w:jc w:val="center"/>
              <w:rPr>
                <w:szCs w:val="22"/>
                <w:lang w:val="sr-Latn-ME"/>
              </w:rPr>
            </w:pPr>
            <w:r w:rsidRPr="003445F5">
              <w:rPr>
                <w:szCs w:val="22"/>
                <w:lang w:val="sr-Latn-ME"/>
              </w:rPr>
              <w:t>46,0%</w:t>
            </w:r>
          </w:p>
          <w:p w14:paraId="620647D8" w14:textId="77777777" w:rsidR="00E124B2" w:rsidRPr="003445F5" w:rsidRDefault="00E124B2" w:rsidP="00E124B2">
            <w:pPr>
              <w:jc w:val="center"/>
              <w:rPr>
                <w:szCs w:val="22"/>
                <w:lang w:val="sr-Latn-ME"/>
              </w:rPr>
            </w:pPr>
            <w:r w:rsidRPr="003445F5">
              <w:rPr>
                <w:szCs w:val="22"/>
                <w:lang w:val="sr-Latn-ME"/>
              </w:rPr>
              <w:t>NA</w:t>
            </w:r>
          </w:p>
        </w:tc>
        <w:tc>
          <w:tcPr>
            <w:tcW w:w="819" w:type="pct"/>
            <w:tcBorders>
              <w:bottom w:val="nil"/>
              <w:right w:val="single" w:sz="4" w:space="0" w:color="FFFFFF" w:themeColor="background1"/>
            </w:tcBorders>
            <w:vAlign w:val="center"/>
          </w:tcPr>
          <w:p w14:paraId="25FF0209" w14:textId="77777777" w:rsidR="00E124B2" w:rsidRPr="003445F5" w:rsidRDefault="00E124B2" w:rsidP="00E124B2">
            <w:pPr>
              <w:jc w:val="center"/>
              <w:rPr>
                <w:szCs w:val="22"/>
                <w:lang w:val="sr-Latn-ME"/>
              </w:rPr>
            </w:pPr>
          </w:p>
          <w:p w14:paraId="42FDE192" w14:textId="77777777" w:rsidR="00E124B2" w:rsidRPr="003445F5" w:rsidRDefault="00E124B2" w:rsidP="00E124B2">
            <w:pPr>
              <w:jc w:val="center"/>
              <w:rPr>
                <w:szCs w:val="22"/>
                <w:lang w:val="sr-Latn-ME"/>
              </w:rPr>
            </w:pPr>
            <w:r w:rsidRPr="003445F5">
              <w:rPr>
                <w:szCs w:val="22"/>
                <w:lang w:val="sr-Latn-ME"/>
              </w:rPr>
              <w:t>29,5%</w:t>
            </w:r>
          </w:p>
          <w:p w14:paraId="20C370C3" w14:textId="77777777" w:rsidR="00E124B2" w:rsidRPr="003445F5" w:rsidRDefault="00E124B2" w:rsidP="00E124B2">
            <w:pPr>
              <w:jc w:val="center"/>
              <w:rPr>
                <w:szCs w:val="22"/>
                <w:lang w:val="sr-Latn-ME"/>
              </w:rPr>
            </w:pPr>
            <w:r w:rsidRPr="003445F5">
              <w:rPr>
                <w:szCs w:val="22"/>
                <w:lang w:val="sr-Latn-ME"/>
              </w:rPr>
              <w:t>24,0%</w:t>
            </w:r>
          </w:p>
        </w:tc>
        <w:tc>
          <w:tcPr>
            <w:tcW w:w="735" w:type="pct"/>
            <w:tcBorders>
              <w:left w:val="single" w:sz="4" w:space="0" w:color="FFFFFF" w:themeColor="background1"/>
              <w:bottom w:val="nil"/>
              <w:right w:val="nil"/>
            </w:tcBorders>
            <w:vAlign w:val="center"/>
          </w:tcPr>
          <w:p w14:paraId="04C9B0B3" w14:textId="77777777" w:rsidR="00E124B2" w:rsidRPr="003445F5" w:rsidRDefault="00E124B2" w:rsidP="00E124B2">
            <w:pPr>
              <w:jc w:val="center"/>
              <w:rPr>
                <w:szCs w:val="22"/>
                <w:lang w:val="sr-Latn-ME"/>
              </w:rPr>
            </w:pPr>
          </w:p>
          <w:p w14:paraId="488C7DEC" w14:textId="77777777" w:rsidR="00E124B2" w:rsidRPr="003445F5" w:rsidRDefault="00E124B2" w:rsidP="00E124B2">
            <w:pPr>
              <w:jc w:val="center"/>
              <w:rPr>
                <w:szCs w:val="22"/>
                <w:lang w:val="sr-Latn-ME"/>
              </w:rPr>
            </w:pPr>
            <w:r w:rsidRPr="003445F5">
              <w:rPr>
                <w:szCs w:val="22"/>
                <w:lang w:val="sr-Latn-ME"/>
              </w:rPr>
              <w:t>63,3%</w:t>
            </w:r>
          </w:p>
          <w:p w14:paraId="50C797BB" w14:textId="77777777" w:rsidR="00E124B2" w:rsidRPr="003445F5" w:rsidRDefault="00E124B2" w:rsidP="00E124B2">
            <w:pPr>
              <w:jc w:val="center"/>
              <w:rPr>
                <w:szCs w:val="22"/>
                <w:lang w:val="sr-Latn-ME"/>
              </w:rPr>
            </w:pPr>
            <w:r w:rsidRPr="003445F5">
              <w:rPr>
                <w:szCs w:val="22"/>
                <w:lang w:val="sr-Latn-ME"/>
              </w:rPr>
              <w:t>58,9%</w:t>
            </w:r>
          </w:p>
        </w:tc>
      </w:tr>
      <w:tr w:rsidR="00E124B2" w:rsidRPr="003445F5" w14:paraId="2F25FD30" w14:textId="77777777" w:rsidTr="00736420">
        <w:trPr>
          <w:trHeight w:val="20"/>
        </w:trPr>
        <w:tc>
          <w:tcPr>
            <w:tcW w:w="706" w:type="pct"/>
            <w:tcBorders>
              <w:top w:val="nil"/>
              <w:left w:val="nil"/>
              <w:bottom w:val="nil"/>
            </w:tcBorders>
            <w:vAlign w:val="center"/>
          </w:tcPr>
          <w:p w14:paraId="4F038957" w14:textId="77777777" w:rsidR="00E124B2" w:rsidRPr="003445F5" w:rsidRDefault="00E124B2" w:rsidP="00E124B2">
            <w:pPr>
              <w:rPr>
                <w:szCs w:val="22"/>
                <w:lang w:val="sr-Latn-ME"/>
              </w:rPr>
            </w:pPr>
            <w:r w:rsidRPr="003445F5">
              <w:rPr>
                <w:szCs w:val="22"/>
                <w:lang w:val="sr-Latn-ME"/>
              </w:rPr>
              <w:t>ACR 50</w:t>
            </w:r>
          </w:p>
          <w:p w14:paraId="55B8BCE6" w14:textId="77777777" w:rsidR="00E124B2" w:rsidRPr="003445F5" w:rsidRDefault="00E124B2" w:rsidP="00E124B2">
            <w:pPr>
              <w:jc w:val="center"/>
              <w:rPr>
                <w:szCs w:val="22"/>
                <w:lang w:val="sr-Latn-ME"/>
              </w:rPr>
            </w:pPr>
            <w:r w:rsidRPr="003445F5">
              <w:rPr>
                <w:szCs w:val="22"/>
                <w:lang w:val="sr-Latn-ME"/>
              </w:rPr>
              <w:t>6 mjeseci</w:t>
            </w:r>
          </w:p>
          <w:p w14:paraId="7AA64651" w14:textId="2B33ABC8" w:rsidR="00E124B2" w:rsidRPr="003445F5" w:rsidRDefault="00E124B2" w:rsidP="00E124B2">
            <w:pPr>
              <w:jc w:val="center"/>
              <w:rPr>
                <w:szCs w:val="22"/>
                <w:lang w:val="sr-Latn-ME"/>
              </w:rPr>
            </w:pPr>
            <w:r w:rsidRPr="003445F5">
              <w:rPr>
                <w:szCs w:val="22"/>
                <w:lang w:val="sr-Latn-ME"/>
              </w:rPr>
              <w:t>12 mjeseci</w:t>
            </w:r>
          </w:p>
        </w:tc>
        <w:tc>
          <w:tcPr>
            <w:tcW w:w="716" w:type="pct"/>
            <w:tcBorders>
              <w:top w:val="nil"/>
              <w:bottom w:val="nil"/>
              <w:right w:val="single" w:sz="4" w:space="0" w:color="FFFFFF" w:themeColor="background1"/>
            </w:tcBorders>
            <w:vAlign w:val="center"/>
          </w:tcPr>
          <w:p w14:paraId="57E479E0" w14:textId="77777777" w:rsidR="00E124B2" w:rsidRPr="003445F5" w:rsidRDefault="00E124B2" w:rsidP="00E124B2">
            <w:pPr>
              <w:jc w:val="center"/>
              <w:rPr>
                <w:szCs w:val="22"/>
                <w:lang w:val="sr-Latn-ME"/>
              </w:rPr>
            </w:pPr>
          </w:p>
          <w:p w14:paraId="7324684E" w14:textId="77777777" w:rsidR="00E124B2" w:rsidRPr="003445F5" w:rsidRDefault="00E124B2" w:rsidP="00E124B2">
            <w:pPr>
              <w:jc w:val="center"/>
              <w:rPr>
                <w:szCs w:val="22"/>
                <w:lang w:val="sr-Latn-ME"/>
              </w:rPr>
            </w:pPr>
            <w:r w:rsidRPr="003445F5">
              <w:rPr>
                <w:szCs w:val="22"/>
                <w:lang w:val="sr-Latn-ME"/>
              </w:rPr>
              <w:t xml:space="preserve">6,7% </w:t>
            </w:r>
          </w:p>
          <w:p w14:paraId="56C261AF" w14:textId="77777777" w:rsidR="00E124B2" w:rsidRPr="003445F5" w:rsidRDefault="00E124B2" w:rsidP="00E124B2">
            <w:pPr>
              <w:jc w:val="center"/>
              <w:rPr>
                <w:szCs w:val="22"/>
                <w:lang w:val="sr-Latn-ME"/>
              </w:rPr>
            </w:pPr>
            <w:r w:rsidRPr="003445F5">
              <w:rPr>
                <w:szCs w:val="22"/>
                <w:lang w:val="sr-Latn-ME"/>
              </w:rPr>
              <w:t>NA</w:t>
            </w:r>
          </w:p>
        </w:tc>
        <w:tc>
          <w:tcPr>
            <w:tcW w:w="736" w:type="pct"/>
            <w:tcBorders>
              <w:top w:val="nil"/>
              <w:left w:val="single" w:sz="4" w:space="0" w:color="FFFFFF" w:themeColor="background1"/>
              <w:bottom w:val="nil"/>
            </w:tcBorders>
            <w:vAlign w:val="center"/>
          </w:tcPr>
          <w:p w14:paraId="7A2A5F65" w14:textId="77777777" w:rsidR="00E124B2" w:rsidRPr="003445F5" w:rsidRDefault="00E124B2" w:rsidP="00E124B2">
            <w:pPr>
              <w:jc w:val="center"/>
              <w:rPr>
                <w:szCs w:val="22"/>
                <w:lang w:val="sr-Latn-ME"/>
              </w:rPr>
            </w:pPr>
          </w:p>
          <w:p w14:paraId="469AAA50" w14:textId="77777777" w:rsidR="00E124B2" w:rsidRPr="003445F5" w:rsidRDefault="00E124B2" w:rsidP="00E124B2">
            <w:pPr>
              <w:jc w:val="center"/>
              <w:rPr>
                <w:szCs w:val="22"/>
                <w:lang w:val="sr-Latn-ME"/>
              </w:rPr>
            </w:pPr>
            <w:r w:rsidRPr="003445F5">
              <w:rPr>
                <w:szCs w:val="22"/>
                <w:lang w:val="sr-Latn-ME"/>
              </w:rPr>
              <w:t>52,4%</w:t>
            </w:r>
          </w:p>
          <w:p w14:paraId="3684AC62" w14:textId="77777777" w:rsidR="00E124B2" w:rsidRPr="003445F5" w:rsidRDefault="00E124B2" w:rsidP="00E124B2">
            <w:pPr>
              <w:jc w:val="center"/>
              <w:rPr>
                <w:szCs w:val="22"/>
                <w:lang w:val="sr-Latn-ME"/>
              </w:rPr>
            </w:pPr>
            <w:r w:rsidRPr="003445F5">
              <w:rPr>
                <w:szCs w:val="22"/>
                <w:lang w:val="sr-Latn-ME"/>
              </w:rPr>
              <w:t>NA</w:t>
            </w:r>
          </w:p>
        </w:tc>
        <w:tc>
          <w:tcPr>
            <w:tcW w:w="551" w:type="pct"/>
            <w:tcBorders>
              <w:top w:val="nil"/>
              <w:bottom w:val="nil"/>
              <w:right w:val="single" w:sz="4" w:space="0" w:color="FFFFFF" w:themeColor="background1"/>
            </w:tcBorders>
            <w:vAlign w:val="center"/>
          </w:tcPr>
          <w:p w14:paraId="1AD605F8" w14:textId="77777777" w:rsidR="00E124B2" w:rsidRPr="003445F5" w:rsidRDefault="00E124B2" w:rsidP="00E124B2">
            <w:pPr>
              <w:jc w:val="center"/>
              <w:rPr>
                <w:szCs w:val="22"/>
                <w:lang w:val="sr-Latn-ME"/>
              </w:rPr>
            </w:pPr>
          </w:p>
          <w:p w14:paraId="1FAFB0D2" w14:textId="77777777" w:rsidR="00E124B2" w:rsidRPr="003445F5" w:rsidRDefault="00E124B2" w:rsidP="00E124B2">
            <w:pPr>
              <w:jc w:val="center"/>
              <w:rPr>
                <w:szCs w:val="22"/>
                <w:lang w:val="sr-Latn-ME"/>
              </w:rPr>
            </w:pPr>
            <w:r w:rsidRPr="003445F5">
              <w:rPr>
                <w:szCs w:val="22"/>
                <w:lang w:val="sr-Latn-ME"/>
              </w:rPr>
              <w:t>8,2%</w:t>
            </w:r>
          </w:p>
          <w:p w14:paraId="321F24D5" w14:textId="77777777" w:rsidR="00E124B2" w:rsidRPr="003445F5" w:rsidRDefault="00E124B2" w:rsidP="00E124B2">
            <w:pPr>
              <w:jc w:val="center"/>
              <w:rPr>
                <w:szCs w:val="22"/>
                <w:lang w:val="sr-Latn-ME"/>
              </w:rPr>
            </w:pPr>
            <w:r w:rsidRPr="003445F5">
              <w:rPr>
                <w:szCs w:val="22"/>
                <w:lang w:val="sr-Latn-ME"/>
              </w:rPr>
              <w:t>NA</w:t>
            </w:r>
          </w:p>
        </w:tc>
        <w:tc>
          <w:tcPr>
            <w:tcW w:w="736" w:type="pct"/>
            <w:tcBorders>
              <w:top w:val="nil"/>
              <w:left w:val="single" w:sz="4" w:space="0" w:color="FFFFFF" w:themeColor="background1"/>
              <w:bottom w:val="nil"/>
            </w:tcBorders>
            <w:vAlign w:val="center"/>
          </w:tcPr>
          <w:p w14:paraId="6FD4D039" w14:textId="77777777" w:rsidR="00E124B2" w:rsidRPr="003445F5" w:rsidRDefault="00E124B2" w:rsidP="00E124B2">
            <w:pPr>
              <w:jc w:val="center"/>
              <w:rPr>
                <w:szCs w:val="22"/>
                <w:lang w:val="sr-Latn-ME"/>
              </w:rPr>
            </w:pPr>
          </w:p>
          <w:p w14:paraId="52451A89" w14:textId="77777777" w:rsidR="00E124B2" w:rsidRPr="003445F5" w:rsidRDefault="00E124B2" w:rsidP="00E124B2">
            <w:pPr>
              <w:jc w:val="center"/>
              <w:rPr>
                <w:szCs w:val="22"/>
                <w:lang w:val="sr-Latn-ME"/>
              </w:rPr>
            </w:pPr>
            <w:r w:rsidRPr="003445F5">
              <w:rPr>
                <w:szCs w:val="22"/>
                <w:lang w:val="sr-Latn-ME"/>
              </w:rPr>
              <w:t>22,1%</w:t>
            </w:r>
          </w:p>
          <w:p w14:paraId="4017CF1D" w14:textId="77777777" w:rsidR="00E124B2" w:rsidRPr="003445F5" w:rsidRDefault="00E124B2" w:rsidP="00E124B2">
            <w:pPr>
              <w:jc w:val="center"/>
              <w:rPr>
                <w:szCs w:val="22"/>
                <w:lang w:val="sr-Latn-ME"/>
              </w:rPr>
            </w:pPr>
            <w:r w:rsidRPr="003445F5">
              <w:rPr>
                <w:szCs w:val="22"/>
                <w:lang w:val="sr-Latn-ME"/>
              </w:rPr>
              <w:t>NA</w:t>
            </w:r>
          </w:p>
        </w:tc>
        <w:tc>
          <w:tcPr>
            <w:tcW w:w="819" w:type="pct"/>
            <w:tcBorders>
              <w:top w:val="nil"/>
              <w:bottom w:val="nil"/>
              <w:right w:val="single" w:sz="4" w:space="0" w:color="FFFFFF" w:themeColor="background1"/>
            </w:tcBorders>
            <w:vAlign w:val="center"/>
          </w:tcPr>
          <w:p w14:paraId="6C71611A" w14:textId="77777777" w:rsidR="00E124B2" w:rsidRPr="003445F5" w:rsidRDefault="00E124B2" w:rsidP="00E124B2">
            <w:pPr>
              <w:jc w:val="center"/>
              <w:rPr>
                <w:szCs w:val="22"/>
                <w:lang w:val="sr-Latn-ME"/>
              </w:rPr>
            </w:pPr>
          </w:p>
          <w:p w14:paraId="54A70CEB" w14:textId="77777777" w:rsidR="00E124B2" w:rsidRPr="003445F5" w:rsidRDefault="00E124B2" w:rsidP="00E124B2">
            <w:pPr>
              <w:jc w:val="center"/>
              <w:rPr>
                <w:szCs w:val="22"/>
                <w:lang w:val="sr-Latn-ME"/>
              </w:rPr>
            </w:pPr>
            <w:r w:rsidRPr="003445F5">
              <w:rPr>
                <w:szCs w:val="22"/>
                <w:lang w:val="sr-Latn-ME"/>
              </w:rPr>
              <w:t>9,5%</w:t>
            </w:r>
          </w:p>
          <w:p w14:paraId="27A7718F" w14:textId="77777777" w:rsidR="00E124B2" w:rsidRPr="003445F5" w:rsidRDefault="00E124B2" w:rsidP="00E124B2">
            <w:pPr>
              <w:jc w:val="center"/>
              <w:rPr>
                <w:szCs w:val="22"/>
                <w:lang w:val="sr-Latn-ME"/>
              </w:rPr>
            </w:pPr>
            <w:r w:rsidRPr="003445F5">
              <w:rPr>
                <w:szCs w:val="22"/>
                <w:lang w:val="sr-Latn-ME"/>
              </w:rPr>
              <w:t>9,5%</w:t>
            </w:r>
          </w:p>
        </w:tc>
        <w:tc>
          <w:tcPr>
            <w:tcW w:w="735" w:type="pct"/>
            <w:tcBorders>
              <w:top w:val="nil"/>
              <w:left w:val="single" w:sz="4" w:space="0" w:color="FFFFFF" w:themeColor="background1"/>
              <w:bottom w:val="nil"/>
              <w:right w:val="nil"/>
            </w:tcBorders>
            <w:vAlign w:val="center"/>
          </w:tcPr>
          <w:p w14:paraId="5DBC3AC9" w14:textId="77777777" w:rsidR="00E124B2" w:rsidRPr="003445F5" w:rsidRDefault="00E124B2" w:rsidP="00E124B2">
            <w:pPr>
              <w:jc w:val="center"/>
              <w:rPr>
                <w:szCs w:val="22"/>
                <w:lang w:val="sr-Latn-ME"/>
              </w:rPr>
            </w:pPr>
          </w:p>
          <w:p w14:paraId="192827EF" w14:textId="77777777" w:rsidR="00E124B2" w:rsidRPr="003445F5" w:rsidRDefault="00E124B2" w:rsidP="00E124B2">
            <w:pPr>
              <w:jc w:val="center"/>
              <w:rPr>
                <w:szCs w:val="22"/>
                <w:lang w:val="sr-Latn-ME"/>
              </w:rPr>
            </w:pPr>
            <w:r w:rsidRPr="003445F5">
              <w:rPr>
                <w:szCs w:val="22"/>
                <w:lang w:val="sr-Latn-ME"/>
              </w:rPr>
              <w:t>39,1%</w:t>
            </w:r>
          </w:p>
          <w:p w14:paraId="3490B96B" w14:textId="77777777" w:rsidR="00E124B2" w:rsidRPr="003445F5" w:rsidRDefault="00E124B2" w:rsidP="00E124B2">
            <w:pPr>
              <w:jc w:val="center"/>
              <w:rPr>
                <w:szCs w:val="22"/>
                <w:lang w:val="sr-Latn-ME"/>
              </w:rPr>
            </w:pPr>
            <w:r w:rsidRPr="003445F5">
              <w:rPr>
                <w:szCs w:val="22"/>
                <w:lang w:val="sr-Latn-ME"/>
              </w:rPr>
              <w:t>41,5 %</w:t>
            </w:r>
          </w:p>
        </w:tc>
      </w:tr>
      <w:tr w:rsidR="00E124B2" w:rsidRPr="003445F5" w14:paraId="5469F99A" w14:textId="77777777" w:rsidTr="00736420">
        <w:trPr>
          <w:trHeight w:val="20"/>
        </w:trPr>
        <w:tc>
          <w:tcPr>
            <w:tcW w:w="706" w:type="pct"/>
            <w:tcBorders>
              <w:top w:val="nil"/>
              <w:left w:val="nil"/>
            </w:tcBorders>
            <w:vAlign w:val="center"/>
          </w:tcPr>
          <w:p w14:paraId="78B91D2E" w14:textId="77777777" w:rsidR="00E124B2" w:rsidRPr="003445F5" w:rsidRDefault="00E124B2" w:rsidP="00E124B2">
            <w:pPr>
              <w:rPr>
                <w:szCs w:val="22"/>
                <w:lang w:val="sr-Latn-ME"/>
              </w:rPr>
            </w:pPr>
            <w:r w:rsidRPr="003445F5">
              <w:rPr>
                <w:szCs w:val="22"/>
                <w:lang w:val="sr-Latn-ME"/>
              </w:rPr>
              <w:t>ACR 70</w:t>
            </w:r>
          </w:p>
          <w:p w14:paraId="70A15D94" w14:textId="77777777" w:rsidR="00E124B2" w:rsidRPr="003445F5" w:rsidRDefault="00E124B2" w:rsidP="00E124B2">
            <w:pPr>
              <w:jc w:val="center"/>
              <w:rPr>
                <w:szCs w:val="22"/>
                <w:lang w:val="sr-Latn-ME"/>
              </w:rPr>
            </w:pPr>
            <w:r w:rsidRPr="003445F5">
              <w:rPr>
                <w:szCs w:val="22"/>
                <w:lang w:val="sr-Latn-ME"/>
              </w:rPr>
              <w:t>6 mjeseci</w:t>
            </w:r>
          </w:p>
          <w:p w14:paraId="07ECFA61" w14:textId="798FD7F2" w:rsidR="00E124B2" w:rsidRPr="003445F5" w:rsidRDefault="00E124B2" w:rsidP="00E124B2">
            <w:pPr>
              <w:jc w:val="center"/>
              <w:rPr>
                <w:szCs w:val="22"/>
                <w:lang w:val="sr-Latn-ME"/>
              </w:rPr>
            </w:pPr>
            <w:r w:rsidRPr="003445F5">
              <w:rPr>
                <w:szCs w:val="22"/>
                <w:lang w:val="sr-Latn-ME"/>
              </w:rPr>
              <w:t>12 mjeseci</w:t>
            </w:r>
          </w:p>
        </w:tc>
        <w:tc>
          <w:tcPr>
            <w:tcW w:w="716" w:type="pct"/>
            <w:tcBorders>
              <w:top w:val="nil"/>
              <w:right w:val="single" w:sz="4" w:space="0" w:color="FFFFFF" w:themeColor="background1"/>
            </w:tcBorders>
            <w:vAlign w:val="center"/>
          </w:tcPr>
          <w:p w14:paraId="294E13A9" w14:textId="77777777" w:rsidR="00E124B2" w:rsidRPr="003445F5" w:rsidRDefault="00E124B2" w:rsidP="00E124B2">
            <w:pPr>
              <w:jc w:val="center"/>
              <w:rPr>
                <w:szCs w:val="22"/>
                <w:lang w:val="sr-Latn-ME"/>
              </w:rPr>
            </w:pPr>
          </w:p>
          <w:p w14:paraId="33550B9E" w14:textId="77777777" w:rsidR="00E124B2" w:rsidRPr="003445F5" w:rsidRDefault="00E124B2" w:rsidP="00E124B2">
            <w:pPr>
              <w:jc w:val="center"/>
              <w:rPr>
                <w:szCs w:val="22"/>
                <w:lang w:val="sr-Latn-ME"/>
              </w:rPr>
            </w:pPr>
            <w:r w:rsidRPr="003445F5">
              <w:rPr>
                <w:szCs w:val="22"/>
                <w:lang w:val="sr-Latn-ME"/>
              </w:rPr>
              <w:t xml:space="preserve">3,3% </w:t>
            </w:r>
          </w:p>
          <w:p w14:paraId="60AB8257" w14:textId="77777777" w:rsidR="00E124B2" w:rsidRPr="003445F5" w:rsidRDefault="00E124B2" w:rsidP="00E124B2">
            <w:pPr>
              <w:jc w:val="center"/>
              <w:rPr>
                <w:szCs w:val="22"/>
                <w:lang w:val="sr-Latn-ME"/>
              </w:rPr>
            </w:pPr>
            <w:r w:rsidRPr="003445F5">
              <w:rPr>
                <w:szCs w:val="22"/>
                <w:lang w:val="sr-Latn-ME"/>
              </w:rPr>
              <w:t>NA</w:t>
            </w:r>
          </w:p>
        </w:tc>
        <w:tc>
          <w:tcPr>
            <w:tcW w:w="736" w:type="pct"/>
            <w:tcBorders>
              <w:top w:val="nil"/>
              <w:left w:val="single" w:sz="4" w:space="0" w:color="FFFFFF" w:themeColor="background1"/>
            </w:tcBorders>
            <w:vAlign w:val="center"/>
          </w:tcPr>
          <w:p w14:paraId="2EB42A8F" w14:textId="77777777" w:rsidR="00E124B2" w:rsidRPr="003445F5" w:rsidRDefault="00E124B2" w:rsidP="00E124B2">
            <w:pPr>
              <w:jc w:val="center"/>
              <w:rPr>
                <w:szCs w:val="22"/>
                <w:lang w:val="sr-Latn-ME"/>
              </w:rPr>
            </w:pPr>
          </w:p>
          <w:p w14:paraId="50D17974" w14:textId="77777777" w:rsidR="00E124B2" w:rsidRPr="003445F5" w:rsidRDefault="00E124B2" w:rsidP="00E124B2">
            <w:pPr>
              <w:jc w:val="center"/>
              <w:rPr>
                <w:szCs w:val="22"/>
                <w:lang w:val="sr-Latn-ME"/>
              </w:rPr>
            </w:pPr>
            <w:r w:rsidRPr="003445F5">
              <w:rPr>
                <w:szCs w:val="22"/>
                <w:lang w:val="sr-Latn-ME"/>
              </w:rPr>
              <w:t xml:space="preserve">23,8% </w:t>
            </w:r>
          </w:p>
          <w:p w14:paraId="0F2D3840" w14:textId="77777777" w:rsidR="00E124B2" w:rsidRPr="003445F5" w:rsidRDefault="00E124B2" w:rsidP="00E124B2">
            <w:pPr>
              <w:jc w:val="center"/>
              <w:rPr>
                <w:szCs w:val="22"/>
                <w:lang w:val="sr-Latn-ME"/>
              </w:rPr>
            </w:pPr>
            <w:r w:rsidRPr="003445F5">
              <w:rPr>
                <w:szCs w:val="22"/>
                <w:lang w:val="sr-Latn-ME"/>
              </w:rPr>
              <w:t>NA</w:t>
            </w:r>
          </w:p>
        </w:tc>
        <w:tc>
          <w:tcPr>
            <w:tcW w:w="551" w:type="pct"/>
            <w:tcBorders>
              <w:top w:val="nil"/>
              <w:right w:val="single" w:sz="4" w:space="0" w:color="FFFFFF" w:themeColor="background1"/>
            </w:tcBorders>
            <w:vAlign w:val="center"/>
          </w:tcPr>
          <w:p w14:paraId="54D3B24F" w14:textId="77777777" w:rsidR="00E124B2" w:rsidRPr="003445F5" w:rsidRDefault="00E124B2" w:rsidP="00E124B2">
            <w:pPr>
              <w:jc w:val="center"/>
              <w:rPr>
                <w:szCs w:val="22"/>
                <w:lang w:val="sr-Latn-ME"/>
              </w:rPr>
            </w:pPr>
          </w:p>
          <w:p w14:paraId="586C7057" w14:textId="77777777" w:rsidR="00E124B2" w:rsidRPr="003445F5" w:rsidRDefault="00E124B2" w:rsidP="00E124B2">
            <w:pPr>
              <w:jc w:val="center"/>
              <w:rPr>
                <w:szCs w:val="22"/>
                <w:lang w:val="sr-Latn-ME"/>
              </w:rPr>
            </w:pPr>
            <w:r w:rsidRPr="003445F5">
              <w:rPr>
                <w:szCs w:val="22"/>
                <w:lang w:val="sr-Latn-ME"/>
              </w:rPr>
              <w:t xml:space="preserve">1,8% </w:t>
            </w:r>
          </w:p>
          <w:p w14:paraId="531EAC2C" w14:textId="77777777" w:rsidR="00E124B2" w:rsidRPr="003445F5" w:rsidRDefault="00E124B2" w:rsidP="00E124B2">
            <w:pPr>
              <w:jc w:val="center"/>
              <w:rPr>
                <w:szCs w:val="22"/>
                <w:lang w:val="sr-Latn-ME"/>
              </w:rPr>
            </w:pPr>
            <w:r w:rsidRPr="003445F5">
              <w:rPr>
                <w:szCs w:val="22"/>
                <w:lang w:val="sr-Latn-ME"/>
              </w:rPr>
              <w:t>NA</w:t>
            </w:r>
          </w:p>
        </w:tc>
        <w:tc>
          <w:tcPr>
            <w:tcW w:w="736" w:type="pct"/>
            <w:tcBorders>
              <w:top w:val="nil"/>
              <w:left w:val="single" w:sz="4" w:space="0" w:color="FFFFFF" w:themeColor="background1"/>
            </w:tcBorders>
            <w:vAlign w:val="center"/>
          </w:tcPr>
          <w:p w14:paraId="5ABFE368" w14:textId="77777777" w:rsidR="00E124B2" w:rsidRPr="003445F5" w:rsidRDefault="00E124B2" w:rsidP="00E124B2">
            <w:pPr>
              <w:jc w:val="center"/>
              <w:rPr>
                <w:szCs w:val="22"/>
                <w:lang w:val="sr-Latn-ME"/>
              </w:rPr>
            </w:pPr>
          </w:p>
          <w:p w14:paraId="0E83FB4E" w14:textId="77777777" w:rsidR="00E124B2" w:rsidRPr="003445F5" w:rsidRDefault="00E124B2" w:rsidP="00E124B2">
            <w:pPr>
              <w:jc w:val="center"/>
              <w:rPr>
                <w:szCs w:val="22"/>
                <w:lang w:val="sr-Latn-ME"/>
              </w:rPr>
            </w:pPr>
            <w:r w:rsidRPr="003445F5">
              <w:rPr>
                <w:szCs w:val="22"/>
                <w:lang w:val="sr-Latn-ME"/>
              </w:rPr>
              <w:t xml:space="preserve">12,4% </w:t>
            </w:r>
          </w:p>
          <w:p w14:paraId="784C8FBD" w14:textId="77777777" w:rsidR="00E124B2" w:rsidRPr="003445F5" w:rsidRDefault="00E124B2" w:rsidP="00E124B2">
            <w:pPr>
              <w:jc w:val="center"/>
              <w:rPr>
                <w:szCs w:val="22"/>
                <w:lang w:val="sr-Latn-ME"/>
              </w:rPr>
            </w:pPr>
            <w:r w:rsidRPr="003445F5">
              <w:rPr>
                <w:szCs w:val="22"/>
                <w:lang w:val="sr-Latn-ME"/>
              </w:rPr>
              <w:t>NA</w:t>
            </w:r>
          </w:p>
        </w:tc>
        <w:tc>
          <w:tcPr>
            <w:tcW w:w="819" w:type="pct"/>
            <w:tcBorders>
              <w:top w:val="nil"/>
              <w:right w:val="single" w:sz="4" w:space="0" w:color="FFFFFF" w:themeColor="background1"/>
            </w:tcBorders>
            <w:vAlign w:val="center"/>
          </w:tcPr>
          <w:p w14:paraId="2C332C8A" w14:textId="77777777" w:rsidR="00E124B2" w:rsidRPr="003445F5" w:rsidRDefault="00E124B2" w:rsidP="00E124B2">
            <w:pPr>
              <w:jc w:val="center"/>
              <w:rPr>
                <w:szCs w:val="22"/>
                <w:lang w:val="sr-Latn-ME"/>
              </w:rPr>
            </w:pPr>
          </w:p>
          <w:p w14:paraId="42406CBF" w14:textId="77777777" w:rsidR="00E124B2" w:rsidRPr="003445F5" w:rsidRDefault="00E124B2" w:rsidP="00E124B2">
            <w:pPr>
              <w:jc w:val="center"/>
              <w:rPr>
                <w:szCs w:val="22"/>
                <w:lang w:val="sr-Latn-ME"/>
              </w:rPr>
            </w:pPr>
            <w:r w:rsidRPr="003445F5">
              <w:rPr>
                <w:szCs w:val="22"/>
                <w:lang w:val="sr-Latn-ME"/>
              </w:rPr>
              <w:t xml:space="preserve">2,5% </w:t>
            </w:r>
          </w:p>
          <w:p w14:paraId="3C98A138" w14:textId="77777777" w:rsidR="00E124B2" w:rsidRPr="003445F5" w:rsidRDefault="00E124B2" w:rsidP="00E124B2">
            <w:pPr>
              <w:jc w:val="center"/>
              <w:rPr>
                <w:szCs w:val="22"/>
                <w:lang w:val="sr-Latn-ME"/>
              </w:rPr>
            </w:pPr>
            <w:r w:rsidRPr="003445F5">
              <w:rPr>
                <w:szCs w:val="22"/>
                <w:lang w:val="sr-Latn-ME"/>
              </w:rPr>
              <w:t>4,5%</w:t>
            </w:r>
          </w:p>
        </w:tc>
        <w:tc>
          <w:tcPr>
            <w:tcW w:w="735" w:type="pct"/>
            <w:tcBorders>
              <w:top w:val="nil"/>
              <w:left w:val="single" w:sz="4" w:space="0" w:color="FFFFFF" w:themeColor="background1"/>
              <w:right w:val="nil"/>
            </w:tcBorders>
            <w:vAlign w:val="center"/>
          </w:tcPr>
          <w:p w14:paraId="466DC646" w14:textId="77777777" w:rsidR="00E124B2" w:rsidRPr="003445F5" w:rsidRDefault="00E124B2" w:rsidP="00E124B2">
            <w:pPr>
              <w:jc w:val="center"/>
              <w:rPr>
                <w:szCs w:val="22"/>
                <w:lang w:val="sr-Latn-ME"/>
              </w:rPr>
            </w:pPr>
          </w:p>
          <w:p w14:paraId="7C5C389A" w14:textId="77777777" w:rsidR="00E124B2" w:rsidRPr="003445F5" w:rsidRDefault="00E124B2" w:rsidP="00E124B2">
            <w:pPr>
              <w:jc w:val="center"/>
              <w:rPr>
                <w:szCs w:val="22"/>
                <w:lang w:val="sr-Latn-ME"/>
              </w:rPr>
            </w:pPr>
            <w:r w:rsidRPr="003445F5">
              <w:rPr>
                <w:szCs w:val="22"/>
                <w:lang w:val="sr-Latn-ME"/>
              </w:rPr>
              <w:t>20,8%</w:t>
            </w:r>
          </w:p>
          <w:p w14:paraId="78F46F97" w14:textId="77777777" w:rsidR="00E124B2" w:rsidRPr="003445F5" w:rsidRDefault="00E124B2" w:rsidP="00E124B2">
            <w:pPr>
              <w:jc w:val="center"/>
              <w:rPr>
                <w:szCs w:val="22"/>
                <w:lang w:val="sr-Latn-ME"/>
              </w:rPr>
            </w:pPr>
            <w:r w:rsidRPr="003445F5">
              <w:rPr>
                <w:szCs w:val="22"/>
                <w:lang w:val="sr-Latn-ME"/>
              </w:rPr>
              <w:t>23,2%</w:t>
            </w:r>
          </w:p>
        </w:tc>
      </w:tr>
    </w:tbl>
    <w:p w14:paraId="65331994" w14:textId="3D2BB85A" w:rsidR="00736420" w:rsidRPr="003445F5" w:rsidRDefault="00736420" w:rsidP="00736420">
      <w:pPr>
        <w:rPr>
          <w:szCs w:val="22"/>
          <w:lang w:val="sr-Latn-ME"/>
        </w:rPr>
      </w:pPr>
      <w:r w:rsidRPr="003445F5">
        <w:rPr>
          <w:szCs w:val="22"/>
          <w:vertAlign w:val="superscript"/>
          <w:lang w:val="sr-Latn-ME"/>
        </w:rPr>
        <w:t>a.</w:t>
      </w:r>
      <w:r w:rsidRPr="003445F5">
        <w:rPr>
          <w:szCs w:val="22"/>
          <w:lang w:val="sr-Latn-ME"/>
        </w:rPr>
        <w:t xml:space="preserve"> RA Studija I nakon </w:t>
      </w:r>
      <w:r w:rsidR="00551F1D" w:rsidRPr="003445F5">
        <w:rPr>
          <w:szCs w:val="22"/>
          <w:lang w:val="sr-Latn-ME"/>
        </w:rPr>
        <w:t>nedjelj</w:t>
      </w:r>
      <w:r w:rsidR="0047711E" w:rsidRPr="003445F5">
        <w:rPr>
          <w:szCs w:val="22"/>
          <w:lang w:val="sr-Latn-ME"/>
        </w:rPr>
        <w:t>e</w:t>
      </w:r>
      <w:r w:rsidRPr="003445F5">
        <w:rPr>
          <w:szCs w:val="22"/>
          <w:lang w:val="sr-Latn-ME"/>
        </w:rPr>
        <w:t xml:space="preserve"> 24, RA Studija II nakon </w:t>
      </w:r>
      <w:r w:rsidR="00551F1D" w:rsidRPr="003445F5">
        <w:rPr>
          <w:szCs w:val="22"/>
          <w:lang w:val="sr-Latn-ME"/>
        </w:rPr>
        <w:t>nedjelj</w:t>
      </w:r>
      <w:r w:rsidR="0047711E" w:rsidRPr="003445F5">
        <w:rPr>
          <w:szCs w:val="22"/>
          <w:lang w:val="sr-Latn-ME"/>
        </w:rPr>
        <w:t>e</w:t>
      </w:r>
      <w:r w:rsidRPr="003445F5">
        <w:rPr>
          <w:szCs w:val="22"/>
          <w:lang w:val="sr-Latn-ME"/>
        </w:rPr>
        <w:t xml:space="preserve"> 26, RA Studija III nakon </w:t>
      </w:r>
      <w:r w:rsidR="00551F1D" w:rsidRPr="003445F5">
        <w:rPr>
          <w:szCs w:val="22"/>
          <w:lang w:val="sr-Latn-ME"/>
        </w:rPr>
        <w:t>nedjelj</w:t>
      </w:r>
      <w:r w:rsidR="0047711E" w:rsidRPr="003445F5">
        <w:rPr>
          <w:szCs w:val="22"/>
          <w:lang w:val="sr-Latn-ME"/>
        </w:rPr>
        <w:t>e</w:t>
      </w:r>
      <w:r w:rsidRPr="003445F5">
        <w:rPr>
          <w:szCs w:val="22"/>
          <w:lang w:val="sr-Latn-ME"/>
        </w:rPr>
        <w:t xml:space="preserve"> 24 i nakon </w:t>
      </w:r>
      <w:r w:rsidR="00551F1D" w:rsidRPr="003445F5">
        <w:rPr>
          <w:szCs w:val="22"/>
          <w:lang w:val="sr-Latn-ME"/>
        </w:rPr>
        <w:t>nedjelj</w:t>
      </w:r>
      <w:r w:rsidR="0047711E" w:rsidRPr="003445F5">
        <w:rPr>
          <w:szCs w:val="22"/>
          <w:lang w:val="sr-Latn-ME"/>
        </w:rPr>
        <w:t>e</w:t>
      </w:r>
      <w:r w:rsidRPr="003445F5">
        <w:rPr>
          <w:szCs w:val="22"/>
          <w:lang w:val="sr-Latn-ME"/>
        </w:rPr>
        <w:t xml:space="preserve"> 52 </w:t>
      </w:r>
    </w:p>
    <w:p w14:paraId="74693B9F" w14:textId="514C35A7" w:rsidR="00736420" w:rsidRPr="003445F5" w:rsidRDefault="00736420" w:rsidP="00736420">
      <w:pPr>
        <w:rPr>
          <w:szCs w:val="22"/>
          <w:lang w:val="sr-Latn-ME"/>
        </w:rPr>
      </w:pPr>
      <w:r w:rsidRPr="003445F5">
        <w:rPr>
          <w:szCs w:val="22"/>
          <w:vertAlign w:val="superscript"/>
          <w:lang w:val="sr-Latn-ME"/>
        </w:rPr>
        <w:t>b.</w:t>
      </w:r>
      <w:r w:rsidRPr="003445F5">
        <w:rPr>
          <w:szCs w:val="22"/>
          <w:lang w:val="sr-Latn-ME"/>
        </w:rPr>
        <w:t xml:space="preserve"> 40 mg lijeka adalimumab primijenjenog svake druge </w:t>
      </w:r>
      <w:r w:rsidR="00551F1D" w:rsidRPr="003445F5">
        <w:rPr>
          <w:szCs w:val="22"/>
          <w:lang w:val="sr-Latn-ME"/>
        </w:rPr>
        <w:t>nedjelj</w:t>
      </w:r>
      <w:r w:rsidR="0047711E" w:rsidRPr="003445F5">
        <w:rPr>
          <w:szCs w:val="22"/>
          <w:lang w:val="sr-Latn-ME"/>
        </w:rPr>
        <w:t>e</w:t>
      </w:r>
    </w:p>
    <w:p w14:paraId="04214272" w14:textId="77777777" w:rsidR="00736420" w:rsidRPr="003445F5" w:rsidRDefault="00736420" w:rsidP="00736420">
      <w:pPr>
        <w:rPr>
          <w:szCs w:val="22"/>
          <w:lang w:val="sr-Latn-ME"/>
        </w:rPr>
      </w:pPr>
      <w:r w:rsidRPr="003445F5">
        <w:rPr>
          <w:szCs w:val="22"/>
          <w:vertAlign w:val="superscript"/>
          <w:lang w:val="sr-Latn-ME"/>
        </w:rPr>
        <w:t>c.</w:t>
      </w:r>
      <w:r w:rsidRPr="003445F5">
        <w:rPr>
          <w:szCs w:val="22"/>
          <w:lang w:val="sr-Latn-ME"/>
        </w:rPr>
        <w:t xml:space="preserve"> MTX=metotreksat </w:t>
      </w:r>
    </w:p>
    <w:p w14:paraId="0AFEB050" w14:textId="77777777" w:rsidR="00736420" w:rsidRPr="003445F5" w:rsidRDefault="00736420" w:rsidP="00736420">
      <w:pPr>
        <w:rPr>
          <w:szCs w:val="22"/>
          <w:lang w:val="sr-Latn-ME"/>
        </w:rPr>
      </w:pPr>
      <w:r w:rsidRPr="003445F5">
        <w:rPr>
          <w:szCs w:val="22"/>
          <w:lang w:val="sr-Latn-ME"/>
        </w:rPr>
        <w:t>**p</w:t>
      </w:r>
      <w:r w:rsidRPr="003445F5">
        <w:rPr>
          <w:szCs w:val="22"/>
          <w:lang w:val="sr-Latn-ME"/>
        </w:rPr>
        <w:sym w:font="Symbol" w:char="F03C"/>
      </w:r>
      <w:r w:rsidRPr="003445F5">
        <w:rPr>
          <w:szCs w:val="22"/>
          <w:lang w:val="sr-Latn-ME"/>
        </w:rPr>
        <w:t>0,01, adalimumab vs. placebo</w:t>
      </w:r>
    </w:p>
    <w:p w14:paraId="2CEDAA3A" w14:textId="41CA4F16" w:rsidR="007F33CD" w:rsidRPr="003445F5" w:rsidRDefault="007F33CD" w:rsidP="00524FDF">
      <w:pPr>
        <w:rPr>
          <w:szCs w:val="22"/>
          <w:lang w:val="sr-Latn-ME"/>
        </w:rPr>
      </w:pPr>
    </w:p>
    <w:p w14:paraId="20AA038E" w14:textId="3A58870E" w:rsidR="00781E23" w:rsidRPr="003445F5" w:rsidRDefault="00781E23" w:rsidP="00781E23">
      <w:pPr>
        <w:rPr>
          <w:szCs w:val="22"/>
          <w:lang w:val="sr-Latn-ME"/>
        </w:rPr>
      </w:pPr>
      <w:r w:rsidRPr="003445F5">
        <w:rPr>
          <w:szCs w:val="22"/>
          <w:lang w:val="sr-Latn-ME"/>
        </w:rPr>
        <w:t>U RA studijama I-IV sve pojedinačne komponente za kriterijum ACR odgovora (broj osjetljivih i otečenih zglobova, procjena ljekara i pacijenta o aktivnosti bolesti i bolu, skor indeksa onesposobljenosti (HAQ) i nivo CRP-a (mg/d</w:t>
      </w:r>
      <w:r w:rsidR="003B71C4" w:rsidRPr="003445F5">
        <w:rPr>
          <w:szCs w:val="22"/>
          <w:lang w:val="sr-Latn-ME"/>
        </w:rPr>
        <w:t>l</w:t>
      </w:r>
      <w:r w:rsidRPr="003445F5">
        <w:rPr>
          <w:szCs w:val="22"/>
          <w:lang w:val="sr-Latn-ME"/>
        </w:rPr>
        <w:t xml:space="preserve">) su bili poboljšani nakon 24 ili 26 nedjelja primjene adalimumaba u odnosu na placebo. U RA studiji III ova poboljšanja su se zadržala tokom 52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355712F6" w14:textId="77777777" w:rsidR="00781E23" w:rsidRPr="003445F5" w:rsidRDefault="00781E23" w:rsidP="00781E23">
      <w:pPr>
        <w:rPr>
          <w:szCs w:val="22"/>
          <w:lang w:val="sr-Latn-ME"/>
        </w:rPr>
      </w:pPr>
    </w:p>
    <w:p w14:paraId="687F3FEE" w14:textId="5B207A19" w:rsidR="00781E23" w:rsidRPr="003445F5" w:rsidRDefault="00781E23" w:rsidP="00781E23">
      <w:pPr>
        <w:rPr>
          <w:szCs w:val="22"/>
          <w:lang w:val="sr-Latn-ME"/>
        </w:rPr>
      </w:pPr>
      <w:r w:rsidRPr="003445F5">
        <w:rPr>
          <w:szCs w:val="22"/>
          <w:lang w:val="sr-Latn-ME"/>
        </w:rPr>
        <w:t xml:space="preserve">U otvorenom produžetku RA III studije, većina pacijenata sa postignutim ACR odgovorom održala je odgovor i tokom 10 godina. Od ukupno 207 pacijenata randomizovanih u grupu koja je primala adalimumab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114 pacijenata nastavilo je da prima adalimumab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tokom 5 godina. Među ovim pacijentima, 86 (75,4%) pacijenata imalo je ACR 20 odgovor; 72 (63,2%) pacijenta imalo je ACR 50 odgovor i 41 (36%) pacijent imao je ACR 70 odgovor. Od ukupno 207, 81 pacijent je nastavio da prima adalimumab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tokom 10 godina. Među ovim pacijentima, 64 (79%) pacijenata imalo je ACR 20 odgovor; 56 (69,1%) pacijenata imalo je ACR 50 odgovor i 43 (53,1%) pacijenta imalo je ACR 70 odgovor. </w:t>
      </w:r>
    </w:p>
    <w:p w14:paraId="74C4821F" w14:textId="77777777" w:rsidR="00781E23" w:rsidRPr="003445F5" w:rsidRDefault="00781E23" w:rsidP="00781E23">
      <w:pPr>
        <w:rPr>
          <w:szCs w:val="22"/>
          <w:lang w:val="sr-Latn-ME"/>
        </w:rPr>
      </w:pPr>
    </w:p>
    <w:p w14:paraId="31C0D859" w14:textId="77777777" w:rsidR="00781E23" w:rsidRPr="003445F5" w:rsidRDefault="00781E23" w:rsidP="00781E23">
      <w:pPr>
        <w:rPr>
          <w:szCs w:val="22"/>
          <w:lang w:val="sr-Latn-ME"/>
        </w:rPr>
      </w:pPr>
      <w:r w:rsidRPr="003445F5">
        <w:rPr>
          <w:szCs w:val="22"/>
          <w:lang w:val="sr-Latn-ME"/>
        </w:rPr>
        <w:t xml:space="preserve">U RA studiji IV ACR 20 odgovor pacijenata liječenih adalimumabom uz standardnu terapiju je bio statistički značajno bolji od pacijenata liječenih placebom plus standardna terapija (p </w:t>
      </w:r>
      <w:r w:rsidRPr="003445F5">
        <w:rPr>
          <w:szCs w:val="22"/>
          <w:lang w:val="sr-Latn-ME"/>
        </w:rPr>
        <w:sym w:font="Symbol" w:char="F03C"/>
      </w:r>
      <w:r w:rsidRPr="003445F5">
        <w:rPr>
          <w:szCs w:val="22"/>
          <w:lang w:val="sr-Latn-ME"/>
        </w:rPr>
        <w:t xml:space="preserve"> 0,001). </w:t>
      </w:r>
    </w:p>
    <w:p w14:paraId="4E389630" w14:textId="77777777" w:rsidR="00781E23" w:rsidRPr="003445F5" w:rsidRDefault="00781E23" w:rsidP="00781E23">
      <w:pPr>
        <w:rPr>
          <w:szCs w:val="22"/>
          <w:lang w:val="sr-Latn-ME"/>
        </w:rPr>
      </w:pPr>
    </w:p>
    <w:p w14:paraId="6BE690B1" w14:textId="07F8F20B" w:rsidR="00781E23" w:rsidRPr="003445F5" w:rsidRDefault="00781E23" w:rsidP="00781E23">
      <w:pPr>
        <w:rPr>
          <w:szCs w:val="22"/>
          <w:lang w:val="sr-Latn-ME"/>
        </w:rPr>
      </w:pPr>
      <w:r w:rsidRPr="003445F5">
        <w:rPr>
          <w:szCs w:val="22"/>
          <w:lang w:val="sr-Latn-ME"/>
        </w:rPr>
        <w:t xml:space="preserve">U RA studiji I-IV pacijenti liječeni adalimumabom postigli su statistički značajan ACR 20 i ACR 50 odgovor u poređenju sa placebom već jednu do dvije </w:t>
      </w:r>
      <w:r w:rsidR="00551F1D" w:rsidRPr="003445F5">
        <w:rPr>
          <w:szCs w:val="22"/>
          <w:lang w:val="sr-Latn-ME"/>
        </w:rPr>
        <w:t>nedjelj</w:t>
      </w:r>
      <w:r w:rsidR="0047711E" w:rsidRPr="003445F5">
        <w:rPr>
          <w:szCs w:val="22"/>
          <w:lang w:val="sr-Latn-ME"/>
        </w:rPr>
        <w:t>e</w:t>
      </w:r>
      <w:r w:rsidRPr="003445F5">
        <w:rPr>
          <w:szCs w:val="22"/>
          <w:lang w:val="sr-Latn-ME"/>
        </w:rPr>
        <w:t xml:space="preserve"> nakon započete terapije. </w:t>
      </w:r>
    </w:p>
    <w:p w14:paraId="0749CDAA" w14:textId="77777777" w:rsidR="00781E23" w:rsidRPr="003445F5" w:rsidRDefault="00781E23" w:rsidP="00781E23">
      <w:pPr>
        <w:rPr>
          <w:szCs w:val="22"/>
          <w:lang w:val="sr-Latn-ME"/>
        </w:rPr>
      </w:pPr>
    </w:p>
    <w:p w14:paraId="3563B3DF" w14:textId="2BEA87C9" w:rsidR="00781E23" w:rsidRPr="003445F5" w:rsidRDefault="00781E23" w:rsidP="00781E23">
      <w:pPr>
        <w:rPr>
          <w:szCs w:val="22"/>
          <w:lang w:val="sr-Latn-ME"/>
        </w:rPr>
      </w:pPr>
      <w:r w:rsidRPr="003445F5">
        <w:rPr>
          <w:szCs w:val="22"/>
          <w:lang w:val="sr-Latn-ME"/>
        </w:rPr>
        <w:t xml:space="preserve">U RA studiji V sa pacijentima koji su imali reumatoidni artritis u ranoj fazi, a prethodno nisu primali metotreksat, kombinovana terapija adalimumaba i metotreksata dovela je do bržeg i značajno većeg ACR odgovora u </w:t>
      </w:r>
      <w:r w:rsidR="00551F1D" w:rsidRPr="003445F5">
        <w:rPr>
          <w:szCs w:val="22"/>
          <w:lang w:val="sr-Latn-ME"/>
        </w:rPr>
        <w:t>nedjelj</w:t>
      </w:r>
      <w:r w:rsidR="00704AF5" w:rsidRPr="003445F5">
        <w:rPr>
          <w:szCs w:val="22"/>
          <w:lang w:val="sr-Latn-ME"/>
        </w:rPr>
        <w:t>i</w:t>
      </w:r>
      <w:r w:rsidRPr="003445F5">
        <w:rPr>
          <w:szCs w:val="22"/>
          <w:lang w:val="sr-Latn-ME"/>
        </w:rPr>
        <w:t xml:space="preserve"> 52, nego monoterapija metotreksatom i monoterapija adalimumabom, i odgovor se održao do 104. </w:t>
      </w:r>
      <w:r w:rsidR="00551F1D" w:rsidRPr="003445F5">
        <w:rPr>
          <w:szCs w:val="22"/>
          <w:lang w:val="sr-Latn-ME"/>
        </w:rPr>
        <w:t>nedjelj</w:t>
      </w:r>
      <w:r w:rsidR="0047711E" w:rsidRPr="003445F5">
        <w:rPr>
          <w:szCs w:val="22"/>
          <w:lang w:val="sr-Latn-ME"/>
        </w:rPr>
        <w:t>e</w:t>
      </w:r>
      <w:r w:rsidRPr="003445F5">
        <w:rPr>
          <w:szCs w:val="22"/>
          <w:lang w:val="sr-Latn-ME"/>
        </w:rPr>
        <w:t xml:space="preserve"> (vidjeti Tabelu 6).</w:t>
      </w:r>
    </w:p>
    <w:p w14:paraId="5965D61F" w14:textId="32D44545" w:rsidR="007F33CD" w:rsidRPr="003445F5" w:rsidRDefault="007F33CD" w:rsidP="00524FDF">
      <w:pPr>
        <w:rPr>
          <w:szCs w:val="22"/>
          <w:lang w:val="sr-Latn-ME"/>
        </w:rPr>
      </w:pPr>
    </w:p>
    <w:p w14:paraId="14724907" w14:textId="5C3866A8" w:rsidR="007F33CD" w:rsidRPr="003445F5" w:rsidRDefault="007F33CD" w:rsidP="00524FDF">
      <w:pPr>
        <w:rPr>
          <w:b/>
          <w:bCs/>
          <w:szCs w:val="22"/>
          <w:lang w:val="sr-Latn-ME"/>
        </w:rPr>
      </w:pPr>
      <w:r w:rsidRPr="003445F5">
        <w:rPr>
          <w:b/>
          <w:bCs/>
          <w:szCs w:val="22"/>
          <w:lang w:val="sr-Latn-ME"/>
        </w:rPr>
        <w:t xml:space="preserve">Tabela </w:t>
      </w:r>
      <w:r w:rsidR="00F56E3F" w:rsidRPr="003445F5">
        <w:rPr>
          <w:b/>
          <w:bCs/>
          <w:szCs w:val="22"/>
          <w:lang w:val="sr-Latn-ME"/>
        </w:rPr>
        <w:t>6.</w:t>
      </w:r>
      <w:r w:rsidRPr="003445F5">
        <w:rPr>
          <w:b/>
          <w:bCs/>
          <w:szCs w:val="22"/>
          <w:lang w:val="sr-Latn-ME"/>
        </w:rPr>
        <w:t xml:space="preserve"> ACR odgovori u studiji RA V (procenat pacijenata)</w:t>
      </w:r>
    </w:p>
    <w:p w14:paraId="33DB4383" w14:textId="7DB9CD55" w:rsidR="007F33CD" w:rsidRPr="003445F5" w:rsidRDefault="007F33CD" w:rsidP="00524FDF">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265"/>
        <w:gridCol w:w="828"/>
        <w:gridCol w:w="1356"/>
        <w:gridCol w:w="1832"/>
        <w:gridCol w:w="1260"/>
        <w:gridCol w:w="1264"/>
        <w:gridCol w:w="1212"/>
      </w:tblGrid>
      <w:tr w:rsidR="0055469E" w:rsidRPr="003445F5" w14:paraId="0BE77993" w14:textId="77777777" w:rsidTr="00E920CA">
        <w:trPr>
          <w:trHeight w:val="20"/>
        </w:trPr>
        <w:tc>
          <w:tcPr>
            <w:tcW w:w="709" w:type="pct"/>
            <w:vAlign w:val="center"/>
          </w:tcPr>
          <w:p w14:paraId="08183ED7" w14:textId="50596CE9" w:rsidR="0055469E" w:rsidRPr="003445F5" w:rsidRDefault="0055469E" w:rsidP="0055469E">
            <w:pPr>
              <w:jc w:val="center"/>
              <w:rPr>
                <w:b/>
                <w:bCs/>
                <w:szCs w:val="22"/>
                <w:lang w:val="sr-Latn-ME"/>
              </w:rPr>
            </w:pPr>
            <w:r w:rsidRPr="003445F5">
              <w:rPr>
                <w:b/>
                <w:bCs/>
                <w:szCs w:val="22"/>
                <w:lang w:val="sr-Latn-ME"/>
              </w:rPr>
              <w:t>Odgovor</w:t>
            </w:r>
          </w:p>
        </w:tc>
        <w:tc>
          <w:tcPr>
            <w:tcW w:w="467" w:type="pct"/>
            <w:vAlign w:val="center"/>
          </w:tcPr>
          <w:p w14:paraId="43830FB3" w14:textId="77777777" w:rsidR="0055469E" w:rsidRPr="003445F5" w:rsidRDefault="0055469E" w:rsidP="0055469E">
            <w:pPr>
              <w:jc w:val="center"/>
              <w:rPr>
                <w:b/>
                <w:bCs/>
                <w:szCs w:val="22"/>
                <w:lang w:val="sr-Latn-ME"/>
              </w:rPr>
            </w:pPr>
            <w:r w:rsidRPr="003445F5">
              <w:rPr>
                <w:b/>
                <w:bCs/>
                <w:szCs w:val="22"/>
                <w:lang w:val="sr-Latn-ME"/>
              </w:rPr>
              <w:t>MTX</w:t>
            </w:r>
          </w:p>
          <w:p w14:paraId="28AC4CB9" w14:textId="15FE1AC6" w:rsidR="0055469E" w:rsidRPr="003445F5" w:rsidRDefault="0055469E" w:rsidP="0055469E">
            <w:pPr>
              <w:jc w:val="center"/>
              <w:rPr>
                <w:b/>
                <w:bCs/>
                <w:szCs w:val="22"/>
                <w:lang w:val="sr-Latn-ME"/>
              </w:rPr>
            </w:pPr>
            <w:r w:rsidRPr="003445F5">
              <w:rPr>
                <w:b/>
                <w:bCs/>
                <w:szCs w:val="22"/>
                <w:lang w:val="sr-Latn-ME"/>
              </w:rPr>
              <w:t>n=257</w:t>
            </w:r>
          </w:p>
        </w:tc>
        <w:tc>
          <w:tcPr>
            <w:tcW w:w="708" w:type="pct"/>
            <w:vAlign w:val="center"/>
          </w:tcPr>
          <w:p w14:paraId="09D0579E" w14:textId="77777777" w:rsidR="0055469E" w:rsidRPr="003445F5" w:rsidRDefault="0055469E" w:rsidP="0055469E">
            <w:pPr>
              <w:jc w:val="center"/>
              <w:rPr>
                <w:b/>
                <w:bCs/>
                <w:szCs w:val="22"/>
                <w:lang w:val="sr-Latn-ME"/>
              </w:rPr>
            </w:pPr>
            <w:r w:rsidRPr="003445F5">
              <w:rPr>
                <w:b/>
                <w:bCs/>
                <w:szCs w:val="22"/>
                <w:lang w:val="sr-Latn-ME"/>
              </w:rPr>
              <w:t>adalimumab</w:t>
            </w:r>
          </w:p>
          <w:p w14:paraId="55A8950A" w14:textId="18BDFD27" w:rsidR="0055469E" w:rsidRPr="003445F5" w:rsidRDefault="0055469E" w:rsidP="0055469E">
            <w:pPr>
              <w:tabs>
                <w:tab w:val="clear" w:pos="284"/>
              </w:tabs>
              <w:jc w:val="center"/>
              <w:rPr>
                <w:b/>
                <w:bCs/>
                <w:szCs w:val="22"/>
                <w:lang w:val="sr-Latn-ME"/>
              </w:rPr>
            </w:pPr>
            <w:r w:rsidRPr="003445F5">
              <w:rPr>
                <w:b/>
                <w:bCs/>
                <w:szCs w:val="22"/>
                <w:lang w:val="sr-Latn-ME"/>
              </w:rPr>
              <w:t>n = 274</w:t>
            </w:r>
          </w:p>
        </w:tc>
        <w:tc>
          <w:tcPr>
            <w:tcW w:w="1023" w:type="pct"/>
            <w:vAlign w:val="center"/>
          </w:tcPr>
          <w:p w14:paraId="24C0B7E4" w14:textId="77777777" w:rsidR="0055469E" w:rsidRPr="003445F5" w:rsidRDefault="0055469E" w:rsidP="0055469E">
            <w:pPr>
              <w:jc w:val="center"/>
              <w:rPr>
                <w:b/>
                <w:bCs/>
                <w:szCs w:val="22"/>
                <w:lang w:val="sr-Latn-ME"/>
              </w:rPr>
            </w:pPr>
            <w:r w:rsidRPr="003445F5">
              <w:rPr>
                <w:b/>
                <w:bCs/>
                <w:szCs w:val="22"/>
                <w:lang w:val="sr-Latn-ME"/>
              </w:rPr>
              <w:t>adalimumab/ MTX</w:t>
            </w:r>
          </w:p>
          <w:p w14:paraId="74C0B06B" w14:textId="105B7A6D" w:rsidR="0055469E" w:rsidRPr="003445F5" w:rsidRDefault="0055469E" w:rsidP="0055469E">
            <w:pPr>
              <w:jc w:val="center"/>
              <w:rPr>
                <w:b/>
                <w:bCs/>
                <w:szCs w:val="22"/>
                <w:lang w:val="sr-Latn-ME"/>
              </w:rPr>
            </w:pPr>
            <w:r w:rsidRPr="003445F5">
              <w:rPr>
                <w:b/>
                <w:bCs/>
                <w:szCs w:val="22"/>
                <w:lang w:val="sr-Latn-ME"/>
              </w:rPr>
              <w:t>n = 268</w:t>
            </w:r>
          </w:p>
        </w:tc>
        <w:tc>
          <w:tcPr>
            <w:tcW w:w="706" w:type="pct"/>
            <w:vAlign w:val="center"/>
          </w:tcPr>
          <w:p w14:paraId="1F3CE0F3" w14:textId="2B4114CA" w:rsidR="0055469E" w:rsidRPr="003445F5" w:rsidRDefault="0055469E" w:rsidP="0055469E">
            <w:pPr>
              <w:jc w:val="center"/>
              <w:rPr>
                <w:b/>
                <w:bCs/>
                <w:szCs w:val="22"/>
                <w:lang w:val="sr-Latn-ME"/>
              </w:rPr>
            </w:pPr>
            <w:r w:rsidRPr="003445F5">
              <w:rPr>
                <w:b/>
                <w:bCs/>
                <w:szCs w:val="22"/>
                <w:lang w:val="sr-Latn-ME"/>
              </w:rPr>
              <w:t>p-vrijednost</w:t>
            </w:r>
            <w:r w:rsidRPr="003445F5">
              <w:rPr>
                <w:b/>
                <w:bCs/>
                <w:szCs w:val="22"/>
                <w:vertAlign w:val="superscript"/>
                <w:lang w:val="sr-Latn-ME"/>
              </w:rPr>
              <w:t>a</w:t>
            </w:r>
          </w:p>
        </w:tc>
        <w:tc>
          <w:tcPr>
            <w:tcW w:w="708" w:type="pct"/>
            <w:vAlign w:val="center"/>
          </w:tcPr>
          <w:p w14:paraId="7D8E894A" w14:textId="4E4A7279" w:rsidR="0055469E" w:rsidRPr="003445F5" w:rsidRDefault="0055469E" w:rsidP="0055469E">
            <w:pPr>
              <w:jc w:val="center"/>
              <w:rPr>
                <w:b/>
                <w:bCs/>
                <w:szCs w:val="22"/>
                <w:lang w:val="sr-Latn-ME"/>
              </w:rPr>
            </w:pPr>
            <w:r w:rsidRPr="003445F5">
              <w:rPr>
                <w:b/>
                <w:bCs/>
                <w:szCs w:val="22"/>
                <w:lang w:val="sr-Latn-ME"/>
              </w:rPr>
              <w:t>p-vrijednost</w:t>
            </w:r>
            <w:r w:rsidRPr="003445F5">
              <w:rPr>
                <w:b/>
                <w:bCs/>
                <w:szCs w:val="22"/>
                <w:vertAlign w:val="superscript"/>
                <w:lang w:val="sr-Latn-ME"/>
              </w:rPr>
              <w:t>b</w:t>
            </w:r>
          </w:p>
        </w:tc>
        <w:tc>
          <w:tcPr>
            <w:tcW w:w="679" w:type="pct"/>
            <w:vAlign w:val="center"/>
          </w:tcPr>
          <w:p w14:paraId="6035D2DE" w14:textId="0CAAC502" w:rsidR="0055469E" w:rsidRPr="003445F5" w:rsidRDefault="0055469E" w:rsidP="0055469E">
            <w:pPr>
              <w:jc w:val="center"/>
              <w:rPr>
                <w:b/>
                <w:bCs/>
                <w:szCs w:val="22"/>
                <w:lang w:val="sr-Latn-ME"/>
              </w:rPr>
            </w:pPr>
            <w:r w:rsidRPr="003445F5">
              <w:rPr>
                <w:b/>
                <w:bCs/>
                <w:szCs w:val="22"/>
                <w:lang w:val="sr-Latn-ME"/>
              </w:rPr>
              <w:t>p-vrijednost</w:t>
            </w:r>
            <w:r w:rsidRPr="003445F5">
              <w:rPr>
                <w:b/>
                <w:bCs/>
                <w:szCs w:val="22"/>
                <w:vertAlign w:val="superscript"/>
                <w:lang w:val="sr-Latn-ME"/>
              </w:rPr>
              <w:t>c</w:t>
            </w:r>
          </w:p>
        </w:tc>
      </w:tr>
      <w:tr w:rsidR="007D67AE" w:rsidRPr="003445F5" w14:paraId="46525C46" w14:textId="77777777" w:rsidTr="00704956">
        <w:trPr>
          <w:trHeight w:val="20"/>
        </w:trPr>
        <w:tc>
          <w:tcPr>
            <w:tcW w:w="709" w:type="pct"/>
            <w:tcBorders>
              <w:right w:val="single" w:sz="4" w:space="0" w:color="FFFFFF" w:themeColor="background1"/>
            </w:tcBorders>
            <w:vAlign w:val="center"/>
          </w:tcPr>
          <w:p w14:paraId="4A2FB798" w14:textId="77777777" w:rsidR="007D67AE" w:rsidRPr="003445F5" w:rsidRDefault="007D67AE" w:rsidP="00704956">
            <w:pPr>
              <w:rPr>
                <w:szCs w:val="22"/>
                <w:lang w:val="sr-Latn-ME"/>
              </w:rPr>
            </w:pPr>
            <w:r w:rsidRPr="003445F5">
              <w:rPr>
                <w:szCs w:val="22"/>
                <w:lang w:val="sr-Latn-ME"/>
              </w:rPr>
              <w:t>ACR 20</w:t>
            </w:r>
          </w:p>
        </w:tc>
        <w:tc>
          <w:tcPr>
            <w:tcW w:w="4291" w:type="pct"/>
            <w:gridSpan w:val="6"/>
            <w:tcBorders>
              <w:left w:val="single" w:sz="4" w:space="0" w:color="FFFFFF" w:themeColor="background1"/>
            </w:tcBorders>
            <w:vAlign w:val="center"/>
          </w:tcPr>
          <w:p w14:paraId="23A32F17" w14:textId="77777777" w:rsidR="007D67AE" w:rsidRPr="003445F5" w:rsidRDefault="007D67AE" w:rsidP="00704956">
            <w:pPr>
              <w:jc w:val="center"/>
              <w:rPr>
                <w:szCs w:val="22"/>
                <w:lang w:val="sr-Latn-ME"/>
              </w:rPr>
            </w:pPr>
          </w:p>
        </w:tc>
      </w:tr>
      <w:tr w:rsidR="00A35156" w:rsidRPr="003445F5" w14:paraId="1865D0C2" w14:textId="77777777" w:rsidTr="00E920CA">
        <w:trPr>
          <w:trHeight w:val="20"/>
        </w:trPr>
        <w:tc>
          <w:tcPr>
            <w:tcW w:w="709" w:type="pct"/>
            <w:vAlign w:val="center"/>
          </w:tcPr>
          <w:p w14:paraId="60AAB7E1" w14:textId="7F9A3BE7" w:rsidR="00A35156" w:rsidRPr="003445F5" w:rsidRDefault="00A35156" w:rsidP="00A35156">
            <w:pPr>
              <w:jc w:val="right"/>
              <w:rPr>
                <w:szCs w:val="22"/>
                <w:lang w:val="sr-Latn-ME"/>
              </w:rPr>
            </w:pPr>
            <w:r w:rsidRPr="003445F5">
              <w:rPr>
                <w:szCs w:val="22"/>
                <w:lang w:val="sr-Latn-ME"/>
              </w:rPr>
              <w:t>nedjelja 52</w:t>
            </w:r>
          </w:p>
        </w:tc>
        <w:tc>
          <w:tcPr>
            <w:tcW w:w="467" w:type="pct"/>
            <w:vAlign w:val="center"/>
          </w:tcPr>
          <w:p w14:paraId="105D1366" w14:textId="77777777" w:rsidR="00A35156" w:rsidRPr="003445F5" w:rsidRDefault="00A35156" w:rsidP="00A35156">
            <w:pPr>
              <w:jc w:val="center"/>
              <w:rPr>
                <w:szCs w:val="22"/>
                <w:lang w:val="sr-Latn-ME"/>
              </w:rPr>
            </w:pPr>
            <w:r w:rsidRPr="003445F5">
              <w:rPr>
                <w:szCs w:val="22"/>
                <w:lang w:val="sr-Latn-ME"/>
              </w:rPr>
              <w:t>62,6%</w:t>
            </w:r>
          </w:p>
        </w:tc>
        <w:tc>
          <w:tcPr>
            <w:tcW w:w="708" w:type="pct"/>
            <w:vAlign w:val="center"/>
          </w:tcPr>
          <w:p w14:paraId="5DBDEFAB" w14:textId="77777777" w:rsidR="00A35156" w:rsidRPr="003445F5" w:rsidRDefault="00A35156" w:rsidP="00A35156">
            <w:pPr>
              <w:jc w:val="center"/>
              <w:rPr>
                <w:szCs w:val="22"/>
                <w:lang w:val="sr-Latn-ME"/>
              </w:rPr>
            </w:pPr>
            <w:r w:rsidRPr="003445F5">
              <w:rPr>
                <w:szCs w:val="22"/>
                <w:lang w:val="sr-Latn-ME"/>
              </w:rPr>
              <w:t>54,4%</w:t>
            </w:r>
          </w:p>
        </w:tc>
        <w:tc>
          <w:tcPr>
            <w:tcW w:w="1023" w:type="pct"/>
            <w:vAlign w:val="center"/>
          </w:tcPr>
          <w:p w14:paraId="5AA05520" w14:textId="77777777" w:rsidR="00A35156" w:rsidRPr="003445F5" w:rsidRDefault="00A35156" w:rsidP="00A35156">
            <w:pPr>
              <w:jc w:val="center"/>
              <w:rPr>
                <w:szCs w:val="22"/>
                <w:lang w:val="sr-Latn-ME"/>
              </w:rPr>
            </w:pPr>
            <w:r w:rsidRPr="003445F5">
              <w:rPr>
                <w:szCs w:val="22"/>
                <w:lang w:val="sr-Latn-ME"/>
              </w:rPr>
              <w:t>72,8%</w:t>
            </w:r>
          </w:p>
        </w:tc>
        <w:tc>
          <w:tcPr>
            <w:tcW w:w="706" w:type="pct"/>
            <w:vAlign w:val="center"/>
          </w:tcPr>
          <w:p w14:paraId="53EE9CF1" w14:textId="77777777" w:rsidR="00A35156" w:rsidRPr="003445F5" w:rsidRDefault="00A35156" w:rsidP="00A35156">
            <w:pPr>
              <w:jc w:val="center"/>
              <w:rPr>
                <w:szCs w:val="22"/>
                <w:lang w:val="sr-Latn-ME"/>
              </w:rPr>
            </w:pPr>
            <w:r w:rsidRPr="003445F5">
              <w:rPr>
                <w:szCs w:val="22"/>
                <w:lang w:val="sr-Latn-ME"/>
              </w:rPr>
              <w:t>0,013</w:t>
            </w:r>
          </w:p>
        </w:tc>
        <w:tc>
          <w:tcPr>
            <w:tcW w:w="708" w:type="pct"/>
            <w:vAlign w:val="center"/>
          </w:tcPr>
          <w:p w14:paraId="0407AE1C" w14:textId="77777777" w:rsidR="00A35156" w:rsidRPr="003445F5" w:rsidRDefault="00A35156" w:rsidP="00A35156">
            <w:pPr>
              <w:jc w:val="center"/>
              <w:rPr>
                <w:szCs w:val="22"/>
                <w:lang w:val="sr-Latn-ME"/>
              </w:rPr>
            </w:pPr>
            <w:r w:rsidRPr="003445F5">
              <w:rPr>
                <w:szCs w:val="22"/>
                <w:lang w:val="sr-Latn-ME"/>
              </w:rPr>
              <w:t>&lt;0,001</w:t>
            </w:r>
          </w:p>
        </w:tc>
        <w:tc>
          <w:tcPr>
            <w:tcW w:w="679" w:type="pct"/>
            <w:vAlign w:val="center"/>
          </w:tcPr>
          <w:p w14:paraId="35AF1282" w14:textId="77777777" w:rsidR="00A35156" w:rsidRPr="003445F5" w:rsidRDefault="00A35156" w:rsidP="00A35156">
            <w:pPr>
              <w:jc w:val="center"/>
              <w:rPr>
                <w:szCs w:val="22"/>
                <w:lang w:val="sr-Latn-ME"/>
              </w:rPr>
            </w:pPr>
            <w:r w:rsidRPr="003445F5">
              <w:rPr>
                <w:szCs w:val="22"/>
                <w:lang w:val="sr-Latn-ME"/>
              </w:rPr>
              <w:t>0,043</w:t>
            </w:r>
          </w:p>
        </w:tc>
      </w:tr>
      <w:tr w:rsidR="00A35156" w:rsidRPr="003445F5" w14:paraId="28EBF2CF" w14:textId="77777777" w:rsidTr="00E920CA">
        <w:trPr>
          <w:trHeight w:val="20"/>
        </w:trPr>
        <w:tc>
          <w:tcPr>
            <w:tcW w:w="709" w:type="pct"/>
            <w:vAlign w:val="center"/>
          </w:tcPr>
          <w:p w14:paraId="1506598D" w14:textId="21C0B5D5" w:rsidR="00A35156" w:rsidRPr="003445F5" w:rsidRDefault="00A35156" w:rsidP="00A35156">
            <w:pPr>
              <w:jc w:val="right"/>
              <w:rPr>
                <w:szCs w:val="22"/>
                <w:lang w:val="sr-Latn-ME"/>
              </w:rPr>
            </w:pPr>
            <w:r w:rsidRPr="003445F5">
              <w:rPr>
                <w:szCs w:val="22"/>
                <w:lang w:val="sr-Latn-ME"/>
              </w:rPr>
              <w:lastRenderedPageBreak/>
              <w:t>nedjelja 104</w:t>
            </w:r>
          </w:p>
        </w:tc>
        <w:tc>
          <w:tcPr>
            <w:tcW w:w="467" w:type="pct"/>
            <w:vAlign w:val="center"/>
          </w:tcPr>
          <w:p w14:paraId="2FA63D1B" w14:textId="77777777" w:rsidR="00A35156" w:rsidRPr="003445F5" w:rsidRDefault="00A35156" w:rsidP="00A35156">
            <w:pPr>
              <w:jc w:val="center"/>
              <w:rPr>
                <w:szCs w:val="22"/>
                <w:lang w:val="sr-Latn-ME"/>
              </w:rPr>
            </w:pPr>
            <w:r w:rsidRPr="003445F5">
              <w:rPr>
                <w:szCs w:val="22"/>
                <w:lang w:val="sr-Latn-ME"/>
              </w:rPr>
              <w:t>56,0%</w:t>
            </w:r>
          </w:p>
        </w:tc>
        <w:tc>
          <w:tcPr>
            <w:tcW w:w="708" w:type="pct"/>
            <w:vAlign w:val="center"/>
          </w:tcPr>
          <w:p w14:paraId="17830835" w14:textId="77777777" w:rsidR="00A35156" w:rsidRPr="003445F5" w:rsidRDefault="00A35156" w:rsidP="00A35156">
            <w:pPr>
              <w:jc w:val="center"/>
              <w:rPr>
                <w:szCs w:val="22"/>
                <w:lang w:val="sr-Latn-ME"/>
              </w:rPr>
            </w:pPr>
            <w:r w:rsidRPr="003445F5">
              <w:rPr>
                <w:szCs w:val="22"/>
                <w:lang w:val="sr-Latn-ME"/>
              </w:rPr>
              <w:t>49,3%</w:t>
            </w:r>
          </w:p>
        </w:tc>
        <w:tc>
          <w:tcPr>
            <w:tcW w:w="1023" w:type="pct"/>
            <w:vAlign w:val="center"/>
          </w:tcPr>
          <w:p w14:paraId="18DE931A" w14:textId="77777777" w:rsidR="00A35156" w:rsidRPr="003445F5" w:rsidRDefault="00A35156" w:rsidP="00A35156">
            <w:pPr>
              <w:jc w:val="center"/>
              <w:rPr>
                <w:szCs w:val="22"/>
                <w:lang w:val="sr-Latn-ME"/>
              </w:rPr>
            </w:pPr>
            <w:r w:rsidRPr="003445F5">
              <w:rPr>
                <w:szCs w:val="22"/>
                <w:lang w:val="sr-Latn-ME"/>
              </w:rPr>
              <w:t>69,4%</w:t>
            </w:r>
          </w:p>
        </w:tc>
        <w:tc>
          <w:tcPr>
            <w:tcW w:w="706" w:type="pct"/>
            <w:vAlign w:val="center"/>
          </w:tcPr>
          <w:p w14:paraId="2DBE089D" w14:textId="77777777" w:rsidR="00A35156" w:rsidRPr="003445F5" w:rsidRDefault="00A35156" w:rsidP="00A35156">
            <w:pPr>
              <w:jc w:val="center"/>
              <w:rPr>
                <w:szCs w:val="22"/>
                <w:lang w:val="sr-Latn-ME"/>
              </w:rPr>
            </w:pPr>
            <w:r w:rsidRPr="003445F5">
              <w:rPr>
                <w:szCs w:val="22"/>
                <w:lang w:val="sr-Latn-ME"/>
              </w:rPr>
              <w:t>0,002</w:t>
            </w:r>
          </w:p>
        </w:tc>
        <w:tc>
          <w:tcPr>
            <w:tcW w:w="708" w:type="pct"/>
            <w:vAlign w:val="center"/>
          </w:tcPr>
          <w:p w14:paraId="6E5D4367" w14:textId="77777777" w:rsidR="00A35156" w:rsidRPr="003445F5" w:rsidRDefault="00A35156" w:rsidP="00A35156">
            <w:pPr>
              <w:jc w:val="center"/>
              <w:rPr>
                <w:szCs w:val="22"/>
                <w:lang w:val="sr-Latn-ME"/>
              </w:rPr>
            </w:pPr>
            <w:r w:rsidRPr="003445F5">
              <w:rPr>
                <w:szCs w:val="22"/>
                <w:lang w:val="sr-Latn-ME"/>
              </w:rPr>
              <w:t>&lt;0,001</w:t>
            </w:r>
          </w:p>
        </w:tc>
        <w:tc>
          <w:tcPr>
            <w:tcW w:w="679" w:type="pct"/>
            <w:vAlign w:val="center"/>
          </w:tcPr>
          <w:p w14:paraId="0AEFB47E" w14:textId="77777777" w:rsidR="00A35156" w:rsidRPr="003445F5" w:rsidRDefault="00A35156" w:rsidP="00A35156">
            <w:pPr>
              <w:jc w:val="center"/>
              <w:rPr>
                <w:szCs w:val="22"/>
                <w:lang w:val="sr-Latn-ME"/>
              </w:rPr>
            </w:pPr>
            <w:r w:rsidRPr="003445F5">
              <w:rPr>
                <w:szCs w:val="22"/>
                <w:lang w:val="sr-Latn-ME"/>
              </w:rPr>
              <w:t>0,140</w:t>
            </w:r>
          </w:p>
        </w:tc>
      </w:tr>
      <w:tr w:rsidR="00A35156" w:rsidRPr="003445F5" w14:paraId="51A0287D" w14:textId="77777777" w:rsidTr="00704956">
        <w:trPr>
          <w:trHeight w:val="20"/>
        </w:trPr>
        <w:tc>
          <w:tcPr>
            <w:tcW w:w="709" w:type="pct"/>
            <w:tcBorders>
              <w:right w:val="single" w:sz="4" w:space="0" w:color="FFFFFF" w:themeColor="background1"/>
            </w:tcBorders>
            <w:vAlign w:val="center"/>
          </w:tcPr>
          <w:p w14:paraId="7ECEA90A" w14:textId="6DE82225" w:rsidR="00A35156" w:rsidRPr="003445F5" w:rsidRDefault="00A35156" w:rsidP="00A35156">
            <w:pPr>
              <w:rPr>
                <w:szCs w:val="22"/>
                <w:lang w:val="sr-Latn-ME"/>
              </w:rPr>
            </w:pPr>
            <w:r w:rsidRPr="003445F5">
              <w:rPr>
                <w:szCs w:val="22"/>
                <w:lang w:val="sr-Latn-ME"/>
              </w:rPr>
              <w:t>ACR 50</w:t>
            </w:r>
          </w:p>
        </w:tc>
        <w:tc>
          <w:tcPr>
            <w:tcW w:w="4291" w:type="pct"/>
            <w:gridSpan w:val="6"/>
            <w:tcBorders>
              <w:left w:val="single" w:sz="4" w:space="0" w:color="FFFFFF" w:themeColor="background1"/>
            </w:tcBorders>
            <w:vAlign w:val="center"/>
          </w:tcPr>
          <w:p w14:paraId="5937ED87" w14:textId="77777777" w:rsidR="00A35156" w:rsidRPr="003445F5" w:rsidRDefault="00A35156" w:rsidP="00A35156">
            <w:pPr>
              <w:jc w:val="center"/>
              <w:rPr>
                <w:szCs w:val="22"/>
                <w:lang w:val="sr-Latn-ME"/>
              </w:rPr>
            </w:pPr>
          </w:p>
        </w:tc>
      </w:tr>
      <w:tr w:rsidR="00A35156" w:rsidRPr="003445F5" w14:paraId="61EFAE1D" w14:textId="77777777" w:rsidTr="00E920CA">
        <w:trPr>
          <w:trHeight w:val="20"/>
        </w:trPr>
        <w:tc>
          <w:tcPr>
            <w:tcW w:w="709" w:type="pct"/>
            <w:vAlign w:val="center"/>
          </w:tcPr>
          <w:p w14:paraId="083E1217" w14:textId="3BFD7B65" w:rsidR="00A35156" w:rsidRPr="003445F5" w:rsidRDefault="00A35156" w:rsidP="00A35156">
            <w:pPr>
              <w:jc w:val="right"/>
              <w:rPr>
                <w:szCs w:val="22"/>
                <w:lang w:val="sr-Latn-ME"/>
              </w:rPr>
            </w:pPr>
            <w:r w:rsidRPr="003445F5">
              <w:rPr>
                <w:szCs w:val="22"/>
                <w:lang w:val="sr-Latn-ME"/>
              </w:rPr>
              <w:t>nedjelja 52</w:t>
            </w:r>
          </w:p>
        </w:tc>
        <w:tc>
          <w:tcPr>
            <w:tcW w:w="467" w:type="pct"/>
            <w:vAlign w:val="center"/>
          </w:tcPr>
          <w:p w14:paraId="5048A531" w14:textId="77777777" w:rsidR="00A35156" w:rsidRPr="003445F5" w:rsidRDefault="00A35156" w:rsidP="00A35156">
            <w:pPr>
              <w:jc w:val="center"/>
              <w:rPr>
                <w:szCs w:val="22"/>
                <w:lang w:val="sr-Latn-ME"/>
              </w:rPr>
            </w:pPr>
            <w:r w:rsidRPr="003445F5">
              <w:rPr>
                <w:szCs w:val="22"/>
                <w:lang w:val="sr-Latn-ME"/>
              </w:rPr>
              <w:t>45,9%</w:t>
            </w:r>
          </w:p>
        </w:tc>
        <w:tc>
          <w:tcPr>
            <w:tcW w:w="708" w:type="pct"/>
            <w:vAlign w:val="center"/>
          </w:tcPr>
          <w:p w14:paraId="0DF6226B" w14:textId="77777777" w:rsidR="00A35156" w:rsidRPr="003445F5" w:rsidRDefault="00A35156" w:rsidP="00A35156">
            <w:pPr>
              <w:jc w:val="center"/>
              <w:rPr>
                <w:szCs w:val="22"/>
                <w:lang w:val="sr-Latn-ME"/>
              </w:rPr>
            </w:pPr>
            <w:r w:rsidRPr="003445F5">
              <w:rPr>
                <w:szCs w:val="22"/>
                <w:lang w:val="sr-Latn-ME"/>
              </w:rPr>
              <w:t>41,2%</w:t>
            </w:r>
          </w:p>
        </w:tc>
        <w:tc>
          <w:tcPr>
            <w:tcW w:w="1023" w:type="pct"/>
            <w:vAlign w:val="center"/>
          </w:tcPr>
          <w:p w14:paraId="36931FA4" w14:textId="77777777" w:rsidR="00A35156" w:rsidRPr="003445F5" w:rsidRDefault="00A35156" w:rsidP="00A35156">
            <w:pPr>
              <w:jc w:val="center"/>
              <w:rPr>
                <w:szCs w:val="22"/>
                <w:lang w:val="sr-Latn-ME"/>
              </w:rPr>
            </w:pPr>
            <w:r w:rsidRPr="003445F5">
              <w:rPr>
                <w:szCs w:val="22"/>
                <w:lang w:val="sr-Latn-ME"/>
              </w:rPr>
              <w:t>61,6%</w:t>
            </w:r>
          </w:p>
        </w:tc>
        <w:tc>
          <w:tcPr>
            <w:tcW w:w="706" w:type="pct"/>
            <w:vAlign w:val="center"/>
          </w:tcPr>
          <w:p w14:paraId="453195F8" w14:textId="77777777" w:rsidR="00A35156" w:rsidRPr="003445F5" w:rsidRDefault="00A35156" w:rsidP="00A35156">
            <w:pPr>
              <w:jc w:val="center"/>
              <w:rPr>
                <w:szCs w:val="22"/>
                <w:lang w:val="sr-Latn-ME"/>
              </w:rPr>
            </w:pPr>
            <w:r w:rsidRPr="003445F5">
              <w:rPr>
                <w:szCs w:val="22"/>
                <w:lang w:val="sr-Latn-ME"/>
              </w:rPr>
              <w:t>&lt;0,001</w:t>
            </w:r>
          </w:p>
        </w:tc>
        <w:tc>
          <w:tcPr>
            <w:tcW w:w="708" w:type="pct"/>
            <w:vAlign w:val="center"/>
          </w:tcPr>
          <w:p w14:paraId="1A531833" w14:textId="77777777" w:rsidR="00A35156" w:rsidRPr="003445F5" w:rsidRDefault="00A35156" w:rsidP="00A35156">
            <w:pPr>
              <w:jc w:val="center"/>
              <w:rPr>
                <w:szCs w:val="22"/>
                <w:lang w:val="sr-Latn-ME"/>
              </w:rPr>
            </w:pPr>
            <w:r w:rsidRPr="003445F5">
              <w:rPr>
                <w:szCs w:val="22"/>
                <w:lang w:val="sr-Latn-ME"/>
              </w:rPr>
              <w:t>&lt;0,001</w:t>
            </w:r>
          </w:p>
        </w:tc>
        <w:tc>
          <w:tcPr>
            <w:tcW w:w="679" w:type="pct"/>
            <w:vAlign w:val="center"/>
          </w:tcPr>
          <w:p w14:paraId="00D40C7C" w14:textId="77777777" w:rsidR="00A35156" w:rsidRPr="003445F5" w:rsidRDefault="00A35156" w:rsidP="00A35156">
            <w:pPr>
              <w:jc w:val="center"/>
              <w:rPr>
                <w:szCs w:val="22"/>
                <w:lang w:val="sr-Latn-ME"/>
              </w:rPr>
            </w:pPr>
            <w:r w:rsidRPr="003445F5">
              <w:rPr>
                <w:szCs w:val="22"/>
                <w:lang w:val="sr-Latn-ME"/>
              </w:rPr>
              <w:t>0,317</w:t>
            </w:r>
          </w:p>
        </w:tc>
      </w:tr>
      <w:tr w:rsidR="00A35156" w:rsidRPr="003445F5" w14:paraId="217306E3" w14:textId="77777777" w:rsidTr="00E920CA">
        <w:trPr>
          <w:trHeight w:val="20"/>
        </w:trPr>
        <w:tc>
          <w:tcPr>
            <w:tcW w:w="709" w:type="pct"/>
            <w:vAlign w:val="center"/>
          </w:tcPr>
          <w:p w14:paraId="42F769CD" w14:textId="1F180B9D" w:rsidR="00A35156" w:rsidRPr="003445F5" w:rsidRDefault="00A35156" w:rsidP="00A35156">
            <w:pPr>
              <w:jc w:val="right"/>
              <w:rPr>
                <w:szCs w:val="22"/>
                <w:lang w:val="sr-Latn-ME"/>
              </w:rPr>
            </w:pPr>
            <w:r w:rsidRPr="003445F5">
              <w:rPr>
                <w:szCs w:val="22"/>
                <w:lang w:val="sr-Latn-ME"/>
              </w:rPr>
              <w:t>nedjelja 104</w:t>
            </w:r>
          </w:p>
        </w:tc>
        <w:tc>
          <w:tcPr>
            <w:tcW w:w="467" w:type="pct"/>
            <w:vAlign w:val="center"/>
          </w:tcPr>
          <w:p w14:paraId="28A2A58E" w14:textId="77777777" w:rsidR="00A35156" w:rsidRPr="003445F5" w:rsidRDefault="00A35156" w:rsidP="00A35156">
            <w:pPr>
              <w:jc w:val="center"/>
              <w:rPr>
                <w:szCs w:val="22"/>
                <w:lang w:val="sr-Latn-ME"/>
              </w:rPr>
            </w:pPr>
            <w:r w:rsidRPr="003445F5">
              <w:rPr>
                <w:szCs w:val="22"/>
                <w:lang w:val="sr-Latn-ME"/>
              </w:rPr>
              <w:t>42,8%</w:t>
            </w:r>
          </w:p>
        </w:tc>
        <w:tc>
          <w:tcPr>
            <w:tcW w:w="708" w:type="pct"/>
            <w:vAlign w:val="center"/>
          </w:tcPr>
          <w:p w14:paraId="02B60863" w14:textId="77777777" w:rsidR="00A35156" w:rsidRPr="003445F5" w:rsidRDefault="00A35156" w:rsidP="00A35156">
            <w:pPr>
              <w:jc w:val="center"/>
              <w:rPr>
                <w:szCs w:val="22"/>
                <w:lang w:val="sr-Latn-ME"/>
              </w:rPr>
            </w:pPr>
            <w:r w:rsidRPr="003445F5">
              <w:rPr>
                <w:szCs w:val="22"/>
                <w:lang w:val="sr-Latn-ME"/>
              </w:rPr>
              <w:t>36,9%</w:t>
            </w:r>
          </w:p>
        </w:tc>
        <w:tc>
          <w:tcPr>
            <w:tcW w:w="1023" w:type="pct"/>
            <w:vAlign w:val="center"/>
          </w:tcPr>
          <w:p w14:paraId="1C6C829A" w14:textId="77777777" w:rsidR="00A35156" w:rsidRPr="003445F5" w:rsidRDefault="00A35156" w:rsidP="00A35156">
            <w:pPr>
              <w:jc w:val="center"/>
              <w:rPr>
                <w:szCs w:val="22"/>
                <w:lang w:val="sr-Latn-ME"/>
              </w:rPr>
            </w:pPr>
            <w:r w:rsidRPr="003445F5">
              <w:rPr>
                <w:szCs w:val="22"/>
                <w:lang w:val="sr-Latn-ME"/>
              </w:rPr>
              <w:t>59,0%</w:t>
            </w:r>
          </w:p>
        </w:tc>
        <w:tc>
          <w:tcPr>
            <w:tcW w:w="706" w:type="pct"/>
            <w:vAlign w:val="center"/>
          </w:tcPr>
          <w:p w14:paraId="09DB101D" w14:textId="77777777" w:rsidR="00A35156" w:rsidRPr="003445F5" w:rsidRDefault="00A35156" w:rsidP="00A35156">
            <w:pPr>
              <w:jc w:val="center"/>
              <w:rPr>
                <w:szCs w:val="22"/>
                <w:lang w:val="sr-Latn-ME"/>
              </w:rPr>
            </w:pPr>
            <w:r w:rsidRPr="003445F5">
              <w:rPr>
                <w:szCs w:val="22"/>
                <w:lang w:val="sr-Latn-ME"/>
              </w:rPr>
              <w:t>&lt;0,001</w:t>
            </w:r>
          </w:p>
        </w:tc>
        <w:tc>
          <w:tcPr>
            <w:tcW w:w="708" w:type="pct"/>
            <w:vAlign w:val="center"/>
          </w:tcPr>
          <w:p w14:paraId="3405DB90" w14:textId="77777777" w:rsidR="00A35156" w:rsidRPr="003445F5" w:rsidRDefault="00A35156" w:rsidP="00A35156">
            <w:pPr>
              <w:jc w:val="center"/>
              <w:rPr>
                <w:szCs w:val="22"/>
                <w:lang w:val="sr-Latn-ME"/>
              </w:rPr>
            </w:pPr>
            <w:r w:rsidRPr="003445F5">
              <w:rPr>
                <w:szCs w:val="22"/>
                <w:lang w:val="sr-Latn-ME"/>
              </w:rPr>
              <w:t>&lt;0,001</w:t>
            </w:r>
          </w:p>
        </w:tc>
        <w:tc>
          <w:tcPr>
            <w:tcW w:w="679" w:type="pct"/>
            <w:vAlign w:val="center"/>
          </w:tcPr>
          <w:p w14:paraId="5FC4F189" w14:textId="77777777" w:rsidR="00A35156" w:rsidRPr="003445F5" w:rsidRDefault="00A35156" w:rsidP="00A35156">
            <w:pPr>
              <w:jc w:val="center"/>
              <w:rPr>
                <w:szCs w:val="22"/>
                <w:lang w:val="sr-Latn-ME"/>
              </w:rPr>
            </w:pPr>
            <w:r w:rsidRPr="003445F5">
              <w:rPr>
                <w:szCs w:val="22"/>
                <w:lang w:val="sr-Latn-ME"/>
              </w:rPr>
              <w:t>0,162</w:t>
            </w:r>
          </w:p>
        </w:tc>
      </w:tr>
      <w:tr w:rsidR="00A35156" w:rsidRPr="003445F5" w14:paraId="6EFF4657" w14:textId="77777777" w:rsidTr="00704956">
        <w:trPr>
          <w:trHeight w:val="20"/>
        </w:trPr>
        <w:tc>
          <w:tcPr>
            <w:tcW w:w="709" w:type="pct"/>
            <w:tcBorders>
              <w:right w:val="single" w:sz="4" w:space="0" w:color="FFFFFF" w:themeColor="background1"/>
            </w:tcBorders>
            <w:vAlign w:val="center"/>
          </w:tcPr>
          <w:p w14:paraId="54DBFE71" w14:textId="3A717F65" w:rsidR="00A35156" w:rsidRPr="003445F5" w:rsidRDefault="00A35156" w:rsidP="00A35156">
            <w:pPr>
              <w:rPr>
                <w:szCs w:val="22"/>
                <w:lang w:val="sr-Latn-ME"/>
              </w:rPr>
            </w:pPr>
            <w:r w:rsidRPr="003445F5">
              <w:rPr>
                <w:szCs w:val="22"/>
                <w:lang w:val="sr-Latn-ME"/>
              </w:rPr>
              <w:t>ACR 70</w:t>
            </w:r>
          </w:p>
        </w:tc>
        <w:tc>
          <w:tcPr>
            <w:tcW w:w="4291" w:type="pct"/>
            <w:gridSpan w:val="6"/>
            <w:tcBorders>
              <w:left w:val="single" w:sz="4" w:space="0" w:color="FFFFFF" w:themeColor="background1"/>
            </w:tcBorders>
            <w:vAlign w:val="center"/>
          </w:tcPr>
          <w:p w14:paraId="16BD15F0" w14:textId="77777777" w:rsidR="00A35156" w:rsidRPr="003445F5" w:rsidRDefault="00A35156" w:rsidP="00A35156">
            <w:pPr>
              <w:jc w:val="center"/>
              <w:rPr>
                <w:szCs w:val="22"/>
                <w:lang w:val="sr-Latn-ME"/>
              </w:rPr>
            </w:pPr>
          </w:p>
        </w:tc>
      </w:tr>
      <w:tr w:rsidR="00A35156" w:rsidRPr="003445F5" w14:paraId="41DBCED9" w14:textId="77777777" w:rsidTr="00E920CA">
        <w:trPr>
          <w:trHeight w:val="20"/>
        </w:trPr>
        <w:tc>
          <w:tcPr>
            <w:tcW w:w="709" w:type="pct"/>
            <w:vAlign w:val="center"/>
          </w:tcPr>
          <w:p w14:paraId="523A739C" w14:textId="0AD872FA" w:rsidR="00A35156" w:rsidRPr="003445F5" w:rsidRDefault="00A35156" w:rsidP="00A35156">
            <w:pPr>
              <w:jc w:val="right"/>
              <w:rPr>
                <w:szCs w:val="22"/>
                <w:lang w:val="sr-Latn-ME"/>
              </w:rPr>
            </w:pPr>
            <w:r w:rsidRPr="003445F5">
              <w:rPr>
                <w:szCs w:val="22"/>
                <w:lang w:val="sr-Latn-ME"/>
              </w:rPr>
              <w:t>nedjelja 52</w:t>
            </w:r>
          </w:p>
        </w:tc>
        <w:tc>
          <w:tcPr>
            <w:tcW w:w="467" w:type="pct"/>
            <w:vAlign w:val="center"/>
          </w:tcPr>
          <w:p w14:paraId="27721931" w14:textId="77777777" w:rsidR="00A35156" w:rsidRPr="003445F5" w:rsidRDefault="00A35156" w:rsidP="00A35156">
            <w:pPr>
              <w:jc w:val="center"/>
              <w:rPr>
                <w:szCs w:val="22"/>
                <w:lang w:val="sr-Latn-ME"/>
              </w:rPr>
            </w:pPr>
            <w:r w:rsidRPr="003445F5">
              <w:rPr>
                <w:szCs w:val="22"/>
                <w:lang w:val="sr-Latn-ME"/>
              </w:rPr>
              <w:t>27,2%</w:t>
            </w:r>
          </w:p>
        </w:tc>
        <w:tc>
          <w:tcPr>
            <w:tcW w:w="708" w:type="pct"/>
            <w:vAlign w:val="center"/>
          </w:tcPr>
          <w:p w14:paraId="5F3D2765" w14:textId="77777777" w:rsidR="00A35156" w:rsidRPr="003445F5" w:rsidRDefault="00A35156" w:rsidP="00A35156">
            <w:pPr>
              <w:jc w:val="center"/>
              <w:rPr>
                <w:szCs w:val="22"/>
                <w:lang w:val="sr-Latn-ME"/>
              </w:rPr>
            </w:pPr>
            <w:r w:rsidRPr="003445F5">
              <w:rPr>
                <w:szCs w:val="22"/>
                <w:lang w:val="sr-Latn-ME"/>
              </w:rPr>
              <w:t>25,9%</w:t>
            </w:r>
          </w:p>
        </w:tc>
        <w:tc>
          <w:tcPr>
            <w:tcW w:w="1023" w:type="pct"/>
            <w:vAlign w:val="center"/>
          </w:tcPr>
          <w:p w14:paraId="481D292E" w14:textId="77777777" w:rsidR="00A35156" w:rsidRPr="003445F5" w:rsidRDefault="00A35156" w:rsidP="00A35156">
            <w:pPr>
              <w:jc w:val="center"/>
              <w:rPr>
                <w:szCs w:val="22"/>
                <w:lang w:val="sr-Latn-ME"/>
              </w:rPr>
            </w:pPr>
            <w:r w:rsidRPr="003445F5">
              <w:rPr>
                <w:szCs w:val="22"/>
                <w:lang w:val="sr-Latn-ME"/>
              </w:rPr>
              <w:t>45,5%</w:t>
            </w:r>
          </w:p>
        </w:tc>
        <w:tc>
          <w:tcPr>
            <w:tcW w:w="706" w:type="pct"/>
            <w:vAlign w:val="center"/>
          </w:tcPr>
          <w:p w14:paraId="21C19B3C" w14:textId="77777777" w:rsidR="00A35156" w:rsidRPr="003445F5" w:rsidRDefault="00A35156" w:rsidP="00A35156">
            <w:pPr>
              <w:jc w:val="center"/>
              <w:rPr>
                <w:szCs w:val="22"/>
                <w:lang w:val="sr-Latn-ME"/>
              </w:rPr>
            </w:pPr>
            <w:r w:rsidRPr="003445F5">
              <w:rPr>
                <w:szCs w:val="22"/>
                <w:lang w:val="sr-Latn-ME"/>
              </w:rPr>
              <w:t>&lt;0,001</w:t>
            </w:r>
          </w:p>
        </w:tc>
        <w:tc>
          <w:tcPr>
            <w:tcW w:w="708" w:type="pct"/>
            <w:vAlign w:val="center"/>
          </w:tcPr>
          <w:p w14:paraId="1B6D1841" w14:textId="77777777" w:rsidR="00A35156" w:rsidRPr="003445F5" w:rsidRDefault="00A35156" w:rsidP="00A35156">
            <w:pPr>
              <w:jc w:val="center"/>
              <w:rPr>
                <w:szCs w:val="22"/>
                <w:lang w:val="sr-Latn-ME"/>
              </w:rPr>
            </w:pPr>
            <w:r w:rsidRPr="003445F5">
              <w:rPr>
                <w:szCs w:val="22"/>
                <w:lang w:val="sr-Latn-ME"/>
              </w:rPr>
              <w:t>&lt;0,001</w:t>
            </w:r>
          </w:p>
        </w:tc>
        <w:tc>
          <w:tcPr>
            <w:tcW w:w="679" w:type="pct"/>
            <w:vAlign w:val="center"/>
          </w:tcPr>
          <w:p w14:paraId="434825B8" w14:textId="77777777" w:rsidR="00A35156" w:rsidRPr="003445F5" w:rsidRDefault="00A35156" w:rsidP="00A35156">
            <w:pPr>
              <w:jc w:val="center"/>
              <w:rPr>
                <w:szCs w:val="22"/>
                <w:lang w:val="sr-Latn-ME"/>
              </w:rPr>
            </w:pPr>
            <w:r w:rsidRPr="003445F5">
              <w:rPr>
                <w:szCs w:val="22"/>
                <w:lang w:val="sr-Latn-ME"/>
              </w:rPr>
              <w:t>0,656</w:t>
            </w:r>
          </w:p>
        </w:tc>
      </w:tr>
      <w:tr w:rsidR="00A35156" w:rsidRPr="003445F5" w14:paraId="475A1B83" w14:textId="77777777" w:rsidTr="00E920CA">
        <w:trPr>
          <w:trHeight w:val="20"/>
        </w:trPr>
        <w:tc>
          <w:tcPr>
            <w:tcW w:w="709" w:type="pct"/>
            <w:vAlign w:val="center"/>
          </w:tcPr>
          <w:p w14:paraId="289B2DDB" w14:textId="4F049E1F" w:rsidR="00A35156" w:rsidRPr="003445F5" w:rsidRDefault="00A35156" w:rsidP="00A35156">
            <w:pPr>
              <w:jc w:val="right"/>
              <w:rPr>
                <w:szCs w:val="22"/>
                <w:lang w:val="sr-Latn-ME"/>
              </w:rPr>
            </w:pPr>
            <w:r w:rsidRPr="003445F5">
              <w:rPr>
                <w:szCs w:val="22"/>
                <w:lang w:val="sr-Latn-ME"/>
              </w:rPr>
              <w:t>nedjelja 104</w:t>
            </w:r>
          </w:p>
        </w:tc>
        <w:tc>
          <w:tcPr>
            <w:tcW w:w="467" w:type="pct"/>
            <w:vAlign w:val="center"/>
          </w:tcPr>
          <w:p w14:paraId="643AE7EC" w14:textId="77777777" w:rsidR="00A35156" w:rsidRPr="003445F5" w:rsidRDefault="00A35156" w:rsidP="00A35156">
            <w:pPr>
              <w:jc w:val="center"/>
              <w:rPr>
                <w:szCs w:val="22"/>
                <w:lang w:val="sr-Latn-ME"/>
              </w:rPr>
            </w:pPr>
            <w:r w:rsidRPr="003445F5">
              <w:rPr>
                <w:szCs w:val="22"/>
                <w:lang w:val="sr-Latn-ME"/>
              </w:rPr>
              <w:t>28,4%</w:t>
            </w:r>
          </w:p>
        </w:tc>
        <w:tc>
          <w:tcPr>
            <w:tcW w:w="708" w:type="pct"/>
            <w:vAlign w:val="center"/>
          </w:tcPr>
          <w:p w14:paraId="42E03FDF" w14:textId="77777777" w:rsidR="00A35156" w:rsidRPr="003445F5" w:rsidRDefault="00A35156" w:rsidP="00A35156">
            <w:pPr>
              <w:jc w:val="center"/>
              <w:rPr>
                <w:szCs w:val="22"/>
                <w:lang w:val="sr-Latn-ME"/>
              </w:rPr>
            </w:pPr>
            <w:r w:rsidRPr="003445F5">
              <w:rPr>
                <w:szCs w:val="22"/>
                <w:lang w:val="sr-Latn-ME"/>
              </w:rPr>
              <w:t>28,1%</w:t>
            </w:r>
          </w:p>
        </w:tc>
        <w:tc>
          <w:tcPr>
            <w:tcW w:w="1023" w:type="pct"/>
            <w:vAlign w:val="center"/>
          </w:tcPr>
          <w:p w14:paraId="2FFF2082" w14:textId="77777777" w:rsidR="00A35156" w:rsidRPr="003445F5" w:rsidRDefault="00A35156" w:rsidP="00A35156">
            <w:pPr>
              <w:jc w:val="center"/>
              <w:rPr>
                <w:szCs w:val="22"/>
                <w:lang w:val="sr-Latn-ME"/>
              </w:rPr>
            </w:pPr>
            <w:r w:rsidRPr="003445F5">
              <w:rPr>
                <w:szCs w:val="22"/>
                <w:lang w:val="sr-Latn-ME"/>
              </w:rPr>
              <w:t>46,6%</w:t>
            </w:r>
          </w:p>
        </w:tc>
        <w:tc>
          <w:tcPr>
            <w:tcW w:w="706" w:type="pct"/>
            <w:vAlign w:val="center"/>
          </w:tcPr>
          <w:p w14:paraId="698EF48A" w14:textId="77777777" w:rsidR="00A35156" w:rsidRPr="003445F5" w:rsidRDefault="00A35156" w:rsidP="00A35156">
            <w:pPr>
              <w:jc w:val="center"/>
              <w:rPr>
                <w:szCs w:val="22"/>
                <w:lang w:val="sr-Latn-ME"/>
              </w:rPr>
            </w:pPr>
            <w:r w:rsidRPr="003445F5">
              <w:rPr>
                <w:szCs w:val="22"/>
                <w:lang w:val="sr-Latn-ME"/>
              </w:rPr>
              <w:t>&lt;0,001</w:t>
            </w:r>
          </w:p>
        </w:tc>
        <w:tc>
          <w:tcPr>
            <w:tcW w:w="708" w:type="pct"/>
            <w:vAlign w:val="center"/>
          </w:tcPr>
          <w:p w14:paraId="2C483FC1" w14:textId="77777777" w:rsidR="00A35156" w:rsidRPr="003445F5" w:rsidRDefault="00A35156" w:rsidP="00A35156">
            <w:pPr>
              <w:jc w:val="center"/>
              <w:rPr>
                <w:szCs w:val="22"/>
                <w:lang w:val="sr-Latn-ME"/>
              </w:rPr>
            </w:pPr>
            <w:r w:rsidRPr="003445F5">
              <w:rPr>
                <w:szCs w:val="22"/>
                <w:lang w:val="sr-Latn-ME"/>
              </w:rPr>
              <w:t>&lt;0,001</w:t>
            </w:r>
          </w:p>
        </w:tc>
        <w:tc>
          <w:tcPr>
            <w:tcW w:w="679" w:type="pct"/>
            <w:vAlign w:val="center"/>
          </w:tcPr>
          <w:p w14:paraId="6AC29EFC" w14:textId="0B97E94D" w:rsidR="00A35156" w:rsidRPr="003445F5" w:rsidRDefault="00A35156" w:rsidP="00A35156">
            <w:pPr>
              <w:jc w:val="center"/>
              <w:rPr>
                <w:szCs w:val="22"/>
                <w:lang w:val="sr-Latn-ME"/>
              </w:rPr>
            </w:pPr>
            <w:r w:rsidRPr="003445F5">
              <w:rPr>
                <w:szCs w:val="22"/>
                <w:lang w:val="sr-Latn-ME"/>
              </w:rPr>
              <w:t>0,864</w:t>
            </w:r>
          </w:p>
        </w:tc>
      </w:tr>
    </w:tbl>
    <w:p w14:paraId="50AC0D6E" w14:textId="77777777" w:rsidR="00311F5C" w:rsidRPr="003445F5" w:rsidRDefault="00311F5C" w:rsidP="00311F5C">
      <w:pPr>
        <w:rPr>
          <w:szCs w:val="22"/>
          <w:lang w:val="sr-Latn-ME"/>
        </w:rPr>
      </w:pPr>
      <w:r w:rsidRPr="003445F5">
        <w:rPr>
          <w:szCs w:val="22"/>
          <w:vertAlign w:val="superscript"/>
          <w:lang w:val="sr-Latn-ME"/>
        </w:rPr>
        <w:t>a</w:t>
      </w:r>
      <w:r w:rsidRPr="003445F5">
        <w:rPr>
          <w:szCs w:val="22"/>
          <w:lang w:val="sr-Latn-ME"/>
        </w:rPr>
        <w:t xml:space="preserve"> p-vrijednost je iz uporednog poređenja monoterapije metotreksatom i kombinovane terapije adalimumab/metotreksat upotrebom </w:t>
      </w:r>
      <w:r w:rsidRPr="003445F5">
        <w:rPr>
          <w:i/>
          <w:iCs/>
          <w:szCs w:val="22"/>
          <w:lang w:val="sr-Latn-ME"/>
        </w:rPr>
        <w:t>Mann-Whitney</w:t>
      </w:r>
      <w:r w:rsidRPr="003445F5">
        <w:rPr>
          <w:szCs w:val="22"/>
          <w:lang w:val="sr-Latn-ME"/>
        </w:rPr>
        <w:t xml:space="preserve"> U testa. </w:t>
      </w:r>
    </w:p>
    <w:p w14:paraId="738C2427" w14:textId="77777777" w:rsidR="00311F5C" w:rsidRPr="003445F5" w:rsidRDefault="00311F5C" w:rsidP="00311F5C">
      <w:pPr>
        <w:rPr>
          <w:szCs w:val="22"/>
          <w:lang w:val="sr-Latn-ME"/>
        </w:rPr>
      </w:pPr>
      <w:r w:rsidRPr="003445F5">
        <w:rPr>
          <w:szCs w:val="22"/>
          <w:vertAlign w:val="superscript"/>
          <w:lang w:val="sr-Latn-ME"/>
        </w:rPr>
        <w:t>b</w:t>
      </w:r>
      <w:r w:rsidRPr="003445F5">
        <w:rPr>
          <w:szCs w:val="22"/>
          <w:lang w:val="sr-Latn-ME"/>
        </w:rPr>
        <w:t xml:space="preserve"> p-vrijednost je iz uporednog poređenja monoterapije adalimumabom i kombinovane terapije adalimumab/metotreksat upotrebom </w:t>
      </w:r>
      <w:r w:rsidRPr="003445F5">
        <w:rPr>
          <w:i/>
          <w:iCs/>
          <w:szCs w:val="22"/>
          <w:lang w:val="sr-Latn-ME"/>
        </w:rPr>
        <w:t>Mann-Whitney</w:t>
      </w:r>
      <w:r w:rsidRPr="003445F5">
        <w:rPr>
          <w:szCs w:val="22"/>
          <w:lang w:val="sr-Latn-ME"/>
        </w:rPr>
        <w:t xml:space="preserve"> U testa. </w:t>
      </w:r>
    </w:p>
    <w:p w14:paraId="6253DB49" w14:textId="77777777" w:rsidR="00311F5C" w:rsidRPr="003445F5" w:rsidRDefault="00311F5C" w:rsidP="00311F5C">
      <w:pPr>
        <w:rPr>
          <w:szCs w:val="22"/>
          <w:lang w:val="sr-Latn-ME"/>
        </w:rPr>
      </w:pPr>
      <w:r w:rsidRPr="003445F5">
        <w:rPr>
          <w:szCs w:val="22"/>
          <w:vertAlign w:val="superscript"/>
          <w:lang w:val="sr-Latn-ME"/>
        </w:rPr>
        <w:t>c</w:t>
      </w:r>
      <w:r w:rsidRPr="003445F5">
        <w:rPr>
          <w:szCs w:val="22"/>
          <w:lang w:val="sr-Latn-ME"/>
        </w:rPr>
        <w:t xml:space="preserve"> p-vrijednost je iz uporednog poređenja monoterapije adalimumabom i monoterapije metotreksatom upotrebom </w:t>
      </w:r>
      <w:r w:rsidRPr="003445F5">
        <w:rPr>
          <w:i/>
          <w:iCs/>
          <w:szCs w:val="22"/>
          <w:lang w:val="sr-Latn-ME"/>
        </w:rPr>
        <w:t>Mann-Whitney</w:t>
      </w:r>
      <w:r w:rsidRPr="003445F5">
        <w:rPr>
          <w:szCs w:val="22"/>
          <w:lang w:val="sr-Latn-ME"/>
        </w:rPr>
        <w:t xml:space="preserve"> U testa.</w:t>
      </w:r>
    </w:p>
    <w:p w14:paraId="09AAB67C" w14:textId="77777777" w:rsidR="00E920CA" w:rsidRPr="003445F5" w:rsidRDefault="00E920CA" w:rsidP="00E920CA">
      <w:pPr>
        <w:rPr>
          <w:szCs w:val="22"/>
          <w:lang w:val="sr-Latn-ME"/>
        </w:rPr>
      </w:pPr>
    </w:p>
    <w:p w14:paraId="62CDB341" w14:textId="3240F96D" w:rsidR="00E368C8" w:rsidRPr="003445F5" w:rsidRDefault="00E368C8" w:rsidP="00E368C8">
      <w:pPr>
        <w:rPr>
          <w:szCs w:val="22"/>
          <w:lang w:val="sr-Latn-ME"/>
        </w:rPr>
      </w:pPr>
      <w:r w:rsidRPr="003445F5">
        <w:rPr>
          <w:szCs w:val="22"/>
          <w:lang w:val="sr-Latn-ME"/>
        </w:rPr>
        <w:t xml:space="preserve">U otvorenom produžetku RA studije V, stope ACR odgovora održale su se tokom praćenja u trajanju do 10 godina. Od 542 pacijenta randomizovana za primanje adalimumaba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njih 170 je nastavilo liječenje adalimumabom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tokom 10 godina. Među njima, 154 pacijenata (90,6%) je imalo odgovor ACR 20, 127 pacijenata (74,7%) je imalo odgovor ACR 50, a 102 pacijenta (60,0%) je imalo odgovor ACR 70. </w:t>
      </w:r>
    </w:p>
    <w:p w14:paraId="0862B742" w14:textId="77777777" w:rsidR="00E368C8" w:rsidRPr="003445F5" w:rsidRDefault="00E368C8" w:rsidP="00E368C8">
      <w:pPr>
        <w:rPr>
          <w:szCs w:val="22"/>
          <w:lang w:val="sr-Latn-ME"/>
        </w:rPr>
      </w:pPr>
    </w:p>
    <w:p w14:paraId="4E1D0F01" w14:textId="01AD959B" w:rsidR="00E368C8" w:rsidRPr="003445F5" w:rsidRDefault="00E368C8" w:rsidP="00E368C8">
      <w:pPr>
        <w:rPr>
          <w:szCs w:val="22"/>
          <w:lang w:val="sr-Latn-ME"/>
        </w:rPr>
      </w:pPr>
      <w:r w:rsidRPr="003445F5">
        <w:rPr>
          <w:szCs w:val="22"/>
          <w:lang w:val="sr-Latn-ME"/>
        </w:rPr>
        <w:t xml:space="preserve">Nakon 52. </w:t>
      </w:r>
      <w:r w:rsidR="00551F1D" w:rsidRPr="003445F5">
        <w:rPr>
          <w:szCs w:val="22"/>
          <w:lang w:val="sr-Latn-ME"/>
        </w:rPr>
        <w:t>nedjelj</w:t>
      </w:r>
      <w:r w:rsidR="0047711E" w:rsidRPr="003445F5">
        <w:rPr>
          <w:szCs w:val="22"/>
          <w:lang w:val="sr-Latn-ME"/>
        </w:rPr>
        <w:t>e</w:t>
      </w:r>
      <w:r w:rsidRPr="003445F5">
        <w:rPr>
          <w:szCs w:val="22"/>
          <w:lang w:val="sr-Latn-ME"/>
        </w:rPr>
        <w:t>, 42,9% pacijenata koji su primali adalimumab/metotreksat kombinovanu terapiju postiglo je kliničku remisiju (DAS28 (CRP) &lt; 2,6) u poređenju sa 20,6% pacijenata koji su primali monoterapiju metotreksatom i 23,4% pacijenata koji su primali monoterapiju adalimumabom. Adalimumab/metotreksat kombinovana terapija je bila klinički i statistički superiornija u odnosu na metotreksat (p</w:t>
      </w:r>
      <w:r w:rsidRPr="003445F5">
        <w:rPr>
          <w:szCs w:val="22"/>
          <w:lang w:val="sr-Latn-ME"/>
        </w:rPr>
        <w:sym w:font="Symbol" w:char="F03C"/>
      </w:r>
      <w:r w:rsidRPr="003445F5">
        <w:rPr>
          <w:szCs w:val="22"/>
          <w:lang w:val="sr-Latn-ME"/>
        </w:rPr>
        <w:t>0,001) i monoterapiju adalimumabom (p</w:t>
      </w:r>
      <w:r w:rsidRPr="003445F5">
        <w:rPr>
          <w:szCs w:val="22"/>
          <w:lang w:val="sr-Latn-ME"/>
        </w:rPr>
        <w:sym w:font="Symbol" w:char="F03C"/>
      </w:r>
      <w:r w:rsidRPr="003445F5">
        <w:rPr>
          <w:szCs w:val="22"/>
          <w:lang w:val="sr-Latn-ME"/>
        </w:rPr>
        <w:t>0,001) u postizanju niske aktivnosti bolesti kod pacijenata sa nedavno dijagnostikovanim umjerenim do teškim reumatoidnim artritisom. Ovaj odgovor je u ob</w:t>
      </w:r>
      <w:r w:rsidR="00A46D0D" w:rsidRPr="003445F5">
        <w:rPr>
          <w:szCs w:val="22"/>
          <w:lang w:val="sr-Latn-ME"/>
        </w:rPr>
        <w:t>ij</w:t>
      </w:r>
      <w:r w:rsidRPr="003445F5">
        <w:rPr>
          <w:szCs w:val="22"/>
          <w:lang w:val="sr-Latn-ME"/>
        </w:rPr>
        <w:t>e grupe pacijenata koje su primale monoterapiju bio sličan (p=0,447). Od 342 ispitanika, inicijalno randomizovanih za monoterapiju adalimumabom ili za liječenje kombinacijom adalimumaba i metotreksata, koji su ušli u otvoreni produžetak studije, njih 171 je završilo desetogodišnje liječenje adalimumabom. Među njima, kod 109 ispitanika (63,7%) stopa kliničke remisije je zadržana tokom 10 godina.</w:t>
      </w:r>
    </w:p>
    <w:p w14:paraId="7D5431C6" w14:textId="22066C06" w:rsidR="007F33CD" w:rsidRPr="003445F5" w:rsidRDefault="007F33CD" w:rsidP="00524FDF">
      <w:pPr>
        <w:rPr>
          <w:szCs w:val="22"/>
          <w:lang w:val="sr-Latn-ME"/>
        </w:rPr>
      </w:pPr>
    </w:p>
    <w:p w14:paraId="4EA2770E" w14:textId="77777777" w:rsidR="00C121C7" w:rsidRPr="003445F5" w:rsidRDefault="00C121C7" w:rsidP="00C121C7">
      <w:pPr>
        <w:rPr>
          <w:i/>
          <w:iCs/>
          <w:szCs w:val="22"/>
          <w:u w:val="single"/>
          <w:lang w:val="sr-Latn-ME"/>
        </w:rPr>
      </w:pPr>
      <w:r w:rsidRPr="003445F5">
        <w:rPr>
          <w:i/>
          <w:iCs/>
          <w:szCs w:val="22"/>
          <w:u w:val="single"/>
          <w:lang w:val="sr-Latn-ME"/>
        </w:rPr>
        <w:t xml:space="preserve">Radiografski odgovor </w:t>
      </w:r>
    </w:p>
    <w:p w14:paraId="17D08241" w14:textId="5CABDFC3" w:rsidR="00DA25F2" w:rsidRPr="003445F5" w:rsidRDefault="00DA25F2" w:rsidP="00DA25F2">
      <w:pPr>
        <w:rPr>
          <w:szCs w:val="22"/>
          <w:lang w:val="sr-Latn-ME"/>
        </w:rPr>
      </w:pPr>
      <w:r w:rsidRPr="003445F5">
        <w:rPr>
          <w:szCs w:val="22"/>
          <w:lang w:val="sr-Latn-ME"/>
        </w:rPr>
        <w:t>U RA studiji III, u kojoj su pacijenti koji su primali adalimumab bili sa prosječnim trajanjem reumatoidnog artritisa od približno 11 godina, strukturna oštećenja zglobova su proc</w:t>
      </w:r>
      <w:r w:rsidR="00A46D0D" w:rsidRPr="003445F5">
        <w:rPr>
          <w:szCs w:val="22"/>
          <w:lang w:val="sr-Latn-ME"/>
        </w:rPr>
        <w:t>i</w:t>
      </w:r>
      <w:r w:rsidRPr="003445F5">
        <w:rPr>
          <w:szCs w:val="22"/>
          <w:lang w:val="sr-Latn-ME"/>
        </w:rPr>
        <w:t xml:space="preserve">jenjena radiografski i izražena kao promjena u modifikovanom ukupnom </w:t>
      </w:r>
      <w:r w:rsidRPr="003445F5">
        <w:rPr>
          <w:i/>
          <w:iCs/>
          <w:szCs w:val="22"/>
          <w:lang w:val="sr-Latn-ME"/>
        </w:rPr>
        <w:t>Sharp</w:t>
      </w:r>
      <w:r w:rsidRPr="003445F5">
        <w:rPr>
          <w:szCs w:val="22"/>
          <w:lang w:val="sr-Latn-ME"/>
        </w:rPr>
        <w:t xml:space="preserve"> skoru (engl. </w:t>
      </w:r>
      <w:r w:rsidRPr="003445F5">
        <w:rPr>
          <w:i/>
          <w:iCs/>
          <w:szCs w:val="22"/>
          <w:lang w:val="sr-Latn-ME"/>
        </w:rPr>
        <w:t>Total Sharp Score</w:t>
      </w:r>
      <w:r w:rsidRPr="003445F5">
        <w:rPr>
          <w:szCs w:val="22"/>
          <w:lang w:val="sr-Latn-ME"/>
        </w:rPr>
        <w:t xml:space="preserve"> - TSS) i njegovim komponentama, skoru erozija i skoru suženja zglobnog prostora. Pacijenti koji su primali adalimumab/metotreksat pokazali su značajno manju radiografsku progresiju nego pacijenti koji su primali samo metotreksat tokom 6 i 12 mjeseci (vidjeti Tabelu 7). </w:t>
      </w:r>
    </w:p>
    <w:p w14:paraId="3521AA7E" w14:textId="77777777" w:rsidR="00DA25F2" w:rsidRPr="003445F5" w:rsidRDefault="00DA25F2" w:rsidP="00DA25F2">
      <w:pPr>
        <w:rPr>
          <w:szCs w:val="22"/>
          <w:lang w:val="sr-Latn-ME"/>
        </w:rPr>
      </w:pPr>
    </w:p>
    <w:p w14:paraId="6796640F" w14:textId="6EAB7276" w:rsidR="00DA25F2" w:rsidRPr="003445F5" w:rsidRDefault="00DA25F2" w:rsidP="00DA25F2">
      <w:pPr>
        <w:rPr>
          <w:szCs w:val="22"/>
          <w:lang w:val="sr-Latn-ME"/>
        </w:rPr>
      </w:pPr>
      <w:r w:rsidRPr="003445F5">
        <w:rPr>
          <w:szCs w:val="22"/>
          <w:lang w:val="sr-Latn-ME"/>
        </w:rPr>
        <w:t xml:space="preserve">Podaci iz otvorenog produžetka RA kliničke studije faze III ukazuju da se smanjenje u brzini progresije strukturnih oštećenja održalo tokom 8 i 10 godina u podgrupi pacijenata. Nakon 8 godina, kod 81 od 207 pacijenata liječenih adalimumabom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rađena je radiografska evaluacija. Među njima, 48 pacijenata je bilo bez progresije strukturnog oštećenja, definisano kao promjena mTSS od 0,5 ili manje. Nakon 10 godina, kod 79 od 207 pacijenata liječenih adalimumabom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rađena je radiografska evaluacija. Među njima, 40 pacijenata je bilo bez progresije strukturnog oštećenja, definisano kao promjena mTSS od 0,5 ili manje.</w:t>
      </w:r>
    </w:p>
    <w:p w14:paraId="20F0906C" w14:textId="77777777" w:rsidR="00A10113" w:rsidRPr="003445F5" w:rsidRDefault="00A10113" w:rsidP="00524FDF">
      <w:pPr>
        <w:rPr>
          <w:szCs w:val="22"/>
          <w:lang w:val="sr-Latn-ME"/>
        </w:rPr>
      </w:pPr>
    </w:p>
    <w:p w14:paraId="3CCB55EE" w14:textId="578E77D1" w:rsidR="007F33CD" w:rsidRPr="003445F5" w:rsidRDefault="00A10113" w:rsidP="00524FDF">
      <w:pPr>
        <w:rPr>
          <w:b/>
          <w:bCs/>
          <w:szCs w:val="22"/>
          <w:lang w:val="sr-Latn-ME"/>
        </w:rPr>
      </w:pPr>
      <w:r w:rsidRPr="003445F5">
        <w:rPr>
          <w:b/>
          <w:bCs/>
          <w:szCs w:val="22"/>
          <w:lang w:val="sr-Latn-ME"/>
        </w:rPr>
        <w:t xml:space="preserve">Tabela </w:t>
      </w:r>
      <w:r w:rsidR="00F56E3F" w:rsidRPr="003445F5">
        <w:rPr>
          <w:b/>
          <w:bCs/>
          <w:szCs w:val="22"/>
          <w:lang w:val="sr-Latn-ME"/>
        </w:rPr>
        <w:t>7</w:t>
      </w:r>
      <w:r w:rsidRPr="003445F5">
        <w:rPr>
          <w:b/>
          <w:bCs/>
          <w:szCs w:val="22"/>
          <w:lang w:val="sr-Latn-ME"/>
        </w:rPr>
        <w:t>. Srednje radiografske prom</w:t>
      </w:r>
      <w:r w:rsidR="00DA25F2" w:rsidRPr="003445F5">
        <w:rPr>
          <w:b/>
          <w:bCs/>
          <w:szCs w:val="22"/>
          <w:lang w:val="sr-Latn-ME"/>
        </w:rPr>
        <w:t>j</w:t>
      </w:r>
      <w:r w:rsidRPr="003445F5">
        <w:rPr>
          <w:b/>
          <w:bCs/>
          <w:szCs w:val="22"/>
          <w:lang w:val="sr-Latn-ME"/>
        </w:rPr>
        <w:t>ene tokom 12 m</w:t>
      </w:r>
      <w:r w:rsidR="00DA25F2" w:rsidRPr="003445F5">
        <w:rPr>
          <w:b/>
          <w:bCs/>
          <w:szCs w:val="22"/>
          <w:lang w:val="sr-Latn-ME"/>
        </w:rPr>
        <w:t>j</w:t>
      </w:r>
      <w:r w:rsidRPr="003445F5">
        <w:rPr>
          <w:b/>
          <w:bCs/>
          <w:szCs w:val="22"/>
          <w:lang w:val="sr-Latn-ME"/>
        </w:rPr>
        <w:t>eseci u RA studiji III</w:t>
      </w:r>
    </w:p>
    <w:p w14:paraId="644A6364" w14:textId="77777777" w:rsidR="00A10113" w:rsidRPr="003445F5" w:rsidRDefault="00A10113" w:rsidP="00524FDF">
      <w:pPr>
        <w:rPr>
          <w:b/>
          <w:bCs/>
          <w:szCs w:val="22"/>
          <w:lang w:val="sr-Latn-ME"/>
        </w:rPr>
      </w:pPr>
    </w:p>
    <w:tbl>
      <w:tblPr>
        <w:tblStyle w:val="TableGrid"/>
        <w:tblW w:w="5000" w:type="pct"/>
        <w:tblLayout w:type="fixed"/>
        <w:tblCellMar>
          <w:left w:w="85" w:type="dxa"/>
          <w:right w:w="85" w:type="dxa"/>
        </w:tblCellMar>
        <w:tblLook w:val="04A0" w:firstRow="1" w:lastRow="0" w:firstColumn="1" w:lastColumn="0" w:noHBand="0" w:noVBand="1"/>
      </w:tblPr>
      <w:tblGrid>
        <w:gridCol w:w="1893"/>
        <w:gridCol w:w="1250"/>
        <w:gridCol w:w="1957"/>
        <w:gridCol w:w="2692"/>
        <w:gridCol w:w="1225"/>
      </w:tblGrid>
      <w:tr w:rsidR="00863458" w:rsidRPr="003445F5" w14:paraId="7463CC7F" w14:textId="77777777" w:rsidTr="0050591A">
        <w:trPr>
          <w:trHeight w:val="20"/>
        </w:trPr>
        <w:tc>
          <w:tcPr>
            <w:tcW w:w="1050" w:type="pct"/>
            <w:vAlign w:val="center"/>
          </w:tcPr>
          <w:p w14:paraId="156C3F43" w14:textId="77777777" w:rsidR="00863458" w:rsidRPr="003445F5" w:rsidRDefault="00863458" w:rsidP="00704956">
            <w:pPr>
              <w:jc w:val="center"/>
              <w:rPr>
                <w:szCs w:val="22"/>
                <w:lang w:val="sr-Latn-ME"/>
              </w:rPr>
            </w:pPr>
          </w:p>
        </w:tc>
        <w:tc>
          <w:tcPr>
            <w:tcW w:w="693" w:type="pct"/>
            <w:vAlign w:val="center"/>
          </w:tcPr>
          <w:p w14:paraId="74C39B91" w14:textId="77777777" w:rsidR="00863458" w:rsidRPr="003445F5" w:rsidRDefault="00863458" w:rsidP="00704956">
            <w:pPr>
              <w:jc w:val="center"/>
              <w:rPr>
                <w:b/>
                <w:bCs/>
                <w:szCs w:val="22"/>
                <w:lang w:val="sr-Latn-ME"/>
              </w:rPr>
            </w:pPr>
            <w:r w:rsidRPr="003445F5">
              <w:rPr>
                <w:b/>
                <w:bCs/>
                <w:szCs w:val="22"/>
                <w:lang w:val="sr-Latn-ME"/>
              </w:rPr>
              <w:t>Placebo/ MTX</w:t>
            </w:r>
            <w:r w:rsidRPr="003445F5">
              <w:rPr>
                <w:b/>
                <w:bCs/>
                <w:szCs w:val="22"/>
                <w:vertAlign w:val="superscript"/>
                <w:lang w:val="sr-Latn-ME"/>
              </w:rPr>
              <w:t>a</w:t>
            </w:r>
          </w:p>
        </w:tc>
        <w:tc>
          <w:tcPr>
            <w:tcW w:w="1085" w:type="pct"/>
            <w:vAlign w:val="center"/>
          </w:tcPr>
          <w:p w14:paraId="0F340CA7" w14:textId="425300A5" w:rsidR="00863458" w:rsidRPr="003445F5" w:rsidRDefault="00863458" w:rsidP="00704956">
            <w:pPr>
              <w:jc w:val="center"/>
              <w:rPr>
                <w:b/>
                <w:bCs/>
                <w:szCs w:val="22"/>
                <w:lang w:val="sr-Latn-ME"/>
              </w:rPr>
            </w:pPr>
            <w:r w:rsidRPr="003445F5">
              <w:rPr>
                <w:b/>
                <w:bCs/>
                <w:szCs w:val="22"/>
                <w:lang w:val="sr-Latn-ME"/>
              </w:rPr>
              <w:t xml:space="preserve">adalimumab/MTX 40 mg svake druge </w:t>
            </w:r>
            <w:r w:rsidR="00551F1D" w:rsidRPr="003445F5">
              <w:rPr>
                <w:b/>
                <w:bCs/>
                <w:szCs w:val="22"/>
                <w:lang w:val="sr-Latn-ME"/>
              </w:rPr>
              <w:t>nedjelj</w:t>
            </w:r>
            <w:r w:rsidR="0047711E" w:rsidRPr="003445F5">
              <w:rPr>
                <w:b/>
                <w:bCs/>
                <w:szCs w:val="22"/>
                <w:lang w:val="sr-Latn-ME"/>
              </w:rPr>
              <w:t>e</w:t>
            </w:r>
          </w:p>
        </w:tc>
        <w:tc>
          <w:tcPr>
            <w:tcW w:w="1493" w:type="pct"/>
            <w:vAlign w:val="center"/>
          </w:tcPr>
          <w:p w14:paraId="5AD629A0" w14:textId="77777777" w:rsidR="00863458" w:rsidRPr="003445F5" w:rsidRDefault="00863458" w:rsidP="00704956">
            <w:pPr>
              <w:jc w:val="center"/>
              <w:rPr>
                <w:b/>
                <w:bCs/>
                <w:szCs w:val="22"/>
                <w:lang w:val="sr-Latn-ME"/>
              </w:rPr>
            </w:pPr>
            <w:r w:rsidRPr="003445F5">
              <w:rPr>
                <w:b/>
                <w:bCs/>
                <w:szCs w:val="22"/>
                <w:lang w:val="sr-Latn-ME"/>
              </w:rPr>
              <w:t>Placebo/MTX adalimumab/MTX (95% Interval pouzdanosti</w:t>
            </w:r>
            <w:r w:rsidRPr="003445F5">
              <w:rPr>
                <w:b/>
                <w:bCs/>
                <w:szCs w:val="22"/>
                <w:vertAlign w:val="superscript"/>
                <w:lang w:val="sr-Latn-ME"/>
              </w:rPr>
              <w:t>b</w:t>
            </w:r>
            <w:r w:rsidRPr="003445F5">
              <w:rPr>
                <w:b/>
                <w:bCs/>
                <w:szCs w:val="22"/>
                <w:lang w:val="sr-Latn-ME"/>
              </w:rPr>
              <w:t xml:space="preserve"> )</w:t>
            </w:r>
          </w:p>
        </w:tc>
        <w:tc>
          <w:tcPr>
            <w:tcW w:w="679" w:type="pct"/>
            <w:vAlign w:val="center"/>
          </w:tcPr>
          <w:p w14:paraId="6507B97D" w14:textId="155307F7" w:rsidR="00863458" w:rsidRPr="003445F5" w:rsidRDefault="00863458" w:rsidP="00704956">
            <w:pPr>
              <w:jc w:val="center"/>
              <w:rPr>
                <w:b/>
                <w:bCs/>
                <w:szCs w:val="22"/>
                <w:lang w:val="sr-Latn-ME"/>
              </w:rPr>
            </w:pPr>
            <w:r w:rsidRPr="003445F5">
              <w:rPr>
                <w:b/>
                <w:bCs/>
                <w:szCs w:val="22"/>
                <w:lang w:val="sr-Latn-ME"/>
              </w:rPr>
              <w:t>p-vr</w:t>
            </w:r>
            <w:r w:rsidR="00DA25F2" w:rsidRPr="003445F5">
              <w:rPr>
                <w:b/>
                <w:bCs/>
                <w:szCs w:val="22"/>
                <w:lang w:val="sr-Latn-ME"/>
              </w:rPr>
              <w:t>ij</w:t>
            </w:r>
            <w:r w:rsidRPr="003445F5">
              <w:rPr>
                <w:b/>
                <w:bCs/>
                <w:szCs w:val="22"/>
                <w:lang w:val="sr-Latn-ME"/>
              </w:rPr>
              <w:t>ednost</w:t>
            </w:r>
          </w:p>
        </w:tc>
      </w:tr>
      <w:tr w:rsidR="00863458" w:rsidRPr="003445F5" w14:paraId="7A21210F" w14:textId="77777777" w:rsidTr="0050591A">
        <w:trPr>
          <w:trHeight w:val="20"/>
        </w:trPr>
        <w:tc>
          <w:tcPr>
            <w:tcW w:w="1050" w:type="pct"/>
            <w:vAlign w:val="center"/>
          </w:tcPr>
          <w:p w14:paraId="33A9070B" w14:textId="77777777" w:rsidR="00863458" w:rsidRPr="003445F5" w:rsidRDefault="00863458" w:rsidP="00704956">
            <w:pPr>
              <w:jc w:val="left"/>
              <w:rPr>
                <w:szCs w:val="22"/>
                <w:lang w:val="sr-Latn-ME"/>
              </w:rPr>
            </w:pPr>
            <w:r w:rsidRPr="003445F5">
              <w:rPr>
                <w:szCs w:val="22"/>
                <w:lang w:val="sr-Latn-ME"/>
              </w:rPr>
              <w:t xml:space="preserve">Ukupni </w:t>
            </w:r>
            <w:r w:rsidRPr="003445F5">
              <w:rPr>
                <w:i/>
                <w:iCs/>
                <w:szCs w:val="22"/>
                <w:lang w:val="sr-Latn-ME"/>
              </w:rPr>
              <w:t>Sharp</w:t>
            </w:r>
            <w:r w:rsidRPr="003445F5">
              <w:rPr>
                <w:szCs w:val="22"/>
                <w:lang w:val="sr-Latn-ME"/>
              </w:rPr>
              <w:t xml:space="preserve"> skor</w:t>
            </w:r>
          </w:p>
        </w:tc>
        <w:tc>
          <w:tcPr>
            <w:tcW w:w="693" w:type="pct"/>
            <w:vAlign w:val="center"/>
          </w:tcPr>
          <w:p w14:paraId="768001D7" w14:textId="77777777" w:rsidR="00863458" w:rsidRPr="003445F5" w:rsidRDefault="00863458" w:rsidP="00704956">
            <w:pPr>
              <w:jc w:val="center"/>
              <w:rPr>
                <w:szCs w:val="22"/>
                <w:lang w:val="sr-Latn-ME"/>
              </w:rPr>
            </w:pPr>
            <w:r w:rsidRPr="003445F5">
              <w:rPr>
                <w:szCs w:val="22"/>
                <w:lang w:val="sr-Latn-ME"/>
              </w:rPr>
              <w:t>2,7</w:t>
            </w:r>
          </w:p>
        </w:tc>
        <w:tc>
          <w:tcPr>
            <w:tcW w:w="1085" w:type="pct"/>
            <w:vAlign w:val="center"/>
          </w:tcPr>
          <w:p w14:paraId="27D394EF" w14:textId="77777777" w:rsidR="00863458" w:rsidRPr="003445F5" w:rsidRDefault="00863458" w:rsidP="00704956">
            <w:pPr>
              <w:jc w:val="center"/>
              <w:rPr>
                <w:szCs w:val="22"/>
                <w:lang w:val="sr-Latn-ME"/>
              </w:rPr>
            </w:pPr>
            <w:r w:rsidRPr="003445F5">
              <w:rPr>
                <w:szCs w:val="22"/>
                <w:lang w:val="sr-Latn-ME"/>
              </w:rPr>
              <w:t>0,1</w:t>
            </w:r>
          </w:p>
        </w:tc>
        <w:tc>
          <w:tcPr>
            <w:tcW w:w="1493" w:type="pct"/>
            <w:vAlign w:val="center"/>
          </w:tcPr>
          <w:p w14:paraId="7B056A2A" w14:textId="77777777" w:rsidR="00863458" w:rsidRPr="003445F5" w:rsidRDefault="00863458" w:rsidP="00704956">
            <w:pPr>
              <w:jc w:val="center"/>
              <w:rPr>
                <w:szCs w:val="22"/>
                <w:lang w:val="sr-Latn-ME"/>
              </w:rPr>
            </w:pPr>
            <w:r w:rsidRPr="003445F5">
              <w:rPr>
                <w:szCs w:val="22"/>
                <w:lang w:val="sr-Latn-ME"/>
              </w:rPr>
              <w:t>2,6 (1,4; 3,8)</w:t>
            </w:r>
          </w:p>
        </w:tc>
        <w:tc>
          <w:tcPr>
            <w:tcW w:w="679" w:type="pct"/>
            <w:vAlign w:val="center"/>
          </w:tcPr>
          <w:p w14:paraId="19C6C931" w14:textId="77777777" w:rsidR="00863458" w:rsidRPr="003445F5" w:rsidRDefault="00863458" w:rsidP="00704956">
            <w:pPr>
              <w:jc w:val="center"/>
              <w:rPr>
                <w:szCs w:val="22"/>
                <w:lang w:val="sr-Latn-ME"/>
              </w:rPr>
            </w:pPr>
            <w:r w:rsidRPr="003445F5">
              <w:rPr>
                <w:szCs w:val="22"/>
                <w:lang w:val="sr-Latn-ME"/>
              </w:rPr>
              <w:t>&lt;0,001</w:t>
            </w:r>
            <w:r w:rsidRPr="003445F5">
              <w:rPr>
                <w:szCs w:val="22"/>
                <w:vertAlign w:val="superscript"/>
                <w:lang w:val="sr-Latn-ME"/>
              </w:rPr>
              <w:t>c</w:t>
            </w:r>
          </w:p>
        </w:tc>
      </w:tr>
      <w:tr w:rsidR="00863458" w:rsidRPr="003445F5" w14:paraId="3E942084" w14:textId="77777777" w:rsidTr="0050591A">
        <w:trPr>
          <w:trHeight w:val="20"/>
        </w:trPr>
        <w:tc>
          <w:tcPr>
            <w:tcW w:w="1050" w:type="pct"/>
            <w:vAlign w:val="center"/>
          </w:tcPr>
          <w:p w14:paraId="63FE287E" w14:textId="77777777" w:rsidR="00863458" w:rsidRPr="003445F5" w:rsidRDefault="00863458" w:rsidP="00704956">
            <w:pPr>
              <w:jc w:val="left"/>
              <w:rPr>
                <w:szCs w:val="22"/>
                <w:lang w:val="sr-Latn-ME"/>
              </w:rPr>
            </w:pPr>
            <w:r w:rsidRPr="003445F5">
              <w:rPr>
                <w:szCs w:val="22"/>
                <w:lang w:val="sr-Latn-ME"/>
              </w:rPr>
              <w:lastRenderedPageBreak/>
              <w:t>Skor erozija</w:t>
            </w:r>
          </w:p>
        </w:tc>
        <w:tc>
          <w:tcPr>
            <w:tcW w:w="693" w:type="pct"/>
            <w:vAlign w:val="center"/>
          </w:tcPr>
          <w:p w14:paraId="28646748" w14:textId="77777777" w:rsidR="00863458" w:rsidRPr="003445F5" w:rsidRDefault="00863458" w:rsidP="00704956">
            <w:pPr>
              <w:jc w:val="center"/>
              <w:rPr>
                <w:szCs w:val="22"/>
                <w:lang w:val="sr-Latn-ME"/>
              </w:rPr>
            </w:pPr>
            <w:r w:rsidRPr="003445F5">
              <w:rPr>
                <w:szCs w:val="22"/>
                <w:lang w:val="sr-Latn-ME"/>
              </w:rPr>
              <w:t>1,6</w:t>
            </w:r>
          </w:p>
        </w:tc>
        <w:tc>
          <w:tcPr>
            <w:tcW w:w="1085" w:type="pct"/>
            <w:vAlign w:val="center"/>
          </w:tcPr>
          <w:p w14:paraId="2EDAF226" w14:textId="77777777" w:rsidR="00863458" w:rsidRPr="003445F5" w:rsidRDefault="00863458" w:rsidP="00704956">
            <w:pPr>
              <w:jc w:val="center"/>
              <w:rPr>
                <w:szCs w:val="22"/>
                <w:lang w:val="sr-Latn-ME"/>
              </w:rPr>
            </w:pPr>
            <w:r w:rsidRPr="003445F5">
              <w:rPr>
                <w:szCs w:val="22"/>
                <w:lang w:val="sr-Latn-ME"/>
              </w:rPr>
              <w:t>0,0</w:t>
            </w:r>
          </w:p>
        </w:tc>
        <w:tc>
          <w:tcPr>
            <w:tcW w:w="1493" w:type="pct"/>
            <w:vAlign w:val="center"/>
          </w:tcPr>
          <w:p w14:paraId="2088701A" w14:textId="77777777" w:rsidR="00863458" w:rsidRPr="003445F5" w:rsidRDefault="00863458" w:rsidP="00704956">
            <w:pPr>
              <w:jc w:val="center"/>
              <w:rPr>
                <w:szCs w:val="22"/>
                <w:lang w:val="sr-Latn-ME"/>
              </w:rPr>
            </w:pPr>
            <w:r w:rsidRPr="003445F5">
              <w:rPr>
                <w:szCs w:val="22"/>
                <w:lang w:val="sr-Latn-ME"/>
              </w:rPr>
              <w:t>1,6 (0,9; 2,2)</w:t>
            </w:r>
          </w:p>
        </w:tc>
        <w:tc>
          <w:tcPr>
            <w:tcW w:w="679" w:type="pct"/>
            <w:vAlign w:val="center"/>
          </w:tcPr>
          <w:p w14:paraId="2D41562F" w14:textId="77777777" w:rsidR="00863458" w:rsidRPr="003445F5" w:rsidRDefault="00863458" w:rsidP="00704956">
            <w:pPr>
              <w:jc w:val="center"/>
              <w:rPr>
                <w:szCs w:val="22"/>
                <w:lang w:val="sr-Latn-ME"/>
              </w:rPr>
            </w:pPr>
            <w:r w:rsidRPr="003445F5">
              <w:rPr>
                <w:szCs w:val="22"/>
                <w:lang w:val="sr-Latn-ME"/>
              </w:rPr>
              <w:t>&lt;0,001</w:t>
            </w:r>
          </w:p>
        </w:tc>
      </w:tr>
      <w:tr w:rsidR="00863458" w:rsidRPr="003445F5" w14:paraId="5DA28C27" w14:textId="77777777" w:rsidTr="0050591A">
        <w:trPr>
          <w:trHeight w:val="20"/>
        </w:trPr>
        <w:tc>
          <w:tcPr>
            <w:tcW w:w="1050" w:type="pct"/>
            <w:vAlign w:val="center"/>
          </w:tcPr>
          <w:p w14:paraId="53B040D1" w14:textId="77777777" w:rsidR="00863458" w:rsidRPr="003445F5" w:rsidRDefault="00863458" w:rsidP="00704956">
            <w:pPr>
              <w:jc w:val="left"/>
              <w:rPr>
                <w:szCs w:val="22"/>
                <w:lang w:val="sr-Latn-ME"/>
              </w:rPr>
            </w:pPr>
            <w:r w:rsidRPr="003445F5">
              <w:rPr>
                <w:szCs w:val="22"/>
                <w:lang w:val="sr-Latn-ME"/>
              </w:rPr>
              <w:t>JSN</w:t>
            </w:r>
            <w:r w:rsidRPr="003445F5">
              <w:rPr>
                <w:szCs w:val="22"/>
                <w:vertAlign w:val="superscript"/>
                <w:lang w:val="sr-Latn-ME"/>
              </w:rPr>
              <w:t>d</w:t>
            </w:r>
            <w:r w:rsidRPr="003445F5">
              <w:rPr>
                <w:szCs w:val="22"/>
                <w:lang w:val="sr-Latn-ME"/>
              </w:rPr>
              <w:t xml:space="preserve"> skor</w:t>
            </w:r>
          </w:p>
        </w:tc>
        <w:tc>
          <w:tcPr>
            <w:tcW w:w="693" w:type="pct"/>
            <w:vAlign w:val="center"/>
          </w:tcPr>
          <w:p w14:paraId="2BB37C1A" w14:textId="77777777" w:rsidR="00863458" w:rsidRPr="003445F5" w:rsidRDefault="00863458" w:rsidP="00704956">
            <w:pPr>
              <w:jc w:val="center"/>
              <w:rPr>
                <w:szCs w:val="22"/>
                <w:lang w:val="sr-Latn-ME"/>
              </w:rPr>
            </w:pPr>
            <w:r w:rsidRPr="003445F5">
              <w:rPr>
                <w:szCs w:val="22"/>
                <w:lang w:val="sr-Latn-ME"/>
              </w:rPr>
              <w:t>1,0</w:t>
            </w:r>
          </w:p>
        </w:tc>
        <w:tc>
          <w:tcPr>
            <w:tcW w:w="1085" w:type="pct"/>
            <w:vAlign w:val="center"/>
          </w:tcPr>
          <w:p w14:paraId="1FACB3AF" w14:textId="77777777" w:rsidR="00863458" w:rsidRPr="003445F5" w:rsidRDefault="00863458" w:rsidP="00704956">
            <w:pPr>
              <w:jc w:val="center"/>
              <w:rPr>
                <w:szCs w:val="22"/>
                <w:lang w:val="sr-Latn-ME"/>
              </w:rPr>
            </w:pPr>
            <w:r w:rsidRPr="003445F5">
              <w:rPr>
                <w:szCs w:val="22"/>
                <w:lang w:val="sr-Latn-ME"/>
              </w:rPr>
              <w:t>0,1</w:t>
            </w:r>
          </w:p>
        </w:tc>
        <w:tc>
          <w:tcPr>
            <w:tcW w:w="1493" w:type="pct"/>
            <w:vAlign w:val="center"/>
          </w:tcPr>
          <w:p w14:paraId="3F7609EE" w14:textId="77777777" w:rsidR="00863458" w:rsidRPr="003445F5" w:rsidRDefault="00863458" w:rsidP="00704956">
            <w:pPr>
              <w:jc w:val="center"/>
              <w:rPr>
                <w:szCs w:val="22"/>
                <w:lang w:val="sr-Latn-ME"/>
              </w:rPr>
            </w:pPr>
            <w:r w:rsidRPr="003445F5">
              <w:rPr>
                <w:szCs w:val="22"/>
                <w:lang w:val="sr-Latn-ME"/>
              </w:rPr>
              <w:t>0,9 (0,3; 1,4)</w:t>
            </w:r>
          </w:p>
        </w:tc>
        <w:tc>
          <w:tcPr>
            <w:tcW w:w="679" w:type="pct"/>
            <w:vAlign w:val="center"/>
          </w:tcPr>
          <w:p w14:paraId="2E67C2A2" w14:textId="77777777" w:rsidR="00863458" w:rsidRPr="003445F5" w:rsidRDefault="00863458" w:rsidP="00704956">
            <w:pPr>
              <w:jc w:val="center"/>
              <w:rPr>
                <w:szCs w:val="22"/>
                <w:lang w:val="sr-Latn-ME"/>
              </w:rPr>
            </w:pPr>
            <w:r w:rsidRPr="003445F5">
              <w:rPr>
                <w:szCs w:val="22"/>
                <w:lang w:val="sr-Latn-ME"/>
              </w:rPr>
              <w:t>0,002</w:t>
            </w:r>
          </w:p>
        </w:tc>
      </w:tr>
    </w:tbl>
    <w:p w14:paraId="0644AA04" w14:textId="77777777" w:rsidR="0050591A" w:rsidRPr="003445F5" w:rsidRDefault="0050591A" w:rsidP="0050591A">
      <w:pPr>
        <w:rPr>
          <w:szCs w:val="22"/>
          <w:lang w:val="sr-Latn-ME"/>
        </w:rPr>
      </w:pPr>
      <w:r w:rsidRPr="003445F5">
        <w:rPr>
          <w:szCs w:val="22"/>
          <w:vertAlign w:val="superscript"/>
          <w:lang w:val="sr-Latn-ME"/>
        </w:rPr>
        <w:t>a</w:t>
      </w:r>
      <w:r w:rsidRPr="003445F5">
        <w:rPr>
          <w:szCs w:val="22"/>
          <w:lang w:val="sr-Latn-ME"/>
        </w:rPr>
        <w:t xml:space="preserve"> metotreksat </w:t>
      </w:r>
    </w:p>
    <w:p w14:paraId="133B11A1" w14:textId="710C7063" w:rsidR="0050591A" w:rsidRPr="003445F5" w:rsidRDefault="0050591A" w:rsidP="0050591A">
      <w:pPr>
        <w:rPr>
          <w:szCs w:val="22"/>
          <w:lang w:val="sr-Latn-ME"/>
        </w:rPr>
      </w:pPr>
      <w:r w:rsidRPr="003445F5">
        <w:rPr>
          <w:szCs w:val="22"/>
          <w:vertAlign w:val="superscript"/>
          <w:lang w:val="sr-Latn-ME"/>
        </w:rPr>
        <w:t>b</w:t>
      </w:r>
      <w:r w:rsidRPr="003445F5">
        <w:rPr>
          <w:szCs w:val="22"/>
          <w:lang w:val="sr-Latn-ME"/>
        </w:rPr>
        <w:t xml:space="preserve"> 95% interval pouzdanosti za razlike u prom</w:t>
      </w:r>
      <w:r w:rsidR="00DA25F2" w:rsidRPr="003445F5">
        <w:rPr>
          <w:szCs w:val="22"/>
          <w:lang w:val="sr-Latn-ME"/>
        </w:rPr>
        <w:t>j</w:t>
      </w:r>
      <w:r w:rsidRPr="003445F5">
        <w:rPr>
          <w:szCs w:val="22"/>
          <w:lang w:val="sr-Latn-ME"/>
        </w:rPr>
        <w:t xml:space="preserve">eni skorova između metotreksata i adalimumaba. </w:t>
      </w:r>
    </w:p>
    <w:p w14:paraId="5C200D7A" w14:textId="2444736A" w:rsidR="0050591A" w:rsidRPr="003445F5" w:rsidRDefault="0050591A" w:rsidP="0050591A">
      <w:pPr>
        <w:rPr>
          <w:szCs w:val="22"/>
          <w:lang w:val="sr-Latn-ME"/>
        </w:rPr>
      </w:pPr>
      <w:r w:rsidRPr="003445F5">
        <w:rPr>
          <w:szCs w:val="22"/>
          <w:vertAlign w:val="superscript"/>
          <w:lang w:val="sr-Latn-ME"/>
        </w:rPr>
        <w:t>c</w:t>
      </w:r>
      <w:r w:rsidRPr="003445F5">
        <w:rPr>
          <w:szCs w:val="22"/>
          <w:lang w:val="sr-Latn-ME"/>
        </w:rPr>
        <w:t xml:space="preserve"> Zasnovano na analizi por</w:t>
      </w:r>
      <w:r w:rsidR="00DA25F2" w:rsidRPr="003445F5">
        <w:rPr>
          <w:szCs w:val="22"/>
          <w:lang w:val="sr-Latn-ME"/>
        </w:rPr>
        <w:t>ij</w:t>
      </w:r>
      <w:r w:rsidRPr="003445F5">
        <w:rPr>
          <w:szCs w:val="22"/>
          <w:lang w:val="sr-Latn-ME"/>
        </w:rPr>
        <w:t xml:space="preserve">etka </w:t>
      </w:r>
    </w:p>
    <w:p w14:paraId="54B1DFCE" w14:textId="77777777" w:rsidR="0050591A" w:rsidRPr="003445F5" w:rsidRDefault="0050591A" w:rsidP="0050591A">
      <w:pPr>
        <w:rPr>
          <w:szCs w:val="22"/>
          <w:lang w:val="sr-Latn-ME"/>
        </w:rPr>
      </w:pPr>
      <w:r w:rsidRPr="003445F5">
        <w:rPr>
          <w:szCs w:val="22"/>
          <w:vertAlign w:val="superscript"/>
          <w:lang w:val="sr-Latn-ME"/>
        </w:rPr>
        <w:t>d</w:t>
      </w:r>
      <w:r w:rsidRPr="003445F5">
        <w:rPr>
          <w:szCs w:val="22"/>
          <w:lang w:val="sr-Latn-ME"/>
        </w:rPr>
        <w:t xml:space="preserve"> Suženje zglobnog prostora</w:t>
      </w:r>
    </w:p>
    <w:p w14:paraId="46E3BD8C" w14:textId="77777777" w:rsidR="0050591A" w:rsidRPr="003445F5" w:rsidRDefault="0050591A" w:rsidP="0050591A">
      <w:pPr>
        <w:rPr>
          <w:szCs w:val="22"/>
          <w:lang w:val="sr-Latn-ME"/>
        </w:rPr>
      </w:pPr>
    </w:p>
    <w:p w14:paraId="29EB8A4A" w14:textId="48B43573" w:rsidR="0050591A" w:rsidRPr="003445F5" w:rsidRDefault="0050591A" w:rsidP="0050591A">
      <w:pPr>
        <w:rPr>
          <w:szCs w:val="22"/>
          <w:lang w:val="sr-Latn-ME"/>
        </w:rPr>
      </w:pPr>
      <w:r w:rsidRPr="003445F5">
        <w:rPr>
          <w:szCs w:val="22"/>
          <w:lang w:val="sr-Latn-ME"/>
        </w:rPr>
        <w:t>U RA studiji V, strukturna oštećenja zgloba su proc</w:t>
      </w:r>
      <w:r w:rsidR="00A46D0D" w:rsidRPr="003445F5">
        <w:rPr>
          <w:szCs w:val="22"/>
          <w:lang w:val="sr-Latn-ME"/>
        </w:rPr>
        <w:t>i</w:t>
      </w:r>
      <w:r w:rsidR="00DA25F2" w:rsidRPr="003445F5">
        <w:rPr>
          <w:szCs w:val="22"/>
          <w:lang w:val="sr-Latn-ME"/>
        </w:rPr>
        <w:t>j</w:t>
      </w:r>
      <w:r w:rsidRPr="003445F5">
        <w:rPr>
          <w:szCs w:val="22"/>
          <w:lang w:val="sr-Latn-ME"/>
        </w:rPr>
        <w:t>enjena radiografski i izražena kao prom</w:t>
      </w:r>
      <w:r w:rsidR="00DA25F2" w:rsidRPr="003445F5">
        <w:rPr>
          <w:szCs w:val="22"/>
          <w:lang w:val="sr-Latn-ME"/>
        </w:rPr>
        <w:t>j</w:t>
      </w:r>
      <w:r w:rsidRPr="003445F5">
        <w:rPr>
          <w:szCs w:val="22"/>
          <w:lang w:val="sr-Latn-ME"/>
        </w:rPr>
        <w:t xml:space="preserve">ena u modifikovanom ukupnom </w:t>
      </w:r>
      <w:r w:rsidRPr="003445F5">
        <w:rPr>
          <w:i/>
          <w:iCs/>
          <w:szCs w:val="22"/>
          <w:lang w:val="sr-Latn-ME"/>
        </w:rPr>
        <w:t>Sharp</w:t>
      </w:r>
      <w:r w:rsidRPr="003445F5">
        <w:rPr>
          <w:szCs w:val="22"/>
          <w:lang w:val="sr-Latn-ME"/>
        </w:rPr>
        <w:t xml:space="preserve"> skoru (vid</w:t>
      </w:r>
      <w:r w:rsidR="00DA25F2" w:rsidRPr="003445F5">
        <w:rPr>
          <w:szCs w:val="22"/>
          <w:lang w:val="sr-Latn-ME"/>
        </w:rPr>
        <w:t>j</w:t>
      </w:r>
      <w:r w:rsidRPr="003445F5">
        <w:rPr>
          <w:szCs w:val="22"/>
          <w:lang w:val="sr-Latn-ME"/>
        </w:rPr>
        <w:t>eti Tabelu 8).</w:t>
      </w:r>
    </w:p>
    <w:p w14:paraId="6EAE3EC4" w14:textId="2DAAD6DF" w:rsidR="00356C0D" w:rsidRPr="003445F5" w:rsidRDefault="00356C0D" w:rsidP="00524FDF">
      <w:pPr>
        <w:rPr>
          <w:szCs w:val="22"/>
          <w:lang w:val="sr-Latn-ME"/>
        </w:rPr>
      </w:pPr>
    </w:p>
    <w:p w14:paraId="0E01F19F" w14:textId="054C8373" w:rsidR="00356C0D" w:rsidRPr="003445F5" w:rsidRDefault="00356C0D" w:rsidP="00524FDF">
      <w:pPr>
        <w:rPr>
          <w:b/>
          <w:bCs/>
          <w:szCs w:val="22"/>
          <w:lang w:val="sr-Latn-ME"/>
        </w:rPr>
      </w:pPr>
      <w:r w:rsidRPr="003445F5">
        <w:rPr>
          <w:b/>
          <w:bCs/>
          <w:szCs w:val="22"/>
          <w:lang w:val="sr-Latn-ME"/>
        </w:rPr>
        <w:t xml:space="preserve">Tabela </w:t>
      </w:r>
      <w:r w:rsidR="002535F4" w:rsidRPr="003445F5">
        <w:rPr>
          <w:b/>
          <w:bCs/>
          <w:szCs w:val="22"/>
          <w:lang w:val="sr-Latn-ME"/>
        </w:rPr>
        <w:t>8.</w:t>
      </w:r>
      <w:r w:rsidRPr="003445F5">
        <w:rPr>
          <w:b/>
          <w:bCs/>
          <w:szCs w:val="22"/>
          <w:lang w:val="sr-Latn-ME"/>
        </w:rPr>
        <w:t xml:space="preserve"> Srednje radiografske prom</w:t>
      </w:r>
      <w:r w:rsidR="00DA25F2" w:rsidRPr="003445F5">
        <w:rPr>
          <w:b/>
          <w:bCs/>
          <w:szCs w:val="22"/>
          <w:lang w:val="sr-Latn-ME"/>
        </w:rPr>
        <w:t>j</w:t>
      </w:r>
      <w:r w:rsidRPr="003445F5">
        <w:rPr>
          <w:b/>
          <w:bCs/>
          <w:szCs w:val="22"/>
          <w:lang w:val="sr-Latn-ME"/>
        </w:rPr>
        <w:t xml:space="preserve">ene nakon 52 </w:t>
      </w:r>
      <w:r w:rsidR="00551F1D" w:rsidRPr="003445F5">
        <w:rPr>
          <w:b/>
          <w:bCs/>
          <w:szCs w:val="22"/>
          <w:lang w:val="sr-Latn-ME"/>
        </w:rPr>
        <w:t>nedjelj</w:t>
      </w:r>
      <w:r w:rsidR="0047711E" w:rsidRPr="003445F5">
        <w:rPr>
          <w:b/>
          <w:bCs/>
          <w:szCs w:val="22"/>
          <w:lang w:val="sr-Latn-ME"/>
        </w:rPr>
        <w:t>e</w:t>
      </w:r>
      <w:r w:rsidRPr="003445F5">
        <w:rPr>
          <w:b/>
          <w:bCs/>
          <w:szCs w:val="22"/>
          <w:lang w:val="sr-Latn-ME"/>
        </w:rPr>
        <w:t xml:space="preserve"> u RA studiji V</w:t>
      </w:r>
    </w:p>
    <w:p w14:paraId="481D6DC8" w14:textId="77777777" w:rsidR="00356C0D" w:rsidRPr="003445F5" w:rsidRDefault="00356C0D" w:rsidP="00524FDF">
      <w:pPr>
        <w:rPr>
          <w:b/>
          <w:bCs/>
          <w:szCs w:val="22"/>
          <w:lang w:val="sr-Latn-ME"/>
        </w:rPr>
      </w:pPr>
    </w:p>
    <w:tbl>
      <w:tblPr>
        <w:tblStyle w:val="TableGrid"/>
        <w:tblW w:w="5000" w:type="pct"/>
        <w:tblLayout w:type="fixed"/>
        <w:tblCellMar>
          <w:left w:w="85" w:type="dxa"/>
          <w:right w:w="85" w:type="dxa"/>
        </w:tblCellMar>
        <w:tblLook w:val="04A0" w:firstRow="1" w:lastRow="0" w:firstColumn="1" w:lastColumn="0" w:noHBand="0" w:noVBand="1"/>
      </w:tblPr>
      <w:tblGrid>
        <w:gridCol w:w="1272"/>
        <w:gridCol w:w="1418"/>
        <w:gridCol w:w="1417"/>
        <w:gridCol w:w="1558"/>
        <w:gridCol w:w="1134"/>
        <w:gridCol w:w="1134"/>
        <w:gridCol w:w="1084"/>
      </w:tblGrid>
      <w:tr w:rsidR="008B3DBB" w:rsidRPr="003445F5" w14:paraId="1801B5B6" w14:textId="77777777" w:rsidTr="00DF0758">
        <w:trPr>
          <w:trHeight w:val="20"/>
        </w:trPr>
        <w:tc>
          <w:tcPr>
            <w:tcW w:w="705" w:type="pct"/>
            <w:vAlign w:val="center"/>
          </w:tcPr>
          <w:p w14:paraId="2D6B02DD" w14:textId="77777777" w:rsidR="00BE6DD8" w:rsidRPr="003445F5" w:rsidRDefault="00BE6DD8" w:rsidP="00704956">
            <w:pPr>
              <w:jc w:val="center"/>
              <w:rPr>
                <w:szCs w:val="22"/>
                <w:lang w:val="sr-Latn-ME"/>
              </w:rPr>
            </w:pPr>
          </w:p>
        </w:tc>
        <w:tc>
          <w:tcPr>
            <w:tcW w:w="786" w:type="pct"/>
            <w:vAlign w:val="center"/>
          </w:tcPr>
          <w:p w14:paraId="7D599CFE" w14:textId="77777777" w:rsidR="00BE6DD8" w:rsidRPr="003445F5" w:rsidRDefault="00BE6DD8" w:rsidP="008B3DBB">
            <w:pPr>
              <w:ind w:right="-15"/>
              <w:jc w:val="center"/>
              <w:rPr>
                <w:b/>
                <w:bCs/>
                <w:szCs w:val="22"/>
                <w:lang w:val="sr-Latn-ME"/>
              </w:rPr>
            </w:pPr>
            <w:r w:rsidRPr="003445F5">
              <w:rPr>
                <w:b/>
                <w:bCs/>
                <w:szCs w:val="22"/>
                <w:lang w:val="sr-Latn-ME"/>
              </w:rPr>
              <w:t xml:space="preserve">MTX </w:t>
            </w:r>
          </w:p>
          <w:p w14:paraId="71E8ABC4" w14:textId="77777777" w:rsidR="00BE6DD8" w:rsidRPr="003445F5" w:rsidRDefault="00BE6DD8" w:rsidP="008B3DBB">
            <w:pPr>
              <w:ind w:right="-15"/>
              <w:jc w:val="center"/>
              <w:rPr>
                <w:b/>
                <w:bCs/>
                <w:szCs w:val="22"/>
                <w:lang w:val="sr-Latn-ME"/>
              </w:rPr>
            </w:pPr>
            <w:r w:rsidRPr="003445F5">
              <w:rPr>
                <w:b/>
                <w:bCs/>
                <w:szCs w:val="22"/>
                <w:lang w:val="sr-Latn-ME"/>
              </w:rPr>
              <w:t xml:space="preserve">n=257 </w:t>
            </w:r>
          </w:p>
          <w:p w14:paraId="061262D6" w14:textId="77777777" w:rsidR="00BE6DD8" w:rsidRPr="003445F5" w:rsidRDefault="00BE6DD8" w:rsidP="008B3DBB">
            <w:pPr>
              <w:ind w:right="-15"/>
              <w:jc w:val="center"/>
              <w:rPr>
                <w:b/>
                <w:bCs/>
                <w:szCs w:val="22"/>
                <w:lang w:val="sr-Latn-ME"/>
              </w:rPr>
            </w:pPr>
            <w:r w:rsidRPr="003445F5">
              <w:rPr>
                <w:b/>
                <w:bCs/>
                <w:szCs w:val="22"/>
                <w:lang w:val="sr-Latn-ME"/>
              </w:rPr>
              <w:t>(95% interval pouzdanosti)</w:t>
            </w:r>
          </w:p>
        </w:tc>
        <w:tc>
          <w:tcPr>
            <w:tcW w:w="785" w:type="pct"/>
            <w:vAlign w:val="center"/>
          </w:tcPr>
          <w:p w14:paraId="0A665D20" w14:textId="77777777" w:rsidR="00BE6DD8" w:rsidRPr="003445F5" w:rsidRDefault="00BE6DD8" w:rsidP="00DF0758">
            <w:pPr>
              <w:tabs>
                <w:tab w:val="clear" w:pos="284"/>
              </w:tabs>
              <w:ind w:right="-15"/>
              <w:jc w:val="center"/>
              <w:rPr>
                <w:b/>
                <w:bCs/>
                <w:szCs w:val="22"/>
                <w:lang w:val="sr-Latn-ME"/>
              </w:rPr>
            </w:pPr>
            <w:r w:rsidRPr="003445F5">
              <w:rPr>
                <w:b/>
                <w:bCs/>
                <w:szCs w:val="22"/>
                <w:lang w:val="sr-Latn-ME"/>
              </w:rPr>
              <w:t>adalimumab</w:t>
            </w:r>
          </w:p>
          <w:p w14:paraId="140F3CA4" w14:textId="77777777" w:rsidR="00BE6DD8" w:rsidRPr="003445F5" w:rsidRDefault="00BE6DD8" w:rsidP="00DF0758">
            <w:pPr>
              <w:tabs>
                <w:tab w:val="clear" w:pos="284"/>
              </w:tabs>
              <w:ind w:right="-15"/>
              <w:jc w:val="center"/>
              <w:rPr>
                <w:b/>
                <w:bCs/>
                <w:szCs w:val="22"/>
                <w:lang w:val="sr-Latn-ME"/>
              </w:rPr>
            </w:pPr>
            <w:r w:rsidRPr="003445F5">
              <w:rPr>
                <w:b/>
                <w:bCs/>
                <w:szCs w:val="22"/>
                <w:lang w:val="sr-Latn-ME"/>
              </w:rPr>
              <w:t xml:space="preserve">n=274 </w:t>
            </w:r>
          </w:p>
          <w:p w14:paraId="279612E8" w14:textId="77777777" w:rsidR="00BE6DD8" w:rsidRPr="003445F5" w:rsidRDefault="00BE6DD8" w:rsidP="00DF0758">
            <w:pPr>
              <w:tabs>
                <w:tab w:val="clear" w:pos="284"/>
              </w:tabs>
              <w:ind w:right="-15"/>
              <w:jc w:val="center"/>
              <w:rPr>
                <w:b/>
                <w:bCs/>
                <w:szCs w:val="22"/>
                <w:lang w:val="sr-Latn-ME"/>
              </w:rPr>
            </w:pPr>
            <w:r w:rsidRPr="003445F5">
              <w:rPr>
                <w:b/>
                <w:bCs/>
                <w:szCs w:val="22"/>
                <w:lang w:val="sr-Latn-ME"/>
              </w:rPr>
              <w:t>(95% interval pouzdanosti)</w:t>
            </w:r>
          </w:p>
        </w:tc>
        <w:tc>
          <w:tcPr>
            <w:tcW w:w="864" w:type="pct"/>
            <w:vAlign w:val="center"/>
          </w:tcPr>
          <w:p w14:paraId="43601204" w14:textId="3ACC13C4" w:rsidR="00BE6DD8" w:rsidRPr="003445F5" w:rsidRDefault="00BE6DD8" w:rsidP="00DF0758">
            <w:pPr>
              <w:tabs>
                <w:tab w:val="clear" w:pos="284"/>
              </w:tabs>
              <w:jc w:val="center"/>
              <w:rPr>
                <w:b/>
                <w:bCs/>
                <w:szCs w:val="22"/>
                <w:lang w:val="sr-Latn-ME"/>
              </w:rPr>
            </w:pPr>
            <w:r w:rsidRPr="003445F5">
              <w:rPr>
                <w:b/>
                <w:bCs/>
                <w:szCs w:val="22"/>
                <w:lang w:val="sr-Latn-ME"/>
              </w:rPr>
              <w:t>adalimumab/</w:t>
            </w:r>
            <w:r w:rsidR="00DF0758" w:rsidRPr="003445F5">
              <w:rPr>
                <w:b/>
                <w:bCs/>
                <w:szCs w:val="22"/>
                <w:lang w:val="sr-Latn-ME"/>
              </w:rPr>
              <w:t xml:space="preserve"> </w:t>
            </w:r>
            <w:r w:rsidRPr="003445F5">
              <w:rPr>
                <w:b/>
                <w:bCs/>
                <w:szCs w:val="22"/>
                <w:lang w:val="sr-Latn-ME"/>
              </w:rPr>
              <w:t>MTX</w:t>
            </w:r>
          </w:p>
          <w:p w14:paraId="57A00515" w14:textId="5A8661CC" w:rsidR="00BE6DD8" w:rsidRPr="003445F5" w:rsidRDefault="00BE6DD8" w:rsidP="00DF0758">
            <w:pPr>
              <w:tabs>
                <w:tab w:val="clear" w:pos="284"/>
              </w:tabs>
              <w:jc w:val="center"/>
              <w:rPr>
                <w:b/>
                <w:bCs/>
                <w:szCs w:val="22"/>
                <w:lang w:val="sr-Latn-ME"/>
              </w:rPr>
            </w:pPr>
            <w:r w:rsidRPr="003445F5">
              <w:rPr>
                <w:b/>
                <w:bCs/>
                <w:szCs w:val="22"/>
                <w:lang w:val="sr-Latn-ME"/>
              </w:rPr>
              <w:t>n=268</w:t>
            </w:r>
          </w:p>
          <w:p w14:paraId="30EFEA78" w14:textId="77777777" w:rsidR="00BE6DD8" w:rsidRPr="003445F5" w:rsidRDefault="00BE6DD8" w:rsidP="00DF0758">
            <w:pPr>
              <w:tabs>
                <w:tab w:val="clear" w:pos="284"/>
              </w:tabs>
              <w:jc w:val="center"/>
              <w:rPr>
                <w:b/>
                <w:bCs/>
                <w:szCs w:val="22"/>
                <w:lang w:val="sr-Latn-ME"/>
              </w:rPr>
            </w:pPr>
            <w:r w:rsidRPr="003445F5">
              <w:rPr>
                <w:b/>
                <w:bCs/>
                <w:szCs w:val="22"/>
                <w:lang w:val="sr-Latn-ME"/>
              </w:rPr>
              <w:t>(95% interval pouzdanosti)</w:t>
            </w:r>
          </w:p>
        </w:tc>
        <w:tc>
          <w:tcPr>
            <w:tcW w:w="629" w:type="pct"/>
            <w:vAlign w:val="center"/>
          </w:tcPr>
          <w:p w14:paraId="7F02D063" w14:textId="29449F18" w:rsidR="00BE6DD8" w:rsidRPr="003445F5" w:rsidRDefault="00BE6DD8" w:rsidP="00704956">
            <w:pPr>
              <w:jc w:val="center"/>
              <w:rPr>
                <w:b/>
                <w:bCs/>
                <w:szCs w:val="22"/>
                <w:lang w:val="sr-Latn-ME"/>
              </w:rPr>
            </w:pPr>
            <w:r w:rsidRPr="003445F5">
              <w:rPr>
                <w:b/>
                <w:bCs/>
                <w:szCs w:val="22"/>
                <w:lang w:val="sr-Latn-ME"/>
              </w:rPr>
              <w:t>p-vr</w:t>
            </w:r>
            <w:r w:rsidR="00DA25F2" w:rsidRPr="003445F5">
              <w:rPr>
                <w:b/>
                <w:bCs/>
                <w:szCs w:val="22"/>
                <w:lang w:val="sr-Latn-ME"/>
              </w:rPr>
              <w:t>ij</w:t>
            </w:r>
            <w:r w:rsidRPr="003445F5">
              <w:rPr>
                <w:b/>
                <w:bCs/>
                <w:szCs w:val="22"/>
                <w:lang w:val="sr-Latn-ME"/>
              </w:rPr>
              <w:t>ednost</w:t>
            </w:r>
            <w:r w:rsidRPr="003445F5">
              <w:rPr>
                <w:b/>
                <w:bCs/>
                <w:szCs w:val="22"/>
                <w:vertAlign w:val="superscript"/>
                <w:lang w:val="sr-Latn-ME"/>
              </w:rPr>
              <w:t>a</w:t>
            </w:r>
          </w:p>
        </w:tc>
        <w:tc>
          <w:tcPr>
            <w:tcW w:w="629" w:type="pct"/>
            <w:vAlign w:val="center"/>
          </w:tcPr>
          <w:p w14:paraId="2A015B28" w14:textId="0F43638B" w:rsidR="00BE6DD8" w:rsidRPr="003445F5" w:rsidRDefault="00BE6DD8" w:rsidP="00704956">
            <w:pPr>
              <w:jc w:val="center"/>
              <w:rPr>
                <w:b/>
                <w:bCs/>
                <w:szCs w:val="22"/>
                <w:lang w:val="sr-Latn-ME"/>
              </w:rPr>
            </w:pPr>
            <w:r w:rsidRPr="003445F5">
              <w:rPr>
                <w:b/>
                <w:bCs/>
                <w:szCs w:val="22"/>
                <w:lang w:val="sr-Latn-ME"/>
              </w:rPr>
              <w:t>p-vr</w:t>
            </w:r>
            <w:r w:rsidR="00DA25F2" w:rsidRPr="003445F5">
              <w:rPr>
                <w:b/>
                <w:bCs/>
                <w:szCs w:val="22"/>
                <w:lang w:val="sr-Latn-ME"/>
              </w:rPr>
              <w:t>ij</w:t>
            </w:r>
            <w:r w:rsidRPr="003445F5">
              <w:rPr>
                <w:b/>
                <w:bCs/>
                <w:szCs w:val="22"/>
                <w:lang w:val="sr-Latn-ME"/>
              </w:rPr>
              <w:t>ednost</w:t>
            </w:r>
            <w:r w:rsidRPr="003445F5">
              <w:rPr>
                <w:b/>
                <w:bCs/>
                <w:szCs w:val="22"/>
                <w:vertAlign w:val="superscript"/>
                <w:lang w:val="sr-Latn-ME"/>
              </w:rPr>
              <w:t>b</w:t>
            </w:r>
          </w:p>
        </w:tc>
        <w:tc>
          <w:tcPr>
            <w:tcW w:w="601" w:type="pct"/>
            <w:vAlign w:val="center"/>
          </w:tcPr>
          <w:p w14:paraId="1112C44F" w14:textId="3EE74A1B" w:rsidR="00BE6DD8" w:rsidRPr="003445F5" w:rsidRDefault="00BE6DD8" w:rsidP="00DF0758">
            <w:pPr>
              <w:tabs>
                <w:tab w:val="clear" w:pos="284"/>
              </w:tabs>
              <w:ind w:left="-88"/>
              <w:jc w:val="center"/>
              <w:rPr>
                <w:b/>
                <w:bCs/>
                <w:szCs w:val="22"/>
                <w:lang w:val="sr-Latn-ME"/>
              </w:rPr>
            </w:pPr>
            <w:r w:rsidRPr="003445F5">
              <w:rPr>
                <w:b/>
                <w:bCs/>
                <w:szCs w:val="22"/>
                <w:lang w:val="sr-Latn-ME"/>
              </w:rPr>
              <w:t>p-vr</w:t>
            </w:r>
            <w:r w:rsidR="00DA25F2" w:rsidRPr="003445F5">
              <w:rPr>
                <w:b/>
                <w:bCs/>
                <w:szCs w:val="22"/>
                <w:lang w:val="sr-Latn-ME"/>
              </w:rPr>
              <w:t>ij</w:t>
            </w:r>
            <w:r w:rsidRPr="003445F5">
              <w:rPr>
                <w:b/>
                <w:bCs/>
                <w:szCs w:val="22"/>
                <w:lang w:val="sr-Latn-ME"/>
              </w:rPr>
              <w:t>ednost</w:t>
            </w:r>
            <w:r w:rsidR="00DF0758" w:rsidRPr="003445F5">
              <w:rPr>
                <w:b/>
                <w:bCs/>
                <w:szCs w:val="22"/>
                <w:lang w:val="sr-Latn-ME"/>
              </w:rPr>
              <w:t xml:space="preserve"> </w:t>
            </w:r>
            <w:r w:rsidRPr="003445F5">
              <w:rPr>
                <w:b/>
                <w:bCs/>
                <w:szCs w:val="22"/>
                <w:vertAlign w:val="superscript"/>
                <w:lang w:val="sr-Latn-ME"/>
              </w:rPr>
              <w:t>c</w:t>
            </w:r>
          </w:p>
        </w:tc>
      </w:tr>
      <w:tr w:rsidR="008B3DBB" w:rsidRPr="003445F5" w14:paraId="4F3CE792" w14:textId="77777777" w:rsidTr="00DF0758">
        <w:trPr>
          <w:trHeight w:val="20"/>
        </w:trPr>
        <w:tc>
          <w:tcPr>
            <w:tcW w:w="705" w:type="pct"/>
            <w:vAlign w:val="center"/>
          </w:tcPr>
          <w:p w14:paraId="14A4C4A3" w14:textId="77777777" w:rsidR="00BE6DD8" w:rsidRPr="003445F5" w:rsidRDefault="00BE6DD8" w:rsidP="00704956">
            <w:pPr>
              <w:jc w:val="left"/>
              <w:rPr>
                <w:szCs w:val="22"/>
                <w:lang w:val="sr-Latn-ME"/>
              </w:rPr>
            </w:pPr>
            <w:r w:rsidRPr="003445F5">
              <w:rPr>
                <w:szCs w:val="22"/>
                <w:lang w:val="sr-Latn-ME"/>
              </w:rPr>
              <w:t xml:space="preserve">Ukupni </w:t>
            </w:r>
            <w:r w:rsidRPr="003445F5">
              <w:rPr>
                <w:i/>
                <w:iCs/>
                <w:szCs w:val="22"/>
                <w:lang w:val="sr-Latn-ME"/>
              </w:rPr>
              <w:t>Sharp</w:t>
            </w:r>
            <w:r w:rsidRPr="003445F5">
              <w:rPr>
                <w:szCs w:val="22"/>
                <w:lang w:val="sr-Latn-ME"/>
              </w:rPr>
              <w:t xml:space="preserve"> skor</w:t>
            </w:r>
          </w:p>
        </w:tc>
        <w:tc>
          <w:tcPr>
            <w:tcW w:w="786" w:type="pct"/>
            <w:vAlign w:val="center"/>
          </w:tcPr>
          <w:p w14:paraId="10185990" w14:textId="77777777" w:rsidR="00BE6DD8" w:rsidRPr="003445F5" w:rsidRDefault="00BE6DD8" w:rsidP="00704956">
            <w:pPr>
              <w:jc w:val="center"/>
              <w:rPr>
                <w:szCs w:val="22"/>
                <w:lang w:val="sr-Latn-ME"/>
              </w:rPr>
            </w:pPr>
            <w:r w:rsidRPr="003445F5">
              <w:rPr>
                <w:szCs w:val="22"/>
                <w:lang w:val="sr-Latn-ME"/>
              </w:rPr>
              <w:t>5,7 (4,2-7,3)</w:t>
            </w:r>
          </w:p>
        </w:tc>
        <w:tc>
          <w:tcPr>
            <w:tcW w:w="785" w:type="pct"/>
            <w:vAlign w:val="center"/>
          </w:tcPr>
          <w:p w14:paraId="1130B392" w14:textId="77777777" w:rsidR="00BE6DD8" w:rsidRPr="003445F5" w:rsidRDefault="00BE6DD8" w:rsidP="00DF0758">
            <w:pPr>
              <w:tabs>
                <w:tab w:val="clear" w:pos="284"/>
              </w:tabs>
              <w:ind w:right="-15"/>
              <w:jc w:val="center"/>
              <w:rPr>
                <w:szCs w:val="22"/>
                <w:lang w:val="sr-Latn-ME"/>
              </w:rPr>
            </w:pPr>
            <w:r w:rsidRPr="003445F5">
              <w:rPr>
                <w:szCs w:val="22"/>
                <w:lang w:val="sr-Latn-ME"/>
              </w:rPr>
              <w:t>3,0 (1,7-4,3)</w:t>
            </w:r>
          </w:p>
        </w:tc>
        <w:tc>
          <w:tcPr>
            <w:tcW w:w="864" w:type="pct"/>
            <w:vAlign w:val="center"/>
          </w:tcPr>
          <w:p w14:paraId="14659BBE" w14:textId="77777777" w:rsidR="00BE6DD8" w:rsidRPr="003445F5" w:rsidRDefault="00BE6DD8" w:rsidP="00DF0758">
            <w:pPr>
              <w:jc w:val="center"/>
              <w:rPr>
                <w:szCs w:val="22"/>
                <w:lang w:val="sr-Latn-ME"/>
              </w:rPr>
            </w:pPr>
            <w:r w:rsidRPr="003445F5">
              <w:rPr>
                <w:szCs w:val="22"/>
                <w:lang w:val="sr-Latn-ME"/>
              </w:rPr>
              <w:t>1,3 (0,5-2,1)</w:t>
            </w:r>
          </w:p>
        </w:tc>
        <w:tc>
          <w:tcPr>
            <w:tcW w:w="629" w:type="pct"/>
            <w:vAlign w:val="center"/>
          </w:tcPr>
          <w:p w14:paraId="1914883D" w14:textId="77777777" w:rsidR="00BE6DD8" w:rsidRPr="003445F5" w:rsidRDefault="00BE6DD8" w:rsidP="00704956">
            <w:pPr>
              <w:jc w:val="center"/>
              <w:rPr>
                <w:szCs w:val="22"/>
                <w:lang w:val="sr-Latn-ME"/>
              </w:rPr>
            </w:pPr>
            <w:r w:rsidRPr="003445F5">
              <w:rPr>
                <w:szCs w:val="22"/>
                <w:lang w:val="sr-Latn-ME"/>
              </w:rPr>
              <w:sym w:font="Symbol" w:char="F03C"/>
            </w:r>
            <w:r w:rsidRPr="003445F5">
              <w:rPr>
                <w:szCs w:val="22"/>
                <w:lang w:val="sr-Latn-ME"/>
              </w:rPr>
              <w:t xml:space="preserve"> 0,001</w:t>
            </w:r>
          </w:p>
        </w:tc>
        <w:tc>
          <w:tcPr>
            <w:tcW w:w="629" w:type="pct"/>
            <w:vAlign w:val="center"/>
          </w:tcPr>
          <w:p w14:paraId="43BB5930" w14:textId="77777777" w:rsidR="00BE6DD8" w:rsidRPr="003445F5" w:rsidRDefault="00BE6DD8" w:rsidP="00704956">
            <w:pPr>
              <w:jc w:val="center"/>
              <w:rPr>
                <w:szCs w:val="22"/>
                <w:lang w:val="sr-Latn-ME"/>
              </w:rPr>
            </w:pPr>
            <w:r w:rsidRPr="003445F5">
              <w:rPr>
                <w:szCs w:val="22"/>
                <w:lang w:val="sr-Latn-ME"/>
              </w:rPr>
              <w:t>0,0020</w:t>
            </w:r>
          </w:p>
        </w:tc>
        <w:tc>
          <w:tcPr>
            <w:tcW w:w="601" w:type="pct"/>
            <w:vAlign w:val="center"/>
          </w:tcPr>
          <w:p w14:paraId="055955CA" w14:textId="77777777" w:rsidR="00BE6DD8" w:rsidRPr="003445F5" w:rsidRDefault="00BE6DD8" w:rsidP="00704956">
            <w:pPr>
              <w:jc w:val="center"/>
              <w:rPr>
                <w:szCs w:val="22"/>
                <w:lang w:val="sr-Latn-ME"/>
              </w:rPr>
            </w:pPr>
            <w:r w:rsidRPr="003445F5">
              <w:rPr>
                <w:szCs w:val="22"/>
                <w:lang w:val="sr-Latn-ME"/>
              </w:rPr>
              <w:sym w:font="Symbol" w:char="F03C"/>
            </w:r>
            <w:r w:rsidRPr="003445F5">
              <w:rPr>
                <w:szCs w:val="22"/>
                <w:lang w:val="sr-Latn-ME"/>
              </w:rPr>
              <w:t xml:space="preserve"> 0,001</w:t>
            </w:r>
          </w:p>
        </w:tc>
      </w:tr>
      <w:tr w:rsidR="008B3DBB" w:rsidRPr="003445F5" w14:paraId="6705ACC9" w14:textId="77777777" w:rsidTr="00DF0758">
        <w:trPr>
          <w:trHeight w:val="20"/>
        </w:trPr>
        <w:tc>
          <w:tcPr>
            <w:tcW w:w="705" w:type="pct"/>
            <w:vAlign w:val="center"/>
          </w:tcPr>
          <w:p w14:paraId="6E8CA6ED" w14:textId="77777777" w:rsidR="00BE6DD8" w:rsidRPr="003445F5" w:rsidRDefault="00BE6DD8" w:rsidP="00704956">
            <w:pPr>
              <w:jc w:val="left"/>
              <w:rPr>
                <w:szCs w:val="22"/>
                <w:lang w:val="sr-Latn-ME"/>
              </w:rPr>
            </w:pPr>
            <w:r w:rsidRPr="003445F5">
              <w:rPr>
                <w:szCs w:val="22"/>
                <w:lang w:val="sr-Latn-ME"/>
              </w:rPr>
              <w:t>Skor erozija</w:t>
            </w:r>
          </w:p>
        </w:tc>
        <w:tc>
          <w:tcPr>
            <w:tcW w:w="786" w:type="pct"/>
            <w:vAlign w:val="center"/>
          </w:tcPr>
          <w:p w14:paraId="24ECB89A" w14:textId="77777777" w:rsidR="00BE6DD8" w:rsidRPr="003445F5" w:rsidRDefault="00BE6DD8" w:rsidP="00704956">
            <w:pPr>
              <w:jc w:val="center"/>
              <w:rPr>
                <w:szCs w:val="22"/>
                <w:lang w:val="sr-Latn-ME"/>
              </w:rPr>
            </w:pPr>
            <w:r w:rsidRPr="003445F5">
              <w:rPr>
                <w:szCs w:val="22"/>
                <w:lang w:val="sr-Latn-ME"/>
              </w:rPr>
              <w:t>3,7 (2,7-4,7)</w:t>
            </w:r>
          </w:p>
        </w:tc>
        <w:tc>
          <w:tcPr>
            <w:tcW w:w="785" w:type="pct"/>
            <w:vAlign w:val="center"/>
          </w:tcPr>
          <w:p w14:paraId="2872B201" w14:textId="77777777" w:rsidR="00BE6DD8" w:rsidRPr="003445F5" w:rsidRDefault="00BE6DD8" w:rsidP="00DF0758">
            <w:pPr>
              <w:tabs>
                <w:tab w:val="clear" w:pos="284"/>
              </w:tabs>
              <w:ind w:right="-15"/>
              <w:jc w:val="center"/>
              <w:rPr>
                <w:szCs w:val="22"/>
                <w:lang w:val="sr-Latn-ME"/>
              </w:rPr>
            </w:pPr>
            <w:r w:rsidRPr="003445F5">
              <w:rPr>
                <w:szCs w:val="22"/>
                <w:lang w:val="sr-Latn-ME"/>
              </w:rPr>
              <w:t>1,7 (1,0-2,4)</w:t>
            </w:r>
          </w:p>
        </w:tc>
        <w:tc>
          <w:tcPr>
            <w:tcW w:w="864" w:type="pct"/>
            <w:vAlign w:val="center"/>
          </w:tcPr>
          <w:p w14:paraId="5323A3D5" w14:textId="77777777" w:rsidR="00BE6DD8" w:rsidRPr="003445F5" w:rsidRDefault="00BE6DD8" w:rsidP="00DF0758">
            <w:pPr>
              <w:jc w:val="center"/>
              <w:rPr>
                <w:szCs w:val="22"/>
                <w:lang w:val="sr-Latn-ME"/>
              </w:rPr>
            </w:pPr>
            <w:r w:rsidRPr="003445F5">
              <w:rPr>
                <w:szCs w:val="22"/>
                <w:lang w:val="sr-Latn-ME"/>
              </w:rPr>
              <w:t>0,8 (0,4-1,2)</w:t>
            </w:r>
          </w:p>
        </w:tc>
        <w:tc>
          <w:tcPr>
            <w:tcW w:w="629" w:type="pct"/>
            <w:vAlign w:val="center"/>
          </w:tcPr>
          <w:p w14:paraId="1951098F" w14:textId="77777777" w:rsidR="00BE6DD8" w:rsidRPr="003445F5" w:rsidRDefault="00BE6DD8" w:rsidP="00704956">
            <w:pPr>
              <w:jc w:val="center"/>
              <w:rPr>
                <w:szCs w:val="22"/>
                <w:lang w:val="sr-Latn-ME"/>
              </w:rPr>
            </w:pPr>
            <w:r w:rsidRPr="003445F5">
              <w:rPr>
                <w:szCs w:val="22"/>
                <w:lang w:val="sr-Latn-ME"/>
              </w:rPr>
              <w:sym w:font="Symbol" w:char="F03C"/>
            </w:r>
            <w:r w:rsidRPr="003445F5">
              <w:rPr>
                <w:szCs w:val="22"/>
                <w:lang w:val="sr-Latn-ME"/>
              </w:rPr>
              <w:t xml:space="preserve"> 0,001</w:t>
            </w:r>
          </w:p>
        </w:tc>
        <w:tc>
          <w:tcPr>
            <w:tcW w:w="629" w:type="pct"/>
            <w:vAlign w:val="center"/>
          </w:tcPr>
          <w:p w14:paraId="54E86AFF" w14:textId="77777777" w:rsidR="00BE6DD8" w:rsidRPr="003445F5" w:rsidRDefault="00BE6DD8" w:rsidP="00704956">
            <w:pPr>
              <w:jc w:val="center"/>
              <w:rPr>
                <w:szCs w:val="22"/>
                <w:lang w:val="sr-Latn-ME"/>
              </w:rPr>
            </w:pPr>
            <w:r w:rsidRPr="003445F5">
              <w:rPr>
                <w:szCs w:val="22"/>
                <w:lang w:val="sr-Latn-ME"/>
              </w:rPr>
              <w:t>0,0082</w:t>
            </w:r>
          </w:p>
        </w:tc>
        <w:tc>
          <w:tcPr>
            <w:tcW w:w="601" w:type="pct"/>
            <w:vAlign w:val="center"/>
          </w:tcPr>
          <w:p w14:paraId="735D8D61" w14:textId="77777777" w:rsidR="00BE6DD8" w:rsidRPr="003445F5" w:rsidRDefault="00BE6DD8" w:rsidP="00704956">
            <w:pPr>
              <w:jc w:val="center"/>
              <w:rPr>
                <w:szCs w:val="22"/>
                <w:lang w:val="sr-Latn-ME"/>
              </w:rPr>
            </w:pPr>
            <w:r w:rsidRPr="003445F5">
              <w:rPr>
                <w:szCs w:val="22"/>
                <w:lang w:val="sr-Latn-ME"/>
              </w:rPr>
              <w:sym w:font="Symbol" w:char="F03C"/>
            </w:r>
            <w:r w:rsidRPr="003445F5">
              <w:rPr>
                <w:szCs w:val="22"/>
                <w:lang w:val="sr-Latn-ME"/>
              </w:rPr>
              <w:t xml:space="preserve"> 0,001</w:t>
            </w:r>
          </w:p>
        </w:tc>
      </w:tr>
      <w:tr w:rsidR="008B3DBB" w:rsidRPr="003445F5" w14:paraId="724253C3" w14:textId="77777777" w:rsidTr="00DF0758">
        <w:trPr>
          <w:trHeight w:val="20"/>
        </w:trPr>
        <w:tc>
          <w:tcPr>
            <w:tcW w:w="705" w:type="pct"/>
            <w:vAlign w:val="center"/>
          </w:tcPr>
          <w:p w14:paraId="5FC2803F" w14:textId="77777777" w:rsidR="00BE6DD8" w:rsidRPr="003445F5" w:rsidRDefault="00BE6DD8" w:rsidP="00704956">
            <w:pPr>
              <w:jc w:val="left"/>
              <w:rPr>
                <w:szCs w:val="22"/>
                <w:lang w:val="sr-Latn-ME"/>
              </w:rPr>
            </w:pPr>
            <w:r w:rsidRPr="003445F5">
              <w:rPr>
                <w:szCs w:val="22"/>
                <w:lang w:val="sr-Latn-ME"/>
              </w:rPr>
              <w:t>JSN skor</w:t>
            </w:r>
          </w:p>
        </w:tc>
        <w:tc>
          <w:tcPr>
            <w:tcW w:w="786" w:type="pct"/>
            <w:vAlign w:val="center"/>
          </w:tcPr>
          <w:p w14:paraId="43BED9F0" w14:textId="77777777" w:rsidR="00BE6DD8" w:rsidRPr="003445F5" w:rsidRDefault="00BE6DD8" w:rsidP="00704956">
            <w:pPr>
              <w:jc w:val="center"/>
              <w:rPr>
                <w:szCs w:val="22"/>
                <w:lang w:val="sr-Latn-ME"/>
              </w:rPr>
            </w:pPr>
            <w:r w:rsidRPr="003445F5">
              <w:rPr>
                <w:szCs w:val="22"/>
                <w:lang w:val="sr-Latn-ME"/>
              </w:rPr>
              <w:t>2,0 (1,2-2,8)</w:t>
            </w:r>
          </w:p>
        </w:tc>
        <w:tc>
          <w:tcPr>
            <w:tcW w:w="785" w:type="pct"/>
            <w:vAlign w:val="center"/>
          </w:tcPr>
          <w:p w14:paraId="0BBB98FE" w14:textId="77777777" w:rsidR="00BE6DD8" w:rsidRPr="003445F5" w:rsidRDefault="00BE6DD8" w:rsidP="00DF0758">
            <w:pPr>
              <w:tabs>
                <w:tab w:val="clear" w:pos="284"/>
              </w:tabs>
              <w:ind w:right="-15"/>
              <w:jc w:val="center"/>
              <w:rPr>
                <w:szCs w:val="22"/>
                <w:lang w:val="sr-Latn-ME"/>
              </w:rPr>
            </w:pPr>
            <w:r w:rsidRPr="003445F5">
              <w:rPr>
                <w:szCs w:val="22"/>
                <w:lang w:val="sr-Latn-ME"/>
              </w:rPr>
              <w:t>1,3 (0,5-2,1)</w:t>
            </w:r>
          </w:p>
        </w:tc>
        <w:tc>
          <w:tcPr>
            <w:tcW w:w="864" w:type="pct"/>
            <w:vAlign w:val="center"/>
          </w:tcPr>
          <w:p w14:paraId="36E902B8" w14:textId="77777777" w:rsidR="00BE6DD8" w:rsidRPr="003445F5" w:rsidRDefault="00BE6DD8" w:rsidP="00DF0758">
            <w:pPr>
              <w:jc w:val="center"/>
              <w:rPr>
                <w:szCs w:val="22"/>
                <w:lang w:val="sr-Latn-ME"/>
              </w:rPr>
            </w:pPr>
            <w:r w:rsidRPr="003445F5">
              <w:rPr>
                <w:szCs w:val="22"/>
                <w:lang w:val="sr-Latn-ME"/>
              </w:rPr>
              <w:t>0,5 (0-1,0)</w:t>
            </w:r>
          </w:p>
        </w:tc>
        <w:tc>
          <w:tcPr>
            <w:tcW w:w="629" w:type="pct"/>
            <w:vAlign w:val="center"/>
          </w:tcPr>
          <w:p w14:paraId="241A1A66" w14:textId="77777777" w:rsidR="00BE6DD8" w:rsidRPr="003445F5" w:rsidRDefault="00BE6DD8" w:rsidP="00704956">
            <w:pPr>
              <w:jc w:val="center"/>
              <w:rPr>
                <w:szCs w:val="22"/>
                <w:lang w:val="sr-Latn-ME"/>
              </w:rPr>
            </w:pPr>
            <w:r w:rsidRPr="003445F5">
              <w:rPr>
                <w:szCs w:val="22"/>
                <w:lang w:val="sr-Latn-ME"/>
              </w:rPr>
              <w:sym w:font="Symbol" w:char="F03C"/>
            </w:r>
            <w:r w:rsidRPr="003445F5">
              <w:rPr>
                <w:szCs w:val="22"/>
                <w:lang w:val="sr-Latn-ME"/>
              </w:rPr>
              <w:t xml:space="preserve"> 0,001</w:t>
            </w:r>
          </w:p>
        </w:tc>
        <w:tc>
          <w:tcPr>
            <w:tcW w:w="629" w:type="pct"/>
            <w:vAlign w:val="center"/>
          </w:tcPr>
          <w:p w14:paraId="18736E75" w14:textId="77777777" w:rsidR="00BE6DD8" w:rsidRPr="003445F5" w:rsidRDefault="00BE6DD8" w:rsidP="00704956">
            <w:pPr>
              <w:jc w:val="center"/>
              <w:rPr>
                <w:szCs w:val="22"/>
                <w:lang w:val="sr-Latn-ME"/>
              </w:rPr>
            </w:pPr>
            <w:r w:rsidRPr="003445F5">
              <w:rPr>
                <w:szCs w:val="22"/>
                <w:lang w:val="sr-Latn-ME"/>
              </w:rPr>
              <w:t>0,0037</w:t>
            </w:r>
          </w:p>
        </w:tc>
        <w:tc>
          <w:tcPr>
            <w:tcW w:w="601" w:type="pct"/>
            <w:vAlign w:val="center"/>
          </w:tcPr>
          <w:p w14:paraId="1F614936" w14:textId="77777777" w:rsidR="00BE6DD8" w:rsidRPr="003445F5" w:rsidRDefault="00BE6DD8" w:rsidP="00704956">
            <w:pPr>
              <w:jc w:val="center"/>
              <w:rPr>
                <w:szCs w:val="22"/>
                <w:lang w:val="sr-Latn-ME"/>
              </w:rPr>
            </w:pPr>
            <w:r w:rsidRPr="003445F5">
              <w:rPr>
                <w:szCs w:val="22"/>
                <w:lang w:val="sr-Latn-ME"/>
              </w:rPr>
              <w:t>0,151</w:t>
            </w:r>
          </w:p>
        </w:tc>
      </w:tr>
    </w:tbl>
    <w:p w14:paraId="154D7922" w14:textId="77777777" w:rsidR="005E1C8E" w:rsidRPr="003445F5" w:rsidRDefault="005E1C8E" w:rsidP="005E1C8E">
      <w:pPr>
        <w:rPr>
          <w:szCs w:val="22"/>
          <w:lang w:val="sr-Latn-ME"/>
        </w:rPr>
      </w:pPr>
      <w:r w:rsidRPr="003445F5">
        <w:rPr>
          <w:szCs w:val="22"/>
          <w:vertAlign w:val="superscript"/>
          <w:lang w:val="sr-Latn-ME"/>
        </w:rPr>
        <w:t>a</w:t>
      </w:r>
      <w:r w:rsidRPr="003445F5">
        <w:rPr>
          <w:szCs w:val="22"/>
          <w:lang w:val="sr-Latn-ME"/>
        </w:rPr>
        <w:t xml:space="preserve"> p-vrijednost je iz uporednog poređenja monoterapije metotreksatom i kombinovane terapije adalimumab/metotreksat korišćenjem </w:t>
      </w:r>
      <w:r w:rsidRPr="003445F5">
        <w:rPr>
          <w:i/>
          <w:iCs/>
          <w:szCs w:val="22"/>
          <w:lang w:val="sr-Latn-ME"/>
        </w:rPr>
        <w:t>Mann-Whitney</w:t>
      </w:r>
      <w:r w:rsidRPr="003445F5">
        <w:rPr>
          <w:szCs w:val="22"/>
          <w:lang w:val="sr-Latn-ME"/>
        </w:rPr>
        <w:t xml:space="preserve"> U testa. </w:t>
      </w:r>
    </w:p>
    <w:p w14:paraId="582CC193" w14:textId="77777777" w:rsidR="005E1C8E" w:rsidRPr="003445F5" w:rsidRDefault="005E1C8E" w:rsidP="005E1C8E">
      <w:pPr>
        <w:rPr>
          <w:szCs w:val="22"/>
          <w:lang w:val="sr-Latn-ME"/>
        </w:rPr>
      </w:pPr>
      <w:r w:rsidRPr="003445F5">
        <w:rPr>
          <w:szCs w:val="22"/>
          <w:vertAlign w:val="superscript"/>
          <w:lang w:val="sr-Latn-ME"/>
        </w:rPr>
        <w:t>b</w:t>
      </w:r>
      <w:r w:rsidRPr="003445F5">
        <w:rPr>
          <w:szCs w:val="22"/>
          <w:lang w:val="sr-Latn-ME"/>
        </w:rPr>
        <w:t xml:space="preserve"> p-vrijednost je iz uporednog poređenja monoterapije adalimumabom i kombinovane terapije adalimumab/metotreksat korišćenjem </w:t>
      </w:r>
      <w:r w:rsidRPr="003445F5">
        <w:rPr>
          <w:i/>
          <w:iCs/>
          <w:szCs w:val="22"/>
          <w:lang w:val="sr-Latn-ME"/>
        </w:rPr>
        <w:t>Mann-Whitney</w:t>
      </w:r>
      <w:r w:rsidRPr="003445F5">
        <w:rPr>
          <w:szCs w:val="22"/>
          <w:lang w:val="sr-Latn-ME"/>
        </w:rPr>
        <w:t xml:space="preserve"> U testa. </w:t>
      </w:r>
    </w:p>
    <w:p w14:paraId="480B1565" w14:textId="77777777" w:rsidR="005E1C8E" w:rsidRPr="003445F5" w:rsidRDefault="005E1C8E" w:rsidP="005E1C8E">
      <w:pPr>
        <w:rPr>
          <w:szCs w:val="22"/>
          <w:lang w:val="sr-Latn-ME"/>
        </w:rPr>
      </w:pPr>
      <w:r w:rsidRPr="003445F5">
        <w:rPr>
          <w:szCs w:val="22"/>
          <w:vertAlign w:val="superscript"/>
          <w:lang w:val="sr-Latn-ME"/>
        </w:rPr>
        <w:t>c</w:t>
      </w:r>
      <w:r w:rsidRPr="003445F5">
        <w:rPr>
          <w:szCs w:val="22"/>
          <w:lang w:val="sr-Latn-ME"/>
        </w:rPr>
        <w:t xml:space="preserve"> p-vrijednost je iz uporednog poređenja adalimumab monoterapije i metotreksat monoterapije korišćenjem </w:t>
      </w:r>
      <w:r w:rsidRPr="003445F5">
        <w:rPr>
          <w:i/>
          <w:iCs/>
          <w:szCs w:val="22"/>
          <w:lang w:val="sr-Latn-ME"/>
        </w:rPr>
        <w:t>Mann-Whitney</w:t>
      </w:r>
      <w:r w:rsidRPr="003445F5">
        <w:rPr>
          <w:szCs w:val="22"/>
          <w:lang w:val="sr-Latn-ME"/>
        </w:rPr>
        <w:t xml:space="preserve"> U testa.</w:t>
      </w:r>
    </w:p>
    <w:p w14:paraId="20ECE3C3" w14:textId="77777777" w:rsidR="0005341F" w:rsidRPr="003445F5" w:rsidRDefault="0005341F" w:rsidP="0005341F">
      <w:pPr>
        <w:rPr>
          <w:szCs w:val="22"/>
          <w:lang w:val="sr-Latn-ME"/>
        </w:rPr>
      </w:pPr>
    </w:p>
    <w:p w14:paraId="0DEA53CD" w14:textId="4A5110BD" w:rsidR="00426C79" w:rsidRPr="003445F5" w:rsidRDefault="00426C79" w:rsidP="00426C79">
      <w:pPr>
        <w:rPr>
          <w:szCs w:val="22"/>
          <w:lang w:val="sr-Latn-ME"/>
        </w:rPr>
      </w:pPr>
      <w:r w:rsidRPr="003445F5">
        <w:rPr>
          <w:szCs w:val="22"/>
          <w:lang w:val="sr-Latn-ME"/>
        </w:rPr>
        <w:t xml:space="preserve">Nakon 52 </w:t>
      </w:r>
      <w:r w:rsidR="00551F1D" w:rsidRPr="003445F5">
        <w:rPr>
          <w:szCs w:val="22"/>
          <w:lang w:val="sr-Latn-ME"/>
        </w:rPr>
        <w:t>nedjelj</w:t>
      </w:r>
      <w:r w:rsidR="0047711E" w:rsidRPr="003445F5">
        <w:rPr>
          <w:szCs w:val="22"/>
          <w:lang w:val="sr-Latn-ME"/>
        </w:rPr>
        <w:t>e</w:t>
      </w:r>
      <w:r w:rsidRPr="003445F5">
        <w:rPr>
          <w:szCs w:val="22"/>
          <w:lang w:val="sr-Latn-ME"/>
        </w:rPr>
        <w:t xml:space="preserve"> i 104 </w:t>
      </w:r>
      <w:r w:rsidR="00551F1D" w:rsidRPr="003445F5">
        <w:rPr>
          <w:szCs w:val="22"/>
          <w:lang w:val="sr-Latn-ME"/>
        </w:rPr>
        <w:t>nedjelj</w:t>
      </w:r>
      <w:r w:rsidR="0047711E" w:rsidRPr="003445F5">
        <w:rPr>
          <w:szCs w:val="22"/>
          <w:lang w:val="sr-Latn-ME"/>
        </w:rPr>
        <w:t>e</w:t>
      </w:r>
      <w:r w:rsidRPr="003445F5">
        <w:rPr>
          <w:szCs w:val="22"/>
          <w:lang w:val="sr-Latn-ME"/>
        </w:rPr>
        <w:t xml:space="preserve"> terapije, procenat pacijenata bez progresije (promjena od početne vrijednosti u modifikovanom ukupnom </w:t>
      </w:r>
      <w:r w:rsidRPr="003445F5">
        <w:rPr>
          <w:i/>
          <w:iCs/>
          <w:szCs w:val="22"/>
          <w:lang w:val="sr-Latn-ME"/>
        </w:rPr>
        <w:t>Sharp</w:t>
      </w:r>
      <w:r w:rsidRPr="003445F5">
        <w:rPr>
          <w:szCs w:val="22"/>
          <w:lang w:val="sr-Latn-ME"/>
        </w:rPr>
        <w:t xml:space="preserve"> skoru ≤ 0,5) je bio značajno veći sa kombinovanom terapijom adalimumab/metotreksat (63,8% odnosno 61,2%) u poređenju sa monoterapijom metotreksatom (37,4% odnosno 33,5%, p </w:t>
      </w:r>
      <w:r w:rsidRPr="003445F5">
        <w:rPr>
          <w:szCs w:val="22"/>
          <w:lang w:val="sr-Latn-ME"/>
        </w:rPr>
        <w:sym w:font="Symbol" w:char="F03C"/>
      </w:r>
      <w:r w:rsidRPr="003445F5">
        <w:rPr>
          <w:szCs w:val="22"/>
          <w:lang w:val="sr-Latn-ME"/>
        </w:rPr>
        <w:t xml:space="preserve"> 0,001) i monoterapijom adalimumabom (50,7%, p </w:t>
      </w:r>
      <w:r w:rsidRPr="003445F5">
        <w:rPr>
          <w:szCs w:val="22"/>
          <w:lang w:val="sr-Latn-ME"/>
        </w:rPr>
        <w:sym w:font="Symbol" w:char="F03C"/>
      </w:r>
      <w:r w:rsidRPr="003445F5">
        <w:rPr>
          <w:szCs w:val="22"/>
          <w:lang w:val="sr-Latn-ME"/>
        </w:rPr>
        <w:t xml:space="preserve"> 0,002 odnosno 44,5%, p </w:t>
      </w:r>
      <w:r w:rsidRPr="003445F5">
        <w:rPr>
          <w:szCs w:val="22"/>
          <w:lang w:val="sr-Latn-ME"/>
        </w:rPr>
        <w:sym w:font="Symbol" w:char="F03C"/>
      </w:r>
      <w:r w:rsidRPr="003445F5">
        <w:rPr>
          <w:szCs w:val="22"/>
          <w:lang w:val="sr-Latn-ME"/>
        </w:rPr>
        <w:t xml:space="preserve"> 0,001). </w:t>
      </w:r>
    </w:p>
    <w:p w14:paraId="4D1EEA07" w14:textId="77777777" w:rsidR="0005341F" w:rsidRPr="003445F5" w:rsidRDefault="0005341F" w:rsidP="0005341F">
      <w:pPr>
        <w:rPr>
          <w:szCs w:val="22"/>
          <w:lang w:val="sr-Latn-ME"/>
        </w:rPr>
      </w:pPr>
    </w:p>
    <w:p w14:paraId="5C70FD3D" w14:textId="77777777" w:rsidR="008D4FAA" w:rsidRPr="003445F5" w:rsidRDefault="008D4FAA" w:rsidP="008D4FAA">
      <w:pPr>
        <w:rPr>
          <w:szCs w:val="22"/>
          <w:lang w:val="sr-Latn-ME"/>
        </w:rPr>
      </w:pPr>
      <w:r w:rsidRPr="003445F5">
        <w:rPr>
          <w:szCs w:val="22"/>
          <w:lang w:val="sr-Latn-ME"/>
        </w:rPr>
        <w:t xml:space="preserve">U otvorenom produžetku RA studije V, srednja vrijednost promjene ukupnog zbira bodova prema modifikovanoj </w:t>
      </w:r>
      <w:r w:rsidRPr="003445F5">
        <w:rPr>
          <w:i/>
          <w:iCs/>
          <w:szCs w:val="22"/>
          <w:lang w:val="sr-Latn-ME"/>
        </w:rPr>
        <w:t>Sharp</w:t>
      </w:r>
      <w:r w:rsidRPr="003445F5">
        <w:rPr>
          <w:szCs w:val="22"/>
          <w:lang w:val="sr-Latn-ME"/>
        </w:rPr>
        <w:t>-ovoj skali od početka ispitivanja do godine 10 iznosila je 10,8 kod pacijenata inicijalno randomizovanih za monoterapiju metotreksatom, 9,2 kod pacijenata inicijalno randomizovanih za monoterapiju adalimumabom i 3,9 kod pacijenata inicijalno randomizovanih za liječenje kombinacijom adalimumaba i metotreksata. Odgovarajući udio pacijenata bez radiološke progresije iznosio je 31,3%, 23,7% odnosno 36,7%.</w:t>
      </w:r>
    </w:p>
    <w:p w14:paraId="76E0776C" w14:textId="77777777" w:rsidR="0005341F" w:rsidRPr="003445F5" w:rsidRDefault="0005341F" w:rsidP="0005341F">
      <w:pPr>
        <w:rPr>
          <w:szCs w:val="22"/>
          <w:lang w:val="sr-Latn-ME"/>
        </w:rPr>
      </w:pPr>
    </w:p>
    <w:p w14:paraId="1C5270BC" w14:textId="77777777" w:rsidR="0005341F" w:rsidRPr="003445F5" w:rsidRDefault="0005341F" w:rsidP="0005341F">
      <w:pPr>
        <w:rPr>
          <w:i/>
          <w:iCs/>
          <w:szCs w:val="22"/>
          <w:u w:val="single"/>
          <w:lang w:val="sr-Latn-ME"/>
        </w:rPr>
      </w:pPr>
      <w:r w:rsidRPr="003445F5">
        <w:rPr>
          <w:i/>
          <w:iCs/>
          <w:szCs w:val="22"/>
          <w:u w:val="single"/>
          <w:lang w:val="sr-Latn-ME"/>
        </w:rPr>
        <w:t xml:space="preserve">Kvalitet života i fizička funkcija </w:t>
      </w:r>
    </w:p>
    <w:p w14:paraId="592AC0DF" w14:textId="14A2AB8F" w:rsidR="00E24C60" w:rsidRPr="003445F5" w:rsidRDefault="00E24C60" w:rsidP="00E24C60">
      <w:pPr>
        <w:rPr>
          <w:szCs w:val="22"/>
          <w:lang w:val="sr-Latn-ME"/>
        </w:rPr>
      </w:pPr>
      <w:r w:rsidRPr="003445F5">
        <w:rPr>
          <w:szCs w:val="22"/>
          <w:lang w:val="sr-Latn-ME"/>
        </w:rPr>
        <w:t xml:space="preserve">Kvalitet života povezan sa zdravljem i fizička funkcija su procjenjeni upotrebom indeksa onesposobljenosti iz Upitnika procjene zdravlja (engl. </w:t>
      </w:r>
      <w:r w:rsidRPr="003445F5">
        <w:rPr>
          <w:i/>
          <w:iCs/>
          <w:szCs w:val="22"/>
          <w:lang w:val="sr-Latn-ME"/>
        </w:rPr>
        <w:t>Health Assessment Questionnaire</w:t>
      </w:r>
      <w:r w:rsidRPr="003445F5">
        <w:rPr>
          <w:szCs w:val="22"/>
          <w:lang w:val="sr-Latn-ME"/>
        </w:rPr>
        <w:t xml:space="preserve">-HAQ) u četiri originalna, adekvatna i dobro kontrolisana ispitivanja, koja su imala prethodno određen parametar praćenja u 52. </w:t>
      </w:r>
      <w:r w:rsidR="00551F1D" w:rsidRPr="003445F5">
        <w:rPr>
          <w:szCs w:val="22"/>
          <w:lang w:val="sr-Latn-ME"/>
        </w:rPr>
        <w:t>nedjelj</w:t>
      </w:r>
      <w:r w:rsidR="00704AF5" w:rsidRPr="003445F5">
        <w:rPr>
          <w:szCs w:val="22"/>
          <w:lang w:val="sr-Latn-ME"/>
        </w:rPr>
        <w:t>i</w:t>
      </w:r>
      <w:r w:rsidRPr="003445F5">
        <w:rPr>
          <w:szCs w:val="22"/>
          <w:lang w:val="sr-Latn-ME"/>
        </w:rPr>
        <w:t xml:space="preserve"> u RA studiji III. Sve doze/režimi doziranja adalimumaba u sve četiri studije pokazuju statistički značajno veće poboljšanje indeksa onesposobljenosti iz HAQ od početka do mjeseca 6 u poređenju sa placebom, a i u RA studiji III je isto primjećeno u 52. </w:t>
      </w:r>
      <w:r w:rsidR="00551F1D" w:rsidRPr="003445F5">
        <w:rPr>
          <w:szCs w:val="22"/>
          <w:lang w:val="sr-Latn-ME"/>
        </w:rPr>
        <w:t>nedjelj</w:t>
      </w:r>
      <w:r w:rsidR="00704AF5" w:rsidRPr="003445F5">
        <w:rPr>
          <w:szCs w:val="22"/>
          <w:lang w:val="sr-Latn-ME"/>
        </w:rPr>
        <w:t>i</w:t>
      </w:r>
      <w:r w:rsidRPr="003445F5">
        <w:rPr>
          <w:szCs w:val="22"/>
          <w:lang w:val="sr-Latn-ME"/>
        </w:rPr>
        <w:t xml:space="preserve">. Rezultati Kratke ankete zdravlja (engl. </w:t>
      </w:r>
      <w:r w:rsidRPr="003445F5">
        <w:rPr>
          <w:i/>
          <w:iCs/>
          <w:szCs w:val="22"/>
          <w:lang w:val="sr-Latn-ME"/>
        </w:rPr>
        <w:t>Short Form Health Survey</w:t>
      </w:r>
      <w:r w:rsidRPr="003445F5">
        <w:rPr>
          <w:szCs w:val="22"/>
          <w:lang w:val="sr-Latn-ME"/>
        </w:rPr>
        <w:t xml:space="preserve">-SF 36) za sve doze/režime doziranja adalimumaba u sve četiri studije podržavaju ove nalaze, sa statistički značajnim skorovima rezimea fizičkih komponenti (engl. </w:t>
      </w:r>
      <w:r w:rsidRPr="003445F5">
        <w:rPr>
          <w:i/>
          <w:iCs/>
          <w:szCs w:val="22"/>
          <w:lang w:val="sr-Latn-ME"/>
        </w:rPr>
        <w:t>Physical Component Summary</w:t>
      </w:r>
      <w:r w:rsidRPr="003445F5">
        <w:rPr>
          <w:szCs w:val="22"/>
          <w:lang w:val="sr-Latn-ME"/>
        </w:rPr>
        <w:t xml:space="preserve">-PCS), kao i statistički značajnim skorovima bola i vitalnosti za dozu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Statistički značajno smanjenje malaksalosti mjereno funkcionalnom procjenom skorova terapije hroničnih bolesti (engl. </w:t>
      </w:r>
      <w:r w:rsidRPr="003445F5">
        <w:rPr>
          <w:i/>
          <w:iCs/>
          <w:szCs w:val="22"/>
          <w:lang w:val="sr-Latn-ME"/>
        </w:rPr>
        <w:t xml:space="preserve">Functional Assessment of Crohnic </w:t>
      </w:r>
      <w:r w:rsidRPr="003445F5">
        <w:rPr>
          <w:i/>
          <w:iCs/>
          <w:szCs w:val="22"/>
          <w:lang w:val="sr-Latn-ME"/>
        </w:rPr>
        <w:lastRenderedPageBreak/>
        <w:t>Illness Therapy</w:t>
      </w:r>
      <w:r w:rsidRPr="003445F5">
        <w:rPr>
          <w:szCs w:val="22"/>
          <w:lang w:val="sr-Latn-ME"/>
        </w:rPr>
        <w:t xml:space="preserve">-FACIT) primjećeno je u sve tri studije u kojima je i procjenjivano (RA studije I, III, IV). </w:t>
      </w:r>
    </w:p>
    <w:p w14:paraId="33CC6D80" w14:textId="77777777" w:rsidR="0005341F" w:rsidRPr="003445F5" w:rsidRDefault="0005341F" w:rsidP="0005341F">
      <w:pPr>
        <w:rPr>
          <w:szCs w:val="22"/>
          <w:lang w:val="sr-Latn-ME"/>
        </w:rPr>
      </w:pPr>
    </w:p>
    <w:p w14:paraId="517B0843" w14:textId="6B79C393" w:rsidR="00CF6264" w:rsidRPr="003445F5" w:rsidRDefault="00CF6264" w:rsidP="00CF6264">
      <w:pPr>
        <w:rPr>
          <w:szCs w:val="22"/>
          <w:lang w:val="sr-Latn-ME"/>
        </w:rPr>
      </w:pPr>
      <w:r w:rsidRPr="003445F5">
        <w:rPr>
          <w:szCs w:val="22"/>
          <w:lang w:val="sr-Latn-ME"/>
        </w:rPr>
        <w:t xml:space="preserve">U RA studiji III kod većine pacijenata kod kojih je postignuto poboljšanje fizičke funkcije i koji su nastavili liječenje, poboljšanje se zadržalo do </w:t>
      </w:r>
      <w:r w:rsidR="00551F1D" w:rsidRPr="003445F5">
        <w:rPr>
          <w:szCs w:val="22"/>
          <w:lang w:val="sr-Latn-ME"/>
        </w:rPr>
        <w:t>nedjelj</w:t>
      </w:r>
      <w:r w:rsidR="0047711E" w:rsidRPr="003445F5">
        <w:rPr>
          <w:szCs w:val="22"/>
          <w:lang w:val="sr-Latn-ME"/>
        </w:rPr>
        <w:t>e</w:t>
      </w:r>
      <w:r w:rsidRPr="003445F5">
        <w:rPr>
          <w:szCs w:val="22"/>
          <w:lang w:val="sr-Latn-ME"/>
        </w:rPr>
        <w:t xml:space="preserve"> 520 (120 mjeseci) otvorenog liječenja. Poboljšanje kvaliteta života je mjereno do </w:t>
      </w:r>
      <w:r w:rsidR="00551F1D" w:rsidRPr="003445F5">
        <w:rPr>
          <w:szCs w:val="22"/>
          <w:lang w:val="sr-Latn-ME"/>
        </w:rPr>
        <w:t>nedjelj</w:t>
      </w:r>
      <w:r w:rsidR="0047711E" w:rsidRPr="003445F5">
        <w:rPr>
          <w:szCs w:val="22"/>
          <w:lang w:val="sr-Latn-ME"/>
        </w:rPr>
        <w:t>e</w:t>
      </w:r>
      <w:r w:rsidRPr="003445F5">
        <w:rPr>
          <w:szCs w:val="22"/>
          <w:lang w:val="sr-Latn-ME"/>
        </w:rPr>
        <w:t xml:space="preserve"> 156 (36 mjeseci) i poboljšanje je održavano do tog vremena. </w:t>
      </w:r>
    </w:p>
    <w:p w14:paraId="77F8D325" w14:textId="77777777" w:rsidR="00CF6264" w:rsidRPr="003445F5" w:rsidRDefault="00CF6264" w:rsidP="00CF6264">
      <w:pPr>
        <w:rPr>
          <w:szCs w:val="22"/>
          <w:lang w:val="sr-Latn-ME"/>
        </w:rPr>
      </w:pPr>
    </w:p>
    <w:p w14:paraId="1FC9265C" w14:textId="6AAD1DC4" w:rsidR="00CF6264" w:rsidRPr="003445F5" w:rsidRDefault="00CF6264" w:rsidP="00CF6264">
      <w:pPr>
        <w:rPr>
          <w:szCs w:val="22"/>
          <w:lang w:val="sr-Latn-ME"/>
        </w:rPr>
      </w:pPr>
      <w:r w:rsidRPr="003445F5">
        <w:rPr>
          <w:szCs w:val="22"/>
          <w:lang w:val="sr-Latn-ME"/>
        </w:rPr>
        <w:t xml:space="preserve">U RA studiji V, poboljšanje HAQ indeksa onesposobljenosti i fizičkih komponenti SF 36 pokazalo je značajno poboljšanje (p </w:t>
      </w:r>
      <w:r w:rsidRPr="003445F5">
        <w:rPr>
          <w:szCs w:val="22"/>
          <w:lang w:val="sr-Latn-ME"/>
        </w:rPr>
        <w:sym w:font="Symbol" w:char="F03C"/>
      </w:r>
      <w:r w:rsidRPr="003445F5">
        <w:rPr>
          <w:szCs w:val="22"/>
          <w:lang w:val="sr-Latn-ME"/>
        </w:rPr>
        <w:t xml:space="preserve"> 0,001) u kombinovanoj terapiji adalimumab/metotreksat naspram monoterapije metotreksatom i monoterapije adalimumabom nakon 52 </w:t>
      </w:r>
      <w:r w:rsidR="00551F1D" w:rsidRPr="003445F5">
        <w:rPr>
          <w:szCs w:val="22"/>
          <w:lang w:val="sr-Latn-ME"/>
        </w:rPr>
        <w:t>nedjelj</w:t>
      </w:r>
      <w:r w:rsidR="0047711E" w:rsidRPr="003445F5">
        <w:rPr>
          <w:szCs w:val="22"/>
          <w:lang w:val="sr-Latn-ME"/>
        </w:rPr>
        <w:t>e</w:t>
      </w:r>
      <w:r w:rsidRPr="003445F5">
        <w:rPr>
          <w:szCs w:val="22"/>
          <w:lang w:val="sr-Latn-ME"/>
        </w:rPr>
        <w:t xml:space="preserve">, što se održalo do kraja 104. </w:t>
      </w:r>
      <w:r w:rsidR="00551F1D" w:rsidRPr="003445F5">
        <w:rPr>
          <w:szCs w:val="22"/>
          <w:lang w:val="sr-Latn-ME"/>
        </w:rPr>
        <w:t>nedjelj</w:t>
      </w:r>
      <w:r w:rsidR="0047711E" w:rsidRPr="003445F5">
        <w:rPr>
          <w:szCs w:val="22"/>
          <w:lang w:val="sr-Latn-ME"/>
        </w:rPr>
        <w:t>e</w:t>
      </w:r>
      <w:r w:rsidRPr="003445F5">
        <w:rPr>
          <w:szCs w:val="22"/>
          <w:lang w:val="sr-Latn-ME"/>
        </w:rPr>
        <w:t>. Među 250 ispitanika koji su dovršili otvoreni produžetak ispitivanja, poboljšanja fizičke funkcije su se održala tokom 10 godina liječenja.</w:t>
      </w:r>
    </w:p>
    <w:p w14:paraId="02D14AE7" w14:textId="77777777" w:rsidR="00CF6264" w:rsidRPr="003445F5" w:rsidRDefault="00CF6264" w:rsidP="00CF6264">
      <w:pPr>
        <w:rPr>
          <w:szCs w:val="22"/>
          <w:lang w:val="sr-Latn-ME"/>
        </w:rPr>
      </w:pPr>
    </w:p>
    <w:p w14:paraId="32332B3A" w14:textId="77777777" w:rsidR="00CF6264" w:rsidRPr="003445F5" w:rsidRDefault="00CF6264" w:rsidP="00CF6264">
      <w:pPr>
        <w:rPr>
          <w:i/>
          <w:iCs/>
          <w:szCs w:val="22"/>
          <w:u w:val="single"/>
          <w:lang w:val="sr-Latn-ME"/>
        </w:rPr>
      </w:pPr>
      <w:r w:rsidRPr="003445F5">
        <w:rPr>
          <w:i/>
          <w:iCs/>
          <w:szCs w:val="22"/>
          <w:u w:val="single"/>
          <w:lang w:val="sr-Latn-ME"/>
        </w:rPr>
        <w:t>Bol na mjestu primjene injekcije</w:t>
      </w:r>
    </w:p>
    <w:p w14:paraId="700E2976" w14:textId="73F031FB" w:rsidR="00CF6264" w:rsidRPr="003445F5" w:rsidRDefault="00CF6264" w:rsidP="00CF6264">
      <w:pPr>
        <w:rPr>
          <w:szCs w:val="22"/>
          <w:lang w:val="sr-Latn-ME"/>
        </w:rPr>
      </w:pPr>
      <w:r w:rsidRPr="003445F5">
        <w:rPr>
          <w:szCs w:val="22"/>
          <w:lang w:val="sr-Latn-ME"/>
        </w:rPr>
        <w:t>Za objedinjene unakrsne studije RA VI i VII, uočena je statistički značajna razlika za bol na mjestu primjene injekcije neposredno nakon doziranja 40 mg/0,8 m</w:t>
      </w:r>
      <w:r w:rsidR="00AF00CF" w:rsidRPr="003445F5">
        <w:rPr>
          <w:szCs w:val="22"/>
          <w:lang w:val="sr-Latn-ME"/>
        </w:rPr>
        <w:t>l</w:t>
      </w:r>
      <w:r w:rsidRPr="003445F5">
        <w:rPr>
          <w:szCs w:val="22"/>
          <w:lang w:val="sr-Latn-ME"/>
        </w:rPr>
        <w:t xml:space="preserve"> adalimumaba i 40 mg/0,4 m</w:t>
      </w:r>
      <w:r w:rsidR="00AF00CF" w:rsidRPr="003445F5">
        <w:rPr>
          <w:szCs w:val="22"/>
          <w:lang w:val="sr-Latn-ME"/>
        </w:rPr>
        <w:t>l</w:t>
      </w:r>
      <w:r w:rsidRPr="003445F5">
        <w:rPr>
          <w:szCs w:val="22"/>
          <w:lang w:val="sr-Latn-ME"/>
        </w:rPr>
        <w:t xml:space="preserve"> adalimumaba (srednji VAS od 3,7 cm u poređenju sa 1,2 cm, na skali od 0 -10 cm, p &lt; 0,001). Ovo je predstavljalo srednje smanjenje bola na mjestu primjene injekcije za 84%.</w:t>
      </w:r>
    </w:p>
    <w:p w14:paraId="0ED379D9" w14:textId="572B2A0B" w:rsidR="006C3EE7" w:rsidRPr="003445F5" w:rsidRDefault="006C3EE7" w:rsidP="00524FDF">
      <w:pPr>
        <w:rPr>
          <w:szCs w:val="22"/>
          <w:lang w:val="sr-Latn-ME"/>
        </w:rPr>
      </w:pPr>
    </w:p>
    <w:p w14:paraId="373D0D24" w14:textId="77777777" w:rsidR="00454ACA" w:rsidRPr="003445F5" w:rsidRDefault="00454ACA" w:rsidP="00454ACA">
      <w:pPr>
        <w:rPr>
          <w:i/>
          <w:iCs/>
          <w:szCs w:val="22"/>
          <w:lang w:val="sr-Latn-ME"/>
        </w:rPr>
      </w:pPr>
      <w:r w:rsidRPr="003445F5">
        <w:rPr>
          <w:i/>
          <w:iCs/>
          <w:szCs w:val="22"/>
          <w:lang w:val="sr-Latn-ME"/>
        </w:rPr>
        <w:t xml:space="preserve">Psorijaza </w:t>
      </w:r>
    </w:p>
    <w:p w14:paraId="0EC942C1" w14:textId="595E50D9" w:rsidR="00384924" w:rsidRPr="003445F5" w:rsidRDefault="00384924" w:rsidP="00384924">
      <w:pPr>
        <w:rPr>
          <w:szCs w:val="22"/>
          <w:lang w:val="sr-Latn-ME"/>
        </w:rPr>
      </w:pPr>
      <w:r w:rsidRPr="003445F5">
        <w:rPr>
          <w:szCs w:val="22"/>
          <w:lang w:val="sr-Latn-ME"/>
        </w:rPr>
        <w:t xml:space="preserve">Bezbjednost i efikasnost adalimumaba ispitivani su kod odraslih pacijenata sa hroničnom plak psorijazom (zahvaćeno ≥ 10% površine </w:t>
      </w:r>
      <w:r w:rsidR="0063026D" w:rsidRPr="003445F5">
        <w:rPr>
          <w:szCs w:val="22"/>
          <w:lang w:val="sr-Latn-ME"/>
        </w:rPr>
        <w:t>tijela</w:t>
      </w:r>
      <w:r w:rsidRPr="003445F5">
        <w:rPr>
          <w:szCs w:val="22"/>
          <w:lang w:val="sr-Latn-ME"/>
        </w:rPr>
        <w:t xml:space="preserve"> i rezultat prema ljestvici za ocjenjivanje zahvaćenosti kože i težine kliničke slike [engl. </w:t>
      </w:r>
      <w:r w:rsidRPr="003445F5">
        <w:rPr>
          <w:i/>
          <w:iCs/>
          <w:szCs w:val="22"/>
          <w:lang w:val="sr-Latn-ME"/>
        </w:rPr>
        <w:t>Psoriasis Area and Severity Index</w:t>
      </w:r>
      <w:r w:rsidRPr="003445F5">
        <w:rPr>
          <w:szCs w:val="22"/>
          <w:lang w:val="sr-Latn-ME"/>
        </w:rPr>
        <w:t xml:space="preserve"> (PASI)] ≥ 12 ili ≥ 10) koji su bili kandidati za sistemsku terapiju ili fototerapiju u randomizovanim, dvostruko-slijepim studijama. 73% pacijenata uključenih u studije psorijaze I i II prethodno je primalo sistemsku terapiju ili fototerapiju. Bezbjednost i efikasnost adalimumaba su takođe ispitivane kod odraslih pacijenata sa srednjim do teškim oblikom hronične plak psorijaze sa udruženom psorijazom na šakama i/ili stopalima, koji su bili kandidati za sistemsku terapiju u randomizovanoj, dvostruko slijepoj studiji (studija psorijaze III). </w:t>
      </w:r>
    </w:p>
    <w:p w14:paraId="5A12A67A" w14:textId="77777777" w:rsidR="00384924" w:rsidRPr="003445F5" w:rsidRDefault="00384924" w:rsidP="00384924">
      <w:pPr>
        <w:rPr>
          <w:szCs w:val="22"/>
          <w:lang w:val="sr-Latn-ME"/>
        </w:rPr>
      </w:pPr>
    </w:p>
    <w:p w14:paraId="18897149" w14:textId="5FB3890C" w:rsidR="00384924" w:rsidRPr="003445F5" w:rsidRDefault="00384924" w:rsidP="00384924">
      <w:pPr>
        <w:rPr>
          <w:szCs w:val="22"/>
          <w:lang w:val="sr-Latn-ME"/>
        </w:rPr>
      </w:pPr>
      <w:r w:rsidRPr="003445F5">
        <w:rPr>
          <w:szCs w:val="22"/>
          <w:lang w:val="sr-Latn-ME"/>
        </w:rPr>
        <w:t xml:space="preserve">Studija psorijaze I (REVEAL) ispitivala je 1212 pacijenata unutar tri terapijska perioda. U periodu A, pacijenti su primali placebo ili adalimumab u inicijalnoj dozi od 80 mg praćeno dozom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sa početkom nedjelju dana </w:t>
      </w:r>
      <w:r w:rsidR="004A0CF7" w:rsidRPr="003445F5">
        <w:rPr>
          <w:szCs w:val="22"/>
          <w:lang w:val="sr-Latn-ME"/>
        </w:rPr>
        <w:t>poslije</w:t>
      </w:r>
      <w:r w:rsidR="00A46D0D" w:rsidRPr="003445F5">
        <w:rPr>
          <w:szCs w:val="22"/>
          <w:lang w:val="sr-Latn-ME"/>
        </w:rPr>
        <w:t xml:space="preserve"> </w:t>
      </w:r>
      <w:r w:rsidRPr="003445F5">
        <w:rPr>
          <w:szCs w:val="22"/>
          <w:lang w:val="sr-Latn-ME"/>
        </w:rPr>
        <w:t xml:space="preserve">inicijalne doze. </w:t>
      </w:r>
      <w:r w:rsidR="004A0CF7" w:rsidRPr="003445F5">
        <w:rPr>
          <w:szCs w:val="22"/>
          <w:lang w:val="sr-Latn-ME"/>
        </w:rPr>
        <w:t>Poslije</w:t>
      </w:r>
      <w:r w:rsidRPr="003445F5">
        <w:rPr>
          <w:szCs w:val="22"/>
          <w:lang w:val="sr-Latn-ME"/>
        </w:rPr>
        <w:t xml:space="preserve">16 nedjelja terapije, pacijenti koji su postigli PASI 75 odgovor (poboljšanje PASI skora od najmanje 75% u odnosu na preterapijsko stanje), ušli su u period B tokom koga su, u okviru otvorenog dizajna studije primali 40 mg adalimumaba svake druge </w:t>
      </w:r>
      <w:r w:rsidR="00551F1D" w:rsidRPr="003445F5">
        <w:rPr>
          <w:szCs w:val="22"/>
          <w:lang w:val="sr-Latn-ME"/>
        </w:rPr>
        <w:t>nedjelj</w:t>
      </w:r>
      <w:r w:rsidR="0047711E" w:rsidRPr="003445F5">
        <w:rPr>
          <w:szCs w:val="22"/>
          <w:lang w:val="sr-Latn-ME"/>
        </w:rPr>
        <w:t>e</w:t>
      </w:r>
      <w:r w:rsidRPr="003445F5">
        <w:rPr>
          <w:szCs w:val="22"/>
          <w:lang w:val="sr-Latn-ME"/>
        </w:rPr>
        <w:t xml:space="preserve">. Pacijenti koji su održali odgovor ≥ PASI 75 u 33. </w:t>
      </w:r>
      <w:r w:rsidR="00551F1D" w:rsidRPr="003445F5">
        <w:rPr>
          <w:szCs w:val="22"/>
          <w:lang w:val="sr-Latn-ME"/>
        </w:rPr>
        <w:t>nedjelj</w:t>
      </w:r>
      <w:r w:rsidR="00704AF5" w:rsidRPr="003445F5">
        <w:rPr>
          <w:szCs w:val="22"/>
          <w:lang w:val="sr-Latn-ME"/>
        </w:rPr>
        <w:t>i</w:t>
      </w:r>
      <w:r w:rsidRPr="003445F5">
        <w:rPr>
          <w:szCs w:val="22"/>
          <w:lang w:val="sr-Latn-ME"/>
        </w:rPr>
        <w:t xml:space="preserve">, a primarno su randomizovani na aktivnu terapiju u periodu A, re-randomizovani su u periodu C da prime adalimumab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ili placebo tokom dodatnih 19 nedjelja. U svim terapijskim grupama, srednji preterapijski PASI skor je bio 18,9, a preterapijski PGA skor (engl. </w:t>
      </w:r>
      <w:r w:rsidRPr="003445F5">
        <w:rPr>
          <w:i/>
          <w:iCs/>
          <w:szCs w:val="22"/>
          <w:lang w:val="sr-Latn-ME"/>
        </w:rPr>
        <w:t>Physician's Global Assessment</w:t>
      </w:r>
      <w:r w:rsidRPr="003445F5">
        <w:rPr>
          <w:szCs w:val="22"/>
          <w:lang w:val="sr-Latn-ME"/>
        </w:rPr>
        <w:t xml:space="preserve">) je bio od „umjerenogˮ (53% uključenih pacijenata) do „teškogˮ (41%) i „veoma teškogˮ (6%). </w:t>
      </w:r>
    </w:p>
    <w:p w14:paraId="0B4A96F9" w14:textId="77777777" w:rsidR="00454ACA" w:rsidRPr="003445F5" w:rsidRDefault="00454ACA" w:rsidP="00454ACA">
      <w:pPr>
        <w:rPr>
          <w:szCs w:val="22"/>
          <w:lang w:val="sr-Latn-ME"/>
        </w:rPr>
      </w:pPr>
    </w:p>
    <w:p w14:paraId="2DFE5602" w14:textId="041D8A15" w:rsidR="00AE39BC" w:rsidRPr="003445F5" w:rsidRDefault="00AE39BC" w:rsidP="00AE39BC">
      <w:pPr>
        <w:rPr>
          <w:szCs w:val="22"/>
          <w:lang w:val="sr-Latn-ME"/>
        </w:rPr>
      </w:pPr>
      <w:r w:rsidRPr="003445F5">
        <w:rPr>
          <w:szCs w:val="22"/>
          <w:lang w:val="sr-Latn-ME"/>
        </w:rPr>
        <w:t xml:space="preserve">Studija psorijaze II (CHAMPION) poredila je efikasnost i bezbjednost adalimumaba vs. metotreksat (MTX) i placebo kod 271 pacijenta. Pacijenti su primili placebo, inicijalnu dozu MTX 7,5 mg, a zatim u rastućoj dozi do 12. </w:t>
      </w:r>
      <w:r w:rsidR="00551F1D" w:rsidRPr="003445F5">
        <w:rPr>
          <w:szCs w:val="22"/>
          <w:lang w:val="sr-Latn-ME"/>
        </w:rPr>
        <w:t>nedjelj</w:t>
      </w:r>
      <w:r w:rsidR="0047711E" w:rsidRPr="003445F5">
        <w:rPr>
          <w:szCs w:val="22"/>
          <w:lang w:val="sr-Latn-ME"/>
        </w:rPr>
        <w:t>e</w:t>
      </w:r>
      <w:r w:rsidRPr="003445F5">
        <w:rPr>
          <w:szCs w:val="22"/>
          <w:lang w:val="sr-Latn-ME"/>
        </w:rPr>
        <w:t xml:space="preserve"> sa maksimalnom dozom 25 mg ili adalimumab, inicijalna doza 80 mg, a zatim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(početak nedjelju dana </w:t>
      </w:r>
      <w:r w:rsidR="004A0CF7" w:rsidRPr="003445F5">
        <w:rPr>
          <w:szCs w:val="22"/>
          <w:lang w:val="sr-Latn-ME"/>
        </w:rPr>
        <w:t>poslije</w:t>
      </w:r>
      <w:r w:rsidR="00CC58A2" w:rsidRPr="003445F5">
        <w:rPr>
          <w:szCs w:val="22"/>
          <w:lang w:val="sr-Latn-ME"/>
        </w:rPr>
        <w:t xml:space="preserve"> </w:t>
      </w:r>
      <w:r w:rsidRPr="003445F5">
        <w:rPr>
          <w:szCs w:val="22"/>
          <w:lang w:val="sr-Latn-ME"/>
        </w:rPr>
        <w:t xml:space="preserve">inicijalne doze) tokom 16 nedjelja. Nema podataka o primjeni adalimumaba i metotreksata duže od 16 nedjelja. Pacijentima na MTX koji su postigli ≥ PASI 50 odgovor </w:t>
      </w:r>
      <w:r w:rsidR="004A0CF7" w:rsidRPr="003445F5">
        <w:rPr>
          <w:szCs w:val="22"/>
          <w:lang w:val="sr-Latn-ME"/>
        </w:rPr>
        <w:t>poslije</w:t>
      </w:r>
      <w:r w:rsidR="00CC58A2" w:rsidRPr="003445F5">
        <w:rPr>
          <w:szCs w:val="22"/>
          <w:lang w:val="sr-Latn-ME"/>
        </w:rPr>
        <w:t xml:space="preserve"> </w:t>
      </w:r>
      <w:r w:rsidRPr="003445F5">
        <w:rPr>
          <w:szCs w:val="22"/>
          <w:lang w:val="sr-Latn-ME"/>
        </w:rPr>
        <w:t xml:space="preserve">8 nedjelja i/ili 12 nedjelja nije dalje povećavana doza MTX. U svim terapijskim grupama, srednji preterapijski PASI skor je bio 19,7, a preterapijski PGA skor (engl. </w:t>
      </w:r>
      <w:r w:rsidRPr="003445F5">
        <w:rPr>
          <w:i/>
          <w:iCs/>
          <w:szCs w:val="22"/>
          <w:lang w:val="sr-Latn-ME"/>
        </w:rPr>
        <w:t>Physician's Global Assessment</w:t>
      </w:r>
      <w:r w:rsidRPr="003445F5">
        <w:rPr>
          <w:szCs w:val="22"/>
          <w:lang w:val="sr-Latn-ME"/>
        </w:rPr>
        <w:t xml:space="preserve">) je bio od „blagogˮ (&lt; 1%), „umjerenogˮ (48%) do „teškogˮ (46%) i „veoma teškogˮ (6%). </w:t>
      </w:r>
    </w:p>
    <w:p w14:paraId="11364C71" w14:textId="77777777" w:rsidR="00AE39BC" w:rsidRPr="003445F5" w:rsidRDefault="00AE39BC" w:rsidP="00AE39BC">
      <w:pPr>
        <w:rPr>
          <w:szCs w:val="22"/>
          <w:lang w:val="sr-Latn-ME"/>
        </w:rPr>
      </w:pPr>
    </w:p>
    <w:p w14:paraId="6B1F49FD" w14:textId="77777777" w:rsidR="00AE39BC" w:rsidRPr="003445F5" w:rsidRDefault="00AE39BC" w:rsidP="00AE39BC">
      <w:pPr>
        <w:rPr>
          <w:szCs w:val="22"/>
          <w:lang w:val="sr-Latn-ME"/>
        </w:rPr>
      </w:pPr>
      <w:r w:rsidRPr="003445F5">
        <w:rPr>
          <w:szCs w:val="22"/>
          <w:lang w:val="sr-Latn-ME"/>
        </w:rPr>
        <w:t xml:space="preserve">Pacijenti koji su učestvovali u svim studijama psorijaze faze 2 i faze 3 mogli su biti izabrani da učestvuju u otvorenoj produženoj studiji, u kojoj je adalimumab primjenjivan još najmanje 108 nedjelja. </w:t>
      </w:r>
    </w:p>
    <w:p w14:paraId="2A665EEE" w14:textId="77777777" w:rsidR="00AE39BC" w:rsidRPr="003445F5" w:rsidRDefault="00AE39BC" w:rsidP="00AE39BC">
      <w:pPr>
        <w:rPr>
          <w:szCs w:val="22"/>
          <w:lang w:val="sr-Latn-ME"/>
        </w:rPr>
      </w:pPr>
    </w:p>
    <w:p w14:paraId="34549938" w14:textId="66FC4DB6" w:rsidR="00AE39BC" w:rsidRPr="003445F5" w:rsidRDefault="00AE39BC" w:rsidP="00AE39BC">
      <w:pPr>
        <w:rPr>
          <w:szCs w:val="22"/>
          <w:lang w:val="sr-Latn-ME"/>
        </w:rPr>
      </w:pPr>
      <w:r w:rsidRPr="003445F5">
        <w:rPr>
          <w:szCs w:val="22"/>
          <w:lang w:val="sr-Latn-ME"/>
        </w:rPr>
        <w:lastRenderedPageBreak/>
        <w:t xml:space="preserve">U studijama psorijaze I i II primarni parametar praćenja bio je procenat pacijenata koji su postigli PASI 75 odgovor </w:t>
      </w:r>
      <w:r w:rsidR="004A0CF7" w:rsidRPr="003445F5">
        <w:rPr>
          <w:szCs w:val="22"/>
          <w:lang w:val="sr-Latn-ME"/>
        </w:rPr>
        <w:t>poslije</w:t>
      </w:r>
      <w:r w:rsidRPr="003445F5">
        <w:rPr>
          <w:szCs w:val="22"/>
          <w:lang w:val="sr-Latn-ME"/>
        </w:rPr>
        <w:t>16 nedjelja u odnosu na početak terapije (vidjeti Tabele 9 i 10).</w:t>
      </w:r>
    </w:p>
    <w:p w14:paraId="7893FACA" w14:textId="600900BB" w:rsidR="005F55CB" w:rsidRPr="003445F5" w:rsidRDefault="005F55CB" w:rsidP="00524FDF">
      <w:pPr>
        <w:rPr>
          <w:szCs w:val="22"/>
          <w:lang w:val="sr-Latn-ME"/>
        </w:rPr>
      </w:pPr>
    </w:p>
    <w:p w14:paraId="546DEEC2" w14:textId="6DB3F924" w:rsidR="005F55CB" w:rsidRPr="003445F5" w:rsidRDefault="005F55CB" w:rsidP="00524FDF">
      <w:pPr>
        <w:rPr>
          <w:b/>
          <w:bCs/>
          <w:szCs w:val="22"/>
          <w:lang w:val="sr-Latn-ME"/>
        </w:rPr>
      </w:pPr>
      <w:r w:rsidRPr="003445F5">
        <w:rPr>
          <w:b/>
          <w:bCs/>
          <w:szCs w:val="22"/>
          <w:lang w:val="sr-Latn-ME"/>
        </w:rPr>
        <w:t xml:space="preserve">Tabela </w:t>
      </w:r>
      <w:r w:rsidR="006C7CE9" w:rsidRPr="003445F5">
        <w:rPr>
          <w:b/>
          <w:bCs/>
          <w:szCs w:val="22"/>
          <w:lang w:val="sr-Latn-ME"/>
        </w:rPr>
        <w:t>9</w:t>
      </w:r>
      <w:r w:rsidRPr="003445F5">
        <w:rPr>
          <w:b/>
          <w:bCs/>
          <w:szCs w:val="22"/>
          <w:lang w:val="sr-Latn-ME"/>
        </w:rPr>
        <w:t>. Studija psorijaze I (REVEAL) - rezultati efikasnosti nakon 16. ned</w:t>
      </w:r>
      <w:r w:rsidR="00AE39BC" w:rsidRPr="003445F5">
        <w:rPr>
          <w:b/>
          <w:bCs/>
          <w:szCs w:val="22"/>
          <w:lang w:val="sr-Latn-ME"/>
        </w:rPr>
        <w:t>j</w:t>
      </w:r>
      <w:r w:rsidRPr="003445F5">
        <w:rPr>
          <w:b/>
          <w:bCs/>
          <w:szCs w:val="22"/>
          <w:lang w:val="sr-Latn-ME"/>
        </w:rPr>
        <w:t>elja terapije</w:t>
      </w:r>
    </w:p>
    <w:p w14:paraId="3B9128BE" w14:textId="4AD4DF22" w:rsidR="006C3EE7" w:rsidRPr="003445F5" w:rsidRDefault="006C3EE7" w:rsidP="00524FDF">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830"/>
        <w:gridCol w:w="2128"/>
        <w:gridCol w:w="4059"/>
      </w:tblGrid>
      <w:tr w:rsidR="001E324D" w:rsidRPr="003445F5" w14:paraId="557D7139" w14:textId="77777777" w:rsidTr="00704956">
        <w:trPr>
          <w:trHeight w:val="20"/>
        </w:trPr>
        <w:tc>
          <w:tcPr>
            <w:tcW w:w="1569" w:type="pct"/>
            <w:vAlign w:val="center"/>
          </w:tcPr>
          <w:p w14:paraId="6E8BC144" w14:textId="77777777" w:rsidR="001E324D" w:rsidRPr="003445F5" w:rsidRDefault="001E324D" w:rsidP="00704956">
            <w:pPr>
              <w:jc w:val="left"/>
              <w:rPr>
                <w:szCs w:val="22"/>
                <w:lang w:val="sr-Latn-ME"/>
              </w:rPr>
            </w:pPr>
          </w:p>
        </w:tc>
        <w:tc>
          <w:tcPr>
            <w:tcW w:w="1180" w:type="pct"/>
            <w:vAlign w:val="center"/>
          </w:tcPr>
          <w:p w14:paraId="02823C87" w14:textId="77777777" w:rsidR="001E324D" w:rsidRPr="003445F5" w:rsidRDefault="001E324D" w:rsidP="00704956">
            <w:pPr>
              <w:jc w:val="center"/>
              <w:rPr>
                <w:b/>
                <w:bCs/>
                <w:szCs w:val="22"/>
                <w:lang w:val="sr-Latn-ME"/>
              </w:rPr>
            </w:pPr>
            <w:r w:rsidRPr="003445F5">
              <w:rPr>
                <w:b/>
                <w:bCs/>
                <w:szCs w:val="22"/>
                <w:lang w:val="sr-Latn-ME"/>
              </w:rPr>
              <w:t>Placebo</w:t>
            </w:r>
          </w:p>
          <w:p w14:paraId="5958AD08" w14:textId="77777777" w:rsidR="001E324D" w:rsidRPr="003445F5" w:rsidRDefault="001E324D" w:rsidP="00704956">
            <w:pPr>
              <w:jc w:val="center"/>
              <w:rPr>
                <w:b/>
                <w:bCs/>
                <w:szCs w:val="22"/>
                <w:lang w:val="sr-Latn-ME"/>
              </w:rPr>
            </w:pPr>
            <w:r w:rsidRPr="003445F5">
              <w:rPr>
                <w:b/>
                <w:bCs/>
                <w:szCs w:val="22"/>
                <w:lang w:val="sr-Latn-ME"/>
              </w:rPr>
              <w:t>N=398</w:t>
            </w:r>
          </w:p>
          <w:p w14:paraId="39F2E945" w14:textId="77777777" w:rsidR="001E324D" w:rsidRPr="003445F5" w:rsidRDefault="001E324D" w:rsidP="00704956">
            <w:pPr>
              <w:jc w:val="center"/>
              <w:rPr>
                <w:b/>
                <w:bCs/>
                <w:szCs w:val="22"/>
                <w:lang w:val="sr-Latn-ME"/>
              </w:rPr>
            </w:pPr>
            <w:r w:rsidRPr="003445F5">
              <w:rPr>
                <w:b/>
                <w:bCs/>
                <w:szCs w:val="22"/>
                <w:lang w:val="sr-Latn-ME"/>
              </w:rPr>
              <w:t>n (%)</w:t>
            </w:r>
          </w:p>
        </w:tc>
        <w:tc>
          <w:tcPr>
            <w:tcW w:w="2251" w:type="pct"/>
            <w:vAlign w:val="center"/>
          </w:tcPr>
          <w:p w14:paraId="36EBD2FC" w14:textId="7C46F183" w:rsidR="001E324D" w:rsidRPr="003445F5" w:rsidRDefault="001E324D" w:rsidP="00704956">
            <w:pPr>
              <w:jc w:val="center"/>
              <w:rPr>
                <w:b/>
                <w:bCs/>
                <w:szCs w:val="22"/>
                <w:lang w:val="sr-Latn-ME"/>
              </w:rPr>
            </w:pPr>
            <w:r w:rsidRPr="003445F5">
              <w:rPr>
                <w:b/>
                <w:bCs/>
                <w:szCs w:val="22"/>
                <w:lang w:val="sr-Latn-ME"/>
              </w:rPr>
              <w:t xml:space="preserve">Adalimumab 40 mg svake druge </w:t>
            </w:r>
            <w:r w:rsidR="00551F1D" w:rsidRPr="003445F5">
              <w:rPr>
                <w:b/>
                <w:bCs/>
                <w:szCs w:val="22"/>
                <w:lang w:val="sr-Latn-ME"/>
              </w:rPr>
              <w:t>nedjelj</w:t>
            </w:r>
            <w:r w:rsidR="0047711E" w:rsidRPr="003445F5">
              <w:rPr>
                <w:b/>
                <w:bCs/>
                <w:szCs w:val="22"/>
                <w:lang w:val="sr-Latn-ME"/>
              </w:rPr>
              <w:t>e</w:t>
            </w:r>
          </w:p>
          <w:p w14:paraId="1009DC00" w14:textId="77777777" w:rsidR="001E324D" w:rsidRPr="003445F5" w:rsidRDefault="001E324D" w:rsidP="00704956">
            <w:pPr>
              <w:jc w:val="center"/>
              <w:rPr>
                <w:b/>
                <w:bCs/>
                <w:szCs w:val="22"/>
                <w:lang w:val="sr-Latn-ME"/>
              </w:rPr>
            </w:pPr>
            <w:r w:rsidRPr="003445F5">
              <w:rPr>
                <w:b/>
                <w:bCs/>
                <w:szCs w:val="22"/>
                <w:lang w:val="sr-Latn-ME"/>
              </w:rPr>
              <w:t>N=814</w:t>
            </w:r>
          </w:p>
          <w:p w14:paraId="6549A64B" w14:textId="77777777" w:rsidR="001E324D" w:rsidRPr="003445F5" w:rsidRDefault="001E324D" w:rsidP="00704956">
            <w:pPr>
              <w:jc w:val="center"/>
              <w:rPr>
                <w:b/>
                <w:bCs/>
                <w:szCs w:val="22"/>
                <w:lang w:val="sr-Latn-ME"/>
              </w:rPr>
            </w:pPr>
            <w:r w:rsidRPr="003445F5">
              <w:rPr>
                <w:b/>
                <w:bCs/>
                <w:szCs w:val="22"/>
                <w:lang w:val="sr-Latn-ME"/>
              </w:rPr>
              <w:t>n (%)</w:t>
            </w:r>
          </w:p>
        </w:tc>
      </w:tr>
      <w:tr w:rsidR="001E324D" w:rsidRPr="003445F5" w14:paraId="4EE7F96F" w14:textId="77777777" w:rsidTr="00704956">
        <w:trPr>
          <w:trHeight w:val="20"/>
        </w:trPr>
        <w:tc>
          <w:tcPr>
            <w:tcW w:w="1569" w:type="pct"/>
            <w:vAlign w:val="center"/>
          </w:tcPr>
          <w:p w14:paraId="486D79B7" w14:textId="77777777" w:rsidR="001E324D" w:rsidRPr="003445F5" w:rsidRDefault="001E324D" w:rsidP="00704956">
            <w:pPr>
              <w:jc w:val="left"/>
              <w:rPr>
                <w:b/>
                <w:bCs/>
                <w:szCs w:val="22"/>
                <w:lang w:val="sr-Latn-ME"/>
              </w:rPr>
            </w:pPr>
            <w:r w:rsidRPr="003445F5">
              <w:rPr>
                <w:b/>
                <w:bCs/>
                <w:szCs w:val="22"/>
                <w:lang w:val="sr-Latn-ME"/>
              </w:rPr>
              <w:t>≥ PASI 75</w:t>
            </w:r>
            <w:r w:rsidRPr="003445F5">
              <w:rPr>
                <w:b/>
                <w:bCs/>
                <w:szCs w:val="22"/>
                <w:vertAlign w:val="superscript"/>
                <w:lang w:val="sr-Latn-ME"/>
              </w:rPr>
              <w:t>a</w:t>
            </w:r>
          </w:p>
        </w:tc>
        <w:tc>
          <w:tcPr>
            <w:tcW w:w="1180" w:type="pct"/>
            <w:vAlign w:val="center"/>
          </w:tcPr>
          <w:p w14:paraId="2AE32B70" w14:textId="77777777" w:rsidR="001E324D" w:rsidRPr="003445F5" w:rsidRDefault="001E324D" w:rsidP="00704956">
            <w:pPr>
              <w:jc w:val="center"/>
              <w:rPr>
                <w:szCs w:val="22"/>
                <w:lang w:val="sr-Latn-ME"/>
              </w:rPr>
            </w:pPr>
            <w:r w:rsidRPr="003445F5">
              <w:rPr>
                <w:szCs w:val="22"/>
                <w:lang w:val="sr-Latn-ME"/>
              </w:rPr>
              <w:t>26 (6,5)</w:t>
            </w:r>
          </w:p>
        </w:tc>
        <w:tc>
          <w:tcPr>
            <w:tcW w:w="2251" w:type="pct"/>
            <w:vAlign w:val="center"/>
          </w:tcPr>
          <w:p w14:paraId="680625E0" w14:textId="77777777" w:rsidR="001E324D" w:rsidRPr="003445F5" w:rsidRDefault="001E324D" w:rsidP="00704956">
            <w:pPr>
              <w:jc w:val="center"/>
              <w:rPr>
                <w:szCs w:val="22"/>
                <w:lang w:val="sr-Latn-ME"/>
              </w:rPr>
            </w:pPr>
            <w:r w:rsidRPr="003445F5">
              <w:rPr>
                <w:szCs w:val="22"/>
                <w:lang w:val="sr-Latn-ME"/>
              </w:rPr>
              <w:t>578 (70,9)</w:t>
            </w:r>
            <w:r w:rsidRPr="003445F5">
              <w:rPr>
                <w:szCs w:val="22"/>
                <w:vertAlign w:val="superscript"/>
                <w:lang w:val="sr-Latn-ME"/>
              </w:rPr>
              <w:t>b</w:t>
            </w:r>
          </w:p>
        </w:tc>
      </w:tr>
      <w:tr w:rsidR="001E324D" w:rsidRPr="003445F5" w14:paraId="38A15282" w14:textId="77777777" w:rsidTr="00704956">
        <w:trPr>
          <w:trHeight w:val="20"/>
        </w:trPr>
        <w:tc>
          <w:tcPr>
            <w:tcW w:w="1569" w:type="pct"/>
            <w:vAlign w:val="center"/>
          </w:tcPr>
          <w:p w14:paraId="34590937" w14:textId="77777777" w:rsidR="001E324D" w:rsidRPr="003445F5" w:rsidRDefault="001E324D" w:rsidP="00704956">
            <w:pPr>
              <w:jc w:val="left"/>
              <w:rPr>
                <w:b/>
                <w:bCs/>
                <w:szCs w:val="22"/>
                <w:lang w:val="sr-Latn-ME"/>
              </w:rPr>
            </w:pPr>
            <w:r w:rsidRPr="003445F5">
              <w:rPr>
                <w:b/>
                <w:bCs/>
                <w:szCs w:val="22"/>
                <w:lang w:val="sr-Latn-ME"/>
              </w:rPr>
              <w:t>PASI 100</w:t>
            </w:r>
          </w:p>
        </w:tc>
        <w:tc>
          <w:tcPr>
            <w:tcW w:w="1180" w:type="pct"/>
            <w:vAlign w:val="center"/>
          </w:tcPr>
          <w:p w14:paraId="56C3606A" w14:textId="77777777" w:rsidR="001E324D" w:rsidRPr="003445F5" w:rsidRDefault="001E324D" w:rsidP="00704956">
            <w:pPr>
              <w:jc w:val="center"/>
              <w:rPr>
                <w:szCs w:val="22"/>
                <w:lang w:val="sr-Latn-ME"/>
              </w:rPr>
            </w:pPr>
            <w:r w:rsidRPr="003445F5">
              <w:rPr>
                <w:szCs w:val="22"/>
                <w:lang w:val="sr-Latn-ME"/>
              </w:rPr>
              <w:t>3 (0,8)</w:t>
            </w:r>
          </w:p>
        </w:tc>
        <w:tc>
          <w:tcPr>
            <w:tcW w:w="2251" w:type="pct"/>
            <w:vAlign w:val="center"/>
          </w:tcPr>
          <w:p w14:paraId="2056AFC1" w14:textId="77777777" w:rsidR="001E324D" w:rsidRPr="003445F5" w:rsidRDefault="001E324D" w:rsidP="00704956">
            <w:pPr>
              <w:jc w:val="center"/>
              <w:rPr>
                <w:szCs w:val="22"/>
                <w:lang w:val="sr-Latn-ME"/>
              </w:rPr>
            </w:pPr>
            <w:r w:rsidRPr="003445F5">
              <w:rPr>
                <w:szCs w:val="22"/>
                <w:lang w:val="sr-Latn-ME"/>
              </w:rPr>
              <w:t>163 (20,0)</w:t>
            </w:r>
            <w:r w:rsidRPr="003445F5">
              <w:rPr>
                <w:szCs w:val="22"/>
                <w:vertAlign w:val="superscript"/>
                <w:lang w:val="sr-Latn-ME"/>
              </w:rPr>
              <w:t>b</w:t>
            </w:r>
          </w:p>
        </w:tc>
      </w:tr>
      <w:tr w:rsidR="001E324D" w:rsidRPr="003445F5" w14:paraId="054FC02C" w14:textId="77777777" w:rsidTr="00704956">
        <w:trPr>
          <w:trHeight w:val="20"/>
        </w:trPr>
        <w:tc>
          <w:tcPr>
            <w:tcW w:w="1569" w:type="pct"/>
            <w:vAlign w:val="center"/>
          </w:tcPr>
          <w:p w14:paraId="1FE72570" w14:textId="77777777" w:rsidR="001E324D" w:rsidRPr="003445F5" w:rsidRDefault="001E324D" w:rsidP="00704956">
            <w:pPr>
              <w:jc w:val="left"/>
              <w:rPr>
                <w:b/>
                <w:bCs/>
                <w:szCs w:val="22"/>
                <w:lang w:val="sr-Latn-ME"/>
              </w:rPr>
            </w:pPr>
            <w:r w:rsidRPr="003445F5">
              <w:rPr>
                <w:b/>
                <w:bCs/>
                <w:szCs w:val="22"/>
                <w:lang w:val="sr-Latn-ME"/>
              </w:rPr>
              <w:t>PGA: bez bolesti/minimalno</w:t>
            </w:r>
          </w:p>
        </w:tc>
        <w:tc>
          <w:tcPr>
            <w:tcW w:w="1180" w:type="pct"/>
            <w:vAlign w:val="center"/>
          </w:tcPr>
          <w:p w14:paraId="0193F5DC" w14:textId="77777777" w:rsidR="001E324D" w:rsidRPr="003445F5" w:rsidRDefault="001E324D" w:rsidP="00704956">
            <w:pPr>
              <w:jc w:val="center"/>
              <w:rPr>
                <w:szCs w:val="22"/>
                <w:lang w:val="sr-Latn-ME"/>
              </w:rPr>
            </w:pPr>
            <w:r w:rsidRPr="003445F5">
              <w:rPr>
                <w:szCs w:val="22"/>
                <w:lang w:val="sr-Latn-ME"/>
              </w:rPr>
              <w:t>17 (4,3)</w:t>
            </w:r>
          </w:p>
        </w:tc>
        <w:tc>
          <w:tcPr>
            <w:tcW w:w="2251" w:type="pct"/>
            <w:vAlign w:val="center"/>
          </w:tcPr>
          <w:p w14:paraId="244BA6EE" w14:textId="77777777" w:rsidR="001E324D" w:rsidRPr="003445F5" w:rsidRDefault="001E324D" w:rsidP="00704956">
            <w:pPr>
              <w:jc w:val="center"/>
              <w:rPr>
                <w:szCs w:val="22"/>
                <w:lang w:val="sr-Latn-ME"/>
              </w:rPr>
            </w:pPr>
            <w:r w:rsidRPr="003445F5">
              <w:rPr>
                <w:szCs w:val="22"/>
                <w:lang w:val="sr-Latn-ME"/>
              </w:rPr>
              <w:t>506 (62,2)</w:t>
            </w:r>
            <w:r w:rsidRPr="003445F5">
              <w:rPr>
                <w:szCs w:val="22"/>
                <w:vertAlign w:val="superscript"/>
                <w:lang w:val="sr-Latn-ME"/>
              </w:rPr>
              <w:t>b</w:t>
            </w:r>
          </w:p>
        </w:tc>
      </w:tr>
      <w:tr w:rsidR="001E324D" w:rsidRPr="003445F5" w14:paraId="3F942C4A" w14:textId="77777777" w:rsidTr="00704956">
        <w:trPr>
          <w:trHeight w:val="20"/>
        </w:trPr>
        <w:tc>
          <w:tcPr>
            <w:tcW w:w="5000" w:type="pct"/>
            <w:gridSpan w:val="3"/>
            <w:vAlign w:val="center"/>
          </w:tcPr>
          <w:p w14:paraId="5F8C1071" w14:textId="77777777" w:rsidR="001E324D" w:rsidRPr="003445F5" w:rsidRDefault="001E324D" w:rsidP="00704956">
            <w:pPr>
              <w:jc w:val="left"/>
              <w:rPr>
                <w:szCs w:val="22"/>
                <w:lang w:val="sr-Latn-ME"/>
              </w:rPr>
            </w:pPr>
            <w:r w:rsidRPr="003445F5">
              <w:rPr>
                <w:szCs w:val="22"/>
                <w:vertAlign w:val="superscript"/>
                <w:lang w:val="sr-Latn-ME"/>
              </w:rPr>
              <w:t>a.</w:t>
            </w:r>
            <w:r w:rsidRPr="003445F5">
              <w:rPr>
                <w:szCs w:val="22"/>
                <w:lang w:val="sr-Latn-ME"/>
              </w:rPr>
              <w:t xml:space="preserve"> Procenat pacijenata koji su postigli PASI 75 odgovor, izražen kao stopa prilagođena istraživačkom centru</w:t>
            </w:r>
          </w:p>
          <w:p w14:paraId="1B5FA6F1" w14:textId="77777777" w:rsidR="001E324D" w:rsidRPr="003445F5" w:rsidRDefault="001E324D" w:rsidP="00704956">
            <w:pPr>
              <w:jc w:val="left"/>
              <w:rPr>
                <w:szCs w:val="22"/>
                <w:lang w:val="sr-Latn-ME"/>
              </w:rPr>
            </w:pPr>
            <w:r w:rsidRPr="003445F5">
              <w:rPr>
                <w:szCs w:val="22"/>
                <w:vertAlign w:val="superscript"/>
                <w:lang w:val="sr-Latn-ME"/>
              </w:rPr>
              <w:t>b</w:t>
            </w:r>
            <w:r w:rsidRPr="003445F5">
              <w:rPr>
                <w:szCs w:val="22"/>
                <w:lang w:val="sr-Latn-ME"/>
              </w:rPr>
              <w:t>. p&lt; 0,001, adalimumab vs. placebo</w:t>
            </w:r>
          </w:p>
        </w:tc>
      </w:tr>
    </w:tbl>
    <w:p w14:paraId="244C50D6" w14:textId="77777777" w:rsidR="005F55CB" w:rsidRPr="003445F5" w:rsidRDefault="005F55CB" w:rsidP="00524FDF">
      <w:pPr>
        <w:rPr>
          <w:szCs w:val="22"/>
          <w:lang w:val="sr-Latn-ME"/>
        </w:rPr>
      </w:pPr>
    </w:p>
    <w:p w14:paraId="3B93321D" w14:textId="725DFFB1" w:rsidR="005F55CB" w:rsidRPr="003445F5" w:rsidRDefault="005F55CB" w:rsidP="00524FDF">
      <w:pPr>
        <w:rPr>
          <w:b/>
          <w:bCs/>
          <w:szCs w:val="22"/>
          <w:lang w:val="sr-Latn-ME"/>
        </w:rPr>
      </w:pPr>
      <w:r w:rsidRPr="003445F5">
        <w:rPr>
          <w:b/>
          <w:bCs/>
          <w:szCs w:val="22"/>
          <w:lang w:val="sr-Latn-ME"/>
        </w:rPr>
        <w:t xml:space="preserve">Tabela </w:t>
      </w:r>
      <w:r w:rsidR="006C7CE9" w:rsidRPr="003445F5">
        <w:rPr>
          <w:b/>
          <w:bCs/>
          <w:szCs w:val="22"/>
          <w:lang w:val="sr-Latn-ME"/>
        </w:rPr>
        <w:t>10</w:t>
      </w:r>
      <w:r w:rsidRPr="003445F5">
        <w:rPr>
          <w:b/>
          <w:bCs/>
          <w:szCs w:val="22"/>
          <w:lang w:val="sr-Latn-ME"/>
        </w:rPr>
        <w:t>. Studija psorijaze II (CHAMPION) - rezultati efikasnosti nakon 16. ned</w:t>
      </w:r>
      <w:r w:rsidR="00AE39BC" w:rsidRPr="003445F5">
        <w:rPr>
          <w:b/>
          <w:bCs/>
          <w:szCs w:val="22"/>
          <w:lang w:val="sr-Latn-ME"/>
        </w:rPr>
        <w:t>j</w:t>
      </w:r>
      <w:r w:rsidRPr="003445F5">
        <w:rPr>
          <w:b/>
          <w:bCs/>
          <w:szCs w:val="22"/>
          <w:lang w:val="sr-Latn-ME"/>
        </w:rPr>
        <w:t>elja terapije</w:t>
      </w:r>
    </w:p>
    <w:p w14:paraId="3F62139D" w14:textId="77777777" w:rsidR="005F55CB" w:rsidRPr="003445F5" w:rsidRDefault="005F55CB" w:rsidP="00524FDF">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830"/>
        <w:gridCol w:w="1134"/>
        <w:gridCol w:w="992"/>
        <w:gridCol w:w="4061"/>
      </w:tblGrid>
      <w:tr w:rsidR="00714B51" w:rsidRPr="003445F5" w14:paraId="31EA59EA" w14:textId="77777777" w:rsidTr="00704956">
        <w:trPr>
          <w:trHeight w:val="20"/>
        </w:trPr>
        <w:tc>
          <w:tcPr>
            <w:tcW w:w="1569" w:type="pct"/>
            <w:vAlign w:val="center"/>
          </w:tcPr>
          <w:p w14:paraId="3996CBD6" w14:textId="77777777" w:rsidR="00714B51" w:rsidRPr="003445F5" w:rsidRDefault="00714B51" w:rsidP="00704956">
            <w:pPr>
              <w:jc w:val="left"/>
              <w:rPr>
                <w:szCs w:val="22"/>
                <w:lang w:val="sr-Latn-ME"/>
              </w:rPr>
            </w:pPr>
          </w:p>
        </w:tc>
        <w:tc>
          <w:tcPr>
            <w:tcW w:w="629" w:type="pct"/>
            <w:vAlign w:val="center"/>
          </w:tcPr>
          <w:p w14:paraId="691691DA" w14:textId="77777777" w:rsidR="00714B51" w:rsidRPr="003445F5" w:rsidRDefault="00714B51" w:rsidP="00704956">
            <w:pPr>
              <w:jc w:val="center"/>
              <w:rPr>
                <w:b/>
                <w:bCs/>
                <w:szCs w:val="22"/>
                <w:lang w:val="sr-Latn-ME"/>
              </w:rPr>
            </w:pPr>
            <w:r w:rsidRPr="003445F5">
              <w:rPr>
                <w:b/>
                <w:bCs/>
                <w:szCs w:val="22"/>
                <w:lang w:val="sr-Latn-ME"/>
              </w:rPr>
              <w:t xml:space="preserve">Placebo </w:t>
            </w:r>
          </w:p>
          <w:p w14:paraId="21E6527B" w14:textId="77777777" w:rsidR="00714B51" w:rsidRPr="003445F5" w:rsidRDefault="00714B51" w:rsidP="00704956">
            <w:pPr>
              <w:jc w:val="center"/>
              <w:rPr>
                <w:b/>
                <w:bCs/>
                <w:szCs w:val="22"/>
                <w:lang w:val="sr-Latn-ME"/>
              </w:rPr>
            </w:pPr>
            <w:r w:rsidRPr="003445F5">
              <w:rPr>
                <w:b/>
                <w:bCs/>
                <w:szCs w:val="22"/>
                <w:lang w:val="sr-Latn-ME"/>
              </w:rPr>
              <w:t xml:space="preserve">N=53 </w:t>
            </w:r>
          </w:p>
          <w:p w14:paraId="1BF6FCF2" w14:textId="77777777" w:rsidR="00714B51" w:rsidRPr="003445F5" w:rsidRDefault="00714B51" w:rsidP="00704956">
            <w:pPr>
              <w:jc w:val="center"/>
              <w:rPr>
                <w:b/>
                <w:bCs/>
                <w:szCs w:val="22"/>
                <w:lang w:val="sr-Latn-ME"/>
              </w:rPr>
            </w:pPr>
            <w:r w:rsidRPr="003445F5">
              <w:rPr>
                <w:b/>
                <w:bCs/>
                <w:szCs w:val="22"/>
                <w:lang w:val="sr-Latn-ME"/>
              </w:rPr>
              <w:t>n (%)</w:t>
            </w:r>
          </w:p>
        </w:tc>
        <w:tc>
          <w:tcPr>
            <w:tcW w:w="550" w:type="pct"/>
            <w:vAlign w:val="center"/>
          </w:tcPr>
          <w:p w14:paraId="6D529598" w14:textId="77777777" w:rsidR="00714B51" w:rsidRPr="003445F5" w:rsidRDefault="00714B51" w:rsidP="00704956">
            <w:pPr>
              <w:jc w:val="center"/>
              <w:rPr>
                <w:b/>
                <w:bCs/>
                <w:szCs w:val="22"/>
                <w:lang w:val="sr-Latn-ME"/>
              </w:rPr>
            </w:pPr>
            <w:r w:rsidRPr="003445F5">
              <w:rPr>
                <w:b/>
                <w:bCs/>
                <w:szCs w:val="22"/>
                <w:lang w:val="sr-Latn-ME"/>
              </w:rPr>
              <w:t xml:space="preserve">MTX </w:t>
            </w:r>
          </w:p>
          <w:p w14:paraId="1441E594" w14:textId="77777777" w:rsidR="00714B51" w:rsidRPr="003445F5" w:rsidRDefault="00714B51" w:rsidP="00704956">
            <w:pPr>
              <w:jc w:val="center"/>
              <w:rPr>
                <w:b/>
                <w:bCs/>
                <w:szCs w:val="22"/>
                <w:lang w:val="sr-Latn-ME"/>
              </w:rPr>
            </w:pPr>
            <w:r w:rsidRPr="003445F5">
              <w:rPr>
                <w:b/>
                <w:bCs/>
                <w:szCs w:val="22"/>
                <w:lang w:val="sr-Latn-ME"/>
              </w:rPr>
              <w:t xml:space="preserve">N=110 </w:t>
            </w:r>
          </w:p>
          <w:p w14:paraId="3F110DE5" w14:textId="77777777" w:rsidR="00714B51" w:rsidRPr="003445F5" w:rsidRDefault="00714B51" w:rsidP="00704956">
            <w:pPr>
              <w:jc w:val="center"/>
              <w:rPr>
                <w:b/>
                <w:bCs/>
                <w:szCs w:val="22"/>
                <w:lang w:val="sr-Latn-ME"/>
              </w:rPr>
            </w:pPr>
            <w:r w:rsidRPr="003445F5">
              <w:rPr>
                <w:b/>
                <w:bCs/>
                <w:szCs w:val="22"/>
                <w:lang w:val="sr-Latn-ME"/>
              </w:rPr>
              <w:t>n (%)</w:t>
            </w:r>
          </w:p>
        </w:tc>
        <w:tc>
          <w:tcPr>
            <w:tcW w:w="2252" w:type="pct"/>
            <w:vAlign w:val="center"/>
          </w:tcPr>
          <w:p w14:paraId="0C4EEDB3" w14:textId="48AC1D09" w:rsidR="00714B51" w:rsidRPr="003445F5" w:rsidRDefault="00714B51" w:rsidP="00704956">
            <w:pPr>
              <w:jc w:val="center"/>
              <w:rPr>
                <w:b/>
                <w:bCs/>
                <w:szCs w:val="22"/>
                <w:lang w:val="sr-Latn-ME"/>
              </w:rPr>
            </w:pPr>
            <w:r w:rsidRPr="003445F5">
              <w:rPr>
                <w:b/>
                <w:bCs/>
                <w:szCs w:val="22"/>
                <w:lang w:val="sr-Latn-ME"/>
              </w:rPr>
              <w:t xml:space="preserve">Adalimumab 40 mg svake druge </w:t>
            </w:r>
            <w:r w:rsidR="00551F1D" w:rsidRPr="003445F5">
              <w:rPr>
                <w:b/>
                <w:bCs/>
                <w:szCs w:val="22"/>
                <w:lang w:val="sr-Latn-ME"/>
              </w:rPr>
              <w:t>nedjelj</w:t>
            </w:r>
            <w:r w:rsidR="0047711E" w:rsidRPr="003445F5">
              <w:rPr>
                <w:b/>
                <w:bCs/>
                <w:szCs w:val="22"/>
                <w:lang w:val="sr-Latn-ME"/>
              </w:rPr>
              <w:t>e</w:t>
            </w:r>
            <w:r w:rsidRPr="003445F5">
              <w:rPr>
                <w:b/>
                <w:bCs/>
                <w:szCs w:val="22"/>
                <w:lang w:val="sr-Latn-ME"/>
              </w:rPr>
              <w:t xml:space="preserve"> </w:t>
            </w:r>
          </w:p>
          <w:p w14:paraId="4B01A7E5" w14:textId="77777777" w:rsidR="00714B51" w:rsidRPr="003445F5" w:rsidRDefault="00714B51" w:rsidP="00704956">
            <w:pPr>
              <w:jc w:val="center"/>
              <w:rPr>
                <w:b/>
                <w:bCs/>
                <w:szCs w:val="22"/>
                <w:lang w:val="sr-Latn-ME"/>
              </w:rPr>
            </w:pPr>
            <w:r w:rsidRPr="003445F5">
              <w:rPr>
                <w:b/>
                <w:bCs/>
                <w:szCs w:val="22"/>
                <w:lang w:val="sr-Latn-ME"/>
              </w:rPr>
              <w:t xml:space="preserve">N=108 </w:t>
            </w:r>
          </w:p>
          <w:p w14:paraId="1992DB0E" w14:textId="77777777" w:rsidR="00714B51" w:rsidRPr="003445F5" w:rsidRDefault="00714B51" w:rsidP="00704956">
            <w:pPr>
              <w:jc w:val="center"/>
              <w:rPr>
                <w:b/>
                <w:bCs/>
                <w:szCs w:val="22"/>
                <w:lang w:val="sr-Latn-ME"/>
              </w:rPr>
            </w:pPr>
            <w:r w:rsidRPr="003445F5">
              <w:rPr>
                <w:b/>
                <w:bCs/>
                <w:szCs w:val="22"/>
                <w:lang w:val="sr-Latn-ME"/>
              </w:rPr>
              <w:t>n (%)</w:t>
            </w:r>
          </w:p>
        </w:tc>
      </w:tr>
      <w:tr w:rsidR="00714B51" w:rsidRPr="003445F5" w14:paraId="41A6B960" w14:textId="77777777" w:rsidTr="00704956">
        <w:trPr>
          <w:trHeight w:val="60"/>
        </w:trPr>
        <w:tc>
          <w:tcPr>
            <w:tcW w:w="1569" w:type="pct"/>
            <w:vAlign w:val="center"/>
          </w:tcPr>
          <w:p w14:paraId="068837D5" w14:textId="77777777" w:rsidR="00714B51" w:rsidRPr="003445F5" w:rsidRDefault="00714B51" w:rsidP="00704956">
            <w:pPr>
              <w:jc w:val="left"/>
              <w:rPr>
                <w:b/>
                <w:bCs/>
                <w:szCs w:val="22"/>
                <w:lang w:val="sr-Latn-ME"/>
              </w:rPr>
            </w:pPr>
            <w:r w:rsidRPr="003445F5">
              <w:rPr>
                <w:b/>
                <w:bCs/>
                <w:szCs w:val="22"/>
                <w:lang w:val="sr-Latn-ME"/>
              </w:rPr>
              <w:t>≥ PASI 75</w:t>
            </w:r>
          </w:p>
        </w:tc>
        <w:tc>
          <w:tcPr>
            <w:tcW w:w="629" w:type="pct"/>
            <w:vAlign w:val="center"/>
          </w:tcPr>
          <w:p w14:paraId="32D2A758" w14:textId="77777777" w:rsidR="00714B51" w:rsidRPr="003445F5" w:rsidRDefault="00714B51" w:rsidP="00704956">
            <w:pPr>
              <w:jc w:val="center"/>
              <w:rPr>
                <w:szCs w:val="22"/>
                <w:lang w:val="sr-Latn-ME"/>
              </w:rPr>
            </w:pPr>
            <w:r w:rsidRPr="003445F5">
              <w:rPr>
                <w:szCs w:val="22"/>
                <w:lang w:val="sr-Latn-ME"/>
              </w:rPr>
              <w:t>10 (18,9)</w:t>
            </w:r>
          </w:p>
        </w:tc>
        <w:tc>
          <w:tcPr>
            <w:tcW w:w="550" w:type="pct"/>
            <w:vAlign w:val="center"/>
          </w:tcPr>
          <w:p w14:paraId="566AA0F3" w14:textId="77777777" w:rsidR="00714B51" w:rsidRPr="003445F5" w:rsidRDefault="00714B51" w:rsidP="00704956">
            <w:pPr>
              <w:jc w:val="center"/>
              <w:rPr>
                <w:szCs w:val="22"/>
                <w:lang w:val="sr-Latn-ME"/>
              </w:rPr>
            </w:pPr>
            <w:r w:rsidRPr="003445F5">
              <w:rPr>
                <w:szCs w:val="22"/>
                <w:lang w:val="sr-Latn-ME"/>
              </w:rPr>
              <w:t>39 (35,5)</w:t>
            </w:r>
          </w:p>
        </w:tc>
        <w:tc>
          <w:tcPr>
            <w:tcW w:w="2252" w:type="pct"/>
            <w:vAlign w:val="center"/>
          </w:tcPr>
          <w:p w14:paraId="53AD7D24" w14:textId="77777777" w:rsidR="00714B51" w:rsidRPr="003445F5" w:rsidRDefault="00714B51" w:rsidP="00704956">
            <w:pPr>
              <w:jc w:val="center"/>
              <w:rPr>
                <w:szCs w:val="22"/>
                <w:lang w:val="sr-Latn-ME"/>
              </w:rPr>
            </w:pPr>
            <w:r w:rsidRPr="003445F5">
              <w:rPr>
                <w:szCs w:val="22"/>
                <w:lang w:val="sr-Latn-ME"/>
              </w:rPr>
              <w:t>86 (79,6)</w:t>
            </w:r>
            <w:r w:rsidRPr="003445F5">
              <w:rPr>
                <w:szCs w:val="22"/>
                <w:vertAlign w:val="superscript"/>
                <w:lang w:val="sr-Latn-ME"/>
              </w:rPr>
              <w:t>a, b</w:t>
            </w:r>
          </w:p>
        </w:tc>
      </w:tr>
      <w:tr w:rsidR="00714B51" w:rsidRPr="003445F5" w14:paraId="39C2E2C4" w14:textId="77777777" w:rsidTr="00704956">
        <w:trPr>
          <w:trHeight w:val="20"/>
        </w:trPr>
        <w:tc>
          <w:tcPr>
            <w:tcW w:w="1569" w:type="pct"/>
            <w:vAlign w:val="center"/>
          </w:tcPr>
          <w:p w14:paraId="342275E9" w14:textId="77777777" w:rsidR="00714B51" w:rsidRPr="003445F5" w:rsidRDefault="00714B51" w:rsidP="00704956">
            <w:pPr>
              <w:jc w:val="left"/>
              <w:rPr>
                <w:b/>
                <w:bCs/>
                <w:szCs w:val="22"/>
                <w:lang w:val="sr-Latn-ME"/>
              </w:rPr>
            </w:pPr>
            <w:r w:rsidRPr="003445F5">
              <w:rPr>
                <w:b/>
                <w:bCs/>
                <w:szCs w:val="22"/>
                <w:lang w:val="sr-Latn-ME"/>
              </w:rPr>
              <w:t>PASI 100</w:t>
            </w:r>
          </w:p>
        </w:tc>
        <w:tc>
          <w:tcPr>
            <w:tcW w:w="629" w:type="pct"/>
            <w:vAlign w:val="center"/>
          </w:tcPr>
          <w:p w14:paraId="291243E9" w14:textId="77777777" w:rsidR="00714B51" w:rsidRPr="003445F5" w:rsidRDefault="00714B51" w:rsidP="00704956">
            <w:pPr>
              <w:jc w:val="center"/>
              <w:rPr>
                <w:szCs w:val="22"/>
                <w:lang w:val="sr-Latn-ME"/>
              </w:rPr>
            </w:pPr>
            <w:r w:rsidRPr="003445F5">
              <w:rPr>
                <w:szCs w:val="22"/>
                <w:lang w:val="sr-Latn-ME"/>
              </w:rPr>
              <w:t>1 (1,9)</w:t>
            </w:r>
          </w:p>
        </w:tc>
        <w:tc>
          <w:tcPr>
            <w:tcW w:w="550" w:type="pct"/>
            <w:vAlign w:val="center"/>
          </w:tcPr>
          <w:p w14:paraId="3CC41A6F" w14:textId="77777777" w:rsidR="00714B51" w:rsidRPr="003445F5" w:rsidRDefault="00714B51" w:rsidP="00704956">
            <w:pPr>
              <w:jc w:val="center"/>
              <w:rPr>
                <w:szCs w:val="22"/>
                <w:lang w:val="sr-Latn-ME"/>
              </w:rPr>
            </w:pPr>
            <w:r w:rsidRPr="003445F5">
              <w:rPr>
                <w:szCs w:val="22"/>
                <w:lang w:val="sr-Latn-ME"/>
              </w:rPr>
              <w:t>8 (7,3)</w:t>
            </w:r>
          </w:p>
        </w:tc>
        <w:tc>
          <w:tcPr>
            <w:tcW w:w="2252" w:type="pct"/>
            <w:vAlign w:val="center"/>
          </w:tcPr>
          <w:p w14:paraId="4A36F787" w14:textId="77777777" w:rsidR="00714B51" w:rsidRPr="003445F5" w:rsidRDefault="00714B51" w:rsidP="00704956">
            <w:pPr>
              <w:jc w:val="center"/>
              <w:rPr>
                <w:szCs w:val="22"/>
                <w:lang w:val="sr-Latn-ME"/>
              </w:rPr>
            </w:pPr>
            <w:r w:rsidRPr="003445F5">
              <w:rPr>
                <w:szCs w:val="22"/>
                <w:lang w:val="sr-Latn-ME"/>
              </w:rPr>
              <w:t>18 (16,7)</w:t>
            </w:r>
            <w:r w:rsidRPr="003445F5">
              <w:rPr>
                <w:szCs w:val="22"/>
                <w:vertAlign w:val="superscript"/>
                <w:lang w:val="sr-Latn-ME"/>
              </w:rPr>
              <w:t>c, d</w:t>
            </w:r>
          </w:p>
        </w:tc>
      </w:tr>
      <w:tr w:rsidR="00714B51" w:rsidRPr="003445F5" w14:paraId="59A63DA7" w14:textId="77777777" w:rsidTr="00704956">
        <w:trPr>
          <w:trHeight w:val="20"/>
        </w:trPr>
        <w:tc>
          <w:tcPr>
            <w:tcW w:w="1569" w:type="pct"/>
            <w:vAlign w:val="center"/>
          </w:tcPr>
          <w:p w14:paraId="04824230" w14:textId="77777777" w:rsidR="00714B51" w:rsidRPr="003445F5" w:rsidRDefault="00714B51" w:rsidP="00704956">
            <w:pPr>
              <w:jc w:val="left"/>
              <w:rPr>
                <w:b/>
                <w:bCs/>
                <w:szCs w:val="22"/>
                <w:lang w:val="sr-Latn-ME"/>
              </w:rPr>
            </w:pPr>
            <w:r w:rsidRPr="003445F5">
              <w:rPr>
                <w:b/>
                <w:bCs/>
                <w:szCs w:val="22"/>
                <w:lang w:val="sr-Latn-ME"/>
              </w:rPr>
              <w:t>PGA: bez bolesti/minimalno</w:t>
            </w:r>
          </w:p>
        </w:tc>
        <w:tc>
          <w:tcPr>
            <w:tcW w:w="629" w:type="pct"/>
            <w:vAlign w:val="center"/>
          </w:tcPr>
          <w:p w14:paraId="1431DBC5" w14:textId="77777777" w:rsidR="00714B51" w:rsidRPr="003445F5" w:rsidRDefault="00714B51" w:rsidP="00704956">
            <w:pPr>
              <w:jc w:val="center"/>
              <w:rPr>
                <w:szCs w:val="22"/>
                <w:lang w:val="sr-Latn-ME"/>
              </w:rPr>
            </w:pPr>
            <w:r w:rsidRPr="003445F5">
              <w:rPr>
                <w:szCs w:val="22"/>
                <w:lang w:val="sr-Latn-ME"/>
              </w:rPr>
              <w:t>6 (11,3)</w:t>
            </w:r>
          </w:p>
        </w:tc>
        <w:tc>
          <w:tcPr>
            <w:tcW w:w="550" w:type="pct"/>
            <w:vAlign w:val="center"/>
          </w:tcPr>
          <w:p w14:paraId="57C8CE1C" w14:textId="77777777" w:rsidR="00714B51" w:rsidRPr="003445F5" w:rsidRDefault="00714B51" w:rsidP="00704956">
            <w:pPr>
              <w:jc w:val="center"/>
              <w:rPr>
                <w:szCs w:val="22"/>
                <w:lang w:val="sr-Latn-ME"/>
              </w:rPr>
            </w:pPr>
            <w:r w:rsidRPr="003445F5">
              <w:rPr>
                <w:szCs w:val="22"/>
                <w:lang w:val="sr-Latn-ME"/>
              </w:rPr>
              <w:t>33 (30,0)</w:t>
            </w:r>
          </w:p>
        </w:tc>
        <w:tc>
          <w:tcPr>
            <w:tcW w:w="2252" w:type="pct"/>
            <w:vAlign w:val="center"/>
          </w:tcPr>
          <w:p w14:paraId="4D97F531" w14:textId="77777777" w:rsidR="00714B51" w:rsidRPr="003445F5" w:rsidRDefault="00714B51" w:rsidP="00704956">
            <w:pPr>
              <w:jc w:val="center"/>
              <w:rPr>
                <w:szCs w:val="22"/>
                <w:lang w:val="sr-Latn-ME"/>
              </w:rPr>
            </w:pPr>
            <w:r w:rsidRPr="003445F5">
              <w:rPr>
                <w:szCs w:val="22"/>
                <w:lang w:val="sr-Latn-ME"/>
              </w:rPr>
              <w:t>79 (73,1)</w:t>
            </w:r>
            <w:r w:rsidRPr="003445F5">
              <w:rPr>
                <w:szCs w:val="22"/>
                <w:vertAlign w:val="superscript"/>
                <w:lang w:val="sr-Latn-ME"/>
              </w:rPr>
              <w:t>a, b</w:t>
            </w:r>
          </w:p>
        </w:tc>
      </w:tr>
      <w:tr w:rsidR="00714B51" w:rsidRPr="003445F5" w14:paraId="0B99B215" w14:textId="77777777" w:rsidTr="00704956">
        <w:trPr>
          <w:trHeight w:val="20"/>
        </w:trPr>
        <w:tc>
          <w:tcPr>
            <w:tcW w:w="5000" w:type="pct"/>
            <w:gridSpan w:val="4"/>
            <w:vAlign w:val="center"/>
          </w:tcPr>
          <w:p w14:paraId="59981C3D" w14:textId="77777777" w:rsidR="00714B51" w:rsidRPr="003445F5" w:rsidRDefault="00714B51" w:rsidP="00704956">
            <w:pPr>
              <w:jc w:val="left"/>
              <w:rPr>
                <w:szCs w:val="22"/>
                <w:lang w:val="sr-Latn-ME"/>
              </w:rPr>
            </w:pPr>
            <w:r w:rsidRPr="003445F5">
              <w:rPr>
                <w:szCs w:val="22"/>
                <w:vertAlign w:val="superscript"/>
                <w:lang w:val="sr-Latn-ME"/>
              </w:rPr>
              <w:t>a.</w:t>
            </w:r>
            <w:r w:rsidRPr="003445F5">
              <w:rPr>
                <w:szCs w:val="22"/>
                <w:lang w:val="sr-Latn-ME"/>
              </w:rPr>
              <w:t xml:space="preserve"> p&lt;0,001, adalimumab vs. placebo</w:t>
            </w:r>
          </w:p>
          <w:p w14:paraId="3B803191" w14:textId="77777777" w:rsidR="00714B51" w:rsidRPr="003445F5" w:rsidRDefault="00714B51" w:rsidP="00704956">
            <w:pPr>
              <w:jc w:val="left"/>
              <w:rPr>
                <w:szCs w:val="22"/>
                <w:lang w:val="sr-Latn-ME"/>
              </w:rPr>
            </w:pPr>
            <w:r w:rsidRPr="003445F5">
              <w:rPr>
                <w:szCs w:val="22"/>
                <w:vertAlign w:val="superscript"/>
                <w:lang w:val="sr-Latn-ME"/>
              </w:rPr>
              <w:t>b.</w:t>
            </w:r>
            <w:r w:rsidRPr="003445F5">
              <w:rPr>
                <w:szCs w:val="22"/>
                <w:lang w:val="sr-Latn-ME"/>
              </w:rPr>
              <w:t xml:space="preserve"> p&lt;0,001, adalimumab vs. metotreksat</w:t>
            </w:r>
          </w:p>
          <w:p w14:paraId="3FFA669C" w14:textId="77777777" w:rsidR="00714B51" w:rsidRPr="003445F5" w:rsidRDefault="00714B51" w:rsidP="00704956">
            <w:pPr>
              <w:jc w:val="left"/>
              <w:rPr>
                <w:szCs w:val="22"/>
                <w:lang w:val="sr-Latn-ME"/>
              </w:rPr>
            </w:pPr>
            <w:r w:rsidRPr="003445F5">
              <w:rPr>
                <w:szCs w:val="22"/>
                <w:vertAlign w:val="superscript"/>
                <w:lang w:val="sr-Latn-ME"/>
              </w:rPr>
              <w:t>c.</w:t>
            </w:r>
            <w:r w:rsidRPr="003445F5">
              <w:rPr>
                <w:szCs w:val="22"/>
                <w:lang w:val="sr-Latn-ME"/>
              </w:rPr>
              <w:t xml:space="preserve"> p&lt;0,01, adalimumab vs. placebo</w:t>
            </w:r>
          </w:p>
          <w:p w14:paraId="043F4DD6" w14:textId="77777777" w:rsidR="00714B51" w:rsidRPr="003445F5" w:rsidRDefault="00714B51" w:rsidP="00704956">
            <w:pPr>
              <w:jc w:val="left"/>
              <w:rPr>
                <w:szCs w:val="22"/>
                <w:lang w:val="sr-Latn-ME"/>
              </w:rPr>
            </w:pPr>
            <w:r w:rsidRPr="003445F5">
              <w:rPr>
                <w:szCs w:val="22"/>
                <w:vertAlign w:val="superscript"/>
                <w:lang w:val="sr-Latn-ME"/>
              </w:rPr>
              <w:t>d.</w:t>
            </w:r>
            <w:r w:rsidRPr="003445F5">
              <w:rPr>
                <w:szCs w:val="22"/>
                <w:lang w:val="sr-Latn-ME"/>
              </w:rPr>
              <w:t xml:space="preserve"> p&lt;0,05, adalimumab vs. metotreksat</w:t>
            </w:r>
          </w:p>
        </w:tc>
      </w:tr>
    </w:tbl>
    <w:p w14:paraId="1377057A" w14:textId="5F0D08D7" w:rsidR="006C3EE7" w:rsidRPr="003445F5" w:rsidRDefault="006C3EE7" w:rsidP="00524FDF">
      <w:pPr>
        <w:rPr>
          <w:szCs w:val="22"/>
          <w:lang w:val="sr-Latn-ME"/>
        </w:rPr>
      </w:pPr>
    </w:p>
    <w:p w14:paraId="604FD879" w14:textId="664B6D61" w:rsidR="00FD2175" w:rsidRPr="003445F5" w:rsidRDefault="00FD2175" w:rsidP="00FD2175">
      <w:pPr>
        <w:rPr>
          <w:szCs w:val="22"/>
          <w:lang w:val="sr-Latn-ME"/>
        </w:rPr>
      </w:pPr>
      <w:r w:rsidRPr="003445F5">
        <w:rPr>
          <w:szCs w:val="22"/>
          <w:lang w:val="sr-Latn-ME"/>
        </w:rPr>
        <w:t xml:space="preserve">U ispitivanju </w:t>
      </w:r>
      <w:r w:rsidRPr="003445F5">
        <w:rPr>
          <w:i/>
          <w:iCs/>
          <w:szCs w:val="22"/>
          <w:lang w:val="sr-Latn-ME"/>
        </w:rPr>
        <w:t>Psoriasis Study</w:t>
      </w:r>
      <w:r w:rsidRPr="003445F5">
        <w:rPr>
          <w:szCs w:val="22"/>
          <w:lang w:val="sr-Latn-ME"/>
        </w:rPr>
        <w:t xml:space="preserve"> I, 28% pacijenata koji su postigli PASI 75 odgovor i bili re-randomizovani na placebo u 33. </w:t>
      </w:r>
      <w:r w:rsidR="00551F1D" w:rsidRPr="003445F5">
        <w:rPr>
          <w:szCs w:val="22"/>
          <w:lang w:val="sr-Latn-ME"/>
        </w:rPr>
        <w:t>nedjelj</w:t>
      </w:r>
      <w:r w:rsidR="00704AF5" w:rsidRPr="003445F5">
        <w:rPr>
          <w:szCs w:val="22"/>
          <w:lang w:val="sr-Latn-ME"/>
        </w:rPr>
        <w:t>i</w:t>
      </w:r>
      <w:r w:rsidRPr="003445F5">
        <w:rPr>
          <w:szCs w:val="22"/>
          <w:lang w:val="sr-Latn-ME"/>
        </w:rPr>
        <w:t xml:space="preserve"> u poređenju sa 5% u grupi koja je nastavila terapiju adalimumabom (p&lt; 0,001) imalo je tzv. “gubitak adekvatnog odgovoraˮ (PASI skor </w:t>
      </w:r>
      <w:r w:rsidR="004A0CF7" w:rsidRPr="003445F5">
        <w:rPr>
          <w:szCs w:val="22"/>
          <w:lang w:val="sr-Latn-ME"/>
        </w:rPr>
        <w:t>poslije</w:t>
      </w:r>
      <w:r w:rsidR="00CC58A2" w:rsidRPr="003445F5">
        <w:rPr>
          <w:szCs w:val="22"/>
          <w:lang w:val="sr-Latn-ME"/>
        </w:rPr>
        <w:t xml:space="preserve"> </w:t>
      </w:r>
      <w:r w:rsidRPr="003445F5">
        <w:rPr>
          <w:szCs w:val="22"/>
          <w:lang w:val="sr-Latn-ME"/>
        </w:rPr>
        <w:t xml:space="preserve">33. </w:t>
      </w:r>
      <w:r w:rsidR="00551F1D" w:rsidRPr="003445F5">
        <w:rPr>
          <w:szCs w:val="22"/>
          <w:lang w:val="sr-Latn-ME"/>
        </w:rPr>
        <w:t>nedjelj</w:t>
      </w:r>
      <w:r w:rsidR="0047711E" w:rsidRPr="003445F5">
        <w:rPr>
          <w:szCs w:val="22"/>
          <w:lang w:val="sr-Latn-ME"/>
        </w:rPr>
        <w:t>e</w:t>
      </w:r>
      <w:r w:rsidRPr="003445F5">
        <w:rPr>
          <w:szCs w:val="22"/>
          <w:lang w:val="sr-Latn-ME"/>
        </w:rPr>
        <w:t xml:space="preserve"> i tokom ili prije 52. </w:t>
      </w:r>
      <w:r w:rsidR="00551F1D" w:rsidRPr="003445F5">
        <w:rPr>
          <w:szCs w:val="22"/>
          <w:lang w:val="sr-Latn-ME"/>
        </w:rPr>
        <w:t>nedjelj</w:t>
      </w:r>
      <w:r w:rsidR="0047711E" w:rsidRPr="003445F5">
        <w:rPr>
          <w:szCs w:val="22"/>
          <w:lang w:val="sr-Latn-ME"/>
        </w:rPr>
        <w:t>e</w:t>
      </w:r>
      <w:r w:rsidRPr="003445F5">
        <w:rPr>
          <w:szCs w:val="22"/>
          <w:lang w:val="sr-Latn-ME"/>
        </w:rPr>
        <w:t xml:space="preserve">: &lt; PASI 50 odgovor u odnosu na preterapijsko stanje sa minimum 6 jedinica povećanja PASI skora u odnosu na 33. nedjelju). U grupi pacijenata koji su izgubili adekvatan odgovor nakon re-randomizacije na placebo, a koji su zatim uključeni u otvoreni produžetak studije i primali adalimumab, 38% (25/66) i 55% (36/66) su ponovo postigli PASI 75 odgovor </w:t>
      </w:r>
      <w:r w:rsidR="004A0CF7" w:rsidRPr="003445F5">
        <w:rPr>
          <w:szCs w:val="22"/>
          <w:lang w:val="sr-Latn-ME"/>
        </w:rPr>
        <w:t>poslije</w:t>
      </w:r>
      <w:r w:rsidR="00CC58A2" w:rsidRPr="003445F5">
        <w:rPr>
          <w:szCs w:val="22"/>
          <w:lang w:val="sr-Latn-ME"/>
        </w:rPr>
        <w:t xml:space="preserve"> </w:t>
      </w:r>
      <w:r w:rsidRPr="003445F5">
        <w:rPr>
          <w:szCs w:val="22"/>
          <w:lang w:val="sr-Latn-ME"/>
        </w:rPr>
        <w:t xml:space="preserve">12, odnosno 24 </w:t>
      </w:r>
      <w:r w:rsidR="00551F1D" w:rsidRPr="003445F5">
        <w:rPr>
          <w:szCs w:val="22"/>
          <w:lang w:val="sr-Latn-ME"/>
        </w:rPr>
        <w:t>nedjelj</w:t>
      </w:r>
      <w:r w:rsidR="0047711E" w:rsidRPr="003445F5">
        <w:rPr>
          <w:szCs w:val="22"/>
          <w:lang w:val="sr-Latn-ME"/>
        </w:rPr>
        <w:t>e</w:t>
      </w:r>
      <w:r w:rsidRPr="003445F5">
        <w:rPr>
          <w:szCs w:val="22"/>
          <w:lang w:val="sr-Latn-ME"/>
        </w:rPr>
        <w:t xml:space="preserve"> terapije. </w:t>
      </w:r>
    </w:p>
    <w:p w14:paraId="7230894C" w14:textId="77777777" w:rsidR="00FD2175" w:rsidRPr="003445F5" w:rsidRDefault="00FD2175" w:rsidP="00FD2175">
      <w:pPr>
        <w:rPr>
          <w:szCs w:val="22"/>
          <w:lang w:val="sr-Latn-ME"/>
        </w:rPr>
      </w:pPr>
    </w:p>
    <w:p w14:paraId="4B1025AA" w14:textId="53A712BE" w:rsidR="00FD2175" w:rsidRPr="003445F5" w:rsidRDefault="00FD2175" w:rsidP="00FD2175">
      <w:pPr>
        <w:rPr>
          <w:szCs w:val="22"/>
          <w:lang w:val="sr-Latn-ME"/>
        </w:rPr>
      </w:pPr>
      <w:r w:rsidRPr="003445F5">
        <w:rPr>
          <w:szCs w:val="22"/>
          <w:lang w:val="sr-Latn-ME"/>
        </w:rPr>
        <w:t xml:space="preserve">Ukupno 233 pacijenta koji su postigli PASI 75 odgovor u </w:t>
      </w:r>
      <w:r w:rsidR="00551F1D" w:rsidRPr="003445F5">
        <w:rPr>
          <w:szCs w:val="22"/>
          <w:lang w:val="sr-Latn-ME"/>
        </w:rPr>
        <w:t>nedjelj</w:t>
      </w:r>
      <w:r w:rsidR="00704AF5" w:rsidRPr="003445F5">
        <w:rPr>
          <w:szCs w:val="22"/>
          <w:lang w:val="sr-Latn-ME"/>
        </w:rPr>
        <w:t>i</w:t>
      </w:r>
      <w:r w:rsidRPr="003445F5">
        <w:rPr>
          <w:szCs w:val="22"/>
          <w:lang w:val="sr-Latn-ME"/>
        </w:rPr>
        <w:t xml:space="preserve"> 16 i </w:t>
      </w:r>
      <w:r w:rsidR="00551F1D" w:rsidRPr="003445F5">
        <w:rPr>
          <w:szCs w:val="22"/>
          <w:lang w:val="sr-Latn-ME"/>
        </w:rPr>
        <w:t>nedjelj</w:t>
      </w:r>
      <w:r w:rsidR="00704AF5" w:rsidRPr="003445F5">
        <w:rPr>
          <w:szCs w:val="22"/>
          <w:lang w:val="sr-Latn-ME"/>
        </w:rPr>
        <w:t>i</w:t>
      </w:r>
      <w:r w:rsidRPr="003445F5">
        <w:rPr>
          <w:szCs w:val="22"/>
          <w:lang w:val="sr-Latn-ME"/>
        </w:rPr>
        <w:t xml:space="preserve"> 33 primalo je kontinuiranu terapiju adalimumabom tokom 52 </w:t>
      </w:r>
      <w:r w:rsidR="00551F1D" w:rsidRPr="003445F5">
        <w:rPr>
          <w:szCs w:val="22"/>
          <w:lang w:val="sr-Latn-ME"/>
        </w:rPr>
        <w:t>nedjelj</w:t>
      </w:r>
      <w:r w:rsidR="0047711E" w:rsidRPr="003445F5">
        <w:rPr>
          <w:szCs w:val="22"/>
          <w:lang w:val="sr-Latn-ME"/>
        </w:rPr>
        <w:t>e</w:t>
      </w:r>
      <w:r w:rsidRPr="003445F5">
        <w:rPr>
          <w:szCs w:val="22"/>
          <w:lang w:val="sr-Latn-ME"/>
        </w:rPr>
        <w:t xml:space="preserve"> u studiji psorijaze I, i nastavilo je da prima adalimumab u produžetku studije otvorenog dizajna. Stopa odgovora „bez bolesti” ili „minimalno” na PASI 75 i PGA kod ovih pacijenata bila je 74,7% odnosno 59,0%, nakon dodatnih 108 nedjelja terapije sa otvorenim dizajnom (ukupno 160 nedjelja). Svi pacijenti koji su izašli iz ispitivanja zbog neželjenih dejstava, nedostatka efikasnosti, ili kojima je doza povećavana, smatrani su pacijentima kod kojih nije bilo odgovora na terapiju. Za njih je analiza PASI 75 i PGA za stopu odgovora „bez bolesti” ili „minimalno” nakon dodatnih 108 nedjelja otvorene terapije (ukupno 160 nedjelja) dala rezultate 69,6%, odnosno 55,7%. </w:t>
      </w:r>
    </w:p>
    <w:p w14:paraId="7F0705A1" w14:textId="77777777" w:rsidR="00567637" w:rsidRPr="003445F5" w:rsidRDefault="00567637" w:rsidP="00567637">
      <w:pPr>
        <w:rPr>
          <w:szCs w:val="22"/>
          <w:lang w:val="sr-Latn-ME"/>
        </w:rPr>
      </w:pPr>
    </w:p>
    <w:p w14:paraId="733E9212" w14:textId="77777777" w:rsidR="00E47508" w:rsidRPr="003445F5" w:rsidRDefault="00E47508" w:rsidP="00E47508">
      <w:pPr>
        <w:rPr>
          <w:szCs w:val="22"/>
          <w:lang w:val="sr-Latn-ME"/>
        </w:rPr>
      </w:pPr>
      <w:r w:rsidRPr="003445F5">
        <w:rPr>
          <w:szCs w:val="22"/>
          <w:lang w:val="sr-Latn-ME"/>
        </w:rPr>
        <w:t xml:space="preserve">Ukupno 347 pacijenata sa stabilnim odgovorom učestvovalo je u procjeni prekida i ponovnog liječenja u produžetku studije otvorenog dizajna. U vremenu kada je terapija bila ukinuta, simptomi psorijaze su se vremenom vratili uz medijanu vremena do relapsa oko 5 mjeseci (smanjenje do umjerenog ili lošeg PGA). Ni kod jednog pacijenta se nije javilo povratno dejstvo tokom prekida terapije. Ukupno 76,5% (218/285) pacijenata koji su započeli sa ponovnim liječenjem imalo je „bez bolesti” ili „minimalan” PGA odgovor nakon 16 nedjelja ponovnog liječenja, bez obzira na to da li su imali recidiv tokom prekida terapije (69,1% [123/178] i 88,8% [95/107] kod pacijenata koji su imali, odnosno koji nisu </w:t>
      </w:r>
      <w:r w:rsidRPr="003445F5">
        <w:rPr>
          <w:szCs w:val="22"/>
          <w:lang w:val="sr-Latn-ME"/>
        </w:rPr>
        <w:lastRenderedPageBreak/>
        <w:t xml:space="preserve">imali recidiv tokom prekida terapije). Uočen je sličan bezbjednosni profil tokom ponovnog liječenja i liječenja prije prekida terapije. </w:t>
      </w:r>
    </w:p>
    <w:p w14:paraId="4276B493" w14:textId="77777777" w:rsidR="00E47508" w:rsidRPr="003445F5" w:rsidRDefault="00E47508" w:rsidP="00E47508">
      <w:pPr>
        <w:rPr>
          <w:szCs w:val="22"/>
          <w:lang w:val="sr-Latn-ME"/>
        </w:rPr>
      </w:pPr>
    </w:p>
    <w:p w14:paraId="5EFA44F1" w14:textId="4B86D598" w:rsidR="00E47508" w:rsidRPr="003445F5" w:rsidRDefault="00E47508" w:rsidP="00E47508">
      <w:pPr>
        <w:rPr>
          <w:szCs w:val="22"/>
          <w:lang w:val="sr-Latn-ME"/>
        </w:rPr>
      </w:pPr>
      <w:r w:rsidRPr="003445F5">
        <w:rPr>
          <w:szCs w:val="22"/>
          <w:lang w:val="sr-Latn-ME"/>
        </w:rPr>
        <w:t xml:space="preserve">Značajno poboljšanje u 16. </w:t>
      </w:r>
      <w:r w:rsidR="00551F1D" w:rsidRPr="003445F5">
        <w:rPr>
          <w:szCs w:val="22"/>
          <w:lang w:val="sr-Latn-ME"/>
        </w:rPr>
        <w:t>nedjelj</w:t>
      </w:r>
      <w:r w:rsidR="00704AF5" w:rsidRPr="003445F5">
        <w:rPr>
          <w:szCs w:val="22"/>
          <w:lang w:val="sr-Latn-ME"/>
        </w:rPr>
        <w:t>i</w:t>
      </w:r>
      <w:r w:rsidRPr="003445F5">
        <w:rPr>
          <w:szCs w:val="22"/>
          <w:lang w:val="sr-Latn-ME"/>
        </w:rPr>
        <w:t xml:space="preserve"> u odnosu na početno stanje, kada se poredi sa placebom (studija I i II) i MTX (studija II) je pokazano u DLQI (engl. </w:t>
      </w:r>
      <w:r w:rsidRPr="003445F5">
        <w:rPr>
          <w:i/>
          <w:iCs/>
          <w:szCs w:val="22"/>
          <w:lang w:val="sr-Latn-ME"/>
        </w:rPr>
        <w:t>Dermatology Life Quality Index</w:t>
      </w:r>
      <w:r w:rsidRPr="003445F5">
        <w:rPr>
          <w:szCs w:val="22"/>
          <w:lang w:val="sr-Latn-ME"/>
        </w:rPr>
        <w:t xml:space="preserve">). U studiji I takođe je zabilježeno značajno poboljšanje, u odnosu na placebo, fizičkih i mentalnih komponenti ukupnog skora SF-36 upitnika. </w:t>
      </w:r>
    </w:p>
    <w:p w14:paraId="4233ADB6" w14:textId="77777777" w:rsidR="00E47508" w:rsidRPr="003445F5" w:rsidRDefault="00E47508" w:rsidP="00E47508">
      <w:pPr>
        <w:rPr>
          <w:szCs w:val="22"/>
          <w:lang w:val="sr-Latn-ME"/>
        </w:rPr>
      </w:pPr>
    </w:p>
    <w:p w14:paraId="539C08FD" w14:textId="4B79EF55" w:rsidR="00E47508" w:rsidRPr="003445F5" w:rsidRDefault="00E47508" w:rsidP="00E47508">
      <w:pPr>
        <w:rPr>
          <w:szCs w:val="22"/>
          <w:lang w:val="sr-Latn-ME"/>
        </w:rPr>
      </w:pPr>
      <w:r w:rsidRPr="003445F5">
        <w:rPr>
          <w:szCs w:val="22"/>
          <w:lang w:val="sr-Latn-ME"/>
        </w:rPr>
        <w:t xml:space="preserve">U produžetku studije otvorenog dizajna, za pacijente čija je doza povećana sa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na 40 mg svake </w:t>
      </w:r>
      <w:r w:rsidR="00551F1D" w:rsidRPr="003445F5">
        <w:rPr>
          <w:szCs w:val="22"/>
          <w:lang w:val="sr-Latn-ME"/>
        </w:rPr>
        <w:t>nedjelj</w:t>
      </w:r>
      <w:r w:rsidR="0047711E" w:rsidRPr="003445F5">
        <w:rPr>
          <w:szCs w:val="22"/>
          <w:lang w:val="sr-Latn-ME"/>
        </w:rPr>
        <w:t>e</w:t>
      </w:r>
      <w:r w:rsidRPr="003445F5">
        <w:rPr>
          <w:szCs w:val="22"/>
          <w:lang w:val="sr-Latn-ME"/>
        </w:rPr>
        <w:t xml:space="preserve"> zbog PASI odgovora ispod 50%, odgovor PASI 75 je postignut u 12. </w:t>
      </w:r>
      <w:r w:rsidR="00551F1D" w:rsidRPr="003445F5">
        <w:rPr>
          <w:szCs w:val="22"/>
          <w:lang w:val="sr-Latn-ME"/>
        </w:rPr>
        <w:t>nedjelj</w:t>
      </w:r>
      <w:r w:rsidRPr="003445F5">
        <w:rPr>
          <w:szCs w:val="22"/>
          <w:lang w:val="sr-Latn-ME"/>
        </w:rPr>
        <w:t xml:space="preserve">i kod 26,4% (92/349) pacijenata i u 24. </w:t>
      </w:r>
      <w:r w:rsidR="00551F1D" w:rsidRPr="003445F5">
        <w:rPr>
          <w:szCs w:val="22"/>
          <w:lang w:val="sr-Latn-ME"/>
        </w:rPr>
        <w:t>nedjelj</w:t>
      </w:r>
      <w:r w:rsidR="00704AF5" w:rsidRPr="003445F5">
        <w:rPr>
          <w:szCs w:val="22"/>
          <w:lang w:val="sr-Latn-ME"/>
        </w:rPr>
        <w:t>i</w:t>
      </w:r>
      <w:r w:rsidRPr="003445F5">
        <w:rPr>
          <w:szCs w:val="22"/>
          <w:lang w:val="sr-Latn-ME"/>
        </w:rPr>
        <w:t xml:space="preserve"> kod 37,8% (132/349) pacijenata. </w:t>
      </w:r>
    </w:p>
    <w:p w14:paraId="08039412" w14:textId="77777777" w:rsidR="00567637" w:rsidRPr="003445F5" w:rsidRDefault="00567637" w:rsidP="00567637">
      <w:pPr>
        <w:rPr>
          <w:szCs w:val="22"/>
          <w:lang w:val="sr-Latn-ME"/>
        </w:rPr>
      </w:pPr>
    </w:p>
    <w:p w14:paraId="0FB3EFC3" w14:textId="57665AD8" w:rsidR="007B5362" w:rsidRPr="003445F5" w:rsidRDefault="007B5362" w:rsidP="007B5362">
      <w:pPr>
        <w:rPr>
          <w:szCs w:val="22"/>
          <w:lang w:val="sr-Latn-ME"/>
        </w:rPr>
      </w:pPr>
      <w:r w:rsidRPr="003445F5">
        <w:rPr>
          <w:szCs w:val="22"/>
          <w:lang w:val="sr-Latn-ME"/>
        </w:rPr>
        <w:t xml:space="preserve">U ispitivanju </w:t>
      </w:r>
      <w:r w:rsidRPr="003445F5">
        <w:rPr>
          <w:i/>
          <w:iCs/>
          <w:szCs w:val="22"/>
          <w:lang w:val="sr-Latn-ME"/>
        </w:rPr>
        <w:t>Psoriasis Study</w:t>
      </w:r>
      <w:r w:rsidRPr="003445F5">
        <w:rPr>
          <w:szCs w:val="22"/>
          <w:lang w:val="sr-Latn-ME"/>
        </w:rPr>
        <w:t xml:space="preserve"> III (REACH) upoređivale su se efikasnost i bezbjednost adalimumaba u odnosu na placebo kod 72 pacijenta sa umjerenim do teškim oblikom hronične plak psorijaze i psorijazom na šakama i/ili stopalima. Pacijenti su primili adalimumab u početnoj dozi od 80 mg, a zatim po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(počevši nedjelju dana nakon početne doze) ili placebo tokom 16 nedjelja. U 16. </w:t>
      </w:r>
      <w:r w:rsidR="00551F1D" w:rsidRPr="003445F5">
        <w:rPr>
          <w:szCs w:val="22"/>
          <w:lang w:val="sr-Latn-ME"/>
        </w:rPr>
        <w:t>nedjelj</w:t>
      </w:r>
      <w:r w:rsidR="00704AF5" w:rsidRPr="003445F5">
        <w:rPr>
          <w:szCs w:val="22"/>
          <w:lang w:val="sr-Latn-ME"/>
        </w:rPr>
        <w:t>i</w:t>
      </w:r>
      <w:r w:rsidRPr="003445F5">
        <w:rPr>
          <w:szCs w:val="22"/>
          <w:lang w:val="sr-Latn-ME"/>
        </w:rPr>
        <w:t xml:space="preserve">, statistički značajno veći udio pacijenata koji su primali adalimumab postigao je PGA rezultat „bez bolesti” ili „gotovo bez bolesti” za šake i/ili stopala u poređenju sa pacijentima koji su primali placebo (30,6% u odnosu na 4,3%, [P=0,014]). </w:t>
      </w:r>
    </w:p>
    <w:p w14:paraId="0501D3B3" w14:textId="77777777" w:rsidR="007B5362" w:rsidRPr="003445F5" w:rsidRDefault="007B5362" w:rsidP="007B5362">
      <w:pPr>
        <w:rPr>
          <w:szCs w:val="22"/>
          <w:lang w:val="sr-Latn-ME"/>
        </w:rPr>
      </w:pPr>
    </w:p>
    <w:p w14:paraId="322334EC" w14:textId="0CB7F8FF" w:rsidR="007B5362" w:rsidRPr="003445F5" w:rsidRDefault="007B5362" w:rsidP="007B5362">
      <w:pPr>
        <w:rPr>
          <w:szCs w:val="22"/>
          <w:lang w:val="sr-Latn-ME"/>
        </w:rPr>
      </w:pPr>
      <w:r w:rsidRPr="003445F5">
        <w:rPr>
          <w:szCs w:val="22"/>
          <w:lang w:val="sr-Latn-ME"/>
        </w:rPr>
        <w:t xml:space="preserve">U ispitivanju </w:t>
      </w:r>
      <w:r w:rsidRPr="003445F5">
        <w:rPr>
          <w:i/>
          <w:iCs/>
          <w:szCs w:val="22"/>
          <w:lang w:val="sr-Latn-ME"/>
        </w:rPr>
        <w:t>Psoriasis Study</w:t>
      </w:r>
      <w:r w:rsidRPr="003445F5">
        <w:rPr>
          <w:szCs w:val="22"/>
          <w:lang w:val="sr-Latn-ME"/>
        </w:rPr>
        <w:t xml:space="preserve"> IV upoređivale su se efikasnost i bezbjednost adalimumaba u odnosu na placebo kod 217 odraslih pacijenata sa umjerenom do teškom psorijazom noktiju. Pacijenti su primili adalimumab u početnoj dozi od 80 mg, a zatim po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(počevši nedjelju dana nakon početne doze) ili placebo tokom 26 nedjelja, nakon čega je sl</w:t>
      </w:r>
      <w:r w:rsidR="00CC58A2" w:rsidRPr="003445F5">
        <w:rPr>
          <w:szCs w:val="22"/>
          <w:lang w:val="sr-Latn-ME"/>
        </w:rPr>
        <w:t>ij</w:t>
      </w:r>
      <w:r w:rsidRPr="003445F5">
        <w:rPr>
          <w:szCs w:val="22"/>
          <w:lang w:val="sr-Latn-ME"/>
        </w:rPr>
        <w:t xml:space="preserve">edilo otvoreno liječenje adalimumabom tokom dodatnih 26 nedjelja. Ocjena psorijaze noktiju uključivala je modifikovani indeks težine psorijaze noktiju (engl. </w:t>
      </w:r>
      <w:r w:rsidRPr="003445F5">
        <w:rPr>
          <w:i/>
          <w:iCs/>
          <w:szCs w:val="22"/>
          <w:lang w:val="sr-Latn-ME"/>
        </w:rPr>
        <w:t>Modified Nail Psoriasis Severity Index</w:t>
      </w:r>
      <w:r w:rsidRPr="003445F5">
        <w:rPr>
          <w:szCs w:val="22"/>
          <w:lang w:val="sr-Latn-ME"/>
        </w:rPr>
        <w:t xml:space="preserve">, mNAPSI), opštu procjenu psorijaze noktiju na rukama od strane ljekara (engl. </w:t>
      </w:r>
      <w:r w:rsidRPr="003445F5">
        <w:rPr>
          <w:i/>
          <w:iCs/>
          <w:szCs w:val="22"/>
          <w:lang w:val="sr-Latn-ME"/>
        </w:rPr>
        <w:t>Physician's Global Assessment of Fingernail Psoriasis</w:t>
      </w:r>
      <w:r w:rsidRPr="003445F5">
        <w:rPr>
          <w:szCs w:val="22"/>
          <w:lang w:val="sr-Latn-ME"/>
        </w:rPr>
        <w:t xml:space="preserve">, PGA-F) i indeks težine psorijaze noktiju (engl. </w:t>
      </w:r>
      <w:r w:rsidRPr="003445F5">
        <w:rPr>
          <w:i/>
          <w:iCs/>
          <w:szCs w:val="22"/>
          <w:lang w:val="sr-Latn-ME"/>
        </w:rPr>
        <w:t>Nail Psoriasis Severity Index</w:t>
      </w:r>
      <w:r w:rsidRPr="003445F5">
        <w:rPr>
          <w:szCs w:val="22"/>
          <w:lang w:val="sr-Latn-ME"/>
        </w:rPr>
        <w:t xml:space="preserve">, NAPSI) (vidjeti Tabelu 11). </w:t>
      </w:r>
    </w:p>
    <w:p w14:paraId="0BB212BC" w14:textId="6A687D34" w:rsidR="007B5362" w:rsidRPr="003445F5" w:rsidRDefault="007B5362" w:rsidP="007B5362">
      <w:pPr>
        <w:rPr>
          <w:szCs w:val="22"/>
          <w:lang w:val="sr-Latn-ME"/>
        </w:rPr>
      </w:pPr>
      <w:r w:rsidRPr="003445F5">
        <w:rPr>
          <w:szCs w:val="22"/>
          <w:lang w:val="sr-Latn-ME"/>
        </w:rPr>
        <w:t>Adalimumab je ostvario povoljan terapijski efekat kod pacijenata sa psorijazom noktiju i različitim stepenima zahvaćenosti kože (≥ 10% tjelesne površine [60% pacijenata] i &lt; 10% i ≥ 5% tjelesne površine [40% pacijenata]).</w:t>
      </w:r>
    </w:p>
    <w:p w14:paraId="60DF6EE9" w14:textId="5A7ACAF1" w:rsidR="00DC548F" w:rsidRPr="003445F5" w:rsidRDefault="00DC548F" w:rsidP="00524FDF">
      <w:pPr>
        <w:rPr>
          <w:szCs w:val="22"/>
          <w:lang w:val="sr-Latn-ME"/>
        </w:rPr>
      </w:pPr>
    </w:p>
    <w:p w14:paraId="33C86574" w14:textId="08D81107" w:rsidR="001F6D1D" w:rsidRPr="003445F5" w:rsidRDefault="001F6D1D" w:rsidP="00524FDF">
      <w:pPr>
        <w:rPr>
          <w:b/>
          <w:bCs/>
          <w:szCs w:val="22"/>
          <w:lang w:val="sr-Latn-ME"/>
        </w:rPr>
      </w:pPr>
      <w:r w:rsidRPr="003445F5">
        <w:rPr>
          <w:b/>
          <w:bCs/>
          <w:szCs w:val="22"/>
          <w:lang w:val="sr-Latn-ME"/>
        </w:rPr>
        <w:t>Tabela 1</w:t>
      </w:r>
      <w:r w:rsidR="00733387" w:rsidRPr="003445F5">
        <w:rPr>
          <w:b/>
          <w:bCs/>
          <w:szCs w:val="22"/>
          <w:lang w:val="sr-Latn-ME"/>
        </w:rPr>
        <w:t>1</w:t>
      </w:r>
      <w:r w:rsidRPr="003445F5">
        <w:rPr>
          <w:b/>
          <w:bCs/>
          <w:szCs w:val="22"/>
          <w:lang w:val="sr-Latn-ME"/>
        </w:rPr>
        <w:t>. Ispitivanje Ps IV</w:t>
      </w:r>
      <w:r w:rsidR="006030EE" w:rsidRPr="003445F5">
        <w:rPr>
          <w:b/>
          <w:bCs/>
          <w:szCs w:val="22"/>
          <w:lang w:val="sr-Latn-ME"/>
        </w:rPr>
        <w:t xml:space="preserve"> -</w:t>
      </w:r>
      <w:r w:rsidRPr="003445F5">
        <w:rPr>
          <w:b/>
          <w:bCs/>
          <w:szCs w:val="22"/>
          <w:lang w:val="sr-Latn-ME"/>
        </w:rPr>
        <w:t xml:space="preserve"> Rezultati efikasnosti u 16., 26. i 52. </w:t>
      </w:r>
      <w:r w:rsidR="00551F1D" w:rsidRPr="003445F5">
        <w:rPr>
          <w:b/>
          <w:bCs/>
          <w:szCs w:val="22"/>
          <w:lang w:val="sr-Latn-ME"/>
        </w:rPr>
        <w:t>nedjelj</w:t>
      </w:r>
      <w:r w:rsidR="00704AF5" w:rsidRPr="003445F5">
        <w:rPr>
          <w:b/>
          <w:bCs/>
          <w:szCs w:val="22"/>
          <w:lang w:val="sr-Latn-ME"/>
        </w:rPr>
        <w:t>i</w:t>
      </w:r>
    </w:p>
    <w:p w14:paraId="680628C9" w14:textId="77777777" w:rsidR="001F6D1D" w:rsidRPr="003445F5" w:rsidRDefault="001F6D1D" w:rsidP="00524FDF">
      <w:pPr>
        <w:rPr>
          <w:szCs w:val="22"/>
          <w:lang w:val="sr-Latn-ME"/>
        </w:rPr>
      </w:pPr>
    </w:p>
    <w:tbl>
      <w:tblPr>
        <w:tblW w:w="5000" w:type="pct"/>
        <w:tblCellMar>
          <w:top w:w="42" w:type="dxa"/>
          <w:left w:w="85" w:type="dxa"/>
          <w:right w:w="85" w:type="dxa"/>
        </w:tblCellMar>
        <w:tblLook w:val="04A0" w:firstRow="1" w:lastRow="0" w:firstColumn="1" w:lastColumn="0" w:noHBand="0" w:noVBand="1"/>
      </w:tblPr>
      <w:tblGrid>
        <w:gridCol w:w="2029"/>
        <w:gridCol w:w="1228"/>
        <w:gridCol w:w="1564"/>
        <w:gridCol w:w="986"/>
        <w:gridCol w:w="1558"/>
        <w:gridCol w:w="1652"/>
      </w:tblGrid>
      <w:tr w:rsidR="0034520B" w:rsidRPr="003445F5" w14:paraId="2DB38711" w14:textId="77777777" w:rsidTr="007B5362">
        <w:trPr>
          <w:trHeight w:val="20"/>
        </w:trPr>
        <w:tc>
          <w:tcPr>
            <w:tcW w:w="1125" w:type="pct"/>
            <w:vMerge w:val="restart"/>
            <w:tcBorders>
              <w:top w:val="single" w:sz="4" w:space="0" w:color="000000"/>
              <w:left w:val="single" w:sz="4" w:space="0" w:color="000000"/>
              <w:right w:val="single" w:sz="4" w:space="0" w:color="000000"/>
            </w:tcBorders>
          </w:tcPr>
          <w:p w14:paraId="1509D6A0" w14:textId="77777777" w:rsidR="0034520B" w:rsidRPr="003445F5" w:rsidRDefault="0034520B" w:rsidP="00704956">
            <w:pPr>
              <w:rPr>
                <w:b/>
                <w:bCs/>
                <w:szCs w:val="22"/>
                <w:lang w:val="sr-Latn-ME"/>
              </w:rPr>
            </w:pPr>
            <w:r w:rsidRPr="003445F5">
              <w:rPr>
                <w:b/>
                <w:bCs/>
                <w:szCs w:val="22"/>
                <w:lang w:val="sr-Latn-ME"/>
              </w:rPr>
              <w:t>Parametar praćenja</w:t>
            </w:r>
          </w:p>
        </w:tc>
        <w:tc>
          <w:tcPr>
            <w:tcW w:w="1548" w:type="pct"/>
            <w:gridSpan w:val="2"/>
            <w:tcBorders>
              <w:top w:val="single" w:sz="4" w:space="0" w:color="000000"/>
              <w:left w:val="single" w:sz="4" w:space="0" w:color="000000"/>
              <w:bottom w:val="single" w:sz="4" w:space="0" w:color="000000"/>
              <w:right w:val="single" w:sz="4" w:space="0" w:color="000000"/>
            </w:tcBorders>
            <w:vAlign w:val="center"/>
          </w:tcPr>
          <w:p w14:paraId="357B6A1A" w14:textId="2A2B2682" w:rsidR="0034520B" w:rsidRPr="003445F5" w:rsidRDefault="0034520B" w:rsidP="00704956">
            <w:pPr>
              <w:jc w:val="center"/>
              <w:rPr>
                <w:b/>
                <w:bCs/>
                <w:szCs w:val="22"/>
                <w:lang w:val="sr-Latn-ME"/>
              </w:rPr>
            </w:pPr>
            <w:r w:rsidRPr="003445F5">
              <w:rPr>
                <w:b/>
                <w:bCs/>
                <w:szCs w:val="22"/>
                <w:lang w:val="sr-Latn-ME"/>
              </w:rPr>
              <w:t>16. ned</w:t>
            </w:r>
            <w:r w:rsidR="007B5362" w:rsidRPr="003445F5">
              <w:rPr>
                <w:b/>
                <w:bCs/>
                <w:szCs w:val="22"/>
                <w:lang w:val="sr-Latn-ME"/>
              </w:rPr>
              <w:t>j</w:t>
            </w:r>
            <w:r w:rsidRPr="003445F5">
              <w:rPr>
                <w:b/>
                <w:bCs/>
                <w:szCs w:val="22"/>
                <w:lang w:val="sr-Latn-ME"/>
              </w:rPr>
              <w:t>elja</w:t>
            </w:r>
          </w:p>
          <w:p w14:paraId="5AA24734" w14:textId="77777777" w:rsidR="0034520B" w:rsidRPr="003445F5" w:rsidRDefault="0034520B" w:rsidP="00704956">
            <w:pPr>
              <w:jc w:val="center"/>
              <w:rPr>
                <w:b/>
                <w:bCs/>
                <w:szCs w:val="22"/>
                <w:lang w:val="sr-Latn-ME"/>
              </w:rPr>
            </w:pPr>
            <w:r w:rsidRPr="003445F5">
              <w:rPr>
                <w:b/>
                <w:bCs/>
                <w:szCs w:val="22"/>
                <w:lang w:val="sr-Latn-ME"/>
              </w:rPr>
              <w:t>Placebom kontrolisano</w:t>
            </w:r>
          </w:p>
        </w:tc>
        <w:tc>
          <w:tcPr>
            <w:tcW w:w="1411" w:type="pct"/>
            <w:gridSpan w:val="2"/>
            <w:tcBorders>
              <w:top w:val="single" w:sz="4" w:space="0" w:color="000000"/>
              <w:left w:val="single" w:sz="4" w:space="0" w:color="000000"/>
              <w:bottom w:val="single" w:sz="4" w:space="0" w:color="000000"/>
              <w:right w:val="single" w:sz="4" w:space="0" w:color="000000"/>
            </w:tcBorders>
            <w:vAlign w:val="center"/>
          </w:tcPr>
          <w:p w14:paraId="1E9274FA" w14:textId="3FC60142" w:rsidR="0034520B" w:rsidRPr="003445F5" w:rsidRDefault="0034520B" w:rsidP="00704956">
            <w:pPr>
              <w:jc w:val="center"/>
              <w:rPr>
                <w:b/>
                <w:bCs/>
                <w:szCs w:val="22"/>
                <w:lang w:val="sr-Latn-ME"/>
              </w:rPr>
            </w:pPr>
            <w:r w:rsidRPr="003445F5">
              <w:rPr>
                <w:b/>
                <w:bCs/>
                <w:szCs w:val="22"/>
                <w:lang w:val="sr-Latn-ME"/>
              </w:rPr>
              <w:t>26. ned</w:t>
            </w:r>
            <w:r w:rsidR="007B5362" w:rsidRPr="003445F5">
              <w:rPr>
                <w:b/>
                <w:bCs/>
                <w:szCs w:val="22"/>
                <w:lang w:val="sr-Latn-ME"/>
              </w:rPr>
              <w:t>j</w:t>
            </w:r>
            <w:r w:rsidRPr="003445F5">
              <w:rPr>
                <w:b/>
                <w:bCs/>
                <w:szCs w:val="22"/>
                <w:lang w:val="sr-Latn-ME"/>
              </w:rPr>
              <w:t>elja</w:t>
            </w:r>
          </w:p>
          <w:p w14:paraId="739E618D" w14:textId="77777777" w:rsidR="0034520B" w:rsidRPr="003445F5" w:rsidRDefault="0034520B" w:rsidP="00704956">
            <w:pPr>
              <w:jc w:val="center"/>
              <w:rPr>
                <w:b/>
                <w:bCs/>
                <w:szCs w:val="22"/>
                <w:lang w:val="sr-Latn-ME"/>
              </w:rPr>
            </w:pPr>
            <w:r w:rsidRPr="003445F5">
              <w:rPr>
                <w:b/>
                <w:bCs/>
                <w:szCs w:val="22"/>
                <w:lang w:val="sr-Latn-ME"/>
              </w:rPr>
              <w:t>Placebom kontrolisano</w:t>
            </w:r>
          </w:p>
        </w:tc>
        <w:tc>
          <w:tcPr>
            <w:tcW w:w="915" w:type="pct"/>
            <w:tcBorders>
              <w:top w:val="single" w:sz="4" w:space="0" w:color="000000"/>
              <w:left w:val="single" w:sz="4" w:space="0" w:color="000000"/>
              <w:bottom w:val="single" w:sz="4" w:space="0" w:color="000000"/>
              <w:right w:val="single" w:sz="4" w:space="0" w:color="000000"/>
            </w:tcBorders>
            <w:vAlign w:val="center"/>
          </w:tcPr>
          <w:p w14:paraId="1E114A0C" w14:textId="5471016C" w:rsidR="0034520B" w:rsidRPr="003445F5" w:rsidRDefault="0034520B" w:rsidP="00704956">
            <w:pPr>
              <w:jc w:val="center"/>
              <w:rPr>
                <w:b/>
                <w:bCs/>
                <w:szCs w:val="22"/>
                <w:lang w:val="sr-Latn-ME"/>
              </w:rPr>
            </w:pPr>
            <w:r w:rsidRPr="003445F5">
              <w:rPr>
                <w:b/>
                <w:bCs/>
                <w:szCs w:val="22"/>
                <w:lang w:val="sr-Latn-ME"/>
              </w:rPr>
              <w:t>52. ned</w:t>
            </w:r>
            <w:r w:rsidR="007B5362" w:rsidRPr="003445F5">
              <w:rPr>
                <w:b/>
                <w:bCs/>
                <w:szCs w:val="22"/>
                <w:lang w:val="sr-Latn-ME"/>
              </w:rPr>
              <w:t>j</w:t>
            </w:r>
            <w:r w:rsidRPr="003445F5">
              <w:rPr>
                <w:b/>
                <w:bCs/>
                <w:szCs w:val="22"/>
                <w:lang w:val="sr-Latn-ME"/>
              </w:rPr>
              <w:t>elja</w:t>
            </w:r>
          </w:p>
          <w:p w14:paraId="18527086" w14:textId="77777777" w:rsidR="0034520B" w:rsidRPr="003445F5" w:rsidRDefault="0034520B" w:rsidP="00704956">
            <w:pPr>
              <w:jc w:val="center"/>
              <w:rPr>
                <w:b/>
                <w:bCs/>
                <w:szCs w:val="22"/>
                <w:lang w:val="sr-Latn-ME"/>
              </w:rPr>
            </w:pPr>
            <w:r w:rsidRPr="003445F5">
              <w:rPr>
                <w:b/>
                <w:bCs/>
                <w:szCs w:val="22"/>
                <w:lang w:val="sr-Latn-ME"/>
              </w:rPr>
              <w:t>Otvoreno</w:t>
            </w:r>
          </w:p>
        </w:tc>
      </w:tr>
      <w:tr w:rsidR="0034520B" w:rsidRPr="003445F5" w14:paraId="048EBF84" w14:textId="77777777" w:rsidTr="007B5362">
        <w:trPr>
          <w:trHeight w:val="20"/>
        </w:trPr>
        <w:tc>
          <w:tcPr>
            <w:tcW w:w="1125" w:type="pct"/>
            <w:vMerge/>
            <w:tcBorders>
              <w:left w:val="single" w:sz="4" w:space="0" w:color="000000"/>
              <w:bottom w:val="single" w:sz="4" w:space="0" w:color="000000"/>
              <w:right w:val="single" w:sz="4" w:space="0" w:color="000000"/>
            </w:tcBorders>
          </w:tcPr>
          <w:p w14:paraId="5B516E77" w14:textId="77777777" w:rsidR="0034520B" w:rsidRPr="003445F5" w:rsidRDefault="0034520B" w:rsidP="00704956">
            <w:pPr>
              <w:rPr>
                <w:szCs w:val="22"/>
                <w:lang w:val="sr-Latn-ME"/>
              </w:rPr>
            </w:pPr>
          </w:p>
        </w:tc>
        <w:tc>
          <w:tcPr>
            <w:tcW w:w="681" w:type="pct"/>
            <w:tcBorders>
              <w:top w:val="single" w:sz="4" w:space="0" w:color="000000"/>
              <w:left w:val="single" w:sz="4" w:space="0" w:color="000000"/>
              <w:bottom w:val="single" w:sz="4" w:space="0" w:color="000000"/>
              <w:right w:val="single" w:sz="4" w:space="0" w:color="000000"/>
            </w:tcBorders>
            <w:vAlign w:val="center"/>
          </w:tcPr>
          <w:p w14:paraId="5E07BC85" w14:textId="77777777" w:rsidR="0034520B" w:rsidRPr="003445F5" w:rsidRDefault="0034520B" w:rsidP="00704956">
            <w:pPr>
              <w:jc w:val="center"/>
              <w:rPr>
                <w:b/>
                <w:bCs/>
                <w:szCs w:val="22"/>
                <w:lang w:val="sr-Latn-ME"/>
              </w:rPr>
            </w:pPr>
            <w:r w:rsidRPr="003445F5">
              <w:rPr>
                <w:b/>
                <w:bCs/>
                <w:szCs w:val="22"/>
                <w:lang w:val="sr-Latn-ME"/>
              </w:rPr>
              <w:t>Placebo</w:t>
            </w:r>
          </w:p>
          <w:p w14:paraId="69D82CBB" w14:textId="77777777" w:rsidR="0034520B" w:rsidRPr="003445F5" w:rsidRDefault="0034520B" w:rsidP="00704956">
            <w:pPr>
              <w:jc w:val="center"/>
              <w:rPr>
                <w:b/>
                <w:bCs/>
                <w:szCs w:val="22"/>
                <w:lang w:val="sr-Latn-ME"/>
              </w:rPr>
            </w:pPr>
            <w:r w:rsidRPr="003445F5">
              <w:rPr>
                <w:b/>
                <w:bCs/>
                <w:szCs w:val="22"/>
                <w:lang w:val="sr-Latn-ME"/>
              </w:rPr>
              <w:t>N=108</w:t>
            </w:r>
          </w:p>
        </w:tc>
        <w:tc>
          <w:tcPr>
            <w:tcW w:w="867" w:type="pct"/>
            <w:tcBorders>
              <w:top w:val="single" w:sz="4" w:space="0" w:color="000000"/>
              <w:left w:val="single" w:sz="4" w:space="0" w:color="000000"/>
              <w:bottom w:val="single" w:sz="4" w:space="0" w:color="000000"/>
              <w:right w:val="single" w:sz="4" w:space="0" w:color="000000"/>
            </w:tcBorders>
            <w:vAlign w:val="center"/>
          </w:tcPr>
          <w:p w14:paraId="2538E9C9" w14:textId="6411EA78" w:rsidR="0034520B" w:rsidRPr="003445F5" w:rsidRDefault="0034520B" w:rsidP="00704956">
            <w:pPr>
              <w:jc w:val="center"/>
              <w:rPr>
                <w:b/>
                <w:bCs/>
                <w:szCs w:val="22"/>
                <w:lang w:val="sr-Latn-ME"/>
              </w:rPr>
            </w:pPr>
            <w:r w:rsidRPr="003445F5">
              <w:rPr>
                <w:b/>
                <w:bCs/>
                <w:szCs w:val="22"/>
                <w:lang w:val="sr-Latn-ME"/>
              </w:rPr>
              <w:t xml:space="preserve">Adalimumab 40 mg svake druge </w:t>
            </w:r>
            <w:r w:rsidR="00551F1D" w:rsidRPr="003445F5">
              <w:rPr>
                <w:b/>
                <w:bCs/>
                <w:szCs w:val="22"/>
                <w:lang w:val="sr-Latn-ME"/>
              </w:rPr>
              <w:t>nedjelj</w:t>
            </w:r>
            <w:r w:rsidR="0047711E" w:rsidRPr="003445F5">
              <w:rPr>
                <w:b/>
                <w:bCs/>
                <w:szCs w:val="22"/>
                <w:lang w:val="sr-Latn-ME"/>
              </w:rPr>
              <w:t>e</w:t>
            </w:r>
          </w:p>
          <w:p w14:paraId="136D946C" w14:textId="77777777" w:rsidR="0034520B" w:rsidRPr="003445F5" w:rsidRDefault="0034520B" w:rsidP="00704956">
            <w:pPr>
              <w:jc w:val="center"/>
              <w:rPr>
                <w:b/>
                <w:bCs/>
                <w:szCs w:val="22"/>
                <w:lang w:val="sr-Latn-ME"/>
              </w:rPr>
            </w:pPr>
            <w:r w:rsidRPr="003445F5">
              <w:rPr>
                <w:b/>
                <w:bCs/>
                <w:szCs w:val="22"/>
                <w:lang w:val="sr-Latn-ME"/>
              </w:rPr>
              <w:t>N=109</w:t>
            </w:r>
          </w:p>
        </w:tc>
        <w:tc>
          <w:tcPr>
            <w:tcW w:w="547" w:type="pct"/>
            <w:tcBorders>
              <w:top w:val="single" w:sz="4" w:space="0" w:color="000000"/>
              <w:left w:val="single" w:sz="4" w:space="0" w:color="000000"/>
              <w:bottom w:val="single" w:sz="4" w:space="0" w:color="000000"/>
              <w:right w:val="single" w:sz="4" w:space="0" w:color="000000"/>
            </w:tcBorders>
            <w:vAlign w:val="center"/>
          </w:tcPr>
          <w:p w14:paraId="6DE3A2E3" w14:textId="77777777" w:rsidR="0034520B" w:rsidRPr="003445F5" w:rsidRDefault="0034520B" w:rsidP="00704956">
            <w:pPr>
              <w:jc w:val="center"/>
              <w:rPr>
                <w:b/>
                <w:bCs/>
                <w:szCs w:val="22"/>
                <w:lang w:val="sr-Latn-ME"/>
              </w:rPr>
            </w:pPr>
            <w:r w:rsidRPr="003445F5">
              <w:rPr>
                <w:b/>
                <w:bCs/>
                <w:szCs w:val="22"/>
                <w:lang w:val="sr-Latn-ME"/>
              </w:rPr>
              <w:t>Placebo</w:t>
            </w:r>
          </w:p>
          <w:p w14:paraId="50ECCC62" w14:textId="77777777" w:rsidR="0034520B" w:rsidRPr="003445F5" w:rsidRDefault="0034520B" w:rsidP="00704956">
            <w:pPr>
              <w:jc w:val="center"/>
              <w:rPr>
                <w:b/>
                <w:bCs/>
                <w:szCs w:val="22"/>
                <w:lang w:val="sr-Latn-ME"/>
              </w:rPr>
            </w:pPr>
            <w:r w:rsidRPr="003445F5">
              <w:rPr>
                <w:b/>
                <w:bCs/>
                <w:szCs w:val="22"/>
                <w:lang w:val="sr-Latn-ME"/>
              </w:rPr>
              <w:t>N=108</w:t>
            </w:r>
          </w:p>
        </w:tc>
        <w:tc>
          <w:tcPr>
            <w:tcW w:w="864" w:type="pct"/>
            <w:tcBorders>
              <w:top w:val="single" w:sz="4" w:space="0" w:color="000000"/>
              <w:left w:val="single" w:sz="4" w:space="0" w:color="000000"/>
              <w:bottom w:val="single" w:sz="4" w:space="0" w:color="000000"/>
              <w:right w:val="single" w:sz="4" w:space="0" w:color="000000"/>
            </w:tcBorders>
            <w:vAlign w:val="center"/>
          </w:tcPr>
          <w:p w14:paraId="2769B76D" w14:textId="1E5CEEE3" w:rsidR="0034520B" w:rsidRPr="003445F5" w:rsidRDefault="0034520B" w:rsidP="00704956">
            <w:pPr>
              <w:jc w:val="center"/>
              <w:rPr>
                <w:b/>
                <w:bCs/>
                <w:szCs w:val="22"/>
                <w:lang w:val="sr-Latn-ME"/>
              </w:rPr>
            </w:pPr>
            <w:r w:rsidRPr="003445F5">
              <w:rPr>
                <w:b/>
                <w:bCs/>
                <w:szCs w:val="22"/>
                <w:lang w:val="sr-Latn-ME"/>
              </w:rPr>
              <w:t xml:space="preserve">Adalimumab 40 mg svake druge </w:t>
            </w:r>
            <w:r w:rsidR="00551F1D" w:rsidRPr="003445F5">
              <w:rPr>
                <w:b/>
                <w:bCs/>
                <w:szCs w:val="22"/>
                <w:lang w:val="sr-Latn-ME"/>
              </w:rPr>
              <w:t>nedjelj</w:t>
            </w:r>
            <w:r w:rsidR="0047711E" w:rsidRPr="003445F5">
              <w:rPr>
                <w:b/>
                <w:bCs/>
                <w:szCs w:val="22"/>
                <w:lang w:val="sr-Latn-ME"/>
              </w:rPr>
              <w:t>e</w:t>
            </w:r>
          </w:p>
          <w:p w14:paraId="1DAE92B0" w14:textId="77777777" w:rsidR="0034520B" w:rsidRPr="003445F5" w:rsidRDefault="0034520B" w:rsidP="00704956">
            <w:pPr>
              <w:jc w:val="center"/>
              <w:rPr>
                <w:b/>
                <w:bCs/>
                <w:szCs w:val="22"/>
                <w:lang w:val="sr-Latn-ME"/>
              </w:rPr>
            </w:pPr>
            <w:r w:rsidRPr="003445F5">
              <w:rPr>
                <w:b/>
                <w:bCs/>
                <w:szCs w:val="22"/>
                <w:lang w:val="sr-Latn-ME"/>
              </w:rPr>
              <w:t>N=109</w:t>
            </w:r>
          </w:p>
        </w:tc>
        <w:tc>
          <w:tcPr>
            <w:tcW w:w="915" w:type="pct"/>
            <w:tcBorders>
              <w:top w:val="single" w:sz="4" w:space="0" w:color="000000"/>
              <w:left w:val="single" w:sz="4" w:space="0" w:color="000000"/>
              <w:bottom w:val="single" w:sz="4" w:space="0" w:color="000000"/>
              <w:right w:val="single" w:sz="4" w:space="0" w:color="000000"/>
            </w:tcBorders>
            <w:vAlign w:val="center"/>
          </w:tcPr>
          <w:p w14:paraId="4D3E255B" w14:textId="6E454684" w:rsidR="0034520B" w:rsidRPr="003445F5" w:rsidRDefault="0034520B" w:rsidP="00704956">
            <w:pPr>
              <w:jc w:val="center"/>
              <w:rPr>
                <w:b/>
                <w:bCs/>
                <w:szCs w:val="22"/>
                <w:lang w:val="sr-Latn-ME"/>
              </w:rPr>
            </w:pPr>
            <w:r w:rsidRPr="003445F5">
              <w:rPr>
                <w:b/>
                <w:bCs/>
                <w:szCs w:val="22"/>
                <w:lang w:val="sr-Latn-ME"/>
              </w:rPr>
              <w:t xml:space="preserve">Adalimumab 40 mg svake druge </w:t>
            </w:r>
            <w:r w:rsidR="00551F1D" w:rsidRPr="003445F5">
              <w:rPr>
                <w:b/>
                <w:bCs/>
                <w:szCs w:val="22"/>
                <w:lang w:val="sr-Latn-ME"/>
              </w:rPr>
              <w:t>nedjelj</w:t>
            </w:r>
            <w:r w:rsidR="0047711E" w:rsidRPr="003445F5">
              <w:rPr>
                <w:b/>
                <w:bCs/>
                <w:szCs w:val="22"/>
                <w:lang w:val="sr-Latn-ME"/>
              </w:rPr>
              <w:t>e</w:t>
            </w:r>
            <w:r w:rsidRPr="003445F5">
              <w:rPr>
                <w:b/>
                <w:bCs/>
                <w:szCs w:val="22"/>
                <w:lang w:val="sr-Latn-ME"/>
              </w:rPr>
              <w:t xml:space="preserve"> </w:t>
            </w:r>
          </w:p>
          <w:p w14:paraId="642BEF78" w14:textId="77777777" w:rsidR="0034520B" w:rsidRPr="003445F5" w:rsidRDefault="0034520B" w:rsidP="00704956">
            <w:pPr>
              <w:jc w:val="center"/>
              <w:rPr>
                <w:b/>
                <w:bCs/>
                <w:szCs w:val="22"/>
                <w:lang w:val="sr-Latn-ME"/>
              </w:rPr>
            </w:pPr>
            <w:r w:rsidRPr="003445F5">
              <w:rPr>
                <w:b/>
                <w:bCs/>
                <w:szCs w:val="22"/>
                <w:lang w:val="sr-Latn-ME"/>
              </w:rPr>
              <w:t>N=80</w:t>
            </w:r>
          </w:p>
        </w:tc>
      </w:tr>
      <w:tr w:rsidR="0034520B" w:rsidRPr="003445F5" w14:paraId="139B2333" w14:textId="77777777" w:rsidTr="007B5362">
        <w:trPr>
          <w:trHeight w:val="20"/>
        </w:trPr>
        <w:tc>
          <w:tcPr>
            <w:tcW w:w="1125" w:type="pct"/>
            <w:tcBorders>
              <w:top w:val="single" w:sz="4" w:space="0" w:color="000000"/>
              <w:left w:val="single" w:sz="4" w:space="0" w:color="000000"/>
              <w:bottom w:val="single" w:sz="4" w:space="0" w:color="000000"/>
              <w:right w:val="single" w:sz="4" w:space="0" w:color="000000"/>
            </w:tcBorders>
            <w:vAlign w:val="center"/>
          </w:tcPr>
          <w:p w14:paraId="7355D429" w14:textId="77777777" w:rsidR="0034520B" w:rsidRPr="003445F5" w:rsidRDefault="0034520B" w:rsidP="00704956">
            <w:pPr>
              <w:jc w:val="left"/>
              <w:rPr>
                <w:szCs w:val="22"/>
                <w:lang w:val="sr-Latn-ME"/>
              </w:rPr>
            </w:pPr>
            <w:r w:rsidRPr="003445F5">
              <w:rPr>
                <w:szCs w:val="22"/>
                <w:lang w:val="sr-Latn-ME"/>
              </w:rPr>
              <w:t>≥ mNAPSI 75 (%)</w:t>
            </w:r>
          </w:p>
        </w:tc>
        <w:tc>
          <w:tcPr>
            <w:tcW w:w="681" w:type="pct"/>
            <w:tcBorders>
              <w:top w:val="single" w:sz="4" w:space="0" w:color="000000"/>
              <w:left w:val="single" w:sz="4" w:space="0" w:color="000000"/>
              <w:bottom w:val="single" w:sz="4" w:space="0" w:color="000000"/>
              <w:right w:val="single" w:sz="4" w:space="0" w:color="000000"/>
            </w:tcBorders>
            <w:vAlign w:val="center"/>
          </w:tcPr>
          <w:p w14:paraId="3EB9255A" w14:textId="77777777" w:rsidR="0034520B" w:rsidRPr="003445F5" w:rsidRDefault="0034520B" w:rsidP="00704956">
            <w:pPr>
              <w:jc w:val="center"/>
              <w:rPr>
                <w:szCs w:val="22"/>
                <w:lang w:val="sr-Latn-ME"/>
              </w:rPr>
            </w:pPr>
            <w:r w:rsidRPr="003445F5">
              <w:rPr>
                <w:szCs w:val="22"/>
                <w:lang w:val="sr-Latn-ME"/>
              </w:rPr>
              <w:t>2,9</w:t>
            </w:r>
          </w:p>
        </w:tc>
        <w:tc>
          <w:tcPr>
            <w:tcW w:w="867" w:type="pct"/>
            <w:tcBorders>
              <w:top w:val="single" w:sz="4" w:space="0" w:color="000000"/>
              <w:left w:val="single" w:sz="4" w:space="0" w:color="000000"/>
              <w:bottom w:val="single" w:sz="4" w:space="0" w:color="000000"/>
              <w:right w:val="single" w:sz="4" w:space="0" w:color="000000"/>
            </w:tcBorders>
            <w:vAlign w:val="center"/>
          </w:tcPr>
          <w:p w14:paraId="5FDABC4B" w14:textId="77777777" w:rsidR="0034520B" w:rsidRPr="003445F5" w:rsidRDefault="0034520B" w:rsidP="00704956">
            <w:pPr>
              <w:jc w:val="center"/>
              <w:rPr>
                <w:szCs w:val="22"/>
                <w:lang w:val="sr-Latn-ME"/>
              </w:rPr>
            </w:pPr>
            <w:r w:rsidRPr="003445F5">
              <w:rPr>
                <w:szCs w:val="22"/>
                <w:lang w:val="sr-Latn-ME"/>
              </w:rPr>
              <w:t>26,0</w:t>
            </w:r>
            <w:r w:rsidRPr="003445F5">
              <w:rPr>
                <w:szCs w:val="22"/>
                <w:vertAlign w:val="superscript"/>
                <w:lang w:val="sr-Latn-ME"/>
              </w:rPr>
              <w:t>a</w:t>
            </w:r>
          </w:p>
        </w:tc>
        <w:tc>
          <w:tcPr>
            <w:tcW w:w="547" w:type="pct"/>
            <w:tcBorders>
              <w:top w:val="single" w:sz="4" w:space="0" w:color="000000"/>
              <w:left w:val="single" w:sz="4" w:space="0" w:color="000000"/>
              <w:bottom w:val="single" w:sz="4" w:space="0" w:color="000000"/>
              <w:right w:val="single" w:sz="4" w:space="0" w:color="000000"/>
            </w:tcBorders>
            <w:vAlign w:val="center"/>
          </w:tcPr>
          <w:p w14:paraId="657677D7" w14:textId="77777777" w:rsidR="0034520B" w:rsidRPr="003445F5" w:rsidRDefault="0034520B" w:rsidP="00704956">
            <w:pPr>
              <w:jc w:val="center"/>
              <w:rPr>
                <w:szCs w:val="22"/>
                <w:lang w:val="sr-Latn-ME"/>
              </w:rPr>
            </w:pPr>
            <w:r w:rsidRPr="003445F5">
              <w:rPr>
                <w:szCs w:val="22"/>
                <w:lang w:val="sr-Latn-ME"/>
              </w:rPr>
              <w:t>3,4</w:t>
            </w:r>
          </w:p>
        </w:tc>
        <w:tc>
          <w:tcPr>
            <w:tcW w:w="864" w:type="pct"/>
            <w:tcBorders>
              <w:top w:val="single" w:sz="4" w:space="0" w:color="000000"/>
              <w:left w:val="single" w:sz="4" w:space="0" w:color="000000"/>
              <w:bottom w:val="single" w:sz="4" w:space="0" w:color="000000"/>
              <w:right w:val="single" w:sz="4" w:space="0" w:color="000000"/>
            </w:tcBorders>
            <w:vAlign w:val="center"/>
          </w:tcPr>
          <w:p w14:paraId="0CE050D8" w14:textId="77777777" w:rsidR="0034520B" w:rsidRPr="003445F5" w:rsidRDefault="0034520B" w:rsidP="00704956">
            <w:pPr>
              <w:jc w:val="center"/>
              <w:rPr>
                <w:szCs w:val="22"/>
                <w:lang w:val="sr-Latn-ME"/>
              </w:rPr>
            </w:pPr>
            <w:r w:rsidRPr="003445F5">
              <w:rPr>
                <w:szCs w:val="22"/>
                <w:lang w:val="sr-Latn-ME"/>
              </w:rPr>
              <w:t>46,6</w:t>
            </w:r>
            <w:r w:rsidRPr="003445F5">
              <w:rPr>
                <w:szCs w:val="22"/>
                <w:vertAlign w:val="superscript"/>
                <w:lang w:val="sr-Latn-ME"/>
              </w:rPr>
              <w:t>a</w:t>
            </w:r>
          </w:p>
        </w:tc>
        <w:tc>
          <w:tcPr>
            <w:tcW w:w="915" w:type="pct"/>
            <w:tcBorders>
              <w:top w:val="single" w:sz="4" w:space="0" w:color="000000"/>
              <w:left w:val="single" w:sz="4" w:space="0" w:color="000000"/>
              <w:bottom w:val="single" w:sz="4" w:space="0" w:color="000000"/>
              <w:right w:val="single" w:sz="4" w:space="0" w:color="000000"/>
            </w:tcBorders>
            <w:vAlign w:val="center"/>
          </w:tcPr>
          <w:p w14:paraId="148A2ADD" w14:textId="77777777" w:rsidR="0034520B" w:rsidRPr="003445F5" w:rsidRDefault="0034520B" w:rsidP="00704956">
            <w:pPr>
              <w:jc w:val="center"/>
              <w:rPr>
                <w:szCs w:val="22"/>
                <w:lang w:val="sr-Latn-ME"/>
              </w:rPr>
            </w:pPr>
            <w:r w:rsidRPr="003445F5">
              <w:rPr>
                <w:szCs w:val="22"/>
                <w:lang w:val="sr-Latn-ME"/>
              </w:rPr>
              <w:t>65,0</w:t>
            </w:r>
          </w:p>
        </w:tc>
      </w:tr>
      <w:tr w:rsidR="0034520B" w:rsidRPr="003445F5" w14:paraId="1252FBDE" w14:textId="77777777" w:rsidTr="007B5362">
        <w:trPr>
          <w:trHeight w:val="20"/>
        </w:trPr>
        <w:tc>
          <w:tcPr>
            <w:tcW w:w="1125" w:type="pct"/>
            <w:tcBorders>
              <w:top w:val="single" w:sz="4" w:space="0" w:color="000000"/>
              <w:left w:val="single" w:sz="4" w:space="0" w:color="000000"/>
              <w:bottom w:val="single" w:sz="4" w:space="0" w:color="000000"/>
              <w:right w:val="single" w:sz="4" w:space="0" w:color="000000"/>
            </w:tcBorders>
            <w:vAlign w:val="center"/>
          </w:tcPr>
          <w:p w14:paraId="41A216DF" w14:textId="77777777" w:rsidR="0034520B" w:rsidRPr="003445F5" w:rsidRDefault="0034520B" w:rsidP="00704956">
            <w:pPr>
              <w:jc w:val="left"/>
              <w:rPr>
                <w:szCs w:val="22"/>
                <w:lang w:val="sr-Latn-ME"/>
              </w:rPr>
            </w:pPr>
            <w:r w:rsidRPr="003445F5">
              <w:rPr>
                <w:szCs w:val="22"/>
                <w:lang w:val="sr-Latn-ME"/>
              </w:rPr>
              <w:t>PGA-F: bez bolesti/minimalno i poboljšanje za ≥ 2 stepena (%)</w:t>
            </w:r>
          </w:p>
        </w:tc>
        <w:tc>
          <w:tcPr>
            <w:tcW w:w="681" w:type="pct"/>
            <w:tcBorders>
              <w:top w:val="single" w:sz="4" w:space="0" w:color="000000"/>
              <w:left w:val="single" w:sz="4" w:space="0" w:color="000000"/>
              <w:bottom w:val="single" w:sz="4" w:space="0" w:color="000000"/>
              <w:right w:val="single" w:sz="4" w:space="0" w:color="000000"/>
            </w:tcBorders>
            <w:vAlign w:val="center"/>
          </w:tcPr>
          <w:p w14:paraId="02543D76" w14:textId="77777777" w:rsidR="0034520B" w:rsidRPr="003445F5" w:rsidRDefault="0034520B" w:rsidP="00704956">
            <w:pPr>
              <w:jc w:val="center"/>
              <w:rPr>
                <w:szCs w:val="22"/>
                <w:lang w:val="sr-Latn-ME"/>
              </w:rPr>
            </w:pPr>
            <w:r w:rsidRPr="003445F5">
              <w:rPr>
                <w:szCs w:val="22"/>
                <w:lang w:val="sr-Latn-ME"/>
              </w:rPr>
              <w:t>2,9</w:t>
            </w:r>
          </w:p>
        </w:tc>
        <w:tc>
          <w:tcPr>
            <w:tcW w:w="867" w:type="pct"/>
            <w:tcBorders>
              <w:top w:val="single" w:sz="4" w:space="0" w:color="000000"/>
              <w:left w:val="single" w:sz="4" w:space="0" w:color="000000"/>
              <w:bottom w:val="single" w:sz="4" w:space="0" w:color="000000"/>
              <w:right w:val="single" w:sz="4" w:space="0" w:color="000000"/>
            </w:tcBorders>
            <w:vAlign w:val="center"/>
          </w:tcPr>
          <w:p w14:paraId="74C6802D" w14:textId="77777777" w:rsidR="0034520B" w:rsidRPr="003445F5" w:rsidRDefault="0034520B" w:rsidP="00704956">
            <w:pPr>
              <w:jc w:val="center"/>
              <w:rPr>
                <w:szCs w:val="22"/>
                <w:lang w:val="sr-Latn-ME"/>
              </w:rPr>
            </w:pPr>
            <w:r w:rsidRPr="003445F5">
              <w:rPr>
                <w:szCs w:val="22"/>
                <w:lang w:val="sr-Latn-ME"/>
              </w:rPr>
              <w:t>29,7</w:t>
            </w:r>
            <w:r w:rsidRPr="003445F5">
              <w:rPr>
                <w:szCs w:val="22"/>
                <w:vertAlign w:val="superscript"/>
                <w:lang w:val="sr-Latn-ME"/>
              </w:rPr>
              <w:t>a</w:t>
            </w:r>
          </w:p>
        </w:tc>
        <w:tc>
          <w:tcPr>
            <w:tcW w:w="547" w:type="pct"/>
            <w:tcBorders>
              <w:top w:val="single" w:sz="4" w:space="0" w:color="000000"/>
              <w:left w:val="single" w:sz="4" w:space="0" w:color="000000"/>
              <w:bottom w:val="single" w:sz="4" w:space="0" w:color="000000"/>
              <w:right w:val="single" w:sz="4" w:space="0" w:color="000000"/>
            </w:tcBorders>
            <w:vAlign w:val="center"/>
          </w:tcPr>
          <w:p w14:paraId="7E3033E9" w14:textId="77777777" w:rsidR="0034520B" w:rsidRPr="003445F5" w:rsidRDefault="0034520B" w:rsidP="00704956">
            <w:pPr>
              <w:jc w:val="center"/>
              <w:rPr>
                <w:szCs w:val="22"/>
                <w:lang w:val="sr-Latn-ME"/>
              </w:rPr>
            </w:pPr>
            <w:r w:rsidRPr="003445F5">
              <w:rPr>
                <w:szCs w:val="22"/>
                <w:lang w:val="sr-Latn-ME"/>
              </w:rPr>
              <w:t>6,9</w:t>
            </w:r>
          </w:p>
        </w:tc>
        <w:tc>
          <w:tcPr>
            <w:tcW w:w="864" w:type="pct"/>
            <w:tcBorders>
              <w:top w:val="single" w:sz="4" w:space="0" w:color="000000"/>
              <w:left w:val="single" w:sz="4" w:space="0" w:color="000000"/>
              <w:bottom w:val="single" w:sz="4" w:space="0" w:color="000000"/>
              <w:right w:val="single" w:sz="4" w:space="0" w:color="000000"/>
            </w:tcBorders>
            <w:vAlign w:val="center"/>
          </w:tcPr>
          <w:p w14:paraId="1A446244" w14:textId="77777777" w:rsidR="0034520B" w:rsidRPr="003445F5" w:rsidRDefault="0034520B" w:rsidP="00704956">
            <w:pPr>
              <w:jc w:val="center"/>
              <w:rPr>
                <w:szCs w:val="22"/>
                <w:lang w:val="sr-Latn-ME"/>
              </w:rPr>
            </w:pPr>
            <w:r w:rsidRPr="003445F5">
              <w:rPr>
                <w:szCs w:val="22"/>
                <w:lang w:val="sr-Latn-ME"/>
              </w:rPr>
              <w:t>48,9</w:t>
            </w:r>
            <w:r w:rsidRPr="003445F5">
              <w:rPr>
                <w:szCs w:val="22"/>
                <w:vertAlign w:val="superscript"/>
                <w:lang w:val="sr-Latn-ME"/>
              </w:rPr>
              <w:t>a</w:t>
            </w:r>
          </w:p>
        </w:tc>
        <w:tc>
          <w:tcPr>
            <w:tcW w:w="915" w:type="pct"/>
            <w:tcBorders>
              <w:top w:val="single" w:sz="4" w:space="0" w:color="000000"/>
              <w:left w:val="single" w:sz="4" w:space="0" w:color="000000"/>
              <w:bottom w:val="single" w:sz="4" w:space="0" w:color="000000"/>
              <w:right w:val="single" w:sz="4" w:space="0" w:color="000000"/>
            </w:tcBorders>
            <w:vAlign w:val="center"/>
          </w:tcPr>
          <w:p w14:paraId="4C7A7E7A" w14:textId="77777777" w:rsidR="0034520B" w:rsidRPr="003445F5" w:rsidRDefault="0034520B" w:rsidP="00704956">
            <w:pPr>
              <w:jc w:val="center"/>
              <w:rPr>
                <w:szCs w:val="22"/>
                <w:lang w:val="sr-Latn-ME"/>
              </w:rPr>
            </w:pPr>
            <w:r w:rsidRPr="003445F5">
              <w:rPr>
                <w:szCs w:val="22"/>
                <w:lang w:val="sr-Latn-ME"/>
              </w:rPr>
              <w:t>61,3</w:t>
            </w:r>
          </w:p>
        </w:tc>
      </w:tr>
      <w:tr w:rsidR="0034520B" w:rsidRPr="003445F5" w14:paraId="32FC868C" w14:textId="77777777" w:rsidTr="007B5362">
        <w:trPr>
          <w:trHeight w:val="20"/>
        </w:trPr>
        <w:tc>
          <w:tcPr>
            <w:tcW w:w="1125" w:type="pct"/>
            <w:tcBorders>
              <w:top w:val="single" w:sz="4" w:space="0" w:color="000000"/>
              <w:left w:val="single" w:sz="4" w:space="0" w:color="000000"/>
              <w:bottom w:val="single" w:sz="4" w:space="0" w:color="000000"/>
              <w:right w:val="single" w:sz="4" w:space="0" w:color="000000"/>
            </w:tcBorders>
            <w:vAlign w:val="center"/>
          </w:tcPr>
          <w:p w14:paraId="14953C8F" w14:textId="720888C7" w:rsidR="0034520B" w:rsidRPr="003445F5" w:rsidRDefault="0034520B" w:rsidP="00704956">
            <w:pPr>
              <w:jc w:val="left"/>
              <w:rPr>
                <w:szCs w:val="22"/>
                <w:lang w:val="sr-Latn-ME"/>
              </w:rPr>
            </w:pPr>
            <w:r w:rsidRPr="003445F5">
              <w:rPr>
                <w:szCs w:val="22"/>
                <w:lang w:val="sr-Latn-ME"/>
              </w:rPr>
              <w:t>Prom</w:t>
            </w:r>
            <w:r w:rsidR="007B5362" w:rsidRPr="003445F5">
              <w:rPr>
                <w:szCs w:val="22"/>
                <w:lang w:val="sr-Latn-ME"/>
              </w:rPr>
              <w:t>j</w:t>
            </w:r>
            <w:r w:rsidRPr="003445F5">
              <w:rPr>
                <w:szCs w:val="22"/>
                <w:lang w:val="sr-Latn-ME"/>
              </w:rPr>
              <w:t>ena ukupnog NAPSI rezultata za psorijazu noktiju na rukama (%)</w:t>
            </w:r>
          </w:p>
        </w:tc>
        <w:tc>
          <w:tcPr>
            <w:tcW w:w="681" w:type="pct"/>
            <w:tcBorders>
              <w:top w:val="single" w:sz="4" w:space="0" w:color="000000"/>
              <w:left w:val="single" w:sz="4" w:space="0" w:color="000000"/>
              <w:bottom w:val="single" w:sz="4" w:space="0" w:color="000000"/>
              <w:right w:val="single" w:sz="4" w:space="0" w:color="000000"/>
            </w:tcBorders>
            <w:vAlign w:val="center"/>
          </w:tcPr>
          <w:p w14:paraId="3C40E34F" w14:textId="77777777" w:rsidR="0034520B" w:rsidRPr="003445F5" w:rsidRDefault="0034520B" w:rsidP="00704956">
            <w:pPr>
              <w:jc w:val="center"/>
              <w:rPr>
                <w:szCs w:val="22"/>
                <w:lang w:val="sr-Latn-ME"/>
              </w:rPr>
            </w:pPr>
            <w:r w:rsidRPr="003445F5">
              <w:rPr>
                <w:szCs w:val="22"/>
                <w:lang w:val="sr-Latn-ME"/>
              </w:rPr>
              <w:t>-7,8</w:t>
            </w:r>
          </w:p>
        </w:tc>
        <w:tc>
          <w:tcPr>
            <w:tcW w:w="867" w:type="pct"/>
            <w:tcBorders>
              <w:top w:val="single" w:sz="4" w:space="0" w:color="000000"/>
              <w:left w:val="single" w:sz="4" w:space="0" w:color="000000"/>
              <w:bottom w:val="single" w:sz="4" w:space="0" w:color="000000"/>
              <w:right w:val="single" w:sz="4" w:space="0" w:color="000000"/>
            </w:tcBorders>
            <w:vAlign w:val="center"/>
          </w:tcPr>
          <w:p w14:paraId="205D31BB" w14:textId="77777777" w:rsidR="0034520B" w:rsidRPr="003445F5" w:rsidRDefault="0034520B" w:rsidP="00704956">
            <w:pPr>
              <w:jc w:val="center"/>
              <w:rPr>
                <w:szCs w:val="22"/>
                <w:lang w:val="sr-Latn-ME"/>
              </w:rPr>
            </w:pPr>
            <w:r w:rsidRPr="003445F5">
              <w:rPr>
                <w:szCs w:val="22"/>
                <w:lang w:val="sr-Latn-ME"/>
              </w:rPr>
              <w:t>-44,2</w:t>
            </w:r>
            <w:r w:rsidRPr="003445F5">
              <w:rPr>
                <w:szCs w:val="22"/>
                <w:vertAlign w:val="superscript"/>
                <w:lang w:val="sr-Latn-ME"/>
              </w:rPr>
              <w:t>a</w:t>
            </w:r>
          </w:p>
        </w:tc>
        <w:tc>
          <w:tcPr>
            <w:tcW w:w="547" w:type="pct"/>
            <w:tcBorders>
              <w:top w:val="single" w:sz="4" w:space="0" w:color="000000"/>
              <w:left w:val="single" w:sz="4" w:space="0" w:color="000000"/>
              <w:bottom w:val="single" w:sz="4" w:space="0" w:color="000000"/>
              <w:right w:val="single" w:sz="4" w:space="0" w:color="000000"/>
            </w:tcBorders>
            <w:vAlign w:val="center"/>
          </w:tcPr>
          <w:p w14:paraId="32499938" w14:textId="77777777" w:rsidR="0034520B" w:rsidRPr="003445F5" w:rsidRDefault="0034520B" w:rsidP="00704956">
            <w:pPr>
              <w:jc w:val="center"/>
              <w:rPr>
                <w:szCs w:val="22"/>
                <w:lang w:val="sr-Latn-ME"/>
              </w:rPr>
            </w:pPr>
            <w:r w:rsidRPr="003445F5">
              <w:rPr>
                <w:szCs w:val="22"/>
                <w:lang w:val="sr-Latn-ME"/>
              </w:rPr>
              <w:t>-11,5</w:t>
            </w:r>
          </w:p>
        </w:tc>
        <w:tc>
          <w:tcPr>
            <w:tcW w:w="864" w:type="pct"/>
            <w:tcBorders>
              <w:top w:val="single" w:sz="4" w:space="0" w:color="000000"/>
              <w:left w:val="single" w:sz="4" w:space="0" w:color="000000"/>
              <w:bottom w:val="single" w:sz="4" w:space="0" w:color="000000"/>
              <w:right w:val="single" w:sz="4" w:space="0" w:color="000000"/>
            </w:tcBorders>
            <w:vAlign w:val="center"/>
          </w:tcPr>
          <w:p w14:paraId="4C87BB5B" w14:textId="77777777" w:rsidR="0034520B" w:rsidRPr="003445F5" w:rsidRDefault="0034520B" w:rsidP="00704956">
            <w:pPr>
              <w:jc w:val="center"/>
              <w:rPr>
                <w:szCs w:val="22"/>
                <w:lang w:val="sr-Latn-ME"/>
              </w:rPr>
            </w:pPr>
            <w:r w:rsidRPr="003445F5">
              <w:rPr>
                <w:szCs w:val="22"/>
                <w:lang w:val="sr-Latn-ME"/>
              </w:rPr>
              <w:t>-56,2</w:t>
            </w:r>
            <w:r w:rsidRPr="003445F5">
              <w:rPr>
                <w:szCs w:val="22"/>
                <w:vertAlign w:val="superscript"/>
                <w:lang w:val="sr-Latn-ME"/>
              </w:rPr>
              <w:t>a</w:t>
            </w:r>
          </w:p>
        </w:tc>
        <w:tc>
          <w:tcPr>
            <w:tcW w:w="915" w:type="pct"/>
            <w:tcBorders>
              <w:top w:val="single" w:sz="4" w:space="0" w:color="000000"/>
              <w:left w:val="single" w:sz="4" w:space="0" w:color="000000"/>
              <w:bottom w:val="single" w:sz="4" w:space="0" w:color="000000"/>
              <w:right w:val="single" w:sz="4" w:space="0" w:color="000000"/>
            </w:tcBorders>
            <w:vAlign w:val="center"/>
          </w:tcPr>
          <w:p w14:paraId="0E2B6CE0" w14:textId="77777777" w:rsidR="0034520B" w:rsidRPr="003445F5" w:rsidRDefault="0034520B" w:rsidP="00704956">
            <w:pPr>
              <w:jc w:val="center"/>
              <w:rPr>
                <w:szCs w:val="22"/>
                <w:lang w:val="sr-Latn-ME"/>
              </w:rPr>
            </w:pPr>
            <w:r w:rsidRPr="003445F5">
              <w:rPr>
                <w:szCs w:val="22"/>
                <w:lang w:val="sr-Latn-ME"/>
              </w:rPr>
              <w:t>-72,2</w:t>
            </w:r>
          </w:p>
        </w:tc>
      </w:tr>
      <w:tr w:rsidR="0034520B" w:rsidRPr="003445F5" w14:paraId="6AC419BA" w14:textId="77777777" w:rsidTr="00704956">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CC2730A" w14:textId="77777777" w:rsidR="0034520B" w:rsidRPr="003445F5" w:rsidRDefault="0034520B" w:rsidP="00704956">
            <w:pPr>
              <w:jc w:val="left"/>
              <w:rPr>
                <w:szCs w:val="22"/>
                <w:lang w:val="sr-Latn-ME"/>
              </w:rPr>
            </w:pPr>
            <w:r w:rsidRPr="003445F5">
              <w:rPr>
                <w:szCs w:val="22"/>
                <w:vertAlign w:val="superscript"/>
                <w:lang w:val="sr-Latn-ME"/>
              </w:rPr>
              <w:t>a</w:t>
            </w:r>
            <w:r w:rsidRPr="003445F5">
              <w:rPr>
                <w:szCs w:val="22"/>
                <w:lang w:val="sr-Latn-ME"/>
              </w:rPr>
              <w:t xml:space="preserve"> p &lt; 0,001, adalimumab vs. placebo</w:t>
            </w:r>
          </w:p>
        </w:tc>
      </w:tr>
    </w:tbl>
    <w:p w14:paraId="29A2084C" w14:textId="48250C6C" w:rsidR="00DC548F" w:rsidRPr="003445F5" w:rsidRDefault="00DC548F" w:rsidP="00524FDF">
      <w:pPr>
        <w:rPr>
          <w:szCs w:val="22"/>
          <w:lang w:val="sr-Latn-ME"/>
        </w:rPr>
      </w:pPr>
    </w:p>
    <w:p w14:paraId="2B0D070E" w14:textId="72AF1DCD" w:rsidR="009D2672" w:rsidRPr="003445F5" w:rsidRDefault="009D2672" w:rsidP="009D2672">
      <w:pPr>
        <w:rPr>
          <w:szCs w:val="22"/>
          <w:lang w:val="sr-Latn-ME"/>
        </w:rPr>
      </w:pPr>
      <w:r w:rsidRPr="003445F5">
        <w:rPr>
          <w:szCs w:val="22"/>
          <w:lang w:val="sr-Latn-ME"/>
        </w:rPr>
        <w:lastRenderedPageBreak/>
        <w:t xml:space="preserve">Pacijenti liječeni adalimumabom pokazali su statistički značajna poboljšanja DLQI rezultata u </w:t>
      </w:r>
      <w:r w:rsidR="00551F1D" w:rsidRPr="003445F5">
        <w:rPr>
          <w:szCs w:val="22"/>
          <w:lang w:val="sr-Latn-ME"/>
        </w:rPr>
        <w:t>nedjelj</w:t>
      </w:r>
      <w:r w:rsidR="00704AF5" w:rsidRPr="003445F5">
        <w:rPr>
          <w:szCs w:val="22"/>
          <w:lang w:val="sr-Latn-ME"/>
        </w:rPr>
        <w:t>i</w:t>
      </w:r>
      <w:r w:rsidRPr="003445F5">
        <w:rPr>
          <w:szCs w:val="22"/>
          <w:lang w:val="sr-Latn-ME"/>
        </w:rPr>
        <w:t xml:space="preserve"> 26 u odnosu na placebo.</w:t>
      </w:r>
    </w:p>
    <w:p w14:paraId="25CE3033" w14:textId="77777777" w:rsidR="00D17E7C" w:rsidRPr="003445F5" w:rsidRDefault="00D17E7C" w:rsidP="00D17E7C">
      <w:pPr>
        <w:rPr>
          <w:szCs w:val="22"/>
          <w:lang w:val="sr-Latn-ME"/>
        </w:rPr>
      </w:pPr>
    </w:p>
    <w:p w14:paraId="69A77D37" w14:textId="77777777" w:rsidR="00926C25" w:rsidRPr="003445F5" w:rsidRDefault="00926C25" w:rsidP="00926C25">
      <w:pPr>
        <w:rPr>
          <w:i/>
          <w:iCs/>
          <w:szCs w:val="22"/>
          <w:lang w:val="sr-Latn-ME"/>
        </w:rPr>
      </w:pPr>
      <w:r w:rsidRPr="003445F5">
        <w:rPr>
          <w:i/>
          <w:iCs/>
          <w:szCs w:val="22"/>
          <w:lang w:val="sr-Latn-ME"/>
        </w:rPr>
        <w:t xml:space="preserve">Gnojno zapaljenje znojnih žlijezda (Hidradenitis suppurativa) </w:t>
      </w:r>
    </w:p>
    <w:p w14:paraId="597B85D7" w14:textId="77777777" w:rsidR="00926C25" w:rsidRPr="003445F5" w:rsidRDefault="00926C25" w:rsidP="00926C25">
      <w:pPr>
        <w:rPr>
          <w:szCs w:val="22"/>
          <w:lang w:val="sr-Latn-ME"/>
        </w:rPr>
      </w:pPr>
      <w:r w:rsidRPr="003445F5">
        <w:rPr>
          <w:szCs w:val="22"/>
          <w:lang w:val="sr-Latn-ME"/>
        </w:rPr>
        <w:t>Bezbjednost i efikasnost adalimumaba procjenjivale su se u randomizovanim, dvostruko slijepim, placebo kontrolisanim ispitivanjima i jednom otvorenom produžetku ispitivanja kod odraslih pacijenata sa umjerenim do teškim gnojnim zapaljenjem znojnih žlijezda (</w:t>
      </w:r>
      <w:r w:rsidRPr="003445F5">
        <w:rPr>
          <w:i/>
          <w:iCs/>
          <w:szCs w:val="22"/>
          <w:lang w:val="sr-Latn-ME"/>
        </w:rPr>
        <w:t>Hidradenitis suppurativa</w:t>
      </w:r>
      <w:r w:rsidRPr="003445F5">
        <w:rPr>
          <w:szCs w:val="22"/>
          <w:lang w:val="sr-Latn-ME"/>
        </w:rPr>
        <w:t xml:space="preserve">, HS) koji nisu podnosili sistemske antibiotike, koji su imali kontraindikacije za njihovu primjenu ili nisu postigli zadovoljavajući odgovor na liječenje sistemskim antibioticima tokom najmanje 3 mjeseca. Pacijenti u ispitivanjima HS-I i HS-II imali su bolest stadijuma II ili III prema </w:t>
      </w:r>
      <w:r w:rsidRPr="003445F5">
        <w:rPr>
          <w:i/>
          <w:iCs/>
          <w:szCs w:val="22"/>
          <w:lang w:val="sr-Latn-ME"/>
        </w:rPr>
        <w:t>Hurley</w:t>
      </w:r>
      <w:r w:rsidRPr="003445F5">
        <w:rPr>
          <w:szCs w:val="22"/>
          <w:lang w:val="sr-Latn-ME"/>
        </w:rPr>
        <w:t xml:space="preserve">-evoj klasifikaciji i najmanje 3 apscesa ili zapaljenjska nodusa. </w:t>
      </w:r>
    </w:p>
    <w:p w14:paraId="72CA614B" w14:textId="77777777" w:rsidR="00926C25" w:rsidRPr="003445F5" w:rsidRDefault="00926C25" w:rsidP="00926C25">
      <w:pPr>
        <w:rPr>
          <w:szCs w:val="22"/>
          <w:lang w:val="sr-Latn-ME"/>
        </w:rPr>
      </w:pPr>
    </w:p>
    <w:p w14:paraId="5903726E" w14:textId="08B6794F" w:rsidR="00926C25" w:rsidRPr="003445F5" w:rsidRDefault="00926C25" w:rsidP="00926C25">
      <w:pPr>
        <w:rPr>
          <w:szCs w:val="22"/>
          <w:lang w:val="sr-Latn-ME"/>
        </w:rPr>
      </w:pPr>
      <w:r w:rsidRPr="003445F5">
        <w:rPr>
          <w:szCs w:val="22"/>
          <w:lang w:val="sr-Latn-ME"/>
        </w:rPr>
        <w:t xml:space="preserve">Ispitivanje HS-I (PIONEER I) ocjenjivalo je 307 pacijenata tokom 2 perioda liječenja. Tokom perioda A pacijenti su primali placebo ili adalimumab u početnoj dozi od 160 mg u </w:t>
      </w:r>
      <w:r w:rsidR="00551F1D" w:rsidRPr="003445F5">
        <w:rPr>
          <w:szCs w:val="22"/>
          <w:lang w:val="sr-Latn-ME"/>
        </w:rPr>
        <w:t>nedjelj</w:t>
      </w:r>
      <w:r w:rsidR="00704AF5" w:rsidRPr="003445F5">
        <w:rPr>
          <w:szCs w:val="22"/>
          <w:lang w:val="sr-Latn-ME"/>
        </w:rPr>
        <w:t>i</w:t>
      </w:r>
      <w:r w:rsidRPr="003445F5">
        <w:rPr>
          <w:szCs w:val="22"/>
          <w:lang w:val="sr-Latn-ME"/>
        </w:rPr>
        <w:t xml:space="preserve"> 0 i 80 mg u 2. </w:t>
      </w:r>
      <w:r w:rsidR="00551F1D" w:rsidRPr="003445F5">
        <w:rPr>
          <w:szCs w:val="22"/>
          <w:lang w:val="sr-Latn-ME"/>
        </w:rPr>
        <w:t>nedjelj</w:t>
      </w:r>
      <w:r w:rsidR="00704AF5" w:rsidRPr="003445F5">
        <w:rPr>
          <w:szCs w:val="22"/>
          <w:lang w:val="sr-Latn-ME"/>
        </w:rPr>
        <w:t>i</w:t>
      </w:r>
      <w:r w:rsidRPr="003445F5">
        <w:rPr>
          <w:szCs w:val="22"/>
          <w:lang w:val="sr-Latn-ME"/>
        </w:rPr>
        <w:t xml:space="preserve">, a zatim u dozi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počevši od 4. </w:t>
      </w:r>
      <w:r w:rsidR="00551F1D" w:rsidRPr="003445F5">
        <w:rPr>
          <w:szCs w:val="22"/>
          <w:lang w:val="sr-Latn-ME"/>
        </w:rPr>
        <w:t>nedjelj</w:t>
      </w:r>
      <w:r w:rsidR="0047711E" w:rsidRPr="003445F5">
        <w:rPr>
          <w:szCs w:val="22"/>
          <w:lang w:val="sr-Latn-ME"/>
        </w:rPr>
        <w:t>e</w:t>
      </w:r>
      <w:r w:rsidRPr="003445F5">
        <w:rPr>
          <w:szCs w:val="22"/>
          <w:lang w:val="sr-Latn-ME"/>
        </w:rPr>
        <w:t xml:space="preserve">, pa sve do 11. </w:t>
      </w:r>
      <w:r w:rsidR="00551F1D" w:rsidRPr="003445F5">
        <w:rPr>
          <w:szCs w:val="22"/>
          <w:lang w:val="sr-Latn-ME"/>
        </w:rPr>
        <w:t>nedjelj</w:t>
      </w:r>
      <w:r w:rsidR="0047711E" w:rsidRPr="003445F5">
        <w:rPr>
          <w:szCs w:val="22"/>
          <w:lang w:val="sr-Latn-ME"/>
        </w:rPr>
        <w:t>e</w:t>
      </w:r>
      <w:r w:rsidRPr="003445F5">
        <w:rPr>
          <w:szCs w:val="22"/>
          <w:lang w:val="sr-Latn-ME"/>
        </w:rPr>
        <w:t xml:space="preserve">. Tokom ispitivanja nije bila dopuštena istovremena primjena antibiotika. Nakon 12 nedjelja terapije, pacijenti koji su tokom perioda A primali adalimumab ponovo su randomizovani u periodu B u jednu od 3 terapijske grupe (adalimumab u dozi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adalimumab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ili placebo od </w:t>
      </w:r>
      <w:r w:rsidR="00551F1D" w:rsidRPr="003445F5">
        <w:rPr>
          <w:szCs w:val="22"/>
          <w:lang w:val="sr-Latn-ME"/>
        </w:rPr>
        <w:t>nedjelj</w:t>
      </w:r>
      <w:r w:rsidR="0047711E" w:rsidRPr="003445F5">
        <w:rPr>
          <w:szCs w:val="22"/>
          <w:lang w:val="sr-Latn-ME"/>
        </w:rPr>
        <w:t>e</w:t>
      </w:r>
      <w:r w:rsidRPr="003445F5">
        <w:rPr>
          <w:szCs w:val="22"/>
          <w:lang w:val="sr-Latn-ME"/>
        </w:rPr>
        <w:t xml:space="preserve"> 12. do 35. </w:t>
      </w:r>
      <w:r w:rsidR="00551F1D" w:rsidRPr="003445F5">
        <w:rPr>
          <w:szCs w:val="22"/>
          <w:lang w:val="sr-Latn-ME"/>
        </w:rPr>
        <w:t>nedjelj</w:t>
      </w:r>
      <w:r w:rsidR="0047711E" w:rsidRPr="003445F5">
        <w:rPr>
          <w:szCs w:val="22"/>
          <w:lang w:val="sr-Latn-ME"/>
        </w:rPr>
        <w:t>e</w:t>
      </w:r>
      <w:r w:rsidRPr="003445F5">
        <w:rPr>
          <w:szCs w:val="22"/>
          <w:lang w:val="sr-Latn-ME"/>
        </w:rPr>
        <w:t xml:space="preserve">). Pacijentima koji su u periodu A bili randomizovani za primanje placeba je u periodu B dodijeljeno liječenje adalimumabom u dozi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7449CD49" w14:textId="77777777" w:rsidR="00926C25" w:rsidRPr="003445F5" w:rsidRDefault="00926C25" w:rsidP="00926C25">
      <w:pPr>
        <w:rPr>
          <w:szCs w:val="22"/>
          <w:lang w:val="sr-Latn-ME"/>
        </w:rPr>
      </w:pPr>
    </w:p>
    <w:p w14:paraId="4E5555DE" w14:textId="6BF075EC" w:rsidR="00926C25" w:rsidRPr="003445F5" w:rsidRDefault="00926C25" w:rsidP="00926C25">
      <w:pPr>
        <w:rPr>
          <w:szCs w:val="22"/>
          <w:lang w:val="sr-Latn-ME"/>
        </w:rPr>
      </w:pPr>
      <w:r w:rsidRPr="003445F5">
        <w:rPr>
          <w:szCs w:val="22"/>
          <w:lang w:val="sr-Latn-ME"/>
        </w:rPr>
        <w:t xml:space="preserve">Ispitivanje HS-II (PIONEER II) procjenjivalo je 326 pacijenata tokom 2 perioda liječenja. Tokom perioda A pacijenti su primali placebo ili adalimumab u početnoj dozi od 160 mg u </w:t>
      </w:r>
      <w:r w:rsidR="00551F1D" w:rsidRPr="003445F5">
        <w:rPr>
          <w:szCs w:val="22"/>
          <w:lang w:val="sr-Latn-ME"/>
        </w:rPr>
        <w:t>nedjelj</w:t>
      </w:r>
      <w:r w:rsidR="00704AF5" w:rsidRPr="003445F5">
        <w:rPr>
          <w:szCs w:val="22"/>
          <w:lang w:val="sr-Latn-ME"/>
        </w:rPr>
        <w:t>i</w:t>
      </w:r>
      <w:r w:rsidRPr="003445F5">
        <w:rPr>
          <w:szCs w:val="22"/>
          <w:lang w:val="sr-Latn-ME"/>
        </w:rPr>
        <w:t xml:space="preserve"> 0 i 80 mg u 2. </w:t>
      </w:r>
      <w:r w:rsidR="00551F1D" w:rsidRPr="003445F5">
        <w:rPr>
          <w:szCs w:val="22"/>
          <w:lang w:val="sr-Latn-ME"/>
        </w:rPr>
        <w:t>nedjelj</w:t>
      </w:r>
      <w:r w:rsidR="00704AF5" w:rsidRPr="003445F5">
        <w:rPr>
          <w:szCs w:val="22"/>
          <w:lang w:val="sr-Latn-ME"/>
        </w:rPr>
        <w:t>i</w:t>
      </w:r>
      <w:r w:rsidRPr="003445F5">
        <w:rPr>
          <w:szCs w:val="22"/>
          <w:lang w:val="sr-Latn-ME"/>
        </w:rPr>
        <w:t xml:space="preserve">, a zatim u dozi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počevši od </w:t>
      </w:r>
      <w:r w:rsidR="00551F1D" w:rsidRPr="003445F5">
        <w:rPr>
          <w:szCs w:val="22"/>
          <w:lang w:val="sr-Latn-ME"/>
        </w:rPr>
        <w:t>nedjelj</w:t>
      </w:r>
      <w:r w:rsidR="0047711E" w:rsidRPr="003445F5">
        <w:rPr>
          <w:szCs w:val="22"/>
          <w:lang w:val="sr-Latn-ME"/>
        </w:rPr>
        <w:t>e</w:t>
      </w:r>
      <w:r w:rsidRPr="003445F5">
        <w:rPr>
          <w:szCs w:val="22"/>
          <w:lang w:val="sr-Latn-ME"/>
        </w:rPr>
        <w:t xml:space="preserve"> 4, pa sve do </w:t>
      </w:r>
      <w:r w:rsidR="00551F1D" w:rsidRPr="003445F5">
        <w:rPr>
          <w:szCs w:val="22"/>
          <w:lang w:val="sr-Latn-ME"/>
        </w:rPr>
        <w:t>nedjelj</w:t>
      </w:r>
      <w:r w:rsidR="0047711E" w:rsidRPr="003445F5">
        <w:rPr>
          <w:szCs w:val="22"/>
          <w:lang w:val="sr-Latn-ME"/>
        </w:rPr>
        <w:t>e</w:t>
      </w:r>
      <w:r w:rsidRPr="003445F5">
        <w:rPr>
          <w:szCs w:val="22"/>
          <w:lang w:val="sr-Latn-ME"/>
        </w:rPr>
        <w:t xml:space="preserve"> 11. Tokom ispitivanja, 19,3% pacijenata nastavilo je terapiju oralnim antibioticima koje su uzimali pri uključivanju u ispitivanje. Nakon 12 nedjelja terapije, pacijenti koji su tokom perioda A primali adalimumab ponovo su randomizovani u periodu B u jednu od 3 terapijske grupe (adalimumab u dozi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adalimumab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ili placebo od </w:t>
      </w:r>
      <w:r w:rsidR="00551F1D" w:rsidRPr="003445F5">
        <w:rPr>
          <w:szCs w:val="22"/>
          <w:lang w:val="sr-Latn-ME"/>
        </w:rPr>
        <w:t>nedjelj</w:t>
      </w:r>
      <w:r w:rsidR="0047711E" w:rsidRPr="003445F5">
        <w:rPr>
          <w:szCs w:val="22"/>
          <w:lang w:val="sr-Latn-ME"/>
        </w:rPr>
        <w:t>e</w:t>
      </w:r>
      <w:r w:rsidRPr="003445F5">
        <w:rPr>
          <w:szCs w:val="22"/>
          <w:lang w:val="sr-Latn-ME"/>
        </w:rPr>
        <w:t xml:space="preserve"> 12 do </w:t>
      </w:r>
      <w:r w:rsidR="00551F1D" w:rsidRPr="003445F5">
        <w:rPr>
          <w:szCs w:val="22"/>
          <w:lang w:val="sr-Latn-ME"/>
        </w:rPr>
        <w:t>nedjelj</w:t>
      </w:r>
      <w:r w:rsidR="0047711E" w:rsidRPr="003445F5">
        <w:rPr>
          <w:szCs w:val="22"/>
          <w:lang w:val="sr-Latn-ME"/>
        </w:rPr>
        <w:t>e</w:t>
      </w:r>
      <w:r w:rsidRPr="003445F5">
        <w:rPr>
          <w:szCs w:val="22"/>
          <w:lang w:val="sr-Latn-ME"/>
        </w:rPr>
        <w:t xml:space="preserve"> 35). Pacijenti koji su u periodu A bili randomizovani za primanje placeba nastavili su da primaju placebo i u periodu B. </w:t>
      </w:r>
    </w:p>
    <w:p w14:paraId="18501376" w14:textId="77777777" w:rsidR="00D17E7C" w:rsidRPr="003445F5" w:rsidRDefault="00D17E7C" w:rsidP="00D17E7C">
      <w:pPr>
        <w:rPr>
          <w:szCs w:val="22"/>
          <w:lang w:val="sr-Latn-ME"/>
        </w:rPr>
      </w:pPr>
    </w:p>
    <w:p w14:paraId="517AF5B1" w14:textId="02E8C996" w:rsidR="00E97675" w:rsidRPr="003445F5" w:rsidRDefault="00E97675" w:rsidP="00E97675">
      <w:pPr>
        <w:rPr>
          <w:szCs w:val="22"/>
          <w:lang w:val="sr-Latn-ME"/>
        </w:rPr>
      </w:pPr>
      <w:r w:rsidRPr="003445F5">
        <w:rPr>
          <w:szCs w:val="22"/>
          <w:lang w:val="sr-Latn-ME"/>
        </w:rPr>
        <w:t xml:space="preserve">Pacijenti koji su učestvovali u ispitivanjima HS-I i HS-II mogli su učestvovati u otvorenom produžetku ispitivanja u kojem se adalimumab primjenjivao svake </w:t>
      </w:r>
      <w:r w:rsidR="00551F1D" w:rsidRPr="003445F5">
        <w:rPr>
          <w:szCs w:val="22"/>
          <w:lang w:val="sr-Latn-ME"/>
        </w:rPr>
        <w:t>nedjelj</w:t>
      </w:r>
      <w:r w:rsidR="0047711E" w:rsidRPr="003445F5">
        <w:rPr>
          <w:szCs w:val="22"/>
          <w:lang w:val="sr-Latn-ME"/>
        </w:rPr>
        <w:t>e</w:t>
      </w:r>
      <w:r w:rsidRPr="003445F5">
        <w:rPr>
          <w:szCs w:val="22"/>
          <w:lang w:val="sr-Latn-ME"/>
        </w:rPr>
        <w:t xml:space="preserve"> u dozi od 40 mg. Srednja vrijednost izloženosti u c</w:t>
      </w:r>
      <w:r w:rsidR="0070066E" w:rsidRPr="003445F5">
        <w:rPr>
          <w:szCs w:val="22"/>
          <w:lang w:val="sr-Latn-ME"/>
        </w:rPr>
        <w:t>j</w:t>
      </w:r>
      <w:r w:rsidRPr="003445F5">
        <w:rPr>
          <w:szCs w:val="22"/>
          <w:lang w:val="sr-Latn-ME"/>
        </w:rPr>
        <w:t xml:space="preserve">elokupnoj populaciji liječenoj adalimumabom iznosila je 762 dana. Tokom sva 3 ispitivanja pacijenti su svakodnevno koristili antiseptični rastvor za lokalnu upotrebu. </w:t>
      </w:r>
    </w:p>
    <w:p w14:paraId="22FED6C3" w14:textId="77777777" w:rsidR="004F1450" w:rsidRPr="003445F5" w:rsidRDefault="004F1450" w:rsidP="00524FDF">
      <w:pPr>
        <w:rPr>
          <w:szCs w:val="22"/>
          <w:lang w:val="sr-Latn-ME"/>
        </w:rPr>
      </w:pPr>
    </w:p>
    <w:p w14:paraId="6EB9CC93" w14:textId="77777777" w:rsidR="006D33FD" w:rsidRPr="003445F5" w:rsidRDefault="006D33FD" w:rsidP="006D33FD">
      <w:pPr>
        <w:rPr>
          <w:i/>
          <w:iCs/>
          <w:szCs w:val="22"/>
          <w:u w:val="single"/>
          <w:lang w:val="sr-Latn-ME"/>
        </w:rPr>
      </w:pPr>
      <w:r w:rsidRPr="003445F5">
        <w:rPr>
          <w:i/>
          <w:iCs/>
          <w:szCs w:val="22"/>
          <w:u w:val="single"/>
          <w:lang w:val="sr-Latn-ME"/>
        </w:rPr>
        <w:t xml:space="preserve">Klinički odgovor </w:t>
      </w:r>
    </w:p>
    <w:p w14:paraId="53213263" w14:textId="77777777" w:rsidR="002F3837" w:rsidRPr="003445F5" w:rsidRDefault="002F3837" w:rsidP="002F3837">
      <w:pPr>
        <w:rPr>
          <w:szCs w:val="22"/>
          <w:lang w:val="sr-Latn-ME"/>
        </w:rPr>
      </w:pPr>
      <w:r w:rsidRPr="003445F5">
        <w:rPr>
          <w:szCs w:val="22"/>
          <w:lang w:val="sr-Latn-ME"/>
        </w:rPr>
        <w:t xml:space="preserve">Smanjenje zapaljenjskih lezija i prevencija pogoršanja apscesa i drenirajućih fistula ocjenjivali su se na osnovu kliničkog odgovora gnojnog zapaljenja znojnih žlijezda (engl. </w:t>
      </w:r>
      <w:r w:rsidRPr="003445F5">
        <w:rPr>
          <w:i/>
          <w:iCs/>
          <w:szCs w:val="22"/>
          <w:lang w:val="sr-Latn-ME"/>
        </w:rPr>
        <w:t>Hidradenitis Suppurativa Clinical Response</w:t>
      </w:r>
      <w:r w:rsidRPr="003445F5">
        <w:rPr>
          <w:szCs w:val="22"/>
          <w:lang w:val="sr-Latn-ME"/>
        </w:rPr>
        <w:t xml:space="preserve"> [HiSCR]; smanjenje ukupnog broja apscesa i zapaljenjskih nodusa za 50%, bez povećanja broja apscesa i bez povećanja broja drenirajućih fistula u odnosu na početnu vrijednost). Smanjenje kožnog bola uzrokovanog gnojnim zapaljenjem znojnih žlijezda ocjenjivalo se uz pomoć numeričke skale kod pacijenata koji su pri uključivanju u ispitivanje imali početni rezultat od 3 ili više na skali od 11 bodova. </w:t>
      </w:r>
    </w:p>
    <w:p w14:paraId="7A36A513" w14:textId="77777777" w:rsidR="006D33FD" w:rsidRPr="003445F5" w:rsidRDefault="006D33FD" w:rsidP="006D33FD">
      <w:pPr>
        <w:rPr>
          <w:szCs w:val="22"/>
          <w:lang w:val="sr-Latn-ME"/>
        </w:rPr>
      </w:pPr>
    </w:p>
    <w:p w14:paraId="3B1AE88E" w14:textId="4BF4A437" w:rsidR="00DD651F" w:rsidRPr="003445F5" w:rsidRDefault="00DD651F" w:rsidP="00DD651F">
      <w:pPr>
        <w:rPr>
          <w:szCs w:val="22"/>
          <w:lang w:val="sr-Latn-ME"/>
        </w:rPr>
      </w:pPr>
      <w:r w:rsidRPr="003445F5">
        <w:rPr>
          <w:szCs w:val="22"/>
          <w:lang w:val="sr-Latn-ME"/>
        </w:rPr>
        <w:t xml:space="preserve">U </w:t>
      </w:r>
      <w:r w:rsidR="00551F1D" w:rsidRPr="003445F5">
        <w:rPr>
          <w:szCs w:val="22"/>
          <w:lang w:val="sr-Latn-ME"/>
        </w:rPr>
        <w:t>nedjelj</w:t>
      </w:r>
      <w:r w:rsidR="00704AF5" w:rsidRPr="003445F5">
        <w:rPr>
          <w:szCs w:val="22"/>
          <w:lang w:val="sr-Latn-ME"/>
        </w:rPr>
        <w:t>i</w:t>
      </w:r>
      <w:r w:rsidRPr="003445F5">
        <w:rPr>
          <w:szCs w:val="22"/>
          <w:lang w:val="sr-Latn-ME"/>
        </w:rPr>
        <w:t xml:space="preserve"> 12 HiSCR je postigao značajno veći ud</w:t>
      </w:r>
      <w:r w:rsidR="00300564" w:rsidRPr="003445F5">
        <w:rPr>
          <w:szCs w:val="22"/>
          <w:lang w:val="sr-Latn-ME"/>
        </w:rPr>
        <w:t>i</w:t>
      </w:r>
      <w:r w:rsidRPr="003445F5">
        <w:rPr>
          <w:szCs w:val="22"/>
          <w:lang w:val="sr-Latn-ME"/>
        </w:rPr>
        <w:t xml:space="preserve">o pacijenata liječenih adalimumabom naspram onih koji su primali placebo. U 12. </w:t>
      </w:r>
      <w:r w:rsidR="00551F1D" w:rsidRPr="003445F5">
        <w:rPr>
          <w:szCs w:val="22"/>
          <w:lang w:val="sr-Latn-ME"/>
        </w:rPr>
        <w:t>nedjelj</w:t>
      </w:r>
      <w:r w:rsidR="00704AF5" w:rsidRPr="003445F5">
        <w:rPr>
          <w:szCs w:val="22"/>
          <w:lang w:val="sr-Latn-ME"/>
        </w:rPr>
        <w:t>i</w:t>
      </w:r>
      <w:r w:rsidRPr="003445F5">
        <w:rPr>
          <w:szCs w:val="22"/>
          <w:lang w:val="sr-Latn-ME"/>
        </w:rPr>
        <w:t xml:space="preserve"> je značajno veći </w:t>
      </w:r>
      <w:r w:rsidR="00300564" w:rsidRPr="003445F5">
        <w:rPr>
          <w:szCs w:val="22"/>
          <w:lang w:val="sr-Latn-ME"/>
        </w:rPr>
        <w:t>udio</w:t>
      </w:r>
      <w:r w:rsidRPr="003445F5">
        <w:rPr>
          <w:szCs w:val="22"/>
          <w:lang w:val="sr-Latn-ME"/>
        </w:rPr>
        <w:t xml:space="preserve"> pacijenata u ispitivanju HS-II doživ</w:t>
      </w:r>
      <w:r w:rsidR="00300564" w:rsidRPr="003445F5">
        <w:rPr>
          <w:szCs w:val="22"/>
          <w:lang w:val="sr-Latn-ME"/>
        </w:rPr>
        <w:t>i</w:t>
      </w:r>
      <w:r w:rsidRPr="003445F5">
        <w:rPr>
          <w:szCs w:val="22"/>
          <w:lang w:val="sr-Latn-ME"/>
        </w:rPr>
        <w:t>o klinički značajno smanjenje kožnog bola uzrokovanog gnojnim zapaljenjem znojnih žlijezda (vidjeti Tabelu 1</w:t>
      </w:r>
      <w:r w:rsidR="00A84ACC" w:rsidRPr="003445F5">
        <w:rPr>
          <w:szCs w:val="22"/>
          <w:lang w:val="sr-Latn-ME"/>
        </w:rPr>
        <w:t>2</w:t>
      </w:r>
      <w:r w:rsidRPr="003445F5">
        <w:rPr>
          <w:szCs w:val="22"/>
          <w:lang w:val="sr-Latn-ME"/>
        </w:rPr>
        <w:t>). Kod pacijenata liječenih adalimumabom rizik od pogoršanja bolesti značajno se smanjio tokom prvih 12 nedjelja liječenja.</w:t>
      </w:r>
    </w:p>
    <w:p w14:paraId="73789DE7" w14:textId="754E894C" w:rsidR="00B82D18" w:rsidRPr="003445F5" w:rsidRDefault="00B82D18" w:rsidP="00524FDF">
      <w:pPr>
        <w:rPr>
          <w:szCs w:val="22"/>
          <w:lang w:val="sr-Latn-ME"/>
        </w:rPr>
      </w:pPr>
    </w:p>
    <w:p w14:paraId="60F6157A" w14:textId="3013C13B" w:rsidR="00B82D18" w:rsidRPr="003445F5" w:rsidRDefault="00A01905" w:rsidP="00524FDF">
      <w:pPr>
        <w:rPr>
          <w:b/>
          <w:bCs/>
          <w:szCs w:val="22"/>
          <w:lang w:val="sr-Latn-ME"/>
        </w:rPr>
      </w:pPr>
      <w:r w:rsidRPr="003445F5">
        <w:rPr>
          <w:b/>
          <w:bCs/>
          <w:szCs w:val="22"/>
          <w:lang w:val="sr-Latn-ME"/>
        </w:rPr>
        <w:t>Tabela 1</w:t>
      </w:r>
      <w:r w:rsidR="006B2381" w:rsidRPr="003445F5">
        <w:rPr>
          <w:b/>
          <w:bCs/>
          <w:szCs w:val="22"/>
          <w:lang w:val="sr-Latn-ME"/>
        </w:rPr>
        <w:t>2</w:t>
      </w:r>
      <w:r w:rsidRPr="003445F5">
        <w:rPr>
          <w:b/>
          <w:bCs/>
          <w:szCs w:val="22"/>
          <w:lang w:val="sr-Latn-ME"/>
        </w:rPr>
        <w:t>: Rezultati efikasnosti nakon 12 ned</w:t>
      </w:r>
      <w:r w:rsidR="00DD651F" w:rsidRPr="003445F5">
        <w:rPr>
          <w:b/>
          <w:bCs/>
          <w:szCs w:val="22"/>
          <w:lang w:val="sr-Latn-ME"/>
        </w:rPr>
        <w:t>j</w:t>
      </w:r>
      <w:r w:rsidRPr="003445F5">
        <w:rPr>
          <w:b/>
          <w:bCs/>
          <w:szCs w:val="22"/>
          <w:lang w:val="sr-Latn-ME"/>
        </w:rPr>
        <w:t>elja, ispitivanja HS I i II</w:t>
      </w:r>
    </w:p>
    <w:p w14:paraId="13785045" w14:textId="09AC1D3E" w:rsidR="00B82D18" w:rsidRPr="003445F5" w:rsidRDefault="00B82D18" w:rsidP="00524FDF">
      <w:pPr>
        <w:rPr>
          <w:szCs w:val="22"/>
          <w:lang w:val="sr-Latn-ME"/>
        </w:rPr>
      </w:pPr>
    </w:p>
    <w:tbl>
      <w:tblPr>
        <w:tblW w:w="5000" w:type="pct"/>
        <w:tblCellMar>
          <w:top w:w="49" w:type="dxa"/>
          <w:left w:w="85" w:type="dxa"/>
          <w:right w:w="85" w:type="dxa"/>
        </w:tblCellMar>
        <w:tblLook w:val="04A0" w:firstRow="1" w:lastRow="0" w:firstColumn="1" w:lastColumn="0" w:noHBand="0" w:noVBand="1"/>
      </w:tblPr>
      <w:tblGrid>
        <w:gridCol w:w="2123"/>
        <w:gridCol w:w="1275"/>
        <w:gridCol w:w="2126"/>
        <w:gridCol w:w="1275"/>
        <w:gridCol w:w="2218"/>
      </w:tblGrid>
      <w:tr w:rsidR="00267C60" w:rsidRPr="003445F5" w14:paraId="79CC9101" w14:textId="77777777" w:rsidTr="00704956">
        <w:trPr>
          <w:trHeight w:val="20"/>
        </w:trPr>
        <w:tc>
          <w:tcPr>
            <w:tcW w:w="1177" w:type="pct"/>
            <w:vMerge w:val="restart"/>
            <w:tcBorders>
              <w:top w:val="single" w:sz="4" w:space="0" w:color="000000"/>
              <w:left w:val="single" w:sz="4" w:space="0" w:color="000000"/>
              <w:bottom w:val="single" w:sz="4" w:space="0" w:color="000000"/>
              <w:right w:val="single" w:sz="4" w:space="0" w:color="000000"/>
            </w:tcBorders>
          </w:tcPr>
          <w:p w14:paraId="0395C5CD" w14:textId="77777777" w:rsidR="00267C60" w:rsidRPr="003445F5" w:rsidRDefault="00267C60" w:rsidP="00704956">
            <w:pPr>
              <w:rPr>
                <w:szCs w:val="22"/>
                <w:lang w:val="sr-Latn-ME"/>
              </w:rPr>
            </w:pPr>
          </w:p>
        </w:tc>
        <w:tc>
          <w:tcPr>
            <w:tcW w:w="1886" w:type="pct"/>
            <w:gridSpan w:val="2"/>
            <w:tcBorders>
              <w:top w:val="single" w:sz="4" w:space="0" w:color="000000"/>
              <w:left w:val="single" w:sz="4" w:space="0" w:color="000000"/>
              <w:bottom w:val="single" w:sz="4" w:space="0" w:color="000000"/>
              <w:right w:val="single" w:sz="4" w:space="0" w:color="000000"/>
            </w:tcBorders>
            <w:vAlign w:val="center"/>
          </w:tcPr>
          <w:p w14:paraId="23D1F89B" w14:textId="77777777" w:rsidR="00267C60" w:rsidRPr="003445F5" w:rsidRDefault="00267C60" w:rsidP="00704956">
            <w:pPr>
              <w:jc w:val="center"/>
              <w:rPr>
                <w:szCs w:val="22"/>
                <w:lang w:val="sr-Latn-ME"/>
              </w:rPr>
            </w:pPr>
            <w:r w:rsidRPr="003445F5">
              <w:rPr>
                <w:b/>
                <w:szCs w:val="22"/>
                <w:lang w:val="sr-Latn-ME"/>
              </w:rPr>
              <w:t>Ispitivanje HS I</w:t>
            </w:r>
          </w:p>
        </w:tc>
        <w:tc>
          <w:tcPr>
            <w:tcW w:w="1937" w:type="pct"/>
            <w:gridSpan w:val="2"/>
            <w:tcBorders>
              <w:top w:val="single" w:sz="4" w:space="0" w:color="000000"/>
              <w:left w:val="single" w:sz="4" w:space="0" w:color="000000"/>
              <w:bottom w:val="single" w:sz="4" w:space="0" w:color="000000"/>
              <w:right w:val="single" w:sz="4" w:space="0" w:color="000000"/>
            </w:tcBorders>
            <w:vAlign w:val="center"/>
          </w:tcPr>
          <w:p w14:paraId="493B0F73" w14:textId="77777777" w:rsidR="00267C60" w:rsidRPr="003445F5" w:rsidRDefault="00267C60" w:rsidP="00704956">
            <w:pPr>
              <w:jc w:val="center"/>
              <w:rPr>
                <w:szCs w:val="22"/>
                <w:lang w:val="sr-Latn-ME"/>
              </w:rPr>
            </w:pPr>
            <w:r w:rsidRPr="003445F5">
              <w:rPr>
                <w:b/>
                <w:szCs w:val="22"/>
                <w:lang w:val="sr-Latn-ME"/>
              </w:rPr>
              <w:t>Ispitivanje HS II</w:t>
            </w:r>
          </w:p>
        </w:tc>
      </w:tr>
      <w:tr w:rsidR="00267C60" w:rsidRPr="003445F5" w14:paraId="5DFA6529" w14:textId="77777777" w:rsidTr="00704956">
        <w:trPr>
          <w:trHeight w:val="20"/>
        </w:trPr>
        <w:tc>
          <w:tcPr>
            <w:tcW w:w="1177" w:type="pct"/>
            <w:vMerge/>
            <w:tcBorders>
              <w:top w:val="nil"/>
              <w:left w:val="single" w:sz="4" w:space="0" w:color="000000"/>
              <w:bottom w:val="single" w:sz="4" w:space="0" w:color="000000"/>
              <w:right w:val="single" w:sz="4" w:space="0" w:color="000000"/>
            </w:tcBorders>
          </w:tcPr>
          <w:p w14:paraId="37E3D896" w14:textId="77777777" w:rsidR="00267C60" w:rsidRPr="003445F5" w:rsidRDefault="00267C60" w:rsidP="00704956">
            <w:pPr>
              <w:rPr>
                <w:szCs w:val="22"/>
                <w:lang w:val="sr-Latn-ME"/>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3AF8CAD5" w14:textId="77777777" w:rsidR="00267C60" w:rsidRPr="003445F5" w:rsidRDefault="00267C60" w:rsidP="00704956">
            <w:pPr>
              <w:jc w:val="center"/>
              <w:rPr>
                <w:szCs w:val="22"/>
                <w:lang w:val="sr-Latn-ME"/>
              </w:rPr>
            </w:pPr>
            <w:r w:rsidRPr="003445F5">
              <w:rPr>
                <w:b/>
                <w:szCs w:val="22"/>
                <w:lang w:val="sr-Latn-ME"/>
              </w:rPr>
              <w:t>placebo</w:t>
            </w:r>
          </w:p>
        </w:tc>
        <w:tc>
          <w:tcPr>
            <w:tcW w:w="1179" w:type="pct"/>
            <w:tcBorders>
              <w:top w:val="single" w:sz="4" w:space="0" w:color="000000"/>
              <w:left w:val="single" w:sz="4" w:space="0" w:color="000000"/>
              <w:bottom w:val="single" w:sz="4" w:space="0" w:color="000000"/>
              <w:right w:val="single" w:sz="4" w:space="0" w:color="000000"/>
            </w:tcBorders>
            <w:vAlign w:val="center"/>
          </w:tcPr>
          <w:p w14:paraId="758A2D22" w14:textId="77777777" w:rsidR="00267C60" w:rsidRPr="003445F5" w:rsidRDefault="00267C60" w:rsidP="00704956">
            <w:pPr>
              <w:jc w:val="center"/>
              <w:rPr>
                <w:b/>
                <w:szCs w:val="22"/>
                <w:lang w:val="sr-Latn-ME"/>
              </w:rPr>
            </w:pPr>
            <w:r w:rsidRPr="003445F5">
              <w:rPr>
                <w:b/>
                <w:szCs w:val="22"/>
                <w:lang w:val="sr-Latn-ME"/>
              </w:rPr>
              <w:t xml:space="preserve">adalimumab </w:t>
            </w:r>
          </w:p>
          <w:p w14:paraId="50F276CC" w14:textId="034CB74A" w:rsidR="00267C60" w:rsidRPr="003445F5" w:rsidRDefault="00267C60" w:rsidP="00704956">
            <w:pPr>
              <w:jc w:val="center"/>
              <w:rPr>
                <w:szCs w:val="22"/>
                <w:lang w:val="sr-Latn-ME"/>
              </w:rPr>
            </w:pPr>
            <w:r w:rsidRPr="003445F5">
              <w:rPr>
                <w:b/>
                <w:szCs w:val="22"/>
                <w:lang w:val="sr-Latn-ME"/>
              </w:rPr>
              <w:t xml:space="preserve">40 mg svake </w:t>
            </w:r>
            <w:r w:rsidR="00551F1D" w:rsidRPr="003445F5">
              <w:rPr>
                <w:b/>
                <w:szCs w:val="22"/>
                <w:lang w:val="sr-Latn-ME"/>
              </w:rPr>
              <w:t>nedjelj</w:t>
            </w:r>
            <w:r w:rsidR="0047711E" w:rsidRPr="003445F5">
              <w:rPr>
                <w:b/>
                <w:szCs w:val="22"/>
                <w:lang w:val="sr-Latn-ME"/>
              </w:rPr>
              <w:t>e</w:t>
            </w:r>
          </w:p>
        </w:tc>
        <w:tc>
          <w:tcPr>
            <w:tcW w:w="707" w:type="pct"/>
            <w:tcBorders>
              <w:top w:val="single" w:sz="4" w:space="0" w:color="000000"/>
              <w:left w:val="single" w:sz="4" w:space="0" w:color="000000"/>
              <w:bottom w:val="single" w:sz="4" w:space="0" w:color="000000"/>
              <w:right w:val="single" w:sz="4" w:space="0" w:color="000000"/>
            </w:tcBorders>
            <w:vAlign w:val="center"/>
          </w:tcPr>
          <w:p w14:paraId="00C45D49" w14:textId="77777777" w:rsidR="00267C60" w:rsidRPr="003445F5" w:rsidRDefault="00267C60" w:rsidP="00704956">
            <w:pPr>
              <w:jc w:val="center"/>
              <w:rPr>
                <w:szCs w:val="22"/>
                <w:lang w:val="sr-Latn-ME"/>
              </w:rPr>
            </w:pPr>
            <w:r w:rsidRPr="003445F5">
              <w:rPr>
                <w:b/>
                <w:szCs w:val="22"/>
                <w:lang w:val="sr-Latn-ME"/>
              </w:rPr>
              <w:t>placebo</w:t>
            </w:r>
          </w:p>
        </w:tc>
        <w:tc>
          <w:tcPr>
            <w:tcW w:w="1230" w:type="pct"/>
            <w:tcBorders>
              <w:top w:val="single" w:sz="4" w:space="0" w:color="000000"/>
              <w:left w:val="single" w:sz="4" w:space="0" w:color="000000"/>
              <w:bottom w:val="single" w:sz="4" w:space="0" w:color="000000"/>
              <w:right w:val="single" w:sz="4" w:space="0" w:color="000000"/>
            </w:tcBorders>
            <w:vAlign w:val="center"/>
          </w:tcPr>
          <w:p w14:paraId="083B5F96" w14:textId="77777777" w:rsidR="00267C60" w:rsidRPr="003445F5" w:rsidRDefault="00267C60" w:rsidP="00704956">
            <w:pPr>
              <w:jc w:val="center"/>
              <w:rPr>
                <w:b/>
                <w:szCs w:val="22"/>
                <w:lang w:val="sr-Latn-ME"/>
              </w:rPr>
            </w:pPr>
            <w:r w:rsidRPr="003445F5">
              <w:rPr>
                <w:b/>
                <w:szCs w:val="22"/>
                <w:lang w:val="sr-Latn-ME"/>
              </w:rPr>
              <w:t xml:space="preserve">adalimumab </w:t>
            </w:r>
          </w:p>
          <w:p w14:paraId="68CEBB75" w14:textId="3120352D" w:rsidR="00267C60" w:rsidRPr="003445F5" w:rsidRDefault="00267C60" w:rsidP="00704956">
            <w:pPr>
              <w:jc w:val="center"/>
              <w:rPr>
                <w:szCs w:val="22"/>
                <w:lang w:val="sr-Latn-ME"/>
              </w:rPr>
            </w:pPr>
            <w:r w:rsidRPr="003445F5">
              <w:rPr>
                <w:b/>
                <w:szCs w:val="22"/>
                <w:lang w:val="sr-Latn-ME"/>
              </w:rPr>
              <w:t xml:space="preserve">40 mg svake </w:t>
            </w:r>
            <w:r w:rsidR="00551F1D" w:rsidRPr="003445F5">
              <w:rPr>
                <w:b/>
                <w:szCs w:val="22"/>
                <w:lang w:val="sr-Latn-ME"/>
              </w:rPr>
              <w:t>nedjelj</w:t>
            </w:r>
            <w:r w:rsidR="0047711E" w:rsidRPr="003445F5">
              <w:rPr>
                <w:b/>
                <w:szCs w:val="22"/>
                <w:lang w:val="sr-Latn-ME"/>
              </w:rPr>
              <w:t>e</w:t>
            </w:r>
          </w:p>
        </w:tc>
      </w:tr>
      <w:tr w:rsidR="00267C60" w:rsidRPr="003445F5" w14:paraId="6664BFD1" w14:textId="77777777" w:rsidTr="00704956">
        <w:trPr>
          <w:trHeight w:val="20"/>
        </w:trPr>
        <w:tc>
          <w:tcPr>
            <w:tcW w:w="1177" w:type="pct"/>
            <w:tcBorders>
              <w:top w:val="single" w:sz="4" w:space="0" w:color="000000"/>
              <w:left w:val="single" w:sz="4" w:space="0" w:color="000000"/>
              <w:bottom w:val="single" w:sz="4" w:space="0" w:color="000000"/>
              <w:right w:val="single" w:sz="4" w:space="0" w:color="000000"/>
            </w:tcBorders>
            <w:vAlign w:val="center"/>
          </w:tcPr>
          <w:p w14:paraId="6A07BC65" w14:textId="11DE2FAE" w:rsidR="00267C60" w:rsidRPr="003445F5" w:rsidRDefault="00267C60" w:rsidP="00704956">
            <w:pPr>
              <w:jc w:val="left"/>
              <w:rPr>
                <w:szCs w:val="22"/>
                <w:lang w:val="sr-Latn-ME"/>
              </w:rPr>
            </w:pPr>
            <w:r w:rsidRPr="003445F5">
              <w:rPr>
                <w:szCs w:val="22"/>
                <w:lang w:val="sr-Latn-ME"/>
              </w:rPr>
              <w:t xml:space="preserve">Klinički odgovor gnojnog </w:t>
            </w:r>
            <w:r w:rsidR="00DB4784" w:rsidRPr="003445F5">
              <w:rPr>
                <w:szCs w:val="22"/>
                <w:lang w:val="sr-Latn-ME"/>
              </w:rPr>
              <w:t>zapaljenja znojnih žl</w:t>
            </w:r>
            <w:r w:rsidR="00DD651F" w:rsidRPr="003445F5">
              <w:rPr>
                <w:szCs w:val="22"/>
                <w:lang w:val="sr-Latn-ME"/>
              </w:rPr>
              <w:t>ij</w:t>
            </w:r>
            <w:r w:rsidR="00DB4784" w:rsidRPr="003445F5">
              <w:rPr>
                <w:szCs w:val="22"/>
                <w:lang w:val="sr-Latn-ME"/>
              </w:rPr>
              <w:t xml:space="preserve">ezda </w:t>
            </w:r>
            <w:r w:rsidRPr="003445F5">
              <w:rPr>
                <w:szCs w:val="22"/>
                <w:lang w:val="sr-Latn-ME"/>
              </w:rPr>
              <w:t>(HiSCR)</w:t>
            </w:r>
            <w:r w:rsidRPr="003445F5">
              <w:rPr>
                <w:szCs w:val="22"/>
                <w:vertAlign w:val="superscript"/>
                <w:lang w:val="sr-Latn-ME"/>
              </w:rPr>
              <w:t>a</w:t>
            </w:r>
          </w:p>
        </w:tc>
        <w:tc>
          <w:tcPr>
            <w:tcW w:w="707" w:type="pct"/>
            <w:tcBorders>
              <w:top w:val="single" w:sz="4" w:space="0" w:color="000000"/>
              <w:left w:val="single" w:sz="4" w:space="0" w:color="000000"/>
              <w:bottom w:val="single" w:sz="4" w:space="0" w:color="000000"/>
              <w:right w:val="single" w:sz="4" w:space="0" w:color="000000"/>
            </w:tcBorders>
            <w:vAlign w:val="center"/>
          </w:tcPr>
          <w:p w14:paraId="45D35B1D" w14:textId="77777777" w:rsidR="00267C60" w:rsidRPr="003445F5" w:rsidRDefault="00267C60" w:rsidP="00704956">
            <w:pPr>
              <w:jc w:val="center"/>
              <w:rPr>
                <w:szCs w:val="22"/>
                <w:lang w:val="sr-Latn-ME"/>
              </w:rPr>
            </w:pPr>
            <w:r w:rsidRPr="003445F5">
              <w:rPr>
                <w:szCs w:val="22"/>
                <w:lang w:val="sr-Latn-ME"/>
              </w:rPr>
              <w:t>N = 154</w:t>
            </w:r>
          </w:p>
          <w:p w14:paraId="585B3B01" w14:textId="77777777" w:rsidR="00267C60" w:rsidRPr="003445F5" w:rsidRDefault="00267C60" w:rsidP="00704956">
            <w:pPr>
              <w:jc w:val="center"/>
              <w:rPr>
                <w:szCs w:val="22"/>
                <w:lang w:val="sr-Latn-ME"/>
              </w:rPr>
            </w:pPr>
            <w:r w:rsidRPr="003445F5">
              <w:rPr>
                <w:szCs w:val="22"/>
                <w:lang w:val="sr-Latn-ME"/>
              </w:rPr>
              <w:t>40 (26,0%)</w:t>
            </w:r>
          </w:p>
        </w:tc>
        <w:tc>
          <w:tcPr>
            <w:tcW w:w="1179" w:type="pct"/>
            <w:tcBorders>
              <w:top w:val="single" w:sz="4" w:space="0" w:color="000000"/>
              <w:left w:val="single" w:sz="4" w:space="0" w:color="000000"/>
              <w:bottom w:val="single" w:sz="4" w:space="0" w:color="000000"/>
              <w:right w:val="single" w:sz="4" w:space="0" w:color="000000"/>
            </w:tcBorders>
            <w:vAlign w:val="center"/>
          </w:tcPr>
          <w:p w14:paraId="3EF37C8A" w14:textId="77777777" w:rsidR="00267C60" w:rsidRPr="003445F5" w:rsidRDefault="00267C60" w:rsidP="00704956">
            <w:pPr>
              <w:jc w:val="center"/>
              <w:rPr>
                <w:szCs w:val="22"/>
                <w:lang w:val="sr-Latn-ME"/>
              </w:rPr>
            </w:pPr>
            <w:r w:rsidRPr="003445F5">
              <w:rPr>
                <w:szCs w:val="22"/>
                <w:lang w:val="sr-Latn-ME"/>
              </w:rPr>
              <w:t>N = 153</w:t>
            </w:r>
          </w:p>
          <w:p w14:paraId="1DFD988B" w14:textId="77777777" w:rsidR="00267C60" w:rsidRPr="003445F5" w:rsidRDefault="00267C60" w:rsidP="00704956">
            <w:pPr>
              <w:jc w:val="center"/>
              <w:rPr>
                <w:szCs w:val="22"/>
                <w:lang w:val="sr-Latn-ME"/>
              </w:rPr>
            </w:pPr>
            <w:r w:rsidRPr="003445F5">
              <w:rPr>
                <w:szCs w:val="22"/>
                <w:lang w:val="sr-Latn-ME"/>
              </w:rPr>
              <w:t>64 (41,8%) *</w:t>
            </w:r>
          </w:p>
        </w:tc>
        <w:tc>
          <w:tcPr>
            <w:tcW w:w="707" w:type="pct"/>
            <w:tcBorders>
              <w:top w:val="single" w:sz="4" w:space="0" w:color="000000"/>
              <w:left w:val="single" w:sz="4" w:space="0" w:color="000000"/>
              <w:bottom w:val="single" w:sz="4" w:space="0" w:color="000000"/>
              <w:right w:val="single" w:sz="4" w:space="0" w:color="000000"/>
            </w:tcBorders>
            <w:vAlign w:val="center"/>
          </w:tcPr>
          <w:p w14:paraId="24D1E13E" w14:textId="77777777" w:rsidR="00267C60" w:rsidRPr="003445F5" w:rsidRDefault="00267C60" w:rsidP="00704956">
            <w:pPr>
              <w:jc w:val="center"/>
              <w:rPr>
                <w:szCs w:val="22"/>
                <w:lang w:val="sr-Latn-ME"/>
              </w:rPr>
            </w:pPr>
            <w:r w:rsidRPr="003445F5">
              <w:rPr>
                <w:szCs w:val="22"/>
                <w:lang w:val="sr-Latn-ME"/>
              </w:rPr>
              <w:t>N=163</w:t>
            </w:r>
          </w:p>
          <w:p w14:paraId="22BACBB6" w14:textId="77777777" w:rsidR="00267C60" w:rsidRPr="003445F5" w:rsidRDefault="00267C60" w:rsidP="00704956">
            <w:pPr>
              <w:jc w:val="center"/>
              <w:rPr>
                <w:szCs w:val="22"/>
                <w:lang w:val="sr-Latn-ME"/>
              </w:rPr>
            </w:pPr>
            <w:r w:rsidRPr="003445F5">
              <w:rPr>
                <w:szCs w:val="22"/>
                <w:lang w:val="sr-Latn-ME"/>
              </w:rPr>
              <w:t>45 (27,6%)</w:t>
            </w:r>
          </w:p>
        </w:tc>
        <w:tc>
          <w:tcPr>
            <w:tcW w:w="1230" w:type="pct"/>
            <w:tcBorders>
              <w:top w:val="single" w:sz="4" w:space="0" w:color="000000"/>
              <w:left w:val="single" w:sz="4" w:space="0" w:color="000000"/>
              <w:bottom w:val="single" w:sz="4" w:space="0" w:color="000000"/>
              <w:right w:val="single" w:sz="4" w:space="0" w:color="000000"/>
            </w:tcBorders>
            <w:vAlign w:val="center"/>
          </w:tcPr>
          <w:p w14:paraId="7325C3D4" w14:textId="77777777" w:rsidR="00267C60" w:rsidRPr="003445F5" w:rsidRDefault="00267C60" w:rsidP="00704956">
            <w:pPr>
              <w:jc w:val="center"/>
              <w:rPr>
                <w:szCs w:val="22"/>
                <w:lang w:val="sr-Latn-ME"/>
              </w:rPr>
            </w:pPr>
            <w:r w:rsidRPr="003445F5">
              <w:rPr>
                <w:szCs w:val="22"/>
                <w:lang w:val="sr-Latn-ME"/>
              </w:rPr>
              <w:t>N=163</w:t>
            </w:r>
          </w:p>
          <w:p w14:paraId="0AD69D7F" w14:textId="77777777" w:rsidR="00267C60" w:rsidRPr="003445F5" w:rsidRDefault="00267C60" w:rsidP="00704956">
            <w:pPr>
              <w:jc w:val="center"/>
              <w:rPr>
                <w:szCs w:val="22"/>
                <w:lang w:val="sr-Latn-ME"/>
              </w:rPr>
            </w:pPr>
            <w:r w:rsidRPr="003445F5">
              <w:rPr>
                <w:szCs w:val="22"/>
                <w:lang w:val="sr-Latn-ME"/>
              </w:rPr>
              <w:t>96 (58,9%) ***</w:t>
            </w:r>
          </w:p>
        </w:tc>
      </w:tr>
      <w:tr w:rsidR="00267C60" w:rsidRPr="003445F5" w14:paraId="2DFAB5D7" w14:textId="77777777" w:rsidTr="00704956">
        <w:trPr>
          <w:trHeight w:val="20"/>
        </w:trPr>
        <w:tc>
          <w:tcPr>
            <w:tcW w:w="1177" w:type="pct"/>
            <w:tcBorders>
              <w:top w:val="single" w:sz="4" w:space="0" w:color="000000"/>
              <w:left w:val="single" w:sz="4" w:space="0" w:color="000000"/>
              <w:bottom w:val="single" w:sz="4" w:space="0" w:color="000000"/>
              <w:right w:val="single" w:sz="4" w:space="0" w:color="000000"/>
            </w:tcBorders>
            <w:vAlign w:val="center"/>
          </w:tcPr>
          <w:p w14:paraId="421F94FC" w14:textId="77777777" w:rsidR="00267C60" w:rsidRPr="003445F5" w:rsidRDefault="00267C60" w:rsidP="00704956">
            <w:pPr>
              <w:jc w:val="left"/>
              <w:rPr>
                <w:szCs w:val="22"/>
                <w:lang w:val="sr-Latn-ME"/>
              </w:rPr>
            </w:pPr>
            <w:r w:rsidRPr="003445F5">
              <w:rPr>
                <w:szCs w:val="22"/>
                <w:lang w:val="sr-Latn-ME"/>
              </w:rPr>
              <w:t>Smanjenje kožnog bola za ≥30%</w:t>
            </w:r>
            <w:r w:rsidRPr="003445F5">
              <w:rPr>
                <w:szCs w:val="22"/>
                <w:vertAlign w:val="superscript"/>
                <w:lang w:val="sr-Latn-ME"/>
              </w:rPr>
              <w:t>b</w:t>
            </w:r>
          </w:p>
        </w:tc>
        <w:tc>
          <w:tcPr>
            <w:tcW w:w="707" w:type="pct"/>
            <w:tcBorders>
              <w:top w:val="single" w:sz="4" w:space="0" w:color="000000"/>
              <w:left w:val="single" w:sz="4" w:space="0" w:color="000000"/>
              <w:bottom w:val="single" w:sz="4" w:space="0" w:color="000000"/>
              <w:right w:val="single" w:sz="4" w:space="0" w:color="000000"/>
            </w:tcBorders>
            <w:vAlign w:val="center"/>
          </w:tcPr>
          <w:p w14:paraId="50A35C24" w14:textId="77777777" w:rsidR="00267C60" w:rsidRPr="003445F5" w:rsidRDefault="00267C60" w:rsidP="00704956">
            <w:pPr>
              <w:jc w:val="center"/>
              <w:rPr>
                <w:szCs w:val="22"/>
                <w:lang w:val="sr-Latn-ME"/>
              </w:rPr>
            </w:pPr>
            <w:r w:rsidRPr="003445F5">
              <w:rPr>
                <w:szCs w:val="22"/>
                <w:lang w:val="sr-Latn-ME"/>
              </w:rPr>
              <w:t>N = 109</w:t>
            </w:r>
          </w:p>
          <w:p w14:paraId="2612ADB1" w14:textId="77777777" w:rsidR="00267C60" w:rsidRPr="003445F5" w:rsidRDefault="00267C60" w:rsidP="00704956">
            <w:pPr>
              <w:jc w:val="center"/>
              <w:rPr>
                <w:szCs w:val="22"/>
                <w:lang w:val="sr-Latn-ME"/>
              </w:rPr>
            </w:pPr>
            <w:r w:rsidRPr="003445F5">
              <w:rPr>
                <w:szCs w:val="22"/>
                <w:lang w:val="sr-Latn-ME"/>
              </w:rPr>
              <w:t>27 (24,8%)</w:t>
            </w:r>
          </w:p>
        </w:tc>
        <w:tc>
          <w:tcPr>
            <w:tcW w:w="1179" w:type="pct"/>
            <w:tcBorders>
              <w:top w:val="single" w:sz="4" w:space="0" w:color="000000"/>
              <w:left w:val="single" w:sz="4" w:space="0" w:color="000000"/>
              <w:bottom w:val="single" w:sz="4" w:space="0" w:color="000000"/>
              <w:right w:val="single" w:sz="4" w:space="0" w:color="000000"/>
            </w:tcBorders>
            <w:vAlign w:val="center"/>
          </w:tcPr>
          <w:p w14:paraId="359E2642" w14:textId="77777777" w:rsidR="00267C60" w:rsidRPr="003445F5" w:rsidRDefault="00267C60" w:rsidP="00704956">
            <w:pPr>
              <w:jc w:val="center"/>
              <w:rPr>
                <w:szCs w:val="22"/>
                <w:lang w:val="sr-Latn-ME"/>
              </w:rPr>
            </w:pPr>
            <w:r w:rsidRPr="003445F5">
              <w:rPr>
                <w:szCs w:val="22"/>
                <w:lang w:val="sr-Latn-ME"/>
              </w:rPr>
              <w:t>N = 122</w:t>
            </w:r>
          </w:p>
          <w:p w14:paraId="0F2E8C58" w14:textId="77777777" w:rsidR="00267C60" w:rsidRPr="003445F5" w:rsidRDefault="00267C60" w:rsidP="00704956">
            <w:pPr>
              <w:jc w:val="center"/>
              <w:rPr>
                <w:szCs w:val="22"/>
                <w:lang w:val="sr-Latn-ME"/>
              </w:rPr>
            </w:pPr>
            <w:r w:rsidRPr="003445F5">
              <w:rPr>
                <w:szCs w:val="22"/>
                <w:lang w:val="sr-Latn-ME"/>
              </w:rPr>
              <w:t>34 (27,9%)</w:t>
            </w:r>
          </w:p>
        </w:tc>
        <w:tc>
          <w:tcPr>
            <w:tcW w:w="707" w:type="pct"/>
            <w:tcBorders>
              <w:top w:val="single" w:sz="4" w:space="0" w:color="000000"/>
              <w:left w:val="single" w:sz="4" w:space="0" w:color="000000"/>
              <w:bottom w:val="single" w:sz="4" w:space="0" w:color="000000"/>
              <w:right w:val="single" w:sz="4" w:space="0" w:color="000000"/>
            </w:tcBorders>
            <w:vAlign w:val="center"/>
          </w:tcPr>
          <w:p w14:paraId="07CAC1B2" w14:textId="77777777" w:rsidR="00267C60" w:rsidRPr="003445F5" w:rsidRDefault="00267C60" w:rsidP="00704956">
            <w:pPr>
              <w:jc w:val="center"/>
              <w:rPr>
                <w:szCs w:val="22"/>
                <w:lang w:val="sr-Latn-ME"/>
              </w:rPr>
            </w:pPr>
            <w:r w:rsidRPr="003445F5">
              <w:rPr>
                <w:szCs w:val="22"/>
                <w:lang w:val="sr-Latn-ME"/>
              </w:rPr>
              <w:t>N=111</w:t>
            </w:r>
          </w:p>
          <w:p w14:paraId="08758636" w14:textId="77777777" w:rsidR="00267C60" w:rsidRPr="003445F5" w:rsidRDefault="00267C60" w:rsidP="00704956">
            <w:pPr>
              <w:jc w:val="center"/>
              <w:rPr>
                <w:szCs w:val="22"/>
                <w:lang w:val="sr-Latn-ME"/>
              </w:rPr>
            </w:pPr>
            <w:r w:rsidRPr="003445F5">
              <w:rPr>
                <w:szCs w:val="22"/>
                <w:lang w:val="sr-Latn-ME"/>
              </w:rPr>
              <w:t>23 (20,7%)</w:t>
            </w:r>
          </w:p>
        </w:tc>
        <w:tc>
          <w:tcPr>
            <w:tcW w:w="1230" w:type="pct"/>
            <w:tcBorders>
              <w:top w:val="single" w:sz="4" w:space="0" w:color="000000"/>
              <w:left w:val="single" w:sz="4" w:space="0" w:color="000000"/>
              <w:bottom w:val="single" w:sz="4" w:space="0" w:color="000000"/>
              <w:right w:val="single" w:sz="4" w:space="0" w:color="000000"/>
            </w:tcBorders>
            <w:vAlign w:val="center"/>
          </w:tcPr>
          <w:p w14:paraId="1FAA701B" w14:textId="77777777" w:rsidR="00267C60" w:rsidRPr="003445F5" w:rsidRDefault="00267C60" w:rsidP="00704956">
            <w:pPr>
              <w:jc w:val="center"/>
              <w:rPr>
                <w:szCs w:val="22"/>
                <w:lang w:val="sr-Latn-ME"/>
              </w:rPr>
            </w:pPr>
            <w:r w:rsidRPr="003445F5">
              <w:rPr>
                <w:szCs w:val="22"/>
                <w:lang w:val="sr-Latn-ME"/>
              </w:rPr>
              <w:t>N=105</w:t>
            </w:r>
          </w:p>
          <w:p w14:paraId="689B6EE8" w14:textId="77777777" w:rsidR="00267C60" w:rsidRPr="003445F5" w:rsidRDefault="00267C60" w:rsidP="00704956">
            <w:pPr>
              <w:jc w:val="center"/>
              <w:rPr>
                <w:szCs w:val="22"/>
                <w:lang w:val="sr-Latn-ME"/>
              </w:rPr>
            </w:pPr>
            <w:r w:rsidRPr="003445F5">
              <w:rPr>
                <w:szCs w:val="22"/>
                <w:lang w:val="sr-Latn-ME"/>
              </w:rPr>
              <w:t>48 (45,7%) ***</w:t>
            </w:r>
          </w:p>
        </w:tc>
      </w:tr>
      <w:tr w:rsidR="00267C60" w:rsidRPr="003445F5" w14:paraId="1D9A490F" w14:textId="77777777" w:rsidTr="00704956">
        <w:trPr>
          <w:trHeight w:val="20"/>
        </w:trPr>
        <w:tc>
          <w:tcPr>
            <w:tcW w:w="5000" w:type="pct"/>
            <w:gridSpan w:val="5"/>
            <w:tcBorders>
              <w:top w:val="single" w:sz="4" w:space="0" w:color="000000"/>
              <w:left w:val="single" w:sz="4" w:space="0" w:color="000000"/>
              <w:bottom w:val="single" w:sz="4" w:space="0" w:color="000000"/>
              <w:right w:val="single" w:sz="4" w:space="0" w:color="000000"/>
            </w:tcBorders>
          </w:tcPr>
          <w:p w14:paraId="061EC0BE" w14:textId="77777777" w:rsidR="00267C60" w:rsidRPr="003445F5" w:rsidRDefault="00267C60" w:rsidP="00704956">
            <w:pPr>
              <w:rPr>
                <w:szCs w:val="22"/>
                <w:lang w:val="sr-Latn-ME"/>
              </w:rPr>
            </w:pPr>
            <w:r w:rsidRPr="003445F5">
              <w:rPr>
                <w:szCs w:val="22"/>
                <w:lang w:val="sr-Latn-ME"/>
              </w:rPr>
              <w:t xml:space="preserve">* p &lt; 0,05, *** p &lt; 0,001 adalimumab naspram placeba </w:t>
            </w:r>
          </w:p>
          <w:p w14:paraId="64D4DF03" w14:textId="77777777" w:rsidR="00267C60" w:rsidRPr="003445F5" w:rsidRDefault="00267C60" w:rsidP="00704956">
            <w:pPr>
              <w:rPr>
                <w:szCs w:val="22"/>
                <w:lang w:val="sr-Latn-ME"/>
              </w:rPr>
            </w:pPr>
            <w:r w:rsidRPr="003445F5">
              <w:rPr>
                <w:szCs w:val="22"/>
                <w:vertAlign w:val="superscript"/>
                <w:lang w:val="sr-Latn-ME"/>
              </w:rPr>
              <w:t>a</w:t>
            </w:r>
            <w:r w:rsidRPr="003445F5">
              <w:rPr>
                <w:szCs w:val="22"/>
                <w:lang w:val="sr-Latn-ME"/>
              </w:rPr>
              <w:t xml:space="preserve"> Među svim randomizovanim pacijentima </w:t>
            </w:r>
          </w:p>
          <w:p w14:paraId="557C5373" w14:textId="795E11FD" w:rsidR="00267C60" w:rsidRPr="003445F5" w:rsidRDefault="00267C60" w:rsidP="00704956">
            <w:pPr>
              <w:rPr>
                <w:szCs w:val="22"/>
                <w:lang w:val="sr-Latn-ME"/>
              </w:rPr>
            </w:pPr>
            <w:r w:rsidRPr="003445F5">
              <w:rPr>
                <w:szCs w:val="22"/>
                <w:vertAlign w:val="superscript"/>
                <w:lang w:val="sr-Latn-ME"/>
              </w:rPr>
              <w:t>b</w:t>
            </w:r>
            <w:r w:rsidRPr="003445F5">
              <w:rPr>
                <w:szCs w:val="22"/>
                <w:lang w:val="sr-Latn-ME"/>
              </w:rPr>
              <w:t xml:space="preserve"> Među pacijentima sa proc</w:t>
            </w:r>
            <w:r w:rsidR="00DD651F" w:rsidRPr="003445F5">
              <w:rPr>
                <w:szCs w:val="22"/>
                <w:lang w:val="sr-Latn-ME"/>
              </w:rPr>
              <w:t>ij</w:t>
            </w:r>
            <w:r w:rsidRPr="003445F5">
              <w:rPr>
                <w:szCs w:val="22"/>
                <w:lang w:val="sr-Latn-ME"/>
              </w:rPr>
              <w:t xml:space="preserve">enjenim početnim kožnim bolom uzrokovanim gnojnim </w:t>
            </w:r>
            <w:r w:rsidR="007972EF" w:rsidRPr="003445F5">
              <w:rPr>
                <w:szCs w:val="22"/>
                <w:lang w:val="sr-Latn-ME"/>
              </w:rPr>
              <w:t>zapaljenjem znojnih žl</w:t>
            </w:r>
            <w:r w:rsidR="00DD651F" w:rsidRPr="003445F5">
              <w:rPr>
                <w:szCs w:val="22"/>
                <w:lang w:val="sr-Latn-ME"/>
              </w:rPr>
              <w:t>ij</w:t>
            </w:r>
            <w:r w:rsidR="007972EF" w:rsidRPr="003445F5">
              <w:rPr>
                <w:szCs w:val="22"/>
                <w:lang w:val="sr-Latn-ME"/>
              </w:rPr>
              <w:t xml:space="preserve">ezda </w:t>
            </w:r>
            <w:r w:rsidRPr="003445F5">
              <w:rPr>
                <w:szCs w:val="22"/>
                <w:lang w:val="sr-Latn-ME"/>
              </w:rPr>
              <w:t>≥ 3 prema numeričkoj skali od 0 – 10; 0 = bez kožnog bola, 10 = jako veliki kožni bol</w:t>
            </w:r>
          </w:p>
        </w:tc>
      </w:tr>
    </w:tbl>
    <w:p w14:paraId="2AEA9384" w14:textId="0429E714" w:rsidR="00B82D18" w:rsidRPr="003445F5" w:rsidRDefault="00B82D18" w:rsidP="00524FDF">
      <w:pPr>
        <w:rPr>
          <w:szCs w:val="22"/>
          <w:lang w:val="sr-Latn-ME"/>
        </w:rPr>
      </w:pPr>
    </w:p>
    <w:p w14:paraId="67221465" w14:textId="3BA4C808" w:rsidR="00A84ACC" w:rsidRPr="003445F5" w:rsidRDefault="00A84ACC" w:rsidP="00A84ACC">
      <w:pPr>
        <w:ind w:left="-5"/>
        <w:rPr>
          <w:szCs w:val="22"/>
          <w:lang w:val="sr-Latn-ME"/>
        </w:rPr>
      </w:pPr>
      <w:r w:rsidRPr="003445F5">
        <w:rPr>
          <w:szCs w:val="22"/>
          <w:lang w:val="sr-Latn-ME"/>
        </w:rPr>
        <w:t xml:space="preserve">Liječenje adalimumabom u dozi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značajno je smanjilo rizik od pogoršanja apscesa i drenirajućih fistula. Približno dvostruko veći udio pacijenata u grupi koja je u prvih 12 nedjelja ispitivanja HS-I i HS-II primala placebo, u odnosu na one koji su liječeni adalimumabom, </w:t>
      </w:r>
      <w:r w:rsidR="00300564" w:rsidRPr="003445F5">
        <w:rPr>
          <w:szCs w:val="22"/>
          <w:lang w:val="sr-Latn-ME"/>
        </w:rPr>
        <w:t>doživio</w:t>
      </w:r>
      <w:r w:rsidRPr="003445F5">
        <w:rPr>
          <w:szCs w:val="22"/>
          <w:lang w:val="sr-Latn-ME"/>
        </w:rPr>
        <w:t xml:space="preserve"> je pogoršanje apscesa (23,0% u odnosu na 11,4%) i drenirajućih fistula (30,0% u odnosu na 13,9%).</w:t>
      </w:r>
    </w:p>
    <w:p w14:paraId="21754195" w14:textId="77777777" w:rsidR="00A84ACC" w:rsidRPr="003445F5" w:rsidRDefault="00A84ACC" w:rsidP="00A84ACC">
      <w:pPr>
        <w:ind w:left="-5"/>
        <w:rPr>
          <w:szCs w:val="22"/>
          <w:lang w:val="sr-Latn-ME"/>
        </w:rPr>
      </w:pPr>
    </w:p>
    <w:p w14:paraId="2A61B145" w14:textId="3B9AACBB" w:rsidR="00A84ACC" w:rsidRPr="003445F5" w:rsidRDefault="00A84ACC" w:rsidP="00A84ACC">
      <w:pPr>
        <w:ind w:left="-5"/>
        <w:rPr>
          <w:szCs w:val="22"/>
          <w:lang w:val="sr-Latn-ME"/>
        </w:rPr>
      </w:pPr>
      <w:r w:rsidRPr="003445F5">
        <w:rPr>
          <w:szCs w:val="22"/>
          <w:lang w:val="sr-Latn-ME"/>
        </w:rPr>
        <w:t xml:space="preserve">Veća poboljšanja od početka ispitivanja do 12. </w:t>
      </w:r>
      <w:r w:rsidR="00551F1D" w:rsidRPr="003445F5">
        <w:rPr>
          <w:szCs w:val="22"/>
          <w:lang w:val="sr-Latn-ME"/>
        </w:rPr>
        <w:t>nedjelj</w:t>
      </w:r>
      <w:r w:rsidR="0047711E" w:rsidRPr="003445F5">
        <w:rPr>
          <w:szCs w:val="22"/>
          <w:lang w:val="sr-Latn-ME"/>
        </w:rPr>
        <w:t>e</w:t>
      </w:r>
      <w:r w:rsidRPr="003445F5">
        <w:rPr>
          <w:szCs w:val="22"/>
          <w:lang w:val="sr-Latn-ME"/>
        </w:rPr>
        <w:t xml:space="preserve"> u odnosu na placebo zabilježena su za kvalitet života vezan za zdravlje, specifičan za kožne bolesti, koji se određivao indeksom kvaliteta života kod dermatoloških bolesti (engl. </w:t>
      </w:r>
      <w:r w:rsidRPr="003445F5">
        <w:rPr>
          <w:i/>
          <w:szCs w:val="22"/>
          <w:lang w:val="sr-Latn-ME"/>
        </w:rPr>
        <w:t xml:space="preserve">Dermatology Life Quality Index </w:t>
      </w:r>
      <w:r w:rsidRPr="003445F5">
        <w:rPr>
          <w:szCs w:val="22"/>
          <w:lang w:val="sr-Latn-ME"/>
        </w:rPr>
        <w:t xml:space="preserve">[DLQI]; ispitivanja HS-I i HS-II), opšte zadovoljstvo pacijenata farmakološkim liječenjem, koje se određivalo upitnikom za procjenu zadovoljstva farmakološkim liječenjem (engl. </w:t>
      </w:r>
      <w:r w:rsidRPr="003445F5">
        <w:rPr>
          <w:i/>
          <w:szCs w:val="22"/>
          <w:lang w:val="sr-Latn-ME"/>
        </w:rPr>
        <w:t xml:space="preserve">Treatment Satisfaction Questionnaire - medication </w:t>
      </w:r>
      <w:r w:rsidRPr="003445F5">
        <w:rPr>
          <w:szCs w:val="22"/>
          <w:lang w:val="sr-Latn-ME"/>
        </w:rPr>
        <w:t>[TSQM]; ispitivanja HS-I i HS-II) i fizičko zdravlje, koje se određivalo na osnovu rezultata za c</w:t>
      </w:r>
      <w:r w:rsidR="00300564" w:rsidRPr="003445F5">
        <w:rPr>
          <w:szCs w:val="22"/>
          <w:lang w:val="sr-Latn-ME"/>
        </w:rPr>
        <w:t>j</w:t>
      </w:r>
      <w:r w:rsidRPr="003445F5">
        <w:rPr>
          <w:szCs w:val="22"/>
          <w:lang w:val="sr-Latn-ME"/>
        </w:rPr>
        <w:t>elokupnu fizičku komponentu upitnika SF-36 (ispitivanje HS-I).</w:t>
      </w:r>
    </w:p>
    <w:p w14:paraId="00DA6A21" w14:textId="77777777" w:rsidR="00A84ACC" w:rsidRPr="003445F5" w:rsidRDefault="00A84ACC" w:rsidP="00A84ACC">
      <w:pPr>
        <w:ind w:left="-5"/>
        <w:rPr>
          <w:szCs w:val="22"/>
          <w:lang w:val="sr-Latn-ME"/>
        </w:rPr>
      </w:pPr>
    </w:p>
    <w:p w14:paraId="56262118" w14:textId="3E6596D7" w:rsidR="00A84ACC" w:rsidRPr="003445F5" w:rsidRDefault="00A84ACC" w:rsidP="00A84ACC">
      <w:pPr>
        <w:ind w:left="-5"/>
        <w:rPr>
          <w:szCs w:val="22"/>
          <w:lang w:val="sr-Latn-ME"/>
        </w:rPr>
      </w:pPr>
      <w:r w:rsidRPr="003445F5">
        <w:rPr>
          <w:szCs w:val="22"/>
          <w:lang w:val="sr-Latn-ME"/>
        </w:rPr>
        <w:t xml:space="preserve">Među pacijentima koji su u 12. </w:t>
      </w:r>
      <w:r w:rsidR="00551F1D" w:rsidRPr="003445F5">
        <w:rPr>
          <w:szCs w:val="22"/>
          <w:lang w:val="sr-Latn-ME"/>
        </w:rPr>
        <w:t>nedjelj</w:t>
      </w:r>
      <w:r w:rsidR="00704AF5" w:rsidRPr="003445F5">
        <w:rPr>
          <w:szCs w:val="22"/>
          <w:lang w:val="sr-Latn-ME"/>
        </w:rPr>
        <w:t>i</w:t>
      </w:r>
      <w:r w:rsidRPr="003445F5">
        <w:rPr>
          <w:szCs w:val="22"/>
          <w:lang w:val="sr-Latn-ME"/>
        </w:rPr>
        <w:t xml:space="preserve"> ostvarili bar </w:t>
      </w:r>
      <w:r w:rsidR="00300564" w:rsidRPr="003445F5">
        <w:rPr>
          <w:szCs w:val="22"/>
          <w:lang w:val="sr-Latn-ME"/>
        </w:rPr>
        <w:t>djelimičan</w:t>
      </w:r>
      <w:r w:rsidRPr="003445F5">
        <w:rPr>
          <w:szCs w:val="22"/>
          <w:lang w:val="sr-Latn-ME"/>
        </w:rPr>
        <w:t xml:space="preserve"> odgovor na liječenje adalimumabom u dozi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stopa HiSCR-a zabilježena u </w:t>
      </w:r>
      <w:r w:rsidR="00551F1D" w:rsidRPr="003445F5">
        <w:rPr>
          <w:szCs w:val="22"/>
          <w:lang w:val="sr-Latn-ME"/>
        </w:rPr>
        <w:t>nedjelj</w:t>
      </w:r>
      <w:r w:rsidR="00704AF5" w:rsidRPr="003445F5">
        <w:rPr>
          <w:szCs w:val="22"/>
          <w:lang w:val="sr-Latn-ME"/>
        </w:rPr>
        <w:t>i</w:t>
      </w:r>
      <w:r w:rsidRPr="003445F5">
        <w:rPr>
          <w:szCs w:val="22"/>
          <w:lang w:val="sr-Latn-ME"/>
        </w:rPr>
        <w:t xml:space="preserve"> 36 bila je veća kod onih pacijenata koji su nastavili da primaju adalimumab svake </w:t>
      </w:r>
      <w:r w:rsidR="00551F1D" w:rsidRPr="003445F5">
        <w:rPr>
          <w:szCs w:val="22"/>
          <w:lang w:val="sr-Latn-ME"/>
        </w:rPr>
        <w:t>nedjelj</w:t>
      </w:r>
      <w:r w:rsidR="0047711E" w:rsidRPr="003445F5">
        <w:rPr>
          <w:szCs w:val="22"/>
          <w:lang w:val="sr-Latn-ME"/>
        </w:rPr>
        <w:t>e</w:t>
      </w:r>
      <w:r w:rsidRPr="003445F5">
        <w:rPr>
          <w:szCs w:val="22"/>
          <w:lang w:val="sr-Latn-ME"/>
        </w:rPr>
        <w:t xml:space="preserve"> nego kod pacijenata kojima je učestalost doziranja smanjena na jednom svake druge </w:t>
      </w:r>
      <w:r w:rsidR="00551F1D" w:rsidRPr="003445F5">
        <w:rPr>
          <w:szCs w:val="22"/>
          <w:lang w:val="sr-Latn-ME"/>
        </w:rPr>
        <w:t>nedjelj</w:t>
      </w:r>
      <w:r w:rsidR="0047711E" w:rsidRPr="003445F5">
        <w:rPr>
          <w:szCs w:val="22"/>
          <w:lang w:val="sr-Latn-ME"/>
        </w:rPr>
        <w:t>e</w:t>
      </w:r>
      <w:r w:rsidRPr="003445F5">
        <w:rPr>
          <w:szCs w:val="22"/>
          <w:lang w:val="sr-Latn-ME"/>
        </w:rPr>
        <w:t xml:space="preserve"> ili onih kojima je liječenje ukinuto (vidjeti Tabelu </w:t>
      </w:r>
      <w:r w:rsidR="00FD4CAB" w:rsidRPr="003445F5">
        <w:rPr>
          <w:szCs w:val="22"/>
          <w:lang w:val="sr-Latn-ME"/>
        </w:rPr>
        <w:t>13</w:t>
      </w:r>
      <w:r w:rsidRPr="003445F5">
        <w:rPr>
          <w:szCs w:val="22"/>
          <w:lang w:val="sr-Latn-ME"/>
        </w:rPr>
        <w:t>).</w:t>
      </w:r>
    </w:p>
    <w:p w14:paraId="56929F9D" w14:textId="6D8EBB73" w:rsidR="00B82D18" w:rsidRPr="003445F5" w:rsidRDefault="00B82D18" w:rsidP="00524FDF">
      <w:pPr>
        <w:rPr>
          <w:szCs w:val="22"/>
          <w:lang w:val="sr-Latn-ME"/>
        </w:rPr>
      </w:pPr>
    </w:p>
    <w:p w14:paraId="030FC315" w14:textId="3B6A8C2E" w:rsidR="006E3EBA" w:rsidRPr="003445F5" w:rsidRDefault="006E3EBA" w:rsidP="00524FDF">
      <w:pPr>
        <w:rPr>
          <w:szCs w:val="22"/>
          <w:lang w:val="sr-Latn-ME"/>
        </w:rPr>
      </w:pPr>
      <w:r w:rsidRPr="003445F5">
        <w:rPr>
          <w:b/>
          <w:szCs w:val="22"/>
          <w:lang w:val="sr-Latn-ME"/>
        </w:rPr>
        <w:t xml:space="preserve">Tabela </w:t>
      </w:r>
      <w:r w:rsidR="006B2381" w:rsidRPr="003445F5">
        <w:rPr>
          <w:b/>
          <w:szCs w:val="22"/>
          <w:lang w:val="sr-Latn-ME"/>
        </w:rPr>
        <w:t>13</w:t>
      </w:r>
      <w:r w:rsidRPr="003445F5">
        <w:rPr>
          <w:b/>
          <w:szCs w:val="22"/>
          <w:lang w:val="sr-Latn-ME"/>
        </w:rPr>
        <w:t>.</w:t>
      </w:r>
      <w:r w:rsidRPr="003445F5">
        <w:rPr>
          <w:szCs w:val="22"/>
          <w:lang w:val="sr-Latn-ME"/>
        </w:rPr>
        <w:t xml:space="preserve"> </w:t>
      </w:r>
      <w:r w:rsidR="00300564" w:rsidRPr="003445F5">
        <w:rPr>
          <w:b/>
          <w:szCs w:val="22"/>
          <w:lang w:val="sr-Latn-ME"/>
        </w:rPr>
        <w:t>Udio</w:t>
      </w:r>
      <w:r w:rsidR="000A6F8F" w:rsidRPr="003445F5">
        <w:rPr>
          <w:b/>
          <w:szCs w:val="22"/>
          <w:lang w:val="sr-Latn-ME"/>
        </w:rPr>
        <w:t xml:space="preserve"> pacijenata</w:t>
      </w:r>
      <w:r w:rsidR="000A6F8F" w:rsidRPr="003445F5">
        <w:rPr>
          <w:b/>
          <w:szCs w:val="22"/>
          <w:vertAlign w:val="superscript"/>
          <w:lang w:val="sr-Latn-ME"/>
        </w:rPr>
        <w:t>a</w:t>
      </w:r>
      <w:r w:rsidR="000A6F8F" w:rsidRPr="003445F5">
        <w:rPr>
          <w:b/>
          <w:szCs w:val="22"/>
          <w:lang w:val="sr-Latn-ME"/>
        </w:rPr>
        <w:t xml:space="preserve"> koji su postigli HiSCR</w:t>
      </w:r>
      <w:r w:rsidR="000A6F8F" w:rsidRPr="003445F5">
        <w:rPr>
          <w:b/>
          <w:szCs w:val="22"/>
          <w:vertAlign w:val="superscript"/>
          <w:lang w:val="sr-Latn-ME"/>
        </w:rPr>
        <w:t xml:space="preserve">b </w:t>
      </w:r>
      <w:r w:rsidR="000A6F8F" w:rsidRPr="003445F5">
        <w:rPr>
          <w:b/>
          <w:szCs w:val="22"/>
          <w:lang w:val="sr-Latn-ME"/>
        </w:rPr>
        <w:t xml:space="preserve">u 24. i 36. </w:t>
      </w:r>
      <w:r w:rsidR="00551F1D" w:rsidRPr="003445F5">
        <w:rPr>
          <w:b/>
          <w:szCs w:val="22"/>
          <w:lang w:val="sr-Latn-ME"/>
        </w:rPr>
        <w:t>nedjelj</w:t>
      </w:r>
      <w:r w:rsidR="00704AF5" w:rsidRPr="003445F5">
        <w:rPr>
          <w:b/>
          <w:szCs w:val="22"/>
          <w:lang w:val="sr-Latn-ME"/>
        </w:rPr>
        <w:t>i</w:t>
      </w:r>
      <w:r w:rsidR="000A6F8F" w:rsidRPr="003445F5">
        <w:rPr>
          <w:b/>
          <w:szCs w:val="22"/>
          <w:lang w:val="sr-Latn-ME"/>
        </w:rPr>
        <w:t xml:space="preserve"> nakon preraspod</w:t>
      </w:r>
      <w:r w:rsidR="000C0DE7" w:rsidRPr="003445F5">
        <w:rPr>
          <w:b/>
          <w:szCs w:val="22"/>
          <w:lang w:val="sr-Latn-ME"/>
        </w:rPr>
        <w:t>j</w:t>
      </w:r>
      <w:r w:rsidR="000A6F8F" w:rsidRPr="003445F5">
        <w:rPr>
          <w:b/>
          <w:szCs w:val="22"/>
          <w:lang w:val="sr-Latn-ME"/>
        </w:rPr>
        <w:t>ele l</w:t>
      </w:r>
      <w:r w:rsidR="000C0DE7" w:rsidRPr="003445F5">
        <w:rPr>
          <w:b/>
          <w:szCs w:val="22"/>
          <w:lang w:val="sr-Latn-ME"/>
        </w:rPr>
        <w:t>ij</w:t>
      </w:r>
      <w:r w:rsidR="000A6F8F" w:rsidRPr="003445F5">
        <w:rPr>
          <w:b/>
          <w:szCs w:val="22"/>
          <w:lang w:val="sr-Latn-ME"/>
        </w:rPr>
        <w:t xml:space="preserve">ečenja u 12. </w:t>
      </w:r>
      <w:r w:rsidR="00551F1D" w:rsidRPr="003445F5">
        <w:rPr>
          <w:b/>
          <w:szCs w:val="22"/>
          <w:lang w:val="sr-Latn-ME"/>
        </w:rPr>
        <w:t>nedjelj</w:t>
      </w:r>
      <w:r w:rsidR="00704AF5" w:rsidRPr="003445F5">
        <w:rPr>
          <w:b/>
          <w:szCs w:val="22"/>
          <w:lang w:val="sr-Latn-ME"/>
        </w:rPr>
        <w:t>i</w:t>
      </w:r>
      <w:r w:rsidR="000A6F8F" w:rsidRPr="003445F5">
        <w:rPr>
          <w:b/>
          <w:szCs w:val="22"/>
          <w:lang w:val="sr-Latn-ME"/>
        </w:rPr>
        <w:t xml:space="preserve">, do kada su primali adalimumab svake </w:t>
      </w:r>
      <w:r w:rsidR="00551F1D" w:rsidRPr="003445F5">
        <w:rPr>
          <w:b/>
          <w:szCs w:val="22"/>
          <w:lang w:val="sr-Latn-ME"/>
        </w:rPr>
        <w:t>nedjelj</w:t>
      </w:r>
      <w:r w:rsidR="0047711E" w:rsidRPr="003445F5">
        <w:rPr>
          <w:b/>
          <w:szCs w:val="22"/>
          <w:lang w:val="sr-Latn-ME"/>
        </w:rPr>
        <w:t>e</w:t>
      </w:r>
    </w:p>
    <w:p w14:paraId="17BA176D" w14:textId="77777777" w:rsidR="00B44468" w:rsidRPr="003445F5" w:rsidRDefault="00B44468" w:rsidP="00524FDF">
      <w:pPr>
        <w:rPr>
          <w:szCs w:val="22"/>
          <w:lang w:val="sr-Latn-ME"/>
        </w:rPr>
      </w:pPr>
    </w:p>
    <w:tbl>
      <w:tblPr>
        <w:tblW w:w="5000" w:type="pct"/>
        <w:tblCellMar>
          <w:top w:w="49" w:type="dxa"/>
          <w:left w:w="85" w:type="dxa"/>
          <w:right w:w="85" w:type="dxa"/>
        </w:tblCellMar>
        <w:tblLook w:val="04A0" w:firstRow="1" w:lastRow="0" w:firstColumn="1" w:lastColumn="0" w:noHBand="0" w:noVBand="1"/>
      </w:tblPr>
      <w:tblGrid>
        <w:gridCol w:w="1695"/>
        <w:gridCol w:w="2269"/>
        <w:gridCol w:w="2790"/>
        <w:gridCol w:w="2263"/>
      </w:tblGrid>
      <w:tr w:rsidR="00FF0D75" w:rsidRPr="003445F5" w14:paraId="2D8EAB6B" w14:textId="77777777" w:rsidTr="000C0DE7">
        <w:trPr>
          <w:trHeight w:val="20"/>
        </w:trPr>
        <w:tc>
          <w:tcPr>
            <w:tcW w:w="940" w:type="pct"/>
            <w:tcBorders>
              <w:top w:val="single" w:sz="4" w:space="0" w:color="000000"/>
              <w:left w:val="single" w:sz="4" w:space="0" w:color="000000"/>
              <w:bottom w:val="single" w:sz="4" w:space="0" w:color="000000"/>
              <w:right w:val="single" w:sz="4" w:space="0" w:color="000000"/>
            </w:tcBorders>
          </w:tcPr>
          <w:p w14:paraId="5E81E4E4" w14:textId="77777777" w:rsidR="00FF0D75" w:rsidRPr="003445F5" w:rsidRDefault="00FF0D75" w:rsidP="00704956">
            <w:pPr>
              <w:rPr>
                <w:szCs w:val="22"/>
                <w:lang w:val="sr-Latn-ME"/>
              </w:rPr>
            </w:pPr>
          </w:p>
        </w:tc>
        <w:tc>
          <w:tcPr>
            <w:tcW w:w="1258" w:type="pct"/>
            <w:tcBorders>
              <w:top w:val="single" w:sz="4" w:space="0" w:color="000000"/>
              <w:left w:val="single" w:sz="4" w:space="0" w:color="000000"/>
              <w:bottom w:val="single" w:sz="4" w:space="0" w:color="000000"/>
              <w:right w:val="single" w:sz="4" w:space="0" w:color="000000"/>
            </w:tcBorders>
            <w:vAlign w:val="center"/>
          </w:tcPr>
          <w:p w14:paraId="3836D7EB" w14:textId="77777777" w:rsidR="00FF0D75" w:rsidRPr="003445F5" w:rsidRDefault="00FF0D75" w:rsidP="00704956">
            <w:pPr>
              <w:jc w:val="center"/>
              <w:rPr>
                <w:b/>
                <w:szCs w:val="22"/>
                <w:lang w:val="sr-Latn-ME"/>
              </w:rPr>
            </w:pPr>
            <w:r w:rsidRPr="003445F5">
              <w:rPr>
                <w:b/>
                <w:szCs w:val="22"/>
                <w:lang w:val="sr-Latn-ME"/>
              </w:rPr>
              <w:t xml:space="preserve">Placebo </w:t>
            </w:r>
          </w:p>
          <w:p w14:paraId="2B062B16" w14:textId="65FBDA09" w:rsidR="00FF0D75" w:rsidRPr="003445F5" w:rsidRDefault="00FF0D75" w:rsidP="00704956">
            <w:pPr>
              <w:jc w:val="center"/>
              <w:rPr>
                <w:b/>
                <w:szCs w:val="22"/>
                <w:lang w:val="sr-Latn-ME"/>
              </w:rPr>
            </w:pPr>
            <w:r w:rsidRPr="003445F5">
              <w:rPr>
                <w:b/>
                <w:szCs w:val="22"/>
                <w:lang w:val="sr-Latn-ME"/>
              </w:rPr>
              <w:t>(ukidanje l</w:t>
            </w:r>
            <w:r w:rsidR="000C0DE7" w:rsidRPr="003445F5">
              <w:rPr>
                <w:b/>
                <w:szCs w:val="22"/>
                <w:lang w:val="sr-Latn-ME"/>
              </w:rPr>
              <w:t>ij</w:t>
            </w:r>
            <w:r w:rsidRPr="003445F5">
              <w:rPr>
                <w:b/>
                <w:szCs w:val="22"/>
                <w:lang w:val="sr-Latn-ME"/>
              </w:rPr>
              <w:t>ečenja)</w:t>
            </w:r>
          </w:p>
          <w:p w14:paraId="26AFC73B" w14:textId="77777777" w:rsidR="00FF0D75" w:rsidRPr="003445F5" w:rsidRDefault="00FF0D75" w:rsidP="00704956">
            <w:pPr>
              <w:jc w:val="center"/>
              <w:rPr>
                <w:szCs w:val="22"/>
                <w:lang w:val="sr-Latn-ME"/>
              </w:rPr>
            </w:pPr>
            <w:r w:rsidRPr="003445F5">
              <w:rPr>
                <w:b/>
                <w:szCs w:val="22"/>
                <w:lang w:val="sr-Latn-ME"/>
              </w:rPr>
              <w:t>N = 73</w:t>
            </w:r>
          </w:p>
        </w:tc>
        <w:tc>
          <w:tcPr>
            <w:tcW w:w="1547" w:type="pct"/>
            <w:tcBorders>
              <w:top w:val="single" w:sz="4" w:space="0" w:color="000000"/>
              <w:left w:val="single" w:sz="4" w:space="0" w:color="000000"/>
              <w:bottom w:val="single" w:sz="4" w:space="0" w:color="000000"/>
              <w:right w:val="single" w:sz="4" w:space="0" w:color="000000"/>
            </w:tcBorders>
            <w:vAlign w:val="center"/>
          </w:tcPr>
          <w:p w14:paraId="407AECEA" w14:textId="77777777" w:rsidR="00FF0D75" w:rsidRPr="003445F5" w:rsidRDefault="00FF0D75" w:rsidP="00704956">
            <w:pPr>
              <w:jc w:val="center"/>
              <w:rPr>
                <w:b/>
                <w:szCs w:val="22"/>
                <w:lang w:val="sr-Latn-ME"/>
              </w:rPr>
            </w:pPr>
            <w:r w:rsidRPr="003445F5">
              <w:rPr>
                <w:b/>
                <w:szCs w:val="22"/>
                <w:lang w:val="sr-Latn-ME"/>
              </w:rPr>
              <w:t>Adalimumab</w:t>
            </w:r>
          </w:p>
          <w:p w14:paraId="46DF959D" w14:textId="01908713" w:rsidR="00FF0D75" w:rsidRPr="003445F5" w:rsidRDefault="00FF0D75" w:rsidP="00704956">
            <w:pPr>
              <w:jc w:val="center"/>
              <w:rPr>
                <w:b/>
                <w:szCs w:val="22"/>
                <w:lang w:val="sr-Latn-ME"/>
              </w:rPr>
            </w:pPr>
            <w:r w:rsidRPr="003445F5">
              <w:rPr>
                <w:b/>
                <w:szCs w:val="22"/>
                <w:lang w:val="sr-Latn-ME"/>
              </w:rPr>
              <w:t xml:space="preserve">40 mg svake druge </w:t>
            </w:r>
            <w:r w:rsidR="00551F1D" w:rsidRPr="003445F5">
              <w:rPr>
                <w:b/>
                <w:szCs w:val="22"/>
                <w:lang w:val="sr-Latn-ME"/>
              </w:rPr>
              <w:t>nedjelj</w:t>
            </w:r>
            <w:r w:rsidR="0047711E" w:rsidRPr="003445F5">
              <w:rPr>
                <w:b/>
                <w:szCs w:val="22"/>
                <w:lang w:val="sr-Latn-ME"/>
              </w:rPr>
              <w:t>e</w:t>
            </w:r>
          </w:p>
          <w:p w14:paraId="0A7B8241" w14:textId="77777777" w:rsidR="00FF0D75" w:rsidRPr="003445F5" w:rsidRDefault="00FF0D75" w:rsidP="00704956">
            <w:pPr>
              <w:jc w:val="center"/>
              <w:rPr>
                <w:szCs w:val="22"/>
                <w:lang w:val="sr-Latn-ME"/>
              </w:rPr>
            </w:pPr>
            <w:r w:rsidRPr="003445F5">
              <w:rPr>
                <w:b/>
                <w:szCs w:val="22"/>
                <w:lang w:val="sr-Latn-ME"/>
              </w:rPr>
              <w:t>N = 70</w:t>
            </w:r>
          </w:p>
        </w:tc>
        <w:tc>
          <w:tcPr>
            <w:tcW w:w="1255" w:type="pct"/>
            <w:tcBorders>
              <w:top w:val="single" w:sz="4" w:space="0" w:color="000000"/>
              <w:left w:val="single" w:sz="4" w:space="0" w:color="000000"/>
              <w:bottom w:val="single" w:sz="4" w:space="0" w:color="000000"/>
              <w:right w:val="single" w:sz="4" w:space="0" w:color="000000"/>
            </w:tcBorders>
            <w:vAlign w:val="center"/>
          </w:tcPr>
          <w:p w14:paraId="3F409F67" w14:textId="77777777" w:rsidR="00FF0D75" w:rsidRPr="003445F5" w:rsidRDefault="00FF0D75" w:rsidP="00704956">
            <w:pPr>
              <w:jc w:val="center"/>
              <w:rPr>
                <w:szCs w:val="22"/>
                <w:lang w:val="sr-Latn-ME"/>
              </w:rPr>
            </w:pPr>
            <w:r w:rsidRPr="003445F5">
              <w:rPr>
                <w:b/>
                <w:szCs w:val="22"/>
                <w:lang w:val="sr-Latn-ME"/>
              </w:rPr>
              <w:t>Adalimumab</w:t>
            </w:r>
          </w:p>
          <w:p w14:paraId="2D2FF734" w14:textId="209A8685" w:rsidR="00FF0D75" w:rsidRPr="003445F5" w:rsidRDefault="00FF0D75" w:rsidP="00704956">
            <w:pPr>
              <w:jc w:val="center"/>
              <w:rPr>
                <w:szCs w:val="22"/>
                <w:lang w:val="sr-Latn-ME"/>
              </w:rPr>
            </w:pPr>
            <w:r w:rsidRPr="003445F5">
              <w:rPr>
                <w:b/>
                <w:szCs w:val="22"/>
                <w:lang w:val="sr-Latn-ME"/>
              </w:rPr>
              <w:t xml:space="preserve">40 mg svake </w:t>
            </w:r>
            <w:r w:rsidR="00551F1D" w:rsidRPr="003445F5">
              <w:rPr>
                <w:b/>
                <w:szCs w:val="22"/>
                <w:lang w:val="sr-Latn-ME"/>
              </w:rPr>
              <w:t>nedjelj</w:t>
            </w:r>
            <w:r w:rsidR="0047711E" w:rsidRPr="003445F5">
              <w:rPr>
                <w:b/>
                <w:szCs w:val="22"/>
                <w:lang w:val="sr-Latn-ME"/>
              </w:rPr>
              <w:t>e</w:t>
            </w:r>
          </w:p>
          <w:p w14:paraId="242B55FE" w14:textId="77777777" w:rsidR="00FF0D75" w:rsidRPr="003445F5" w:rsidRDefault="00FF0D75" w:rsidP="00704956">
            <w:pPr>
              <w:jc w:val="center"/>
              <w:rPr>
                <w:szCs w:val="22"/>
                <w:lang w:val="sr-Latn-ME"/>
              </w:rPr>
            </w:pPr>
            <w:r w:rsidRPr="003445F5">
              <w:rPr>
                <w:b/>
                <w:szCs w:val="22"/>
                <w:lang w:val="sr-Latn-ME"/>
              </w:rPr>
              <w:t>N = 70</w:t>
            </w:r>
          </w:p>
        </w:tc>
      </w:tr>
      <w:tr w:rsidR="00FF0D75" w:rsidRPr="003445F5" w14:paraId="31779D4D" w14:textId="77777777" w:rsidTr="000C0DE7">
        <w:trPr>
          <w:trHeight w:val="20"/>
        </w:trPr>
        <w:tc>
          <w:tcPr>
            <w:tcW w:w="940" w:type="pct"/>
            <w:tcBorders>
              <w:top w:val="single" w:sz="4" w:space="0" w:color="000000"/>
              <w:left w:val="single" w:sz="4" w:space="0" w:color="000000"/>
              <w:bottom w:val="single" w:sz="4" w:space="0" w:color="000000"/>
              <w:right w:val="single" w:sz="4" w:space="0" w:color="000000"/>
            </w:tcBorders>
          </w:tcPr>
          <w:p w14:paraId="5552FFE9" w14:textId="63277302" w:rsidR="00FF0D75" w:rsidRPr="003445F5" w:rsidRDefault="00551F1D" w:rsidP="00704956">
            <w:pPr>
              <w:rPr>
                <w:szCs w:val="22"/>
                <w:lang w:val="sr-Latn-ME"/>
              </w:rPr>
            </w:pPr>
            <w:r w:rsidRPr="003445F5">
              <w:rPr>
                <w:szCs w:val="22"/>
                <w:lang w:val="sr-Latn-ME"/>
              </w:rPr>
              <w:t>Nedjelj</w:t>
            </w:r>
            <w:r w:rsidR="00FF0D75" w:rsidRPr="003445F5">
              <w:rPr>
                <w:szCs w:val="22"/>
                <w:lang w:val="sr-Latn-ME"/>
              </w:rPr>
              <w:t>a 24</w:t>
            </w:r>
          </w:p>
        </w:tc>
        <w:tc>
          <w:tcPr>
            <w:tcW w:w="1258" w:type="pct"/>
            <w:tcBorders>
              <w:top w:val="single" w:sz="4" w:space="0" w:color="000000"/>
              <w:left w:val="single" w:sz="4" w:space="0" w:color="000000"/>
              <w:bottom w:val="single" w:sz="4" w:space="0" w:color="000000"/>
              <w:right w:val="single" w:sz="4" w:space="0" w:color="000000"/>
            </w:tcBorders>
            <w:vAlign w:val="center"/>
          </w:tcPr>
          <w:p w14:paraId="6C3077E4" w14:textId="77777777" w:rsidR="00FF0D75" w:rsidRPr="003445F5" w:rsidRDefault="00FF0D75" w:rsidP="00704956">
            <w:pPr>
              <w:jc w:val="center"/>
              <w:rPr>
                <w:szCs w:val="22"/>
                <w:lang w:val="sr-Latn-ME"/>
              </w:rPr>
            </w:pPr>
            <w:r w:rsidRPr="003445F5">
              <w:rPr>
                <w:szCs w:val="22"/>
                <w:lang w:val="sr-Latn-ME"/>
              </w:rPr>
              <w:t>24 (32,9%)</w:t>
            </w:r>
          </w:p>
        </w:tc>
        <w:tc>
          <w:tcPr>
            <w:tcW w:w="1547" w:type="pct"/>
            <w:tcBorders>
              <w:top w:val="single" w:sz="4" w:space="0" w:color="000000"/>
              <w:left w:val="single" w:sz="4" w:space="0" w:color="000000"/>
              <w:bottom w:val="single" w:sz="4" w:space="0" w:color="000000"/>
              <w:right w:val="single" w:sz="4" w:space="0" w:color="000000"/>
            </w:tcBorders>
            <w:vAlign w:val="center"/>
          </w:tcPr>
          <w:p w14:paraId="1A745566" w14:textId="77777777" w:rsidR="00FF0D75" w:rsidRPr="003445F5" w:rsidRDefault="00FF0D75" w:rsidP="00704956">
            <w:pPr>
              <w:jc w:val="center"/>
              <w:rPr>
                <w:szCs w:val="22"/>
                <w:lang w:val="sr-Latn-ME"/>
              </w:rPr>
            </w:pPr>
            <w:r w:rsidRPr="003445F5">
              <w:rPr>
                <w:szCs w:val="22"/>
                <w:lang w:val="sr-Latn-ME"/>
              </w:rPr>
              <w:t>36 (51,4%)</w:t>
            </w:r>
          </w:p>
        </w:tc>
        <w:tc>
          <w:tcPr>
            <w:tcW w:w="1255" w:type="pct"/>
            <w:tcBorders>
              <w:top w:val="single" w:sz="4" w:space="0" w:color="000000"/>
              <w:left w:val="single" w:sz="4" w:space="0" w:color="000000"/>
              <w:bottom w:val="single" w:sz="4" w:space="0" w:color="000000"/>
              <w:right w:val="single" w:sz="4" w:space="0" w:color="000000"/>
            </w:tcBorders>
            <w:vAlign w:val="center"/>
          </w:tcPr>
          <w:p w14:paraId="7BFCEF5C" w14:textId="77777777" w:rsidR="00FF0D75" w:rsidRPr="003445F5" w:rsidRDefault="00FF0D75" w:rsidP="00704956">
            <w:pPr>
              <w:jc w:val="center"/>
              <w:rPr>
                <w:szCs w:val="22"/>
                <w:lang w:val="sr-Latn-ME"/>
              </w:rPr>
            </w:pPr>
            <w:r w:rsidRPr="003445F5">
              <w:rPr>
                <w:szCs w:val="22"/>
                <w:lang w:val="sr-Latn-ME"/>
              </w:rPr>
              <w:t>40 (57,1%)</w:t>
            </w:r>
          </w:p>
        </w:tc>
      </w:tr>
      <w:tr w:rsidR="00FF0D75" w:rsidRPr="003445F5" w14:paraId="2075CF4A" w14:textId="77777777" w:rsidTr="000C0DE7">
        <w:trPr>
          <w:trHeight w:val="20"/>
        </w:trPr>
        <w:tc>
          <w:tcPr>
            <w:tcW w:w="940" w:type="pct"/>
            <w:tcBorders>
              <w:top w:val="single" w:sz="4" w:space="0" w:color="000000"/>
              <w:left w:val="single" w:sz="4" w:space="0" w:color="000000"/>
              <w:bottom w:val="single" w:sz="4" w:space="0" w:color="000000"/>
              <w:right w:val="single" w:sz="4" w:space="0" w:color="000000"/>
            </w:tcBorders>
          </w:tcPr>
          <w:p w14:paraId="54DA56A2" w14:textId="7B73FF22" w:rsidR="00FF0D75" w:rsidRPr="003445F5" w:rsidRDefault="00551F1D" w:rsidP="00704956">
            <w:pPr>
              <w:rPr>
                <w:szCs w:val="22"/>
                <w:lang w:val="sr-Latn-ME"/>
              </w:rPr>
            </w:pPr>
            <w:r w:rsidRPr="003445F5">
              <w:rPr>
                <w:szCs w:val="22"/>
                <w:lang w:val="sr-Latn-ME"/>
              </w:rPr>
              <w:t>Nedjelj</w:t>
            </w:r>
            <w:r w:rsidR="00FF0D75" w:rsidRPr="003445F5">
              <w:rPr>
                <w:szCs w:val="22"/>
                <w:lang w:val="sr-Latn-ME"/>
              </w:rPr>
              <w:t>a 36</w:t>
            </w:r>
          </w:p>
        </w:tc>
        <w:tc>
          <w:tcPr>
            <w:tcW w:w="1258" w:type="pct"/>
            <w:tcBorders>
              <w:top w:val="single" w:sz="4" w:space="0" w:color="000000"/>
              <w:left w:val="single" w:sz="4" w:space="0" w:color="000000"/>
              <w:bottom w:val="single" w:sz="4" w:space="0" w:color="000000"/>
              <w:right w:val="single" w:sz="4" w:space="0" w:color="000000"/>
            </w:tcBorders>
            <w:vAlign w:val="center"/>
          </w:tcPr>
          <w:p w14:paraId="573A5F84" w14:textId="77777777" w:rsidR="00FF0D75" w:rsidRPr="003445F5" w:rsidRDefault="00FF0D75" w:rsidP="00704956">
            <w:pPr>
              <w:jc w:val="center"/>
              <w:rPr>
                <w:szCs w:val="22"/>
                <w:lang w:val="sr-Latn-ME"/>
              </w:rPr>
            </w:pPr>
            <w:r w:rsidRPr="003445F5">
              <w:rPr>
                <w:szCs w:val="22"/>
                <w:lang w:val="sr-Latn-ME"/>
              </w:rPr>
              <w:t>22 (30,1%)</w:t>
            </w:r>
          </w:p>
        </w:tc>
        <w:tc>
          <w:tcPr>
            <w:tcW w:w="1547" w:type="pct"/>
            <w:tcBorders>
              <w:top w:val="single" w:sz="4" w:space="0" w:color="000000"/>
              <w:left w:val="single" w:sz="4" w:space="0" w:color="000000"/>
              <w:bottom w:val="single" w:sz="4" w:space="0" w:color="000000"/>
              <w:right w:val="single" w:sz="4" w:space="0" w:color="000000"/>
            </w:tcBorders>
            <w:vAlign w:val="center"/>
          </w:tcPr>
          <w:p w14:paraId="756F1C8C" w14:textId="77777777" w:rsidR="00FF0D75" w:rsidRPr="003445F5" w:rsidRDefault="00FF0D75" w:rsidP="00704956">
            <w:pPr>
              <w:jc w:val="center"/>
              <w:rPr>
                <w:szCs w:val="22"/>
                <w:lang w:val="sr-Latn-ME"/>
              </w:rPr>
            </w:pPr>
            <w:r w:rsidRPr="003445F5">
              <w:rPr>
                <w:szCs w:val="22"/>
                <w:lang w:val="sr-Latn-ME"/>
              </w:rPr>
              <w:t>28 (40,0%)</w:t>
            </w:r>
          </w:p>
        </w:tc>
        <w:tc>
          <w:tcPr>
            <w:tcW w:w="1255" w:type="pct"/>
            <w:tcBorders>
              <w:top w:val="single" w:sz="4" w:space="0" w:color="000000"/>
              <w:left w:val="single" w:sz="4" w:space="0" w:color="000000"/>
              <w:bottom w:val="single" w:sz="4" w:space="0" w:color="000000"/>
              <w:right w:val="single" w:sz="4" w:space="0" w:color="000000"/>
            </w:tcBorders>
            <w:vAlign w:val="center"/>
          </w:tcPr>
          <w:p w14:paraId="42A71FA5" w14:textId="77777777" w:rsidR="00FF0D75" w:rsidRPr="003445F5" w:rsidRDefault="00FF0D75" w:rsidP="00704956">
            <w:pPr>
              <w:jc w:val="center"/>
              <w:rPr>
                <w:szCs w:val="22"/>
                <w:lang w:val="sr-Latn-ME"/>
              </w:rPr>
            </w:pPr>
            <w:r w:rsidRPr="003445F5">
              <w:rPr>
                <w:szCs w:val="22"/>
                <w:lang w:val="sr-Latn-ME"/>
              </w:rPr>
              <w:t>39 (55,7%)</w:t>
            </w:r>
          </w:p>
        </w:tc>
      </w:tr>
      <w:tr w:rsidR="00FF0D75" w:rsidRPr="003445F5" w14:paraId="254F593B" w14:textId="77777777" w:rsidTr="00704956">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1B738E5" w14:textId="2C0FB6FC" w:rsidR="009736BE" w:rsidRPr="003445F5" w:rsidRDefault="00FF0D75" w:rsidP="009736BE">
            <w:pPr>
              <w:rPr>
                <w:szCs w:val="22"/>
                <w:lang w:val="sr-Latn-ME"/>
              </w:rPr>
            </w:pPr>
            <w:r w:rsidRPr="003445F5">
              <w:rPr>
                <w:szCs w:val="22"/>
                <w:vertAlign w:val="superscript"/>
                <w:lang w:val="sr-Latn-ME"/>
              </w:rPr>
              <w:t>a</w:t>
            </w:r>
            <w:r w:rsidRPr="003445F5">
              <w:rPr>
                <w:szCs w:val="22"/>
                <w:lang w:val="sr-Latn-ME"/>
              </w:rPr>
              <w:t xml:space="preserve"> </w:t>
            </w:r>
            <w:r w:rsidR="009736BE" w:rsidRPr="003445F5">
              <w:rPr>
                <w:szCs w:val="22"/>
                <w:lang w:val="sr-Latn-ME"/>
              </w:rPr>
              <w:t xml:space="preserve">Pacijenti koji su ostvarili bar djelimičan odgovor na liječenje adalimumabom u dozi od 40 mg svake </w:t>
            </w:r>
            <w:r w:rsidR="00551F1D" w:rsidRPr="003445F5">
              <w:rPr>
                <w:szCs w:val="22"/>
                <w:lang w:val="sr-Latn-ME"/>
              </w:rPr>
              <w:t>nedjelj</w:t>
            </w:r>
            <w:r w:rsidR="0047711E" w:rsidRPr="003445F5">
              <w:rPr>
                <w:szCs w:val="22"/>
                <w:lang w:val="sr-Latn-ME"/>
              </w:rPr>
              <w:t>e</w:t>
            </w:r>
            <w:r w:rsidR="009736BE" w:rsidRPr="003445F5">
              <w:rPr>
                <w:szCs w:val="22"/>
                <w:lang w:val="sr-Latn-ME"/>
              </w:rPr>
              <w:t xml:space="preserve"> nakon 12 nedjelja liječenja. </w:t>
            </w:r>
          </w:p>
          <w:p w14:paraId="65A27AD6" w14:textId="2D0E89DA" w:rsidR="00FF0D75" w:rsidRPr="003445F5" w:rsidRDefault="009736BE" w:rsidP="009736BE">
            <w:pPr>
              <w:rPr>
                <w:szCs w:val="22"/>
                <w:lang w:val="sr-Latn-ME"/>
              </w:rPr>
            </w:pPr>
            <w:r w:rsidRPr="003445F5">
              <w:rPr>
                <w:szCs w:val="22"/>
                <w:vertAlign w:val="superscript"/>
                <w:lang w:val="sr-Latn-ME"/>
              </w:rPr>
              <w:t>b</w:t>
            </w:r>
            <w:r w:rsidRPr="003445F5">
              <w:rPr>
                <w:szCs w:val="22"/>
                <w:lang w:val="sr-Latn-ME"/>
              </w:rPr>
              <w:t xml:space="preserve"> Pacijenti koji su ispunjavali protokolom utvrđene kriterijume za gubitak odgovora ili izostanak poboljšanja morali su da prekinu ispitivanja i vodili su se kao pacijenti bez odgovora.</w:t>
            </w:r>
          </w:p>
        </w:tc>
      </w:tr>
    </w:tbl>
    <w:p w14:paraId="390A0452" w14:textId="50549561" w:rsidR="00B82D18" w:rsidRPr="003445F5" w:rsidRDefault="00B82D18" w:rsidP="00524FDF">
      <w:pPr>
        <w:rPr>
          <w:szCs w:val="22"/>
          <w:lang w:val="sr-Latn-ME"/>
        </w:rPr>
      </w:pPr>
    </w:p>
    <w:p w14:paraId="5DD5C60F" w14:textId="67A05090" w:rsidR="00B17FEB" w:rsidRPr="003445F5" w:rsidRDefault="00B17FEB" w:rsidP="00B17FEB">
      <w:pPr>
        <w:ind w:left="-5"/>
        <w:rPr>
          <w:szCs w:val="22"/>
          <w:lang w:val="sr-Latn-ME"/>
        </w:rPr>
      </w:pPr>
      <w:r w:rsidRPr="003445F5">
        <w:rPr>
          <w:szCs w:val="22"/>
          <w:lang w:val="sr-Latn-ME"/>
        </w:rPr>
        <w:t xml:space="preserve">Među pacijentima koji su u 12. </w:t>
      </w:r>
      <w:r w:rsidR="00551F1D" w:rsidRPr="003445F5">
        <w:rPr>
          <w:szCs w:val="22"/>
          <w:lang w:val="sr-Latn-ME"/>
        </w:rPr>
        <w:t>nedjelj</w:t>
      </w:r>
      <w:r w:rsidR="00704AF5" w:rsidRPr="003445F5">
        <w:rPr>
          <w:szCs w:val="22"/>
          <w:lang w:val="sr-Latn-ME"/>
        </w:rPr>
        <w:t>i</w:t>
      </w:r>
      <w:r w:rsidRPr="003445F5">
        <w:rPr>
          <w:szCs w:val="22"/>
          <w:lang w:val="sr-Latn-ME"/>
        </w:rPr>
        <w:t xml:space="preserve"> ostvarili bar </w:t>
      </w:r>
      <w:r w:rsidR="00300564" w:rsidRPr="003445F5">
        <w:rPr>
          <w:szCs w:val="22"/>
          <w:lang w:val="sr-Latn-ME"/>
        </w:rPr>
        <w:t>djelimičan</w:t>
      </w:r>
      <w:r w:rsidRPr="003445F5">
        <w:rPr>
          <w:szCs w:val="22"/>
          <w:lang w:val="sr-Latn-ME"/>
        </w:rPr>
        <w:t xml:space="preserve"> odgovor i koji su nastavili terapiju adalimumabom svake </w:t>
      </w:r>
      <w:r w:rsidR="00551F1D" w:rsidRPr="003445F5">
        <w:rPr>
          <w:szCs w:val="22"/>
          <w:lang w:val="sr-Latn-ME"/>
        </w:rPr>
        <w:t>nedjelj</w:t>
      </w:r>
      <w:r w:rsidR="0047711E" w:rsidRPr="003445F5">
        <w:rPr>
          <w:szCs w:val="22"/>
          <w:lang w:val="sr-Latn-ME"/>
        </w:rPr>
        <w:t>e</w:t>
      </w:r>
      <w:r w:rsidRPr="003445F5">
        <w:rPr>
          <w:szCs w:val="22"/>
          <w:lang w:val="sr-Latn-ME"/>
        </w:rPr>
        <w:t xml:space="preserve">, stopa HiSCR-a u 48. </w:t>
      </w:r>
      <w:r w:rsidR="00551F1D" w:rsidRPr="003445F5">
        <w:rPr>
          <w:szCs w:val="22"/>
          <w:lang w:val="sr-Latn-ME"/>
        </w:rPr>
        <w:t>nedjelj</w:t>
      </w:r>
      <w:r w:rsidR="00704AF5" w:rsidRPr="003445F5">
        <w:rPr>
          <w:szCs w:val="22"/>
          <w:lang w:val="sr-Latn-ME"/>
        </w:rPr>
        <w:t>i</w:t>
      </w:r>
      <w:r w:rsidRPr="003445F5">
        <w:rPr>
          <w:szCs w:val="22"/>
          <w:lang w:val="sr-Latn-ME"/>
        </w:rPr>
        <w:t xml:space="preserve"> iznosila je 68,3%, a u 96. </w:t>
      </w:r>
      <w:r w:rsidR="00551F1D" w:rsidRPr="003445F5">
        <w:rPr>
          <w:szCs w:val="22"/>
          <w:lang w:val="sr-Latn-ME"/>
        </w:rPr>
        <w:t>nedjelj</w:t>
      </w:r>
      <w:r w:rsidR="00704AF5" w:rsidRPr="003445F5">
        <w:rPr>
          <w:szCs w:val="22"/>
          <w:lang w:val="sr-Latn-ME"/>
        </w:rPr>
        <w:t>i</w:t>
      </w:r>
      <w:r w:rsidRPr="003445F5">
        <w:rPr>
          <w:szCs w:val="22"/>
          <w:lang w:val="sr-Latn-ME"/>
        </w:rPr>
        <w:t xml:space="preserve"> 65,1%. Pri dugoročnijem liječenju adalimumabom u dozi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tokom 96 nedjelja nisu otkriveni novi podaci povezani sa bezbjednošću.</w:t>
      </w:r>
    </w:p>
    <w:p w14:paraId="6D1C0D82" w14:textId="77777777" w:rsidR="00B17FEB" w:rsidRPr="003445F5" w:rsidRDefault="00B17FEB" w:rsidP="00B17FEB">
      <w:pPr>
        <w:ind w:left="-5"/>
        <w:rPr>
          <w:szCs w:val="22"/>
          <w:lang w:val="sr-Latn-ME"/>
        </w:rPr>
      </w:pPr>
    </w:p>
    <w:p w14:paraId="683F1FD2" w14:textId="7B16ACFE" w:rsidR="00B17FEB" w:rsidRPr="003445F5" w:rsidRDefault="00B17FEB" w:rsidP="00B17FEB">
      <w:pPr>
        <w:ind w:left="-5"/>
        <w:rPr>
          <w:szCs w:val="22"/>
          <w:lang w:val="sr-Latn-ME"/>
        </w:rPr>
      </w:pPr>
      <w:r w:rsidRPr="003445F5">
        <w:rPr>
          <w:szCs w:val="22"/>
          <w:lang w:val="sr-Latn-ME"/>
        </w:rPr>
        <w:lastRenderedPageBreak/>
        <w:t xml:space="preserve">Među pacijentima kojima je liječenje adalimumabom ukinuto nakon 12. </w:t>
      </w:r>
      <w:r w:rsidR="00551F1D" w:rsidRPr="003445F5">
        <w:rPr>
          <w:szCs w:val="22"/>
          <w:lang w:val="sr-Latn-ME"/>
        </w:rPr>
        <w:t>nedjelj</w:t>
      </w:r>
      <w:r w:rsidR="0047711E" w:rsidRPr="003445F5">
        <w:rPr>
          <w:szCs w:val="22"/>
          <w:lang w:val="sr-Latn-ME"/>
        </w:rPr>
        <w:t>e</w:t>
      </w:r>
      <w:r w:rsidRPr="003445F5">
        <w:rPr>
          <w:szCs w:val="22"/>
          <w:lang w:val="sr-Latn-ME"/>
        </w:rPr>
        <w:t xml:space="preserve"> u ispitivanjima HS-I i HS-II, stopa HiSCR-a zabilježena 12 nedjelja nakon ponovnog uvođenja adalimumaba u dozi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vratila se na nivoe slične onima prije prekida liječenja (56,0 %).</w:t>
      </w:r>
    </w:p>
    <w:p w14:paraId="74DA2006" w14:textId="77777777" w:rsidR="00A62EAA" w:rsidRPr="003445F5" w:rsidRDefault="00A62EAA" w:rsidP="00A62EAA">
      <w:pPr>
        <w:rPr>
          <w:szCs w:val="22"/>
          <w:lang w:val="sr-Latn-ME"/>
        </w:rPr>
      </w:pPr>
    </w:p>
    <w:p w14:paraId="6F0B74D9" w14:textId="23FAF66B" w:rsidR="00A62EAA" w:rsidRPr="003445F5" w:rsidRDefault="00A62EAA" w:rsidP="00A62EAA">
      <w:pPr>
        <w:rPr>
          <w:i/>
          <w:szCs w:val="22"/>
          <w:lang w:val="sr-Latn-ME"/>
        </w:rPr>
      </w:pPr>
      <w:r w:rsidRPr="003445F5">
        <w:rPr>
          <w:i/>
          <w:iCs/>
          <w:szCs w:val="22"/>
          <w:lang w:val="sr-Latn-ME"/>
        </w:rPr>
        <w:t>Crohn</w:t>
      </w:r>
      <w:r w:rsidRPr="003445F5">
        <w:rPr>
          <w:i/>
          <w:szCs w:val="22"/>
          <w:lang w:val="sr-Latn-ME"/>
        </w:rPr>
        <w:t>-ova bolest</w:t>
      </w:r>
      <w:r w:rsidR="003E5437" w:rsidRPr="003445F5">
        <w:rPr>
          <w:i/>
          <w:szCs w:val="22"/>
          <w:lang w:val="sr-Latn-ME"/>
        </w:rPr>
        <w:t xml:space="preserve"> (engl. Crohn’s disease, CD)</w:t>
      </w:r>
    </w:p>
    <w:p w14:paraId="4016E9BF" w14:textId="77777777" w:rsidR="00D72457" w:rsidRPr="003445F5" w:rsidRDefault="00D72457" w:rsidP="00D72457">
      <w:pPr>
        <w:rPr>
          <w:szCs w:val="22"/>
          <w:lang w:val="sr-Latn-ME"/>
        </w:rPr>
      </w:pPr>
      <w:r w:rsidRPr="003445F5">
        <w:rPr>
          <w:szCs w:val="22"/>
          <w:lang w:val="sr-Latn-ME"/>
        </w:rPr>
        <w:t xml:space="preserve">Bezbjednost i efikasnost adalimumaba ispitivane su u randomizovanim, dvostruko slijepim, placebo kontrolisanim studijama na preko 1500 pacijenata sa umjereno do izrazito aktivnom </w:t>
      </w:r>
      <w:r w:rsidRPr="003445F5">
        <w:rPr>
          <w:i/>
          <w:iCs/>
          <w:szCs w:val="22"/>
          <w:lang w:val="sr-Latn-ME"/>
        </w:rPr>
        <w:t>Crohn</w:t>
      </w:r>
      <w:r w:rsidRPr="003445F5">
        <w:rPr>
          <w:szCs w:val="22"/>
          <w:lang w:val="sr-Latn-ME"/>
        </w:rPr>
        <w:t xml:space="preserve">-ovom bolešću (engl. </w:t>
      </w:r>
      <w:r w:rsidRPr="003445F5">
        <w:rPr>
          <w:i/>
          <w:iCs/>
          <w:szCs w:val="22"/>
          <w:lang w:val="sr-Latn-ME"/>
        </w:rPr>
        <w:t>Crohn</w:t>
      </w:r>
      <w:r w:rsidRPr="003445F5">
        <w:rPr>
          <w:i/>
          <w:szCs w:val="22"/>
          <w:lang w:val="sr-Latn-ME"/>
        </w:rPr>
        <w:t xml:space="preserve">'s Disease Activity Index </w:t>
      </w:r>
      <w:r w:rsidRPr="003445F5">
        <w:rPr>
          <w:szCs w:val="22"/>
          <w:lang w:val="sr-Latn-ME"/>
        </w:rPr>
        <w:t>(CDAI) ≥ 220 i ≤ 450). Istovremena primjena stabilnih doza aminosalicilata, kortikosteroida i/ili imunomodulatornih ljekova bila je dozvoljena, pa je 80% pacijenata nastavilo da uzima bar jedan od ovih ljekova.</w:t>
      </w:r>
    </w:p>
    <w:p w14:paraId="68DB7F59" w14:textId="77777777" w:rsidR="00A62EAA" w:rsidRPr="003445F5" w:rsidRDefault="00A62EAA" w:rsidP="00A62EAA">
      <w:pPr>
        <w:rPr>
          <w:szCs w:val="22"/>
          <w:lang w:val="sr-Latn-ME"/>
        </w:rPr>
      </w:pPr>
    </w:p>
    <w:p w14:paraId="7CAAE78B" w14:textId="57A7E6C4" w:rsidR="005919F1" w:rsidRPr="003445F5" w:rsidRDefault="005919F1" w:rsidP="005919F1">
      <w:pPr>
        <w:rPr>
          <w:szCs w:val="22"/>
          <w:lang w:val="sr-Latn-ME"/>
        </w:rPr>
      </w:pPr>
      <w:r w:rsidRPr="003445F5">
        <w:rPr>
          <w:szCs w:val="22"/>
          <w:lang w:val="sr-Latn-ME"/>
        </w:rPr>
        <w:t xml:space="preserve">Indukcija kliničke remisije (definisana kao CDAI &lt; 150) ispitivana je u dva ispitivanja, CD studija I (CLASSIC I) i CD studija II (GAIN). U CD studiji I, 299 pacijenata koji nikad nisu primali terapiju TNF antagonistima randomizovano je u 4 terapijske grupe: placebo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w:t>
      </w:r>
      <w:r w:rsidR="004A0CF7" w:rsidRPr="003445F5">
        <w:rPr>
          <w:szCs w:val="22"/>
          <w:lang w:val="sr-Latn-ME"/>
        </w:rPr>
        <w:t>poslije</w:t>
      </w:r>
      <w:r w:rsidRPr="003445F5">
        <w:rPr>
          <w:szCs w:val="22"/>
          <w:lang w:val="sr-Latn-ME"/>
        </w:rPr>
        <w:t xml:space="preserve">2 </w:t>
      </w:r>
      <w:r w:rsidR="00551F1D" w:rsidRPr="003445F5">
        <w:rPr>
          <w:szCs w:val="22"/>
          <w:lang w:val="sr-Latn-ME"/>
        </w:rPr>
        <w:t>nedjelj</w:t>
      </w:r>
      <w:r w:rsidR="0047711E" w:rsidRPr="003445F5">
        <w:rPr>
          <w:szCs w:val="22"/>
          <w:lang w:val="sr-Latn-ME"/>
        </w:rPr>
        <w:t>e</w:t>
      </w:r>
      <w:r w:rsidRPr="003445F5">
        <w:rPr>
          <w:szCs w:val="22"/>
          <w:lang w:val="sr-Latn-ME"/>
        </w:rPr>
        <w:t xml:space="preserve">, 160 mg adalimumaba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80 mg </w:t>
      </w:r>
      <w:r w:rsidR="004A0CF7" w:rsidRPr="003445F5">
        <w:rPr>
          <w:szCs w:val="22"/>
          <w:lang w:val="sr-Latn-ME"/>
        </w:rPr>
        <w:t>poslije</w:t>
      </w:r>
      <w:r w:rsidRPr="003445F5">
        <w:rPr>
          <w:szCs w:val="22"/>
          <w:lang w:val="sr-Latn-ME"/>
        </w:rPr>
        <w:t xml:space="preserve">2 </w:t>
      </w:r>
      <w:r w:rsidR="00551F1D" w:rsidRPr="003445F5">
        <w:rPr>
          <w:szCs w:val="22"/>
          <w:lang w:val="sr-Latn-ME"/>
        </w:rPr>
        <w:t>nedjelj</w:t>
      </w:r>
      <w:r w:rsidR="0047711E" w:rsidRPr="003445F5">
        <w:rPr>
          <w:szCs w:val="22"/>
          <w:lang w:val="sr-Latn-ME"/>
        </w:rPr>
        <w:t>e</w:t>
      </w:r>
      <w:r w:rsidRPr="003445F5">
        <w:rPr>
          <w:szCs w:val="22"/>
          <w:lang w:val="sr-Latn-ME"/>
        </w:rPr>
        <w:t xml:space="preserve">, 80 mg adalimumaba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40 mg </w:t>
      </w:r>
      <w:r w:rsidR="004A0CF7" w:rsidRPr="003445F5">
        <w:rPr>
          <w:szCs w:val="22"/>
          <w:lang w:val="sr-Latn-ME"/>
        </w:rPr>
        <w:t>poslije</w:t>
      </w:r>
      <w:r w:rsidRPr="003445F5">
        <w:rPr>
          <w:szCs w:val="22"/>
          <w:lang w:val="sr-Latn-ME"/>
        </w:rPr>
        <w:t xml:space="preserve">2 </w:t>
      </w:r>
      <w:r w:rsidR="00551F1D" w:rsidRPr="003445F5">
        <w:rPr>
          <w:szCs w:val="22"/>
          <w:lang w:val="sr-Latn-ME"/>
        </w:rPr>
        <w:t>nedjelj</w:t>
      </w:r>
      <w:r w:rsidR="0047711E" w:rsidRPr="003445F5">
        <w:rPr>
          <w:szCs w:val="22"/>
          <w:lang w:val="sr-Latn-ME"/>
        </w:rPr>
        <w:t>e</w:t>
      </w:r>
      <w:r w:rsidRPr="003445F5">
        <w:rPr>
          <w:szCs w:val="22"/>
          <w:lang w:val="sr-Latn-ME"/>
        </w:rPr>
        <w:t xml:space="preserve"> i 40 mg adalimumaba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20 mg </w:t>
      </w:r>
      <w:r w:rsidR="004A0CF7" w:rsidRPr="003445F5">
        <w:rPr>
          <w:szCs w:val="22"/>
          <w:lang w:val="sr-Latn-ME"/>
        </w:rPr>
        <w:t>poslije</w:t>
      </w:r>
      <w:r w:rsidR="0063026D" w:rsidRPr="003445F5">
        <w:rPr>
          <w:szCs w:val="22"/>
          <w:lang w:val="sr-Latn-ME"/>
        </w:rPr>
        <w:t xml:space="preserve"> </w:t>
      </w:r>
      <w:r w:rsidRPr="003445F5">
        <w:rPr>
          <w:szCs w:val="22"/>
          <w:lang w:val="sr-Latn-ME"/>
        </w:rPr>
        <w:t xml:space="preserve">2 </w:t>
      </w:r>
      <w:r w:rsidR="00551F1D" w:rsidRPr="003445F5">
        <w:rPr>
          <w:szCs w:val="22"/>
          <w:lang w:val="sr-Latn-ME"/>
        </w:rPr>
        <w:t>nedjelj</w:t>
      </w:r>
      <w:r w:rsidR="0047711E" w:rsidRPr="003445F5">
        <w:rPr>
          <w:szCs w:val="22"/>
          <w:lang w:val="sr-Latn-ME"/>
        </w:rPr>
        <w:t>e</w:t>
      </w:r>
      <w:r w:rsidRPr="003445F5">
        <w:rPr>
          <w:szCs w:val="22"/>
          <w:lang w:val="sr-Latn-ME"/>
        </w:rPr>
        <w:t xml:space="preserve">. U CD studiji II, 325 pacijenata kod kojih je odgovor prestao ili koji nisu reagovali na terapiju infliksimabom randomizovano je u dvije grupe: jedna grupa koja je primala 160 mg adalimumaba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80 mg adalimumaba dvije </w:t>
      </w:r>
      <w:r w:rsidR="00551F1D" w:rsidRPr="003445F5">
        <w:rPr>
          <w:szCs w:val="22"/>
          <w:lang w:val="sr-Latn-ME"/>
        </w:rPr>
        <w:t>nedjelj</w:t>
      </w:r>
      <w:r w:rsidR="0047711E" w:rsidRPr="003445F5">
        <w:rPr>
          <w:szCs w:val="22"/>
          <w:lang w:val="sr-Latn-ME"/>
        </w:rPr>
        <w:t>e</w:t>
      </w:r>
      <w:r w:rsidRPr="003445F5">
        <w:rPr>
          <w:szCs w:val="22"/>
          <w:lang w:val="sr-Latn-ME"/>
        </w:rPr>
        <w:t xml:space="preserve"> kasnije, i druga grupa koja je primala placebo u istom periodu. Pacijenti kod kojih nije bilo odgovora nakon prve doze isključeni su iz daljeg toka istraživanja, i stoga nisu bili dalje evaluirani.</w:t>
      </w:r>
    </w:p>
    <w:p w14:paraId="4381A912" w14:textId="77777777" w:rsidR="005919F1" w:rsidRPr="003445F5" w:rsidRDefault="005919F1" w:rsidP="005919F1">
      <w:pPr>
        <w:rPr>
          <w:szCs w:val="22"/>
          <w:lang w:val="sr-Latn-ME"/>
        </w:rPr>
      </w:pPr>
    </w:p>
    <w:p w14:paraId="603FEED4" w14:textId="487D9E48" w:rsidR="005919F1" w:rsidRPr="003445F5" w:rsidRDefault="005919F1" w:rsidP="005919F1">
      <w:pPr>
        <w:rPr>
          <w:szCs w:val="22"/>
          <w:lang w:val="sr-Latn-ME"/>
        </w:rPr>
      </w:pPr>
      <w:r w:rsidRPr="003445F5">
        <w:rPr>
          <w:szCs w:val="22"/>
          <w:lang w:val="sr-Latn-ME"/>
        </w:rPr>
        <w:t xml:space="preserve">Održavanje kliničke remisije ispitivano je u CD studiji III (CHARM), u kojoj je 854 pacijenata primilo 80 mg adalimumaba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a 40 mg dvije </w:t>
      </w:r>
      <w:r w:rsidR="00551F1D" w:rsidRPr="003445F5">
        <w:rPr>
          <w:szCs w:val="22"/>
          <w:lang w:val="sr-Latn-ME"/>
        </w:rPr>
        <w:t>nedjelj</w:t>
      </w:r>
      <w:r w:rsidR="0047711E" w:rsidRPr="003445F5">
        <w:rPr>
          <w:szCs w:val="22"/>
          <w:lang w:val="sr-Latn-ME"/>
        </w:rPr>
        <w:t>e</w:t>
      </w:r>
      <w:r w:rsidRPr="003445F5">
        <w:rPr>
          <w:szCs w:val="22"/>
          <w:lang w:val="sr-Latn-ME"/>
        </w:rPr>
        <w:t xml:space="preserve"> kasnije. U 4. </w:t>
      </w:r>
      <w:r w:rsidR="00551F1D" w:rsidRPr="003445F5">
        <w:rPr>
          <w:szCs w:val="22"/>
          <w:lang w:val="sr-Latn-ME"/>
        </w:rPr>
        <w:t>nedjelj</w:t>
      </w:r>
      <w:r w:rsidRPr="003445F5">
        <w:rPr>
          <w:szCs w:val="22"/>
          <w:lang w:val="sr-Latn-ME"/>
        </w:rPr>
        <w:t xml:space="preserve">i pacijenti su randomizovani u grupe koje su primale 40 mg adalimumaba svake </w:t>
      </w:r>
      <w:r w:rsidR="00551F1D" w:rsidRPr="003445F5">
        <w:rPr>
          <w:szCs w:val="22"/>
          <w:lang w:val="sr-Latn-ME"/>
        </w:rPr>
        <w:t>nedjelj</w:t>
      </w:r>
      <w:r w:rsidR="0047711E" w:rsidRPr="003445F5">
        <w:rPr>
          <w:szCs w:val="22"/>
          <w:lang w:val="sr-Latn-ME"/>
        </w:rPr>
        <w:t>e</w:t>
      </w:r>
      <w:r w:rsidRPr="003445F5">
        <w:rPr>
          <w:szCs w:val="22"/>
          <w:lang w:val="sr-Latn-ME"/>
        </w:rPr>
        <w:t xml:space="preserve">, 40 mg adalimumaba svake druge </w:t>
      </w:r>
      <w:r w:rsidR="00551F1D" w:rsidRPr="003445F5">
        <w:rPr>
          <w:szCs w:val="22"/>
          <w:lang w:val="sr-Latn-ME"/>
        </w:rPr>
        <w:t>nedjelj</w:t>
      </w:r>
      <w:r w:rsidR="0047711E" w:rsidRPr="003445F5">
        <w:rPr>
          <w:szCs w:val="22"/>
          <w:lang w:val="sr-Latn-ME"/>
        </w:rPr>
        <w:t>e</w:t>
      </w:r>
      <w:r w:rsidRPr="003445F5">
        <w:rPr>
          <w:szCs w:val="22"/>
          <w:lang w:val="sr-Latn-ME"/>
        </w:rPr>
        <w:t xml:space="preserve"> ili placebo tokom 56 nedjelja. Pacijenti sa kliničkim odgovorom (smanjenje CDAI ≥ 70) u 4. </w:t>
      </w:r>
      <w:r w:rsidR="00551F1D" w:rsidRPr="003445F5">
        <w:rPr>
          <w:szCs w:val="22"/>
          <w:lang w:val="sr-Latn-ME"/>
        </w:rPr>
        <w:t>nedjelj</w:t>
      </w:r>
      <w:r w:rsidR="00704AF5" w:rsidRPr="003445F5">
        <w:rPr>
          <w:szCs w:val="22"/>
          <w:lang w:val="sr-Latn-ME"/>
        </w:rPr>
        <w:t>i</w:t>
      </w:r>
      <w:r w:rsidRPr="003445F5">
        <w:rPr>
          <w:szCs w:val="22"/>
          <w:lang w:val="sr-Latn-ME"/>
        </w:rPr>
        <w:t xml:space="preserve"> stratifikovani su i analizirani odvojeno od pacijenata bez kliničkog odgovora u 4. </w:t>
      </w:r>
      <w:r w:rsidR="00551F1D" w:rsidRPr="003445F5">
        <w:rPr>
          <w:szCs w:val="22"/>
          <w:lang w:val="sr-Latn-ME"/>
        </w:rPr>
        <w:t>nedjelj</w:t>
      </w:r>
      <w:r w:rsidR="00704AF5" w:rsidRPr="003445F5">
        <w:rPr>
          <w:szCs w:val="22"/>
          <w:lang w:val="sr-Latn-ME"/>
        </w:rPr>
        <w:t>i</w:t>
      </w:r>
      <w:r w:rsidRPr="003445F5">
        <w:rPr>
          <w:szCs w:val="22"/>
          <w:lang w:val="sr-Latn-ME"/>
        </w:rPr>
        <w:t>. Dozvoljeno je smanjenje doze kortikosteroida nakon 8 nedjelja.</w:t>
      </w:r>
    </w:p>
    <w:p w14:paraId="181C3E1A" w14:textId="77777777" w:rsidR="00A62EAA" w:rsidRPr="003445F5" w:rsidRDefault="00A62EAA" w:rsidP="00A62EAA">
      <w:pPr>
        <w:rPr>
          <w:szCs w:val="22"/>
          <w:lang w:val="sr-Latn-ME"/>
        </w:rPr>
      </w:pPr>
    </w:p>
    <w:p w14:paraId="0E87243F" w14:textId="442DB21B" w:rsidR="00A62EAA" w:rsidRPr="003445F5" w:rsidRDefault="00A62EAA" w:rsidP="00A62EAA">
      <w:pPr>
        <w:rPr>
          <w:szCs w:val="22"/>
          <w:lang w:val="sr-Latn-ME"/>
        </w:rPr>
      </w:pPr>
      <w:r w:rsidRPr="003445F5">
        <w:rPr>
          <w:szCs w:val="22"/>
          <w:lang w:val="sr-Latn-ME"/>
        </w:rPr>
        <w:t>Indukcija remisije i stopa kliničkog odgovora u CD studiji I i CD studiji II prikazani su u Tabeli 14.</w:t>
      </w:r>
    </w:p>
    <w:p w14:paraId="0F42E948" w14:textId="77777777" w:rsidR="00135265" w:rsidRPr="003445F5" w:rsidRDefault="00135265" w:rsidP="00524FDF">
      <w:pPr>
        <w:rPr>
          <w:b/>
          <w:szCs w:val="22"/>
          <w:lang w:val="sr-Latn-ME"/>
        </w:rPr>
      </w:pPr>
    </w:p>
    <w:p w14:paraId="6A1071BB" w14:textId="0704EF37" w:rsidR="00135265" w:rsidRPr="003445F5" w:rsidRDefault="00135265" w:rsidP="00524FDF">
      <w:pPr>
        <w:rPr>
          <w:b/>
          <w:szCs w:val="22"/>
          <w:lang w:val="sr-Latn-ME"/>
        </w:rPr>
      </w:pPr>
      <w:r w:rsidRPr="003445F5">
        <w:rPr>
          <w:b/>
          <w:szCs w:val="22"/>
          <w:lang w:val="sr-Latn-ME"/>
        </w:rPr>
        <w:t xml:space="preserve">Tabela </w:t>
      </w:r>
      <w:r w:rsidR="008B7801" w:rsidRPr="003445F5">
        <w:rPr>
          <w:b/>
          <w:szCs w:val="22"/>
          <w:lang w:val="sr-Latn-ME"/>
        </w:rPr>
        <w:t>14</w:t>
      </w:r>
      <w:r w:rsidRPr="003445F5">
        <w:rPr>
          <w:b/>
          <w:szCs w:val="22"/>
          <w:lang w:val="sr-Latn-ME"/>
        </w:rPr>
        <w:t>. Indukcija kliničke remisije i kliničkog odgovora (procenat pacijenata)</w:t>
      </w:r>
    </w:p>
    <w:p w14:paraId="05FBD4AF" w14:textId="77777777" w:rsidR="00A62EAA" w:rsidRPr="003445F5" w:rsidRDefault="00A62EAA" w:rsidP="00524FDF">
      <w:pPr>
        <w:rPr>
          <w:b/>
          <w:szCs w:val="22"/>
          <w:lang w:val="sr-Latn-ME"/>
        </w:rPr>
      </w:pPr>
    </w:p>
    <w:tbl>
      <w:tblPr>
        <w:tblW w:w="5000" w:type="pct"/>
        <w:tblCellMar>
          <w:top w:w="49" w:type="dxa"/>
          <w:left w:w="85" w:type="dxa"/>
          <w:right w:w="85" w:type="dxa"/>
        </w:tblCellMar>
        <w:tblLook w:val="04A0" w:firstRow="1" w:lastRow="0" w:firstColumn="1" w:lastColumn="0" w:noHBand="0" w:noVBand="1"/>
      </w:tblPr>
      <w:tblGrid>
        <w:gridCol w:w="1749"/>
        <w:gridCol w:w="1071"/>
        <w:gridCol w:w="1520"/>
        <w:gridCol w:w="1580"/>
        <w:gridCol w:w="1580"/>
        <w:gridCol w:w="1517"/>
      </w:tblGrid>
      <w:tr w:rsidR="00DD6845" w:rsidRPr="003445F5" w14:paraId="69E15D3C" w14:textId="77777777" w:rsidTr="00704956">
        <w:trPr>
          <w:trHeight w:val="20"/>
        </w:trPr>
        <w:tc>
          <w:tcPr>
            <w:tcW w:w="970" w:type="pct"/>
            <w:tcBorders>
              <w:top w:val="single" w:sz="4" w:space="0" w:color="000000"/>
              <w:left w:val="single" w:sz="4" w:space="0" w:color="000000"/>
              <w:bottom w:val="single" w:sz="4" w:space="0" w:color="000000"/>
              <w:right w:val="single" w:sz="4" w:space="0" w:color="000000"/>
            </w:tcBorders>
          </w:tcPr>
          <w:p w14:paraId="74786C66" w14:textId="77777777" w:rsidR="00DD6845" w:rsidRPr="003445F5" w:rsidRDefault="00DD6845" w:rsidP="00704956">
            <w:pPr>
              <w:rPr>
                <w:szCs w:val="22"/>
                <w:lang w:val="sr-Latn-ME"/>
              </w:rPr>
            </w:pPr>
          </w:p>
        </w:tc>
        <w:tc>
          <w:tcPr>
            <w:tcW w:w="2313" w:type="pct"/>
            <w:gridSpan w:val="3"/>
            <w:tcBorders>
              <w:top w:val="single" w:sz="4" w:space="0" w:color="000000"/>
              <w:left w:val="single" w:sz="4" w:space="0" w:color="000000"/>
              <w:bottom w:val="single" w:sz="4" w:space="0" w:color="000000"/>
              <w:right w:val="single" w:sz="4" w:space="0" w:color="000000"/>
            </w:tcBorders>
            <w:vAlign w:val="center"/>
          </w:tcPr>
          <w:p w14:paraId="4AE382B6" w14:textId="77777777" w:rsidR="00DD6845" w:rsidRPr="003445F5" w:rsidRDefault="00DD6845" w:rsidP="00704956">
            <w:pPr>
              <w:jc w:val="center"/>
              <w:rPr>
                <w:b/>
                <w:szCs w:val="22"/>
                <w:lang w:val="sr-Latn-ME"/>
              </w:rPr>
            </w:pPr>
            <w:r w:rsidRPr="003445F5">
              <w:rPr>
                <w:b/>
                <w:szCs w:val="22"/>
                <w:lang w:val="sr-Latn-ME"/>
              </w:rPr>
              <w:t xml:space="preserve">CD studija I: </w:t>
            </w:r>
          </w:p>
          <w:p w14:paraId="151A4B20" w14:textId="77777777" w:rsidR="00DD6845" w:rsidRPr="003445F5" w:rsidRDefault="00DD6845" w:rsidP="00704956">
            <w:pPr>
              <w:jc w:val="center"/>
              <w:rPr>
                <w:szCs w:val="22"/>
                <w:lang w:val="sr-Latn-ME"/>
              </w:rPr>
            </w:pPr>
            <w:r w:rsidRPr="003445F5">
              <w:rPr>
                <w:b/>
                <w:szCs w:val="22"/>
                <w:lang w:val="sr-Latn-ME"/>
              </w:rPr>
              <w:t>pacijenti koji nisu ranije primali infliksimab</w:t>
            </w:r>
          </w:p>
        </w:tc>
        <w:tc>
          <w:tcPr>
            <w:tcW w:w="1717" w:type="pct"/>
            <w:gridSpan w:val="2"/>
            <w:tcBorders>
              <w:top w:val="single" w:sz="4" w:space="0" w:color="000000"/>
              <w:left w:val="single" w:sz="4" w:space="0" w:color="000000"/>
              <w:bottom w:val="single" w:sz="4" w:space="0" w:color="000000"/>
              <w:right w:val="single" w:sz="4" w:space="0" w:color="000000"/>
            </w:tcBorders>
            <w:vAlign w:val="center"/>
          </w:tcPr>
          <w:p w14:paraId="2CC0B749" w14:textId="77777777" w:rsidR="00DD6845" w:rsidRPr="003445F5" w:rsidRDefault="00DD6845" w:rsidP="00704956">
            <w:pPr>
              <w:jc w:val="center"/>
              <w:rPr>
                <w:b/>
                <w:szCs w:val="22"/>
                <w:lang w:val="sr-Latn-ME"/>
              </w:rPr>
            </w:pPr>
            <w:r w:rsidRPr="003445F5">
              <w:rPr>
                <w:b/>
                <w:szCs w:val="22"/>
                <w:lang w:val="sr-Latn-ME"/>
              </w:rPr>
              <w:t xml:space="preserve">CD studija II: </w:t>
            </w:r>
          </w:p>
          <w:p w14:paraId="784428E2" w14:textId="77777777" w:rsidR="00DD6845" w:rsidRPr="003445F5" w:rsidRDefault="00DD6845" w:rsidP="00704956">
            <w:pPr>
              <w:jc w:val="center"/>
              <w:rPr>
                <w:szCs w:val="22"/>
                <w:lang w:val="sr-Latn-ME"/>
              </w:rPr>
            </w:pPr>
            <w:r w:rsidRPr="003445F5">
              <w:rPr>
                <w:b/>
                <w:szCs w:val="22"/>
                <w:lang w:val="sr-Latn-ME"/>
              </w:rPr>
              <w:t>pacijenti koji su primali infliksimab</w:t>
            </w:r>
          </w:p>
        </w:tc>
      </w:tr>
      <w:tr w:rsidR="00DD6845" w:rsidRPr="003445F5" w14:paraId="5030FF46" w14:textId="77777777" w:rsidTr="00704956">
        <w:trPr>
          <w:trHeight w:val="20"/>
        </w:trPr>
        <w:tc>
          <w:tcPr>
            <w:tcW w:w="970" w:type="pct"/>
            <w:tcBorders>
              <w:top w:val="single" w:sz="4" w:space="0" w:color="000000"/>
              <w:left w:val="single" w:sz="4" w:space="0" w:color="000000"/>
              <w:bottom w:val="single" w:sz="4" w:space="0" w:color="000000"/>
              <w:right w:val="single" w:sz="4" w:space="0" w:color="000000"/>
            </w:tcBorders>
          </w:tcPr>
          <w:p w14:paraId="05C2BFCF" w14:textId="77777777" w:rsidR="00DD6845" w:rsidRPr="003445F5" w:rsidRDefault="00DD6845" w:rsidP="00704956">
            <w:pPr>
              <w:rPr>
                <w:szCs w:val="22"/>
                <w:lang w:val="sr-Latn-ME"/>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1B452917" w14:textId="77777777" w:rsidR="00DD6845" w:rsidRPr="003445F5" w:rsidRDefault="00DD6845" w:rsidP="00704956">
            <w:pPr>
              <w:jc w:val="center"/>
              <w:rPr>
                <w:szCs w:val="22"/>
                <w:lang w:val="sr-Latn-ME"/>
              </w:rPr>
            </w:pPr>
            <w:r w:rsidRPr="003445F5">
              <w:rPr>
                <w:b/>
                <w:szCs w:val="22"/>
                <w:lang w:val="sr-Latn-ME"/>
              </w:rPr>
              <w:t>Placebo</w:t>
            </w:r>
          </w:p>
          <w:p w14:paraId="4746165F" w14:textId="77777777" w:rsidR="00DD6845" w:rsidRPr="003445F5" w:rsidRDefault="00DD6845" w:rsidP="00704956">
            <w:pPr>
              <w:jc w:val="center"/>
              <w:rPr>
                <w:szCs w:val="22"/>
                <w:lang w:val="sr-Latn-ME"/>
              </w:rPr>
            </w:pPr>
            <w:r w:rsidRPr="003445F5">
              <w:rPr>
                <w:b/>
                <w:szCs w:val="22"/>
                <w:lang w:val="sr-Latn-ME"/>
              </w:rPr>
              <w:t>N=74</w:t>
            </w:r>
          </w:p>
        </w:tc>
        <w:tc>
          <w:tcPr>
            <w:tcW w:w="843" w:type="pct"/>
            <w:tcBorders>
              <w:top w:val="single" w:sz="4" w:space="0" w:color="000000"/>
              <w:left w:val="single" w:sz="4" w:space="0" w:color="000000"/>
              <w:bottom w:val="single" w:sz="4" w:space="0" w:color="000000"/>
              <w:right w:val="single" w:sz="4" w:space="0" w:color="000000"/>
            </w:tcBorders>
            <w:vAlign w:val="center"/>
          </w:tcPr>
          <w:p w14:paraId="66D50B22" w14:textId="77777777" w:rsidR="00DD6845" w:rsidRPr="003445F5" w:rsidRDefault="00DD6845" w:rsidP="00704956">
            <w:pPr>
              <w:jc w:val="center"/>
              <w:rPr>
                <w:szCs w:val="22"/>
                <w:lang w:val="sr-Latn-ME"/>
              </w:rPr>
            </w:pPr>
            <w:r w:rsidRPr="003445F5">
              <w:rPr>
                <w:b/>
                <w:szCs w:val="22"/>
                <w:lang w:val="sr-Latn-ME"/>
              </w:rPr>
              <w:t>Adalimumab</w:t>
            </w:r>
          </w:p>
          <w:p w14:paraId="16190247" w14:textId="77777777" w:rsidR="00DD6845" w:rsidRPr="003445F5" w:rsidRDefault="00DD6845" w:rsidP="00704956">
            <w:pPr>
              <w:jc w:val="center"/>
              <w:rPr>
                <w:b/>
                <w:szCs w:val="22"/>
                <w:lang w:val="sr-Latn-ME"/>
              </w:rPr>
            </w:pPr>
            <w:r w:rsidRPr="003445F5">
              <w:rPr>
                <w:b/>
                <w:szCs w:val="22"/>
                <w:lang w:val="sr-Latn-ME"/>
              </w:rPr>
              <w:t xml:space="preserve">80/40 mg </w:t>
            </w:r>
          </w:p>
          <w:p w14:paraId="587918FC" w14:textId="77777777" w:rsidR="00DD6845" w:rsidRPr="003445F5" w:rsidRDefault="00DD6845" w:rsidP="00704956">
            <w:pPr>
              <w:jc w:val="center"/>
              <w:rPr>
                <w:szCs w:val="22"/>
                <w:lang w:val="sr-Latn-ME"/>
              </w:rPr>
            </w:pPr>
            <w:r w:rsidRPr="003445F5">
              <w:rPr>
                <w:b/>
                <w:szCs w:val="22"/>
                <w:lang w:val="sr-Latn-ME"/>
              </w:rPr>
              <w:t>N = 75</w:t>
            </w:r>
          </w:p>
        </w:tc>
        <w:tc>
          <w:tcPr>
            <w:tcW w:w="876" w:type="pct"/>
            <w:tcBorders>
              <w:top w:val="single" w:sz="4" w:space="0" w:color="000000"/>
              <w:left w:val="single" w:sz="4" w:space="0" w:color="000000"/>
              <w:bottom w:val="single" w:sz="4" w:space="0" w:color="000000"/>
              <w:right w:val="single" w:sz="4" w:space="0" w:color="000000"/>
            </w:tcBorders>
            <w:vAlign w:val="center"/>
          </w:tcPr>
          <w:p w14:paraId="38C0686B" w14:textId="77777777" w:rsidR="00DD6845" w:rsidRPr="003445F5" w:rsidRDefault="00DD6845" w:rsidP="00704956">
            <w:pPr>
              <w:jc w:val="center"/>
              <w:rPr>
                <w:szCs w:val="22"/>
                <w:lang w:val="sr-Latn-ME"/>
              </w:rPr>
            </w:pPr>
            <w:r w:rsidRPr="003445F5">
              <w:rPr>
                <w:b/>
                <w:szCs w:val="22"/>
                <w:lang w:val="sr-Latn-ME"/>
              </w:rPr>
              <w:t>Adalimumab</w:t>
            </w:r>
          </w:p>
          <w:p w14:paraId="4872A7CA" w14:textId="77777777" w:rsidR="00DD6845" w:rsidRPr="003445F5" w:rsidRDefault="00DD6845" w:rsidP="00704956">
            <w:pPr>
              <w:jc w:val="center"/>
              <w:rPr>
                <w:szCs w:val="22"/>
                <w:lang w:val="sr-Latn-ME"/>
              </w:rPr>
            </w:pPr>
            <w:r w:rsidRPr="003445F5">
              <w:rPr>
                <w:b/>
                <w:szCs w:val="22"/>
                <w:lang w:val="sr-Latn-ME"/>
              </w:rPr>
              <w:t>160/80 mg</w:t>
            </w:r>
          </w:p>
          <w:p w14:paraId="719BBED4" w14:textId="77777777" w:rsidR="00DD6845" w:rsidRPr="003445F5" w:rsidRDefault="00DD6845" w:rsidP="00704956">
            <w:pPr>
              <w:jc w:val="center"/>
              <w:rPr>
                <w:szCs w:val="22"/>
                <w:lang w:val="sr-Latn-ME"/>
              </w:rPr>
            </w:pPr>
            <w:r w:rsidRPr="003445F5">
              <w:rPr>
                <w:b/>
                <w:szCs w:val="22"/>
                <w:lang w:val="sr-Latn-ME"/>
              </w:rPr>
              <w:t>N = 76</w:t>
            </w:r>
          </w:p>
        </w:tc>
        <w:tc>
          <w:tcPr>
            <w:tcW w:w="876" w:type="pct"/>
            <w:tcBorders>
              <w:top w:val="single" w:sz="4" w:space="0" w:color="000000"/>
              <w:left w:val="single" w:sz="4" w:space="0" w:color="000000"/>
              <w:bottom w:val="single" w:sz="4" w:space="0" w:color="000000"/>
              <w:right w:val="single" w:sz="4" w:space="0" w:color="000000"/>
            </w:tcBorders>
            <w:vAlign w:val="center"/>
          </w:tcPr>
          <w:p w14:paraId="7EF4D208" w14:textId="77777777" w:rsidR="00DD6845" w:rsidRPr="003445F5" w:rsidRDefault="00DD6845" w:rsidP="00704956">
            <w:pPr>
              <w:jc w:val="center"/>
              <w:rPr>
                <w:szCs w:val="22"/>
                <w:lang w:val="sr-Latn-ME"/>
              </w:rPr>
            </w:pPr>
            <w:r w:rsidRPr="003445F5">
              <w:rPr>
                <w:b/>
                <w:szCs w:val="22"/>
                <w:lang w:val="sr-Latn-ME"/>
              </w:rPr>
              <w:t>Placebo</w:t>
            </w:r>
          </w:p>
          <w:p w14:paraId="112A8966" w14:textId="77777777" w:rsidR="00DD6845" w:rsidRPr="003445F5" w:rsidRDefault="00DD6845" w:rsidP="00704956">
            <w:pPr>
              <w:jc w:val="center"/>
              <w:rPr>
                <w:szCs w:val="22"/>
                <w:lang w:val="sr-Latn-ME"/>
              </w:rPr>
            </w:pPr>
            <w:r w:rsidRPr="003445F5">
              <w:rPr>
                <w:b/>
                <w:szCs w:val="22"/>
                <w:lang w:val="sr-Latn-ME"/>
              </w:rPr>
              <w:t>N=166</w:t>
            </w:r>
          </w:p>
        </w:tc>
        <w:tc>
          <w:tcPr>
            <w:tcW w:w="841" w:type="pct"/>
            <w:tcBorders>
              <w:top w:val="single" w:sz="4" w:space="0" w:color="000000"/>
              <w:left w:val="single" w:sz="4" w:space="0" w:color="000000"/>
              <w:bottom w:val="single" w:sz="4" w:space="0" w:color="000000"/>
              <w:right w:val="single" w:sz="4" w:space="0" w:color="000000"/>
            </w:tcBorders>
            <w:vAlign w:val="center"/>
          </w:tcPr>
          <w:p w14:paraId="27E5D7B6" w14:textId="77777777" w:rsidR="00DD6845" w:rsidRPr="003445F5" w:rsidRDefault="00DD6845" w:rsidP="00704956">
            <w:pPr>
              <w:jc w:val="center"/>
              <w:rPr>
                <w:szCs w:val="22"/>
                <w:lang w:val="sr-Latn-ME"/>
              </w:rPr>
            </w:pPr>
            <w:r w:rsidRPr="003445F5">
              <w:rPr>
                <w:b/>
                <w:szCs w:val="22"/>
                <w:lang w:val="sr-Latn-ME"/>
              </w:rPr>
              <w:t>Adalimumab</w:t>
            </w:r>
          </w:p>
          <w:p w14:paraId="379129CC" w14:textId="77777777" w:rsidR="00DD6845" w:rsidRPr="003445F5" w:rsidRDefault="00DD6845" w:rsidP="00704956">
            <w:pPr>
              <w:jc w:val="center"/>
              <w:rPr>
                <w:b/>
                <w:szCs w:val="22"/>
                <w:lang w:val="sr-Latn-ME"/>
              </w:rPr>
            </w:pPr>
            <w:r w:rsidRPr="003445F5">
              <w:rPr>
                <w:b/>
                <w:szCs w:val="22"/>
                <w:lang w:val="sr-Latn-ME"/>
              </w:rPr>
              <w:t xml:space="preserve">160/80 mg </w:t>
            </w:r>
          </w:p>
          <w:p w14:paraId="56FD584A" w14:textId="77777777" w:rsidR="00DD6845" w:rsidRPr="003445F5" w:rsidRDefault="00DD6845" w:rsidP="00704956">
            <w:pPr>
              <w:jc w:val="center"/>
              <w:rPr>
                <w:szCs w:val="22"/>
                <w:lang w:val="sr-Latn-ME"/>
              </w:rPr>
            </w:pPr>
            <w:r w:rsidRPr="003445F5">
              <w:rPr>
                <w:b/>
                <w:szCs w:val="22"/>
                <w:lang w:val="sr-Latn-ME"/>
              </w:rPr>
              <w:t>N = 159</w:t>
            </w:r>
          </w:p>
        </w:tc>
      </w:tr>
      <w:tr w:rsidR="00DD6845" w:rsidRPr="003445F5" w14:paraId="277D4594" w14:textId="77777777" w:rsidTr="00704956">
        <w:trPr>
          <w:trHeight w:val="20"/>
        </w:trPr>
        <w:tc>
          <w:tcPr>
            <w:tcW w:w="970" w:type="pct"/>
            <w:tcBorders>
              <w:top w:val="single" w:sz="4" w:space="0" w:color="000000"/>
              <w:left w:val="single" w:sz="4" w:space="0" w:color="000000"/>
              <w:bottom w:val="single" w:sz="4" w:space="0" w:color="000000"/>
              <w:right w:val="single" w:sz="4" w:space="0" w:color="000000"/>
            </w:tcBorders>
            <w:vAlign w:val="center"/>
          </w:tcPr>
          <w:p w14:paraId="02BE0BF5" w14:textId="49B670A3" w:rsidR="00DD6845" w:rsidRPr="003445F5" w:rsidRDefault="00DD6845" w:rsidP="00704956">
            <w:pPr>
              <w:jc w:val="left"/>
              <w:rPr>
                <w:szCs w:val="22"/>
                <w:lang w:val="sr-Latn-ME"/>
              </w:rPr>
            </w:pPr>
            <w:r w:rsidRPr="003445F5">
              <w:rPr>
                <w:szCs w:val="22"/>
                <w:lang w:val="sr-Latn-ME"/>
              </w:rPr>
              <w:t>Ned</w:t>
            </w:r>
            <w:r w:rsidR="005919F1" w:rsidRPr="003445F5">
              <w:rPr>
                <w:szCs w:val="22"/>
                <w:lang w:val="sr-Latn-ME"/>
              </w:rPr>
              <w:t>j</w:t>
            </w:r>
            <w:r w:rsidRPr="003445F5">
              <w:rPr>
                <w:szCs w:val="22"/>
                <w:lang w:val="sr-Latn-ME"/>
              </w:rPr>
              <w:t>elja 4</w:t>
            </w:r>
          </w:p>
        </w:tc>
        <w:tc>
          <w:tcPr>
            <w:tcW w:w="594" w:type="pct"/>
            <w:tcBorders>
              <w:top w:val="single" w:sz="4" w:space="0" w:color="000000"/>
              <w:left w:val="single" w:sz="4" w:space="0" w:color="000000"/>
              <w:bottom w:val="single" w:sz="4" w:space="0" w:color="000000"/>
              <w:right w:val="single" w:sz="4" w:space="0" w:color="000000"/>
            </w:tcBorders>
            <w:vAlign w:val="center"/>
          </w:tcPr>
          <w:p w14:paraId="4FDD5C37" w14:textId="77777777" w:rsidR="00DD6845" w:rsidRPr="003445F5" w:rsidRDefault="00DD6845" w:rsidP="00704956">
            <w:pPr>
              <w:jc w:val="center"/>
              <w:rPr>
                <w:szCs w:val="22"/>
                <w:lang w:val="sr-Latn-ME"/>
              </w:rPr>
            </w:pPr>
          </w:p>
        </w:tc>
        <w:tc>
          <w:tcPr>
            <w:tcW w:w="843" w:type="pct"/>
            <w:tcBorders>
              <w:top w:val="single" w:sz="4" w:space="0" w:color="000000"/>
              <w:left w:val="single" w:sz="4" w:space="0" w:color="000000"/>
              <w:bottom w:val="single" w:sz="4" w:space="0" w:color="000000"/>
              <w:right w:val="single" w:sz="4" w:space="0" w:color="000000"/>
            </w:tcBorders>
            <w:vAlign w:val="center"/>
          </w:tcPr>
          <w:p w14:paraId="7A279C3F" w14:textId="77777777" w:rsidR="00DD6845" w:rsidRPr="003445F5" w:rsidRDefault="00DD6845" w:rsidP="00704956">
            <w:pPr>
              <w:jc w:val="center"/>
              <w:rPr>
                <w:szCs w:val="22"/>
                <w:lang w:val="sr-Latn-ME"/>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5CA20DCD" w14:textId="77777777" w:rsidR="00DD6845" w:rsidRPr="003445F5" w:rsidRDefault="00DD6845" w:rsidP="00704956">
            <w:pPr>
              <w:jc w:val="center"/>
              <w:rPr>
                <w:szCs w:val="22"/>
                <w:lang w:val="sr-Latn-ME"/>
              </w:rPr>
            </w:pPr>
          </w:p>
        </w:tc>
        <w:tc>
          <w:tcPr>
            <w:tcW w:w="876" w:type="pct"/>
            <w:tcBorders>
              <w:top w:val="single" w:sz="4" w:space="0" w:color="000000"/>
              <w:left w:val="single" w:sz="4" w:space="0" w:color="000000"/>
              <w:bottom w:val="single" w:sz="4" w:space="0" w:color="000000"/>
              <w:right w:val="single" w:sz="4" w:space="0" w:color="000000"/>
            </w:tcBorders>
            <w:vAlign w:val="center"/>
          </w:tcPr>
          <w:p w14:paraId="4FF8677C" w14:textId="77777777" w:rsidR="00DD6845" w:rsidRPr="003445F5" w:rsidRDefault="00DD6845" w:rsidP="00704956">
            <w:pPr>
              <w:jc w:val="center"/>
              <w:rPr>
                <w:szCs w:val="22"/>
                <w:lang w:val="sr-Latn-ME"/>
              </w:rPr>
            </w:pPr>
          </w:p>
        </w:tc>
        <w:tc>
          <w:tcPr>
            <w:tcW w:w="841" w:type="pct"/>
            <w:tcBorders>
              <w:top w:val="single" w:sz="4" w:space="0" w:color="000000"/>
              <w:left w:val="single" w:sz="4" w:space="0" w:color="000000"/>
              <w:bottom w:val="single" w:sz="4" w:space="0" w:color="000000"/>
              <w:right w:val="single" w:sz="4" w:space="0" w:color="000000"/>
            </w:tcBorders>
            <w:vAlign w:val="center"/>
          </w:tcPr>
          <w:p w14:paraId="07A6DD1D" w14:textId="77777777" w:rsidR="00DD6845" w:rsidRPr="003445F5" w:rsidRDefault="00DD6845" w:rsidP="00704956">
            <w:pPr>
              <w:jc w:val="center"/>
              <w:rPr>
                <w:szCs w:val="22"/>
                <w:lang w:val="sr-Latn-ME"/>
              </w:rPr>
            </w:pPr>
          </w:p>
        </w:tc>
      </w:tr>
      <w:tr w:rsidR="00DD6845" w:rsidRPr="003445F5" w14:paraId="5A56ED7E" w14:textId="77777777" w:rsidTr="00704956">
        <w:trPr>
          <w:trHeight w:val="20"/>
        </w:trPr>
        <w:tc>
          <w:tcPr>
            <w:tcW w:w="970" w:type="pct"/>
            <w:tcBorders>
              <w:top w:val="single" w:sz="4" w:space="0" w:color="000000"/>
              <w:left w:val="single" w:sz="4" w:space="0" w:color="000000"/>
              <w:bottom w:val="single" w:sz="4" w:space="0" w:color="000000"/>
              <w:right w:val="single" w:sz="4" w:space="0" w:color="000000"/>
            </w:tcBorders>
            <w:vAlign w:val="center"/>
          </w:tcPr>
          <w:p w14:paraId="0BE30068" w14:textId="77777777" w:rsidR="00DD6845" w:rsidRPr="003445F5" w:rsidRDefault="00DD6845" w:rsidP="00704956">
            <w:pPr>
              <w:jc w:val="left"/>
              <w:rPr>
                <w:szCs w:val="22"/>
                <w:lang w:val="sr-Latn-ME"/>
              </w:rPr>
            </w:pPr>
            <w:r w:rsidRPr="003445F5">
              <w:rPr>
                <w:szCs w:val="22"/>
                <w:lang w:val="sr-Latn-ME"/>
              </w:rPr>
              <w:t>Klinička remisija</w:t>
            </w:r>
          </w:p>
        </w:tc>
        <w:tc>
          <w:tcPr>
            <w:tcW w:w="594" w:type="pct"/>
            <w:tcBorders>
              <w:top w:val="single" w:sz="4" w:space="0" w:color="000000"/>
              <w:left w:val="single" w:sz="4" w:space="0" w:color="000000"/>
              <w:bottom w:val="single" w:sz="4" w:space="0" w:color="000000"/>
              <w:right w:val="single" w:sz="4" w:space="0" w:color="000000"/>
            </w:tcBorders>
            <w:vAlign w:val="center"/>
          </w:tcPr>
          <w:p w14:paraId="1E934DC1" w14:textId="77777777" w:rsidR="00DD6845" w:rsidRPr="003445F5" w:rsidRDefault="00DD6845" w:rsidP="00704956">
            <w:pPr>
              <w:jc w:val="center"/>
              <w:rPr>
                <w:szCs w:val="22"/>
                <w:lang w:val="sr-Latn-ME"/>
              </w:rPr>
            </w:pPr>
            <w:r w:rsidRPr="003445F5">
              <w:rPr>
                <w:szCs w:val="22"/>
                <w:lang w:val="sr-Latn-ME"/>
              </w:rPr>
              <w:t>12%</w:t>
            </w:r>
          </w:p>
        </w:tc>
        <w:tc>
          <w:tcPr>
            <w:tcW w:w="843" w:type="pct"/>
            <w:tcBorders>
              <w:top w:val="single" w:sz="4" w:space="0" w:color="000000"/>
              <w:left w:val="single" w:sz="4" w:space="0" w:color="000000"/>
              <w:bottom w:val="single" w:sz="4" w:space="0" w:color="000000"/>
              <w:right w:val="single" w:sz="4" w:space="0" w:color="000000"/>
            </w:tcBorders>
            <w:vAlign w:val="center"/>
          </w:tcPr>
          <w:p w14:paraId="141AB2E4" w14:textId="77777777" w:rsidR="00DD6845" w:rsidRPr="003445F5" w:rsidRDefault="00DD6845" w:rsidP="00704956">
            <w:pPr>
              <w:jc w:val="center"/>
              <w:rPr>
                <w:szCs w:val="22"/>
                <w:lang w:val="sr-Latn-ME"/>
              </w:rPr>
            </w:pPr>
            <w:r w:rsidRPr="003445F5">
              <w:rPr>
                <w:szCs w:val="22"/>
                <w:lang w:val="sr-Latn-ME"/>
              </w:rPr>
              <w:t>24%</w:t>
            </w:r>
          </w:p>
        </w:tc>
        <w:tc>
          <w:tcPr>
            <w:tcW w:w="876" w:type="pct"/>
            <w:tcBorders>
              <w:top w:val="single" w:sz="4" w:space="0" w:color="000000"/>
              <w:left w:val="single" w:sz="4" w:space="0" w:color="000000"/>
              <w:bottom w:val="single" w:sz="4" w:space="0" w:color="000000"/>
              <w:right w:val="single" w:sz="4" w:space="0" w:color="000000"/>
            </w:tcBorders>
            <w:vAlign w:val="center"/>
          </w:tcPr>
          <w:p w14:paraId="5F4D9D22" w14:textId="77777777" w:rsidR="00DD6845" w:rsidRPr="003445F5" w:rsidRDefault="00DD6845" w:rsidP="00704956">
            <w:pPr>
              <w:jc w:val="center"/>
              <w:rPr>
                <w:szCs w:val="22"/>
                <w:lang w:val="sr-Latn-ME"/>
              </w:rPr>
            </w:pPr>
            <w:r w:rsidRPr="003445F5">
              <w:rPr>
                <w:szCs w:val="22"/>
                <w:lang w:val="sr-Latn-ME"/>
              </w:rPr>
              <w:t>36%*</w:t>
            </w:r>
          </w:p>
        </w:tc>
        <w:tc>
          <w:tcPr>
            <w:tcW w:w="876" w:type="pct"/>
            <w:tcBorders>
              <w:top w:val="single" w:sz="4" w:space="0" w:color="000000"/>
              <w:left w:val="single" w:sz="4" w:space="0" w:color="000000"/>
              <w:bottom w:val="single" w:sz="4" w:space="0" w:color="000000"/>
              <w:right w:val="single" w:sz="4" w:space="0" w:color="000000"/>
            </w:tcBorders>
            <w:vAlign w:val="center"/>
          </w:tcPr>
          <w:p w14:paraId="3F92060E" w14:textId="77777777" w:rsidR="00DD6845" w:rsidRPr="003445F5" w:rsidRDefault="00DD6845" w:rsidP="00704956">
            <w:pPr>
              <w:jc w:val="center"/>
              <w:rPr>
                <w:szCs w:val="22"/>
                <w:lang w:val="sr-Latn-ME"/>
              </w:rPr>
            </w:pPr>
            <w:r w:rsidRPr="003445F5">
              <w:rPr>
                <w:szCs w:val="22"/>
                <w:lang w:val="sr-Latn-ME"/>
              </w:rPr>
              <w:t>7%</w:t>
            </w:r>
          </w:p>
        </w:tc>
        <w:tc>
          <w:tcPr>
            <w:tcW w:w="841" w:type="pct"/>
            <w:tcBorders>
              <w:top w:val="single" w:sz="4" w:space="0" w:color="000000"/>
              <w:left w:val="single" w:sz="4" w:space="0" w:color="000000"/>
              <w:bottom w:val="single" w:sz="4" w:space="0" w:color="000000"/>
              <w:right w:val="single" w:sz="4" w:space="0" w:color="000000"/>
            </w:tcBorders>
            <w:vAlign w:val="center"/>
          </w:tcPr>
          <w:p w14:paraId="5FFF25B8" w14:textId="77777777" w:rsidR="00DD6845" w:rsidRPr="003445F5" w:rsidRDefault="00DD6845" w:rsidP="00704956">
            <w:pPr>
              <w:jc w:val="center"/>
              <w:rPr>
                <w:szCs w:val="22"/>
                <w:lang w:val="sr-Latn-ME"/>
              </w:rPr>
            </w:pPr>
            <w:r w:rsidRPr="003445F5">
              <w:rPr>
                <w:szCs w:val="22"/>
                <w:lang w:val="sr-Latn-ME"/>
              </w:rPr>
              <w:t>21%*</w:t>
            </w:r>
          </w:p>
        </w:tc>
      </w:tr>
      <w:tr w:rsidR="00DD6845" w:rsidRPr="003445F5" w14:paraId="4DE4E489" w14:textId="77777777" w:rsidTr="00704956">
        <w:trPr>
          <w:trHeight w:val="20"/>
        </w:trPr>
        <w:tc>
          <w:tcPr>
            <w:tcW w:w="970" w:type="pct"/>
            <w:tcBorders>
              <w:top w:val="single" w:sz="4" w:space="0" w:color="000000"/>
              <w:left w:val="single" w:sz="4" w:space="0" w:color="000000"/>
              <w:bottom w:val="single" w:sz="4" w:space="0" w:color="000000"/>
              <w:right w:val="single" w:sz="4" w:space="0" w:color="000000"/>
            </w:tcBorders>
            <w:vAlign w:val="center"/>
          </w:tcPr>
          <w:p w14:paraId="53E1D8F5" w14:textId="77777777" w:rsidR="00DD6845" w:rsidRPr="003445F5" w:rsidRDefault="00DD6845" w:rsidP="00704956">
            <w:pPr>
              <w:jc w:val="left"/>
              <w:rPr>
                <w:szCs w:val="22"/>
                <w:lang w:val="sr-Latn-ME"/>
              </w:rPr>
            </w:pPr>
            <w:r w:rsidRPr="003445F5">
              <w:rPr>
                <w:szCs w:val="22"/>
                <w:lang w:val="sr-Latn-ME"/>
              </w:rPr>
              <w:t>Klinički odgovor (CR-100)</w:t>
            </w:r>
          </w:p>
        </w:tc>
        <w:tc>
          <w:tcPr>
            <w:tcW w:w="594" w:type="pct"/>
            <w:tcBorders>
              <w:top w:val="single" w:sz="4" w:space="0" w:color="000000"/>
              <w:left w:val="single" w:sz="4" w:space="0" w:color="000000"/>
              <w:bottom w:val="single" w:sz="4" w:space="0" w:color="000000"/>
              <w:right w:val="single" w:sz="4" w:space="0" w:color="000000"/>
            </w:tcBorders>
            <w:vAlign w:val="center"/>
          </w:tcPr>
          <w:p w14:paraId="1A4D1535" w14:textId="77777777" w:rsidR="00DD6845" w:rsidRPr="003445F5" w:rsidRDefault="00DD6845" w:rsidP="00704956">
            <w:pPr>
              <w:jc w:val="center"/>
              <w:rPr>
                <w:szCs w:val="22"/>
                <w:lang w:val="sr-Latn-ME"/>
              </w:rPr>
            </w:pPr>
            <w:r w:rsidRPr="003445F5">
              <w:rPr>
                <w:szCs w:val="22"/>
                <w:lang w:val="sr-Latn-ME"/>
              </w:rPr>
              <w:t>24%</w:t>
            </w:r>
          </w:p>
        </w:tc>
        <w:tc>
          <w:tcPr>
            <w:tcW w:w="843" w:type="pct"/>
            <w:tcBorders>
              <w:top w:val="single" w:sz="4" w:space="0" w:color="000000"/>
              <w:left w:val="single" w:sz="4" w:space="0" w:color="000000"/>
              <w:bottom w:val="single" w:sz="4" w:space="0" w:color="000000"/>
              <w:right w:val="single" w:sz="4" w:space="0" w:color="000000"/>
            </w:tcBorders>
            <w:vAlign w:val="center"/>
          </w:tcPr>
          <w:p w14:paraId="1A3362CE" w14:textId="77777777" w:rsidR="00DD6845" w:rsidRPr="003445F5" w:rsidRDefault="00DD6845" w:rsidP="00704956">
            <w:pPr>
              <w:jc w:val="center"/>
              <w:rPr>
                <w:szCs w:val="22"/>
                <w:lang w:val="sr-Latn-ME"/>
              </w:rPr>
            </w:pPr>
            <w:r w:rsidRPr="003445F5">
              <w:rPr>
                <w:szCs w:val="22"/>
                <w:lang w:val="sr-Latn-ME"/>
              </w:rPr>
              <w:t>37%</w:t>
            </w:r>
          </w:p>
        </w:tc>
        <w:tc>
          <w:tcPr>
            <w:tcW w:w="876" w:type="pct"/>
            <w:tcBorders>
              <w:top w:val="single" w:sz="4" w:space="0" w:color="000000"/>
              <w:left w:val="single" w:sz="4" w:space="0" w:color="000000"/>
              <w:bottom w:val="single" w:sz="4" w:space="0" w:color="000000"/>
              <w:right w:val="single" w:sz="4" w:space="0" w:color="000000"/>
            </w:tcBorders>
            <w:vAlign w:val="center"/>
          </w:tcPr>
          <w:p w14:paraId="4062366D" w14:textId="77777777" w:rsidR="00DD6845" w:rsidRPr="003445F5" w:rsidRDefault="00DD6845" w:rsidP="00704956">
            <w:pPr>
              <w:jc w:val="center"/>
              <w:rPr>
                <w:szCs w:val="22"/>
                <w:lang w:val="sr-Latn-ME"/>
              </w:rPr>
            </w:pPr>
            <w:r w:rsidRPr="003445F5">
              <w:rPr>
                <w:szCs w:val="22"/>
                <w:lang w:val="sr-Latn-ME"/>
              </w:rPr>
              <w:t>49%**</w:t>
            </w:r>
          </w:p>
        </w:tc>
        <w:tc>
          <w:tcPr>
            <w:tcW w:w="876" w:type="pct"/>
            <w:tcBorders>
              <w:top w:val="single" w:sz="4" w:space="0" w:color="000000"/>
              <w:left w:val="single" w:sz="4" w:space="0" w:color="000000"/>
              <w:bottom w:val="single" w:sz="4" w:space="0" w:color="000000"/>
              <w:right w:val="single" w:sz="4" w:space="0" w:color="000000"/>
            </w:tcBorders>
            <w:vAlign w:val="center"/>
          </w:tcPr>
          <w:p w14:paraId="12CED947" w14:textId="77777777" w:rsidR="00DD6845" w:rsidRPr="003445F5" w:rsidRDefault="00DD6845" w:rsidP="00704956">
            <w:pPr>
              <w:jc w:val="center"/>
              <w:rPr>
                <w:szCs w:val="22"/>
                <w:lang w:val="sr-Latn-ME"/>
              </w:rPr>
            </w:pPr>
            <w:r w:rsidRPr="003445F5">
              <w:rPr>
                <w:szCs w:val="22"/>
                <w:lang w:val="sr-Latn-ME"/>
              </w:rPr>
              <w:t>25%</w:t>
            </w:r>
          </w:p>
        </w:tc>
        <w:tc>
          <w:tcPr>
            <w:tcW w:w="841" w:type="pct"/>
            <w:tcBorders>
              <w:top w:val="single" w:sz="4" w:space="0" w:color="000000"/>
              <w:left w:val="single" w:sz="4" w:space="0" w:color="000000"/>
              <w:bottom w:val="single" w:sz="4" w:space="0" w:color="000000"/>
              <w:right w:val="single" w:sz="4" w:space="0" w:color="000000"/>
            </w:tcBorders>
            <w:vAlign w:val="center"/>
          </w:tcPr>
          <w:p w14:paraId="24723EEE" w14:textId="77777777" w:rsidR="00DD6845" w:rsidRPr="003445F5" w:rsidRDefault="00DD6845" w:rsidP="00704956">
            <w:pPr>
              <w:jc w:val="center"/>
              <w:rPr>
                <w:szCs w:val="22"/>
                <w:lang w:val="sr-Latn-ME"/>
              </w:rPr>
            </w:pPr>
            <w:r w:rsidRPr="003445F5">
              <w:rPr>
                <w:szCs w:val="22"/>
                <w:lang w:val="sr-Latn-ME"/>
              </w:rPr>
              <w:t>38%**</w:t>
            </w:r>
          </w:p>
        </w:tc>
      </w:tr>
    </w:tbl>
    <w:p w14:paraId="2050AF4D" w14:textId="205119E4" w:rsidR="00A41CB4" w:rsidRPr="003445F5" w:rsidRDefault="00A41CB4" w:rsidP="00524FDF">
      <w:pPr>
        <w:rPr>
          <w:szCs w:val="22"/>
          <w:lang w:val="sr-Latn-ME"/>
        </w:rPr>
      </w:pPr>
      <w:r w:rsidRPr="003445F5">
        <w:rPr>
          <w:szCs w:val="22"/>
          <w:lang w:val="sr-Latn-ME"/>
        </w:rPr>
        <w:t>Sve p-vr</w:t>
      </w:r>
      <w:r w:rsidR="005919F1" w:rsidRPr="003445F5">
        <w:rPr>
          <w:szCs w:val="22"/>
          <w:lang w:val="sr-Latn-ME"/>
        </w:rPr>
        <w:t>ij</w:t>
      </w:r>
      <w:r w:rsidRPr="003445F5">
        <w:rPr>
          <w:szCs w:val="22"/>
          <w:lang w:val="sr-Latn-ME"/>
        </w:rPr>
        <w:t>ednosti odnose se na poređenje adalimumaba i placeba</w:t>
      </w:r>
    </w:p>
    <w:p w14:paraId="5261CE46" w14:textId="77777777" w:rsidR="00A41CB4" w:rsidRPr="003445F5" w:rsidRDefault="00A41CB4" w:rsidP="00524FDF">
      <w:pPr>
        <w:rPr>
          <w:szCs w:val="22"/>
          <w:lang w:val="sr-Latn-ME"/>
        </w:rPr>
      </w:pPr>
      <w:r w:rsidRPr="003445F5">
        <w:rPr>
          <w:b/>
          <w:szCs w:val="22"/>
          <w:lang w:val="sr-Latn-ME"/>
        </w:rPr>
        <w:t>*</w:t>
      </w:r>
      <w:r w:rsidRPr="003445F5">
        <w:rPr>
          <w:szCs w:val="22"/>
          <w:lang w:val="sr-Latn-ME"/>
        </w:rPr>
        <w:t>p &lt; 0,001</w:t>
      </w:r>
    </w:p>
    <w:p w14:paraId="0D334134" w14:textId="60D67185" w:rsidR="00A41CB4" w:rsidRPr="003445F5" w:rsidRDefault="00A41CB4" w:rsidP="00524FDF">
      <w:pPr>
        <w:rPr>
          <w:szCs w:val="22"/>
          <w:lang w:val="sr-Latn-ME"/>
        </w:rPr>
      </w:pPr>
      <w:r w:rsidRPr="003445F5">
        <w:rPr>
          <w:szCs w:val="22"/>
          <w:lang w:val="sr-Latn-ME"/>
        </w:rPr>
        <w:t>** p &lt; 0,01</w:t>
      </w:r>
    </w:p>
    <w:p w14:paraId="1DCDEC63" w14:textId="7FF2491C" w:rsidR="009F26A9" w:rsidRPr="003445F5" w:rsidRDefault="009F26A9" w:rsidP="00524FDF">
      <w:pPr>
        <w:rPr>
          <w:szCs w:val="22"/>
          <w:lang w:val="sr-Latn-ME"/>
        </w:rPr>
      </w:pPr>
    </w:p>
    <w:p w14:paraId="7A898502" w14:textId="162DFE4F" w:rsidR="000C1CAD" w:rsidRPr="003445F5" w:rsidRDefault="000C1CAD" w:rsidP="000C1CAD">
      <w:pPr>
        <w:rPr>
          <w:szCs w:val="22"/>
          <w:lang w:val="sr-Latn-ME"/>
        </w:rPr>
      </w:pPr>
      <w:r w:rsidRPr="003445F5">
        <w:rPr>
          <w:szCs w:val="22"/>
          <w:lang w:val="sr-Latn-ME"/>
        </w:rPr>
        <w:t xml:space="preserve">Slične stope remisije do 8. </w:t>
      </w:r>
      <w:r w:rsidR="00551F1D" w:rsidRPr="003445F5">
        <w:rPr>
          <w:szCs w:val="22"/>
          <w:lang w:val="sr-Latn-ME"/>
        </w:rPr>
        <w:t>nedjelj</w:t>
      </w:r>
      <w:r w:rsidR="0047711E" w:rsidRPr="003445F5">
        <w:rPr>
          <w:szCs w:val="22"/>
          <w:lang w:val="sr-Latn-ME"/>
        </w:rPr>
        <w:t>e</w:t>
      </w:r>
      <w:r w:rsidRPr="003445F5">
        <w:rPr>
          <w:szCs w:val="22"/>
          <w:lang w:val="sr-Latn-ME"/>
        </w:rPr>
        <w:t xml:space="preserve"> uočene su za grupe koje su primale indukcione režime od 160/80 mg i 80/40 mg, a stopa neželjenih dejstava bila je veća u grupi 160/80 mg. </w:t>
      </w:r>
    </w:p>
    <w:p w14:paraId="08C0850E" w14:textId="77777777" w:rsidR="000C1CAD" w:rsidRPr="003445F5" w:rsidRDefault="000C1CAD" w:rsidP="000C1CAD">
      <w:pPr>
        <w:rPr>
          <w:szCs w:val="22"/>
          <w:lang w:val="sr-Latn-ME"/>
        </w:rPr>
      </w:pPr>
    </w:p>
    <w:p w14:paraId="5CBD3024" w14:textId="7AB42224" w:rsidR="000C1CAD" w:rsidRPr="003445F5" w:rsidRDefault="000C1CAD" w:rsidP="000C1CAD">
      <w:pPr>
        <w:rPr>
          <w:szCs w:val="22"/>
          <w:lang w:val="sr-Latn-ME"/>
        </w:rPr>
      </w:pPr>
      <w:r w:rsidRPr="003445F5">
        <w:rPr>
          <w:szCs w:val="22"/>
          <w:lang w:val="sr-Latn-ME"/>
        </w:rPr>
        <w:lastRenderedPageBreak/>
        <w:t xml:space="preserve">U CD studiji III, u 4. </w:t>
      </w:r>
      <w:r w:rsidR="00551F1D" w:rsidRPr="003445F5">
        <w:rPr>
          <w:szCs w:val="22"/>
          <w:lang w:val="sr-Latn-ME"/>
        </w:rPr>
        <w:t>nedjelj</w:t>
      </w:r>
      <w:r w:rsidR="00704AF5" w:rsidRPr="003445F5">
        <w:rPr>
          <w:szCs w:val="22"/>
          <w:lang w:val="sr-Latn-ME"/>
        </w:rPr>
        <w:t>i</w:t>
      </w:r>
      <w:r w:rsidRPr="003445F5">
        <w:rPr>
          <w:szCs w:val="22"/>
          <w:lang w:val="sr-Latn-ME"/>
        </w:rPr>
        <w:t xml:space="preserve">, 58% pacijenata (499/854) imalo je klinički odgovor i uključeno je u primarnu analizu. 48% pacijenata koji su imali klinički odgovor u 4. </w:t>
      </w:r>
      <w:r w:rsidR="00551F1D" w:rsidRPr="003445F5">
        <w:rPr>
          <w:szCs w:val="22"/>
          <w:lang w:val="sr-Latn-ME"/>
        </w:rPr>
        <w:t>nedjelj</w:t>
      </w:r>
      <w:r w:rsidR="00704AF5" w:rsidRPr="003445F5">
        <w:rPr>
          <w:szCs w:val="22"/>
          <w:lang w:val="sr-Latn-ME"/>
        </w:rPr>
        <w:t>i</w:t>
      </w:r>
      <w:r w:rsidRPr="003445F5">
        <w:rPr>
          <w:szCs w:val="22"/>
          <w:lang w:val="sr-Latn-ME"/>
        </w:rPr>
        <w:t xml:space="preserve"> već je ranije koristilo neki drugi antagonist TNF-a. Održanje remisije i stopa kliničkog odgovora nalaze se u Tabeli </w:t>
      </w:r>
      <w:r w:rsidR="00D15CD3" w:rsidRPr="003445F5">
        <w:rPr>
          <w:szCs w:val="22"/>
          <w:lang w:val="sr-Latn-ME"/>
        </w:rPr>
        <w:t>22</w:t>
      </w:r>
      <w:r w:rsidRPr="003445F5">
        <w:rPr>
          <w:szCs w:val="22"/>
          <w:lang w:val="sr-Latn-ME"/>
        </w:rPr>
        <w:t xml:space="preserve">. Klinička remisija se održala relativno konstantnom bez obzira na prethodno liječenje antagonistima TNF-a. </w:t>
      </w:r>
    </w:p>
    <w:p w14:paraId="60ECCEE9" w14:textId="77777777" w:rsidR="000C1CAD" w:rsidRPr="003445F5" w:rsidRDefault="000C1CAD" w:rsidP="000C1CAD">
      <w:pPr>
        <w:rPr>
          <w:szCs w:val="22"/>
          <w:lang w:val="sr-Latn-ME"/>
        </w:rPr>
      </w:pPr>
    </w:p>
    <w:p w14:paraId="77CAA7D1" w14:textId="6B8EC606" w:rsidR="000C1CAD" w:rsidRPr="003445F5" w:rsidRDefault="000C1CAD" w:rsidP="000C1CAD">
      <w:pPr>
        <w:rPr>
          <w:szCs w:val="22"/>
          <w:lang w:val="sr-Latn-ME"/>
        </w:rPr>
      </w:pPr>
      <w:r w:rsidRPr="003445F5">
        <w:rPr>
          <w:szCs w:val="22"/>
          <w:lang w:val="sr-Latn-ME"/>
        </w:rPr>
        <w:t xml:space="preserve">Hospitalizacije i hirurške intervencije povezane sa bolešću bile su statistički značajno smanjenje prilikom terapije adalimumabom u poređenju sa placebom u 56. </w:t>
      </w:r>
      <w:r w:rsidR="00551F1D" w:rsidRPr="003445F5">
        <w:rPr>
          <w:szCs w:val="22"/>
          <w:lang w:val="sr-Latn-ME"/>
        </w:rPr>
        <w:t>nedjelj</w:t>
      </w:r>
      <w:r w:rsidR="00704AF5" w:rsidRPr="003445F5">
        <w:rPr>
          <w:szCs w:val="22"/>
          <w:lang w:val="sr-Latn-ME"/>
        </w:rPr>
        <w:t>i</w:t>
      </w:r>
      <w:r w:rsidRPr="003445F5">
        <w:rPr>
          <w:szCs w:val="22"/>
          <w:lang w:val="sr-Latn-ME"/>
        </w:rPr>
        <w:t>.</w:t>
      </w:r>
    </w:p>
    <w:p w14:paraId="0CEBAB64" w14:textId="77777777" w:rsidR="009F26A9" w:rsidRPr="003445F5" w:rsidRDefault="009F26A9" w:rsidP="00524FDF">
      <w:pPr>
        <w:rPr>
          <w:szCs w:val="22"/>
          <w:lang w:val="sr-Latn-ME"/>
        </w:rPr>
      </w:pPr>
    </w:p>
    <w:p w14:paraId="4445EDDB" w14:textId="65442964" w:rsidR="00C12053" w:rsidRPr="003445F5" w:rsidRDefault="00C12053" w:rsidP="00524FDF">
      <w:pPr>
        <w:rPr>
          <w:b/>
          <w:szCs w:val="22"/>
          <w:lang w:val="sr-Latn-ME"/>
        </w:rPr>
      </w:pPr>
      <w:r w:rsidRPr="003445F5">
        <w:rPr>
          <w:b/>
          <w:szCs w:val="22"/>
          <w:lang w:val="sr-Latn-ME"/>
        </w:rPr>
        <w:t xml:space="preserve">Tabela </w:t>
      </w:r>
      <w:r w:rsidR="008B7801" w:rsidRPr="003445F5">
        <w:rPr>
          <w:b/>
          <w:szCs w:val="22"/>
          <w:lang w:val="sr-Latn-ME"/>
        </w:rPr>
        <w:t>15.</w:t>
      </w:r>
      <w:r w:rsidRPr="003445F5">
        <w:rPr>
          <w:b/>
          <w:szCs w:val="22"/>
          <w:lang w:val="sr-Latn-ME"/>
        </w:rPr>
        <w:t xml:space="preserve"> Održavanje kliničke remisije i kliničkog odgovora (procenat pacijenata)</w:t>
      </w:r>
    </w:p>
    <w:p w14:paraId="12243A26" w14:textId="5766E9A0" w:rsidR="00135265" w:rsidRPr="003445F5" w:rsidRDefault="00135265" w:rsidP="00524FDF">
      <w:pPr>
        <w:rPr>
          <w:szCs w:val="22"/>
          <w:lang w:val="sr-Latn-ME"/>
        </w:rPr>
      </w:pPr>
    </w:p>
    <w:tbl>
      <w:tblPr>
        <w:tblW w:w="5000" w:type="pct"/>
        <w:tblCellMar>
          <w:top w:w="49" w:type="dxa"/>
          <w:left w:w="85" w:type="dxa"/>
          <w:right w:w="85" w:type="dxa"/>
        </w:tblCellMar>
        <w:tblLook w:val="04A0" w:firstRow="1" w:lastRow="0" w:firstColumn="1" w:lastColumn="0" w:noHBand="0" w:noVBand="1"/>
      </w:tblPr>
      <w:tblGrid>
        <w:gridCol w:w="3603"/>
        <w:gridCol w:w="1069"/>
        <w:gridCol w:w="2287"/>
        <w:gridCol w:w="2058"/>
      </w:tblGrid>
      <w:tr w:rsidR="008307D3" w:rsidRPr="003445F5" w14:paraId="50835B36" w14:textId="77777777" w:rsidTr="000C1CAD">
        <w:trPr>
          <w:trHeight w:val="20"/>
        </w:trPr>
        <w:tc>
          <w:tcPr>
            <w:tcW w:w="1998" w:type="pct"/>
            <w:tcBorders>
              <w:top w:val="single" w:sz="4" w:space="0" w:color="000000"/>
              <w:left w:val="single" w:sz="4" w:space="0" w:color="000000"/>
              <w:bottom w:val="single" w:sz="4" w:space="0" w:color="000000"/>
              <w:right w:val="single" w:sz="4" w:space="0" w:color="000000"/>
            </w:tcBorders>
          </w:tcPr>
          <w:p w14:paraId="22501769" w14:textId="77777777" w:rsidR="008307D3" w:rsidRPr="003445F5" w:rsidRDefault="008307D3" w:rsidP="00704956">
            <w:pPr>
              <w:rPr>
                <w:szCs w:val="22"/>
                <w:lang w:val="sr-Latn-ME"/>
              </w:rPr>
            </w:pPr>
          </w:p>
        </w:tc>
        <w:tc>
          <w:tcPr>
            <w:tcW w:w="593" w:type="pct"/>
            <w:tcBorders>
              <w:top w:val="single" w:sz="4" w:space="0" w:color="000000"/>
              <w:left w:val="single" w:sz="4" w:space="0" w:color="000000"/>
              <w:bottom w:val="single" w:sz="4" w:space="0" w:color="000000"/>
              <w:right w:val="single" w:sz="4" w:space="0" w:color="000000"/>
            </w:tcBorders>
            <w:vAlign w:val="center"/>
          </w:tcPr>
          <w:p w14:paraId="759ECB97" w14:textId="77777777" w:rsidR="008307D3" w:rsidRPr="003445F5" w:rsidRDefault="008307D3" w:rsidP="00704956">
            <w:pPr>
              <w:jc w:val="center"/>
              <w:rPr>
                <w:szCs w:val="22"/>
                <w:lang w:val="sr-Latn-ME"/>
              </w:rPr>
            </w:pPr>
            <w:r w:rsidRPr="003445F5">
              <w:rPr>
                <w:b/>
                <w:szCs w:val="22"/>
                <w:lang w:val="sr-Latn-ME"/>
              </w:rPr>
              <w:t>Placebo</w:t>
            </w:r>
          </w:p>
        </w:tc>
        <w:tc>
          <w:tcPr>
            <w:tcW w:w="1268" w:type="pct"/>
            <w:tcBorders>
              <w:top w:val="single" w:sz="4" w:space="0" w:color="000000"/>
              <w:left w:val="single" w:sz="4" w:space="0" w:color="000000"/>
              <w:bottom w:val="single" w:sz="4" w:space="0" w:color="000000"/>
              <w:right w:val="single" w:sz="4" w:space="0" w:color="000000"/>
            </w:tcBorders>
            <w:vAlign w:val="center"/>
          </w:tcPr>
          <w:p w14:paraId="67F565C0" w14:textId="5F4FB343" w:rsidR="008307D3" w:rsidRPr="003445F5" w:rsidRDefault="008307D3" w:rsidP="00704956">
            <w:pPr>
              <w:jc w:val="center"/>
              <w:rPr>
                <w:szCs w:val="22"/>
                <w:lang w:val="sr-Latn-ME"/>
              </w:rPr>
            </w:pPr>
            <w:r w:rsidRPr="003445F5">
              <w:rPr>
                <w:b/>
                <w:szCs w:val="22"/>
                <w:lang w:val="sr-Latn-ME"/>
              </w:rPr>
              <w:t xml:space="preserve">Adalimumab 40 mg svake druge </w:t>
            </w:r>
            <w:r w:rsidR="00551F1D" w:rsidRPr="003445F5">
              <w:rPr>
                <w:b/>
                <w:szCs w:val="22"/>
                <w:lang w:val="sr-Latn-ME"/>
              </w:rPr>
              <w:t>nedjelj</w:t>
            </w:r>
            <w:r w:rsidR="0047711E" w:rsidRPr="003445F5">
              <w:rPr>
                <w:b/>
                <w:szCs w:val="22"/>
                <w:lang w:val="sr-Latn-ME"/>
              </w:rPr>
              <w:t>e</w:t>
            </w:r>
          </w:p>
        </w:tc>
        <w:tc>
          <w:tcPr>
            <w:tcW w:w="1141" w:type="pct"/>
            <w:tcBorders>
              <w:top w:val="single" w:sz="4" w:space="0" w:color="000000"/>
              <w:left w:val="single" w:sz="4" w:space="0" w:color="000000"/>
              <w:bottom w:val="single" w:sz="4" w:space="0" w:color="000000"/>
              <w:right w:val="single" w:sz="4" w:space="0" w:color="000000"/>
            </w:tcBorders>
            <w:vAlign w:val="center"/>
          </w:tcPr>
          <w:p w14:paraId="4C4D675E" w14:textId="0F9CFE83" w:rsidR="008307D3" w:rsidRPr="003445F5" w:rsidRDefault="008307D3" w:rsidP="00704956">
            <w:pPr>
              <w:jc w:val="center"/>
              <w:rPr>
                <w:szCs w:val="22"/>
                <w:lang w:val="sr-Latn-ME"/>
              </w:rPr>
            </w:pPr>
            <w:r w:rsidRPr="003445F5">
              <w:rPr>
                <w:b/>
                <w:szCs w:val="22"/>
                <w:lang w:val="sr-Latn-ME"/>
              </w:rPr>
              <w:t xml:space="preserve">Adalimumab 40 mg svake </w:t>
            </w:r>
            <w:r w:rsidR="00551F1D" w:rsidRPr="003445F5">
              <w:rPr>
                <w:b/>
                <w:szCs w:val="22"/>
                <w:lang w:val="sr-Latn-ME"/>
              </w:rPr>
              <w:t>nedjelj</w:t>
            </w:r>
            <w:r w:rsidR="0047711E" w:rsidRPr="003445F5">
              <w:rPr>
                <w:b/>
                <w:szCs w:val="22"/>
                <w:lang w:val="sr-Latn-ME"/>
              </w:rPr>
              <w:t>e</w:t>
            </w:r>
          </w:p>
        </w:tc>
      </w:tr>
      <w:tr w:rsidR="008307D3" w:rsidRPr="003445F5" w14:paraId="4BF1C619" w14:textId="77777777" w:rsidTr="000C1CAD">
        <w:trPr>
          <w:trHeight w:val="20"/>
        </w:trPr>
        <w:tc>
          <w:tcPr>
            <w:tcW w:w="1998" w:type="pct"/>
            <w:tcBorders>
              <w:top w:val="single" w:sz="4" w:space="0" w:color="000000"/>
              <w:left w:val="single" w:sz="4" w:space="0" w:color="000000"/>
              <w:bottom w:val="single" w:sz="4" w:space="0" w:color="000000"/>
              <w:right w:val="single" w:sz="4" w:space="0" w:color="000000"/>
            </w:tcBorders>
            <w:vAlign w:val="center"/>
          </w:tcPr>
          <w:p w14:paraId="5A4F0D31" w14:textId="48262AEE" w:rsidR="008307D3" w:rsidRPr="003445F5" w:rsidRDefault="008307D3" w:rsidP="00704956">
            <w:pPr>
              <w:jc w:val="left"/>
              <w:rPr>
                <w:szCs w:val="22"/>
                <w:lang w:val="sr-Latn-ME"/>
              </w:rPr>
            </w:pPr>
            <w:r w:rsidRPr="003445F5">
              <w:rPr>
                <w:b/>
                <w:szCs w:val="22"/>
                <w:lang w:val="sr-Latn-ME"/>
              </w:rPr>
              <w:t>Ned</w:t>
            </w:r>
            <w:r w:rsidR="000C1CAD" w:rsidRPr="003445F5">
              <w:rPr>
                <w:b/>
                <w:szCs w:val="22"/>
                <w:lang w:val="sr-Latn-ME"/>
              </w:rPr>
              <w:t>j</w:t>
            </w:r>
            <w:r w:rsidRPr="003445F5">
              <w:rPr>
                <w:b/>
                <w:szCs w:val="22"/>
                <w:lang w:val="sr-Latn-ME"/>
              </w:rPr>
              <w:t>elja 26</w:t>
            </w:r>
          </w:p>
        </w:tc>
        <w:tc>
          <w:tcPr>
            <w:tcW w:w="593" w:type="pct"/>
            <w:tcBorders>
              <w:top w:val="single" w:sz="4" w:space="0" w:color="000000"/>
              <w:left w:val="single" w:sz="4" w:space="0" w:color="000000"/>
              <w:bottom w:val="single" w:sz="4" w:space="0" w:color="000000"/>
              <w:right w:val="single" w:sz="4" w:space="0" w:color="000000"/>
            </w:tcBorders>
            <w:vAlign w:val="center"/>
          </w:tcPr>
          <w:p w14:paraId="25BA0431" w14:textId="77777777" w:rsidR="008307D3" w:rsidRPr="003445F5" w:rsidRDefault="008307D3" w:rsidP="00704956">
            <w:pPr>
              <w:jc w:val="center"/>
              <w:rPr>
                <w:szCs w:val="22"/>
                <w:lang w:val="sr-Latn-ME"/>
              </w:rPr>
            </w:pPr>
            <w:r w:rsidRPr="003445F5">
              <w:rPr>
                <w:b/>
                <w:szCs w:val="22"/>
                <w:lang w:val="sr-Latn-ME"/>
              </w:rPr>
              <w:t>N=170</w:t>
            </w:r>
          </w:p>
        </w:tc>
        <w:tc>
          <w:tcPr>
            <w:tcW w:w="1268" w:type="pct"/>
            <w:tcBorders>
              <w:top w:val="single" w:sz="4" w:space="0" w:color="000000"/>
              <w:left w:val="single" w:sz="4" w:space="0" w:color="000000"/>
              <w:bottom w:val="single" w:sz="4" w:space="0" w:color="000000"/>
              <w:right w:val="single" w:sz="4" w:space="0" w:color="000000"/>
            </w:tcBorders>
            <w:vAlign w:val="center"/>
          </w:tcPr>
          <w:p w14:paraId="6C3F9B26" w14:textId="77777777" w:rsidR="008307D3" w:rsidRPr="003445F5" w:rsidRDefault="008307D3" w:rsidP="00704956">
            <w:pPr>
              <w:jc w:val="center"/>
              <w:rPr>
                <w:szCs w:val="22"/>
                <w:lang w:val="sr-Latn-ME"/>
              </w:rPr>
            </w:pPr>
            <w:r w:rsidRPr="003445F5">
              <w:rPr>
                <w:b/>
                <w:szCs w:val="22"/>
                <w:lang w:val="sr-Latn-ME"/>
              </w:rPr>
              <w:t>N=172</w:t>
            </w:r>
          </w:p>
        </w:tc>
        <w:tc>
          <w:tcPr>
            <w:tcW w:w="1141" w:type="pct"/>
            <w:tcBorders>
              <w:top w:val="single" w:sz="4" w:space="0" w:color="000000"/>
              <w:left w:val="single" w:sz="4" w:space="0" w:color="000000"/>
              <w:bottom w:val="single" w:sz="4" w:space="0" w:color="000000"/>
              <w:right w:val="single" w:sz="4" w:space="0" w:color="000000"/>
            </w:tcBorders>
            <w:vAlign w:val="center"/>
          </w:tcPr>
          <w:p w14:paraId="5F2FE85B" w14:textId="77777777" w:rsidR="008307D3" w:rsidRPr="003445F5" w:rsidRDefault="008307D3" w:rsidP="00704956">
            <w:pPr>
              <w:jc w:val="center"/>
              <w:rPr>
                <w:szCs w:val="22"/>
                <w:lang w:val="sr-Latn-ME"/>
              </w:rPr>
            </w:pPr>
            <w:r w:rsidRPr="003445F5">
              <w:rPr>
                <w:b/>
                <w:szCs w:val="22"/>
                <w:lang w:val="sr-Latn-ME"/>
              </w:rPr>
              <w:t>N=157</w:t>
            </w:r>
          </w:p>
        </w:tc>
      </w:tr>
      <w:tr w:rsidR="008307D3" w:rsidRPr="003445F5" w14:paraId="79805482" w14:textId="77777777" w:rsidTr="000C1CAD">
        <w:trPr>
          <w:trHeight w:val="20"/>
        </w:trPr>
        <w:tc>
          <w:tcPr>
            <w:tcW w:w="1998" w:type="pct"/>
            <w:tcBorders>
              <w:top w:val="single" w:sz="4" w:space="0" w:color="000000"/>
              <w:left w:val="single" w:sz="4" w:space="0" w:color="000000"/>
              <w:bottom w:val="single" w:sz="4" w:space="0" w:color="000000"/>
              <w:right w:val="single" w:sz="4" w:space="0" w:color="000000"/>
            </w:tcBorders>
            <w:vAlign w:val="center"/>
          </w:tcPr>
          <w:p w14:paraId="15497B29" w14:textId="77777777" w:rsidR="008307D3" w:rsidRPr="003445F5" w:rsidRDefault="008307D3" w:rsidP="00704956">
            <w:pPr>
              <w:jc w:val="left"/>
              <w:rPr>
                <w:szCs w:val="22"/>
                <w:lang w:val="sr-Latn-ME"/>
              </w:rPr>
            </w:pPr>
            <w:r w:rsidRPr="003445F5">
              <w:rPr>
                <w:szCs w:val="22"/>
                <w:lang w:val="sr-Latn-ME"/>
              </w:rPr>
              <w:t>Klinička remisija</w:t>
            </w:r>
          </w:p>
        </w:tc>
        <w:tc>
          <w:tcPr>
            <w:tcW w:w="593" w:type="pct"/>
            <w:tcBorders>
              <w:top w:val="single" w:sz="4" w:space="0" w:color="000000"/>
              <w:left w:val="single" w:sz="4" w:space="0" w:color="000000"/>
              <w:bottom w:val="single" w:sz="4" w:space="0" w:color="000000"/>
              <w:right w:val="single" w:sz="4" w:space="0" w:color="000000"/>
            </w:tcBorders>
            <w:vAlign w:val="center"/>
          </w:tcPr>
          <w:p w14:paraId="3F0691B6" w14:textId="77777777" w:rsidR="008307D3" w:rsidRPr="003445F5" w:rsidRDefault="008307D3" w:rsidP="00704956">
            <w:pPr>
              <w:jc w:val="center"/>
              <w:rPr>
                <w:szCs w:val="22"/>
                <w:lang w:val="sr-Latn-ME"/>
              </w:rPr>
            </w:pPr>
            <w:r w:rsidRPr="003445F5">
              <w:rPr>
                <w:szCs w:val="22"/>
                <w:lang w:val="sr-Latn-ME"/>
              </w:rPr>
              <w:t>17%</w:t>
            </w:r>
          </w:p>
        </w:tc>
        <w:tc>
          <w:tcPr>
            <w:tcW w:w="1268" w:type="pct"/>
            <w:tcBorders>
              <w:top w:val="single" w:sz="4" w:space="0" w:color="000000"/>
              <w:left w:val="single" w:sz="4" w:space="0" w:color="000000"/>
              <w:bottom w:val="single" w:sz="4" w:space="0" w:color="000000"/>
              <w:right w:val="single" w:sz="4" w:space="0" w:color="000000"/>
            </w:tcBorders>
            <w:vAlign w:val="center"/>
          </w:tcPr>
          <w:p w14:paraId="7A10C755" w14:textId="77777777" w:rsidR="008307D3" w:rsidRPr="003445F5" w:rsidRDefault="008307D3" w:rsidP="00704956">
            <w:pPr>
              <w:jc w:val="center"/>
              <w:rPr>
                <w:szCs w:val="22"/>
                <w:lang w:val="sr-Latn-ME"/>
              </w:rPr>
            </w:pPr>
            <w:r w:rsidRPr="003445F5">
              <w:rPr>
                <w:szCs w:val="22"/>
                <w:lang w:val="sr-Latn-ME"/>
              </w:rPr>
              <w:t>40%*</w:t>
            </w:r>
          </w:p>
        </w:tc>
        <w:tc>
          <w:tcPr>
            <w:tcW w:w="1141" w:type="pct"/>
            <w:tcBorders>
              <w:top w:val="single" w:sz="4" w:space="0" w:color="000000"/>
              <w:left w:val="single" w:sz="4" w:space="0" w:color="000000"/>
              <w:bottom w:val="single" w:sz="4" w:space="0" w:color="000000"/>
              <w:right w:val="single" w:sz="4" w:space="0" w:color="000000"/>
            </w:tcBorders>
            <w:vAlign w:val="center"/>
          </w:tcPr>
          <w:p w14:paraId="70BC0E5F" w14:textId="77777777" w:rsidR="008307D3" w:rsidRPr="003445F5" w:rsidRDefault="008307D3" w:rsidP="00704956">
            <w:pPr>
              <w:jc w:val="center"/>
              <w:rPr>
                <w:szCs w:val="22"/>
                <w:lang w:val="sr-Latn-ME"/>
              </w:rPr>
            </w:pPr>
            <w:r w:rsidRPr="003445F5">
              <w:rPr>
                <w:szCs w:val="22"/>
                <w:lang w:val="sr-Latn-ME"/>
              </w:rPr>
              <w:t>47%*</w:t>
            </w:r>
          </w:p>
        </w:tc>
      </w:tr>
      <w:tr w:rsidR="008307D3" w:rsidRPr="003445F5" w14:paraId="18CC59D4" w14:textId="77777777" w:rsidTr="000C1CAD">
        <w:trPr>
          <w:trHeight w:val="20"/>
        </w:trPr>
        <w:tc>
          <w:tcPr>
            <w:tcW w:w="1998" w:type="pct"/>
            <w:tcBorders>
              <w:top w:val="single" w:sz="4" w:space="0" w:color="000000"/>
              <w:left w:val="single" w:sz="4" w:space="0" w:color="000000"/>
              <w:bottom w:val="single" w:sz="4" w:space="0" w:color="000000"/>
              <w:right w:val="single" w:sz="4" w:space="0" w:color="000000"/>
            </w:tcBorders>
            <w:vAlign w:val="center"/>
          </w:tcPr>
          <w:p w14:paraId="4B370520" w14:textId="77777777" w:rsidR="008307D3" w:rsidRPr="003445F5" w:rsidRDefault="008307D3" w:rsidP="00704956">
            <w:pPr>
              <w:jc w:val="left"/>
              <w:rPr>
                <w:szCs w:val="22"/>
                <w:lang w:val="sr-Latn-ME"/>
              </w:rPr>
            </w:pPr>
            <w:r w:rsidRPr="003445F5">
              <w:rPr>
                <w:szCs w:val="22"/>
                <w:lang w:val="sr-Latn-ME"/>
              </w:rPr>
              <w:t>Klinički odgovor (CR-100)</w:t>
            </w:r>
          </w:p>
        </w:tc>
        <w:tc>
          <w:tcPr>
            <w:tcW w:w="593" w:type="pct"/>
            <w:tcBorders>
              <w:top w:val="single" w:sz="4" w:space="0" w:color="000000"/>
              <w:left w:val="single" w:sz="4" w:space="0" w:color="000000"/>
              <w:bottom w:val="single" w:sz="4" w:space="0" w:color="000000"/>
              <w:right w:val="single" w:sz="4" w:space="0" w:color="000000"/>
            </w:tcBorders>
            <w:vAlign w:val="center"/>
          </w:tcPr>
          <w:p w14:paraId="18CC66E2" w14:textId="77777777" w:rsidR="008307D3" w:rsidRPr="003445F5" w:rsidRDefault="008307D3" w:rsidP="00704956">
            <w:pPr>
              <w:jc w:val="center"/>
              <w:rPr>
                <w:szCs w:val="22"/>
                <w:lang w:val="sr-Latn-ME"/>
              </w:rPr>
            </w:pPr>
            <w:r w:rsidRPr="003445F5">
              <w:rPr>
                <w:szCs w:val="22"/>
                <w:lang w:val="sr-Latn-ME"/>
              </w:rPr>
              <w:t>27%</w:t>
            </w:r>
          </w:p>
        </w:tc>
        <w:tc>
          <w:tcPr>
            <w:tcW w:w="1268" w:type="pct"/>
            <w:tcBorders>
              <w:top w:val="single" w:sz="4" w:space="0" w:color="000000"/>
              <w:left w:val="single" w:sz="4" w:space="0" w:color="000000"/>
              <w:bottom w:val="single" w:sz="4" w:space="0" w:color="000000"/>
              <w:right w:val="single" w:sz="4" w:space="0" w:color="000000"/>
            </w:tcBorders>
            <w:vAlign w:val="center"/>
          </w:tcPr>
          <w:p w14:paraId="74939FCD" w14:textId="77777777" w:rsidR="008307D3" w:rsidRPr="003445F5" w:rsidRDefault="008307D3" w:rsidP="00704956">
            <w:pPr>
              <w:jc w:val="center"/>
              <w:rPr>
                <w:szCs w:val="22"/>
                <w:lang w:val="sr-Latn-ME"/>
              </w:rPr>
            </w:pPr>
            <w:r w:rsidRPr="003445F5">
              <w:rPr>
                <w:szCs w:val="22"/>
                <w:lang w:val="sr-Latn-ME"/>
              </w:rPr>
              <w:t>52%*</w:t>
            </w:r>
          </w:p>
        </w:tc>
        <w:tc>
          <w:tcPr>
            <w:tcW w:w="1141" w:type="pct"/>
            <w:tcBorders>
              <w:top w:val="single" w:sz="4" w:space="0" w:color="000000"/>
              <w:left w:val="single" w:sz="4" w:space="0" w:color="000000"/>
              <w:bottom w:val="single" w:sz="4" w:space="0" w:color="000000"/>
              <w:right w:val="single" w:sz="4" w:space="0" w:color="000000"/>
            </w:tcBorders>
            <w:vAlign w:val="center"/>
          </w:tcPr>
          <w:p w14:paraId="5E66620C" w14:textId="77777777" w:rsidR="008307D3" w:rsidRPr="003445F5" w:rsidRDefault="008307D3" w:rsidP="00704956">
            <w:pPr>
              <w:jc w:val="center"/>
              <w:rPr>
                <w:szCs w:val="22"/>
                <w:lang w:val="sr-Latn-ME"/>
              </w:rPr>
            </w:pPr>
            <w:r w:rsidRPr="003445F5">
              <w:rPr>
                <w:szCs w:val="22"/>
                <w:lang w:val="sr-Latn-ME"/>
              </w:rPr>
              <w:t>52%*</w:t>
            </w:r>
          </w:p>
        </w:tc>
      </w:tr>
      <w:tr w:rsidR="008307D3" w:rsidRPr="003445F5" w14:paraId="0E26A41E" w14:textId="77777777" w:rsidTr="000C1CAD">
        <w:trPr>
          <w:trHeight w:val="20"/>
        </w:trPr>
        <w:tc>
          <w:tcPr>
            <w:tcW w:w="1998" w:type="pct"/>
            <w:tcBorders>
              <w:top w:val="single" w:sz="4" w:space="0" w:color="000000"/>
              <w:left w:val="single" w:sz="4" w:space="0" w:color="000000"/>
              <w:bottom w:val="single" w:sz="4" w:space="0" w:color="000000"/>
              <w:right w:val="single" w:sz="4" w:space="0" w:color="000000"/>
            </w:tcBorders>
            <w:vAlign w:val="center"/>
          </w:tcPr>
          <w:p w14:paraId="729EC9F8" w14:textId="77777777" w:rsidR="008307D3" w:rsidRPr="003445F5" w:rsidRDefault="008307D3" w:rsidP="00704956">
            <w:pPr>
              <w:tabs>
                <w:tab w:val="clear" w:pos="284"/>
              </w:tabs>
              <w:ind w:left="196"/>
              <w:jc w:val="left"/>
              <w:rPr>
                <w:szCs w:val="22"/>
                <w:lang w:val="sr-Latn-ME"/>
              </w:rPr>
            </w:pPr>
            <w:r w:rsidRPr="003445F5">
              <w:rPr>
                <w:szCs w:val="22"/>
                <w:lang w:val="sr-Latn-ME"/>
              </w:rPr>
              <w:t>Pacijenti u remisiji bez upotrebe steroida ≥ 90 dana</w:t>
            </w:r>
            <w:r w:rsidRPr="003445F5">
              <w:rPr>
                <w:szCs w:val="22"/>
                <w:vertAlign w:val="superscript"/>
                <w:lang w:val="sr-Latn-ME"/>
              </w:rPr>
              <w:t>a</w:t>
            </w:r>
          </w:p>
        </w:tc>
        <w:tc>
          <w:tcPr>
            <w:tcW w:w="593" w:type="pct"/>
            <w:tcBorders>
              <w:top w:val="single" w:sz="4" w:space="0" w:color="000000"/>
              <w:left w:val="single" w:sz="4" w:space="0" w:color="000000"/>
              <w:bottom w:val="single" w:sz="4" w:space="0" w:color="000000"/>
              <w:right w:val="single" w:sz="4" w:space="0" w:color="000000"/>
            </w:tcBorders>
            <w:vAlign w:val="center"/>
          </w:tcPr>
          <w:p w14:paraId="50B71286" w14:textId="77777777" w:rsidR="008307D3" w:rsidRPr="003445F5" w:rsidRDefault="008307D3" w:rsidP="00704956">
            <w:pPr>
              <w:jc w:val="center"/>
              <w:rPr>
                <w:szCs w:val="22"/>
                <w:lang w:val="sr-Latn-ME"/>
              </w:rPr>
            </w:pPr>
            <w:r w:rsidRPr="003445F5">
              <w:rPr>
                <w:szCs w:val="22"/>
                <w:lang w:val="sr-Latn-ME"/>
              </w:rPr>
              <w:t>3% (2/66)</w:t>
            </w:r>
          </w:p>
        </w:tc>
        <w:tc>
          <w:tcPr>
            <w:tcW w:w="1268" w:type="pct"/>
            <w:tcBorders>
              <w:top w:val="single" w:sz="4" w:space="0" w:color="000000"/>
              <w:left w:val="single" w:sz="4" w:space="0" w:color="000000"/>
              <w:bottom w:val="single" w:sz="4" w:space="0" w:color="000000"/>
              <w:right w:val="single" w:sz="4" w:space="0" w:color="000000"/>
            </w:tcBorders>
            <w:vAlign w:val="center"/>
          </w:tcPr>
          <w:p w14:paraId="1A4E7A05" w14:textId="77777777" w:rsidR="008307D3" w:rsidRPr="003445F5" w:rsidRDefault="008307D3" w:rsidP="00704956">
            <w:pPr>
              <w:jc w:val="center"/>
              <w:rPr>
                <w:szCs w:val="22"/>
                <w:lang w:val="sr-Latn-ME"/>
              </w:rPr>
            </w:pPr>
            <w:r w:rsidRPr="003445F5">
              <w:rPr>
                <w:szCs w:val="22"/>
                <w:lang w:val="sr-Latn-ME"/>
              </w:rPr>
              <w:t>19% (11/58)**</w:t>
            </w:r>
          </w:p>
        </w:tc>
        <w:tc>
          <w:tcPr>
            <w:tcW w:w="1141" w:type="pct"/>
            <w:tcBorders>
              <w:top w:val="single" w:sz="4" w:space="0" w:color="000000"/>
              <w:left w:val="single" w:sz="4" w:space="0" w:color="000000"/>
              <w:bottom w:val="single" w:sz="4" w:space="0" w:color="000000"/>
              <w:right w:val="single" w:sz="4" w:space="0" w:color="000000"/>
            </w:tcBorders>
            <w:vAlign w:val="center"/>
          </w:tcPr>
          <w:p w14:paraId="4FABD567" w14:textId="77777777" w:rsidR="008307D3" w:rsidRPr="003445F5" w:rsidRDefault="008307D3" w:rsidP="00704956">
            <w:pPr>
              <w:jc w:val="center"/>
              <w:rPr>
                <w:szCs w:val="22"/>
                <w:lang w:val="sr-Latn-ME"/>
              </w:rPr>
            </w:pPr>
            <w:r w:rsidRPr="003445F5">
              <w:rPr>
                <w:szCs w:val="22"/>
                <w:lang w:val="sr-Latn-ME"/>
              </w:rPr>
              <w:t>15% (11/74)**</w:t>
            </w:r>
          </w:p>
        </w:tc>
      </w:tr>
      <w:tr w:rsidR="008307D3" w:rsidRPr="003445F5" w14:paraId="1493E78B" w14:textId="77777777" w:rsidTr="000C1CAD">
        <w:trPr>
          <w:trHeight w:val="20"/>
        </w:trPr>
        <w:tc>
          <w:tcPr>
            <w:tcW w:w="1998" w:type="pct"/>
            <w:tcBorders>
              <w:top w:val="single" w:sz="4" w:space="0" w:color="000000"/>
              <w:left w:val="single" w:sz="4" w:space="0" w:color="000000"/>
              <w:bottom w:val="single" w:sz="4" w:space="0" w:color="000000"/>
              <w:right w:val="single" w:sz="4" w:space="0" w:color="000000"/>
            </w:tcBorders>
            <w:vAlign w:val="center"/>
          </w:tcPr>
          <w:p w14:paraId="7B72C240" w14:textId="14DCB405" w:rsidR="008307D3" w:rsidRPr="003445F5" w:rsidRDefault="00551F1D" w:rsidP="00704956">
            <w:pPr>
              <w:jc w:val="left"/>
              <w:rPr>
                <w:szCs w:val="22"/>
                <w:lang w:val="sr-Latn-ME"/>
              </w:rPr>
            </w:pPr>
            <w:r w:rsidRPr="003445F5">
              <w:rPr>
                <w:b/>
                <w:szCs w:val="22"/>
                <w:lang w:val="sr-Latn-ME"/>
              </w:rPr>
              <w:t>Nedjelj</w:t>
            </w:r>
            <w:r w:rsidR="008307D3" w:rsidRPr="003445F5">
              <w:rPr>
                <w:b/>
                <w:szCs w:val="22"/>
                <w:lang w:val="sr-Latn-ME"/>
              </w:rPr>
              <w:t>a 56</w:t>
            </w:r>
          </w:p>
        </w:tc>
        <w:tc>
          <w:tcPr>
            <w:tcW w:w="593" w:type="pct"/>
            <w:tcBorders>
              <w:top w:val="single" w:sz="4" w:space="0" w:color="000000"/>
              <w:left w:val="single" w:sz="4" w:space="0" w:color="000000"/>
              <w:bottom w:val="single" w:sz="4" w:space="0" w:color="000000"/>
              <w:right w:val="single" w:sz="4" w:space="0" w:color="000000"/>
            </w:tcBorders>
            <w:vAlign w:val="center"/>
          </w:tcPr>
          <w:p w14:paraId="7C9309A8" w14:textId="77777777" w:rsidR="008307D3" w:rsidRPr="003445F5" w:rsidRDefault="008307D3" w:rsidP="00704956">
            <w:pPr>
              <w:jc w:val="center"/>
              <w:rPr>
                <w:szCs w:val="22"/>
                <w:lang w:val="sr-Latn-ME"/>
              </w:rPr>
            </w:pPr>
            <w:r w:rsidRPr="003445F5">
              <w:rPr>
                <w:b/>
                <w:szCs w:val="22"/>
                <w:lang w:val="sr-Latn-ME"/>
              </w:rPr>
              <w:t>N=170</w:t>
            </w:r>
          </w:p>
        </w:tc>
        <w:tc>
          <w:tcPr>
            <w:tcW w:w="1268" w:type="pct"/>
            <w:tcBorders>
              <w:top w:val="single" w:sz="4" w:space="0" w:color="000000"/>
              <w:left w:val="single" w:sz="4" w:space="0" w:color="000000"/>
              <w:bottom w:val="single" w:sz="4" w:space="0" w:color="000000"/>
              <w:right w:val="single" w:sz="4" w:space="0" w:color="000000"/>
            </w:tcBorders>
            <w:vAlign w:val="center"/>
          </w:tcPr>
          <w:p w14:paraId="2FE66E57" w14:textId="77777777" w:rsidR="008307D3" w:rsidRPr="003445F5" w:rsidRDefault="008307D3" w:rsidP="00704956">
            <w:pPr>
              <w:jc w:val="center"/>
              <w:rPr>
                <w:szCs w:val="22"/>
                <w:lang w:val="sr-Latn-ME"/>
              </w:rPr>
            </w:pPr>
            <w:r w:rsidRPr="003445F5">
              <w:rPr>
                <w:b/>
                <w:szCs w:val="22"/>
                <w:lang w:val="sr-Latn-ME"/>
              </w:rPr>
              <w:t>N=172</w:t>
            </w:r>
          </w:p>
        </w:tc>
        <w:tc>
          <w:tcPr>
            <w:tcW w:w="1141" w:type="pct"/>
            <w:tcBorders>
              <w:top w:val="single" w:sz="4" w:space="0" w:color="000000"/>
              <w:left w:val="single" w:sz="4" w:space="0" w:color="000000"/>
              <w:bottom w:val="single" w:sz="4" w:space="0" w:color="000000"/>
              <w:right w:val="single" w:sz="4" w:space="0" w:color="000000"/>
            </w:tcBorders>
            <w:vAlign w:val="center"/>
          </w:tcPr>
          <w:p w14:paraId="3623C045" w14:textId="77777777" w:rsidR="008307D3" w:rsidRPr="003445F5" w:rsidRDefault="008307D3" w:rsidP="00704956">
            <w:pPr>
              <w:jc w:val="center"/>
              <w:rPr>
                <w:szCs w:val="22"/>
                <w:lang w:val="sr-Latn-ME"/>
              </w:rPr>
            </w:pPr>
            <w:r w:rsidRPr="003445F5">
              <w:rPr>
                <w:b/>
                <w:szCs w:val="22"/>
                <w:lang w:val="sr-Latn-ME"/>
              </w:rPr>
              <w:t>N=157</w:t>
            </w:r>
          </w:p>
        </w:tc>
      </w:tr>
      <w:tr w:rsidR="008307D3" w:rsidRPr="003445F5" w14:paraId="5AFDB07B" w14:textId="77777777" w:rsidTr="000C1CAD">
        <w:trPr>
          <w:trHeight w:val="20"/>
        </w:trPr>
        <w:tc>
          <w:tcPr>
            <w:tcW w:w="1998" w:type="pct"/>
            <w:tcBorders>
              <w:top w:val="single" w:sz="4" w:space="0" w:color="000000"/>
              <w:left w:val="single" w:sz="4" w:space="0" w:color="000000"/>
              <w:bottom w:val="single" w:sz="4" w:space="0" w:color="000000"/>
              <w:right w:val="single" w:sz="4" w:space="0" w:color="000000"/>
            </w:tcBorders>
            <w:vAlign w:val="center"/>
          </w:tcPr>
          <w:p w14:paraId="0926761F" w14:textId="77777777" w:rsidR="008307D3" w:rsidRPr="003445F5" w:rsidRDefault="008307D3" w:rsidP="00704956">
            <w:pPr>
              <w:jc w:val="left"/>
              <w:rPr>
                <w:szCs w:val="22"/>
                <w:lang w:val="sr-Latn-ME"/>
              </w:rPr>
            </w:pPr>
            <w:r w:rsidRPr="003445F5">
              <w:rPr>
                <w:szCs w:val="22"/>
                <w:lang w:val="sr-Latn-ME"/>
              </w:rPr>
              <w:t>Klinička remisija</w:t>
            </w:r>
          </w:p>
        </w:tc>
        <w:tc>
          <w:tcPr>
            <w:tcW w:w="593" w:type="pct"/>
            <w:tcBorders>
              <w:top w:val="single" w:sz="4" w:space="0" w:color="000000"/>
              <w:left w:val="single" w:sz="4" w:space="0" w:color="000000"/>
              <w:bottom w:val="single" w:sz="4" w:space="0" w:color="000000"/>
              <w:right w:val="single" w:sz="4" w:space="0" w:color="000000"/>
            </w:tcBorders>
            <w:vAlign w:val="center"/>
          </w:tcPr>
          <w:p w14:paraId="238E46B3" w14:textId="77777777" w:rsidR="008307D3" w:rsidRPr="003445F5" w:rsidRDefault="008307D3" w:rsidP="00704956">
            <w:pPr>
              <w:jc w:val="center"/>
              <w:rPr>
                <w:szCs w:val="22"/>
                <w:lang w:val="sr-Latn-ME"/>
              </w:rPr>
            </w:pPr>
            <w:r w:rsidRPr="003445F5">
              <w:rPr>
                <w:szCs w:val="22"/>
                <w:lang w:val="sr-Latn-ME"/>
              </w:rPr>
              <w:t>12%</w:t>
            </w:r>
          </w:p>
        </w:tc>
        <w:tc>
          <w:tcPr>
            <w:tcW w:w="1268" w:type="pct"/>
            <w:tcBorders>
              <w:top w:val="single" w:sz="4" w:space="0" w:color="000000"/>
              <w:left w:val="single" w:sz="4" w:space="0" w:color="000000"/>
              <w:bottom w:val="single" w:sz="4" w:space="0" w:color="000000"/>
              <w:right w:val="single" w:sz="4" w:space="0" w:color="000000"/>
            </w:tcBorders>
            <w:vAlign w:val="center"/>
          </w:tcPr>
          <w:p w14:paraId="243B06CA" w14:textId="77777777" w:rsidR="008307D3" w:rsidRPr="003445F5" w:rsidRDefault="008307D3" w:rsidP="00704956">
            <w:pPr>
              <w:jc w:val="center"/>
              <w:rPr>
                <w:szCs w:val="22"/>
                <w:lang w:val="sr-Latn-ME"/>
              </w:rPr>
            </w:pPr>
            <w:r w:rsidRPr="003445F5">
              <w:rPr>
                <w:szCs w:val="22"/>
                <w:lang w:val="sr-Latn-ME"/>
              </w:rPr>
              <w:t>36%*</w:t>
            </w:r>
          </w:p>
        </w:tc>
        <w:tc>
          <w:tcPr>
            <w:tcW w:w="1141" w:type="pct"/>
            <w:tcBorders>
              <w:top w:val="single" w:sz="4" w:space="0" w:color="000000"/>
              <w:left w:val="single" w:sz="4" w:space="0" w:color="000000"/>
              <w:bottom w:val="single" w:sz="4" w:space="0" w:color="000000"/>
              <w:right w:val="single" w:sz="4" w:space="0" w:color="000000"/>
            </w:tcBorders>
            <w:vAlign w:val="center"/>
          </w:tcPr>
          <w:p w14:paraId="07802AFC" w14:textId="77777777" w:rsidR="008307D3" w:rsidRPr="003445F5" w:rsidRDefault="008307D3" w:rsidP="00704956">
            <w:pPr>
              <w:jc w:val="center"/>
              <w:rPr>
                <w:szCs w:val="22"/>
                <w:lang w:val="sr-Latn-ME"/>
              </w:rPr>
            </w:pPr>
            <w:r w:rsidRPr="003445F5">
              <w:rPr>
                <w:szCs w:val="22"/>
                <w:lang w:val="sr-Latn-ME"/>
              </w:rPr>
              <w:t>41%*</w:t>
            </w:r>
          </w:p>
        </w:tc>
      </w:tr>
      <w:tr w:rsidR="008307D3" w:rsidRPr="003445F5" w14:paraId="78AADC39" w14:textId="77777777" w:rsidTr="000C1CAD">
        <w:trPr>
          <w:trHeight w:val="20"/>
        </w:trPr>
        <w:tc>
          <w:tcPr>
            <w:tcW w:w="1998" w:type="pct"/>
            <w:tcBorders>
              <w:top w:val="single" w:sz="4" w:space="0" w:color="000000"/>
              <w:left w:val="single" w:sz="4" w:space="0" w:color="000000"/>
              <w:bottom w:val="single" w:sz="4" w:space="0" w:color="000000"/>
              <w:right w:val="single" w:sz="4" w:space="0" w:color="000000"/>
            </w:tcBorders>
            <w:vAlign w:val="center"/>
          </w:tcPr>
          <w:p w14:paraId="51683B98" w14:textId="77777777" w:rsidR="008307D3" w:rsidRPr="003445F5" w:rsidRDefault="008307D3" w:rsidP="00704956">
            <w:pPr>
              <w:jc w:val="left"/>
              <w:rPr>
                <w:szCs w:val="22"/>
                <w:lang w:val="sr-Latn-ME"/>
              </w:rPr>
            </w:pPr>
            <w:r w:rsidRPr="003445F5">
              <w:rPr>
                <w:szCs w:val="22"/>
                <w:lang w:val="sr-Latn-ME"/>
              </w:rPr>
              <w:t>Klinički odgovor (CR-100)</w:t>
            </w:r>
          </w:p>
        </w:tc>
        <w:tc>
          <w:tcPr>
            <w:tcW w:w="593" w:type="pct"/>
            <w:tcBorders>
              <w:top w:val="single" w:sz="4" w:space="0" w:color="000000"/>
              <w:left w:val="single" w:sz="4" w:space="0" w:color="000000"/>
              <w:bottom w:val="single" w:sz="4" w:space="0" w:color="000000"/>
              <w:right w:val="single" w:sz="4" w:space="0" w:color="000000"/>
            </w:tcBorders>
            <w:vAlign w:val="center"/>
          </w:tcPr>
          <w:p w14:paraId="26C3190D" w14:textId="77777777" w:rsidR="008307D3" w:rsidRPr="003445F5" w:rsidRDefault="008307D3" w:rsidP="00704956">
            <w:pPr>
              <w:jc w:val="center"/>
              <w:rPr>
                <w:szCs w:val="22"/>
                <w:lang w:val="sr-Latn-ME"/>
              </w:rPr>
            </w:pPr>
            <w:r w:rsidRPr="003445F5">
              <w:rPr>
                <w:szCs w:val="22"/>
                <w:lang w:val="sr-Latn-ME"/>
              </w:rPr>
              <w:t>17%</w:t>
            </w:r>
          </w:p>
        </w:tc>
        <w:tc>
          <w:tcPr>
            <w:tcW w:w="1268" w:type="pct"/>
            <w:tcBorders>
              <w:top w:val="single" w:sz="4" w:space="0" w:color="000000"/>
              <w:left w:val="single" w:sz="4" w:space="0" w:color="000000"/>
              <w:bottom w:val="single" w:sz="4" w:space="0" w:color="000000"/>
              <w:right w:val="single" w:sz="4" w:space="0" w:color="000000"/>
            </w:tcBorders>
            <w:vAlign w:val="center"/>
          </w:tcPr>
          <w:p w14:paraId="25A4D19B" w14:textId="77777777" w:rsidR="008307D3" w:rsidRPr="003445F5" w:rsidRDefault="008307D3" w:rsidP="00704956">
            <w:pPr>
              <w:jc w:val="center"/>
              <w:rPr>
                <w:szCs w:val="22"/>
                <w:lang w:val="sr-Latn-ME"/>
              </w:rPr>
            </w:pPr>
            <w:r w:rsidRPr="003445F5">
              <w:rPr>
                <w:szCs w:val="22"/>
                <w:lang w:val="sr-Latn-ME"/>
              </w:rPr>
              <w:t>41%*</w:t>
            </w:r>
          </w:p>
        </w:tc>
        <w:tc>
          <w:tcPr>
            <w:tcW w:w="1141" w:type="pct"/>
            <w:tcBorders>
              <w:top w:val="single" w:sz="4" w:space="0" w:color="000000"/>
              <w:left w:val="single" w:sz="4" w:space="0" w:color="000000"/>
              <w:bottom w:val="single" w:sz="4" w:space="0" w:color="000000"/>
              <w:right w:val="single" w:sz="4" w:space="0" w:color="000000"/>
            </w:tcBorders>
            <w:vAlign w:val="center"/>
          </w:tcPr>
          <w:p w14:paraId="3F09DE88" w14:textId="77777777" w:rsidR="008307D3" w:rsidRPr="003445F5" w:rsidRDefault="008307D3" w:rsidP="00704956">
            <w:pPr>
              <w:jc w:val="center"/>
              <w:rPr>
                <w:szCs w:val="22"/>
                <w:lang w:val="sr-Latn-ME"/>
              </w:rPr>
            </w:pPr>
            <w:r w:rsidRPr="003445F5">
              <w:rPr>
                <w:szCs w:val="22"/>
                <w:lang w:val="sr-Latn-ME"/>
              </w:rPr>
              <w:t>48%*</w:t>
            </w:r>
          </w:p>
        </w:tc>
      </w:tr>
      <w:tr w:rsidR="008307D3" w:rsidRPr="003445F5" w14:paraId="39538DE0" w14:textId="77777777" w:rsidTr="000C1CAD">
        <w:trPr>
          <w:trHeight w:val="20"/>
        </w:trPr>
        <w:tc>
          <w:tcPr>
            <w:tcW w:w="1998" w:type="pct"/>
            <w:tcBorders>
              <w:top w:val="single" w:sz="4" w:space="0" w:color="000000"/>
              <w:left w:val="single" w:sz="4" w:space="0" w:color="000000"/>
              <w:bottom w:val="single" w:sz="4" w:space="0" w:color="000000"/>
              <w:right w:val="single" w:sz="4" w:space="0" w:color="000000"/>
            </w:tcBorders>
            <w:vAlign w:val="center"/>
          </w:tcPr>
          <w:p w14:paraId="4DCF6839" w14:textId="77777777" w:rsidR="008307D3" w:rsidRPr="003445F5" w:rsidRDefault="008307D3" w:rsidP="00704956">
            <w:pPr>
              <w:tabs>
                <w:tab w:val="clear" w:pos="284"/>
              </w:tabs>
              <w:ind w:left="196"/>
              <w:jc w:val="left"/>
              <w:rPr>
                <w:szCs w:val="22"/>
                <w:lang w:val="sr-Latn-ME"/>
              </w:rPr>
            </w:pPr>
            <w:r w:rsidRPr="003445F5">
              <w:rPr>
                <w:szCs w:val="22"/>
                <w:lang w:val="sr-Latn-ME"/>
              </w:rPr>
              <w:t>Pacijenti u remisiji bez upotrebe steroida ≥ 90 dana</w:t>
            </w:r>
            <w:r w:rsidRPr="003445F5">
              <w:rPr>
                <w:szCs w:val="22"/>
                <w:vertAlign w:val="superscript"/>
                <w:lang w:val="sr-Latn-ME"/>
              </w:rPr>
              <w:t>a</w:t>
            </w:r>
          </w:p>
        </w:tc>
        <w:tc>
          <w:tcPr>
            <w:tcW w:w="593" w:type="pct"/>
            <w:tcBorders>
              <w:top w:val="single" w:sz="4" w:space="0" w:color="000000"/>
              <w:left w:val="single" w:sz="4" w:space="0" w:color="000000"/>
              <w:bottom w:val="single" w:sz="4" w:space="0" w:color="000000"/>
              <w:right w:val="single" w:sz="4" w:space="0" w:color="000000"/>
            </w:tcBorders>
            <w:vAlign w:val="center"/>
          </w:tcPr>
          <w:p w14:paraId="28DE33BE" w14:textId="77777777" w:rsidR="008307D3" w:rsidRPr="003445F5" w:rsidRDefault="008307D3" w:rsidP="00704956">
            <w:pPr>
              <w:jc w:val="center"/>
              <w:rPr>
                <w:szCs w:val="22"/>
                <w:lang w:val="sr-Latn-ME"/>
              </w:rPr>
            </w:pPr>
            <w:r w:rsidRPr="003445F5">
              <w:rPr>
                <w:szCs w:val="22"/>
                <w:lang w:val="sr-Latn-ME"/>
              </w:rPr>
              <w:t>5% (3/66)</w:t>
            </w:r>
          </w:p>
        </w:tc>
        <w:tc>
          <w:tcPr>
            <w:tcW w:w="1268" w:type="pct"/>
            <w:tcBorders>
              <w:top w:val="single" w:sz="4" w:space="0" w:color="000000"/>
              <w:left w:val="single" w:sz="4" w:space="0" w:color="000000"/>
              <w:bottom w:val="single" w:sz="4" w:space="0" w:color="000000"/>
              <w:right w:val="single" w:sz="4" w:space="0" w:color="000000"/>
            </w:tcBorders>
            <w:vAlign w:val="center"/>
          </w:tcPr>
          <w:p w14:paraId="6F73BC1D" w14:textId="77777777" w:rsidR="008307D3" w:rsidRPr="003445F5" w:rsidRDefault="008307D3" w:rsidP="00704956">
            <w:pPr>
              <w:jc w:val="center"/>
              <w:rPr>
                <w:szCs w:val="22"/>
                <w:lang w:val="sr-Latn-ME"/>
              </w:rPr>
            </w:pPr>
            <w:r w:rsidRPr="003445F5">
              <w:rPr>
                <w:szCs w:val="22"/>
                <w:lang w:val="sr-Latn-ME"/>
              </w:rPr>
              <w:t>29% (17/58)*</w:t>
            </w:r>
          </w:p>
        </w:tc>
        <w:tc>
          <w:tcPr>
            <w:tcW w:w="1141" w:type="pct"/>
            <w:tcBorders>
              <w:top w:val="single" w:sz="4" w:space="0" w:color="000000"/>
              <w:left w:val="single" w:sz="4" w:space="0" w:color="000000"/>
              <w:bottom w:val="single" w:sz="4" w:space="0" w:color="000000"/>
              <w:right w:val="single" w:sz="4" w:space="0" w:color="000000"/>
            </w:tcBorders>
            <w:vAlign w:val="center"/>
          </w:tcPr>
          <w:p w14:paraId="4604984D" w14:textId="77777777" w:rsidR="008307D3" w:rsidRPr="003445F5" w:rsidRDefault="008307D3" w:rsidP="00704956">
            <w:pPr>
              <w:jc w:val="center"/>
              <w:rPr>
                <w:szCs w:val="22"/>
                <w:lang w:val="sr-Latn-ME"/>
              </w:rPr>
            </w:pPr>
            <w:r w:rsidRPr="003445F5">
              <w:rPr>
                <w:szCs w:val="22"/>
                <w:lang w:val="sr-Latn-ME"/>
              </w:rPr>
              <w:t>20% (15/74)**</w:t>
            </w:r>
          </w:p>
        </w:tc>
      </w:tr>
    </w:tbl>
    <w:p w14:paraId="04ADD909" w14:textId="4250258E" w:rsidR="00BD5C44" w:rsidRPr="003445F5" w:rsidRDefault="00BD5C44" w:rsidP="00BD5C44">
      <w:pPr>
        <w:rPr>
          <w:szCs w:val="22"/>
          <w:lang w:val="sr-Latn-ME"/>
        </w:rPr>
      </w:pPr>
      <w:r w:rsidRPr="003445F5">
        <w:rPr>
          <w:szCs w:val="22"/>
          <w:lang w:val="sr-Latn-ME"/>
        </w:rPr>
        <w:t>* p &lt; 0,001 poređenje adalimumaba i placeba, upareno poređenje ud</w:t>
      </w:r>
      <w:r w:rsidR="0063026D" w:rsidRPr="003445F5">
        <w:rPr>
          <w:szCs w:val="22"/>
          <w:lang w:val="sr-Latn-ME"/>
        </w:rPr>
        <w:t>j</w:t>
      </w:r>
      <w:r w:rsidRPr="003445F5">
        <w:rPr>
          <w:szCs w:val="22"/>
          <w:lang w:val="sr-Latn-ME"/>
        </w:rPr>
        <w:t>ela</w:t>
      </w:r>
    </w:p>
    <w:p w14:paraId="1C6BF41B" w14:textId="39B72696" w:rsidR="00BD5C44" w:rsidRPr="003445F5" w:rsidRDefault="00BD5C44" w:rsidP="00BD5C44">
      <w:pPr>
        <w:rPr>
          <w:szCs w:val="22"/>
          <w:lang w:val="sr-Latn-ME"/>
        </w:rPr>
      </w:pPr>
      <w:r w:rsidRPr="003445F5">
        <w:rPr>
          <w:szCs w:val="22"/>
          <w:lang w:val="sr-Latn-ME"/>
        </w:rPr>
        <w:t xml:space="preserve">** p &lt; 0,02 poređenje adalimumaba i placeba, upareno poređenje </w:t>
      </w:r>
      <w:r w:rsidR="0063026D" w:rsidRPr="003445F5">
        <w:rPr>
          <w:szCs w:val="22"/>
          <w:lang w:val="sr-Latn-ME"/>
        </w:rPr>
        <w:t>udjela</w:t>
      </w:r>
    </w:p>
    <w:p w14:paraId="74806E5F" w14:textId="77777777" w:rsidR="00BD5C44" w:rsidRPr="003445F5" w:rsidRDefault="00BD5C44" w:rsidP="00BD5C44">
      <w:pPr>
        <w:rPr>
          <w:szCs w:val="22"/>
          <w:lang w:val="sr-Latn-ME"/>
        </w:rPr>
      </w:pPr>
      <w:r w:rsidRPr="003445F5">
        <w:rPr>
          <w:szCs w:val="22"/>
          <w:vertAlign w:val="superscript"/>
          <w:lang w:val="sr-Latn-ME"/>
        </w:rPr>
        <w:t>a</w:t>
      </w:r>
      <w:r w:rsidRPr="003445F5">
        <w:rPr>
          <w:szCs w:val="22"/>
          <w:lang w:val="sr-Latn-ME"/>
        </w:rPr>
        <w:t xml:space="preserve"> samo oni koji su na početku uzimali kortikosteroide</w:t>
      </w:r>
    </w:p>
    <w:p w14:paraId="7E17260C" w14:textId="77777777" w:rsidR="00BD5C44" w:rsidRPr="003445F5" w:rsidRDefault="00BD5C44" w:rsidP="00BD5C44">
      <w:pPr>
        <w:rPr>
          <w:szCs w:val="22"/>
          <w:lang w:val="sr-Latn-ME"/>
        </w:rPr>
      </w:pPr>
    </w:p>
    <w:p w14:paraId="1731B19A" w14:textId="0CB0A432" w:rsidR="00290460" w:rsidRPr="003445F5" w:rsidRDefault="00290460" w:rsidP="00290460">
      <w:pPr>
        <w:rPr>
          <w:szCs w:val="22"/>
          <w:lang w:val="sr-Latn-ME"/>
        </w:rPr>
      </w:pPr>
      <w:r w:rsidRPr="003445F5">
        <w:rPr>
          <w:szCs w:val="22"/>
          <w:lang w:val="sr-Latn-ME"/>
        </w:rPr>
        <w:t xml:space="preserve">Među pacijentima koji u 4. </w:t>
      </w:r>
      <w:r w:rsidR="00551F1D" w:rsidRPr="003445F5">
        <w:rPr>
          <w:szCs w:val="22"/>
          <w:lang w:val="sr-Latn-ME"/>
        </w:rPr>
        <w:t>nedjelj</w:t>
      </w:r>
      <w:r w:rsidR="00704AF5" w:rsidRPr="003445F5">
        <w:rPr>
          <w:szCs w:val="22"/>
          <w:lang w:val="sr-Latn-ME"/>
        </w:rPr>
        <w:t>i</w:t>
      </w:r>
      <w:r w:rsidRPr="003445F5">
        <w:rPr>
          <w:szCs w:val="22"/>
          <w:lang w:val="sr-Latn-ME"/>
        </w:rPr>
        <w:t xml:space="preserve"> nisu imali klinički odgovor, 43% pacijenata koji su primali adalimumab imalo je klinički odgovor do 12. </w:t>
      </w:r>
      <w:r w:rsidR="00551F1D" w:rsidRPr="003445F5">
        <w:rPr>
          <w:szCs w:val="22"/>
          <w:lang w:val="sr-Latn-ME"/>
        </w:rPr>
        <w:t>nedjelj</w:t>
      </w:r>
      <w:r w:rsidR="0047711E" w:rsidRPr="003445F5">
        <w:rPr>
          <w:szCs w:val="22"/>
          <w:lang w:val="sr-Latn-ME"/>
        </w:rPr>
        <w:t>e</w:t>
      </w:r>
      <w:r w:rsidRPr="003445F5">
        <w:rPr>
          <w:szCs w:val="22"/>
          <w:lang w:val="sr-Latn-ME"/>
        </w:rPr>
        <w:t xml:space="preserve"> u odnosu na 30% u grupi pacijenata koji su uzimali placebo. Ovi rezultati ukazuju na to da neki pacijenti koji nisu odgovorili na terapiju do 4. </w:t>
      </w:r>
      <w:r w:rsidR="00551F1D" w:rsidRPr="003445F5">
        <w:rPr>
          <w:szCs w:val="22"/>
          <w:lang w:val="sr-Latn-ME"/>
        </w:rPr>
        <w:t>nedjelj</w:t>
      </w:r>
      <w:r w:rsidR="0047711E" w:rsidRPr="003445F5">
        <w:rPr>
          <w:szCs w:val="22"/>
          <w:lang w:val="sr-Latn-ME"/>
        </w:rPr>
        <w:t>e</w:t>
      </w:r>
      <w:r w:rsidRPr="003445F5">
        <w:rPr>
          <w:szCs w:val="22"/>
          <w:lang w:val="sr-Latn-ME"/>
        </w:rPr>
        <w:t xml:space="preserve">, imaju koristi ukoliko se terapija nastavi do 12. </w:t>
      </w:r>
      <w:r w:rsidR="00551F1D" w:rsidRPr="003445F5">
        <w:rPr>
          <w:szCs w:val="22"/>
          <w:lang w:val="sr-Latn-ME"/>
        </w:rPr>
        <w:t>nedjelj</w:t>
      </w:r>
      <w:r w:rsidR="0047711E" w:rsidRPr="003445F5">
        <w:rPr>
          <w:szCs w:val="22"/>
          <w:lang w:val="sr-Latn-ME"/>
        </w:rPr>
        <w:t>e</w:t>
      </w:r>
      <w:r w:rsidRPr="003445F5">
        <w:rPr>
          <w:szCs w:val="22"/>
          <w:lang w:val="sr-Latn-ME"/>
        </w:rPr>
        <w:t>. Produženje terapije duže od 12 nedjelja nije dalo bolji klinički rezultat (</w:t>
      </w:r>
      <w:r w:rsidR="007E1F86" w:rsidRPr="003445F5">
        <w:rPr>
          <w:szCs w:val="22"/>
          <w:lang w:val="sr-Latn-ME"/>
        </w:rPr>
        <w:t>pogledati dio</w:t>
      </w:r>
      <w:r w:rsidRPr="003445F5">
        <w:rPr>
          <w:szCs w:val="22"/>
          <w:lang w:val="sr-Latn-ME"/>
        </w:rPr>
        <w:t xml:space="preserve"> 4.2). </w:t>
      </w:r>
    </w:p>
    <w:p w14:paraId="68772A13" w14:textId="77777777" w:rsidR="00290460" w:rsidRPr="003445F5" w:rsidRDefault="00290460" w:rsidP="00290460">
      <w:pPr>
        <w:rPr>
          <w:szCs w:val="22"/>
          <w:lang w:val="sr-Latn-ME"/>
        </w:rPr>
      </w:pPr>
    </w:p>
    <w:p w14:paraId="3E95FF88" w14:textId="77777777" w:rsidR="00290460" w:rsidRPr="003445F5" w:rsidRDefault="00290460" w:rsidP="00290460">
      <w:pPr>
        <w:rPr>
          <w:szCs w:val="22"/>
          <w:lang w:val="sr-Latn-ME"/>
        </w:rPr>
      </w:pPr>
      <w:r w:rsidRPr="003445F5">
        <w:rPr>
          <w:szCs w:val="22"/>
          <w:lang w:val="sr-Latn-ME"/>
        </w:rPr>
        <w:t>117/276 pacijenata u CD studiji I i 272/777 pacijenata u CD studiji II i III su praćeni tokom najmanje 3 godine u otvorenom dijelu terapije adalimumabom. 88, odnosno 189 pacijenata je i dalje bilo u kliničkoj remisiji. Klinički odgovor (CD-100) je održan kod 102, odnosno 233 pacijenta.</w:t>
      </w:r>
    </w:p>
    <w:p w14:paraId="40ECAC39" w14:textId="5297DFDF" w:rsidR="007329AC" w:rsidRPr="003445F5" w:rsidRDefault="007329AC" w:rsidP="00524FDF">
      <w:pPr>
        <w:rPr>
          <w:szCs w:val="22"/>
          <w:lang w:val="sr-Latn-ME"/>
        </w:rPr>
      </w:pPr>
    </w:p>
    <w:p w14:paraId="4EF7ECE7" w14:textId="77777777" w:rsidR="00C30AF6" w:rsidRPr="003445F5" w:rsidRDefault="00C30AF6" w:rsidP="00C30AF6">
      <w:pPr>
        <w:rPr>
          <w:i/>
          <w:szCs w:val="22"/>
          <w:lang w:val="sr-Latn-ME"/>
        </w:rPr>
      </w:pPr>
      <w:r w:rsidRPr="003445F5">
        <w:rPr>
          <w:i/>
          <w:szCs w:val="22"/>
          <w:u w:val="single"/>
          <w:lang w:val="sr-Latn-ME"/>
        </w:rPr>
        <w:t>Kvalitet života</w:t>
      </w:r>
      <w:r w:rsidRPr="003445F5">
        <w:rPr>
          <w:i/>
          <w:szCs w:val="22"/>
          <w:lang w:val="sr-Latn-ME"/>
        </w:rPr>
        <w:t xml:space="preserve"> </w:t>
      </w:r>
    </w:p>
    <w:p w14:paraId="068FCFF5" w14:textId="6F97DB84" w:rsidR="00AC271A" w:rsidRPr="003445F5" w:rsidRDefault="00AC271A" w:rsidP="00AC271A">
      <w:pPr>
        <w:rPr>
          <w:szCs w:val="22"/>
          <w:lang w:val="sr-Latn-ME"/>
        </w:rPr>
      </w:pPr>
      <w:r w:rsidRPr="003445F5">
        <w:rPr>
          <w:szCs w:val="22"/>
          <w:lang w:val="sr-Latn-ME"/>
        </w:rPr>
        <w:t xml:space="preserve">U CD studiji I i CD studiji II u 4. </w:t>
      </w:r>
      <w:r w:rsidR="00551F1D" w:rsidRPr="003445F5">
        <w:rPr>
          <w:szCs w:val="22"/>
          <w:lang w:val="sr-Latn-ME"/>
        </w:rPr>
        <w:t>nedjelj</w:t>
      </w:r>
      <w:r w:rsidR="00704AF5" w:rsidRPr="003445F5">
        <w:rPr>
          <w:szCs w:val="22"/>
          <w:lang w:val="sr-Latn-ME"/>
        </w:rPr>
        <w:t>i</w:t>
      </w:r>
      <w:r w:rsidRPr="003445F5">
        <w:rPr>
          <w:szCs w:val="22"/>
          <w:lang w:val="sr-Latn-ME"/>
        </w:rPr>
        <w:t xml:space="preserve"> kod pacijenata koji su randomizovani da primaju adalimumab 80/40 mg i 160/80 mg došlo je do statistički značajnog poboljšanja ukupnog rezultata prema upitniku o zapaljenjskoj bolesti crijeva (engl. </w:t>
      </w:r>
      <w:r w:rsidRPr="003445F5">
        <w:rPr>
          <w:i/>
          <w:szCs w:val="22"/>
          <w:lang w:val="sr-Latn-ME"/>
        </w:rPr>
        <w:t>Inflammatory bowel disease questionnaire</w:t>
      </w:r>
      <w:r w:rsidRPr="003445F5">
        <w:rPr>
          <w:szCs w:val="22"/>
          <w:lang w:val="sr-Latn-ME"/>
        </w:rPr>
        <w:t>; IBDQ) za specifičnu bolest u odnosu na grupu pacijenata koji su uzimali placebo. U CD studiji III, grupe pacijenata koje su uzimale adalimumab imale su u nedjeljama 26 i 56 bolje rezultate od grupe koja je uzimala placebo.</w:t>
      </w:r>
    </w:p>
    <w:p w14:paraId="265ADB1D" w14:textId="77777777" w:rsidR="00C30AF6" w:rsidRPr="003445F5" w:rsidRDefault="00C30AF6" w:rsidP="00C30AF6">
      <w:pPr>
        <w:rPr>
          <w:szCs w:val="22"/>
          <w:lang w:val="sr-Latn-ME"/>
        </w:rPr>
      </w:pPr>
    </w:p>
    <w:p w14:paraId="0694B4A4" w14:textId="77777777" w:rsidR="00C30AF6" w:rsidRPr="003445F5" w:rsidRDefault="00C30AF6" w:rsidP="00C30AF6">
      <w:pPr>
        <w:rPr>
          <w:i/>
          <w:szCs w:val="22"/>
          <w:lang w:val="sr-Latn-ME"/>
        </w:rPr>
      </w:pPr>
      <w:r w:rsidRPr="003445F5">
        <w:rPr>
          <w:i/>
          <w:szCs w:val="22"/>
          <w:lang w:val="sr-Latn-ME"/>
        </w:rPr>
        <w:t xml:space="preserve">Ulcerozni kolitis </w:t>
      </w:r>
    </w:p>
    <w:p w14:paraId="2ADC8653" w14:textId="77777777" w:rsidR="00440889" w:rsidRPr="003445F5" w:rsidRDefault="00440889" w:rsidP="00440889">
      <w:pPr>
        <w:rPr>
          <w:szCs w:val="22"/>
          <w:lang w:val="sr-Latn-ME"/>
        </w:rPr>
      </w:pPr>
      <w:r w:rsidRPr="003445F5">
        <w:rPr>
          <w:szCs w:val="22"/>
          <w:lang w:val="sr-Latn-ME"/>
        </w:rPr>
        <w:t>Bezbjednost i efikasnost višestrukih doza adalimumaba ispitivana je u randomizovanim, dvostruko slijepim, placebo-kontrolisanim studijama, kod odraslih pacijenata sa umjereno do izrazito aktivnim ulceroznim kolitisom (</w:t>
      </w:r>
      <w:r w:rsidRPr="003445F5">
        <w:rPr>
          <w:i/>
          <w:iCs/>
          <w:szCs w:val="22"/>
          <w:lang w:val="sr-Latn-ME"/>
        </w:rPr>
        <w:t>Mayo</w:t>
      </w:r>
      <w:r w:rsidRPr="003445F5">
        <w:rPr>
          <w:szCs w:val="22"/>
          <w:lang w:val="sr-Latn-ME"/>
        </w:rPr>
        <w:t xml:space="preserve"> skor od 6-12, uz vrijednost endoskopskog subskora od 2-3).</w:t>
      </w:r>
    </w:p>
    <w:p w14:paraId="6919FA89" w14:textId="77777777" w:rsidR="00440889" w:rsidRPr="003445F5" w:rsidRDefault="00440889" w:rsidP="00440889">
      <w:pPr>
        <w:rPr>
          <w:szCs w:val="22"/>
          <w:lang w:val="sr-Latn-ME"/>
        </w:rPr>
      </w:pPr>
    </w:p>
    <w:p w14:paraId="24AD588D" w14:textId="19E1279B" w:rsidR="00440889" w:rsidRPr="003445F5" w:rsidRDefault="00440889" w:rsidP="00440889">
      <w:pPr>
        <w:rPr>
          <w:szCs w:val="22"/>
          <w:lang w:val="sr-Latn-ME"/>
        </w:rPr>
      </w:pPr>
      <w:r w:rsidRPr="003445F5">
        <w:rPr>
          <w:szCs w:val="22"/>
          <w:lang w:val="sr-Latn-ME"/>
        </w:rPr>
        <w:t xml:space="preserve">U studiji UC-I, 390 pacijenata koji nikad nisu primali terapiju antagonistima TNF-a randomizovano da primi ili placebo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w:t>
      </w:r>
      <w:r w:rsidR="004A0CF7" w:rsidRPr="003445F5">
        <w:rPr>
          <w:szCs w:val="22"/>
          <w:lang w:val="sr-Latn-ME"/>
        </w:rPr>
        <w:t>poslije</w:t>
      </w:r>
      <w:r w:rsidR="00212EB4" w:rsidRPr="003445F5">
        <w:rPr>
          <w:szCs w:val="22"/>
          <w:lang w:val="sr-Latn-ME"/>
        </w:rPr>
        <w:t xml:space="preserve"> </w:t>
      </w:r>
      <w:r w:rsidRPr="003445F5">
        <w:rPr>
          <w:szCs w:val="22"/>
          <w:lang w:val="sr-Latn-ME"/>
        </w:rPr>
        <w:t xml:space="preserve">2 </w:t>
      </w:r>
      <w:r w:rsidR="00551F1D" w:rsidRPr="003445F5">
        <w:rPr>
          <w:szCs w:val="22"/>
          <w:lang w:val="sr-Latn-ME"/>
        </w:rPr>
        <w:t>nedjelj</w:t>
      </w:r>
      <w:r w:rsidR="0047711E" w:rsidRPr="003445F5">
        <w:rPr>
          <w:szCs w:val="22"/>
          <w:lang w:val="sr-Latn-ME"/>
        </w:rPr>
        <w:t>e</w:t>
      </w:r>
      <w:r w:rsidRPr="003445F5">
        <w:rPr>
          <w:szCs w:val="22"/>
          <w:lang w:val="sr-Latn-ME"/>
        </w:rPr>
        <w:t xml:space="preserve">, odnosno adalimumab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80 mg </w:t>
      </w:r>
      <w:r w:rsidR="004A0CF7" w:rsidRPr="003445F5">
        <w:rPr>
          <w:szCs w:val="22"/>
          <w:lang w:val="sr-Latn-ME"/>
        </w:rPr>
        <w:t>poslije</w:t>
      </w:r>
      <w:r w:rsidRPr="003445F5">
        <w:rPr>
          <w:szCs w:val="22"/>
          <w:lang w:val="sr-Latn-ME"/>
        </w:rPr>
        <w:t xml:space="preserve">2 </w:t>
      </w:r>
      <w:r w:rsidR="00551F1D" w:rsidRPr="003445F5">
        <w:rPr>
          <w:szCs w:val="22"/>
          <w:lang w:val="sr-Latn-ME"/>
        </w:rPr>
        <w:t>nedjelj</w:t>
      </w:r>
      <w:r w:rsidR="0047711E" w:rsidRPr="003445F5">
        <w:rPr>
          <w:szCs w:val="22"/>
          <w:lang w:val="sr-Latn-ME"/>
        </w:rPr>
        <w:t>e</w:t>
      </w:r>
      <w:r w:rsidRPr="003445F5">
        <w:rPr>
          <w:szCs w:val="22"/>
          <w:lang w:val="sr-Latn-ME"/>
        </w:rPr>
        <w:t xml:space="preserve">, ili adalimumab 80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40 mg </w:t>
      </w:r>
      <w:r w:rsidR="004A0CF7" w:rsidRPr="003445F5">
        <w:rPr>
          <w:szCs w:val="22"/>
          <w:lang w:val="sr-Latn-ME"/>
        </w:rPr>
        <w:t>poslije</w:t>
      </w:r>
      <w:r w:rsidRPr="003445F5">
        <w:rPr>
          <w:szCs w:val="22"/>
          <w:lang w:val="sr-Latn-ME"/>
        </w:rPr>
        <w:t xml:space="preserve">2 </w:t>
      </w:r>
      <w:r w:rsidR="00551F1D" w:rsidRPr="003445F5">
        <w:rPr>
          <w:szCs w:val="22"/>
          <w:lang w:val="sr-Latn-ME"/>
        </w:rPr>
        <w:t>nedjelj</w:t>
      </w:r>
      <w:r w:rsidR="0047711E" w:rsidRPr="003445F5">
        <w:rPr>
          <w:szCs w:val="22"/>
          <w:lang w:val="sr-Latn-ME"/>
        </w:rPr>
        <w:t>e</w:t>
      </w:r>
      <w:r w:rsidRPr="003445F5">
        <w:rPr>
          <w:szCs w:val="22"/>
          <w:lang w:val="sr-Latn-ME"/>
        </w:rPr>
        <w:t xml:space="preserve">. Nakon 2. </w:t>
      </w:r>
      <w:r w:rsidR="00551F1D" w:rsidRPr="003445F5">
        <w:rPr>
          <w:szCs w:val="22"/>
          <w:lang w:val="sr-Latn-ME"/>
        </w:rPr>
        <w:t>nedjelj</w:t>
      </w:r>
      <w:r w:rsidR="0047711E" w:rsidRPr="003445F5">
        <w:rPr>
          <w:szCs w:val="22"/>
          <w:lang w:val="sr-Latn-ME"/>
        </w:rPr>
        <w:t>e</w:t>
      </w:r>
      <w:r w:rsidRPr="003445F5">
        <w:rPr>
          <w:szCs w:val="22"/>
          <w:lang w:val="sr-Latn-ME"/>
        </w:rPr>
        <w:t>, pacijenti iz ob</w:t>
      </w:r>
      <w:r w:rsidR="0063026D" w:rsidRPr="003445F5">
        <w:rPr>
          <w:szCs w:val="22"/>
          <w:lang w:val="sr-Latn-ME"/>
        </w:rPr>
        <w:t>ij</w:t>
      </w:r>
      <w:r w:rsidRPr="003445F5">
        <w:rPr>
          <w:szCs w:val="22"/>
          <w:lang w:val="sr-Latn-ME"/>
        </w:rPr>
        <w:t xml:space="preserve">e grupe koji su primali adalimumab, nastavili su da primaju </w:t>
      </w:r>
      <w:r w:rsidRPr="003445F5">
        <w:rPr>
          <w:szCs w:val="22"/>
          <w:lang w:val="sr-Latn-ME"/>
        </w:rPr>
        <w:lastRenderedPageBreak/>
        <w:t xml:space="preserve">dozu od 40 mg adalimumaba na svake dvije </w:t>
      </w:r>
      <w:r w:rsidR="00551F1D" w:rsidRPr="003445F5">
        <w:rPr>
          <w:szCs w:val="22"/>
          <w:lang w:val="sr-Latn-ME"/>
        </w:rPr>
        <w:t>nedjelj</w:t>
      </w:r>
      <w:r w:rsidR="0047711E" w:rsidRPr="003445F5">
        <w:rPr>
          <w:szCs w:val="22"/>
          <w:lang w:val="sr-Latn-ME"/>
        </w:rPr>
        <w:t>e</w:t>
      </w:r>
      <w:r w:rsidRPr="003445F5">
        <w:rPr>
          <w:szCs w:val="22"/>
          <w:lang w:val="sr-Latn-ME"/>
        </w:rPr>
        <w:t xml:space="preserve">. Klinička remisija (definisana kao </w:t>
      </w:r>
      <w:r w:rsidRPr="003445F5">
        <w:rPr>
          <w:i/>
          <w:iCs/>
          <w:szCs w:val="22"/>
          <w:lang w:val="sr-Latn-ME"/>
        </w:rPr>
        <w:t>Mayo</w:t>
      </w:r>
      <w:r w:rsidRPr="003445F5">
        <w:rPr>
          <w:szCs w:val="22"/>
          <w:lang w:val="sr-Latn-ME"/>
        </w:rPr>
        <w:t xml:space="preserve"> skor ≤ 2 bez subskora &gt; 1) mjerena je u 8. </w:t>
      </w:r>
      <w:r w:rsidR="00551F1D" w:rsidRPr="003445F5">
        <w:rPr>
          <w:szCs w:val="22"/>
          <w:lang w:val="sr-Latn-ME"/>
        </w:rPr>
        <w:t>nedjelj</w:t>
      </w:r>
      <w:r w:rsidR="00704AF5" w:rsidRPr="003445F5">
        <w:rPr>
          <w:szCs w:val="22"/>
          <w:lang w:val="sr-Latn-ME"/>
        </w:rPr>
        <w:t>i</w:t>
      </w:r>
      <w:r w:rsidRPr="003445F5">
        <w:rPr>
          <w:szCs w:val="22"/>
          <w:lang w:val="sr-Latn-ME"/>
        </w:rPr>
        <w:t>.</w:t>
      </w:r>
    </w:p>
    <w:p w14:paraId="292AD996" w14:textId="77777777" w:rsidR="00440889" w:rsidRPr="003445F5" w:rsidRDefault="00440889" w:rsidP="00440889">
      <w:pPr>
        <w:rPr>
          <w:szCs w:val="22"/>
          <w:lang w:val="sr-Latn-ME"/>
        </w:rPr>
      </w:pPr>
    </w:p>
    <w:p w14:paraId="6BEA2A74" w14:textId="73D482F2" w:rsidR="00440889" w:rsidRPr="003445F5" w:rsidRDefault="00440889" w:rsidP="00440889">
      <w:pPr>
        <w:rPr>
          <w:szCs w:val="22"/>
          <w:lang w:val="sr-Latn-ME"/>
        </w:rPr>
      </w:pPr>
      <w:r w:rsidRPr="003445F5">
        <w:rPr>
          <w:szCs w:val="22"/>
          <w:lang w:val="sr-Latn-ME"/>
        </w:rPr>
        <w:t xml:space="preserve">U studiji UC-II, 248 pacijenata je primilo 160 mg adalimumaba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80 mg nakon 2 </w:t>
      </w:r>
      <w:r w:rsidR="00551F1D" w:rsidRPr="003445F5">
        <w:rPr>
          <w:szCs w:val="22"/>
          <w:lang w:val="sr-Latn-ME"/>
        </w:rPr>
        <w:t>nedjelj</w:t>
      </w:r>
      <w:r w:rsidR="0047711E" w:rsidRPr="003445F5">
        <w:rPr>
          <w:szCs w:val="22"/>
          <w:lang w:val="sr-Latn-ME"/>
        </w:rPr>
        <w:t>e</w:t>
      </w:r>
      <w:r w:rsidRPr="003445F5">
        <w:rPr>
          <w:szCs w:val="22"/>
          <w:lang w:val="sr-Latn-ME"/>
        </w:rPr>
        <w:t xml:space="preserve">, a zatim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dok je 246 pacijenata primalo placebo. Klinička remisija je mjerena u 8. </w:t>
      </w:r>
      <w:r w:rsidR="00551F1D" w:rsidRPr="003445F5">
        <w:rPr>
          <w:szCs w:val="22"/>
          <w:lang w:val="sr-Latn-ME"/>
        </w:rPr>
        <w:t>nedjelj</w:t>
      </w:r>
      <w:r w:rsidR="00704AF5" w:rsidRPr="003445F5">
        <w:rPr>
          <w:szCs w:val="22"/>
          <w:lang w:val="sr-Latn-ME"/>
        </w:rPr>
        <w:t>i</w:t>
      </w:r>
      <w:r w:rsidRPr="003445F5">
        <w:rPr>
          <w:szCs w:val="22"/>
          <w:lang w:val="sr-Latn-ME"/>
        </w:rPr>
        <w:t xml:space="preserve">, a održavanje remisije u 52. </w:t>
      </w:r>
      <w:r w:rsidR="00551F1D" w:rsidRPr="003445F5">
        <w:rPr>
          <w:szCs w:val="22"/>
          <w:lang w:val="sr-Latn-ME"/>
        </w:rPr>
        <w:t>nedjelj</w:t>
      </w:r>
      <w:r w:rsidR="00704AF5" w:rsidRPr="003445F5">
        <w:rPr>
          <w:szCs w:val="22"/>
          <w:lang w:val="sr-Latn-ME"/>
        </w:rPr>
        <w:t>i</w:t>
      </w:r>
      <w:r w:rsidRPr="003445F5">
        <w:rPr>
          <w:szCs w:val="22"/>
          <w:lang w:val="sr-Latn-ME"/>
        </w:rPr>
        <w:t>.</w:t>
      </w:r>
    </w:p>
    <w:p w14:paraId="116B919D" w14:textId="77777777" w:rsidR="00440889" w:rsidRPr="003445F5" w:rsidRDefault="00440889" w:rsidP="00440889">
      <w:pPr>
        <w:rPr>
          <w:szCs w:val="22"/>
          <w:lang w:val="sr-Latn-ME"/>
        </w:rPr>
      </w:pPr>
    </w:p>
    <w:p w14:paraId="66BDF60C" w14:textId="4CB28F0A" w:rsidR="00440889" w:rsidRPr="003445F5" w:rsidRDefault="00440889" w:rsidP="00440889">
      <w:pPr>
        <w:rPr>
          <w:szCs w:val="22"/>
          <w:lang w:val="sr-Latn-ME"/>
        </w:rPr>
      </w:pPr>
      <w:r w:rsidRPr="003445F5">
        <w:rPr>
          <w:szCs w:val="22"/>
          <w:lang w:val="sr-Latn-ME"/>
        </w:rPr>
        <w:t xml:space="preserve">Kod pacijenata koji su primili indukcionu dozu adalimumaba od 160/80 mg postignut je statistički značajno veći procenat kliničke remisije u odnosu na placebo, u 8. </w:t>
      </w:r>
      <w:r w:rsidR="00551F1D" w:rsidRPr="003445F5">
        <w:rPr>
          <w:szCs w:val="22"/>
          <w:lang w:val="sr-Latn-ME"/>
        </w:rPr>
        <w:t>nedjelj</w:t>
      </w:r>
      <w:r w:rsidR="00704AF5" w:rsidRPr="003445F5">
        <w:rPr>
          <w:szCs w:val="22"/>
          <w:lang w:val="sr-Latn-ME"/>
        </w:rPr>
        <w:t>i</w:t>
      </w:r>
      <w:r w:rsidRPr="003445F5">
        <w:rPr>
          <w:szCs w:val="22"/>
          <w:lang w:val="sr-Latn-ME"/>
        </w:rPr>
        <w:t xml:space="preserve">, u studiji UC-I (18% odnosno 9%, p=0,031) i u studiji UC-II (17% odnosno 9%, p=0,019). U studiji UC-II, 21/41 (51%) pacijenata liječenih adalimumabom koji su bili u remisiji u 8. </w:t>
      </w:r>
      <w:r w:rsidR="00551F1D" w:rsidRPr="003445F5">
        <w:rPr>
          <w:szCs w:val="22"/>
          <w:lang w:val="sr-Latn-ME"/>
        </w:rPr>
        <w:t>nedjelj</w:t>
      </w:r>
      <w:r w:rsidR="00704AF5" w:rsidRPr="003445F5">
        <w:rPr>
          <w:szCs w:val="22"/>
          <w:lang w:val="sr-Latn-ME"/>
        </w:rPr>
        <w:t>i</w:t>
      </w:r>
      <w:r w:rsidRPr="003445F5">
        <w:rPr>
          <w:szCs w:val="22"/>
          <w:lang w:val="sr-Latn-ME"/>
        </w:rPr>
        <w:t xml:space="preserve">, održalo je remisiju i u 52. </w:t>
      </w:r>
      <w:r w:rsidR="00551F1D" w:rsidRPr="003445F5">
        <w:rPr>
          <w:szCs w:val="22"/>
          <w:lang w:val="sr-Latn-ME"/>
        </w:rPr>
        <w:t>nedjelj</w:t>
      </w:r>
      <w:r w:rsidR="00704AF5" w:rsidRPr="003445F5">
        <w:rPr>
          <w:szCs w:val="22"/>
          <w:lang w:val="sr-Latn-ME"/>
        </w:rPr>
        <w:t>i</w:t>
      </w:r>
      <w:r w:rsidRPr="003445F5">
        <w:rPr>
          <w:szCs w:val="22"/>
          <w:lang w:val="sr-Latn-ME"/>
        </w:rPr>
        <w:t>.</w:t>
      </w:r>
    </w:p>
    <w:p w14:paraId="4173A80A" w14:textId="77777777" w:rsidR="00C30AF6" w:rsidRPr="003445F5" w:rsidRDefault="00C30AF6" w:rsidP="00C30AF6">
      <w:pPr>
        <w:rPr>
          <w:szCs w:val="22"/>
          <w:lang w:val="sr-Latn-ME"/>
        </w:rPr>
      </w:pPr>
    </w:p>
    <w:p w14:paraId="0D0261A0" w14:textId="35BFA17E" w:rsidR="00C30AF6" w:rsidRPr="003445F5" w:rsidRDefault="00C30AF6" w:rsidP="00C30AF6">
      <w:pPr>
        <w:rPr>
          <w:szCs w:val="22"/>
          <w:lang w:val="sr-Latn-ME"/>
        </w:rPr>
      </w:pPr>
      <w:r w:rsidRPr="003445F5">
        <w:rPr>
          <w:szCs w:val="22"/>
          <w:lang w:val="sr-Latn-ME"/>
        </w:rPr>
        <w:t>Rezultati za ukupnu populaciju pacijenata u studiji UC-II prikazani su u Tabeli 16.</w:t>
      </w:r>
    </w:p>
    <w:p w14:paraId="6AFCD7CC" w14:textId="77777777" w:rsidR="003E37F6" w:rsidRPr="003445F5" w:rsidRDefault="003E37F6" w:rsidP="00524FDF">
      <w:pPr>
        <w:rPr>
          <w:szCs w:val="22"/>
          <w:lang w:val="sr-Latn-ME"/>
        </w:rPr>
      </w:pPr>
    </w:p>
    <w:p w14:paraId="509F9665" w14:textId="15288E2D" w:rsidR="003E37F6" w:rsidRPr="003445F5" w:rsidRDefault="003E37F6" w:rsidP="00524FDF">
      <w:pPr>
        <w:rPr>
          <w:b/>
          <w:szCs w:val="22"/>
          <w:lang w:val="sr-Latn-ME"/>
        </w:rPr>
      </w:pPr>
      <w:r w:rsidRPr="003445F5">
        <w:rPr>
          <w:b/>
          <w:szCs w:val="22"/>
          <w:lang w:val="sr-Latn-ME"/>
        </w:rPr>
        <w:t xml:space="preserve">Tabela </w:t>
      </w:r>
      <w:r w:rsidR="00D42BCF" w:rsidRPr="003445F5">
        <w:rPr>
          <w:b/>
          <w:szCs w:val="22"/>
          <w:lang w:val="sr-Latn-ME"/>
        </w:rPr>
        <w:t>16</w:t>
      </w:r>
      <w:r w:rsidRPr="003445F5">
        <w:rPr>
          <w:b/>
          <w:szCs w:val="22"/>
          <w:lang w:val="sr-Latn-ME"/>
        </w:rPr>
        <w:t>. Odgovor, remisija i zac</w:t>
      </w:r>
      <w:r w:rsidR="001B0A2A" w:rsidRPr="003445F5">
        <w:rPr>
          <w:b/>
          <w:szCs w:val="22"/>
          <w:lang w:val="sr-Latn-ME"/>
        </w:rPr>
        <w:t>j</w:t>
      </w:r>
      <w:r w:rsidRPr="003445F5">
        <w:rPr>
          <w:b/>
          <w:szCs w:val="22"/>
          <w:lang w:val="sr-Latn-ME"/>
        </w:rPr>
        <w:t>eljenje mukoze u studiji UC-II (procenat pacijenata)</w:t>
      </w:r>
    </w:p>
    <w:p w14:paraId="49AC92E4" w14:textId="77777777" w:rsidR="003E37F6" w:rsidRPr="003445F5" w:rsidRDefault="003E37F6" w:rsidP="00524FDF">
      <w:pPr>
        <w:rPr>
          <w:szCs w:val="22"/>
          <w:lang w:val="sr-Latn-ME"/>
        </w:rPr>
      </w:pPr>
    </w:p>
    <w:tbl>
      <w:tblPr>
        <w:tblW w:w="5000" w:type="pct"/>
        <w:tblCellMar>
          <w:top w:w="22" w:type="dxa"/>
          <w:left w:w="85" w:type="dxa"/>
          <w:bottom w:w="5" w:type="dxa"/>
          <w:right w:w="85" w:type="dxa"/>
        </w:tblCellMar>
        <w:tblLook w:val="04A0" w:firstRow="1" w:lastRow="0" w:firstColumn="1" w:lastColumn="0" w:noHBand="0" w:noVBand="1"/>
      </w:tblPr>
      <w:tblGrid>
        <w:gridCol w:w="3309"/>
        <w:gridCol w:w="1784"/>
        <w:gridCol w:w="3934"/>
      </w:tblGrid>
      <w:tr w:rsidR="00870107" w:rsidRPr="003445F5" w14:paraId="5BC775DD" w14:textId="77777777" w:rsidTr="0005022E">
        <w:trPr>
          <w:trHeight w:val="20"/>
        </w:trPr>
        <w:tc>
          <w:tcPr>
            <w:tcW w:w="1833" w:type="pct"/>
            <w:tcBorders>
              <w:top w:val="single" w:sz="4" w:space="0" w:color="000000"/>
              <w:left w:val="nil"/>
              <w:bottom w:val="single" w:sz="4" w:space="0" w:color="000000"/>
              <w:right w:val="nil"/>
            </w:tcBorders>
          </w:tcPr>
          <w:p w14:paraId="1F2B9514" w14:textId="77777777" w:rsidR="00870107" w:rsidRPr="003445F5" w:rsidRDefault="00870107" w:rsidP="00704956">
            <w:pPr>
              <w:rPr>
                <w:szCs w:val="22"/>
                <w:lang w:val="sr-Latn-ME"/>
              </w:rPr>
            </w:pPr>
          </w:p>
        </w:tc>
        <w:tc>
          <w:tcPr>
            <w:tcW w:w="988" w:type="pct"/>
            <w:tcBorders>
              <w:top w:val="single" w:sz="4" w:space="0" w:color="000000"/>
              <w:left w:val="nil"/>
              <w:bottom w:val="single" w:sz="4" w:space="0" w:color="000000"/>
              <w:right w:val="nil"/>
            </w:tcBorders>
            <w:vAlign w:val="center"/>
          </w:tcPr>
          <w:p w14:paraId="6602F156" w14:textId="77777777" w:rsidR="00870107" w:rsidRPr="003445F5" w:rsidRDefault="00870107" w:rsidP="00704956">
            <w:pPr>
              <w:jc w:val="center"/>
              <w:rPr>
                <w:szCs w:val="22"/>
                <w:lang w:val="sr-Latn-ME"/>
              </w:rPr>
            </w:pPr>
            <w:r w:rsidRPr="003445F5">
              <w:rPr>
                <w:b/>
                <w:szCs w:val="22"/>
                <w:lang w:val="sr-Latn-ME"/>
              </w:rPr>
              <w:t>Placebo</w:t>
            </w:r>
          </w:p>
        </w:tc>
        <w:tc>
          <w:tcPr>
            <w:tcW w:w="2179" w:type="pct"/>
            <w:tcBorders>
              <w:top w:val="single" w:sz="4" w:space="0" w:color="000000"/>
              <w:left w:val="nil"/>
              <w:bottom w:val="single" w:sz="4" w:space="0" w:color="000000"/>
              <w:right w:val="nil"/>
            </w:tcBorders>
            <w:vAlign w:val="center"/>
          </w:tcPr>
          <w:p w14:paraId="19F15E9D" w14:textId="792661E6" w:rsidR="00870107" w:rsidRPr="003445F5" w:rsidRDefault="00870107" w:rsidP="00704956">
            <w:pPr>
              <w:jc w:val="center"/>
              <w:rPr>
                <w:szCs w:val="22"/>
                <w:lang w:val="sr-Latn-ME"/>
              </w:rPr>
            </w:pPr>
            <w:r w:rsidRPr="003445F5">
              <w:rPr>
                <w:b/>
                <w:szCs w:val="22"/>
                <w:lang w:val="sr-Latn-ME"/>
              </w:rPr>
              <w:t xml:space="preserve">Adalimumab 40 mg svake druge </w:t>
            </w:r>
            <w:r w:rsidR="00551F1D" w:rsidRPr="003445F5">
              <w:rPr>
                <w:b/>
                <w:szCs w:val="22"/>
                <w:lang w:val="sr-Latn-ME"/>
              </w:rPr>
              <w:t>nedjelj</w:t>
            </w:r>
            <w:r w:rsidR="0047711E" w:rsidRPr="003445F5">
              <w:rPr>
                <w:b/>
                <w:szCs w:val="22"/>
                <w:lang w:val="sr-Latn-ME"/>
              </w:rPr>
              <w:t>e</w:t>
            </w:r>
          </w:p>
        </w:tc>
      </w:tr>
      <w:tr w:rsidR="00870107" w:rsidRPr="003445F5" w14:paraId="40DE92E3" w14:textId="77777777" w:rsidTr="0005022E">
        <w:trPr>
          <w:trHeight w:val="20"/>
        </w:trPr>
        <w:tc>
          <w:tcPr>
            <w:tcW w:w="1833" w:type="pct"/>
            <w:tcBorders>
              <w:top w:val="single" w:sz="4" w:space="0" w:color="000000"/>
              <w:left w:val="nil"/>
              <w:bottom w:val="single" w:sz="4" w:space="0" w:color="000000"/>
              <w:right w:val="nil"/>
            </w:tcBorders>
          </w:tcPr>
          <w:p w14:paraId="0E018E68" w14:textId="3BAA3585" w:rsidR="00870107" w:rsidRPr="003445F5" w:rsidRDefault="00870107" w:rsidP="00704956">
            <w:pPr>
              <w:rPr>
                <w:b/>
                <w:bCs/>
                <w:szCs w:val="22"/>
                <w:lang w:val="sr-Latn-ME"/>
              </w:rPr>
            </w:pPr>
            <w:r w:rsidRPr="003445F5">
              <w:rPr>
                <w:b/>
                <w:bCs/>
                <w:szCs w:val="22"/>
                <w:lang w:val="sr-Latn-ME"/>
              </w:rPr>
              <w:t>52. ned</w:t>
            </w:r>
            <w:r w:rsidR="00440889" w:rsidRPr="003445F5">
              <w:rPr>
                <w:b/>
                <w:bCs/>
                <w:szCs w:val="22"/>
                <w:lang w:val="sr-Latn-ME"/>
              </w:rPr>
              <w:t>j</w:t>
            </w:r>
            <w:r w:rsidRPr="003445F5">
              <w:rPr>
                <w:b/>
                <w:bCs/>
                <w:szCs w:val="22"/>
                <w:lang w:val="sr-Latn-ME"/>
              </w:rPr>
              <w:t xml:space="preserve">elja </w:t>
            </w:r>
          </w:p>
        </w:tc>
        <w:tc>
          <w:tcPr>
            <w:tcW w:w="988" w:type="pct"/>
            <w:tcBorders>
              <w:top w:val="single" w:sz="4" w:space="0" w:color="000000"/>
              <w:left w:val="nil"/>
              <w:bottom w:val="single" w:sz="4" w:space="0" w:color="000000"/>
              <w:right w:val="nil"/>
            </w:tcBorders>
            <w:vAlign w:val="center"/>
          </w:tcPr>
          <w:p w14:paraId="6CC0ED91" w14:textId="77777777" w:rsidR="00870107" w:rsidRPr="003445F5" w:rsidRDefault="00870107" w:rsidP="00704956">
            <w:pPr>
              <w:jc w:val="center"/>
              <w:rPr>
                <w:szCs w:val="22"/>
                <w:lang w:val="sr-Latn-ME"/>
              </w:rPr>
            </w:pPr>
            <w:r w:rsidRPr="003445F5">
              <w:rPr>
                <w:b/>
                <w:szCs w:val="22"/>
                <w:lang w:val="sr-Latn-ME"/>
              </w:rPr>
              <w:t>N=246</w:t>
            </w:r>
          </w:p>
        </w:tc>
        <w:tc>
          <w:tcPr>
            <w:tcW w:w="2179" w:type="pct"/>
            <w:tcBorders>
              <w:top w:val="single" w:sz="4" w:space="0" w:color="000000"/>
              <w:left w:val="nil"/>
              <w:bottom w:val="single" w:sz="4" w:space="0" w:color="000000"/>
              <w:right w:val="nil"/>
            </w:tcBorders>
            <w:vAlign w:val="center"/>
          </w:tcPr>
          <w:p w14:paraId="4066BFF3" w14:textId="77777777" w:rsidR="00870107" w:rsidRPr="003445F5" w:rsidRDefault="00870107" w:rsidP="00704956">
            <w:pPr>
              <w:jc w:val="center"/>
              <w:rPr>
                <w:szCs w:val="22"/>
                <w:lang w:val="sr-Latn-ME"/>
              </w:rPr>
            </w:pPr>
            <w:r w:rsidRPr="003445F5">
              <w:rPr>
                <w:b/>
                <w:szCs w:val="22"/>
                <w:lang w:val="sr-Latn-ME"/>
              </w:rPr>
              <w:t>N=248</w:t>
            </w:r>
          </w:p>
        </w:tc>
      </w:tr>
      <w:tr w:rsidR="00870107" w:rsidRPr="003445F5" w14:paraId="7074AA8F" w14:textId="77777777" w:rsidTr="0005022E">
        <w:trPr>
          <w:trHeight w:val="20"/>
        </w:trPr>
        <w:tc>
          <w:tcPr>
            <w:tcW w:w="1833" w:type="pct"/>
            <w:tcBorders>
              <w:top w:val="single" w:sz="4" w:space="0" w:color="000000"/>
              <w:left w:val="nil"/>
              <w:bottom w:val="nil"/>
              <w:right w:val="nil"/>
            </w:tcBorders>
          </w:tcPr>
          <w:p w14:paraId="35B5DE7D" w14:textId="77777777" w:rsidR="00870107" w:rsidRPr="003445F5" w:rsidRDefault="00870107" w:rsidP="00704956">
            <w:pPr>
              <w:tabs>
                <w:tab w:val="clear" w:pos="284"/>
              </w:tabs>
              <w:ind w:left="142"/>
              <w:rPr>
                <w:szCs w:val="22"/>
                <w:lang w:val="sr-Latn-ME"/>
              </w:rPr>
            </w:pPr>
            <w:r w:rsidRPr="003445F5">
              <w:rPr>
                <w:szCs w:val="22"/>
                <w:lang w:val="sr-Latn-ME"/>
              </w:rPr>
              <w:t>Klinički odgovor</w:t>
            </w:r>
          </w:p>
        </w:tc>
        <w:tc>
          <w:tcPr>
            <w:tcW w:w="988" w:type="pct"/>
            <w:tcBorders>
              <w:top w:val="single" w:sz="4" w:space="0" w:color="000000"/>
              <w:left w:val="nil"/>
              <w:bottom w:val="nil"/>
              <w:right w:val="nil"/>
            </w:tcBorders>
            <w:vAlign w:val="center"/>
          </w:tcPr>
          <w:p w14:paraId="1D253AF4" w14:textId="77777777" w:rsidR="00870107" w:rsidRPr="003445F5" w:rsidRDefault="00870107" w:rsidP="00704956">
            <w:pPr>
              <w:jc w:val="center"/>
              <w:rPr>
                <w:szCs w:val="22"/>
                <w:lang w:val="sr-Latn-ME"/>
              </w:rPr>
            </w:pPr>
            <w:r w:rsidRPr="003445F5">
              <w:rPr>
                <w:szCs w:val="22"/>
                <w:lang w:val="sr-Latn-ME"/>
              </w:rPr>
              <w:t>18%</w:t>
            </w:r>
          </w:p>
        </w:tc>
        <w:tc>
          <w:tcPr>
            <w:tcW w:w="2179" w:type="pct"/>
            <w:tcBorders>
              <w:top w:val="single" w:sz="4" w:space="0" w:color="000000"/>
              <w:left w:val="nil"/>
              <w:bottom w:val="nil"/>
              <w:right w:val="nil"/>
            </w:tcBorders>
            <w:vAlign w:val="center"/>
          </w:tcPr>
          <w:p w14:paraId="38535871" w14:textId="77777777" w:rsidR="00870107" w:rsidRPr="003445F5" w:rsidRDefault="00870107" w:rsidP="00704956">
            <w:pPr>
              <w:jc w:val="center"/>
              <w:rPr>
                <w:szCs w:val="22"/>
                <w:lang w:val="sr-Latn-ME"/>
              </w:rPr>
            </w:pPr>
            <w:r w:rsidRPr="003445F5">
              <w:rPr>
                <w:szCs w:val="22"/>
                <w:lang w:val="sr-Latn-ME"/>
              </w:rPr>
              <w:t>30%*</w:t>
            </w:r>
          </w:p>
        </w:tc>
      </w:tr>
      <w:tr w:rsidR="00870107" w:rsidRPr="003445F5" w14:paraId="2086D0E1" w14:textId="77777777" w:rsidTr="0005022E">
        <w:trPr>
          <w:trHeight w:val="20"/>
        </w:trPr>
        <w:tc>
          <w:tcPr>
            <w:tcW w:w="1833" w:type="pct"/>
            <w:tcBorders>
              <w:top w:val="nil"/>
              <w:left w:val="nil"/>
              <w:bottom w:val="nil"/>
              <w:right w:val="nil"/>
            </w:tcBorders>
          </w:tcPr>
          <w:p w14:paraId="46C0230A" w14:textId="77777777" w:rsidR="00870107" w:rsidRPr="003445F5" w:rsidRDefault="00870107" w:rsidP="00704956">
            <w:pPr>
              <w:tabs>
                <w:tab w:val="clear" w:pos="284"/>
              </w:tabs>
              <w:ind w:left="142"/>
              <w:rPr>
                <w:szCs w:val="22"/>
                <w:lang w:val="sr-Latn-ME"/>
              </w:rPr>
            </w:pPr>
            <w:r w:rsidRPr="003445F5">
              <w:rPr>
                <w:szCs w:val="22"/>
                <w:lang w:val="sr-Latn-ME"/>
              </w:rPr>
              <w:t>Klinička remisija</w:t>
            </w:r>
          </w:p>
        </w:tc>
        <w:tc>
          <w:tcPr>
            <w:tcW w:w="988" w:type="pct"/>
            <w:tcBorders>
              <w:top w:val="nil"/>
              <w:left w:val="nil"/>
              <w:bottom w:val="nil"/>
              <w:right w:val="nil"/>
            </w:tcBorders>
            <w:vAlign w:val="center"/>
          </w:tcPr>
          <w:p w14:paraId="540D1079" w14:textId="77777777" w:rsidR="00870107" w:rsidRPr="003445F5" w:rsidRDefault="00870107" w:rsidP="00704956">
            <w:pPr>
              <w:jc w:val="center"/>
              <w:rPr>
                <w:szCs w:val="22"/>
                <w:lang w:val="sr-Latn-ME"/>
              </w:rPr>
            </w:pPr>
            <w:r w:rsidRPr="003445F5">
              <w:rPr>
                <w:szCs w:val="22"/>
                <w:lang w:val="sr-Latn-ME"/>
              </w:rPr>
              <w:t>9%</w:t>
            </w:r>
          </w:p>
        </w:tc>
        <w:tc>
          <w:tcPr>
            <w:tcW w:w="2179" w:type="pct"/>
            <w:tcBorders>
              <w:top w:val="nil"/>
              <w:left w:val="nil"/>
              <w:bottom w:val="nil"/>
              <w:right w:val="nil"/>
            </w:tcBorders>
            <w:vAlign w:val="center"/>
          </w:tcPr>
          <w:p w14:paraId="143DC3A2" w14:textId="77777777" w:rsidR="00870107" w:rsidRPr="003445F5" w:rsidRDefault="00870107" w:rsidP="00704956">
            <w:pPr>
              <w:jc w:val="center"/>
              <w:rPr>
                <w:szCs w:val="22"/>
                <w:lang w:val="sr-Latn-ME"/>
              </w:rPr>
            </w:pPr>
            <w:r w:rsidRPr="003445F5">
              <w:rPr>
                <w:szCs w:val="22"/>
                <w:lang w:val="sr-Latn-ME"/>
              </w:rPr>
              <w:t>17%*</w:t>
            </w:r>
          </w:p>
        </w:tc>
      </w:tr>
      <w:tr w:rsidR="00870107" w:rsidRPr="003445F5" w14:paraId="795BD3EE" w14:textId="77777777" w:rsidTr="0005022E">
        <w:trPr>
          <w:trHeight w:val="20"/>
        </w:trPr>
        <w:tc>
          <w:tcPr>
            <w:tcW w:w="1833" w:type="pct"/>
            <w:tcBorders>
              <w:top w:val="nil"/>
              <w:left w:val="nil"/>
              <w:bottom w:val="nil"/>
              <w:right w:val="nil"/>
            </w:tcBorders>
          </w:tcPr>
          <w:p w14:paraId="6F0815F6" w14:textId="71CBBC4C" w:rsidR="00870107" w:rsidRPr="003445F5" w:rsidRDefault="00870107" w:rsidP="00704956">
            <w:pPr>
              <w:tabs>
                <w:tab w:val="clear" w:pos="284"/>
              </w:tabs>
              <w:ind w:left="142"/>
              <w:rPr>
                <w:szCs w:val="22"/>
                <w:lang w:val="sr-Latn-ME"/>
              </w:rPr>
            </w:pPr>
            <w:r w:rsidRPr="003445F5">
              <w:rPr>
                <w:szCs w:val="22"/>
                <w:lang w:val="sr-Latn-ME"/>
              </w:rPr>
              <w:t>Zac</w:t>
            </w:r>
            <w:r w:rsidR="001B0A2A" w:rsidRPr="003445F5">
              <w:rPr>
                <w:szCs w:val="22"/>
                <w:lang w:val="sr-Latn-ME"/>
              </w:rPr>
              <w:t>j</w:t>
            </w:r>
            <w:r w:rsidRPr="003445F5">
              <w:rPr>
                <w:szCs w:val="22"/>
                <w:lang w:val="sr-Latn-ME"/>
              </w:rPr>
              <w:t>eljenje mukoze</w:t>
            </w:r>
          </w:p>
        </w:tc>
        <w:tc>
          <w:tcPr>
            <w:tcW w:w="988" w:type="pct"/>
            <w:tcBorders>
              <w:top w:val="nil"/>
              <w:left w:val="nil"/>
              <w:bottom w:val="nil"/>
              <w:right w:val="nil"/>
            </w:tcBorders>
            <w:vAlign w:val="center"/>
          </w:tcPr>
          <w:p w14:paraId="243F707C" w14:textId="77777777" w:rsidR="00870107" w:rsidRPr="003445F5" w:rsidRDefault="00870107" w:rsidP="00704956">
            <w:pPr>
              <w:jc w:val="center"/>
              <w:rPr>
                <w:szCs w:val="22"/>
                <w:lang w:val="sr-Latn-ME"/>
              </w:rPr>
            </w:pPr>
            <w:r w:rsidRPr="003445F5">
              <w:rPr>
                <w:szCs w:val="22"/>
                <w:lang w:val="sr-Latn-ME"/>
              </w:rPr>
              <w:t>15%</w:t>
            </w:r>
          </w:p>
        </w:tc>
        <w:tc>
          <w:tcPr>
            <w:tcW w:w="2179" w:type="pct"/>
            <w:tcBorders>
              <w:top w:val="nil"/>
              <w:left w:val="nil"/>
              <w:bottom w:val="nil"/>
              <w:right w:val="nil"/>
            </w:tcBorders>
            <w:vAlign w:val="center"/>
          </w:tcPr>
          <w:p w14:paraId="30CB111A" w14:textId="77777777" w:rsidR="00870107" w:rsidRPr="003445F5" w:rsidRDefault="00870107" w:rsidP="00704956">
            <w:pPr>
              <w:jc w:val="center"/>
              <w:rPr>
                <w:szCs w:val="22"/>
                <w:lang w:val="sr-Latn-ME"/>
              </w:rPr>
            </w:pPr>
            <w:r w:rsidRPr="003445F5">
              <w:rPr>
                <w:szCs w:val="22"/>
                <w:lang w:val="sr-Latn-ME"/>
              </w:rPr>
              <w:t>25%*</w:t>
            </w:r>
          </w:p>
        </w:tc>
      </w:tr>
      <w:tr w:rsidR="00870107" w:rsidRPr="003445F5" w14:paraId="3A269443" w14:textId="77777777" w:rsidTr="0005022E">
        <w:trPr>
          <w:trHeight w:val="20"/>
        </w:trPr>
        <w:tc>
          <w:tcPr>
            <w:tcW w:w="1833" w:type="pct"/>
            <w:tcBorders>
              <w:top w:val="nil"/>
              <w:left w:val="nil"/>
              <w:bottom w:val="nil"/>
              <w:right w:val="nil"/>
            </w:tcBorders>
          </w:tcPr>
          <w:p w14:paraId="52DE4839" w14:textId="77777777" w:rsidR="00870107" w:rsidRPr="003445F5" w:rsidRDefault="00870107" w:rsidP="00704956">
            <w:pPr>
              <w:tabs>
                <w:tab w:val="clear" w:pos="284"/>
              </w:tabs>
              <w:ind w:left="142"/>
              <w:rPr>
                <w:szCs w:val="22"/>
                <w:lang w:val="sr-Latn-ME"/>
              </w:rPr>
            </w:pPr>
            <w:r w:rsidRPr="003445F5">
              <w:rPr>
                <w:szCs w:val="22"/>
                <w:lang w:val="sr-Latn-ME"/>
              </w:rPr>
              <w:t>Remisija bez steroida ≥ 90 dana</w:t>
            </w:r>
            <w:r w:rsidRPr="003445F5">
              <w:rPr>
                <w:szCs w:val="22"/>
                <w:vertAlign w:val="superscript"/>
                <w:lang w:val="sr-Latn-ME"/>
              </w:rPr>
              <w:t>a</w:t>
            </w:r>
          </w:p>
        </w:tc>
        <w:tc>
          <w:tcPr>
            <w:tcW w:w="988" w:type="pct"/>
            <w:tcBorders>
              <w:top w:val="nil"/>
              <w:left w:val="nil"/>
              <w:bottom w:val="nil"/>
              <w:right w:val="nil"/>
            </w:tcBorders>
            <w:vAlign w:val="center"/>
          </w:tcPr>
          <w:p w14:paraId="348588CD" w14:textId="77777777" w:rsidR="00870107" w:rsidRPr="003445F5" w:rsidRDefault="00870107" w:rsidP="00704956">
            <w:pPr>
              <w:jc w:val="center"/>
              <w:rPr>
                <w:szCs w:val="22"/>
                <w:lang w:val="sr-Latn-ME"/>
              </w:rPr>
            </w:pPr>
            <w:r w:rsidRPr="003445F5">
              <w:rPr>
                <w:szCs w:val="22"/>
                <w:lang w:val="sr-Latn-ME"/>
              </w:rPr>
              <w:t>6%</w:t>
            </w:r>
          </w:p>
        </w:tc>
        <w:tc>
          <w:tcPr>
            <w:tcW w:w="2179" w:type="pct"/>
            <w:tcBorders>
              <w:top w:val="nil"/>
              <w:left w:val="nil"/>
              <w:bottom w:val="nil"/>
              <w:right w:val="nil"/>
            </w:tcBorders>
            <w:vAlign w:val="center"/>
          </w:tcPr>
          <w:p w14:paraId="01DDEF00" w14:textId="77777777" w:rsidR="00870107" w:rsidRPr="003445F5" w:rsidRDefault="00870107" w:rsidP="00704956">
            <w:pPr>
              <w:jc w:val="center"/>
              <w:rPr>
                <w:szCs w:val="22"/>
                <w:lang w:val="sr-Latn-ME"/>
              </w:rPr>
            </w:pPr>
            <w:r w:rsidRPr="003445F5">
              <w:rPr>
                <w:szCs w:val="22"/>
                <w:lang w:val="sr-Latn-ME"/>
              </w:rPr>
              <w:t>13%*</w:t>
            </w:r>
          </w:p>
        </w:tc>
      </w:tr>
      <w:tr w:rsidR="00870107" w:rsidRPr="003445F5" w14:paraId="182EF6A2" w14:textId="77777777" w:rsidTr="0005022E">
        <w:trPr>
          <w:trHeight w:val="20"/>
        </w:trPr>
        <w:tc>
          <w:tcPr>
            <w:tcW w:w="1833" w:type="pct"/>
            <w:tcBorders>
              <w:top w:val="nil"/>
              <w:left w:val="nil"/>
              <w:bottom w:val="nil"/>
              <w:right w:val="nil"/>
            </w:tcBorders>
          </w:tcPr>
          <w:p w14:paraId="7512B032" w14:textId="77777777" w:rsidR="00870107" w:rsidRPr="003445F5" w:rsidRDefault="00870107" w:rsidP="00704956">
            <w:pPr>
              <w:rPr>
                <w:szCs w:val="22"/>
                <w:lang w:val="sr-Latn-ME"/>
              </w:rPr>
            </w:pPr>
          </w:p>
        </w:tc>
        <w:tc>
          <w:tcPr>
            <w:tcW w:w="988" w:type="pct"/>
            <w:tcBorders>
              <w:top w:val="nil"/>
              <w:left w:val="nil"/>
              <w:bottom w:val="nil"/>
              <w:right w:val="nil"/>
            </w:tcBorders>
            <w:vAlign w:val="center"/>
          </w:tcPr>
          <w:p w14:paraId="68FE678C" w14:textId="77777777" w:rsidR="00870107" w:rsidRPr="003445F5" w:rsidRDefault="00870107" w:rsidP="00704956">
            <w:pPr>
              <w:jc w:val="center"/>
              <w:rPr>
                <w:bCs/>
                <w:szCs w:val="22"/>
                <w:lang w:val="sr-Latn-ME"/>
              </w:rPr>
            </w:pPr>
            <w:r w:rsidRPr="003445F5">
              <w:rPr>
                <w:bCs/>
                <w:szCs w:val="22"/>
                <w:lang w:val="sr-Latn-ME"/>
              </w:rPr>
              <w:t>(N=140)</w:t>
            </w:r>
          </w:p>
        </w:tc>
        <w:tc>
          <w:tcPr>
            <w:tcW w:w="2179" w:type="pct"/>
            <w:tcBorders>
              <w:top w:val="nil"/>
              <w:left w:val="nil"/>
              <w:bottom w:val="nil"/>
              <w:right w:val="nil"/>
            </w:tcBorders>
            <w:vAlign w:val="center"/>
          </w:tcPr>
          <w:p w14:paraId="02D74998" w14:textId="77777777" w:rsidR="00870107" w:rsidRPr="003445F5" w:rsidRDefault="00870107" w:rsidP="00704956">
            <w:pPr>
              <w:jc w:val="center"/>
              <w:rPr>
                <w:bCs/>
                <w:szCs w:val="22"/>
                <w:lang w:val="sr-Latn-ME"/>
              </w:rPr>
            </w:pPr>
            <w:r w:rsidRPr="003445F5">
              <w:rPr>
                <w:bCs/>
                <w:szCs w:val="22"/>
                <w:lang w:val="sr-Latn-ME"/>
              </w:rPr>
              <w:t>(N=150)</w:t>
            </w:r>
          </w:p>
        </w:tc>
      </w:tr>
      <w:tr w:rsidR="00870107" w:rsidRPr="003445F5" w14:paraId="633EDDCD" w14:textId="77777777" w:rsidTr="0005022E">
        <w:trPr>
          <w:trHeight w:val="20"/>
        </w:trPr>
        <w:tc>
          <w:tcPr>
            <w:tcW w:w="1833" w:type="pct"/>
            <w:tcBorders>
              <w:top w:val="nil"/>
              <w:left w:val="nil"/>
              <w:bottom w:val="nil"/>
              <w:right w:val="nil"/>
            </w:tcBorders>
          </w:tcPr>
          <w:p w14:paraId="5CB850FC" w14:textId="52D11F4A" w:rsidR="00870107" w:rsidRPr="003445F5" w:rsidRDefault="00870107" w:rsidP="00704956">
            <w:pPr>
              <w:rPr>
                <w:szCs w:val="22"/>
                <w:lang w:val="sr-Latn-ME"/>
              </w:rPr>
            </w:pPr>
            <w:r w:rsidRPr="003445F5">
              <w:rPr>
                <w:b/>
                <w:bCs/>
                <w:szCs w:val="22"/>
                <w:lang w:val="sr-Latn-ME"/>
              </w:rPr>
              <w:t>8. i 52. ned</w:t>
            </w:r>
            <w:r w:rsidR="00440889" w:rsidRPr="003445F5">
              <w:rPr>
                <w:b/>
                <w:bCs/>
                <w:szCs w:val="22"/>
                <w:lang w:val="sr-Latn-ME"/>
              </w:rPr>
              <w:t>j</w:t>
            </w:r>
            <w:r w:rsidRPr="003445F5">
              <w:rPr>
                <w:b/>
                <w:bCs/>
                <w:szCs w:val="22"/>
                <w:lang w:val="sr-Latn-ME"/>
              </w:rPr>
              <w:t xml:space="preserve">elja </w:t>
            </w:r>
          </w:p>
        </w:tc>
        <w:tc>
          <w:tcPr>
            <w:tcW w:w="988" w:type="pct"/>
            <w:tcBorders>
              <w:top w:val="nil"/>
              <w:left w:val="nil"/>
              <w:bottom w:val="nil"/>
              <w:right w:val="nil"/>
            </w:tcBorders>
            <w:vAlign w:val="center"/>
          </w:tcPr>
          <w:p w14:paraId="2607C3DE" w14:textId="77777777" w:rsidR="00870107" w:rsidRPr="003445F5" w:rsidRDefault="00870107" w:rsidP="00704956">
            <w:pPr>
              <w:rPr>
                <w:szCs w:val="22"/>
                <w:lang w:val="sr-Latn-ME"/>
              </w:rPr>
            </w:pPr>
          </w:p>
        </w:tc>
        <w:tc>
          <w:tcPr>
            <w:tcW w:w="2179" w:type="pct"/>
            <w:tcBorders>
              <w:top w:val="nil"/>
              <w:left w:val="nil"/>
              <w:bottom w:val="nil"/>
              <w:right w:val="nil"/>
            </w:tcBorders>
            <w:vAlign w:val="center"/>
          </w:tcPr>
          <w:p w14:paraId="12F1D9D8" w14:textId="77777777" w:rsidR="00870107" w:rsidRPr="003445F5" w:rsidRDefault="00870107" w:rsidP="00704956">
            <w:pPr>
              <w:rPr>
                <w:szCs w:val="22"/>
                <w:lang w:val="sr-Latn-ME"/>
              </w:rPr>
            </w:pPr>
          </w:p>
        </w:tc>
      </w:tr>
      <w:tr w:rsidR="00870107" w:rsidRPr="003445F5" w14:paraId="5436751F" w14:textId="77777777" w:rsidTr="0005022E">
        <w:trPr>
          <w:trHeight w:val="20"/>
        </w:trPr>
        <w:tc>
          <w:tcPr>
            <w:tcW w:w="1833" w:type="pct"/>
            <w:tcBorders>
              <w:top w:val="nil"/>
              <w:left w:val="nil"/>
              <w:bottom w:val="nil"/>
              <w:right w:val="nil"/>
            </w:tcBorders>
          </w:tcPr>
          <w:p w14:paraId="7DCFF35C" w14:textId="77777777" w:rsidR="00870107" w:rsidRPr="003445F5" w:rsidRDefault="00870107" w:rsidP="00704956">
            <w:pPr>
              <w:tabs>
                <w:tab w:val="clear" w:pos="284"/>
              </w:tabs>
              <w:ind w:left="142"/>
              <w:rPr>
                <w:szCs w:val="22"/>
                <w:lang w:val="sr-Latn-ME"/>
              </w:rPr>
            </w:pPr>
            <w:r w:rsidRPr="003445F5">
              <w:rPr>
                <w:szCs w:val="22"/>
                <w:lang w:val="sr-Latn-ME"/>
              </w:rPr>
              <w:t>Održavan odgovor</w:t>
            </w:r>
          </w:p>
        </w:tc>
        <w:tc>
          <w:tcPr>
            <w:tcW w:w="988" w:type="pct"/>
            <w:tcBorders>
              <w:top w:val="nil"/>
              <w:left w:val="nil"/>
              <w:bottom w:val="nil"/>
              <w:right w:val="nil"/>
            </w:tcBorders>
            <w:vAlign w:val="center"/>
          </w:tcPr>
          <w:p w14:paraId="2DB81439" w14:textId="77777777" w:rsidR="00870107" w:rsidRPr="003445F5" w:rsidRDefault="00870107" w:rsidP="00704956">
            <w:pPr>
              <w:jc w:val="center"/>
              <w:rPr>
                <w:szCs w:val="22"/>
                <w:lang w:val="sr-Latn-ME"/>
              </w:rPr>
            </w:pPr>
            <w:r w:rsidRPr="003445F5">
              <w:rPr>
                <w:szCs w:val="22"/>
                <w:lang w:val="sr-Latn-ME"/>
              </w:rPr>
              <w:t>12%</w:t>
            </w:r>
          </w:p>
        </w:tc>
        <w:tc>
          <w:tcPr>
            <w:tcW w:w="2179" w:type="pct"/>
            <w:tcBorders>
              <w:top w:val="nil"/>
              <w:left w:val="nil"/>
              <w:bottom w:val="nil"/>
              <w:right w:val="nil"/>
            </w:tcBorders>
            <w:vAlign w:val="center"/>
          </w:tcPr>
          <w:p w14:paraId="09EC95AB" w14:textId="77777777" w:rsidR="00870107" w:rsidRPr="003445F5" w:rsidRDefault="00870107" w:rsidP="00704956">
            <w:pPr>
              <w:jc w:val="center"/>
              <w:rPr>
                <w:szCs w:val="22"/>
                <w:lang w:val="sr-Latn-ME"/>
              </w:rPr>
            </w:pPr>
            <w:r w:rsidRPr="003445F5">
              <w:rPr>
                <w:szCs w:val="22"/>
                <w:lang w:val="sr-Latn-ME"/>
              </w:rPr>
              <w:t>24%**</w:t>
            </w:r>
          </w:p>
        </w:tc>
      </w:tr>
      <w:tr w:rsidR="00870107" w:rsidRPr="003445F5" w14:paraId="2FB8F231" w14:textId="77777777" w:rsidTr="0005022E">
        <w:trPr>
          <w:trHeight w:val="20"/>
        </w:trPr>
        <w:tc>
          <w:tcPr>
            <w:tcW w:w="1833" w:type="pct"/>
            <w:tcBorders>
              <w:top w:val="nil"/>
              <w:left w:val="nil"/>
              <w:bottom w:val="nil"/>
              <w:right w:val="nil"/>
            </w:tcBorders>
          </w:tcPr>
          <w:p w14:paraId="48380259" w14:textId="77777777" w:rsidR="00870107" w:rsidRPr="003445F5" w:rsidRDefault="00870107" w:rsidP="00704956">
            <w:pPr>
              <w:tabs>
                <w:tab w:val="clear" w:pos="284"/>
              </w:tabs>
              <w:ind w:left="142"/>
              <w:rPr>
                <w:szCs w:val="22"/>
                <w:lang w:val="sr-Latn-ME"/>
              </w:rPr>
            </w:pPr>
            <w:r w:rsidRPr="003445F5">
              <w:rPr>
                <w:szCs w:val="22"/>
                <w:lang w:val="sr-Latn-ME"/>
              </w:rPr>
              <w:t>Održavana remisija</w:t>
            </w:r>
          </w:p>
        </w:tc>
        <w:tc>
          <w:tcPr>
            <w:tcW w:w="988" w:type="pct"/>
            <w:tcBorders>
              <w:top w:val="nil"/>
              <w:left w:val="nil"/>
              <w:bottom w:val="nil"/>
              <w:right w:val="nil"/>
            </w:tcBorders>
            <w:vAlign w:val="center"/>
          </w:tcPr>
          <w:p w14:paraId="27BEF33D" w14:textId="77777777" w:rsidR="00870107" w:rsidRPr="003445F5" w:rsidRDefault="00870107" w:rsidP="00704956">
            <w:pPr>
              <w:jc w:val="center"/>
              <w:rPr>
                <w:szCs w:val="22"/>
                <w:lang w:val="sr-Latn-ME"/>
              </w:rPr>
            </w:pPr>
            <w:r w:rsidRPr="003445F5">
              <w:rPr>
                <w:szCs w:val="22"/>
                <w:lang w:val="sr-Latn-ME"/>
              </w:rPr>
              <w:t>4%</w:t>
            </w:r>
          </w:p>
        </w:tc>
        <w:tc>
          <w:tcPr>
            <w:tcW w:w="2179" w:type="pct"/>
            <w:tcBorders>
              <w:top w:val="nil"/>
              <w:left w:val="nil"/>
              <w:bottom w:val="nil"/>
              <w:right w:val="nil"/>
            </w:tcBorders>
            <w:vAlign w:val="center"/>
          </w:tcPr>
          <w:p w14:paraId="63863C02" w14:textId="77777777" w:rsidR="00870107" w:rsidRPr="003445F5" w:rsidRDefault="00870107" w:rsidP="00704956">
            <w:pPr>
              <w:jc w:val="center"/>
              <w:rPr>
                <w:szCs w:val="22"/>
                <w:lang w:val="sr-Latn-ME"/>
              </w:rPr>
            </w:pPr>
            <w:r w:rsidRPr="003445F5">
              <w:rPr>
                <w:szCs w:val="22"/>
                <w:lang w:val="sr-Latn-ME"/>
              </w:rPr>
              <w:t>8%*</w:t>
            </w:r>
          </w:p>
        </w:tc>
      </w:tr>
      <w:tr w:rsidR="00870107" w:rsidRPr="003445F5" w14:paraId="1166793C" w14:textId="77777777" w:rsidTr="0005022E">
        <w:trPr>
          <w:trHeight w:val="20"/>
        </w:trPr>
        <w:tc>
          <w:tcPr>
            <w:tcW w:w="1833" w:type="pct"/>
            <w:tcBorders>
              <w:top w:val="nil"/>
              <w:left w:val="nil"/>
              <w:bottom w:val="single" w:sz="4" w:space="0" w:color="000000"/>
              <w:right w:val="nil"/>
            </w:tcBorders>
          </w:tcPr>
          <w:p w14:paraId="653016FE" w14:textId="5570CE96" w:rsidR="00870107" w:rsidRPr="003445F5" w:rsidRDefault="00870107" w:rsidP="00704956">
            <w:pPr>
              <w:tabs>
                <w:tab w:val="clear" w:pos="284"/>
              </w:tabs>
              <w:ind w:left="142"/>
              <w:rPr>
                <w:szCs w:val="22"/>
                <w:lang w:val="sr-Latn-ME"/>
              </w:rPr>
            </w:pPr>
            <w:r w:rsidRPr="003445F5">
              <w:rPr>
                <w:szCs w:val="22"/>
                <w:lang w:val="sr-Latn-ME"/>
              </w:rPr>
              <w:t>Održavano zac</w:t>
            </w:r>
            <w:r w:rsidR="001B0A2A" w:rsidRPr="003445F5">
              <w:rPr>
                <w:szCs w:val="22"/>
                <w:lang w:val="sr-Latn-ME"/>
              </w:rPr>
              <w:t>j</w:t>
            </w:r>
            <w:r w:rsidRPr="003445F5">
              <w:rPr>
                <w:szCs w:val="22"/>
                <w:lang w:val="sr-Latn-ME"/>
              </w:rPr>
              <w:t>eljenje mukoze</w:t>
            </w:r>
          </w:p>
        </w:tc>
        <w:tc>
          <w:tcPr>
            <w:tcW w:w="988" w:type="pct"/>
            <w:tcBorders>
              <w:top w:val="nil"/>
              <w:left w:val="nil"/>
              <w:bottom w:val="single" w:sz="4" w:space="0" w:color="000000"/>
              <w:right w:val="nil"/>
            </w:tcBorders>
            <w:vAlign w:val="center"/>
          </w:tcPr>
          <w:p w14:paraId="00EEFC46" w14:textId="77777777" w:rsidR="00870107" w:rsidRPr="003445F5" w:rsidRDefault="00870107" w:rsidP="00704956">
            <w:pPr>
              <w:jc w:val="center"/>
              <w:rPr>
                <w:szCs w:val="22"/>
                <w:lang w:val="sr-Latn-ME"/>
              </w:rPr>
            </w:pPr>
            <w:r w:rsidRPr="003445F5">
              <w:rPr>
                <w:szCs w:val="22"/>
                <w:lang w:val="sr-Latn-ME"/>
              </w:rPr>
              <w:t>11%</w:t>
            </w:r>
          </w:p>
        </w:tc>
        <w:tc>
          <w:tcPr>
            <w:tcW w:w="2179" w:type="pct"/>
            <w:tcBorders>
              <w:top w:val="nil"/>
              <w:left w:val="nil"/>
              <w:bottom w:val="single" w:sz="4" w:space="0" w:color="000000"/>
              <w:right w:val="nil"/>
            </w:tcBorders>
            <w:vAlign w:val="center"/>
          </w:tcPr>
          <w:p w14:paraId="6B50AF6B" w14:textId="77777777" w:rsidR="00870107" w:rsidRPr="003445F5" w:rsidRDefault="00870107" w:rsidP="00704956">
            <w:pPr>
              <w:jc w:val="center"/>
              <w:rPr>
                <w:szCs w:val="22"/>
                <w:lang w:val="sr-Latn-ME"/>
              </w:rPr>
            </w:pPr>
            <w:r w:rsidRPr="003445F5">
              <w:rPr>
                <w:szCs w:val="22"/>
                <w:lang w:val="sr-Latn-ME"/>
              </w:rPr>
              <w:t>19%*</w:t>
            </w:r>
          </w:p>
        </w:tc>
      </w:tr>
    </w:tbl>
    <w:p w14:paraId="7C7A5895" w14:textId="77777777" w:rsidR="0005022E" w:rsidRPr="003445F5" w:rsidRDefault="0005022E" w:rsidP="0005022E">
      <w:pPr>
        <w:rPr>
          <w:szCs w:val="22"/>
          <w:lang w:val="sr-Latn-ME"/>
        </w:rPr>
      </w:pPr>
      <w:r w:rsidRPr="003445F5">
        <w:rPr>
          <w:szCs w:val="22"/>
          <w:lang w:val="sr-Latn-ME"/>
        </w:rPr>
        <w:t xml:space="preserve">Klinička remisija je postignuta ako je </w:t>
      </w:r>
      <w:r w:rsidRPr="003445F5">
        <w:rPr>
          <w:i/>
          <w:iCs/>
          <w:szCs w:val="22"/>
          <w:lang w:val="sr-Latn-ME"/>
        </w:rPr>
        <w:t>Mayo</w:t>
      </w:r>
      <w:r w:rsidRPr="003445F5">
        <w:rPr>
          <w:szCs w:val="22"/>
          <w:lang w:val="sr-Latn-ME"/>
        </w:rPr>
        <w:t xml:space="preserve"> skor ≤ 2 bez subskora &gt; 1; </w:t>
      </w:r>
    </w:p>
    <w:p w14:paraId="7CA54EBA" w14:textId="6147AB80" w:rsidR="0005022E" w:rsidRPr="003445F5" w:rsidRDefault="0005022E" w:rsidP="0005022E">
      <w:pPr>
        <w:rPr>
          <w:szCs w:val="22"/>
          <w:lang w:val="sr-Latn-ME"/>
        </w:rPr>
      </w:pPr>
      <w:r w:rsidRPr="003445F5">
        <w:rPr>
          <w:szCs w:val="22"/>
          <w:lang w:val="sr-Latn-ME"/>
        </w:rPr>
        <w:t xml:space="preserve">Klinički odgovor je postignut ukoliko je smanjenje </w:t>
      </w:r>
      <w:r w:rsidRPr="003445F5">
        <w:rPr>
          <w:i/>
          <w:iCs/>
          <w:szCs w:val="22"/>
          <w:lang w:val="sr-Latn-ME"/>
        </w:rPr>
        <w:t>Mayo</w:t>
      </w:r>
      <w:r w:rsidRPr="003445F5">
        <w:rPr>
          <w:szCs w:val="22"/>
          <w:lang w:val="sr-Latn-ME"/>
        </w:rPr>
        <w:t xml:space="preserve"> skora u odnosu na početnu vr</w:t>
      </w:r>
      <w:r w:rsidR="00440889" w:rsidRPr="003445F5">
        <w:rPr>
          <w:szCs w:val="22"/>
          <w:lang w:val="sr-Latn-ME"/>
        </w:rPr>
        <w:t>ij</w:t>
      </w:r>
      <w:r w:rsidRPr="003445F5">
        <w:rPr>
          <w:szCs w:val="22"/>
          <w:lang w:val="sr-Latn-ME"/>
        </w:rPr>
        <w:t xml:space="preserve">ednost ≥3 poena i </w:t>
      </w:r>
    </w:p>
    <w:p w14:paraId="6CCA267C" w14:textId="1BCC2897" w:rsidR="0005022E" w:rsidRPr="003445F5" w:rsidRDefault="0005022E" w:rsidP="0005022E">
      <w:pPr>
        <w:rPr>
          <w:szCs w:val="22"/>
          <w:lang w:val="sr-Latn-ME"/>
        </w:rPr>
      </w:pPr>
      <w:r w:rsidRPr="003445F5">
        <w:rPr>
          <w:szCs w:val="22"/>
          <w:lang w:val="sr-Latn-ME"/>
        </w:rPr>
        <w:t>≥30% uz smanjenje subskora rektalnog krvarenja (RBS≥1) ili apsolutne vr</w:t>
      </w:r>
      <w:r w:rsidR="00440889" w:rsidRPr="003445F5">
        <w:rPr>
          <w:szCs w:val="22"/>
          <w:lang w:val="sr-Latn-ME"/>
        </w:rPr>
        <w:t>ij</w:t>
      </w:r>
      <w:r w:rsidRPr="003445F5">
        <w:rPr>
          <w:szCs w:val="22"/>
          <w:lang w:val="sr-Latn-ME"/>
        </w:rPr>
        <w:t>ednosti RBS od 0 ili 1;</w:t>
      </w:r>
    </w:p>
    <w:p w14:paraId="22335910" w14:textId="77777777" w:rsidR="0005022E" w:rsidRPr="003445F5" w:rsidRDefault="0005022E" w:rsidP="0005022E">
      <w:pPr>
        <w:rPr>
          <w:szCs w:val="22"/>
          <w:lang w:val="sr-Latn-ME"/>
        </w:rPr>
      </w:pPr>
      <w:r w:rsidRPr="003445F5">
        <w:rPr>
          <w:szCs w:val="22"/>
          <w:lang w:val="sr-Latn-ME"/>
        </w:rPr>
        <w:t>*p &lt; 0,05 za poređenje adalimumab vs. placebo</w:t>
      </w:r>
    </w:p>
    <w:p w14:paraId="26EC7196" w14:textId="77777777" w:rsidR="0005022E" w:rsidRPr="003445F5" w:rsidRDefault="0005022E" w:rsidP="0005022E">
      <w:pPr>
        <w:rPr>
          <w:szCs w:val="22"/>
          <w:lang w:val="sr-Latn-ME"/>
        </w:rPr>
      </w:pPr>
      <w:r w:rsidRPr="003445F5">
        <w:rPr>
          <w:szCs w:val="22"/>
          <w:lang w:val="sr-Latn-ME"/>
        </w:rPr>
        <w:t xml:space="preserve">**p &lt; 0,001 za poređenje adalimumab vs. placebo </w:t>
      </w:r>
    </w:p>
    <w:p w14:paraId="57CE58DD" w14:textId="77777777" w:rsidR="0005022E" w:rsidRPr="003445F5" w:rsidRDefault="0005022E" w:rsidP="0005022E">
      <w:pPr>
        <w:rPr>
          <w:szCs w:val="22"/>
          <w:lang w:val="sr-Latn-ME"/>
        </w:rPr>
      </w:pPr>
      <w:r w:rsidRPr="003445F5">
        <w:rPr>
          <w:szCs w:val="22"/>
          <w:vertAlign w:val="superscript"/>
          <w:lang w:val="sr-Latn-ME"/>
        </w:rPr>
        <w:t>a</w:t>
      </w:r>
      <w:r w:rsidRPr="003445F5">
        <w:rPr>
          <w:szCs w:val="22"/>
          <w:lang w:val="sr-Latn-ME"/>
        </w:rPr>
        <w:t xml:space="preserve"> procenat onih ispitanika koji su primali kortikosteroide na početku studije</w:t>
      </w:r>
    </w:p>
    <w:p w14:paraId="2233FA2B" w14:textId="77777777" w:rsidR="0005022E" w:rsidRPr="003445F5" w:rsidRDefault="0005022E" w:rsidP="0005022E">
      <w:pPr>
        <w:rPr>
          <w:szCs w:val="22"/>
          <w:lang w:val="sr-Latn-ME"/>
        </w:rPr>
      </w:pPr>
    </w:p>
    <w:p w14:paraId="653E8049" w14:textId="594D399B" w:rsidR="006F5DAB" w:rsidRPr="003445F5" w:rsidRDefault="006F5DAB" w:rsidP="006F5DAB">
      <w:pPr>
        <w:rPr>
          <w:szCs w:val="22"/>
          <w:lang w:val="sr-Latn-ME"/>
        </w:rPr>
      </w:pPr>
      <w:r w:rsidRPr="003445F5">
        <w:rPr>
          <w:szCs w:val="22"/>
          <w:lang w:val="sr-Latn-ME"/>
        </w:rPr>
        <w:t xml:space="preserve">Kod onih pacijenata koji su imali odgovor u 8. </w:t>
      </w:r>
      <w:r w:rsidR="00551F1D" w:rsidRPr="003445F5">
        <w:rPr>
          <w:szCs w:val="22"/>
          <w:lang w:val="sr-Latn-ME"/>
        </w:rPr>
        <w:t>nedjelj</w:t>
      </w:r>
      <w:r w:rsidR="00704AF5" w:rsidRPr="003445F5">
        <w:rPr>
          <w:szCs w:val="22"/>
          <w:lang w:val="sr-Latn-ME"/>
        </w:rPr>
        <w:t>i</w:t>
      </w:r>
      <w:r w:rsidRPr="003445F5">
        <w:rPr>
          <w:szCs w:val="22"/>
          <w:lang w:val="sr-Latn-ME"/>
        </w:rPr>
        <w:t xml:space="preserve">, 47% je imalo odgovor, 29% je bilo u remisiji, u 41% slučajeva je došlo do </w:t>
      </w:r>
      <w:r w:rsidR="0063026D" w:rsidRPr="003445F5">
        <w:rPr>
          <w:szCs w:val="22"/>
          <w:lang w:val="sr-Latn-ME"/>
        </w:rPr>
        <w:t>zacjeljenja</w:t>
      </w:r>
      <w:r w:rsidRPr="003445F5">
        <w:rPr>
          <w:szCs w:val="22"/>
          <w:lang w:val="sr-Latn-ME"/>
        </w:rPr>
        <w:t xml:space="preserve"> mukoze, dok je u 52. </w:t>
      </w:r>
      <w:r w:rsidR="00551F1D" w:rsidRPr="003445F5">
        <w:rPr>
          <w:szCs w:val="22"/>
          <w:lang w:val="sr-Latn-ME"/>
        </w:rPr>
        <w:t>nedjelj</w:t>
      </w:r>
      <w:r w:rsidR="00704AF5" w:rsidRPr="003445F5">
        <w:rPr>
          <w:szCs w:val="22"/>
          <w:lang w:val="sr-Latn-ME"/>
        </w:rPr>
        <w:t>i</w:t>
      </w:r>
      <w:r w:rsidRPr="003445F5">
        <w:rPr>
          <w:szCs w:val="22"/>
          <w:lang w:val="sr-Latn-ME"/>
        </w:rPr>
        <w:t xml:space="preserve"> 20% bilo u remisiji bez primjene steroida ≥ 90 dana.</w:t>
      </w:r>
    </w:p>
    <w:p w14:paraId="29CC6975" w14:textId="77777777" w:rsidR="006F5DAB" w:rsidRPr="003445F5" w:rsidRDefault="006F5DAB" w:rsidP="006F5DAB">
      <w:pPr>
        <w:rPr>
          <w:szCs w:val="22"/>
          <w:lang w:val="sr-Latn-ME"/>
        </w:rPr>
      </w:pPr>
    </w:p>
    <w:p w14:paraId="21F6676D" w14:textId="02A7DBF5" w:rsidR="006F5DAB" w:rsidRPr="003445F5" w:rsidRDefault="006F5DAB" w:rsidP="006F5DAB">
      <w:pPr>
        <w:rPr>
          <w:szCs w:val="22"/>
          <w:lang w:val="sr-Latn-ME"/>
        </w:rPr>
      </w:pPr>
      <w:r w:rsidRPr="003445F5">
        <w:rPr>
          <w:szCs w:val="22"/>
          <w:lang w:val="sr-Latn-ME"/>
        </w:rPr>
        <w:t xml:space="preserve">Kod približno 40% pacijenata u studiji UC-II prethodna terapija </w:t>
      </w:r>
      <w:r w:rsidR="00212EB4" w:rsidRPr="003445F5">
        <w:rPr>
          <w:szCs w:val="22"/>
          <w:lang w:val="sr-Latn-ME"/>
        </w:rPr>
        <w:t>antagonistom TNF-a</w:t>
      </w:r>
      <w:r w:rsidR="00551F1D" w:rsidRPr="003445F5">
        <w:rPr>
          <w:szCs w:val="22"/>
          <w:lang w:val="sr-Latn-ME"/>
        </w:rPr>
        <w:t>,</w:t>
      </w:r>
      <w:r w:rsidR="00212EB4" w:rsidRPr="003445F5">
        <w:rPr>
          <w:szCs w:val="22"/>
          <w:lang w:val="sr-Latn-ME"/>
        </w:rPr>
        <w:t xml:space="preserve"> </w:t>
      </w:r>
      <w:r w:rsidRPr="003445F5">
        <w:rPr>
          <w:szCs w:val="22"/>
          <w:lang w:val="sr-Latn-ME"/>
        </w:rPr>
        <w:t xml:space="preserve">infliksimabom nije bila uspješna. Efikasnost adalimumaba kod ovih pacijenata bila je manja u poređenju sa pacijentima koji prethodno nisu primali antiTNF terapiju. Među pacijentima kod kojih je prethodna primjena anti-TNF terapije bila bezuspješna, remisiju u 52. </w:t>
      </w:r>
      <w:r w:rsidR="00551F1D" w:rsidRPr="003445F5">
        <w:rPr>
          <w:szCs w:val="22"/>
          <w:lang w:val="sr-Latn-ME"/>
        </w:rPr>
        <w:t>nedjelj</w:t>
      </w:r>
      <w:r w:rsidR="00704AF5" w:rsidRPr="003445F5">
        <w:rPr>
          <w:szCs w:val="22"/>
          <w:lang w:val="sr-Latn-ME"/>
        </w:rPr>
        <w:t>i</w:t>
      </w:r>
      <w:r w:rsidRPr="003445F5">
        <w:rPr>
          <w:szCs w:val="22"/>
          <w:lang w:val="sr-Latn-ME"/>
        </w:rPr>
        <w:t xml:space="preserve"> dostiglo je 3% pacijenata koji su primali placebo i 10% pacijenata koji su primali adalimumab.</w:t>
      </w:r>
    </w:p>
    <w:p w14:paraId="04EA83BD" w14:textId="77777777" w:rsidR="006F5DAB" w:rsidRPr="003445F5" w:rsidRDefault="006F5DAB" w:rsidP="006F5DAB">
      <w:pPr>
        <w:rPr>
          <w:szCs w:val="22"/>
          <w:lang w:val="sr-Latn-ME"/>
        </w:rPr>
      </w:pPr>
    </w:p>
    <w:p w14:paraId="33CC938C" w14:textId="77777777" w:rsidR="006F5DAB" w:rsidRPr="003445F5" w:rsidRDefault="006F5DAB" w:rsidP="006F5DAB">
      <w:pPr>
        <w:rPr>
          <w:szCs w:val="22"/>
          <w:lang w:val="sr-Latn-ME"/>
        </w:rPr>
      </w:pPr>
      <w:r w:rsidRPr="003445F5">
        <w:rPr>
          <w:szCs w:val="22"/>
          <w:lang w:val="sr-Latn-ME"/>
        </w:rPr>
        <w:t xml:space="preserve">Pacijenti iz studija UC I i UC II imali su opciju za prelaz u otvoren, dugoročni produžetak studije (UC-III). Nakon trogodišnje primjene adalimumaba, 75% (301/402) pacijenata je i dalje bilo u kliničkoj remisiji prema parcijalnom </w:t>
      </w:r>
      <w:r w:rsidRPr="003445F5">
        <w:rPr>
          <w:i/>
          <w:iCs/>
          <w:szCs w:val="22"/>
          <w:lang w:val="sr-Latn-ME"/>
        </w:rPr>
        <w:t>Mayo</w:t>
      </w:r>
      <w:r w:rsidRPr="003445F5">
        <w:rPr>
          <w:szCs w:val="22"/>
          <w:lang w:val="sr-Latn-ME"/>
        </w:rPr>
        <w:t xml:space="preserve">-skoru. </w:t>
      </w:r>
    </w:p>
    <w:p w14:paraId="637C1011" w14:textId="77777777" w:rsidR="0005022E" w:rsidRPr="003445F5" w:rsidRDefault="0005022E" w:rsidP="0005022E">
      <w:pPr>
        <w:rPr>
          <w:szCs w:val="22"/>
          <w:lang w:val="sr-Latn-ME"/>
        </w:rPr>
      </w:pPr>
    </w:p>
    <w:p w14:paraId="298143BA" w14:textId="77777777" w:rsidR="0005022E" w:rsidRPr="003445F5" w:rsidRDefault="0005022E" w:rsidP="0005022E">
      <w:pPr>
        <w:rPr>
          <w:i/>
          <w:szCs w:val="22"/>
          <w:lang w:val="sr-Latn-ME"/>
        </w:rPr>
      </w:pPr>
      <w:r w:rsidRPr="003445F5">
        <w:rPr>
          <w:i/>
          <w:szCs w:val="22"/>
          <w:u w:val="single"/>
          <w:lang w:val="sr-Latn-ME"/>
        </w:rPr>
        <w:t>Stopa hospitalizacija</w:t>
      </w:r>
      <w:r w:rsidRPr="003445F5">
        <w:rPr>
          <w:i/>
          <w:szCs w:val="22"/>
          <w:lang w:val="sr-Latn-ME"/>
        </w:rPr>
        <w:t xml:space="preserve"> </w:t>
      </w:r>
    </w:p>
    <w:p w14:paraId="4D15980C" w14:textId="7CAE0803" w:rsidR="003E2462" w:rsidRPr="003445F5" w:rsidRDefault="003E2462" w:rsidP="003E2462">
      <w:pPr>
        <w:rPr>
          <w:szCs w:val="22"/>
          <w:lang w:val="sr-Latn-ME"/>
        </w:rPr>
      </w:pPr>
      <w:r w:rsidRPr="003445F5">
        <w:rPr>
          <w:szCs w:val="22"/>
          <w:lang w:val="sr-Latn-ME"/>
        </w:rPr>
        <w:t xml:space="preserve">Tokom 52 </w:t>
      </w:r>
      <w:r w:rsidR="00551F1D" w:rsidRPr="003445F5">
        <w:rPr>
          <w:szCs w:val="22"/>
          <w:lang w:val="sr-Latn-ME"/>
        </w:rPr>
        <w:t>nedjelj</w:t>
      </w:r>
      <w:r w:rsidR="0047711E" w:rsidRPr="003445F5">
        <w:rPr>
          <w:szCs w:val="22"/>
          <w:lang w:val="sr-Latn-ME"/>
        </w:rPr>
        <w:t>e</w:t>
      </w:r>
      <w:r w:rsidRPr="003445F5">
        <w:rPr>
          <w:szCs w:val="22"/>
          <w:lang w:val="sr-Latn-ME"/>
        </w:rPr>
        <w:t xml:space="preserve"> studija UC-I i UC-II, </w:t>
      </w:r>
      <w:r w:rsidR="00704AF5" w:rsidRPr="003445F5">
        <w:rPr>
          <w:szCs w:val="22"/>
          <w:lang w:val="sr-Latn-ME"/>
        </w:rPr>
        <w:t>primijećene</w:t>
      </w:r>
      <w:r w:rsidRPr="003445F5">
        <w:rPr>
          <w:szCs w:val="22"/>
          <w:lang w:val="sr-Latn-ME"/>
        </w:rPr>
        <w:t xml:space="preserve"> su niže stope hospitalizacija svih uzroka, kao i hospitalizacija uzrokovanih ulceroznim kolitisom, za pacijente liječene adalimumabom u odnosu na </w:t>
      </w:r>
      <w:r w:rsidRPr="003445F5">
        <w:rPr>
          <w:szCs w:val="22"/>
          <w:lang w:val="sr-Latn-ME"/>
        </w:rPr>
        <w:lastRenderedPageBreak/>
        <w:t>placebo grupu. Broj hospitalizacija svih uzroka kod pacijenata liječenih adalimumabom bio je 0,18 po pacijent-godini u odnosu na 0,26 po pacijent-godini u placebo grupi, dok su odgovarajuće vrijednosti kod hospitalizacija uzrokovanih ulceroznim kolitisom iznosile 0,12 po pacijent-godini u odnosu na 0,22 po pacijent-godini.</w:t>
      </w:r>
    </w:p>
    <w:p w14:paraId="067A9C02" w14:textId="77777777" w:rsidR="0005022E" w:rsidRPr="003445F5" w:rsidRDefault="0005022E" w:rsidP="0005022E">
      <w:pPr>
        <w:rPr>
          <w:szCs w:val="22"/>
          <w:lang w:val="sr-Latn-ME"/>
        </w:rPr>
      </w:pPr>
    </w:p>
    <w:p w14:paraId="28BFBEC9" w14:textId="77777777" w:rsidR="0005022E" w:rsidRPr="003445F5" w:rsidRDefault="0005022E" w:rsidP="0005022E">
      <w:pPr>
        <w:rPr>
          <w:i/>
          <w:szCs w:val="22"/>
          <w:lang w:val="sr-Latn-ME"/>
        </w:rPr>
      </w:pPr>
      <w:r w:rsidRPr="003445F5">
        <w:rPr>
          <w:i/>
          <w:szCs w:val="22"/>
          <w:u w:val="single"/>
          <w:lang w:val="sr-Latn-ME"/>
        </w:rPr>
        <w:t>Kvalitet života</w:t>
      </w:r>
      <w:r w:rsidRPr="003445F5">
        <w:rPr>
          <w:i/>
          <w:szCs w:val="22"/>
          <w:lang w:val="sr-Latn-ME"/>
        </w:rPr>
        <w:t xml:space="preserve"> </w:t>
      </w:r>
    </w:p>
    <w:p w14:paraId="1614509D" w14:textId="77777777" w:rsidR="00037FEC" w:rsidRPr="003445F5" w:rsidRDefault="00037FEC" w:rsidP="00037FEC">
      <w:pPr>
        <w:rPr>
          <w:szCs w:val="22"/>
          <w:lang w:val="sr-Latn-ME"/>
        </w:rPr>
      </w:pPr>
      <w:r w:rsidRPr="003445F5">
        <w:rPr>
          <w:szCs w:val="22"/>
          <w:lang w:val="sr-Latn-ME"/>
        </w:rPr>
        <w:t xml:space="preserve">U studiji UC-II, liječenje adalimumabom dovelo je do poboljšanja rezultata u upitniku o zapaljenjskoj bolesti crijeva (engl. </w:t>
      </w:r>
      <w:r w:rsidRPr="003445F5">
        <w:rPr>
          <w:i/>
          <w:szCs w:val="22"/>
          <w:lang w:val="sr-Latn-ME"/>
        </w:rPr>
        <w:t xml:space="preserve">Inflammatory Bowel Disease Questionnaire, </w:t>
      </w:r>
      <w:r w:rsidRPr="003445F5">
        <w:rPr>
          <w:szCs w:val="22"/>
          <w:lang w:val="sr-Latn-ME"/>
        </w:rPr>
        <w:t>IBDQ).</w:t>
      </w:r>
    </w:p>
    <w:p w14:paraId="24655BC0" w14:textId="77777777" w:rsidR="00037FEC" w:rsidRPr="003445F5" w:rsidRDefault="00037FEC" w:rsidP="00037FEC">
      <w:pPr>
        <w:rPr>
          <w:szCs w:val="22"/>
          <w:lang w:val="sr-Latn-ME"/>
        </w:rPr>
      </w:pPr>
    </w:p>
    <w:p w14:paraId="5F7D8E85" w14:textId="77777777" w:rsidR="00037FEC" w:rsidRPr="003445F5" w:rsidRDefault="00037FEC" w:rsidP="00037FEC">
      <w:pPr>
        <w:rPr>
          <w:i/>
          <w:szCs w:val="22"/>
          <w:lang w:val="sr-Latn-ME"/>
        </w:rPr>
      </w:pPr>
      <w:r w:rsidRPr="003445F5">
        <w:rPr>
          <w:i/>
          <w:szCs w:val="22"/>
          <w:lang w:val="sr-Latn-ME"/>
        </w:rPr>
        <w:t>Uveitis</w:t>
      </w:r>
    </w:p>
    <w:p w14:paraId="6ED15FE0" w14:textId="3B765C45" w:rsidR="00037FEC" w:rsidRPr="003445F5" w:rsidRDefault="00037FEC" w:rsidP="00037FEC">
      <w:pPr>
        <w:rPr>
          <w:szCs w:val="22"/>
          <w:lang w:val="sr-Latn-ME"/>
        </w:rPr>
      </w:pPr>
      <w:r w:rsidRPr="003445F5">
        <w:rPr>
          <w:szCs w:val="22"/>
          <w:lang w:val="sr-Latn-ME"/>
        </w:rPr>
        <w:t>Bezbjednost i efikasnost adalimumaba procjenjivani su kod odraslih pacijenata sa neinfektivnim intermedijarnim, posteriornim i panuveitisom, isključujući pacijente sa izolovanim anteriornim uveitisom, u dva randomizovana, dvostruko maskirana, placebom kontrolisana ispitivanja (UV I i II). Pacijenti su primali placebo ili adalimumab u početnoj dozi od 80 mg, nakon koje je sl</w:t>
      </w:r>
      <w:r w:rsidR="0063026D" w:rsidRPr="003445F5">
        <w:rPr>
          <w:szCs w:val="22"/>
          <w:lang w:val="sr-Latn-ME"/>
        </w:rPr>
        <w:t>ij</w:t>
      </w:r>
      <w:r w:rsidRPr="003445F5">
        <w:rPr>
          <w:szCs w:val="22"/>
          <w:lang w:val="sr-Latn-ME"/>
        </w:rPr>
        <w:t xml:space="preserve">edila doza od 40 mg svake druge </w:t>
      </w:r>
      <w:r w:rsidR="00551F1D" w:rsidRPr="003445F5">
        <w:rPr>
          <w:szCs w:val="22"/>
          <w:lang w:val="sr-Latn-ME"/>
        </w:rPr>
        <w:t>nedjelj</w:t>
      </w:r>
      <w:r w:rsidR="0047711E" w:rsidRPr="003445F5">
        <w:rPr>
          <w:szCs w:val="22"/>
          <w:lang w:val="sr-Latn-ME"/>
        </w:rPr>
        <w:t>e</w:t>
      </w:r>
      <w:r w:rsidRPr="003445F5">
        <w:rPr>
          <w:szCs w:val="22"/>
          <w:lang w:val="sr-Latn-ME"/>
        </w:rPr>
        <w:t>, počevši nedjelju dana nakon početne doze. Bila je dozvoljena istovremena primjena stabilnih doza jednog nebiološkog imunosupresiva.</w:t>
      </w:r>
    </w:p>
    <w:p w14:paraId="7158133A" w14:textId="77777777" w:rsidR="00037FEC" w:rsidRPr="003445F5" w:rsidRDefault="00037FEC" w:rsidP="00037FEC">
      <w:pPr>
        <w:rPr>
          <w:szCs w:val="22"/>
          <w:lang w:val="sr-Latn-ME"/>
        </w:rPr>
      </w:pPr>
    </w:p>
    <w:p w14:paraId="5AE685D7" w14:textId="18265282" w:rsidR="00037FEC" w:rsidRPr="003445F5" w:rsidRDefault="00037FEC" w:rsidP="00037FEC">
      <w:pPr>
        <w:rPr>
          <w:szCs w:val="22"/>
          <w:lang w:val="sr-Latn-ME"/>
        </w:rPr>
      </w:pPr>
      <w:r w:rsidRPr="003445F5">
        <w:rPr>
          <w:szCs w:val="22"/>
          <w:lang w:val="sr-Latn-ME"/>
        </w:rPr>
        <w:t xml:space="preserve">Ispitivanje UV I procjenjivalo je 217 pacijenata sa aktivnim uveitisom uprkos liječenju kortikosteroidima (oralni prednizon u dozi od 10 do 60 mg/dan). Svi pacijenti su pri uključivanju u ispitivanje 2 </w:t>
      </w:r>
      <w:r w:rsidR="00551F1D" w:rsidRPr="003445F5">
        <w:rPr>
          <w:szCs w:val="22"/>
          <w:lang w:val="sr-Latn-ME"/>
        </w:rPr>
        <w:t>nedjelj</w:t>
      </w:r>
      <w:r w:rsidR="0047711E" w:rsidRPr="003445F5">
        <w:rPr>
          <w:szCs w:val="22"/>
          <w:lang w:val="sr-Latn-ME"/>
        </w:rPr>
        <w:t>e</w:t>
      </w:r>
      <w:r w:rsidRPr="003445F5">
        <w:rPr>
          <w:szCs w:val="22"/>
          <w:lang w:val="sr-Latn-ME"/>
        </w:rPr>
        <w:t xml:space="preserve"> primali standardizovanu dozu prednizona od 60 mg/dan, nakon čega je usl</w:t>
      </w:r>
      <w:r w:rsidR="0063026D" w:rsidRPr="003445F5">
        <w:rPr>
          <w:szCs w:val="22"/>
          <w:lang w:val="sr-Latn-ME"/>
        </w:rPr>
        <w:t>i</w:t>
      </w:r>
      <w:r w:rsidRPr="003445F5">
        <w:rPr>
          <w:szCs w:val="22"/>
          <w:lang w:val="sr-Latn-ME"/>
        </w:rPr>
        <w:t xml:space="preserve">jedilo obavezno postepeno smanjivanje doze, uz potpuni prestanak primjene kortikosteroida do 15.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58A966FD" w14:textId="77777777" w:rsidR="00037FEC" w:rsidRPr="003445F5" w:rsidRDefault="00037FEC" w:rsidP="00037FEC">
      <w:pPr>
        <w:rPr>
          <w:szCs w:val="22"/>
          <w:lang w:val="sr-Latn-ME"/>
        </w:rPr>
      </w:pPr>
    </w:p>
    <w:p w14:paraId="75E0E899" w14:textId="11381507" w:rsidR="00037FEC" w:rsidRPr="003445F5" w:rsidRDefault="00037FEC" w:rsidP="00037FEC">
      <w:pPr>
        <w:rPr>
          <w:szCs w:val="22"/>
          <w:lang w:val="sr-Latn-ME"/>
        </w:rPr>
      </w:pPr>
      <w:r w:rsidRPr="003445F5">
        <w:rPr>
          <w:szCs w:val="22"/>
          <w:lang w:val="sr-Latn-ME"/>
        </w:rPr>
        <w:t xml:space="preserve">Ispitivanje UV II evaluiralo je 226 pacijenata sa neaktivnim uveitisom kojima je na početku ispitivanja za kontrolu bolesti bilo potrebno hronično liječenje kortikosteroidima (oralni prednizon u dozi od 10 do 35 mg/dan). Nakon toga je </w:t>
      </w:r>
      <w:r w:rsidR="0063026D" w:rsidRPr="003445F5">
        <w:rPr>
          <w:szCs w:val="22"/>
          <w:lang w:val="sr-Latn-ME"/>
        </w:rPr>
        <w:t>uslijedila</w:t>
      </w:r>
      <w:r w:rsidRPr="003445F5">
        <w:rPr>
          <w:szCs w:val="22"/>
          <w:lang w:val="sr-Latn-ME"/>
        </w:rPr>
        <w:t xml:space="preserve"> obavezno postepeno smanjivanje doze i potpuni prestanak primjene kortikosteroida do 19.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50483CFA" w14:textId="77777777" w:rsidR="00037FEC" w:rsidRPr="003445F5" w:rsidRDefault="00037FEC" w:rsidP="00037FEC">
      <w:pPr>
        <w:rPr>
          <w:szCs w:val="22"/>
          <w:lang w:val="sr-Latn-ME"/>
        </w:rPr>
      </w:pPr>
    </w:p>
    <w:p w14:paraId="7E582559" w14:textId="60E9C558" w:rsidR="00037FEC" w:rsidRPr="003445F5" w:rsidRDefault="00037FEC" w:rsidP="00037FEC">
      <w:pPr>
        <w:rPr>
          <w:szCs w:val="22"/>
          <w:lang w:val="sr-Latn-ME"/>
        </w:rPr>
      </w:pPr>
      <w:r w:rsidRPr="003445F5">
        <w:rPr>
          <w:szCs w:val="22"/>
          <w:lang w:val="sr-Latn-ME"/>
        </w:rPr>
        <w:t>Primarni parametar praćenja efikasnosti u oba ispitivanja bio je „vr</w:t>
      </w:r>
      <w:r w:rsidR="0063026D" w:rsidRPr="003445F5">
        <w:rPr>
          <w:szCs w:val="22"/>
          <w:lang w:val="sr-Latn-ME"/>
        </w:rPr>
        <w:t>ij</w:t>
      </w:r>
      <w:r w:rsidRPr="003445F5">
        <w:rPr>
          <w:szCs w:val="22"/>
          <w:lang w:val="sr-Latn-ME"/>
        </w:rPr>
        <w:t xml:space="preserve">eme do neuspjeha liječenja“. Neuspjeh liječenja definisao se višekomponentnim ishodom zasnovanim na zapaljenjskim horioretinalnim i/ili zapaljenjskim retinalnim vaskularnim lezijama, stepenu u odnosu na broj ćelija u prednjoj očnoj komori (engl. </w:t>
      </w:r>
      <w:r w:rsidRPr="003445F5">
        <w:rPr>
          <w:i/>
          <w:szCs w:val="22"/>
          <w:lang w:val="sr-Latn-ME"/>
        </w:rPr>
        <w:t xml:space="preserve">anterior chamber </w:t>
      </w:r>
      <w:r w:rsidRPr="003445F5">
        <w:rPr>
          <w:szCs w:val="22"/>
          <w:lang w:val="sr-Latn-ME"/>
        </w:rPr>
        <w:t xml:space="preserve">[AC] </w:t>
      </w:r>
      <w:r w:rsidRPr="003445F5">
        <w:rPr>
          <w:i/>
          <w:szCs w:val="22"/>
          <w:lang w:val="sr-Latn-ME"/>
        </w:rPr>
        <w:t>cell grade</w:t>
      </w:r>
      <w:r w:rsidRPr="003445F5">
        <w:rPr>
          <w:szCs w:val="22"/>
          <w:lang w:val="sr-Latn-ME"/>
        </w:rPr>
        <w:t>), stepenu zamućenja staklastog t</w:t>
      </w:r>
      <w:r w:rsidR="0063026D" w:rsidRPr="003445F5">
        <w:rPr>
          <w:szCs w:val="22"/>
          <w:lang w:val="sr-Latn-ME"/>
        </w:rPr>
        <w:t>ij</w:t>
      </w:r>
      <w:r w:rsidRPr="003445F5">
        <w:rPr>
          <w:szCs w:val="22"/>
          <w:lang w:val="sr-Latn-ME"/>
        </w:rPr>
        <w:t xml:space="preserve">ela (engl. </w:t>
      </w:r>
      <w:r w:rsidRPr="003445F5">
        <w:rPr>
          <w:i/>
          <w:szCs w:val="22"/>
          <w:lang w:val="sr-Latn-ME"/>
        </w:rPr>
        <w:t xml:space="preserve">vitreous haze </w:t>
      </w:r>
      <w:r w:rsidRPr="003445F5">
        <w:rPr>
          <w:szCs w:val="22"/>
          <w:lang w:val="sr-Latn-ME"/>
        </w:rPr>
        <w:t xml:space="preserve">[VH] </w:t>
      </w:r>
      <w:r w:rsidRPr="003445F5">
        <w:rPr>
          <w:i/>
          <w:szCs w:val="22"/>
          <w:lang w:val="sr-Latn-ME"/>
        </w:rPr>
        <w:t>grade</w:t>
      </w:r>
      <w:r w:rsidRPr="003445F5">
        <w:rPr>
          <w:szCs w:val="22"/>
          <w:lang w:val="sr-Latn-ME"/>
        </w:rPr>
        <w:t xml:space="preserve">) i najboljoj korigovanoj oštrini vida (engl. </w:t>
      </w:r>
      <w:r w:rsidRPr="003445F5">
        <w:rPr>
          <w:i/>
          <w:szCs w:val="22"/>
          <w:lang w:val="sr-Latn-ME"/>
        </w:rPr>
        <w:t xml:space="preserve">best corrected visual acuity, </w:t>
      </w:r>
      <w:r w:rsidRPr="003445F5">
        <w:rPr>
          <w:szCs w:val="22"/>
          <w:lang w:val="sr-Latn-ME"/>
        </w:rPr>
        <w:t>BCVA).</w:t>
      </w:r>
    </w:p>
    <w:p w14:paraId="169DC211" w14:textId="77777777" w:rsidR="00037FEC" w:rsidRPr="003445F5" w:rsidRDefault="00037FEC" w:rsidP="00037FEC">
      <w:pPr>
        <w:rPr>
          <w:szCs w:val="22"/>
          <w:lang w:val="sr-Latn-ME"/>
        </w:rPr>
      </w:pPr>
    </w:p>
    <w:p w14:paraId="3D2ACE08" w14:textId="2F8B722E" w:rsidR="00037FEC" w:rsidRPr="003445F5" w:rsidRDefault="00037FEC" w:rsidP="00037FEC">
      <w:pPr>
        <w:rPr>
          <w:szCs w:val="22"/>
          <w:lang w:val="sr-Latn-ME"/>
        </w:rPr>
      </w:pPr>
      <w:r w:rsidRPr="003445F5">
        <w:rPr>
          <w:szCs w:val="22"/>
          <w:lang w:val="sr-Latn-ME"/>
        </w:rPr>
        <w:t xml:space="preserve">Pacijenti koji su završili studije UV I i UV II zadovoljavali su kriterijum da budu uključeni u nekontrolisani dugoročni produžetak studije sa prvobitno planiranim trajanjem od 78 nedjelja. Pacijentima je bilo dozvoljeno da nastave sa uzimanjem ispitivanog lijeka nakon 78. </w:t>
      </w:r>
      <w:r w:rsidR="00551F1D" w:rsidRPr="003445F5">
        <w:rPr>
          <w:szCs w:val="22"/>
          <w:lang w:val="sr-Latn-ME"/>
        </w:rPr>
        <w:t>nedjelj</w:t>
      </w:r>
      <w:r w:rsidR="0047711E" w:rsidRPr="003445F5">
        <w:rPr>
          <w:szCs w:val="22"/>
          <w:lang w:val="sr-Latn-ME"/>
        </w:rPr>
        <w:t>e</w:t>
      </w:r>
      <w:r w:rsidRPr="003445F5">
        <w:rPr>
          <w:szCs w:val="22"/>
          <w:lang w:val="sr-Latn-ME"/>
        </w:rPr>
        <w:t xml:space="preserve"> dok ne dobiju pristup adalimumabu.</w:t>
      </w:r>
    </w:p>
    <w:p w14:paraId="0D5A22E8" w14:textId="77777777" w:rsidR="00EA5AD7" w:rsidRPr="003445F5" w:rsidRDefault="00EA5AD7" w:rsidP="00EA5AD7">
      <w:pPr>
        <w:rPr>
          <w:szCs w:val="22"/>
          <w:lang w:val="sr-Latn-ME"/>
        </w:rPr>
      </w:pPr>
    </w:p>
    <w:p w14:paraId="55F9CACA" w14:textId="77777777" w:rsidR="00EA5AD7" w:rsidRPr="003445F5" w:rsidRDefault="00EA5AD7" w:rsidP="00EA5AD7">
      <w:pPr>
        <w:rPr>
          <w:i/>
          <w:szCs w:val="22"/>
          <w:lang w:val="sr-Latn-ME"/>
        </w:rPr>
      </w:pPr>
      <w:r w:rsidRPr="003445F5">
        <w:rPr>
          <w:i/>
          <w:szCs w:val="22"/>
          <w:u w:val="single"/>
          <w:lang w:val="sr-Latn-ME"/>
        </w:rPr>
        <w:t>Klinički odgovor</w:t>
      </w:r>
      <w:r w:rsidRPr="003445F5">
        <w:rPr>
          <w:i/>
          <w:szCs w:val="22"/>
          <w:lang w:val="sr-Latn-ME"/>
        </w:rPr>
        <w:t xml:space="preserve"> </w:t>
      </w:r>
    </w:p>
    <w:p w14:paraId="6AE57D2C" w14:textId="19E108AF" w:rsidR="00EA5AD7" w:rsidRPr="003445F5" w:rsidRDefault="0055414C" w:rsidP="00EA5AD7">
      <w:pPr>
        <w:rPr>
          <w:szCs w:val="22"/>
          <w:lang w:val="sr-Latn-ME"/>
        </w:rPr>
      </w:pPr>
      <w:r w:rsidRPr="003445F5">
        <w:rPr>
          <w:szCs w:val="22"/>
          <w:lang w:val="sr-Latn-ME"/>
        </w:rPr>
        <w:t xml:space="preserve">Rezultati iz oba ispitivanja pokazali su statistički značajno smanjenje rizika od neuspjeha liječenja kod pacijenata liječenih adalimumabom u odnosu na one koji su primali placebo </w:t>
      </w:r>
      <w:r w:rsidR="00EA5AD7" w:rsidRPr="003445F5">
        <w:rPr>
          <w:szCs w:val="22"/>
          <w:lang w:val="sr-Latn-ME"/>
        </w:rPr>
        <w:t>(vid</w:t>
      </w:r>
      <w:r w:rsidRPr="003445F5">
        <w:rPr>
          <w:szCs w:val="22"/>
          <w:lang w:val="sr-Latn-ME"/>
        </w:rPr>
        <w:t>j</w:t>
      </w:r>
      <w:r w:rsidR="00EA5AD7" w:rsidRPr="003445F5">
        <w:rPr>
          <w:szCs w:val="22"/>
          <w:lang w:val="sr-Latn-ME"/>
        </w:rPr>
        <w:t xml:space="preserve">eti Tabelu 17). </w:t>
      </w:r>
      <w:r w:rsidR="009953BA" w:rsidRPr="003445F5">
        <w:rPr>
          <w:szCs w:val="22"/>
          <w:lang w:val="sr-Latn-ME"/>
        </w:rPr>
        <w:t>Oba ispitivanja su pokazala rano i održano dejstvo adalimumaba na stopu neuspjeha liječenja u odnosu na placebo</w:t>
      </w:r>
      <w:r w:rsidR="00EA5AD7" w:rsidRPr="003445F5">
        <w:rPr>
          <w:szCs w:val="22"/>
          <w:lang w:val="sr-Latn-ME"/>
        </w:rPr>
        <w:t xml:space="preserve"> (vid</w:t>
      </w:r>
      <w:r w:rsidR="009953BA" w:rsidRPr="003445F5">
        <w:rPr>
          <w:szCs w:val="22"/>
          <w:lang w:val="sr-Latn-ME"/>
        </w:rPr>
        <w:t>j</w:t>
      </w:r>
      <w:r w:rsidR="00EA5AD7" w:rsidRPr="003445F5">
        <w:rPr>
          <w:szCs w:val="22"/>
          <w:lang w:val="sr-Latn-ME"/>
        </w:rPr>
        <w:t>eti Sliku 1).</w:t>
      </w:r>
    </w:p>
    <w:p w14:paraId="33A19592" w14:textId="3D2C237C" w:rsidR="007329AC" w:rsidRPr="003445F5" w:rsidRDefault="007329AC" w:rsidP="00524FDF">
      <w:pPr>
        <w:rPr>
          <w:szCs w:val="22"/>
          <w:lang w:val="sr-Latn-ME"/>
        </w:rPr>
      </w:pPr>
    </w:p>
    <w:p w14:paraId="1B8D8C96" w14:textId="680F91C6" w:rsidR="007E1743" w:rsidRPr="003445F5" w:rsidRDefault="007E1743" w:rsidP="00524FDF">
      <w:pPr>
        <w:rPr>
          <w:b/>
          <w:szCs w:val="22"/>
          <w:lang w:val="sr-Latn-ME"/>
        </w:rPr>
      </w:pPr>
      <w:r w:rsidRPr="003445F5">
        <w:rPr>
          <w:b/>
          <w:szCs w:val="22"/>
          <w:lang w:val="sr-Latn-ME"/>
        </w:rPr>
        <w:t xml:space="preserve">Tabela </w:t>
      </w:r>
      <w:r w:rsidR="00B52A41" w:rsidRPr="003445F5">
        <w:rPr>
          <w:b/>
          <w:szCs w:val="22"/>
          <w:lang w:val="sr-Latn-ME"/>
        </w:rPr>
        <w:t>17</w:t>
      </w:r>
      <w:r w:rsidRPr="003445F5">
        <w:rPr>
          <w:b/>
          <w:szCs w:val="22"/>
          <w:lang w:val="sr-Latn-ME"/>
        </w:rPr>
        <w:t>. Vr</w:t>
      </w:r>
      <w:r w:rsidR="001B0A2A" w:rsidRPr="003445F5">
        <w:rPr>
          <w:b/>
          <w:szCs w:val="22"/>
          <w:lang w:val="sr-Latn-ME"/>
        </w:rPr>
        <w:t>ij</w:t>
      </w:r>
      <w:r w:rsidRPr="003445F5">
        <w:rPr>
          <w:b/>
          <w:szCs w:val="22"/>
          <w:lang w:val="sr-Latn-ME"/>
        </w:rPr>
        <w:t>eme do neusp</w:t>
      </w:r>
      <w:r w:rsidR="009953BA" w:rsidRPr="003445F5">
        <w:rPr>
          <w:b/>
          <w:szCs w:val="22"/>
          <w:lang w:val="sr-Latn-ME"/>
        </w:rPr>
        <w:t>j</w:t>
      </w:r>
      <w:r w:rsidRPr="003445F5">
        <w:rPr>
          <w:b/>
          <w:szCs w:val="22"/>
          <w:lang w:val="sr-Latn-ME"/>
        </w:rPr>
        <w:t>eha l</w:t>
      </w:r>
      <w:r w:rsidR="009953BA" w:rsidRPr="003445F5">
        <w:rPr>
          <w:b/>
          <w:szCs w:val="22"/>
          <w:lang w:val="sr-Latn-ME"/>
        </w:rPr>
        <w:t>ij</w:t>
      </w:r>
      <w:r w:rsidRPr="003445F5">
        <w:rPr>
          <w:b/>
          <w:szCs w:val="22"/>
          <w:lang w:val="sr-Latn-ME"/>
        </w:rPr>
        <w:t>ečenja u ispitivanjima UV I i UV II</w:t>
      </w:r>
    </w:p>
    <w:p w14:paraId="615A2762" w14:textId="77777777" w:rsidR="007E1743" w:rsidRPr="003445F5" w:rsidRDefault="007E1743" w:rsidP="00524FDF">
      <w:pPr>
        <w:rPr>
          <w:szCs w:val="22"/>
          <w:lang w:val="sr-Latn-ME"/>
        </w:rPr>
      </w:pPr>
    </w:p>
    <w:tbl>
      <w:tblPr>
        <w:tblW w:w="5000" w:type="pct"/>
        <w:tblLayout w:type="fixed"/>
        <w:tblCellMar>
          <w:top w:w="24" w:type="dxa"/>
          <w:left w:w="85" w:type="dxa"/>
          <w:bottom w:w="5" w:type="dxa"/>
          <w:right w:w="85" w:type="dxa"/>
        </w:tblCellMar>
        <w:tblLook w:val="04A0" w:firstRow="1" w:lastRow="0" w:firstColumn="1" w:lastColumn="0" w:noHBand="0" w:noVBand="1"/>
      </w:tblPr>
      <w:tblGrid>
        <w:gridCol w:w="1555"/>
        <w:gridCol w:w="568"/>
        <w:gridCol w:w="1273"/>
        <w:gridCol w:w="2299"/>
        <w:gridCol w:w="678"/>
        <w:gridCol w:w="1371"/>
        <w:gridCol w:w="1273"/>
      </w:tblGrid>
      <w:tr w:rsidR="00311E44" w:rsidRPr="003445F5" w14:paraId="07C8C12B" w14:textId="77777777" w:rsidTr="00C903C4">
        <w:trPr>
          <w:trHeight w:val="20"/>
        </w:trPr>
        <w:tc>
          <w:tcPr>
            <w:tcW w:w="862" w:type="pct"/>
            <w:tcBorders>
              <w:top w:val="single" w:sz="4" w:space="0" w:color="000000"/>
              <w:left w:val="single" w:sz="4" w:space="0" w:color="auto"/>
              <w:bottom w:val="single" w:sz="4" w:space="0" w:color="000000"/>
              <w:right w:val="single" w:sz="4" w:space="0" w:color="auto"/>
            </w:tcBorders>
            <w:vAlign w:val="center"/>
          </w:tcPr>
          <w:p w14:paraId="0F7FF165" w14:textId="77777777" w:rsidR="00311E44" w:rsidRPr="003445F5" w:rsidRDefault="00311E44" w:rsidP="00704956">
            <w:pPr>
              <w:rPr>
                <w:b/>
                <w:szCs w:val="22"/>
                <w:lang w:val="sr-Latn-ME"/>
              </w:rPr>
            </w:pPr>
            <w:r w:rsidRPr="003445F5">
              <w:rPr>
                <w:b/>
                <w:szCs w:val="22"/>
                <w:lang w:val="sr-Latn-ME"/>
              </w:rPr>
              <w:t>Analiza</w:t>
            </w:r>
          </w:p>
          <w:p w14:paraId="3A5C6ACF" w14:textId="35FFC8BC" w:rsidR="00311E44" w:rsidRPr="003445F5" w:rsidRDefault="00311E44" w:rsidP="00704956">
            <w:pPr>
              <w:ind w:left="426"/>
              <w:rPr>
                <w:szCs w:val="22"/>
                <w:lang w:val="sr-Latn-ME"/>
              </w:rPr>
            </w:pPr>
            <w:r w:rsidRPr="003445F5">
              <w:rPr>
                <w:b/>
                <w:szCs w:val="22"/>
                <w:lang w:val="sr-Latn-ME"/>
              </w:rPr>
              <w:t>L</w:t>
            </w:r>
            <w:r w:rsidR="009953BA" w:rsidRPr="003445F5">
              <w:rPr>
                <w:b/>
                <w:szCs w:val="22"/>
                <w:lang w:val="sr-Latn-ME"/>
              </w:rPr>
              <w:t>ij</w:t>
            </w:r>
            <w:r w:rsidRPr="003445F5">
              <w:rPr>
                <w:b/>
                <w:szCs w:val="22"/>
                <w:lang w:val="sr-Latn-ME"/>
              </w:rPr>
              <w:t>ečenje</w:t>
            </w:r>
          </w:p>
        </w:tc>
        <w:tc>
          <w:tcPr>
            <w:tcW w:w="315" w:type="pct"/>
            <w:tcBorders>
              <w:top w:val="single" w:sz="4" w:space="0" w:color="000000"/>
              <w:left w:val="nil"/>
              <w:bottom w:val="single" w:sz="4" w:space="0" w:color="000000"/>
              <w:right w:val="single" w:sz="4" w:space="0" w:color="auto"/>
            </w:tcBorders>
            <w:vAlign w:val="center"/>
          </w:tcPr>
          <w:p w14:paraId="067A6D1B" w14:textId="77777777" w:rsidR="00311E44" w:rsidRPr="003445F5" w:rsidRDefault="00311E44" w:rsidP="00704956">
            <w:pPr>
              <w:jc w:val="center"/>
              <w:rPr>
                <w:b/>
                <w:bCs/>
                <w:szCs w:val="22"/>
                <w:lang w:val="sr-Latn-ME"/>
              </w:rPr>
            </w:pPr>
            <w:r w:rsidRPr="003445F5">
              <w:rPr>
                <w:b/>
                <w:bCs/>
                <w:szCs w:val="22"/>
                <w:lang w:val="sr-Latn-ME"/>
              </w:rPr>
              <w:t>N</w:t>
            </w:r>
          </w:p>
        </w:tc>
        <w:tc>
          <w:tcPr>
            <w:tcW w:w="706" w:type="pct"/>
            <w:tcBorders>
              <w:top w:val="single" w:sz="4" w:space="0" w:color="000000"/>
              <w:left w:val="single" w:sz="4" w:space="0" w:color="auto"/>
              <w:bottom w:val="single" w:sz="4" w:space="0" w:color="000000"/>
              <w:right w:val="single" w:sz="4" w:space="0" w:color="auto"/>
            </w:tcBorders>
            <w:vAlign w:val="center"/>
          </w:tcPr>
          <w:p w14:paraId="21B8597C" w14:textId="05E8150B" w:rsidR="00311E44" w:rsidRPr="003445F5" w:rsidRDefault="00311E44" w:rsidP="00704956">
            <w:pPr>
              <w:ind w:left="126"/>
              <w:jc w:val="center"/>
              <w:rPr>
                <w:b/>
                <w:szCs w:val="22"/>
                <w:lang w:val="sr-Latn-ME"/>
              </w:rPr>
            </w:pPr>
            <w:r w:rsidRPr="003445F5">
              <w:rPr>
                <w:b/>
                <w:szCs w:val="22"/>
                <w:lang w:val="sr-Latn-ME"/>
              </w:rPr>
              <w:t>Neusp</w:t>
            </w:r>
            <w:r w:rsidR="009953BA" w:rsidRPr="003445F5">
              <w:rPr>
                <w:b/>
                <w:szCs w:val="22"/>
                <w:lang w:val="sr-Latn-ME"/>
              </w:rPr>
              <w:t>j</w:t>
            </w:r>
            <w:r w:rsidRPr="003445F5">
              <w:rPr>
                <w:b/>
                <w:szCs w:val="22"/>
                <w:lang w:val="sr-Latn-ME"/>
              </w:rPr>
              <w:t xml:space="preserve">eh </w:t>
            </w:r>
          </w:p>
          <w:p w14:paraId="384DB81F" w14:textId="77777777" w:rsidR="00311E44" w:rsidRPr="003445F5" w:rsidRDefault="00311E44" w:rsidP="00704956">
            <w:pPr>
              <w:ind w:left="126"/>
              <w:jc w:val="center"/>
              <w:rPr>
                <w:szCs w:val="22"/>
                <w:lang w:val="sr-Latn-ME"/>
              </w:rPr>
            </w:pPr>
            <w:r w:rsidRPr="003445F5">
              <w:rPr>
                <w:b/>
                <w:szCs w:val="22"/>
                <w:lang w:val="sr-Latn-ME"/>
              </w:rPr>
              <w:t>N (%)</w:t>
            </w:r>
          </w:p>
        </w:tc>
        <w:tc>
          <w:tcPr>
            <w:tcW w:w="1275" w:type="pct"/>
            <w:tcBorders>
              <w:top w:val="single" w:sz="4" w:space="0" w:color="000000"/>
              <w:left w:val="single" w:sz="4" w:space="0" w:color="auto"/>
              <w:bottom w:val="single" w:sz="4" w:space="0" w:color="000000"/>
              <w:right w:val="single" w:sz="4" w:space="0" w:color="auto"/>
            </w:tcBorders>
            <w:vAlign w:val="center"/>
          </w:tcPr>
          <w:p w14:paraId="189D6172" w14:textId="01DB231A" w:rsidR="00311E44" w:rsidRPr="003445F5" w:rsidRDefault="00311E44" w:rsidP="00704956">
            <w:pPr>
              <w:jc w:val="center"/>
              <w:rPr>
                <w:szCs w:val="22"/>
                <w:lang w:val="sr-Latn-ME"/>
              </w:rPr>
            </w:pPr>
            <w:r w:rsidRPr="003445F5">
              <w:rPr>
                <w:b/>
                <w:szCs w:val="22"/>
                <w:lang w:val="sr-Latn-ME"/>
              </w:rPr>
              <w:t>Medijana vremena do neusp</w:t>
            </w:r>
            <w:r w:rsidR="009953BA" w:rsidRPr="003445F5">
              <w:rPr>
                <w:b/>
                <w:szCs w:val="22"/>
                <w:lang w:val="sr-Latn-ME"/>
              </w:rPr>
              <w:t>j</w:t>
            </w:r>
            <w:r w:rsidRPr="003445F5">
              <w:rPr>
                <w:b/>
                <w:szCs w:val="22"/>
                <w:lang w:val="sr-Latn-ME"/>
              </w:rPr>
              <w:t>eha (m</w:t>
            </w:r>
            <w:r w:rsidR="009953BA" w:rsidRPr="003445F5">
              <w:rPr>
                <w:b/>
                <w:szCs w:val="22"/>
                <w:lang w:val="sr-Latn-ME"/>
              </w:rPr>
              <w:t>j</w:t>
            </w:r>
            <w:r w:rsidRPr="003445F5">
              <w:rPr>
                <w:b/>
                <w:szCs w:val="22"/>
                <w:lang w:val="sr-Latn-ME"/>
              </w:rPr>
              <w:t>eseci)</w:t>
            </w:r>
          </w:p>
        </w:tc>
        <w:tc>
          <w:tcPr>
            <w:tcW w:w="376" w:type="pct"/>
            <w:tcBorders>
              <w:top w:val="single" w:sz="4" w:space="0" w:color="000000"/>
              <w:left w:val="single" w:sz="4" w:space="0" w:color="auto"/>
              <w:bottom w:val="single" w:sz="4" w:space="0" w:color="000000"/>
              <w:right w:val="single" w:sz="4" w:space="0" w:color="auto"/>
            </w:tcBorders>
            <w:vAlign w:val="center"/>
          </w:tcPr>
          <w:p w14:paraId="68B00045" w14:textId="77777777" w:rsidR="00311E44" w:rsidRPr="003445F5" w:rsidRDefault="00311E44" w:rsidP="00704956">
            <w:pPr>
              <w:jc w:val="center"/>
              <w:rPr>
                <w:szCs w:val="22"/>
                <w:lang w:val="sr-Latn-ME"/>
              </w:rPr>
            </w:pPr>
            <w:r w:rsidRPr="003445F5">
              <w:rPr>
                <w:b/>
                <w:szCs w:val="22"/>
                <w:lang w:val="sr-Latn-ME"/>
              </w:rPr>
              <w:t>HR</w:t>
            </w:r>
            <w:r w:rsidRPr="003445F5">
              <w:rPr>
                <w:b/>
                <w:szCs w:val="22"/>
                <w:vertAlign w:val="superscript"/>
                <w:lang w:val="sr-Latn-ME"/>
              </w:rPr>
              <w:t>a</w:t>
            </w:r>
          </w:p>
          <w:p w14:paraId="43073733" w14:textId="77777777" w:rsidR="00311E44" w:rsidRPr="003445F5" w:rsidRDefault="00311E44" w:rsidP="00704956">
            <w:pPr>
              <w:jc w:val="center"/>
              <w:rPr>
                <w:szCs w:val="22"/>
                <w:lang w:val="sr-Latn-ME"/>
              </w:rPr>
            </w:pPr>
          </w:p>
        </w:tc>
        <w:tc>
          <w:tcPr>
            <w:tcW w:w="760" w:type="pct"/>
            <w:tcBorders>
              <w:top w:val="single" w:sz="4" w:space="0" w:color="000000"/>
              <w:left w:val="single" w:sz="4" w:space="0" w:color="auto"/>
              <w:bottom w:val="single" w:sz="4" w:space="0" w:color="000000"/>
              <w:right w:val="single" w:sz="4" w:space="0" w:color="auto"/>
            </w:tcBorders>
            <w:vAlign w:val="center"/>
          </w:tcPr>
          <w:p w14:paraId="06DD7B18" w14:textId="77777777" w:rsidR="00311E44" w:rsidRPr="003445F5" w:rsidRDefault="00311E44" w:rsidP="00704956">
            <w:pPr>
              <w:jc w:val="center"/>
              <w:rPr>
                <w:szCs w:val="22"/>
                <w:lang w:val="sr-Latn-ME"/>
              </w:rPr>
            </w:pPr>
            <w:r w:rsidRPr="003445F5">
              <w:rPr>
                <w:b/>
                <w:szCs w:val="22"/>
                <w:lang w:val="sr-Latn-ME"/>
              </w:rPr>
              <w:t>95% CI za HR</w:t>
            </w:r>
            <w:r w:rsidRPr="003445F5">
              <w:rPr>
                <w:b/>
                <w:szCs w:val="22"/>
                <w:vertAlign w:val="superscript"/>
                <w:lang w:val="sr-Latn-ME"/>
              </w:rPr>
              <w:t>a</w:t>
            </w:r>
          </w:p>
        </w:tc>
        <w:tc>
          <w:tcPr>
            <w:tcW w:w="706" w:type="pct"/>
            <w:tcBorders>
              <w:top w:val="single" w:sz="4" w:space="0" w:color="000000"/>
              <w:left w:val="single" w:sz="4" w:space="0" w:color="auto"/>
              <w:bottom w:val="single" w:sz="4" w:space="0" w:color="000000"/>
              <w:right w:val="single" w:sz="4" w:space="0" w:color="auto"/>
            </w:tcBorders>
            <w:vAlign w:val="center"/>
          </w:tcPr>
          <w:p w14:paraId="79C7F9D8" w14:textId="40BB6D46" w:rsidR="00311E44" w:rsidRPr="003445F5" w:rsidRDefault="00311E44" w:rsidP="00704956">
            <w:pPr>
              <w:jc w:val="center"/>
              <w:rPr>
                <w:szCs w:val="22"/>
                <w:lang w:val="sr-Latn-ME"/>
              </w:rPr>
            </w:pPr>
            <w:r w:rsidRPr="003445F5">
              <w:rPr>
                <w:b/>
                <w:i/>
                <w:szCs w:val="22"/>
                <w:lang w:val="sr-Latn-ME"/>
              </w:rPr>
              <w:t>p-</w:t>
            </w:r>
            <w:r w:rsidRPr="003445F5">
              <w:rPr>
                <w:b/>
                <w:szCs w:val="22"/>
                <w:lang w:val="sr-Latn-ME"/>
              </w:rPr>
              <w:t>vr</w:t>
            </w:r>
            <w:r w:rsidR="009953BA" w:rsidRPr="003445F5">
              <w:rPr>
                <w:b/>
                <w:szCs w:val="22"/>
                <w:lang w:val="sr-Latn-ME"/>
              </w:rPr>
              <w:t>ij</w:t>
            </w:r>
            <w:r w:rsidRPr="003445F5">
              <w:rPr>
                <w:b/>
                <w:szCs w:val="22"/>
                <w:lang w:val="sr-Latn-ME"/>
              </w:rPr>
              <w:t>ednost</w:t>
            </w:r>
            <w:r w:rsidRPr="003445F5">
              <w:rPr>
                <w:b/>
                <w:szCs w:val="22"/>
                <w:vertAlign w:val="superscript"/>
                <w:lang w:val="sr-Latn-ME"/>
              </w:rPr>
              <w:t>b</w:t>
            </w:r>
          </w:p>
        </w:tc>
      </w:tr>
      <w:tr w:rsidR="00C903C4" w:rsidRPr="003445F5" w14:paraId="1A2C8FEE" w14:textId="77777777" w:rsidTr="009953BA">
        <w:trPr>
          <w:trHeight w:val="20"/>
        </w:trPr>
        <w:tc>
          <w:tcPr>
            <w:tcW w:w="5000" w:type="pct"/>
            <w:gridSpan w:val="7"/>
            <w:tcBorders>
              <w:top w:val="single" w:sz="4" w:space="0" w:color="000000"/>
              <w:left w:val="single" w:sz="4" w:space="0" w:color="auto"/>
              <w:bottom w:val="single" w:sz="4" w:space="0" w:color="auto"/>
              <w:right w:val="single" w:sz="4" w:space="0" w:color="auto"/>
            </w:tcBorders>
            <w:vAlign w:val="center"/>
          </w:tcPr>
          <w:p w14:paraId="3BA73F1A" w14:textId="13A810E0" w:rsidR="00C903C4" w:rsidRPr="003445F5" w:rsidRDefault="00C903C4" w:rsidP="00C903C4">
            <w:pPr>
              <w:jc w:val="center"/>
              <w:rPr>
                <w:szCs w:val="22"/>
                <w:lang w:val="sr-Latn-ME"/>
              </w:rPr>
            </w:pPr>
            <w:r w:rsidRPr="003445F5">
              <w:rPr>
                <w:b/>
                <w:szCs w:val="22"/>
                <w:lang w:val="sr-Latn-ME"/>
              </w:rPr>
              <w:t>Vr</w:t>
            </w:r>
            <w:r w:rsidR="0063026D" w:rsidRPr="003445F5">
              <w:rPr>
                <w:b/>
                <w:szCs w:val="22"/>
                <w:lang w:val="sr-Latn-ME"/>
              </w:rPr>
              <w:t>ij</w:t>
            </w:r>
            <w:r w:rsidRPr="003445F5">
              <w:rPr>
                <w:b/>
                <w:szCs w:val="22"/>
                <w:lang w:val="sr-Latn-ME"/>
              </w:rPr>
              <w:t xml:space="preserve">eme do neuspjeha liječenja u 6. </w:t>
            </w:r>
            <w:r w:rsidR="00551F1D" w:rsidRPr="003445F5">
              <w:rPr>
                <w:b/>
                <w:szCs w:val="22"/>
                <w:lang w:val="sr-Latn-ME"/>
              </w:rPr>
              <w:t>nedjelj</w:t>
            </w:r>
            <w:r w:rsidR="00704AF5" w:rsidRPr="003445F5">
              <w:rPr>
                <w:b/>
                <w:szCs w:val="22"/>
                <w:lang w:val="sr-Latn-ME"/>
              </w:rPr>
              <w:t>i</w:t>
            </w:r>
            <w:r w:rsidRPr="003445F5">
              <w:rPr>
                <w:b/>
                <w:szCs w:val="22"/>
                <w:lang w:val="sr-Latn-ME"/>
              </w:rPr>
              <w:t xml:space="preserve"> ili nakon toga u ispitivanju UV I</w:t>
            </w:r>
          </w:p>
        </w:tc>
      </w:tr>
      <w:tr w:rsidR="00311E44" w:rsidRPr="003445F5" w14:paraId="4EC385FA" w14:textId="77777777" w:rsidTr="009953BA">
        <w:trPr>
          <w:trHeight w:val="20"/>
        </w:trPr>
        <w:tc>
          <w:tcPr>
            <w:tcW w:w="5000" w:type="pct"/>
            <w:gridSpan w:val="7"/>
            <w:tcBorders>
              <w:top w:val="single" w:sz="4" w:space="0" w:color="000000"/>
              <w:left w:val="single" w:sz="4" w:space="0" w:color="auto"/>
              <w:bottom w:val="single" w:sz="4" w:space="0" w:color="FFFFFF" w:themeColor="background1"/>
              <w:right w:val="single" w:sz="4" w:space="0" w:color="auto"/>
            </w:tcBorders>
            <w:vAlign w:val="center"/>
          </w:tcPr>
          <w:p w14:paraId="3A9A5BE0" w14:textId="77777777" w:rsidR="00311E44" w:rsidRPr="003445F5" w:rsidRDefault="00311E44" w:rsidP="00704956">
            <w:pPr>
              <w:jc w:val="left"/>
              <w:rPr>
                <w:szCs w:val="22"/>
                <w:lang w:val="sr-Latn-ME"/>
              </w:rPr>
            </w:pPr>
            <w:r w:rsidRPr="003445F5">
              <w:rPr>
                <w:szCs w:val="22"/>
                <w:lang w:val="sr-Latn-ME"/>
              </w:rPr>
              <w:t>primarna analiza (ITT)</w:t>
            </w:r>
          </w:p>
        </w:tc>
      </w:tr>
      <w:tr w:rsidR="00311E44" w:rsidRPr="003445F5" w14:paraId="7D30F758" w14:textId="77777777" w:rsidTr="00C903C4">
        <w:trPr>
          <w:trHeight w:val="20"/>
        </w:trPr>
        <w:tc>
          <w:tcPr>
            <w:tcW w:w="862"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3DF7AD59" w14:textId="77777777" w:rsidR="00311E44" w:rsidRPr="003445F5" w:rsidRDefault="00311E44" w:rsidP="00704956">
            <w:pPr>
              <w:ind w:left="426"/>
              <w:rPr>
                <w:b/>
                <w:szCs w:val="22"/>
                <w:lang w:val="sr-Latn-ME"/>
              </w:rPr>
            </w:pPr>
            <w:r w:rsidRPr="003445F5">
              <w:rPr>
                <w:szCs w:val="22"/>
                <w:lang w:val="sr-Latn-ME"/>
              </w:rPr>
              <w:t>placebo</w:t>
            </w:r>
          </w:p>
        </w:tc>
        <w:tc>
          <w:tcPr>
            <w:tcW w:w="315" w:type="pct"/>
            <w:tcBorders>
              <w:top w:val="single" w:sz="4" w:space="0" w:color="auto"/>
              <w:left w:val="single" w:sz="4" w:space="0" w:color="auto"/>
              <w:bottom w:val="single" w:sz="4" w:space="0" w:color="auto"/>
              <w:right w:val="single" w:sz="4" w:space="0" w:color="auto"/>
            </w:tcBorders>
            <w:vAlign w:val="center"/>
          </w:tcPr>
          <w:p w14:paraId="61C20DE4" w14:textId="77777777" w:rsidR="00311E44" w:rsidRPr="003445F5" w:rsidRDefault="00311E44" w:rsidP="00704956">
            <w:pPr>
              <w:jc w:val="center"/>
              <w:rPr>
                <w:b/>
                <w:szCs w:val="22"/>
                <w:lang w:val="sr-Latn-ME"/>
              </w:rPr>
            </w:pPr>
            <w:r w:rsidRPr="003445F5">
              <w:rPr>
                <w:szCs w:val="22"/>
                <w:lang w:val="sr-Latn-ME"/>
              </w:rPr>
              <w:t>107</w:t>
            </w:r>
          </w:p>
        </w:tc>
        <w:tc>
          <w:tcPr>
            <w:tcW w:w="706" w:type="pct"/>
            <w:tcBorders>
              <w:top w:val="single" w:sz="4" w:space="0" w:color="auto"/>
              <w:left w:val="single" w:sz="4" w:space="0" w:color="auto"/>
              <w:bottom w:val="single" w:sz="4" w:space="0" w:color="auto"/>
              <w:right w:val="single" w:sz="4" w:space="0" w:color="auto"/>
            </w:tcBorders>
            <w:vAlign w:val="center"/>
          </w:tcPr>
          <w:p w14:paraId="6C9BC682" w14:textId="77777777" w:rsidR="00311E44" w:rsidRPr="003445F5" w:rsidRDefault="00311E44" w:rsidP="00704956">
            <w:pPr>
              <w:jc w:val="center"/>
              <w:rPr>
                <w:b/>
                <w:szCs w:val="22"/>
                <w:lang w:val="sr-Latn-ME"/>
              </w:rPr>
            </w:pPr>
            <w:r w:rsidRPr="003445F5">
              <w:rPr>
                <w:szCs w:val="22"/>
                <w:lang w:val="sr-Latn-ME"/>
              </w:rPr>
              <w:t>84 (78,5)</w:t>
            </w:r>
          </w:p>
        </w:tc>
        <w:tc>
          <w:tcPr>
            <w:tcW w:w="1275" w:type="pct"/>
            <w:tcBorders>
              <w:top w:val="single" w:sz="4" w:space="0" w:color="auto"/>
              <w:left w:val="single" w:sz="4" w:space="0" w:color="auto"/>
              <w:bottom w:val="single" w:sz="4" w:space="0" w:color="auto"/>
              <w:right w:val="single" w:sz="4" w:space="0" w:color="auto"/>
            </w:tcBorders>
            <w:vAlign w:val="center"/>
          </w:tcPr>
          <w:p w14:paraId="2F1B4B89" w14:textId="77777777" w:rsidR="00311E44" w:rsidRPr="003445F5" w:rsidRDefault="00311E44" w:rsidP="00704956">
            <w:pPr>
              <w:jc w:val="center"/>
              <w:rPr>
                <w:b/>
                <w:szCs w:val="22"/>
                <w:lang w:val="sr-Latn-ME"/>
              </w:rPr>
            </w:pPr>
            <w:r w:rsidRPr="003445F5">
              <w:rPr>
                <w:szCs w:val="22"/>
                <w:lang w:val="sr-Latn-ME"/>
              </w:rPr>
              <w:t>3,0</w:t>
            </w:r>
          </w:p>
        </w:tc>
        <w:tc>
          <w:tcPr>
            <w:tcW w:w="376" w:type="pct"/>
            <w:tcBorders>
              <w:top w:val="single" w:sz="4" w:space="0" w:color="auto"/>
              <w:left w:val="single" w:sz="4" w:space="0" w:color="auto"/>
              <w:bottom w:val="single" w:sz="4" w:space="0" w:color="auto"/>
              <w:right w:val="single" w:sz="4" w:space="0" w:color="auto"/>
            </w:tcBorders>
            <w:vAlign w:val="center"/>
          </w:tcPr>
          <w:p w14:paraId="452D863C" w14:textId="77777777" w:rsidR="00311E44" w:rsidRPr="003445F5" w:rsidRDefault="00311E44" w:rsidP="00704956">
            <w:pPr>
              <w:jc w:val="center"/>
              <w:rPr>
                <w:b/>
                <w:szCs w:val="22"/>
                <w:lang w:val="sr-Latn-ME"/>
              </w:rPr>
            </w:pPr>
            <w:r w:rsidRPr="003445F5">
              <w:rPr>
                <w:szCs w:val="22"/>
                <w:lang w:val="sr-Latn-ME"/>
              </w:rPr>
              <w:t>--</w:t>
            </w:r>
          </w:p>
        </w:tc>
        <w:tc>
          <w:tcPr>
            <w:tcW w:w="760" w:type="pct"/>
            <w:tcBorders>
              <w:top w:val="single" w:sz="4" w:space="0" w:color="auto"/>
              <w:left w:val="single" w:sz="4" w:space="0" w:color="auto"/>
              <w:bottom w:val="single" w:sz="4" w:space="0" w:color="auto"/>
              <w:right w:val="single" w:sz="4" w:space="0" w:color="auto"/>
            </w:tcBorders>
            <w:vAlign w:val="center"/>
          </w:tcPr>
          <w:p w14:paraId="7E837FDD" w14:textId="77777777" w:rsidR="00311E44" w:rsidRPr="003445F5" w:rsidRDefault="00311E44" w:rsidP="00704956">
            <w:pPr>
              <w:jc w:val="center"/>
              <w:rPr>
                <w:b/>
                <w:szCs w:val="22"/>
                <w:lang w:val="sr-Latn-ME"/>
              </w:rPr>
            </w:pPr>
            <w:r w:rsidRPr="003445F5">
              <w:rPr>
                <w:szCs w:val="22"/>
                <w:lang w:val="sr-Latn-ME"/>
              </w:rPr>
              <w:t>--</w:t>
            </w:r>
          </w:p>
        </w:tc>
        <w:tc>
          <w:tcPr>
            <w:tcW w:w="706" w:type="pct"/>
            <w:tcBorders>
              <w:top w:val="single" w:sz="4" w:space="0" w:color="auto"/>
              <w:left w:val="single" w:sz="4" w:space="0" w:color="auto"/>
              <w:bottom w:val="single" w:sz="4" w:space="0" w:color="auto"/>
              <w:right w:val="single" w:sz="4" w:space="0" w:color="auto"/>
            </w:tcBorders>
            <w:vAlign w:val="center"/>
          </w:tcPr>
          <w:p w14:paraId="15CD39D9" w14:textId="77777777" w:rsidR="00311E44" w:rsidRPr="003445F5" w:rsidRDefault="00311E44" w:rsidP="00704956">
            <w:pPr>
              <w:jc w:val="center"/>
              <w:rPr>
                <w:szCs w:val="22"/>
                <w:lang w:val="sr-Latn-ME"/>
              </w:rPr>
            </w:pPr>
            <w:r w:rsidRPr="003445F5">
              <w:rPr>
                <w:szCs w:val="22"/>
                <w:lang w:val="sr-Latn-ME"/>
              </w:rPr>
              <w:t>--</w:t>
            </w:r>
          </w:p>
        </w:tc>
      </w:tr>
      <w:tr w:rsidR="00311E44" w:rsidRPr="003445F5" w14:paraId="4424D3E3" w14:textId="77777777" w:rsidTr="00C903C4">
        <w:trPr>
          <w:trHeight w:val="20"/>
        </w:trPr>
        <w:tc>
          <w:tcPr>
            <w:tcW w:w="862" w:type="pct"/>
            <w:tcBorders>
              <w:top w:val="single" w:sz="4" w:space="0" w:color="FFFFFF" w:themeColor="background1"/>
              <w:left w:val="single" w:sz="4" w:space="0" w:color="auto"/>
              <w:bottom w:val="single" w:sz="4" w:space="0" w:color="000000"/>
              <w:right w:val="single" w:sz="4" w:space="0" w:color="auto"/>
            </w:tcBorders>
            <w:vAlign w:val="center"/>
          </w:tcPr>
          <w:p w14:paraId="5A8DF00A" w14:textId="77777777" w:rsidR="00311E44" w:rsidRPr="003445F5" w:rsidRDefault="00311E44" w:rsidP="00704956">
            <w:pPr>
              <w:ind w:left="426"/>
              <w:rPr>
                <w:szCs w:val="22"/>
                <w:lang w:val="sr-Latn-ME"/>
              </w:rPr>
            </w:pPr>
            <w:r w:rsidRPr="003445F5">
              <w:rPr>
                <w:szCs w:val="22"/>
                <w:lang w:val="sr-Latn-ME"/>
              </w:rPr>
              <w:t>adalimumab</w:t>
            </w:r>
          </w:p>
        </w:tc>
        <w:tc>
          <w:tcPr>
            <w:tcW w:w="315" w:type="pct"/>
            <w:tcBorders>
              <w:top w:val="single" w:sz="4" w:space="0" w:color="auto"/>
              <w:left w:val="single" w:sz="4" w:space="0" w:color="auto"/>
              <w:bottom w:val="single" w:sz="4" w:space="0" w:color="000000"/>
            </w:tcBorders>
            <w:vAlign w:val="center"/>
          </w:tcPr>
          <w:p w14:paraId="123EA041" w14:textId="77777777" w:rsidR="00311E44" w:rsidRPr="003445F5" w:rsidRDefault="00311E44" w:rsidP="00704956">
            <w:pPr>
              <w:ind w:left="6"/>
              <w:jc w:val="center"/>
              <w:rPr>
                <w:szCs w:val="22"/>
                <w:lang w:val="sr-Latn-ME"/>
              </w:rPr>
            </w:pPr>
            <w:r w:rsidRPr="003445F5">
              <w:rPr>
                <w:szCs w:val="22"/>
                <w:lang w:val="sr-Latn-ME"/>
              </w:rPr>
              <w:t>110</w:t>
            </w:r>
          </w:p>
        </w:tc>
        <w:tc>
          <w:tcPr>
            <w:tcW w:w="706" w:type="pct"/>
            <w:tcBorders>
              <w:top w:val="single" w:sz="4" w:space="0" w:color="auto"/>
              <w:left w:val="single" w:sz="4" w:space="0" w:color="auto"/>
              <w:bottom w:val="single" w:sz="4" w:space="0" w:color="000000"/>
            </w:tcBorders>
            <w:vAlign w:val="center"/>
          </w:tcPr>
          <w:p w14:paraId="07969151" w14:textId="77777777" w:rsidR="00311E44" w:rsidRPr="003445F5" w:rsidRDefault="00311E44" w:rsidP="00704956">
            <w:pPr>
              <w:ind w:left="6"/>
              <w:jc w:val="center"/>
              <w:rPr>
                <w:szCs w:val="22"/>
                <w:lang w:val="sr-Latn-ME"/>
              </w:rPr>
            </w:pPr>
            <w:r w:rsidRPr="003445F5">
              <w:rPr>
                <w:szCs w:val="22"/>
                <w:lang w:val="sr-Latn-ME"/>
              </w:rPr>
              <w:t>60 (54,5)</w:t>
            </w:r>
          </w:p>
        </w:tc>
        <w:tc>
          <w:tcPr>
            <w:tcW w:w="1275" w:type="pct"/>
            <w:tcBorders>
              <w:top w:val="single" w:sz="4" w:space="0" w:color="auto"/>
              <w:left w:val="single" w:sz="4" w:space="0" w:color="auto"/>
              <w:bottom w:val="single" w:sz="4" w:space="0" w:color="000000"/>
            </w:tcBorders>
            <w:vAlign w:val="center"/>
          </w:tcPr>
          <w:p w14:paraId="365190A4" w14:textId="77777777" w:rsidR="00311E44" w:rsidRPr="003445F5" w:rsidRDefault="00311E44" w:rsidP="00704956">
            <w:pPr>
              <w:ind w:left="6"/>
              <w:jc w:val="center"/>
              <w:rPr>
                <w:szCs w:val="22"/>
                <w:lang w:val="sr-Latn-ME"/>
              </w:rPr>
            </w:pPr>
            <w:r w:rsidRPr="003445F5">
              <w:rPr>
                <w:szCs w:val="22"/>
                <w:lang w:val="sr-Latn-ME"/>
              </w:rPr>
              <w:t>5,6</w:t>
            </w:r>
          </w:p>
        </w:tc>
        <w:tc>
          <w:tcPr>
            <w:tcW w:w="376" w:type="pct"/>
            <w:tcBorders>
              <w:top w:val="single" w:sz="4" w:space="0" w:color="auto"/>
              <w:left w:val="single" w:sz="4" w:space="0" w:color="auto"/>
              <w:bottom w:val="single" w:sz="4" w:space="0" w:color="000000"/>
            </w:tcBorders>
            <w:vAlign w:val="center"/>
          </w:tcPr>
          <w:p w14:paraId="7226B09A" w14:textId="77777777" w:rsidR="00311E44" w:rsidRPr="003445F5" w:rsidRDefault="00311E44" w:rsidP="00704956">
            <w:pPr>
              <w:ind w:left="6"/>
              <w:jc w:val="center"/>
              <w:rPr>
                <w:szCs w:val="22"/>
                <w:lang w:val="sr-Latn-ME"/>
              </w:rPr>
            </w:pPr>
            <w:r w:rsidRPr="003445F5">
              <w:rPr>
                <w:szCs w:val="22"/>
                <w:lang w:val="sr-Latn-ME"/>
              </w:rPr>
              <w:t>0,50</w:t>
            </w:r>
          </w:p>
        </w:tc>
        <w:tc>
          <w:tcPr>
            <w:tcW w:w="760" w:type="pct"/>
            <w:tcBorders>
              <w:top w:val="single" w:sz="4" w:space="0" w:color="auto"/>
              <w:left w:val="single" w:sz="4" w:space="0" w:color="auto"/>
              <w:bottom w:val="single" w:sz="4" w:space="0" w:color="000000"/>
              <w:right w:val="single" w:sz="4" w:space="0" w:color="auto"/>
            </w:tcBorders>
            <w:vAlign w:val="center"/>
          </w:tcPr>
          <w:p w14:paraId="5151F9A8" w14:textId="77777777" w:rsidR="00311E44" w:rsidRPr="003445F5" w:rsidRDefault="00311E44" w:rsidP="00704956">
            <w:pPr>
              <w:ind w:left="6"/>
              <w:jc w:val="center"/>
              <w:rPr>
                <w:szCs w:val="22"/>
                <w:lang w:val="sr-Latn-ME"/>
              </w:rPr>
            </w:pPr>
            <w:r w:rsidRPr="003445F5">
              <w:rPr>
                <w:szCs w:val="22"/>
                <w:lang w:val="sr-Latn-ME"/>
              </w:rPr>
              <w:t>0,36; 0,70</w:t>
            </w:r>
          </w:p>
        </w:tc>
        <w:tc>
          <w:tcPr>
            <w:tcW w:w="706" w:type="pct"/>
            <w:tcBorders>
              <w:top w:val="nil"/>
              <w:left w:val="single" w:sz="4" w:space="0" w:color="auto"/>
              <w:bottom w:val="single" w:sz="4" w:space="0" w:color="000000"/>
              <w:right w:val="single" w:sz="4" w:space="0" w:color="auto"/>
            </w:tcBorders>
            <w:vAlign w:val="center"/>
          </w:tcPr>
          <w:p w14:paraId="50E389A8" w14:textId="77777777" w:rsidR="00311E44" w:rsidRPr="003445F5" w:rsidRDefault="00311E44" w:rsidP="00704956">
            <w:pPr>
              <w:jc w:val="center"/>
              <w:rPr>
                <w:szCs w:val="22"/>
                <w:lang w:val="sr-Latn-ME"/>
              </w:rPr>
            </w:pPr>
            <w:r w:rsidRPr="003445F5">
              <w:rPr>
                <w:szCs w:val="22"/>
                <w:lang w:val="sr-Latn-ME"/>
              </w:rPr>
              <w:t>&lt; 0,001</w:t>
            </w:r>
          </w:p>
        </w:tc>
      </w:tr>
      <w:tr w:rsidR="00184D7C" w:rsidRPr="003445F5" w14:paraId="0F0B8445" w14:textId="77777777" w:rsidTr="009953BA">
        <w:trPr>
          <w:trHeight w:val="20"/>
        </w:trPr>
        <w:tc>
          <w:tcPr>
            <w:tcW w:w="5000" w:type="pct"/>
            <w:gridSpan w:val="7"/>
            <w:tcBorders>
              <w:top w:val="single" w:sz="4" w:space="0" w:color="000000"/>
              <w:left w:val="single" w:sz="4" w:space="0" w:color="auto"/>
              <w:bottom w:val="single" w:sz="4" w:space="0" w:color="auto"/>
              <w:right w:val="single" w:sz="4" w:space="0" w:color="auto"/>
            </w:tcBorders>
            <w:vAlign w:val="center"/>
          </w:tcPr>
          <w:p w14:paraId="53E18DD8" w14:textId="319C23C3" w:rsidR="00184D7C" w:rsidRPr="003445F5" w:rsidRDefault="00184D7C" w:rsidP="00184D7C">
            <w:pPr>
              <w:jc w:val="center"/>
              <w:rPr>
                <w:szCs w:val="22"/>
                <w:lang w:val="sr-Latn-ME"/>
              </w:rPr>
            </w:pPr>
            <w:r w:rsidRPr="003445F5">
              <w:rPr>
                <w:b/>
                <w:szCs w:val="22"/>
                <w:lang w:val="sr-Latn-ME"/>
              </w:rPr>
              <w:lastRenderedPageBreak/>
              <w:t>Vr</w:t>
            </w:r>
            <w:r w:rsidR="0063026D" w:rsidRPr="003445F5">
              <w:rPr>
                <w:b/>
                <w:szCs w:val="22"/>
                <w:lang w:val="sr-Latn-ME"/>
              </w:rPr>
              <w:t>ij</w:t>
            </w:r>
            <w:r w:rsidRPr="003445F5">
              <w:rPr>
                <w:b/>
                <w:szCs w:val="22"/>
                <w:lang w:val="sr-Latn-ME"/>
              </w:rPr>
              <w:t xml:space="preserve">eme do neuspjeha liječenja u 2. </w:t>
            </w:r>
            <w:r w:rsidR="00551F1D" w:rsidRPr="003445F5">
              <w:rPr>
                <w:b/>
                <w:szCs w:val="22"/>
                <w:lang w:val="sr-Latn-ME"/>
              </w:rPr>
              <w:t>nedjelj</w:t>
            </w:r>
            <w:r w:rsidR="00704AF5" w:rsidRPr="003445F5">
              <w:rPr>
                <w:b/>
                <w:szCs w:val="22"/>
                <w:lang w:val="sr-Latn-ME"/>
              </w:rPr>
              <w:t>i</w:t>
            </w:r>
            <w:r w:rsidRPr="003445F5">
              <w:rPr>
                <w:b/>
                <w:szCs w:val="22"/>
                <w:lang w:val="sr-Latn-ME"/>
              </w:rPr>
              <w:t xml:space="preserve"> ili nakon toga u ispitivanju UV II</w:t>
            </w:r>
          </w:p>
        </w:tc>
      </w:tr>
      <w:tr w:rsidR="00311E44" w:rsidRPr="003445F5" w14:paraId="28FF7D3E" w14:textId="77777777" w:rsidTr="009953BA">
        <w:trPr>
          <w:trHeight w:val="20"/>
        </w:trPr>
        <w:tc>
          <w:tcPr>
            <w:tcW w:w="5000" w:type="pct"/>
            <w:gridSpan w:val="7"/>
            <w:tcBorders>
              <w:top w:val="single" w:sz="4" w:space="0" w:color="auto"/>
              <w:left w:val="single" w:sz="4" w:space="0" w:color="auto"/>
              <w:bottom w:val="single" w:sz="4" w:space="0" w:color="FFFFFF" w:themeColor="background1"/>
              <w:right w:val="single" w:sz="4" w:space="0" w:color="auto"/>
            </w:tcBorders>
            <w:vAlign w:val="center"/>
          </w:tcPr>
          <w:p w14:paraId="47DDF4A7" w14:textId="77777777" w:rsidR="00311E44" w:rsidRPr="003445F5" w:rsidRDefault="00311E44" w:rsidP="00704956">
            <w:pPr>
              <w:jc w:val="left"/>
              <w:rPr>
                <w:szCs w:val="22"/>
                <w:lang w:val="sr-Latn-ME"/>
              </w:rPr>
            </w:pPr>
            <w:r w:rsidRPr="003445F5">
              <w:rPr>
                <w:szCs w:val="22"/>
                <w:lang w:val="sr-Latn-ME"/>
              </w:rPr>
              <w:t>primarna analiza (ITT)</w:t>
            </w:r>
          </w:p>
        </w:tc>
      </w:tr>
      <w:tr w:rsidR="00311E44" w:rsidRPr="003445F5" w14:paraId="6289B7CA" w14:textId="77777777" w:rsidTr="00C903C4">
        <w:trPr>
          <w:trHeight w:val="20"/>
        </w:trPr>
        <w:tc>
          <w:tcPr>
            <w:tcW w:w="862"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6C746D71" w14:textId="77777777" w:rsidR="00311E44" w:rsidRPr="003445F5" w:rsidRDefault="00311E44" w:rsidP="00704956">
            <w:pPr>
              <w:ind w:left="426"/>
              <w:rPr>
                <w:szCs w:val="22"/>
                <w:lang w:val="sr-Latn-ME"/>
              </w:rPr>
            </w:pPr>
            <w:r w:rsidRPr="003445F5">
              <w:rPr>
                <w:szCs w:val="22"/>
                <w:lang w:val="sr-Latn-ME"/>
              </w:rPr>
              <w:t>placebo</w:t>
            </w:r>
          </w:p>
        </w:tc>
        <w:tc>
          <w:tcPr>
            <w:tcW w:w="315" w:type="pct"/>
            <w:tcBorders>
              <w:top w:val="single" w:sz="4" w:space="0" w:color="auto"/>
              <w:left w:val="single" w:sz="4" w:space="0" w:color="auto"/>
              <w:bottom w:val="single" w:sz="4" w:space="0" w:color="auto"/>
              <w:right w:val="single" w:sz="4" w:space="0" w:color="auto"/>
            </w:tcBorders>
            <w:vAlign w:val="center"/>
          </w:tcPr>
          <w:p w14:paraId="4997718D" w14:textId="77777777" w:rsidR="00311E44" w:rsidRPr="003445F5" w:rsidRDefault="00311E44" w:rsidP="00704956">
            <w:pPr>
              <w:jc w:val="center"/>
              <w:rPr>
                <w:szCs w:val="22"/>
                <w:lang w:val="sr-Latn-ME"/>
              </w:rPr>
            </w:pPr>
            <w:r w:rsidRPr="003445F5">
              <w:rPr>
                <w:szCs w:val="22"/>
                <w:lang w:val="sr-Latn-ME"/>
              </w:rPr>
              <w:t>111</w:t>
            </w:r>
          </w:p>
        </w:tc>
        <w:tc>
          <w:tcPr>
            <w:tcW w:w="706" w:type="pct"/>
            <w:tcBorders>
              <w:top w:val="single" w:sz="4" w:space="0" w:color="auto"/>
              <w:left w:val="single" w:sz="4" w:space="0" w:color="auto"/>
              <w:bottom w:val="single" w:sz="4" w:space="0" w:color="auto"/>
              <w:right w:val="single" w:sz="4" w:space="0" w:color="auto"/>
            </w:tcBorders>
            <w:vAlign w:val="center"/>
          </w:tcPr>
          <w:p w14:paraId="51EBFE78" w14:textId="77777777" w:rsidR="00311E44" w:rsidRPr="003445F5" w:rsidRDefault="00311E44" w:rsidP="00704956">
            <w:pPr>
              <w:jc w:val="center"/>
              <w:rPr>
                <w:szCs w:val="22"/>
                <w:lang w:val="sr-Latn-ME"/>
              </w:rPr>
            </w:pPr>
            <w:r w:rsidRPr="003445F5">
              <w:rPr>
                <w:szCs w:val="22"/>
                <w:lang w:val="sr-Latn-ME"/>
              </w:rPr>
              <w:t>61 (55,0)</w:t>
            </w:r>
          </w:p>
        </w:tc>
        <w:tc>
          <w:tcPr>
            <w:tcW w:w="1275" w:type="pct"/>
            <w:tcBorders>
              <w:top w:val="single" w:sz="4" w:space="0" w:color="auto"/>
              <w:left w:val="single" w:sz="4" w:space="0" w:color="auto"/>
              <w:bottom w:val="single" w:sz="4" w:space="0" w:color="auto"/>
              <w:right w:val="single" w:sz="4" w:space="0" w:color="auto"/>
            </w:tcBorders>
            <w:vAlign w:val="center"/>
          </w:tcPr>
          <w:p w14:paraId="658E3009" w14:textId="77777777" w:rsidR="00311E44" w:rsidRPr="003445F5" w:rsidRDefault="00311E44" w:rsidP="00704956">
            <w:pPr>
              <w:jc w:val="center"/>
              <w:rPr>
                <w:szCs w:val="22"/>
                <w:lang w:val="sr-Latn-ME"/>
              </w:rPr>
            </w:pPr>
            <w:r w:rsidRPr="003445F5">
              <w:rPr>
                <w:szCs w:val="22"/>
                <w:lang w:val="sr-Latn-ME"/>
              </w:rPr>
              <w:t>8,3</w:t>
            </w:r>
          </w:p>
        </w:tc>
        <w:tc>
          <w:tcPr>
            <w:tcW w:w="376" w:type="pct"/>
            <w:tcBorders>
              <w:top w:val="single" w:sz="4" w:space="0" w:color="auto"/>
              <w:left w:val="nil"/>
              <w:bottom w:val="single" w:sz="4" w:space="0" w:color="auto"/>
              <w:right w:val="single" w:sz="4" w:space="0" w:color="auto"/>
            </w:tcBorders>
            <w:vAlign w:val="center"/>
          </w:tcPr>
          <w:p w14:paraId="1AD5BF6F" w14:textId="77777777" w:rsidR="00311E44" w:rsidRPr="003445F5" w:rsidRDefault="00311E44" w:rsidP="00704956">
            <w:pPr>
              <w:jc w:val="center"/>
              <w:rPr>
                <w:szCs w:val="22"/>
                <w:lang w:val="sr-Latn-ME"/>
              </w:rPr>
            </w:pPr>
            <w:r w:rsidRPr="003445F5">
              <w:rPr>
                <w:szCs w:val="22"/>
                <w:lang w:val="sr-Latn-ME"/>
              </w:rPr>
              <w:t>--</w:t>
            </w:r>
          </w:p>
        </w:tc>
        <w:tc>
          <w:tcPr>
            <w:tcW w:w="760" w:type="pct"/>
            <w:tcBorders>
              <w:top w:val="single" w:sz="4" w:space="0" w:color="auto"/>
              <w:left w:val="single" w:sz="4" w:space="0" w:color="auto"/>
              <w:bottom w:val="single" w:sz="4" w:space="0" w:color="auto"/>
              <w:right w:val="single" w:sz="4" w:space="0" w:color="auto"/>
            </w:tcBorders>
            <w:vAlign w:val="center"/>
          </w:tcPr>
          <w:p w14:paraId="151DC9F6" w14:textId="77777777" w:rsidR="00311E44" w:rsidRPr="003445F5" w:rsidRDefault="00311E44" w:rsidP="00704956">
            <w:pPr>
              <w:jc w:val="center"/>
              <w:rPr>
                <w:szCs w:val="22"/>
                <w:lang w:val="sr-Latn-ME"/>
              </w:rPr>
            </w:pPr>
            <w:r w:rsidRPr="003445F5">
              <w:rPr>
                <w:szCs w:val="22"/>
                <w:lang w:val="sr-Latn-ME"/>
              </w:rPr>
              <w:t>--</w:t>
            </w:r>
          </w:p>
        </w:tc>
        <w:tc>
          <w:tcPr>
            <w:tcW w:w="706" w:type="pct"/>
            <w:tcBorders>
              <w:top w:val="single" w:sz="4" w:space="0" w:color="auto"/>
              <w:left w:val="single" w:sz="4" w:space="0" w:color="auto"/>
              <w:bottom w:val="single" w:sz="4" w:space="0" w:color="auto"/>
              <w:right w:val="single" w:sz="4" w:space="0" w:color="auto"/>
            </w:tcBorders>
            <w:vAlign w:val="center"/>
          </w:tcPr>
          <w:p w14:paraId="32D9A488" w14:textId="77777777" w:rsidR="00311E44" w:rsidRPr="003445F5" w:rsidRDefault="00311E44" w:rsidP="00704956">
            <w:pPr>
              <w:jc w:val="center"/>
              <w:rPr>
                <w:szCs w:val="22"/>
                <w:lang w:val="sr-Latn-ME"/>
              </w:rPr>
            </w:pPr>
            <w:r w:rsidRPr="003445F5">
              <w:rPr>
                <w:szCs w:val="22"/>
                <w:lang w:val="sr-Latn-ME"/>
              </w:rPr>
              <w:t>--</w:t>
            </w:r>
          </w:p>
        </w:tc>
      </w:tr>
      <w:tr w:rsidR="00311E44" w:rsidRPr="003445F5" w14:paraId="188623B2" w14:textId="77777777" w:rsidTr="00C903C4">
        <w:trPr>
          <w:trHeight w:val="20"/>
        </w:trPr>
        <w:tc>
          <w:tcPr>
            <w:tcW w:w="862" w:type="pct"/>
            <w:tcBorders>
              <w:top w:val="single" w:sz="4" w:space="0" w:color="FFFFFF" w:themeColor="background1"/>
              <w:left w:val="single" w:sz="4" w:space="0" w:color="auto"/>
              <w:bottom w:val="single" w:sz="4" w:space="0" w:color="000000"/>
              <w:right w:val="single" w:sz="4" w:space="0" w:color="auto"/>
            </w:tcBorders>
            <w:vAlign w:val="center"/>
          </w:tcPr>
          <w:p w14:paraId="585CBE09" w14:textId="77777777" w:rsidR="00311E44" w:rsidRPr="003445F5" w:rsidRDefault="00311E44" w:rsidP="00704956">
            <w:pPr>
              <w:ind w:left="426"/>
              <w:rPr>
                <w:szCs w:val="22"/>
                <w:lang w:val="sr-Latn-ME"/>
              </w:rPr>
            </w:pPr>
            <w:r w:rsidRPr="003445F5">
              <w:rPr>
                <w:szCs w:val="22"/>
                <w:lang w:val="sr-Latn-ME"/>
              </w:rPr>
              <w:t>adalimumab</w:t>
            </w:r>
          </w:p>
        </w:tc>
        <w:tc>
          <w:tcPr>
            <w:tcW w:w="315" w:type="pct"/>
            <w:tcBorders>
              <w:top w:val="single" w:sz="4" w:space="0" w:color="auto"/>
              <w:left w:val="single" w:sz="4" w:space="0" w:color="auto"/>
              <w:bottom w:val="single" w:sz="4" w:space="0" w:color="000000"/>
              <w:right w:val="single" w:sz="4" w:space="0" w:color="auto"/>
            </w:tcBorders>
            <w:vAlign w:val="center"/>
          </w:tcPr>
          <w:p w14:paraId="78F3508F" w14:textId="77777777" w:rsidR="00311E44" w:rsidRPr="003445F5" w:rsidRDefault="00311E44" w:rsidP="00704956">
            <w:pPr>
              <w:jc w:val="center"/>
              <w:rPr>
                <w:szCs w:val="22"/>
                <w:lang w:val="sr-Latn-ME"/>
              </w:rPr>
            </w:pPr>
            <w:r w:rsidRPr="003445F5">
              <w:rPr>
                <w:szCs w:val="22"/>
                <w:lang w:val="sr-Latn-ME"/>
              </w:rPr>
              <w:t>115</w:t>
            </w:r>
          </w:p>
        </w:tc>
        <w:tc>
          <w:tcPr>
            <w:tcW w:w="706" w:type="pct"/>
            <w:tcBorders>
              <w:top w:val="single" w:sz="4" w:space="0" w:color="auto"/>
              <w:left w:val="single" w:sz="4" w:space="0" w:color="auto"/>
              <w:bottom w:val="single" w:sz="4" w:space="0" w:color="000000"/>
              <w:right w:val="single" w:sz="4" w:space="0" w:color="auto"/>
            </w:tcBorders>
            <w:vAlign w:val="center"/>
          </w:tcPr>
          <w:p w14:paraId="2966705E" w14:textId="77777777" w:rsidR="00311E44" w:rsidRPr="003445F5" w:rsidRDefault="00311E44" w:rsidP="00704956">
            <w:pPr>
              <w:jc w:val="center"/>
              <w:rPr>
                <w:szCs w:val="22"/>
                <w:lang w:val="sr-Latn-ME"/>
              </w:rPr>
            </w:pPr>
            <w:r w:rsidRPr="003445F5">
              <w:rPr>
                <w:szCs w:val="22"/>
                <w:lang w:val="sr-Latn-ME"/>
              </w:rPr>
              <w:t>45 (39,1)</w:t>
            </w:r>
          </w:p>
        </w:tc>
        <w:tc>
          <w:tcPr>
            <w:tcW w:w="1275" w:type="pct"/>
            <w:tcBorders>
              <w:top w:val="single" w:sz="4" w:space="0" w:color="auto"/>
              <w:left w:val="single" w:sz="4" w:space="0" w:color="auto"/>
              <w:bottom w:val="single" w:sz="4" w:space="0" w:color="000000"/>
              <w:right w:val="single" w:sz="4" w:space="0" w:color="auto"/>
            </w:tcBorders>
            <w:vAlign w:val="center"/>
          </w:tcPr>
          <w:p w14:paraId="59F187B6" w14:textId="77777777" w:rsidR="00311E44" w:rsidRPr="003445F5" w:rsidRDefault="00311E44" w:rsidP="00704956">
            <w:pPr>
              <w:jc w:val="center"/>
              <w:rPr>
                <w:szCs w:val="22"/>
                <w:lang w:val="sr-Latn-ME"/>
              </w:rPr>
            </w:pPr>
            <w:r w:rsidRPr="003445F5">
              <w:rPr>
                <w:szCs w:val="22"/>
                <w:lang w:val="sr-Latn-ME"/>
              </w:rPr>
              <w:t>NP</w:t>
            </w:r>
            <w:r w:rsidRPr="003445F5">
              <w:rPr>
                <w:szCs w:val="22"/>
                <w:vertAlign w:val="superscript"/>
                <w:lang w:val="sr-Latn-ME"/>
              </w:rPr>
              <w:t>c</w:t>
            </w:r>
          </w:p>
        </w:tc>
        <w:tc>
          <w:tcPr>
            <w:tcW w:w="376" w:type="pct"/>
            <w:tcBorders>
              <w:top w:val="single" w:sz="4" w:space="0" w:color="auto"/>
              <w:left w:val="nil"/>
              <w:bottom w:val="single" w:sz="4" w:space="0" w:color="000000"/>
              <w:right w:val="single" w:sz="4" w:space="0" w:color="auto"/>
            </w:tcBorders>
            <w:vAlign w:val="center"/>
          </w:tcPr>
          <w:p w14:paraId="21F0287C" w14:textId="77777777" w:rsidR="00311E44" w:rsidRPr="003445F5" w:rsidRDefault="00311E44" w:rsidP="00704956">
            <w:pPr>
              <w:jc w:val="center"/>
              <w:rPr>
                <w:szCs w:val="22"/>
                <w:lang w:val="sr-Latn-ME"/>
              </w:rPr>
            </w:pPr>
            <w:r w:rsidRPr="003445F5">
              <w:rPr>
                <w:szCs w:val="22"/>
                <w:lang w:val="sr-Latn-ME"/>
              </w:rPr>
              <w:t>0,57</w:t>
            </w:r>
          </w:p>
        </w:tc>
        <w:tc>
          <w:tcPr>
            <w:tcW w:w="760" w:type="pct"/>
            <w:tcBorders>
              <w:top w:val="single" w:sz="4" w:space="0" w:color="auto"/>
              <w:left w:val="single" w:sz="4" w:space="0" w:color="auto"/>
              <w:bottom w:val="single" w:sz="4" w:space="0" w:color="000000"/>
              <w:right w:val="single" w:sz="4" w:space="0" w:color="auto"/>
            </w:tcBorders>
            <w:vAlign w:val="center"/>
          </w:tcPr>
          <w:p w14:paraId="154DEEF2" w14:textId="77777777" w:rsidR="00311E44" w:rsidRPr="003445F5" w:rsidRDefault="00311E44" w:rsidP="00704956">
            <w:pPr>
              <w:jc w:val="center"/>
              <w:rPr>
                <w:szCs w:val="22"/>
                <w:lang w:val="sr-Latn-ME"/>
              </w:rPr>
            </w:pPr>
            <w:r w:rsidRPr="003445F5">
              <w:rPr>
                <w:szCs w:val="22"/>
                <w:lang w:val="sr-Latn-ME"/>
              </w:rPr>
              <w:t>0,39; 0,84</w:t>
            </w:r>
          </w:p>
        </w:tc>
        <w:tc>
          <w:tcPr>
            <w:tcW w:w="706" w:type="pct"/>
            <w:tcBorders>
              <w:top w:val="single" w:sz="4" w:space="0" w:color="auto"/>
              <w:left w:val="single" w:sz="4" w:space="0" w:color="auto"/>
              <w:bottom w:val="single" w:sz="4" w:space="0" w:color="000000"/>
              <w:right w:val="single" w:sz="4" w:space="0" w:color="auto"/>
            </w:tcBorders>
            <w:vAlign w:val="center"/>
          </w:tcPr>
          <w:p w14:paraId="69D481D8" w14:textId="77777777" w:rsidR="00311E44" w:rsidRPr="003445F5" w:rsidRDefault="00311E44" w:rsidP="00704956">
            <w:pPr>
              <w:jc w:val="center"/>
              <w:rPr>
                <w:szCs w:val="22"/>
                <w:lang w:val="sr-Latn-ME"/>
              </w:rPr>
            </w:pPr>
            <w:r w:rsidRPr="003445F5">
              <w:rPr>
                <w:szCs w:val="22"/>
                <w:lang w:val="sr-Latn-ME"/>
              </w:rPr>
              <w:t>0,004</w:t>
            </w:r>
          </w:p>
        </w:tc>
      </w:tr>
    </w:tbl>
    <w:p w14:paraId="4D84C3B4" w14:textId="0E282E49" w:rsidR="00C06710" w:rsidRPr="003445F5" w:rsidRDefault="00C06710" w:rsidP="00C06710">
      <w:pPr>
        <w:rPr>
          <w:szCs w:val="22"/>
          <w:lang w:val="sr-Latn-ME"/>
        </w:rPr>
      </w:pPr>
      <w:r w:rsidRPr="003445F5">
        <w:rPr>
          <w:szCs w:val="22"/>
          <w:lang w:val="sr-Latn-ME"/>
        </w:rPr>
        <w:t xml:space="preserve">Napomena: Neuspjeh liječenja u 6. </w:t>
      </w:r>
      <w:r w:rsidR="00551F1D" w:rsidRPr="003445F5">
        <w:rPr>
          <w:szCs w:val="22"/>
          <w:lang w:val="sr-Latn-ME"/>
        </w:rPr>
        <w:t>nedjelj</w:t>
      </w:r>
      <w:r w:rsidR="00704AF5" w:rsidRPr="003445F5">
        <w:rPr>
          <w:szCs w:val="22"/>
          <w:lang w:val="sr-Latn-ME"/>
        </w:rPr>
        <w:t>i</w:t>
      </w:r>
      <w:r w:rsidRPr="003445F5">
        <w:rPr>
          <w:szCs w:val="22"/>
          <w:lang w:val="sr-Latn-ME"/>
        </w:rPr>
        <w:t xml:space="preserve"> ili nakon nje (ispitivanje UV I), odnosno u 2. </w:t>
      </w:r>
      <w:r w:rsidR="00551F1D" w:rsidRPr="003445F5">
        <w:rPr>
          <w:szCs w:val="22"/>
          <w:lang w:val="sr-Latn-ME"/>
        </w:rPr>
        <w:t>nedjelj</w:t>
      </w:r>
      <w:r w:rsidR="00704AF5" w:rsidRPr="003445F5">
        <w:rPr>
          <w:szCs w:val="22"/>
          <w:lang w:val="sr-Latn-ME"/>
        </w:rPr>
        <w:t>i</w:t>
      </w:r>
      <w:r w:rsidRPr="003445F5">
        <w:rPr>
          <w:szCs w:val="22"/>
          <w:lang w:val="sr-Latn-ME"/>
        </w:rPr>
        <w:t xml:space="preserve"> ili nakon nje (ispitivanje UV II) smatrao se događajem. Pacijenti koji su izašli iz ispitivanja zbog razloga koji nisu bili neuspjeh liječenja bili su cenzurisani u trenutku izlaska iz ispitivanja. </w:t>
      </w:r>
    </w:p>
    <w:p w14:paraId="7954AD26" w14:textId="77777777" w:rsidR="00C06710" w:rsidRPr="003445F5" w:rsidRDefault="00C06710" w:rsidP="00C06710">
      <w:pPr>
        <w:rPr>
          <w:szCs w:val="22"/>
          <w:lang w:val="sr-Latn-ME"/>
        </w:rPr>
      </w:pPr>
      <w:r w:rsidRPr="003445F5">
        <w:rPr>
          <w:szCs w:val="22"/>
          <w:vertAlign w:val="superscript"/>
          <w:lang w:val="sr-Latn-ME"/>
        </w:rPr>
        <w:t>a</w:t>
      </w:r>
      <w:r w:rsidRPr="003445F5">
        <w:rPr>
          <w:szCs w:val="22"/>
          <w:lang w:val="sr-Latn-ME"/>
        </w:rPr>
        <w:t xml:space="preserve"> HR za adalimumab u odnosu na placebo iz regresije proporcionalnih hazarda, uz liječenje kao faktor. </w:t>
      </w:r>
    </w:p>
    <w:p w14:paraId="40838610" w14:textId="77777777" w:rsidR="00C06710" w:rsidRPr="003445F5" w:rsidRDefault="00C06710" w:rsidP="00C06710">
      <w:pPr>
        <w:rPr>
          <w:szCs w:val="22"/>
          <w:lang w:val="sr-Latn-ME"/>
        </w:rPr>
      </w:pPr>
      <w:r w:rsidRPr="003445F5">
        <w:rPr>
          <w:szCs w:val="22"/>
          <w:vertAlign w:val="superscript"/>
          <w:lang w:val="sr-Latn-ME"/>
        </w:rPr>
        <w:t>b</w:t>
      </w:r>
      <w:r w:rsidRPr="003445F5">
        <w:rPr>
          <w:szCs w:val="22"/>
          <w:lang w:val="sr-Latn-ME"/>
        </w:rPr>
        <w:t xml:space="preserve"> Dvostrana </w:t>
      </w:r>
      <w:r w:rsidRPr="003445F5">
        <w:rPr>
          <w:i/>
          <w:szCs w:val="22"/>
          <w:lang w:val="sr-Latn-ME"/>
        </w:rPr>
        <w:t>p</w:t>
      </w:r>
      <w:r w:rsidRPr="003445F5">
        <w:rPr>
          <w:szCs w:val="22"/>
          <w:lang w:val="sr-Latn-ME"/>
        </w:rPr>
        <w:t xml:space="preserve">-vrijednost iz log-rank testa. </w:t>
      </w:r>
    </w:p>
    <w:p w14:paraId="10BAE603" w14:textId="401AB4CA" w:rsidR="00C06710" w:rsidRPr="003445F5" w:rsidRDefault="00C06710" w:rsidP="00C06710">
      <w:pPr>
        <w:rPr>
          <w:szCs w:val="22"/>
          <w:lang w:val="sr-Latn-ME"/>
        </w:rPr>
      </w:pPr>
      <w:r w:rsidRPr="003445F5">
        <w:rPr>
          <w:szCs w:val="22"/>
          <w:vertAlign w:val="superscript"/>
          <w:lang w:val="sr-Latn-ME"/>
        </w:rPr>
        <w:t>c</w:t>
      </w:r>
      <w:r w:rsidRPr="003445F5">
        <w:rPr>
          <w:szCs w:val="22"/>
          <w:lang w:val="sr-Latn-ME"/>
        </w:rPr>
        <w:t xml:space="preserve"> NP = ne može se proc</w:t>
      </w:r>
      <w:r w:rsidR="0063026D" w:rsidRPr="003445F5">
        <w:rPr>
          <w:szCs w:val="22"/>
          <w:lang w:val="sr-Latn-ME"/>
        </w:rPr>
        <w:t>i</w:t>
      </w:r>
      <w:r w:rsidRPr="003445F5">
        <w:rPr>
          <w:szCs w:val="22"/>
          <w:lang w:val="sr-Latn-ME"/>
        </w:rPr>
        <w:t>jeniti. Manje od polovine pacijenata pod rizikom imalo je događaj.</w:t>
      </w:r>
    </w:p>
    <w:p w14:paraId="16BA53A0" w14:textId="77777777" w:rsidR="00D011D4" w:rsidRPr="003445F5" w:rsidRDefault="00D011D4" w:rsidP="00524FDF">
      <w:pPr>
        <w:rPr>
          <w:szCs w:val="22"/>
          <w:lang w:val="sr-Latn-ME"/>
        </w:rPr>
      </w:pPr>
    </w:p>
    <w:p w14:paraId="35DE1E23" w14:textId="0C6C751C" w:rsidR="005E3BAE" w:rsidRPr="003445F5" w:rsidRDefault="005C52DD" w:rsidP="005E3BAE">
      <w:pPr>
        <w:rPr>
          <w:b/>
          <w:szCs w:val="22"/>
          <w:lang w:val="sr-Latn-ME"/>
        </w:rPr>
      </w:pPr>
      <w:r w:rsidRPr="003445F5">
        <w:rPr>
          <w:b/>
          <w:szCs w:val="22"/>
          <w:lang w:val="sr-Latn-ME"/>
        </w:rPr>
        <w:t>Slika</w:t>
      </w:r>
      <w:r w:rsidR="00B52A41" w:rsidRPr="003445F5">
        <w:rPr>
          <w:b/>
          <w:szCs w:val="22"/>
          <w:lang w:val="sr-Latn-ME"/>
        </w:rPr>
        <w:t xml:space="preserve"> 1</w:t>
      </w:r>
      <w:r w:rsidRPr="003445F5">
        <w:rPr>
          <w:b/>
          <w:szCs w:val="22"/>
          <w:lang w:val="sr-Latn-ME"/>
        </w:rPr>
        <w:t xml:space="preserve">: </w:t>
      </w:r>
      <w:r w:rsidR="005E3BAE" w:rsidRPr="003445F5">
        <w:rPr>
          <w:b/>
          <w:i/>
          <w:iCs/>
          <w:szCs w:val="22"/>
          <w:lang w:val="sr-Latn-ME"/>
        </w:rPr>
        <w:t>Kaplan-Meier</w:t>
      </w:r>
      <w:r w:rsidR="005E3BAE" w:rsidRPr="003445F5">
        <w:rPr>
          <w:b/>
          <w:szCs w:val="22"/>
          <w:lang w:val="sr-Latn-ME"/>
        </w:rPr>
        <w:t>-ove krive koje sažeto prikazuju vr</w:t>
      </w:r>
      <w:r w:rsidR="0063026D" w:rsidRPr="003445F5">
        <w:rPr>
          <w:b/>
          <w:szCs w:val="22"/>
          <w:lang w:val="sr-Latn-ME"/>
        </w:rPr>
        <w:t>ij</w:t>
      </w:r>
      <w:r w:rsidR="005E3BAE" w:rsidRPr="003445F5">
        <w:rPr>
          <w:b/>
          <w:szCs w:val="22"/>
          <w:lang w:val="sr-Latn-ME"/>
        </w:rPr>
        <w:t xml:space="preserve">eme do neuspjeha liječenja u 6. </w:t>
      </w:r>
      <w:r w:rsidR="00551F1D" w:rsidRPr="003445F5">
        <w:rPr>
          <w:b/>
          <w:szCs w:val="22"/>
          <w:lang w:val="sr-Latn-ME"/>
        </w:rPr>
        <w:t>nedjelj</w:t>
      </w:r>
      <w:r w:rsidR="00704AF5" w:rsidRPr="003445F5">
        <w:rPr>
          <w:b/>
          <w:szCs w:val="22"/>
          <w:lang w:val="sr-Latn-ME"/>
        </w:rPr>
        <w:t>i</w:t>
      </w:r>
      <w:r w:rsidR="005E3BAE" w:rsidRPr="003445F5">
        <w:rPr>
          <w:b/>
          <w:szCs w:val="22"/>
          <w:lang w:val="sr-Latn-ME"/>
        </w:rPr>
        <w:t xml:space="preserve"> ili nakon toga (ispitivanje UV I) odnosno u 2. </w:t>
      </w:r>
      <w:r w:rsidR="00551F1D" w:rsidRPr="003445F5">
        <w:rPr>
          <w:b/>
          <w:szCs w:val="22"/>
          <w:lang w:val="sr-Latn-ME"/>
        </w:rPr>
        <w:t>nedjelj</w:t>
      </w:r>
      <w:r w:rsidR="00704AF5" w:rsidRPr="003445F5">
        <w:rPr>
          <w:b/>
          <w:szCs w:val="22"/>
          <w:lang w:val="sr-Latn-ME"/>
        </w:rPr>
        <w:t>i</w:t>
      </w:r>
      <w:r w:rsidR="005E3BAE" w:rsidRPr="003445F5">
        <w:rPr>
          <w:b/>
          <w:szCs w:val="22"/>
          <w:lang w:val="sr-Latn-ME"/>
        </w:rPr>
        <w:t xml:space="preserve"> ili nakon toga (ispitivanje UV II)</w:t>
      </w:r>
    </w:p>
    <w:p w14:paraId="57A80C4F" w14:textId="2536FE55" w:rsidR="00777C80" w:rsidRPr="003445F5" w:rsidRDefault="00CC290C" w:rsidP="00524FDF">
      <w:pPr>
        <w:rPr>
          <w:szCs w:val="22"/>
          <w:lang w:val="sr-Latn-ME"/>
        </w:rPr>
      </w:pPr>
      <w:r w:rsidRPr="003445F5">
        <w:rPr>
          <w:b/>
          <w:bCs/>
          <w:noProof/>
          <w:szCs w:val="22"/>
        </w:rPr>
        <w:drawing>
          <wp:inline distT="0" distB="0" distL="0" distR="0" wp14:anchorId="4CB265AF" wp14:editId="6E108757">
            <wp:extent cx="4381500" cy="395241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3972" cy="3963663"/>
                    </a:xfrm>
                    <a:prstGeom prst="rect">
                      <a:avLst/>
                    </a:prstGeom>
                    <a:noFill/>
                    <a:ln>
                      <a:noFill/>
                    </a:ln>
                  </pic:spPr>
                </pic:pic>
              </a:graphicData>
            </a:graphic>
          </wp:inline>
        </w:drawing>
      </w:r>
    </w:p>
    <w:p w14:paraId="78C6F09B" w14:textId="03096EB6" w:rsidR="00777C80" w:rsidRPr="003445F5" w:rsidRDefault="00777C80" w:rsidP="00524FDF">
      <w:pPr>
        <w:rPr>
          <w:szCs w:val="22"/>
          <w:lang w:val="sr-Latn-ME"/>
        </w:rPr>
      </w:pPr>
    </w:p>
    <w:p w14:paraId="130CE9D7" w14:textId="77777777" w:rsidR="00FE0861" w:rsidRPr="003445F5" w:rsidRDefault="00FE0861" w:rsidP="00FE0861">
      <w:pPr>
        <w:ind w:left="-5"/>
        <w:rPr>
          <w:szCs w:val="22"/>
          <w:lang w:val="sr-Latn-ME"/>
        </w:rPr>
      </w:pPr>
      <w:r w:rsidRPr="003445F5">
        <w:rPr>
          <w:szCs w:val="22"/>
          <w:lang w:val="sr-Latn-ME"/>
        </w:rPr>
        <w:t xml:space="preserve">Napomena: P# = Placebo (broj događaja/broj pacijenata pod rizikom); A# = Adalimumab (broj događaja/broj pacijenata pod rizikom). </w:t>
      </w:r>
    </w:p>
    <w:p w14:paraId="71739C44" w14:textId="77777777" w:rsidR="00FE0861" w:rsidRPr="003445F5" w:rsidRDefault="00FE0861" w:rsidP="00FE0861">
      <w:pPr>
        <w:ind w:left="-5"/>
        <w:rPr>
          <w:szCs w:val="22"/>
          <w:lang w:val="sr-Latn-ME"/>
        </w:rPr>
      </w:pPr>
    </w:p>
    <w:p w14:paraId="2E8DE132" w14:textId="7601BAA7" w:rsidR="009208BF" w:rsidRPr="003445F5" w:rsidRDefault="009208BF" w:rsidP="009208BF">
      <w:pPr>
        <w:ind w:left="-5"/>
        <w:rPr>
          <w:szCs w:val="22"/>
          <w:lang w:val="sr-Latn-ME"/>
        </w:rPr>
      </w:pPr>
      <w:r w:rsidRPr="003445F5">
        <w:rPr>
          <w:szCs w:val="22"/>
          <w:lang w:val="sr-Latn-ME"/>
        </w:rPr>
        <w:t xml:space="preserve">U ispitivanju UV I </w:t>
      </w:r>
      <w:r w:rsidR="00704AF5" w:rsidRPr="003445F5">
        <w:rPr>
          <w:szCs w:val="22"/>
          <w:lang w:val="sr-Latn-ME"/>
        </w:rPr>
        <w:t>primijećene</w:t>
      </w:r>
      <w:r w:rsidRPr="003445F5">
        <w:rPr>
          <w:szCs w:val="22"/>
          <w:lang w:val="sr-Latn-ME"/>
        </w:rPr>
        <w:t xml:space="preserve"> su statistički značajne razlike u korist adalimumaba naspram placeba za svaku komponentu neuspjeha liječenja. U ispitivanju UV II, statistički značajne razlike </w:t>
      </w:r>
      <w:r w:rsidR="00704AF5" w:rsidRPr="003445F5">
        <w:rPr>
          <w:szCs w:val="22"/>
          <w:lang w:val="sr-Latn-ME"/>
        </w:rPr>
        <w:t>primijećene</w:t>
      </w:r>
      <w:r w:rsidRPr="003445F5">
        <w:rPr>
          <w:szCs w:val="22"/>
          <w:lang w:val="sr-Latn-ME"/>
        </w:rPr>
        <w:t xml:space="preserve"> su samo za oštrinu vida, ali su druge komponente brojčano bile u korist adalimumaba. </w:t>
      </w:r>
    </w:p>
    <w:p w14:paraId="1405136F" w14:textId="77777777" w:rsidR="009208BF" w:rsidRPr="003445F5" w:rsidRDefault="009208BF" w:rsidP="009208BF">
      <w:pPr>
        <w:ind w:left="-5"/>
        <w:jc w:val="left"/>
        <w:rPr>
          <w:szCs w:val="22"/>
          <w:lang w:val="sr-Latn-ME"/>
        </w:rPr>
      </w:pPr>
    </w:p>
    <w:p w14:paraId="21C73BC1" w14:textId="0F659046" w:rsidR="009208BF" w:rsidRPr="003445F5" w:rsidRDefault="009208BF" w:rsidP="009208BF">
      <w:pPr>
        <w:ind w:left="-5"/>
        <w:rPr>
          <w:szCs w:val="22"/>
          <w:lang w:val="sr-Latn-ME"/>
        </w:rPr>
      </w:pPr>
      <w:r w:rsidRPr="003445F5">
        <w:rPr>
          <w:szCs w:val="22"/>
          <w:lang w:val="sr-Latn-ME"/>
        </w:rPr>
        <w:t xml:space="preserve">Od ukupno 424 ispitanika uključenih u nekontrolisani dugoročni produžetak ispitivanja UV I i UV II, 60 ispitanika je smatrano nepodobnim (npr. kod njih su se razvile komplikacije kao posljedica dijabetične retinopatije, zbog operacije katarakte ili vitrektomije) i zato nisu bili uključeni u primarnu analizu efikasnosti. Od preostalog 364 pacijenta, 269 ocjenjivih pacijenata (74%) učestvovalo je u otvorenom liječenju adalimumabom tokom 78 nedjelja. Prema pristupu zasnovanom na zapaženim podacima, kod 216 (80,3%) pacijenta bolest je bila u mirovanju (bez aktivnih inflamatornih lezija, stepen prema broju ćelija u prednjoj očnoj komori (engl. </w:t>
      </w:r>
      <w:r w:rsidRPr="003445F5">
        <w:rPr>
          <w:i/>
          <w:szCs w:val="22"/>
          <w:lang w:val="sr-Latn-ME"/>
        </w:rPr>
        <w:t xml:space="preserve">anterior chamber </w:t>
      </w:r>
      <w:r w:rsidRPr="003445F5">
        <w:rPr>
          <w:szCs w:val="22"/>
          <w:lang w:val="sr-Latn-ME"/>
        </w:rPr>
        <w:t xml:space="preserve">[AC] </w:t>
      </w:r>
      <w:r w:rsidRPr="003445F5">
        <w:rPr>
          <w:i/>
          <w:szCs w:val="22"/>
          <w:lang w:val="sr-Latn-ME"/>
        </w:rPr>
        <w:t>cell grade</w:t>
      </w:r>
      <w:r w:rsidRPr="003445F5">
        <w:rPr>
          <w:szCs w:val="22"/>
          <w:lang w:val="sr-Latn-ME"/>
        </w:rPr>
        <w:t xml:space="preserve">) ≤ 0,5 +, </w:t>
      </w:r>
      <w:r w:rsidRPr="003445F5">
        <w:rPr>
          <w:szCs w:val="22"/>
          <w:lang w:val="sr-Latn-ME"/>
        </w:rPr>
        <w:lastRenderedPageBreak/>
        <w:t>stepen zamućenja staklastog t</w:t>
      </w:r>
      <w:r w:rsidR="0063026D" w:rsidRPr="003445F5">
        <w:rPr>
          <w:szCs w:val="22"/>
          <w:lang w:val="sr-Latn-ME"/>
        </w:rPr>
        <w:t>ij</w:t>
      </w:r>
      <w:r w:rsidRPr="003445F5">
        <w:rPr>
          <w:szCs w:val="22"/>
          <w:lang w:val="sr-Latn-ME"/>
        </w:rPr>
        <w:t xml:space="preserve">ela (engl. </w:t>
      </w:r>
      <w:r w:rsidRPr="003445F5">
        <w:rPr>
          <w:i/>
          <w:szCs w:val="22"/>
          <w:lang w:val="sr-Latn-ME"/>
        </w:rPr>
        <w:t xml:space="preserve">vitreous haze </w:t>
      </w:r>
      <w:r w:rsidRPr="003445F5">
        <w:rPr>
          <w:szCs w:val="22"/>
          <w:lang w:val="sr-Latn-ME"/>
        </w:rPr>
        <w:t xml:space="preserve">[VH] </w:t>
      </w:r>
      <w:r w:rsidRPr="003445F5">
        <w:rPr>
          <w:i/>
          <w:szCs w:val="22"/>
          <w:lang w:val="sr-Latn-ME"/>
        </w:rPr>
        <w:t>grade</w:t>
      </w:r>
      <w:r w:rsidRPr="003445F5">
        <w:rPr>
          <w:szCs w:val="22"/>
          <w:lang w:val="sr-Latn-ME"/>
        </w:rPr>
        <w:t xml:space="preserve">) ≤ 0,5+) uz istovremenu primjenu steroida u dozi od ≤ 7,5 mg na dan, dok je kod njih 178 (66,2%) bolest bila u mirovanju bez primjene steroida. U 78. </w:t>
      </w:r>
      <w:r w:rsidR="00551F1D" w:rsidRPr="003445F5">
        <w:rPr>
          <w:szCs w:val="22"/>
          <w:lang w:val="sr-Latn-ME"/>
        </w:rPr>
        <w:t>nedjelj</w:t>
      </w:r>
      <w:r w:rsidRPr="003445F5">
        <w:rPr>
          <w:szCs w:val="22"/>
          <w:lang w:val="sr-Latn-ME"/>
        </w:rPr>
        <w:t xml:space="preserve">i najbolja korigovana oštrina vida (engl. </w:t>
      </w:r>
      <w:r w:rsidRPr="003445F5">
        <w:rPr>
          <w:i/>
          <w:szCs w:val="22"/>
          <w:lang w:val="sr-Latn-ME"/>
        </w:rPr>
        <w:t>best corrected visual acuity</w:t>
      </w:r>
      <w:r w:rsidRPr="003445F5">
        <w:rPr>
          <w:szCs w:val="22"/>
          <w:lang w:val="sr-Latn-ME"/>
        </w:rPr>
        <w:t xml:space="preserve">, BCVA) se ili poboljšala ili održala na istom nivou (pogoršanje za &lt; 5 slova) kod 88,6% očiju. Podaci za period </w:t>
      </w:r>
      <w:r w:rsidR="004A0CF7" w:rsidRPr="003445F5">
        <w:rPr>
          <w:szCs w:val="22"/>
          <w:lang w:val="sr-Latn-ME"/>
        </w:rPr>
        <w:t>poslije</w:t>
      </w:r>
      <w:r w:rsidRPr="003445F5">
        <w:rPr>
          <w:szCs w:val="22"/>
          <w:lang w:val="sr-Latn-ME"/>
        </w:rPr>
        <w:t xml:space="preserve">78. </w:t>
      </w:r>
      <w:r w:rsidR="00551F1D" w:rsidRPr="003445F5">
        <w:rPr>
          <w:szCs w:val="22"/>
          <w:lang w:val="sr-Latn-ME"/>
        </w:rPr>
        <w:t>nedjelj</w:t>
      </w:r>
      <w:r w:rsidR="0047711E" w:rsidRPr="003445F5">
        <w:rPr>
          <w:szCs w:val="22"/>
          <w:lang w:val="sr-Latn-ME"/>
        </w:rPr>
        <w:t>e</w:t>
      </w:r>
      <w:r w:rsidRPr="003445F5">
        <w:rPr>
          <w:szCs w:val="22"/>
          <w:lang w:val="sr-Latn-ME"/>
        </w:rPr>
        <w:t xml:space="preserve"> bili su konzistentni sa ovim rezultatima, ali se broj ispitanika smanjio </w:t>
      </w:r>
      <w:r w:rsidR="004A0CF7" w:rsidRPr="003445F5">
        <w:rPr>
          <w:szCs w:val="22"/>
          <w:lang w:val="sr-Latn-ME"/>
        </w:rPr>
        <w:t>poslije</w:t>
      </w:r>
      <w:r w:rsidR="0063026D" w:rsidRPr="003445F5">
        <w:rPr>
          <w:szCs w:val="22"/>
          <w:lang w:val="sr-Latn-ME"/>
        </w:rPr>
        <w:t xml:space="preserve"> </w:t>
      </w:r>
      <w:r w:rsidRPr="003445F5">
        <w:rPr>
          <w:szCs w:val="22"/>
          <w:lang w:val="sr-Latn-ME"/>
        </w:rPr>
        <w:t>ovog perioda. Među pacijentima koji su prekinuli učešće u ispitivanju, njih 18% to je učinilo zbog neželjenih dejstava, a njih 8% zbog nedovoljno dobrog odgovora na liječenje adalimumabom.</w:t>
      </w:r>
    </w:p>
    <w:p w14:paraId="093B39C9" w14:textId="77777777" w:rsidR="00FE0861" w:rsidRPr="003445F5" w:rsidRDefault="00FE0861" w:rsidP="00524FDF">
      <w:pPr>
        <w:rPr>
          <w:i/>
          <w:szCs w:val="22"/>
          <w:u w:val="single"/>
          <w:lang w:val="sr-Latn-ME"/>
        </w:rPr>
      </w:pPr>
    </w:p>
    <w:p w14:paraId="1F93C25A" w14:textId="77777777" w:rsidR="003C3770" w:rsidRPr="003445F5" w:rsidRDefault="003C3770" w:rsidP="003C3770">
      <w:pPr>
        <w:rPr>
          <w:i/>
          <w:szCs w:val="22"/>
          <w:lang w:val="sr-Latn-ME"/>
        </w:rPr>
      </w:pPr>
      <w:r w:rsidRPr="003445F5">
        <w:rPr>
          <w:i/>
          <w:szCs w:val="22"/>
          <w:u w:val="single"/>
          <w:lang w:val="sr-Latn-ME"/>
        </w:rPr>
        <w:t>Kvalitet života</w:t>
      </w:r>
      <w:r w:rsidRPr="003445F5">
        <w:rPr>
          <w:i/>
          <w:szCs w:val="22"/>
          <w:lang w:val="sr-Latn-ME"/>
        </w:rPr>
        <w:t xml:space="preserve"> </w:t>
      </w:r>
    </w:p>
    <w:p w14:paraId="1A00ACDB" w14:textId="77777777" w:rsidR="00F52510" w:rsidRPr="003445F5" w:rsidRDefault="00F52510" w:rsidP="00F52510">
      <w:pPr>
        <w:rPr>
          <w:szCs w:val="22"/>
          <w:lang w:val="sr-Latn-ME"/>
        </w:rPr>
      </w:pPr>
      <w:r w:rsidRPr="003445F5">
        <w:rPr>
          <w:szCs w:val="22"/>
          <w:lang w:val="sr-Latn-ME"/>
        </w:rPr>
        <w:t xml:space="preserve">U oba klinička ispitivanja upitnikom NEI VFQ-25 su se određivali ishodi s obzirom na funkcionisanje povezano sa vidom koje su prijavljivali pacijenti. Većina podrezultata brojčano je išla u prilog adalimumabu, a srednje vrijednosti razlike bile su statistički značajne za opšti vid, bol u oku, vid na blizinu, mentalno zdravlje i ukupan rezultat u ispitivanju UV I, kao i za opšti vid i mentalno zdravlje u ispitivanju UV II. Efekti povezani sa vidom koji nisu brojčano išli u prilog adalimumabu bili su efekti na vid u boji u ispitivanju UV I, odnosno efekti na vid u boji, periferni vid i vid na blizinu u ispitivanju UV II. </w:t>
      </w:r>
    </w:p>
    <w:p w14:paraId="77DFB58A" w14:textId="77777777" w:rsidR="003C3770" w:rsidRPr="003445F5" w:rsidRDefault="003C3770" w:rsidP="003C3770">
      <w:pPr>
        <w:rPr>
          <w:szCs w:val="22"/>
          <w:lang w:val="sr-Latn-ME"/>
        </w:rPr>
      </w:pPr>
    </w:p>
    <w:p w14:paraId="5C4460BA" w14:textId="77777777" w:rsidR="003C3770" w:rsidRPr="003445F5" w:rsidRDefault="003C3770" w:rsidP="003C3770">
      <w:pPr>
        <w:rPr>
          <w:szCs w:val="22"/>
          <w:lang w:val="sr-Latn-ME"/>
        </w:rPr>
      </w:pPr>
      <w:r w:rsidRPr="003445F5">
        <w:rPr>
          <w:szCs w:val="22"/>
          <w:u w:val="single"/>
          <w:lang w:val="sr-Latn-ME"/>
        </w:rPr>
        <w:t>Imunogenost</w:t>
      </w:r>
      <w:r w:rsidRPr="003445F5">
        <w:rPr>
          <w:szCs w:val="22"/>
          <w:lang w:val="sr-Latn-ME"/>
        </w:rPr>
        <w:t xml:space="preserve"> </w:t>
      </w:r>
    </w:p>
    <w:p w14:paraId="463F9836" w14:textId="77777777" w:rsidR="003C3770" w:rsidRPr="003445F5" w:rsidRDefault="003C3770" w:rsidP="003C3770">
      <w:pPr>
        <w:rPr>
          <w:szCs w:val="22"/>
          <w:lang w:val="sr-Latn-ME"/>
        </w:rPr>
      </w:pPr>
    </w:p>
    <w:p w14:paraId="37F107BB" w14:textId="77777777" w:rsidR="001E6ABB" w:rsidRPr="003445F5" w:rsidRDefault="001E6ABB" w:rsidP="001E6ABB">
      <w:pPr>
        <w:rPr>
          <w:szCs w:val="22"/>
          <w:lang w:val="sr-Latn-ME"/>
        </w:rPr>
      </w:pPr>
      <w:r w:rsidRPr="003445F5">
        <w:rPr>
          <w:szCs w:val="22"/>
          <w:lang w:val="sr-Latn-ME"/>
        </w:rPr>
        <w:t xml:space="preserve">Tokom liječenja adalimumabom mogu se razviti antitijela na adalimumab. Stvaranje antitijela na adalimumab povezano je sa bržim klirensom i smanjenom efikasnošću adalimumaba. Nema očigledne korelacije između prisustva antitijela na adalimumab sa pojavom neželjenih događaja. </w:t>
      </w:r>
    </w:p>
    <w:p w14:paraId="5583B468" w14:textId="38ACDDD0" w:rsidR="00777C80" w:rsidRPr="003445F5" w:rsidRDefault="00777C80" w:rsidP="00524FDF">
      <w:pPr>
        <w:rPr>
          <w:szCs w:val="22"/>
          <w:lang w:val="sr-Latn-ME"/>
        </w:rPr>
      </w:pPr>
    </w:p>
    <w:p w14:paraId="210B93AA" w14:textId="4E626CBE" w:rsidR="00B82D18" w:rsidRPr="003445F5" w:rsidRDefault="00F6041A" w:rsidP="00524FDF">
      <w:pPr>
        <w:rPr>
          <w:szCs w:val="22"/>
          <w:u w:val="single"/>
          <w:lang w:val="sr-Latn-ME"/>
        </w:rPr>
      </w:pPr>
      <w:r w:rsidRPr="003445F5">
        <w:rPr>
          <w:szCs w:val="22"/>
          <w:u w:val="single"/>
          <w:lang w:val="sr-Latn-ME"/>
        </w:rPr>
        <w:t>Pedijatrijska populacija</w:t>
      </w:r>
    </w:p>
    <w:p w14:paraId="13C504BC" w14:textId="08534E02" w:rsidR="00771666" w:rsidRPr="003445F5" w:rsidRDefault="00771666" w:rsidP="00524FDF">
      <w:pPr>
        <w:rPr>
          <w:b/>
          <w:bCs/>
          <w:szCs w:val="22"/>
          <w:lang w:val="sr-Latn-ME"/>
        </w:rPr>
      </w:pPr>
    </w:p>
    <w:p w14:paraId="603C1A98" w14:textId="77777777" w:rsidR="00C621C2" w:rsidRPr="003445F5" w:rsidRDefault="00C621C2" w:rsidP="00C621C2">
      <w:pPr>
        <w:rPr>
          <w:i/>
          <w:szCs w:val="22"/>
          <w:lang w:val="sr-Latn-ME"/>
        </w:rPr>
      </w:pPr>
      <w:r w:rsidRPr="003445F5">
        <w:rPr>
          <w:i/>
          <w:szCs w:val="22"/>
          <w:lang w:val="sr-Latn-ME"/>
        </w:rPr>
        <w:t>Gnojno zapaljenje znojnih žlijezda (Hidradenitis suppurativa) kod adolescenata</w:t>
      </w:r>
    </w:p>
    <w:p w14:paraId="7CD52B1B" w14:textId="1888ABF0" w:rsidR="00C621C2" w:rsidRPr="003445F5" w:rsidRDefault="00C621C2" w:rsidP="00C621C2">
      <w:pPr>
        <w:rPr>
          <w:szCs w:val="22"/>
          <w:lang w:val="sr-Latn-ME"/>
        </w:rPr>
      </w:pPr>
      <w:r w:rsidRPr="003445F5">
        <w:rPr>
          <w:szCs w:val="22"/>
          <w:lang w:val="sr-Latn-ME"/>
        </w:rPr>
        <w:t>Nisu sprovedena klinička ispitivanja adalimumaba kod adolescentnih pacijenata sa gnojnim zapaljenjem znojnih žlijezda. Efikasnost adalimumaba u liječenju adolescentnih pacijenata sa gnojnim zapaljenjem znojnih žlijezda predviđa se na osnovu dokazane efikasnosti i povezanosti izloženosti i odgovora kod odraslih pacijenata sa gnojnim zapaljenjem znojnih žlijezda, kao i na vjerovatnoći da su tok bolesti, patofiziologija i efekti lijeka u suštini slični kao kod odraslih osoba pri istim nivoima izloženosti. Bezbjednost preporučene doze adalimumaba u adolescentnoj populaciji sa gnojnim zapaljenjem znojnih žlijezda zasniva se na bezbjednosnom profilu adalimumaba u drugim indikacijama i kod odraslih i kod pedijatrijskih pacijenata pri sličnoj ili većoj učestalosti doziranja (</w:t>
      </w:r>
      <w:r w:rsidR="007E1F86" w:rsidRPr="003445F5">
        <w:rPr>
          <w:szCs w:val="22"/>
          <w:lang w:val="sr-Latn-ME"/>
        </w:rPr>
        <w:t>pogledati dio</w:t>
      </w:r>
      <w:r w:rsidRPr="003445F5">
        <w:rPr>
          <w:szCs w:val="22"/>
          <w:lang w:val="sr-Latn-ME"/>
        </w:rPr>
        <w:t xml:space="preserve"> 5.2).</w:t>
      </w:r>
    </w:p>
    <w:p w14:paraId="18E3AE9C" w14:textId="77777777" w:rsidR="00C621C2" w:rsidRPr="003445F5" w:rsidRDefault="00C621C2" w:rsidP="00C621C2">
      <w:pPr>
        <w:rPr>
          <w:szCs w:val="22"/>
          <w:lang w:val="sr-Latn-ME"/>
        </w:rPr>
      </w:pPr>
    </w:p>
    <w:p w14:paraId="71AE5DA0" w14:textId="77777777" w:rsidR="00C621C2" w:rsidRPr="003445F5" w:rsidRDefault="00C621C2" w:rsidP="00C621C2">
      <w:pPr>
        <w:rPr>
          <w:i/>
          <w:szCs w:val="22"/>
          <w:lang w:val="sr-Latn-ME"/>
        </w:rPr>
      </w:pPr>
      <w:r w:rsidRPr="003445F5">
        <w:rPr>
          <w:i/>
          <w:iCs/>
          <w:szCs w:val="22"/>
          <w:lang w:val="sr-Latn-ME"/>
        </w:rPr>
        <w:t>Crohn</w:t>
      </w:r>
      <w:r w:rsidRPr="003445F5">
        <w:rPr>
          <w:i/>
          <w:szCs w:val="22"/>
          <w:lang w:val="sr-Latn-ME"/>
        </w:rPr>
        <w:t>-ova bolest kod djece</w:t>
      </w:r>
    </w:p>
    <w:p w14:paraId="494AC3DA" w14:textId="77777777" w:rsidR="00C621C2" w:rsidRPr="003445F5" w:rsidRDefault="00C621C2" w:rsidP="00C621C2">
      <w:pPr>
        <w:rPr>
          <w:szCs w:val="22"/>
          <w:lang w:val="sr-Latn-ME"/>
        </w:rPr>
      </w:pPr>
      <w:r w:rsidRPr="003445F5">
        <w:rPr>
          <w:szCs w:val="22"/>
          <w:lang w:val="sr-Latn-ME"/>
        </w:rPr>
        <w:t xml:space="preserve">Adalimumab je ispitivan u multicentričnoj, randomizovanoj, duplo-slijepoj kliničkoj studiji, dizajniranoj za evaluaciju efikasnosti i bezbjednosti indukcione terapije i terapije održavanja, u dozi koja zavisi od tjelesne mase (&lt; 40 kg ili ≥ 40 kg) kod 192 pedijatrijska ispitanika, uzrasta između (i uključujući) 6 i 17 godina, sa umjerenim do teškim oblikom </w:t>
      </w:r>
      <w:r w:rsidRPr="003445F5">
        <w:rPr>
          <w:i/>
          <w:iCs/>
          <w:szCs w:val="22"/>
          <w:lang w:val="sr-Latn-ME"/>
        </w:rPr>
        <w:t>Crohn</w:t>
      </w:r>
      <w:r w:rsidRPr="003445F5">
        <w:rPr>
          <w:szCs w:val="22"/>
          <w:lang w:val="sr-Latn-ME"/>
        </w:rPr>
        <w:t xml:space="preserve">-ove bolesti, definisanim rezultatom prema Indeksu aktivnosti </w:t>
      </w:r>
      <w:r w:rsidRPr="003445F5">
        <w:rPr>
          <w:i/>
          <w:iCs/>
          <w:szCs w:val="22"/>
          <w:lang w:val="sr-Latn-ME"/>
        </w:rPr>
        <w:t>Crohn-</w:t>
      </w:r>
      <w:r w:rsidRPr="003445F5">
        <w:rPr>
          <w:szCs w:val="22"/>
          <w:lang w:val="sr-Latn-ME"/>
        </w:rPr>
        <w:t xml:space="preserve">ove bolesti kod djece (engl. </w:t>
      </w:r>
      <w:r w:rsidRPr="003445F5">
        <w:rPr>
          <w:i/>
          <w:szCs w:val="22"/>
          <w:lang w:val="sr-Latn-ME"/>
        </w:rPr>
        <w:t xml:space="preserve">Paediatric </w:t>
      </w:r>
      <w:r w:rsidRPr="003445F5">
        <w:rPr>
          <w:i/>
          <w:iCs/>
          <w:szCs w:val="22"/>
          <w:lang w:val="sr-Latn-ME"/>
        </w:rPr>
        <w:t>Crohn</w:t>
      </w:r>
      <w:r w:rsidRPr="003445F5">
        <w:rPr>
          <w:i/>
          <w:szCs w:val="22"/>
          <w:lang w:val="sr-Latn-ME"/>
        </w:rPr>
        <w:t xml:space="preserve">’s Disease Activity Index, </w:t>
      </w:r>
      <w:r w:rsidRPr="003445F5">
        <w:rPr>
          <w:szCs w:val="22"/>
          <w:lang w:val="sr-Latn-ME"/>
        </w:rPr>
        <w:t xml:space="preserve">PCDAI) &gt;30. Ispitanici su prethodno morali imati neadekvatan odgovor na konvencionalnu terapiju u liječenju </w:t>
      </w:r>
      <w:r w:rsidRPr="003445F5">
        <w:rPr>
          <w:i/>
          <w:iCs/>
          <w:szCs w:val="22"/>
          <w:lang w:val="sr-Latn-ME"/>
        </w:rPr>
        <w:t>Crohn</w:t>
      </w:r>
      <w:r w:rsidRPr="003445F5">
        <w:rPr>
          <w:szCs w:val="22"/>
          <w:lang w:val="sr-Latn-ME"/>
        </w:rPr>
        <w:t>-ove bolesti (uključujući kortikosteroide i/ili imunomodulator). Ispitanici su mogli biti i pacijenti koji su imali slabljenje odgovora na infliksimab ili ga nisu podnosili.</w:t>
      </w:r>
    </w:p>
    <w:p w14:paraId="54485E6E" w14:textId="77777777" w:rsidR="00C621C2" w:rsidRPr="003445F5" w:rsidRDefault="00C621C2" w:rsidP="00C621C2">
      <w:pPr>
        <w:rPr>
          <w:szCs w:val="22"/>
          <w:lang w:val="sr-Latn-ME"/>
        </w:rPr>
      </w:pPr>
    </w:p>
    <w:p w14:paraId="775B92CD" w14:textId="0DCCF67A" w:rsidR="00C621C2" w:rsidRPr="003445F5" w:rsidRDefault="00C621C2" w:rsidP="00C621C2">
      <w:pPr>
        <w:rPr>
          <w:szCs w:val="22"/>
          <w:lang w:val="sr-Latn-ME"/>
        </w:rPr>
      </w:pPr>
      <w:r w:rsidRPr="003445F5">
        <w:rPr>
          <w:szCs w:val="22"/>
          <w:lang w:val="sr-Latn-ME"/>
        </w:rPr>
        <w:t xml:space="preserve">Svi ispitanici su primili otvorenu indukcionu terapiju u dozi u odnosu na svoju tjelesnu masu: pacijenti sa tjelesnom masom ≥ 40 kg primili su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80 mg nakon dvije </w:t>
      </w:r>
      <w:r w:rsidR="00551F1D" w:rsidRPr="003445F5">
        <w:rPr>
          <w:szCs w:val="22"/>
          <w:lang w:val="sr-Latn-ME"/>
        </w:rPr>
        <w:t>nedjelj</w:t>
      </w:r>
      <w:r w:rsidR="0047711E" w:rsidRPr="003445F5">
        <w:rPr>
          <w:szCs w:val="22"/>
          <w:lang w:val="sr-Latn-ME"/>
        </w:rPr>
        <w:t>e</w:t>
      </w:r>
      <w:r w:rsidRPr="003445F5">
        <w:rPr>
          <w:szCs w:val="22"/>
          <w:lang w:val="sr-Latn-ME"/>
        </w:rPr>
        <w:t xml:space="preserve">, a ispitanici sa tjelesnom masom &lt; 40 kg primili su 80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40 mg nakon dvije </w:t>
      </w:r>
      <w:r w:rsidR="00551F1D" w:rsidRPr="003445F5">
        <w:rPr>
          <w:szCs w:val="22"/>
          <w:lang w:val="sr-Latn-ME"/>
        </w:rPr>
        <w:t>nedjelj</w:t>
      </w:r>
      <w:r w:rsidR="0047711E" w:rsidRPr="003445F5">
        <w:rPr>
          <w:szCs w:val="22"/>
          <w:lang w:val="sr-Latn-ME"/>
        </w:rPr>
        <w:t>e</w:t>
      </w:r>
      <w:r w:rsidRPr="003445F5">
        <w:rPr>
          <w:szCs w:val="22"/>
          <w:lang w:val="sr-Latn-ME"/>
        </w:rPr>
        <w:t>.</w:t>
      </w:r>
    </w:p>
    <w:p w14:paraId="6BDFBF30" w14:textId="77777777" w:rsidR="00D73526" w:rsidRPr="003445F5" w:rsidRDefault="00D73526" w:rsidP="00D73526">
      <w:pPr>
        <w:rPr>
          <w:szCs w:val="22"/>
          <w:lang w:val="sr-Latn-ME"/>
        </w:rPr>
      </w:pPr>
    </w:p>
    <w:p w14:paraId="01B6850F" w14:textId="0B185B00" w:rsidR="00D73526" w:rsidRPr="003445F5" w:rsidRDefault="00D73526" w:rsidP="00D73526">
      <w:pPr>
        <w:rPr>
          <w:szCs w:val="22"/>
          <w:lang w:val="sr-Latn-ME"/>
        </w:rPr>
      </w:pPr>
      <w:r w:rsidRPr="003445F5">
        <w:rPr>
          <w:szCs w:val="22"/>
          <w:lang w:val="sr-Latn-ME"/>
        </w:rPr>
        <w:t xml:space="preserve">U 4. </w:t>
      </w:r>
      <w:r w:rsidR="00551F1D" w:rsidRPr="003445F5">
        <w:rPr>
          <w:szCs w:val="22"/>
          <w:lang w:val="sr-Latn-ME"/>
        </w:rPr>
        <w:t>nedjelj</w:t>
      </w:r>
      <w:r w:rsidR="00704AF5" w:rsidRPr="003445F5">
        <w:rPr>
          <w:szCs w:val="22"/>
          <w:lang w:val="sr-Latn-ME"/>
        </w:rPr>
        <w:t>i</w:t>
      </w:r>
      <w:r w:rsidRPr="003445F5">
        <w:rPr>
          <w:szCs w:val="22"/>
          <w:lang w:val="sr-Latn-ME"/>
        </w:rPr>
        <w:t xml:space="preserve"> ispitanici su randomizovani 1:1 u odnosu na t</w:t>
      </w:r>
      <w:r w:rsidR="00C621C2" w:rsidRPr="003445F5">
        <w:rPr>
          <w:szCs w:val="22"/>
          <w:lang w:val="sr-Latn-ME"/>
        </w:rPr>
        <w:t>j</w:t>
      </w:r>
      <w:r w:rsidRPr="003445F5">
        <w:rPr>
          <w:szCs w:val="22"/>
          <w:lang w:val="sr-Latn-ME"/>
        </w:rPr>
        <w:t>elesnu masu da bi nastavili da primaju nižu dozu ili standardnu dozu u terapiji održavanja, kao što je prikazano u Tabeli 18.</w:t>
      </w:r>
    </w:p>
    <w:p w14:paraId="6F7E6EDA" w14:textId="4F998E71" w:rsidR="00771666" w:rsidRPr="003445F5" w:rsidRDefault="00771666" w:rsidP="00524FDF">
      <w:pPr>
        <w:rPr>
          <w:szCs w:val="22"/>
          <w:lang w:val="sr-Latn-ME"/>
        </w:rPr>
      </w:pPr>
    </w:p>
    <w:p w14:paraId="6FAFDB88" w14:textId="3A9F7938" w:rsidR="00FD2B83" w:rsidRPr="003445F5" w:rsidRDefault="00FD2B83" w:rsidP="00524FDF">
      <w:pPr>
        <w:rPr>
          <w:b/>
          <w:szCs w:val="22"/>
          <w:lang w:val="sr-Latn-ME"/>
        </w:rPr>
      </w:pPr>
      <w:r w:rsidRPr="003445F5">
        <w:rPr>
          <w:b/>
          <w:szCs w:val="22"/>
          <w:lang w:val="sr-Latn-ME"/>
        </w:rPr>
        <w:t xml:space="preserve">Tabela </w:t>
      </w:r>
      <w:r w:rsidR="00666CB8" w:rsidRPr="003445F5">
        <w:rPr>
          <w:b/>
          <w:szCs w:val="22"/>
          <w:lang w:val="sr-Latn-ME"/>
        </w:rPr>
        <w:t>1</w:t>
      </w:r>
      <w:r w:rsidRPr="003445F5">
        <w:rPr>
          <w:b/>
          <w:szCs w:val="22"/>
          <w:lang w:val="sr-Latn-ME"/>
        </w:rPr>
        <w:t>8. Terapija održavanja</w:t>
      </w:r>
    </w:p>
    <w:p w14:paraId="55A6895F" w14:textId="77777777" w:rsidR="00FD2B83" w:rsidRPr="003445F5" w:rsidRDefault="00FD2B83" w:rsidP="00524FDF">
      <w:pPr>
        <w:rPr>
          <w:szCs w:val="22"/>
          <w:u w:val="single"/>
          <w:lang w:val="sr-Latn-ME"/>
        </w:rPr>
      </w:pPr>
    </w:p>
    <w:tbl>
      <w:tblPr>
        <w:tblW w:w="5000" w:type="pct"/>
        <w:tblCellMar>
          <w:top w:w="49" w:type="dxa"/>
          <w:left w:w="85" w:type="dxa"/>
          <w:right w:w="85" w:type="dxa"/>
        </w:tblCellMar>
        <w:tblLook w:val="04A0" w:firstRow="1" w:lastRow="0" w:firstColumn="1" w:lastColumn="0" w:noHBand="0" w:noVBand="1"/>
      </w:tblPr>
      <w:tblGrid>
        <w:gridCol w:w="2640"/>
        <w:gridCol w:w="3104"/>
        <w:gridCol w:w="3273"/>
      </w:tblGrid>
      <w:tr w:rsidR="00643527" w:rsidRPr="003445F5" w14:paraId="36A08A57" w14:textId="77777777" w:rsidTr="00704956">
        <w:trPr>
          <w:trHeight w:val="20"/>
        </w:trPr>
        <w:tc>
          <w:tcPr>
            <w:tcW w:w="1464" w:type="pct"/>
            <w:tcBorders>
              <w:top w:val="single" w:sz="4" w:space="0" w:color="000000"/>
              <w:left w:val="single" w:sz="4" w:space="0" w:color="000000"/>
              <w:bottom w:val="single" w:sz="4" w:space="0" w:color="000000"/>
              <w:right w:val="single" w:sz="4" w:space="0" w:color="000000"/>
            </w:tcBorders>
            <w:vAlign w:val="center"/>
          </w:tcPr>
          <w:p w14:paraId="7B7A8D57" w14:textId="7171051B" w:rsidR="00643527" w:rsidRPr="003445F5" w:rsidRDefault="00643527" w:rsidP="00704956">
            <w:pPr>
              <w:jc w:val="center"/>
              <w:rPr>
                <w:szCs w:val="22"/>
                <w:lang w:val="sr-Latn-ME"/>
              </w:rPr>
            </w:pPr>
            <w:r w:rsidRPr="003445F5">
              <w:rPr>
                <w:b/>
                <w:szCs w:val="22"/>
                <w:lang w:val="sr-Latn-ME"/>
              </w:rPr>
              <w:lastRenderedPageBreak/>
              <w:t>T</w:t>
            </w:r>
            <w:r w:rsidR="00C621C2" w:rsidRPr="003445F5">
              <w:rPr>
                <w:b/>
                <w:szCs w:val="22"/>
                <w:lang w:val="sr-Latn-ME"/>
              </w:rPr>
              <w:t>j</w:t>
            </w:r>
            <w:r w:rsidRPr="003445F5">
              <w:rPr>
                <w:b/>
                <w:szCs w:val="22"/>
                <w:lang w:val="sr-Latn-ME"/>
              </w:rPr>
              <w:t>elesna masa pacijenta</w:t>
            </w:r>
          </w:p>
        </w:tc>
        <w:tc>
          <w:tcPr>
            <w:tcW w:w="1721" w:type="pct"/>
            <w:tcBorders>
              <w:top w:val="single" w:sz="4" w:space="0" w:color="000000"/>
              <w:left w:val="single" w:sz="4" w:space="0" w:color="000000"/>
              <w:bottom w:val="single" w:sz="4" w:space="0" w:color="000000"/>
              <w:right w:val="single" w:sz="4" w:space="0" w:color="000000"/>
            </w:tcBorders>
            <w:vAlign w:val="center"/>
          </w:tcPr>
          <w:p w14:paraId="278D4F19" w14:textId="77777777" w:rsidR="00643527" w:rsidRPr="003445F5" w:rsidRDefault="00643527" w:rsidP="00704956">
            <w:pPr>
              <w:jc w:val="center"/>
              <w:rPr>
                <w:szCs w:val="22"/>
                <w:lang w:val="sr-Latn-ME"/>
              </w:rPr>
            </w:pPr>
            <w:r w:rsidRPr="003445F5">
              <w:rPr>
                <w:b/>
                <w:szCs w:val="22"/>
                <w:lang w:val="sr-Latn-ME"/>
              </w:rPr>
              <w:t>Niska doza</w:t>
            </w:r>
          </w:p>
        </w:tc>
        <w:tc>
          <w:tcPr>
            <w:tcW w:w="1815" w:type="pct"/>
            <w:tcBorders>
              <w:top w:val="single" w:sz="4" w:space="0" w:color="000000"/>
              <w:left w:val="single" w:sz="4" w:space="0" w:color="000000"/>
              <w:bottom w:val="single" w:sz="4" w:space="0" w:color="000000"/>
              <w:right w:val="single" w:sz="4" w:space="0" w:color="000000"/>
            </w:tcBorders>
            <w:vAlign w:val="center"/>
          </w:tcPr>
          <w:p w14:paraId="73203BBC" w14:textId="77777777" w:rsidR="00643527" w:rsidRPr="003445F5" w:rsidRDefault="00643527" w:rsidP="00704956">
            <w:pPr>
              <w:jc w:val="center"/>
              <w:rPr>
                <w:szCs w:val="22"/>
                <w:lang w:val="sr-Latn-ME"/>
              </w:rPr>
            </w:pPr>
            <w:r w:rsidRPr="003445F5">
              <w:rPr>
                <w:b/>
                <w:szCs w:val="22"/>
                <w:lang w:val="sr-Latn-ME"/>
              </w:rPr>
              <w:t>Standardna doza</w:t>
            </w:r>
          </w:p>
        </w:tc>
      </w:tr>
      <w:tr w:rsidR="00643527" w:rsidRPr="003445F5" w14:paraId="20BBBB1B" w14:textId="77777777" w:rsidTr="00704956">
        <w:trPr>
          <w:trHeight w:val="20"/>
        </w:trPr>
        <w:tc>
          <w:tcPr>
            <w:tcW w:w="1464" w:type="pct"/>
            <w:tcBorders>
              <w:top w:val="single" w:sz="4" w:space="0" w:color="000000"/>
              <w:left w:val="single" w:sz="4" w:space="0" w:color="000000"/>
              <w:bottom w:val="single" w:sz="4" w:space="0" w:color="000000"/>
              <w:right w:val="single" w:sz="4" w:space="0" w:color="000000"/>
            </w:tcBorders>
            <w:vAlign w:val="center"/>
          </w:tcPr>
          <w:p w14:paraId="47E80CF0" w14:textId="77777777" w:rsidR="00643527" w:rsidRPr="003445F5" w:rsidRDefault="00643527" w:rsidP="00704956">
            <w:pPr>
              <w:jc w:val="center"/>
              <w:rPr>
                <w:szCs w:val="22"/>
                <w:lang w:val="sr-Latn-ME"/>
              </w:rPr>
            </w:pPr>
            <w:r w:rsidRPr="003445F5">
              <w:rPr>
                <w:szCs w:val="22"/>
                <w:lang w:val="sr-Latn-ME"/>
              </w:rPr>
              <w:t>&lt; 40 kg</w:t>
            </w:r>
          </w:p>
        </w:tc>
        <w:tc>
          <w:tcPr>
            <w:tcW w:w="1721" w:type="pct"/>
            <w:tcBorders>
              <w:top w:val="single" w:sz="4" w:space="0" w:color="000000"/>
              <w:left w:val="single" w:sz="4" w:space="0" w:color="000000"/>
              <w:bottom w:val="single" w:sz="4" w:space="0" w:color="000000"/>
              <w:right w:val="single" w:sz="4" w:space="0" w:color="000000"/>
            </w:tcBorders>
            <w:vAlign w:val="center"/>
          </w:tcPr>
          <w:p w14:paraId="2C452B28" w14:textId="4067B6B6" w:rsidR="00643527" w:rsidRPr="003445F5" w:rsidRDefault="00643527" w:rsidP="00704956">
            <w:pPr>
              <w:jc w:val="center"/>
              <w:rPr>
                <w:szCs w:val="22"/>
                <w:lang w:val="sr-Latn-ME"/>
              </w:rPr>
            </w:pPr>
            <w:r w:rsidRPr="003445F5">
              <w:rPr>
                <w:szCs w:val="22"/>
                <w:lang w:val="sr-Latn-ME"/>
              </w:rPr>
              <w:t xml:space="preserve">10 mg svake druge </w:t>
            </w:r>
            <w:r w:rsidR="00551F1D" w:rsidRPr="003445F5">
              <w:rPr>
                <w:szCs w:val="22"/>
                <w:lang w:val="sr-Latn-ME"/>
              </w:rPr>
              <w:t>nedjelj</w:t>
            </w:r>
            <w:r w:rsidR="0047711E" w:rsidRPr="003445F5">
              <w:rPr>
                <w:szCs w:val="22"/>
                <w:lang w:val="sr-Latn-ME"/>
              </w:rPr>
              <w:t>e</w:t>
            </w:r>
          </w:p>
        </w:tc>
        <w:tc>
          <w:tcPr>
            <w:tcW w:w="1815" w:type="pct"/>
            <w:tcBorders>
              <w:top w:val="single" w:sz="4" w:space="0" w:color="000000"/>
              <w:left w:val="single" w:sz="4" w:space="0" w:color="000000"/>
              <w:bottom w:val="single" w:sz="4" w:space="0" w:color="000000"/>
              <w:right w:val="single" w:sz="4" w:space="0" w:color="000000"/>
            </w:tcBorders>
            <w:vAlign w:val="center"/>
          </w:tcPr>
          <w:p w14:paraId="74955A72" w14:textId="65D9484B" w:rsidR="00643527" w:rsidRPr="003445F5" w:rsidRDefault="00643527" w:rsidP="00704956">
            <w:pPr>
              <w:jc w:val="center"/>
              <w:rPr>
                <w:szCs w:val="22"/>
                <w:lang w:val="sr-Latn-ME"/>
              </w:rPr>
            </w:pPr>
            <w:r w:rsidRPr="003445F5">
              <w:rPr>
                <w:szCs w:val="22"/>
                <w:lang w:val="sr-Latn-ME"/>
              </w:rPr>
              <w:t xml:space="preserve">20 mg svake druge </w:t>
            </w:r>
            <w:r w:rsidR="00551F1D" w:rsidRPr="003445F5">
              <w:rPr>
                <w:szCs w:val="22"/>
                <w:lang w:val="sr-Latn-ME"/>
              </w:rPr>
              <w:t>nedjelj</w:t>
            </w:r>
            <w:r w:rsidR="0047711E" w:rsidRPr="003445F5">
              <w:rPr>
                <w:szCs w:val="22"/>
                <w:lang w:val="sr-Latn-ME"/>
              </w:rPr>
              <w:t>e</w:t>
            </w:r>
          </w:p>
        </w:tc>
      </w:tr>
      <w:tr w:rsidR="00643527" w:rsidRPr="003445F5" w14:paraId="26C65A12" w14:textId="77777777" w:rsidTr="00704956">
        <w:trPr>
          <w:trHeight w:val="20"/>
        </w:trPr>
        <w:tc>
          <w:tcPr>
            <w:tcW w:w="1464" w:type="pct"/>
            <w:tcBorders>
              <w:top w:val="single" w:sz="4" w:space="0" w:color="000000"/>
              <w:left w:val="single" w:sz="4" w:space="0" w:color="000000"/>
              <w:bottom w:val="single" w:sz="4" w:space="0" w:color="000000"/>
              <w:right w:val="single" w:sz="4" w:space="0" w:color="000000"/>
            </w:tcBorders>
            <w:vAlign w:val="center"/>
          </w:tcPr>
          <w:p w14:paraId="5D05BFAB" w14:textId="77777777" w:rsidR="00643527" w:rsidRPr="003445F5" w:rsidRDefault="00643527" w:rsidP="00704956">
            <w:pPr>
              <w:jc w:val="center"/>
              <w:rPr>
                <w:szCs w:val="22"/>
                <w:lang w:val="sr-Latn-ME"/>
              </w:rPr>
            </w:pPr>
            <w:r w:rsidRPr="003445F5">
              <w:rPr>
                <w:szCs w:val="22"/>
                <w:lang w:val="sr-Latn-ME"/>
              </w:rPr>
              <w:t>≥ 40 kg</w:t>
            </w:r>
          </w:p>
        </w:tc>
        <w:tc>
          <w:tcPr>
            <w:tcW w:w="1721" w:type="pct"/>
            <w:tcBorders>
              <w:top w:val="single" w:sz="4" w:space="0" w:color="000000"/>
              <w:left w:val="single" w:sz="4" w:space="0" w:color="000000"/>
              <w:bottom w:val="single" w:sz="4" w:space="0" w:color="000000"/>
              <w:right w:val="single" w:sz="4" w:space="0" w:color="000000"/>
            </w:tcBorders>
            <w:vAlign w:val="center"/>
          </w:tcPr>
          <w:p w14:paraId="4096DA30" w14:textId="5BB75FD4" w:rsidR="00643527" w:rsidRPr="003445F5" w:rsidRDefault="00643527" w:rsidP="00704956">
            <w:pPr>
              <w:jc w:val="center"/>
              <w:rPr>
                <w:szCs w:val="22"/>
                <w:lang w:val="sr-Latn-ME"/>
              </w:rPr>
            </w:pPr>
            <w:r w:rsidRPr="003445F5">
              <w:rPr>
                <w:szCs w:val="22"/>
                <w:lang w:val="sr-Latn-ME"/>
              </w:rPr>
              <w:t xml:space="preserve">20 mg svake druge </w:t>
            </w:r>
            <w:r w:rsidR="00551F1D" w:rsidRPr="003445F5">
              <w:rPr>
                <w:szCs w:val="22"/>
                <w:lang w:val="sr-Latn-ME"/>
              </w:rPr>
              <w:t>nedjelj</w:t>
            </w:r>
            <w:r w:rsidR="0047711E" w:rsidRPr="003445F5">
              <w:rPr>
                <w:szCs w:val="22"/>
                <w:lang w:val="sr-Latn-ME"/>
              </w:rPr>
              <w:t>e</w:t>
            </w:r>
          </w:p>
        </w:tc>
        <w:tc>
          <w:tcPr>
            <w:tcW w:w="1815" w:type="pct"/>
            <w:tcBorders>
              <w:top w:val="single" w:sz="4" w:space="0" w:color="000000"/>
              <w:left w:val="single" w:sz="4" w:space="0" w:color="000000"/>
              <w:bottom w:val="single" w:sz="4" w:space="0" w:color="000000"/>
              <w:right w:val="single" w:sz="4" w:space="0" w:color="000000"/>
            </w:tcBorders>
            <w:vAlign w:val="center"/>
          </w:tcPr>
          <w:p w14:paraId="763D3FD2" w14:textId="24E42827" w:rsidR="00643527" w:rsidRPr="003445F5" w:rsidRDefault="00643527" w:rsidP="00704956">
            <w:pPr>
              <w:jc w:val="center"/>
              <w:rPr>
                <w:szCs w:val="22"/>
                <w:lang w:val="sr-Latn-ME"/>
              </w:rPr>
            </w:pPr>
            <w:r w:rsidRPr="003445F5">
              <w:rPr>
                <w:szCs w:val="22"/>
                <w:lang w:val="sr-Latn-ME"/>
              </w:rPr>
              <w:t xml:space="preserve">40 mg svake druge </w:t>
            </w:r>
            <w:r w:rsidR="00551F1D" w:rsidRPr="003445F5">
              <w:rPr>
                <w:szCs w:val="22"/>
                <w:lang w:val="sr-Latn-ME"/>
              </w:rPr>
              <w:t>nedjelj</w:t>
            </w:r>
            <w:r w:rsidR="0047711E" w:rsidRPr="003445F5">
              <w:rPr>
                <w:szCs w:val="22"/>
                <w:lang w:val="sr-Latn-ME"/>
              </w:rPr>
              <w:t>e</w:t>
            </w:r>
          </w:p>
        </w:tc>
      </w:tr>
    </w:tbl>
    <w:p w14:paraId="78F1D076" w14:textId="6FD72EBC" w:rsidR="00630465" w:rsidRPr="003445F5" w:rsidRDefault="00630465" w:rsidP="00524FDF">
      <w:pPr>
        <w:rPr>
          <w:szCs w:val="22"/>
          <w:u w:val="single"/>
          <w:lang w:val="sr-Latn-ME"/>
        </w:rPr>
      </w:pPr>
    </w:p>
    <w:p w14:paraId="6D26DDA9" w14:textId="77777777" w:rsidR="002B7D79" w:rsidRPr="003445F5" w:rsidRDefault="002B7D79" w:rsidP="002B7D79">
      <w:pPr>
        <w:rPr>
          <w:i/>
          <w:iCs/>
          <w:szCs w:val="22"/>
          <w:u w:val="single"/>
          <w:lang w:val="sr-Latn-ME"/>
        </w:rPr>
      </w:pPr>
      <w:r w:rsidRPr="003445F5">
        <w:rPr>
          <w:i/>
          <w:iCs/>
          <w:szCs w:val="22"/>
          <w:u w:val="single"/>
          <w:lang w:val="sr-Latn-ME"/>
        </w:rPr>
        <w:t xml:space="preserve">Rezultati efikasnosti </w:t>
      </w:r>
    </w:p>
    <w:p w14:paraId="07129602" w14:textId="5FE5155E" w:rsidR="002B7D79" w:rsidRPr="003445F5" w:rsidRDefault="002B7D79" w:rsidP="002B7D79">
      <w:pPr>
        <w:rPr>
          <w:szCs w:val="22"/>
          <w:lang w:val="sr-Latn-ME"/>
        </w:rPr>
      </w:pPr>
      <w:r w:rsidRPr="003445F5">
        <w:rPr>
          <w:szCs w:val="22"/>
          <w:lang w:val="sr-Latn-ME"/>
        </w:rPr>
        <w:t xml:space="preserve">Primarni parametar praćenja bio je klinička remisija u 26. </w:t>
      </w:r>
      <w:r w:rsidR="00551F1D" w:rsidRPr="003445F5">
        <w:rPr>
          <w:szCs w:val="22"/>
          <w:lang w:val="sr-Latn-ME"/>
        </w:rPr>
        <w:t>nedjelj</w:t>
      </w:r>
      <w:r w:rsidR="00704AF5" w:rsidRPr="003445F5">
        <w:rPr>
          <w:szCs w:val="22"/>
          <w:lang w:val="sr-Latn-ME"/>
        </w:rPr>
        <w:t>i</w:t>
      </w:r>
      <w:r w:rsidRPr="003445F5">
        <w:rPr>
          <w:szCs w:val="22"/>
          <w:lang w:val="sr-Latn-ME"/>
        </w:rPr>
        <w:t>, definisana kao PCDAI skor ≤ 10.</w:t>
      </w:r>
    </w:p>
    <w:p w14:paraId="6F1176B5" w14:textId="77777777" w:rsidR="002B7D79" w:rsidRPr="003445F5" w:rsidRDefault="002B7D79" w:rsidP="002B7D79">
      <w:pPr>
        <w:rPr>
          <w:szCs w:val="22"/>
          <w:lang w:val="sr-Latn-ME"/>
        </w:rPr>
      </w:pPr>
    </w:p>
    <w:p w14:paraId="0C03EF80" w14:textId="46E64098" w:rsidR="002B7D79" w:rsidRPr="003445F5" w:rsidRDefault="002B7D79" w:rsidP="002B7D79">
      <w:pPr>
        <w:rPr>
          <w:szCs w:val="22"/>
          <w:lang w:val="sr-Latn-ME"/>
        </w:rPr>
      </w:pPr>
      <w:r w:rsidRPr="003445F5">
        <w:rPr>
          <w:szCs w:val="22"/>
          <w:lang w:val="sr-Latn-ME"/>
        </w:rPr>
        <w:t>Klinička remisija i klinički odgovor (definisan kao redukcija PCDAI skora za najmanje 15 bodova od početne vr</w:t>
      </w:r>
      <w:r w:rsidR="00C621C2" w:rsidRPr="003445F5">
        <w:rPr>
          <w:szCs w:val="22"/>
          <w:lang w:val="sr-Latn-ME"/>
        </w:rPr>
        <w:t>ij</w:t>
      </w:r>
      <w:r w:rsidRPr="003445F5">
        <w:rPr>
          <w:szCs w:val="22"/>
          <w:lang w:val="sr-Latn-ME"/>
        </w:rPr>
        <w:t>ednosti) prikazani su u Tabeli 19. Stepen prekida upotrebe kortikosteroida i imunomodulatora prikazan je u Tabeli 20.</w:t>
      </w:r>
    </w:p>
    <w:p w14:paraId="21CA8483" w14:textId="5EDA4EDB" w:rsidR="00630465" w:rsidRPr="003445F5" w:rsidRDefault="00630465" w:rsidP="00524FDF">
      <w:pPr>
        <w:rPr>
          <w:szCs w:val="22"/>
          <w:lang w:val="sr-Latn-ME"/>
        </w:rPr>
      </w:pPr>
    </w:p>
    <w:p w14:paraId="382E2D5F" w14:textId="6771C0F3" w:rsidR="00DD5863" w:rsidRPr="003445F5" w:rsidRDefault="00DD5863" w:rsidP="00524FDF">
      <w:pPr>
        <w:rPr>
          <w:b/>
          <w:szCs w:val="22"/>
          <w:lang w:val="sr-Latn-ME"/>
        </w:rPr>
      </w:pPr>
      <w:r w:rsidRPr="003445F5">
        <w:rPr>
          <w:b/>
          <w:szCs w:val="22"/>
          <w:lang w:val="sr-Latn-ME"/>
        </w:rPr>
        <w:t xml:space="preserve">Tabela </w:t>
      </w:r>
      <w:r w:rsidR="00666CB8" w:rsidRPr="003445F5">
        <w:rPr>
          <w:b/>
          <w:szCs w:val="22"/>
          <w:lang w:val="sr-Latn-ME"/>
        </w:rPr>
        <w:t>1</w:t>
      </w:r>
      <w:r w:rsidRPr="003445F5">
        <w:rPr>
          <w:b/>
          <w:szCs w:val="22"/>
          <w:lang w:val="sr-Latn-ME"/>
        </w:rPr>
        <w:t>9. Pedijatrijska CD studija PCDAI klinička remisija i odgovor</w:t>
      </w:r>
    </w:p>
    <w:p w14:paraId="6C4BB0BF" w14:textId="77777777" w:rsidR="00DD5863" w:rsidRPr="003445F5" w:rsidRDefault="00DD5863" w:rsidP="00524FDF">
      <w:pPr>
        <w:rPr>
          <w:b/>
          <w:szCs w:val="22"/>
          <w:lang w:val="sr-Latn-ME"/>
        </w:rPr>
      </w:pPr>
    </w:p>
    <w:tbl>
      <w:tblPr>
        <w:tblW w:w="5000" w:type="pct"/>
        <w:tblCellMar>
          <w:top w:w="49" w:type="dxa"/>
          <w:left w:w="85" w:type="dxa"/>
          <w:right w:w="85" w:type="dxa"/>
        </w:tblCellMar>
        <w:tblLook w:val="04A0" w:firstRow="1" w:lastRow="0" w:firstColumn="1" w:lastColumn="0" w:noHBand="0" w:noVBand="1"/>
      </w:tblPr>
      <w:tblGrid>
        <w:gridCol w:w="1839"/>
        <w:gridCol w:w="2925"/>
        <w:gridCol w:w="3019"/>
        <w:gridCol w:w="1234"/>
      </w:tblGrid>
      <w:tr w:rsidR="00D0567B" w:rsidRPr="003445F5" w14:paraId="23ED6987" w14:textId="77777777" w:rsidTr="00C621C2">
        <w:trPr>
          <w:trHeight w:val="20"/>
        </w:trPr>
        <w:tc>
          <w:tcPr>
            <w:tcW w:w="1019" w:type="pct"/>
            <w:tcBorders>
              <w:top w:val="single" w:sz="4" w:space="0" w:color="000000"/>
              <w:left w:val="single" w:sz="4" w:space="0" w:color="000000"/>
              <w:bottom w:val="single" w:sz="4" w:space="0" w:color="000000"/>
              <w:right w:val="single" w:sz="4" w:space="0" w:color="000000"/>
            </w:tcBorders>
          </w:tcPr>
          <w:p w14:paraId="19032FE1" w14:textId="77777777" w:rsidR="00D0567B" w:rsidRPr="003445F5" w:rsidRDefault="00D0567B" w:rsidP="00704956">
            <w:pPr>
              <w:rPr>
                <w:szCs w:val="22"/>
                <w:lang w:val="sr-Latn-ME"/>
              </w:rPr>
            </w:pPr>
          </w:p>
        </w:tc>
        <w:tc>
          <w:tcPr>
            <w:tcW w:w="1622" w:type="pct"/>
            <w:tcBorders>
              <w:top w:val="single" w:sz="4" w:space="0" w:color="000000"/>
              <w:left w:val="single" w:sz="4" w:space="0" w:color="000000"/>
              <w:bottom w:val="single" w:sz="4" w:space="0" w:color="000000"/>
              <w:right w:val="single" w:sz="4" w:space="0" w:color="000000"/>
            </w:tcBorders>
            <w:vAlign w:val="center"/>
          </w:tcPr>
          <w:p w14:paraId="2A50984A" w14:textId="77777777" w:rsidR="00D0567B" w:rsidRPr="003445F5" w:rsidRDefault="00D0567B" w:rsidP="00704956">
            <w:pPr>
              <w:jc w:val="center"/>
              <w:rPr>
                <w:b/>
                <w:szCs w:val="22"/>
                <w:lang w:val="sr-Latn-ME"/>
              </w:rPr>
            </w:pPr>
            <w:r w:rsidRPr="003445F5">
              <w:rPr>
                <w:b/>
                <w:szCs w:val="22"/>
                <w:lang w:val="sr-Latn-ME"/>
              </w:rPr>
              <w:t>Standardna doza:</w:t>
            </w:r>
          </w:p>
          <w:p w14:paraId="70EF28A5" w14:textId="72718FA3" w:rsidR="00D0567B" w:rsidRPr="003445F5" w:rsidRDefault="00D0567B" w:rsidP="00704956">
            <w:pPr>
              <w:jc w:val="center"/>
              <w:rPr>
                <w:b/>
                <w:szCs w:val="22"/>
                <w:lang w:val="sr-Latn-ME"/>
              </w:rPr>
            </w:pPr>
            <w:r w:rsidRPr="003445F5">
              <w:rPr>
                <w:b/>
                <w:szCs w:val="22"/>
                <w:lang w:val="sr-Latn-ME"/>
              </w:rPr>
              <w:t xml:space="preserve">40/20 mg svake druge </w:t>
            </w:r>
            <w:r w:rsidR="00551F1D" w:rsidRPr="003445F5">
              <w:rPr>
                <w:b/>
                <w:szCs w:val="22"/>
                <w:lang w:val="sr-Latn-ME"/>
              </w:rPr>
              <w:t>nedjelj</w:t>
            </w:r>
            <w:r w:rsidR="0047711E" w:rsidRPr="003445F5">
              <w:rPr>
                <w:b/>
                <w:szCs w:val="22"/>
                <w:lang w:val="sr-Latn-ME"/>
              </w:rPr>
              <w:t>e</w:t>
            </w:r>
          </w:p>
          <w:p w14:paraId="21F73303" w14:textId="77777777" w:rsidR="00D0567B" w:rsidRPr="003445F5" w:rsidRDefault="00D0567B" w:rsidP="00704956">
            <w:pPr>
              <w:jc w:val="center"/>
              <w:rPr>
                <w:szCs w:val="22"/>
                <w:lang w:val="sr-Latn-ME"/>
              </w:rPr>
            </w:pPr>
            <w:r w:rsidRPr="003445F5">
              <w:rPr>
                <w:b/>
                <w:szCs w:val="22"/>
                <w:lang w:val="sr-Latn-ME"/>
              </w:rPr>
              <w:t>N=93</w:t>
            </w:r>
          </w:p>
        </w:tc>
        <w:tc>
          <w:tcPr>
            <w:tcW w:w="1674" w:type="pct"/>
            <w:tcBorders>
              <w:top w:val="single" w:sz="4" w:space="0" w:color="000000"/>
              <w:left w:val="single" w:sz="4" w:space="0" w:color="000000"/>
              <w:bottom w:val="single" w:sz="4" w:space="0" w:color="000000"/>
              <w:right w:val="single" w:sz="4" w:space="0" w:color="000000"/>
            </w:tcBorders>
            <w:vAlign w:val="center"/>
          </w:tcPr>
          <w:p w14:paraId="236CB150" w14:textId="77777777" w:rsidR="00D0567B" w:rsidRPr="003445F5" w:rsidRDefault="00D0567B" w:rsidP="00C621C2">
            <w:pPr>
              <w:tabs>
                <w:tab w:val="clear" w:pos="284"/>
              </w:tabs>
              <w:jc w:val="center"/>
              <w:rPr>
                <w:szCs w:val="22"/>
                <w:lang w:val="sr-Latn-ME"/>
              </w:rPr>
            </w:pPr>
            <w:r w:rsidRPr="003445F5">
              <w:rPr>
                <w:b/>
                <w:szCs w:val="22"/>
                <w:lang w:val="sr-Latn-ME"/>
              </w:rPr>
              <w:t>Niska doza:</w:t>
            </w:r>
          </w:p>
          <w:p w14:paraId="1BDB1EE2" w14:textId="09A04DEA" w:rsidR="00D0567B" w:rsidRPr="003445F5" w:rsidRDefault="00D0567B" w:rsidP="00C621C2">
            <w:pPr>
              <w:tabs>
                <w:tab w:val="clear" w:pos="284"/>
              </w:tabs>
              <w:jc w:val="center"/>
              <w:rPr>
                <w:szCs w:val="22"/>
                <w:lang w:val="sr-Latn-ME"/>
              </w:rPr>
            </w:pPr>
            <w:r w:rsidRPr="003445F5">
              <w:rPr>
                <w:b/>
                <w:szCs w:val="22"/>
                <w:lang w:val="sr-Latn-ME"/>
              </w:rPr>
              <w:t xml:space="preserve">20/10 mg svake druge </w:t>
            </w:r>
            <w:r w:rsidR="00551F1D" w:rsidRPr="003445F5">
              <w:rPr>
                <w:b/>
                <w:szCs w:val="22"/>
                <w:lang w:val="sr-Latn-ME"/>
              </w:rPr>
              <w:t>nedjelj</w:t>
            </w:r>
            <w:r w:rsidR="0047711E" w:rsidRPr="003445F5">
              <w:rPr>
                <w:b/>
                <w:szCs w:val="22"/>
                <w:lang w:val="sr-Latn-ME"/>
              </w:rPr>
              <w:t>e</w:t>
            </w:r>
          </w:p>
          <w:p w14:paraId="403C8F41" w14:textId="77777777" w:rsidR="00D0567B" w:rsidRPr="003445F5" w:rsidRDefault="00D0567B" w:rsidP="00C621C2">
            <w:pPr>
              <w:tabs>
                <w:tab w:val="clear" w:pos="284"/>
              </w:tabs>
              <w:jc w:val="center"/>
              <w:rPr>
                <w:szCs w:val="22"/>
                <w:lang w:val="sr-Latn-ME"/>
              </w:rPr>
            </w:pPr>
            <w:r w:rsidRPr="003445F5">
              <w:rPr>
                <w:b/>
                <w:szCs w:val="22"/>
                <w:lang w:val="sr-Latn-ME"/>
              </w:rPr>
              <w:t>N=95</w:t>
            </w:r>
          </w:p>
        </w:tc>
        <w:tc>
          <w:tcPr>
            <w:tcW w:w="684" w:type="pct"/>
            <w:tcBorders>
              <w:top w:val="single" w:sz="4" w:space="0" w:color="000000"/>
              <w:left w:val="single" w:sz="4" w:space="0" w:color="000000"/>
              <w:bottom w:val="single" w:sz="4" w:space="0" w:color="000000"/>
              <w:right w:val="single" w:sz="4" w:space="0" w:color="000000"/>
            </w:tcBorders>
            <w:vAlign w:val="center"/>
          </w:tcPr>
          <w:p w14:paraId="6E509191" w14:textId="2631B87D" w:rsidR="00D0567B" w:rsidRPr="003445F5" w:rsidRDefault="00D0567B" w:rsidP="00704956">
            <w:pPr>
              <w:jc w:val="center"/>
              <w:rPr>
                <w:szCs w:val="22"/>
                <w:lang w:val="sr-Latn-ME"/>
              </w:rPr>
            </w:pPr>
            <w:r w:rsidRPr="003445F5">
              <w:rPr>
                <w:b/>
                <w:szCs w:val="22"/>
                <w:lang w:val="sr-Latn-ME"/>
              </w:rPr>
              <w:t>p-vr</w:t>
            </w:r>
            <w:r w:rsidR="00C621C2" w:rsidRPr="003445F5">
              <w:rPr>
                <w:b/>
                <w:szCs w:val="22"/>
                <w:lang w:val="sr-Latn-ME"/>
              </w:rPr>
              <w:t>ij</w:t>
            </w:r>
            <w:r w:rsidRPr="003445F5">
              <w:rPr>
                <w:b/>
                <w:szCs w:val="22"/>
                <w:lang w:val="sr-Latn-ME"/>
              </w:rPr>
              <w:t>ednost*</w:t>
            </w:r>
          </w:p>
        </w:tc>
      </w:tr>
      <w:tr w:rsidR="00D0567B" w:rsidRPr="003445F5" w14:paraId="73C6F39D" w14:textId="77777777" w:rsidTr="00C621C2">
        <w:trPr>
          <w:trHeight w:val="20"/>
        </w:trPr>
        <w:tc>
          <w:tcPr>
            <w:tcW w:w="1019" w:type="pct"/>
            <w:tcBorders>
              <w:top w:val="single" w:sz="4" w:space="0" w:color="000000"/>
              <w:left w:val="single" w:sz="4" w:space="0" w:color="000000"/>
              <w:bottom w:val="single" w:sz="4" w:space="0" w:color="000000"/>
              <w:right w:val="single" w:sz="4" w:space="0" w:color="000000"/>
            </w:tcBorders>
          </w:tcPr>
          <w:p w14:paraId="65F631A3" w14:textId="65D9BA7C" w:rsidR="00D0567B" w:rsidRPr="003445F5" w:rsidRDefault="00551F1D" w:rsidP="00704956">
            <w:pPr>
              <w:rPr>
                <w:szCs w:val="22"/>
                <w:lang w:val="sr-Latn-ME"/>
              </w:rPr>
            </w:pPr>
            <w:r w:rsidRPr="003445F5">
              <w:rPr>
                <w:b/>
                <w:szCs w:val="22"/>
                <w:lang w:val="sr-Latn-ME"/>
              </w:rPr>
              <w:t>Nedjelj</w:t>
            </w:r>
            <w:r w:rsidR="00D0567B" w:rsidRPr="003445F5">
              <w:rPr>
                <w:b/>
                <w:szCs w:val="22"/>
                <w:lang w:val="sr-Latn-ME"/>
              </w:rPr>
              <w:t>a 26</w:t>
            </w:r>
          </w:p>
        </w:tc>
        <w:tc>
          <w:tcPr>
            <w:tcW w:w="1622" w:type="pct"/>
            <w:tcBorders>
              <w:top w:val="single" w:sz="4" w:space="0" w:color="000000"/>
              <w:left w:val="single" w:sz="4" w:space="0" w:color="000000"/>
              <w:bottom w:val="single" w:sz="4" w:space="0" w:color="000000"/>
              <w:right w:val="single" w:sz="4" w:space="0" w:color="000000"/>
            </w:tcBorders>
            <w:vAlign w:val="center"/>
          </w:tcPr>
          <w:p w14:paraId="30DB3300" w14:textId="77777777" w:rsidR="00D0567B" w:rsidRPr="003445F5" w:rsidRDefault="00D0567B" w:rsidP="00704956">
            <w:pPr>
              <w:jc w:val="center"/>
              <w:rPr>
                <w:szCs w:val="22"/>
                <w:lang w:val="sr-Latn-ME"/>
              </w:rPr>
            </w:pPr>
          </w:p>
        </w:tc>
        <w:tc>
          <w:tcPr>
            <w:tcW w:w="1674" w:type="pct"/>
            <w:tcBorders>
              <w:top w:val="single" w:sz="4" w:space="0" w:color="000000"/>
              <w:left w:val="single" w:sz="4" w:space="0" w:color="000000"/>
              <w:bottom w:val="single" w:sz="4" w:space="0" w:color="000000"/>
              <w:right w:val="single" w:sz="4" w:space="0" w:color="000000"/>
            </w:tcBorders>
            <w:vAlign w:val="center"/>
          </w:tcPr>
          <w:p w14:paraId="64405958" w14:textId="77777777" w:rsidR="00D0567B" w:rsidRPr="003445F5" w:rsidRDefault="00D0567B" w:rsidP="00C621C2">
            <w:pPr>
              <w:tabs>
                <w:tab w:val="clear" w:pos="284"/>
              </w:tabs>
              <w:jc w:val="center"/>
              <w:rPr>
                <w:szCs w:val="22"/>
                <w:lang w:val="sr-Latn-ME"/>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13B076B7" w14:textId="77777777" w:rsidR="00D0567B" w:rsidRPr="003445F5" w:rsidRDefault="00D0567B" w:rsidP="00704956">
            <w:pPr>
              <w:jc w:val="center"/>
              <w:rPr>
                <w:szCs w:val="22"/>
                <w:lang w:val="sr-Latn-ME"/>
              </w:rPr>
            </w:pPr>
          </w:p>
        </w:tc>
      </w:tr>
      <w:tr w:rsidR="00D0567B" w:rsidRPr="003445F5" w14:paraId="7980AB78" w14:textId="77777777" w:rsidTr="00C621C2">
        <w:trPr>
          <w:trHeight w:val="20"/>
        </w:trPr>
        <w:tc>
          <w:tcPr>
            <w:tcW w:w="1019" w:type="pct"/>
            <w:tcBorders>
              <w:top w:val="single" w:sz="4" w:space="0" w:color="000000"/>
              <w:left w:val="single" w:sz="4" w:space="0" w:color="000000"/>
              <w:bottom w:val="single" w:sz="4" w:space="0" w:color="000000"/>
              <w:right w:val="single" w:sz="4" w:space="0" w:color="000000"/>
            </w:tcBorders>
          </w:tcPr>
          <w:p w14:paraId="327CC386" w14:textId="77777777" w:rsidR="00D0567B" w:rsidRPr="003445F5" w:rsidRDefault="00D0567B" w:rsidP="00704956">
            <w:pPr>
              <w:tabs>
                <w:tab w:val="clear" w:pos="284"/>
              </w:tabs>
              <w:ind w:left="142"/>
              <w:rPr>
                <w:szCs w:val="22"/>
                <w:lang w:val="sr-Latn-ME"/>
              </w:rPr>
            </w:pPr>
            <w:r w:rsidRPr="003445F5">
              <w:rPr>
                <w:szCs w:val="22"/>
                <w:lang w:val="sr-Latn-ME"/>
              </w:rPr>
              <w:t>Klinička remisija</w:t>
            </w:r>
          </w:p>
        </w:tc>
        <w:tc>
          <w:tcPr>
            <w:tcW w:w="1622" w:type="pct"/>
            <w:tcBorders>
              <w:top w:val="single" w:sz="4" w:space="0" w:color="000000"/>
              <w:left w:val="single" w:sz="4" w:space="0" w:color="000000"/>
              <w:bottom w:val="single" w:sz="4" w:space="0" w:color="000000"/>
              <w:right w:val="single" w:sz="4" w:space="0" w:color="000000"/>
            </w:tcBorders>
            <w:vAlign w:val="center"/>
          </w:tcPr>
          <w:p w14:paraId="7765BE53" w14:textId="77777777" w:rsidR="00D0567B" w:rsidRPr="003445F5" w:rsidRDefault="00D0567B" w:rsidP="00704956">
            <w:pPr>
              <w:jc w:val="center"/>
              <w:rPr>
                <w:szCs w:val="22"/>
                <w:lang w:val="sr-Latn-ME"/>
              </w:rPr>
            </w:pPr>
            <w:r w:rsidRPr="003445F5">
              <w:rPr>
                <w:szCs w:val="22"/>
                <w:lang w:val="sr-Latn-ME"/>
              </w:rPr>
              <w:t>38,7%</w:t>
            </w:r>
          </w:p>
        </w:tc>
        <w:tc>
          <w:tcPr>
            <w:tcW w:w="1674" w:type="pct"/>
            <w:tcBorders>
              <w:top w:val="single" w:sz="4" w:space="0" w:color="000000"/>
              <w:left w:val="single" w:sz="4" w:space="0" w:color="000000"/>
              <w:bottom w:val="single" w:sz="4" w:space="0" w:color="000000"/>
              <w:right w:val="single" w:sz="4" w:space="0" w:color="000000"/>
            </w:tcBorders>
            <w:vAlign w:val="center"/>
          </w:tcPr>
          <w:p w14:paraId="15435D68" w14:textId="77777777" w:rsidR="00D0567B" w:rsidRPr="003445F5" w:rsidRDefault="00D0567B" w:rsidP="00C621C2">
            <w:pPr>
              <w:tabs>
                <w:tab w:val="clear" w:pos="284"/>
              </w:tabs>
              <w:jc w:val="center"/>
              <w:rPr>
                <w:szCs w:val="22"/>
                <w:lang w:val="sr-Latn-ME"/>
              </w:rPr>
            </w:pPr>
            <w:r w:rsidRPr="003445F5">
              <w:rPr>
                <w:szCs w:val="22"/>
                <w:lang w:val="sr-Latn-ME"/>
              </w:rPr>
              <w:t>28,4%</w:t>
            </w:r>
          </w:p>
        </w:tc>
        <w:tc>
          <w:tcPr>
            <w:tcW w:w="684" w:type="pct"/>
            <w:tcBorders>
              <w:top w:val="single" w:sz="4" w:space="0" w:color="000000"/>
              <w:left w:val="single" w:sz="4" w:space="0" w:color="000000"/>
              <w:bottom w:val="single" w:sz="4" w:space="0" w:color="000000"/>
              <w:right w:val="single" w:sz="4" w:space="0" w:color="000000"/>
            </w:tcBorders>
            <w:vAlign w:val="center"/>
          </w:tcPr>
          <w:p w14:paraId="54631DF2" w14:textId="77777777" w:rsidR="00D0567B" w:rsidRPr="003445F5" w:rsidRDefault="00D0567B" w:rsidP="00704956">
            <w:pPr>
              <w:jc w:val="center"/>
              <w:rPr>
                <w:szCs w:val="22"/>
                <w:lang w:val="sr-Latn-ME"/>
              </w:rPr>
            </w:pPr>
            <w:r w:rsidRPr="003445F5">
              <w:rPr>
                <w:szCs w:val="22"/>
                <w:lang w:val="sr-Latn-ME"/>
              </w:rPr>
              <w:t>0,075</w:t>
            </w:r>
          </w:p>
        </w:tc>
      </w:tr>
      <w:tr w:rsidR="00D0567B" w:rsidRPr="003445F5" w14:paraId="0090D8FE" w14:textId="77777777" w:rsidTr="00C621C2">
        <w:trPr>
          <w:trHeight w:val="20"/>
        </w:trPr>
        <w:tc>
          <w:tcPr>
            <w:tcW w:w="1019" w:type="pct"/>
            <w:tcBorders>
              <w:top w:val="single" w:sz="4" w:space="0" w:color="000000"/>
              <w:left w:val="single" w:sz="4" w:space="0" w:color="000000"/>
              <w:bottom w:val="single" w:sz="4" w:space="0" w:color="000000"/>
              <w:right w:val="single" w:sz="4" w:space="0" w:color="000000"/>
            </w:tcBorders>
          </w:tcPr>
          <w:p w14:paraId="583F23A3" w14:textId="77777777" w:rsidR="00D0567B" w:rsidRPr="003445F5" w:rsidRDefault="00D0567B" w:rsidP="00704956">
            <w:pPr>
              <w:tabs>
                <w:tab w:val="clear" w:pos="284"/>
              </w:tabs>
              <w:ind w:left="142"/>
              <w:rPr>
                <w:szCs w:val="22"/>
                <w:lang w:val="sr-Latn-ME"/>
              </w:rPr>
            </w:pPr>
            <w:r w:rsidRPr="003445F5">
              <w:rPr>
                <w:szCs w:val="22"/>
                <w:lang w:val="sr-Latn-ME"/>
              </w:rPr>
              <w:t>Klinički odgovor</w:t>
            </w:r>
          </w:p>
        </w:tc>
        <w:tc>
          <w:tcPr>
            <w:tcW w:w="1622" w:type="pct"/>
            <w:tcBorders>
              <w:top w:val="single" w:sz="4" w:space="0" w:color="000000"/>
              <w:left w:val="single" w:sz="4" w:space="0" w:color="000000"/>
              <w:bottom w:val="single" w:sz="4" w:space="0" w:color="000000"/>
              <w:right w:val="single" w:sz="4" w:space="0" w:color="000000"/>
            </w:tcBorders>
            <w:vAlign w:val="center"/>
          </w:tcPr>
          <w:p w14:paraId="09470699" w14:textId="77777777" w:rsidR="00D0567B" w:rsidRPr="003445F5" w:rsidRDefault="00D0567B" w:rsidP="00704956">
            <w:pPr>
              <w:jc w:val="center"/>
              <w:rPr>
                <w:szCs w:val="22"/>
                <w:lang w:val="sr-Latn-ME"/>
              </w:rPr>
            </w:pPr>
            <w:r w:rsidRPr="003445F5">
              <w:rPr>
                <w:szCs w:val="22"/>
                <w:lang w:val="sr-Latn-ME"/>
              </w:rPr>
              <w:t>59,1%</w:t>
            </w:r>
          </w:p>
        </w:tc>
        <w:tc>
          <w:tcPr>
            <w:tcW w:w="1674" w:type="pct"/>
            <w:tcBorders>
              <w:top w:val="single" w:sz="4" w:space="0" w:color="000000"/>
              <w:left w:val="single" w:sz="4" w:space="0" w:color="000000"/>
              <w:bottom w:val="single" w:sz="4" w:space="0" w:color="000000"/>
              <w:right w:val="single" w:sz="4" w:space="0" w:color="000000"/>
            </w:tcBorders>
            <w:vAlign w:val="center"/>
          </w:tcPr>
          <w:p w14:paraId="04D4E205" w14:textId="77777777" w:rsidR="00D0567B" w:rsidRPr="003445F5" w:rsidRDefault="00D0567B" w:rsidP="00C621C2">
            <w:pPr>
              <w:tabs>
                <w:tab w:val="clear" w:pos="284"/>
              </w:tabs>
              <w:jc w:val="center"/>
              <w:rPr>
                <w:szCs w:val="22"/>
                <w:lang w:val="sr-Latn-ME"/>
              </w:rPr>
            </w:pPr>
            <w:r w:rsidRPr="003445F5">
              <w:rPr>
                <w:szCs w:val="22"/>
                <w:lang w:val="sr-Latn-ME"/>
              </w:rPr>
              <w:t>48,4%</w:t>
            </w:r>
          </w:p>
        </w:tc>
        <w:tc>
          <w:tcPr>
            <w:tcW w:w="684" w:type="pct"/>
            <w:tcBorders>
              <w:top w:val="single" w:sz="4" w:space="0" w:color="000000"/>
              <w:left w:val="single" w:sz="4" w:space="0" w:color="000000"/>
              <w:bottom w:val="single" w:sz="4" w:space="0" w:color="000000"/>
              <w:right w:val="single" w:sz="4" w:space="0" w:color="000000"/>
            </w:tcBorders>
            <w:vAlign w:val="center"/>
          </w:tcPr>
          <w:p w14:paraId="75EF8366" w14:textId="77777777" w:rsidR="00D0567B" w:rsidRPr="003445F5" w:rsidRDefault="00D0567B" w:rsidP="00704956">
            <w:pPr>
              <w:jc w:val="center"/>
              <w:rPr>
                <w:szCs w:val="22"/>
                <w:lang w:val="sr-Latn-ME"/>
              </w:rPr>
            </w:pPr>
            <w:r w:rsidRPr="003445F5">
              <w:rPr>
                <w:szCs w:val="22"/>
                <w:lang w:val="sr-Latn-ME"/>
              </w:rPr>
              <w:t>0,073</w:t>
            </w:r>
          </w:p>
        </w:tc>
      </w:tr>
      <w:tr w:rsidR="00D0567B" w:rsidRPr="003445F5" w14:paraId="7D9FA830" w14:textId="77777777" w:rsidTr="00C621C2">
        <w:trPr>
          <w:trHeight w:val="20"/>
        </w:trPr>
        <w:tc>
          <w:tcPr>
            <w:tcW w:w="1019" w:type="pct"/>
            <w:tcBorders>
              <w:top w:val="single" w:sz="4" w:space="0" w:color="000000"/>
              <w:left w:val="single" w:sz="4" w:space="0" w:color="000000"/>
              <w:bottom w:val="single" w:sz="4" w:space="0" w:color="000000"/>
              <w:right w:val="single" w:sz="4" w:space="0" w:color="000000"/>
            </w:tcBorders>
          </w:tcPr>
          <w:p w14:paraId="4FE14258" w14:textId="6CD414E4" w:rsidR="00D0567B" w:rsidRPr="003445F5" w:rsidRDefault="00551F1D" w:rsidP="00704956">
            <w:pPr>
              <w:rPr>
                <w:szCs w:val="22"/>
                <w:lang w:val="sr-Latn-ME"/>
              </w:rPr>
            </w:pPr>
            <w:r w:rsidRPr="003445F5">
              <w:rPr>
                <w:b/>
                <w:szCs w:val="22"/>
                <w:lang w:val="sr-Latn-ME"/>
              </w:rPr>
              <w:t>Nedjelj</w:t>
            </w:r>
            <w:r w:rsidR="00D0567B" w:rsidRPr="003445F5">
              <w:rPr>
                <w:b/>
                <w:szCs w:val="22"/>
                <w:lang w:val="sr-Latn-ME"/>
              </w:rPr>
              <w:t>a 52</w:t>
            </w:r>
          </w:p>
        </w:tc>
        <w:tc>
          <w:tcPr>
            <w:tcW w:w="1622" w:type="pct"/>
            <w:tcBorders>
              <w:top w:val="single" w:sz="4" w:space="0" w:color="000000"/>
              <w:left w:val="single" w:sz="4" w:space="0" w:color="000000"/>
              <w:bottom w:val="single" w:sz="4" w:space="0" w:color="000000"/>
              <w:right w:val="single" w:sz="4" w:space="0" w:color="000000"/>
            </w:tcBorders>
            <w:vAlign w:val="center"/>
          </w:tcPr>
          <w:p w14:paraId="0FBAFB0C" w14:textId="77777777" w:rsidR="00D0567B" w:rsidRPr="003445F5" w:rsidRDefault="00D0567B" w:rsidP="00704956">
            <w:pPr>
              <w:jc w:val="center"/>
              <w:rPr>
                <w:szCs w:val="22"/>
                <w:lang w:val="sr-Latn-ME"/>
              </w:rPr>
            </w:pPr>
          </w:p>
        </w:tc>
        <w:tc>
          <w:tcPr>
            <w:tcW w:w="1674" w:type="pct"/>
            <w:tcBorders>
              <w:top w:val="single" w:sz="4" w:space="0" w:color="000000"/>
              <w:left w:val="single" w:sz="4" w:space="0" w:color="000000"/>
              <w:bottom w:val="single" w:sz="4" w:space="0" w:color="000000"/>
              <w:right w:val="single" w:sz="4" w:space="0" w:color="000000"/>
            </w:tcBorders>
            <w:vAlign w:val="center"/>
          </w:tcPr>
          <w:p w14:paraId="133DA878" w14:textId="77777777" w:rsidR="00D0567B" w:rsidRPr="003445F5" w:rsidRDefault="00D0567B" w:rsidP="00C621C2">
            <w:pPr>
              <w:tabs>
                <w:tab w:val="clear" w:pos="284"/>
              </w:tabs>
              <w:jc w:val="center"/>
              <w:rPr>
                <w:szCs w:val="22"/>
                <w:lang w:val="sr-Latn-ME"/>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3F74C468" w14:textId="77777777" w:rsidR="00D0567B" w:rsidRPr="003445F5" w:rsidRDefault="00D0567B" w:rsidP="00704956">
            <w:pPr>
              <w:jc w:val="center"/>
              <w:rPr>
                <w:szCs w:val="22"/>
                <w:lang w:val="sr-Latn-ME"/>
              </w:rPr>
            </w:pPr>
          </w:p>
        </w:tc>
      </w:tr>
      <w:tr w:rsidR="00D0567B" w:rsidRPr="003445F5" w14:paraId="2D51DE97" w14:textId="77777777" w:rsidTr="00C621C2">
        <w:trPr>
          <w:trHeight w:val="20"/>
        </w:trPr>
        <w:tc>
          <w:tcPr>
            <w:tcW w:w="1019" w:type="pct"/>
            <w:tcBorders>
              <w:top w:val="single" w:sz="4" w:space="0" w:color="000000"/>
              <w:left w:val="single" w:sz="4" w:space="0" w:color="000000"/>
              <w:bottom w:val="single" w:sz="4" w:space="0" w:color="000000"/>
              <w:right w:val="single" w:sz="4" w:space="0" w:color="000000"/>
            </w:tcBorders>
          </w:tcPr>
          <w:p w14:paraId="7104348B" w14:textId="77777777" w:rsidR="00D0567B" w:rsidRPr="003445F5" w:rsidRDefault="00D0567B" w:rsidP="00704956">
            <w:pPr>
              <w:tabs>
                <w:tab w:val="clear" w:pos="284"/>
              </w:tabs>
              <w:ind w:left="142"/>
              <w:jc w:val="center"/>
              <w:rPr>
                <w:szCs w:val="22"/>
                <w:lang w:val="sr-Latn-ME"/>
              </w:rPr>
            </w:pPr>
            <w:r w:rsidRPr="003445F5">
              <w:rPr>
                <w:szCs w:val="22"/>
                <w:lang w:val="sr-Latn-ME"/>
              </w:rPr>
              <w:t>Klinička remisija</w:t>
            </w:r>
          </w:p>
        </w:tc>
        <w:tc>
          <w:tcPr>
            <w:tcW w:w="1622" w:type="pct"/>
            <w:tcBorders>
              <w:top w:val="single" w:sz="4" w:space="0" w:color="000000"/>
              <w:left w:val="single" w:sz="4" w:space="0" w:color="000000"/>
              <w:bottom w:val="single" w:sz="4" w:space="0" w:color="000000"/>
              <w:right w:val="single" w:sz="4" w:space="0" w:color="000000"/>
            </w:tcBorders>
            <w:vAlign w:val="center"/>
          </w:tcPr>
          <w:p w14:paraId="4960A31E" w14:textId="77777777" w:rsidR="00D0567B" w:rsidRPr="003445F5" w:rsidRDefault="00D0567B" w:rsidP="00704956">
            <w:pPr>
              <w:jc w:val="center"/>
              <w:rPr>
                <w:szCs w:val="22"/>
                <w:lang w:val="sr-Latn-ME"/>
              </w:rPr>
            </w:pPr>
            <w:r w:rsidRPr="003445F5">
              <w:rPr>
                <w:szCs w:val="22"/>
                <w:lang w:val="sr-Latn-ME"/>
              </w:rPr>
              <w:t>33,3%</w:t>
            </w:r>
          </w:p>
        </w:tc>
        <w:tc>
          <w:tcPr>
            <w:tcW w:w="1674" w:type="pct"/>
            <w:tcBorders>
              <w:top w:val="single" w:sz="4" w:space="0" w:color="000000"/>
              <w:left w:val="single" w:sz="4" w:space="0" w:color="000000"/>
              <w:bottom w:val="single" w:sz="4" w:space="0" w:color="000000"/>
              <w:right w:val="single" w:sz="4" w:space="0" w:color="000000"/>
            </w:tcBorders>
            <w:vAlign w:val="center"/>
          </w:tcPr>
          <w:p w14:paraId="1B5EA206" w14:textId="77777777" w:rsidR="00D0567B" w:rsidRPr="003445F5" w:rsidRDefault="00D0567B" w:rsidP="00C621C2">
            <w:pPr>
              <w:tabs>
                <w:tab w:val="clear" w:pos="284"/>
              </w:tabs>
              <w:jc w:val="center"/>
              <w:rPr>
                <w:szCs w:val="22"/>
                <w:lang w:val="sr-Latn-ME"/>
              </w:rPr>
            </w:pPr>
            <w:r w:rsidRPr="003445F5">
              <w:rPr>
                <w:szCs w:val="22"/>
                <w:lang w:val="sr-Latn-ME"/>
              </w:rPr>
              <w:t>23,2%</w:t>
            </w:r>
          </w:p>
        </w:tc>
        <w:tc>
          <w:tcPr>
            <w:tcW w:w="684" w:type="pct"/>
            <w:tcBorders>
              <w:top w:val="single" w:sz="4" w:space="0" w:color="000000"/>
              <w:left w:val="single" w:sz="4" w:space="0" w:color="000000"/>
              <w:bottom w:val="single" w:sz="4" w:space="0" w:color="000000"/>
              <w:right w:val="single" w:sz="4" w:space="0" w:color="000000"/>
            </w:tcBorders>
            <w:vAlign w:val="center"/>
          </w:tcPr>
          <w:p w14:paraId="187A77C7" w14:textId="77777777" w:rsidR="00D0567B" w:rsidRPr="003445F5" w:rsidRDefault="00D0567B" w:rsidP="00704956">
            <w:pPr>
              <w:jc w:val="center"/>
              <w:rPr>
                <w:szCs w:val="22"/>
                <w:lang w:val="sr-Latn-ME"/>
              </w:rPr>
            </w:pPr>
            <w:r w:rsidRPr="003445F5">
              <w:rPr>
                <w:szCs w:val="22"/>
                <w:lang w:val="sr-Latn-ME"/>
              </w:rPr>
              <w:t>0,100</w:t>
            </w:r>
          </w:p>
        </w:tc>
      </w:tr>
      <w:tr w:rsidR="00D0567B" w:rsidRPr="003445F5" w14:paraId="757E1C25" w14:textId="77777777" w:rsidTr="00C621C2">
        <w:trPr>
          <w:trHeight w:val="20"/>
        </w:trPr>
        <w:tc>
          <w:tcPr>
            <w:tcW w:w="1019" w:type="pct"/>
            <w:tcBorders>
              <w:top w:val="single" w:sz="4" w:space="0" w:color="000000"/>
              <w:left w:val="single" w:sz="4" w:space="0" w:color="000000"/>
              <w:bottom w:val="single" w:sz="4" w:space="0" w:color="000000"/>
              <w:right w:val="single" w:sz="4" w:space="0" w:color="000000"/>
            </w:tcBorders>
          </w:tcPr>
          <w:p w14:paraId="38D523C4" w14:textId="77777777" w:rsidR="00D0567B" w:rsidRPr="003445F5" w:rsidRDefault="00D0567B" w:rsidP="00704956">
            <w:pPr>
              <w:tabs>
                <w:tab w:val="clear" w:pos="284"/>
              </w:tabs>
              <w:ind w:left="142"/>
              <w:jc w:val="center"/>
              <w:rPr>
                <w:szCs w:val="22"/>
                <w:lang w:val="sr-Latn-ME"/>
              </w:rPr>
            </w:pPr>
            <w:r w:rsidRPr="003445F5">
              <w:rPr>
                <w:szCs w:val="22"/>
                <w:lang w:val="sr-Latn-ME"/>
              </w:rPr>
              <w:t>Klinički odgovor</w:t>
            </w:r>
          </w:p>
        </w:tc>
        <w:tc>
          <w:tcPr>
            <w:tcW w:w="1622" w:type="pct"/>
            <w:tcBorders>
              <w:top w:val="single" w:sz="4" w:space="0" w:color="000000"/>
              <w:left w:val="single" w:sz="4" w:space="0" w:color="000000"/>
              <w:bottom w:val="single" w:sz="4" w:space="0" w:color="000000"/>
              <w:right w:val="single" w:sz="4" w:space="0" w:color="000000"/>
            </w:tcBorders>
            <w:vAlign w:val="center"/>
          </w:tcPr>
          <w:p w14:paraId="63C9F908" w14:textId="77777777" w:rsidR="00D0567B" w:rsidRPr="003445F5" w:rsidRDefault="00D0567B" w:rsidP="00704956">
            <w:pPr>
              <w:jc w:val="center"/>
              <w:rPr>
                <w:szCs w:val="22"/>
                <w:lang w:val="sr-Latn-ME"/>
              </w:rPr>
            </w:pPr>
            <w:r w:rsidRPr="003445F5">
              <w:rPr>
                <w:szCs w:val="22"/>
                <w:lang w:val="sr-Latn-ME"/>
              </w:rPr>
              <w:t>41,9%</w:t>
            </w:r>
          </w:p>
        </w:tc>
        <w:tc>
          <w:tcPr>
            <w:tcW w:w="1674" w:type="pct"/>
            <w:tcBorders>
              <w:top w:val="single" w:sz="4" w:space="0" w:color="000000"/>
              <w:left w:val="single" w:sz="4" w:space="0" w:color="000000"/>
              <w:bottom w:val="single" w:sz="4" w:space="0" w:color="000000"/>
              <w:right w:val="single" w:sz="4" w:space="0" w:color="000000"/>
            </w:tcBorders>
            <w:vAlign w:val="center"/>
          </w:tcPr>
          <w:p w14:paraId="56639826" w14:textId="77777777" w:rsidR="00D0567B" w:rsidRPr="003445F5" w:rsidRDefault="00D0567B" w:rsidP="00C621C2">
            <w:pPr>
              <w:tabs>
                <w:tab w:val="clear" w:pos="284"/>
              </w:tabs>
              <w:jc w:val="center"/>
              <w:rPr>
                <w:szCs w:val="22"/>
                <w:lang w:val="sr-Latn-ME"/>
              </w:rPr>
            </w:pPr>
            <w:r w:rsidRPr="003445F5">
              <w:rPr>
                <w:szCs w:val="22"/>
                <w:lang w:val="sr-Latn-ME"/>
              </w:rPr>
              <w:t>28,4%</w:t>
            </w:r>
          </w:p>
        </w:tc>
        <w:tc>
          <w:tcPr>
            <w:tcW w:w="684" w:type="pct"/>
            <w:tcBorders>
              <w:top w:val="single" w:sz="4" w:space="0" w:color="000000"/>
              <w:left w:val="single" w:sz="4" w:space="0" w:color="000000"/>
              <w:bottom w:val="single" w:sz="4" w:space="0" w:color="000000"/>
              <w:right w:val="single" w:sz="4" w:space="0" w:color="000000"/>
            </w:tcBorders>
            <w:vAlign w:val="center"/>
          </w:tcPr>
          <w:p w14:paraId="45D0C764" w14:textId="77777777" w:rsidR="00D0567B" w:rsidRPr="003445F5" w:rsidRDefault="00D0567B" w:rsidP="00704956">
            <w:pPr>
              <w:jc w:val="center"/>
              <w:rPr>
                <w:szCs w:val="22"/>
                <w:lang w:val="sr-Latn-ME"/>
              </w:rPr>
            </w:pPr>
            <w:r w:rsidRPr="003445F5">
              <w:rPr>
                <w:szCs w:val="22"/>
                <w:lang w:val="sr-Latn-ME"/>
              </w:rPr>
              <w:t>0,038</w:t>
            </w:r>
          </w:p>
        </w:tc>
      </w:tr>
    </w:tbl>
    <w:p w14:paraId="7C7285FE" w14:textId="584A9E37" w:rsidR="00C930E1" w:rsidRPr="003445F5" w:rsidRDefault="00DD5863" w:rsidP="00524FDF">
      <w:pPr>
        <w:rPr>
          <w:szCs w:val="22"/>
          <w:lang w:val="sr-Latn-ME"/>
        </w:rPr>
      </w:pPr>
      <w:r w:rsidRPr="003445F5">
        <w:rPr>
          <w:szCs w:val="22"/>
          <w:lang w:val="sr-Latn-ME"/>
        </w:rPr>
        <w:t>*p vr</w:t>
      </w:r>
      <w:r w:rsidR="00C621C2" w:rsidRPr="003445F5">
        <w:rPr>
          <w:szCs w:val="22"/>
          <w:lang w:val="sr-Latn-ME"/>
        </w:rPr>
        <w:t>ij</w:t>
      </w:r>
      <w:r w:rsidRPr="003445F5">
        <w:rPr>
          <w:szCs w:val="22"/>
          <w:lang w:val="sr-Latn-ME"/>
        </w:rPr>
        <w:t>ednost poređenja standardne doze u odnosu na nisku dozu</w:t>
      </w:r>
    </w:p>
    <w:p w14:paraId="0C6CAAFD" w14:textId="77777777" w:rsidR="00C930E1" w:rsidRPr="003445F5" w:rsidRDefault="00C930E1" w:rsidP="00524FDF">
      <w:pPr>
        <w:rPr>
          <w:b/>
          <w:szCs w:val="22"/>
          <w:lang w:val="sr-Latn-ME"/>
        </w:rPr>
      </w:pPr>
    </w:p>
    <w:p w14:paraId="2CCE8CFA" w14:textId="4AB30C2A" w:rsidR="00C930E1" w:rsidRPr="003445F5" w:rsidRDefault="00C930E1" w:rsidP="00524FDF">
      <w:pPr>
        <w:rPr>
          <w:b/>
          <w:szCs w:val="22"/>
          <w:lang w:val="sr-Latn-ME"/>
        </w:rPr>
      </w:pPr>
      <w:r w:rsidRPr="003445F5">
        <w:rPr>
          <w:b/>
          <w:szCs w:val="22"/>
          <w:lang w:val="sr-Latn-ME"/>
        </w:rPr>
        <w:t xml:space="preserve">Tabela </w:t>
      </w:r>
      <w:r w:rsidR="00666CB8" w:rsidRPr="003445F5">
        <w:rPr>
          <w:b/>
          <w:szCs w:val="22"/>
          <w:lang w:val="sr-Latn-ME"/>
        </w:rPr>
        <w:t>2</w:t>
      </w:r>
      <w:r w:rsidRPr="003445F5">
        <w:rPr>
          <w:b/>
          <w:szCs w:val="22"/>
          <w:lang w:val="sr-Latn-ME"/>
        </w:rPr>
        <w:t xml:space="preserve">0. </w:t>
      </w:r>
      <w:r w:rsidR="00D82045" w:rsidRPr="003445F5">
        <w:rPr>
          <w:b/>
          <w:szCs w:val="22"/>
          <w:lang w:val="sr-Latn-ME"/>
        </w:rPr>
        <w:t>Pedijatrijska CD studija, prekid upotrebe kortikosteroida ili imunomodulatora i remisija fistula</w:t>
      </w:r>
    </w:p>
    <w:p w14:paraId="0F4D9E46" w14:textId="77777777" w:rsidR="00C930E1" w:rsidRPr="003445F5" w:rsidRDefault="00C930E1" w:rsidP="00524FDF">
      <w:pPr>
        <w:rPr>
          <w:szCs w:val="22"/>
          <w:lang w:val="sr-Latn-ME"/>
        </w:rPr>
      </w:pPr>
    </w:p>
    <w:tbl>
      <w:tblPr>
        <w:tblW w:w="5000" w:type="pct"/>
        <w:tblCellMar>
          <w:top w:w="49" w:type="dxa"/>
          <w:left w:w="85" w:type="dxa"/>
          <w:right w:w="85" w:type="dxa"/>
        </w:tblCellMar>
        <w:tblLook w:val="04A0" w:firstRow="1" w:lastRow="0" w:firstColumn="1" w:lastColumn="0" w:noHBand="0" w:noVBand="1"/>
      </w:tblPr>
      <w:tblGrid>
        <w:gridCol w:w="2689"/>
        <w:gridCol w:w="2519"/>
        <w:gridCol w:w="2521"/>
        <w:gridCol w:w="1288"/>
      </w:tblGrid>
      <w:tr w:rsidR="00E966AA" w:rsidRPr="003445F5" w14:paraId="76BD01D7" w14:textId="77777777" w:rsidTr="00E96735">
        <w:trPr>
          <w:trHeight w:val="20"/>
        </w:trPr>
        <w:tc>
          <w:tcPr>
            <w:tcW w:w="1491" w:type="pct"/>
            <w:tcBorders>
              <w:top w:val="single" w:sz="4" w:space="0" w:color="000000"/>
              <w:left w:val="single" w:sz="4" w:space="0" w:color="000000"/>
              <w:bottom w:val="single" w:sz="4" w:space="0" w:color="000000"/>
              <w:right w:val="single" w:sz="4" w:space="0" w:color="000000"/>
            </w:tcBorders>
            <w:vAlign w:val="center"/>
          </w:tcPr>
          <w:p w14:paraId="01DF8F48" w14:textId="77777777" w:rsidR="00E966AA" w:rsidRPr="003445F5" w:rsidRDefault="00E966AA" w:rsidP="00704956">
            <w:pPr>
              <w:jc w:val="center"/>
              <w:rPr>
                <w:szCs w:val="22"/>
                <w:lang w:val="sr-Latn-ME"/>
              </w:rPr>
            </w:pPr>
          </w:p>
        </w:tc>
        <w:tc>
          <w:tcPr>
            <w:tcW w:w="1397" w:type="pct"/>
            <w:tcBorders>
              <w:top w:val="single" w:sz="4" w:space="0" w:color="000000"/>
              <w:left w:val="single" w:sz="4" w:space="0" w:color="000000"/>
              <w:bottom w:val="single" w:sz="4" w:space="0" w:color="000000"/>
              <w:right w:val="single" w:sz="4" w:space="0" w:color="000000"/>
            </w:tcBorders>
            <w:vAlign w:val="center"/>
          </w:tcPr>
          <w:p w14:paraId="78885F52" w14:textId="77777777" w:rsidR="00E966AA" w:rsidRPr="003445F5" w:rsidRDefault="00E966AA" w:rsidP="00704956">
            <w:pPr>
              <w:jc w:val="center"/>
              <w:rPr>
                <w:b/>
                <w:szCs w:val="22"/>
                <w:lang w:val="sr-Latn-ME"/>
              </w:rPr>
            </w:pPr>
            <w:r w:rsidRPr="003445F5">
              <w:rPr>
                <w:b/>
                <w:szCs w:val="22"/>
                <w:lang w:val="sr-Latn-ME"/>
              </w:rPr>
              <w:t xml:space="preserve">Standardna doza: </w:t>
            </w:r>
          </w:p>
          <w:p w14:paraId="22BDC667" w14:textId="1F32539C" w:rsidR="00E966AA" w:rsidRPr="003445F5" w:rsidRDefault="00E966AA" w:rsidP="00704956">
            <w:pPr>
              <w:jc w:val="center"/>
              <w:rPr>
                <w:szCs w:val="22"/>
                <w:lang w:val="sr-Latn-ME"/>
              </w:rPr>
            </w:pPr>
            <w:r w:rsidRPr="003445F5">
              <w:rPr>
                <w:b/>
                <w:szCs w:val="22"/>
                <w:lang w:val="sr-Latn-ME"/>
              </w:rPr>
              <w:t xml:space="preserve">40/20 mg svake druge </w:t>
            </w:r>
            <w:r w:rsidR="00551F1D" w:rsidRPr="003445F5">
              <w:rPr>
                <w:b/>
                <w:szCs w:val="22"/>
                <w:lang w:val="sr-Latn-ME"/>
              </w:rPr>
              <w:t>nedjelj</w:t>
            </w:r>
            <w:r w:rsidR="0047711E" w:rsidRPr="003445F5">
              <w:rPr>
                <w:b/>
                <w:szCs w:val="22"/>
                <w:lang w:val="sr-Latn-ME"/>
              </w:rPr>
              <w:t>e</w:t>
            </w:r>
          </w:p>
        </w:tc>
        <w:tc>
          <w:tcPr>
            <w:tcW w:w="1398" w:type="pct"/>
            <w:tcBorders>
              <w:top w:val="single" w:sz="4" w:space="0" w:color="000000"/>
              <w:left w:val="single" w:sz="4" w:space="0" w:color="000000"/>
              <w:bottom w:val="single" w:sz="4" w:space="0" w:color="000000"/>
              <w:right w:val="single" w:sz="4" w:space="0" w:color="000000"/>
            </w:tcBorders>
            <w:vAlign w:val="center"/>
          </w:tcPr>
          <w:p w14:paraId="65712054" w14:textId="77777777" w:rsidR="00E966AA" w:rsidRPr="003445F5" w:rsidRDefault="00E966AA" w:rsidP="00704956">
            <w:pPr>
              <w:jc w:val="center"/>
              <w:rPr>
                <w:szCs w:val="22"/>
                <w:lang w:val="sr-Latn-ME"/>
              </w:rPr>
            </w:pPr>
            <w:r w:rsidRPr="003445F5">
              <w:rPr>
                <w:b/>
                <w:szCs w:val="22"/>
                <w:lang w:val="sr-Latn-ME"/>
              </w:rPr>
              <w:t>Niska doza:</w:t>
            </w:r>
          </w:p>
          <w:p w14:paraId="3FF21839" w14:textId="68BE46FC" w:rsidR="00E966AA" w:rsidRPr="003445F5" w:rsidRDefault="00E966AA" w:rsidP="00704956">
            <w:pPr>
              <w:jc w:val="center"/>
              <w:rPr>
                <w:szCs w:val="22"/>
                <w:lang w:val="sr-Latn-ME"/>
              </w:rPr>
            </w:pPr>
            <w:r w:rsidRPr="003445F5">
              <w:rPr>
                <w:b/>
                <w:szCs w:val="22"/>
                <w:lang w:val="sr-Latn-ME"/>
              </w:rPr>
              <w:t xml:space="preserve">20/10 mg svake druge </w:t>
            </w:r>
            <w:r w:rsidR="00551F1D" w:rsidRPr="003445F5">
              <w:rPr>
                <w:b/>
                <w:szCs w:val="22"/>
                <w:lang w:val="sr-Latn-ME"/>
              </w:rPr>
              <w:t>nedjelj</w:t>
            </w:r>
            <w:r w:rsidR="0047711E" w:rsidRPr="003445F5">
              <w:rPr>
                <w:b/>
                <w:szCs w:val="22"/>
                <w:lang w:val="sr-Latn-ME"/>
              </w:rPr>
              <w:t>e</w:t>
            </w:r>
          </w:p>
        </w:tc>
        <w:tc>
          <w:tcPr>
            <w:tcW w:w="714" w:type="pct"/>
            <w:tcBorders>
              <w:top w:val="single" w:sz="4" w:space="0" w:color="000000"/>
              <w:left w:val="single" w:sz="4" w:space="0" w:color="000000"/>
              <w:bottom w:val="single" w:sz="4" w:space="0" w:color="000000"/>
              <w:right w:val="single" w:sz="4" w:space="0" w:color="000000"/>
            </w:tcBorders>
            <w:vAlign w:val="center"/>
          </w:tcPr>
          <w:p w14:paraId="45981727" w14:textId="6A361B6A" w:rsidR="00E966AA" w:rsidRPr="003445F5" w:rsidRDefault="00E966AA" w:rsidP="00704956">
            <w:pPr>
              <w:jc w:val="center"/>
              <w:rPr>
                <w:szCs w:val="22"/>
                <w:lang w:val="sr-Latn-ME"/>
              </w:rPr>
            </w:pPr>
            <w:r w:rsidRPr="003445F5">
              <w:rPr>
                <w:b/>
                <w:szCs w:val="22"/>
                <w:lang w:val="sr-Latn-ME"/>
              </w:rPr>
              <w:t>p-vr</w:t>
            </w:r>
            <w:r w:rsidR="00C621C2" w:rsidRPr="003445F5">
              <w:rPr>
                <w:b/>
                <w:szCs w:val="22"/>
                <w:lang w:val="sr-Latn-ME"/>
              </w:rPr>
              <w:t>ij</w:t>
            </w:r>
            <w:r w:rsidRPr="003445F5">
              <w:rPr>
                <w:b/>
                <w:szCs w:val="22"/>
                <w:lang w:val="sr-Latn-ME"/>
              </w:rPr>
              <w:t>ednost</w:t>
            </w:r>
            <w:r w:rsidRPr="003445F5">
              <w:rPr>
                <w:b/>
                <w:szCs w:val="22"/>
                <w:vertAlign w:val="superscript"/>
                <w:lang w:val="sr-Latn-ME"/>
              </w:rPr>
              <w:t>1</w:t>
            </w:r>
          </w:p>
        </w:tc>
      </w:tr>
      <w:tr w:rsidR="00E966AA" w:rsidRPr="003445F5" w14:paraId="5911D700" w14:textId="77777777" w:rsidTr="00E96735">
        <w:trPr>
          <w:trHeight w:val="20"/>
        </w:trPr>
        <w:tc>
          <w:tcPr>
            <w:tcW w:w="1491" w:type="pct"/>
            <w:tcBorders>
              <w:top w:val="single" w:sz="4" w:space="0" w:color="000000"/>
              <w:left w:val="single" w:sz="4" w:space="0" w:color="000000"/>
              <w:bottom w:val="single" w:sz="4" w:space="0" w:color="000000"/>
              <w:right w:val="single" w:sz="4" w:space="0" w:color="000000"/>
            </w:tcBorders>
          </w:tcPr>
          <w:p w14:paraId="4BFC8AAB" w14:textId="77777777" w:rsidR="00E966AA" w:rsidRPr="003445F5" w:rsidRDefault="00E966AA" w:rsidP="00704956">
            <w:pPr>
              <w:rPr>
                <w:szCs w:val="22"/>
                <w:lang w:val="sr-Latn-ME"/>
              </w:rPr>
            </w:pPr>
            <w:r w:rsidRPr="003445F5">
              <w:rPr>
                <w:b/>
                <w:szCs w:val="22"/>
                <w:lang w:val="sr-Latn-ME"/>
              </w:rPr>
              <w:t>Prekid kortikosteroida</w:t>
            </w:r>
          </w:p>
        </w:tc>
        <w:tc>
          <w:tcPr>
            <w:tcW w:w="1397" w:type="pct"/>
            <w:tcBorders>
              <w:top w:val="single" w:sz="4" w:space="0" w:color="000000"/>
              <w:left w:val="single" w:sz="4" w:space="0" w:color="000000"/>
              <w:bottom w:val="single" w:sz="4" w:space="0" w:color="000000"/>
              <w:right w:val="single" w:sz="4" w:space="0" w:color="000000"/>
            </w:tcBorders>
            <w:vAlign w:val="center"/>
          </w:tcPr>
          <w:p w14:paraId="32609BD0" w14:textId="77777777" w:rsidR="00E966AA" w:rsidRPr="003445F5" w:rsidRDefault="00E966AA" w:rsidP="00704956">
            <w:pPr>
              <w:jc w:val="center"/>
              <w:rPr>
                <w:szCs w:val="22"/>
                <w:lang w:val="sr-Latn-ME"/>
              </w:rPr>
            </w:pPr>
            <w:r w:rsidRPr="003445F5">
              <w:rPr>
                <w:b/>
                <w:szCs w:val="22"/>
                <w:lang w:val="sr-Latn-ME"/>
              </w:rPr>
              <w:t>N=33</w:t>
            </w:r>
          </w:p>
        </w:tc>
        <w:tc>
          <w:tcPr>
            <w:tcW w:w="1398" w:type="pct"/>
            <w:tcBorders>
              <w:top w:val="single" w:sz="4" w:space="0" w:color="000000"/>
              <w:left w:val="single" w:sz="4" w:space="0" w:color="000000"/>
              <w:bottom w:val="single" w:sz="4" w:space="0" w:color="000000"/>
              <w:right w:val="single" w:sz="4" w:space="0" w:color="000000"/>
            </w:tcBorders>
            <w:vAlign w:val="center"/>
          </w:tcPr>
          <w:p w14:paraId="3F463E4C" w14:textId="77777777" w:rsidR="00E966AA" w:rsidRPr="003445F5" w:rsidRDefault="00E966AA" w:rsidP="00704956">
            <w:pPr>
              <w:jc w:val="center"/>
              <w:rPr>
                <w:szCs w:val="22"/>
                <w:lang w:val="sr-Latn-ME"/>
              </w:rPr>
            </w:pPr>
            <w:r w:rsidRPr="003445F5">
              <w:rPr>
                <w:b/>
                <w:szCs w:val="22"/>
                <w:lang w:val="sr-Latn-ME"/>
              </w:rPr>
              <w:t>N=38</w:t>
            </w:r>
          </w:p>
        </w:tc>
        <w:tc>
          <w:tcPr>
            <w:tcW w:w="714" w:type="pct"/>
            <w:tcBorders>
              <w:top w:val="single" w:sz="4" w:space="0" w:color="000000"/>
              <w:left w:val="single" w:sz="4" w:space="0" w:color="000000"/>
              <w:bottom w:val="single" w:sz="4" w:space="0" w:color="000000"/>
              <w:right w:val="single" w:sz="4" w:space="0" w:color="000000"/>
            </w:tcBorders>
            <w:vAlign w:val="center"/>
          </w:tcPr>
          <w:p w14:paraId="04D0CB3F" w14:textId="77777777" w:rsidR="00E966AA" w:rsidRPr="003445F5" w:rsidRDefault="00E966AA" w:rsidP="00704956">
            <w:pPr>
              <w:jc w:val="center"/>
              <w:rPr>
                <w:szCs w:val="22"/>
                <w:lang w:val="sr-Latn-ME"/>
              </w:rPr>
            </w:pPr>
          </w:p>
        </w:tc>
      </w:tr>
      <w:tr w:rsidR="00E966AA" w:rsidRPr="003445F5" w14:paraId="72309E89" w14:textId="77777777" w:rsidTr="00E96735">
        <w:trPr>
          <w:trHeight w:val="20"/>
        </w:trPr>
        <w:tc>
          <w:tcPr>
            <w:tcW w:w="1491" w:type="pct"/>
            <w:tcBorders>
              <w:top w:val="single" w:sz="4" w:space="0" w:color="000000"/>
              <w:left w:val="single" w:sz="4" w:space="0" w:color="000000"/>
              <w:bottom w:val="single" w:sz="4" w:space="0" w:color="000000"/>
              <w:right w:val="single" w:sz="4" w:space="0" w:color="000000"/>
            </w:tcBorders>
          </w:tcPr>
          <w:p w14:paraId="1C71EDCC" w14:textId="7FBA2315" w:rsidR="00E966AA" w:rsidRPr="003445F5" w:rsidRDefault="00E966AA" w:rsidP="00704956">
            <w:pPr>
              <w:rPr>
                <w:szCs w:val="22"/>
                <w:lang w:val="sr-Latn-ME"/>
              </w:rPr>
            </w:pPr>
            <w:r w:rsidRPr="003445F5">
              <w:rPr>
                <w:szCs w:val="22"/>
                <w:lang w:val="sr-Latn-ME"/>
              </w:rPr>
              <w:t>26. ned</w:t>
            </w:r>
            <w:r w:rsidR="00C621C2" w:rsidRPr="003445F5">
              <w:rPr>
                <w:szCs w:val="22"/>
                <w:lang w:val="sr-Latn-ME"/>
              </w:rPr>
              <w:t>j</w:t>
            </w:r>
            <w:r w:rsidRPr="003445F5">
              <w:rPr>
                <w:szCs w:val="22"/>
                <w:lang w:val="sr-Latn-ME"/>
              </w:rPr>
              <w:t xml:space="preserve">elja </w:t>
            </w:r>
          </w:p>
        </w:tc>
        <w:tc>
          <w:tcPr>
            <w:tcW w:w="1397" w:type="pct"/>
            <w:tcBorders>
              <w:top w:val="single" w:sz="4" w:space="0" w:color="000000"/>
              <w:left w:val="single" w:sz="4" w:space="0" w:color="000000"/>
              <w:bottom w:val="single" w:sz="4" w:space="0" w:color="000000"/>
              <w:right w:val="single" w:sz="4" w:space="0" w:color="000000"/>
            </w:tcBorders>
            <w:vAlign w:val="center"/>
          </w:tcPr>
          <w:p w14:paraId="59BC79EF" w14:textId="77777777" w:rsidR="00E966AA" w:rsidRPr="003445F5" w:rsidRDefault="00E966AA" w:rsidP="00704956">
            <w:pPr>
              <w:jc w:val="center"/>
              <w:rPr>
                <w:szCs w:val="22"/>
                <w:lang w:val="sr-Latn-ME"/>
              </w:rPr>
            </w:pPr>
            <w:r w:rsidRPr="003445F5">
              <w:rPr>
                <w:szCs w:val="22"/>
                <w:lang w:val="sr-Latn-ME"/>
              </w:rPr>
              <w:t>84,8%</w:t>
            </w:r>
          </w:p>
        </w:tc>
        <w:tc>
          <w:tcPr>
            <w:tcW w:w="1398" w:type="pct"/>
            <w:tcBorders>
              <w:top w:val="single" w:sz="4" w:space="0" w:color="000000"/>
              <w:left w:val="single" w:sz="4" w:space="0" w:color="000000"/>
              <w:bottom w:val="single" w:sz="4" w:space="0" w:color="000000"/>
              <w:right w:val="single" w:sz="4" w:space="0" w:color="000000"/>
            </w:tcBorders>
            <w:vAlign w:val="center"/>
          </w:tcPr>
          <w:p w14:paraId="2E9EA2F6" w14:textId="77777777" w:rsidR="00E966AA" w:rsidRPr="003445F5" w:rsidRDefault="00E966AA" w:rsidP="00704956">
            <w:pPr>
              <w:jc w:val="center"/>
              <w:rPr>
                <w:szCs w:val="22"/>
                <w:lang w:val="sr-Latn-ME"/>
              </w:rPr>
            </w:pPr>
            <w:r w:rsidRPr="003445F5">
              <w:rPr>
                <w:szCs w:val="22"/>
                <w:lang w:val="sr-Latn-ME"/>
              </w:rPr>
              <w:t>65,8%</w:t>
            </w:r>
          </w:p>
        </w:tc>
        <w:tc>
          <w:tcPr>
            <w:tcW w:w="714" w:type="pct"/>
            <w:tcBorders>
              <w:top w:val="single" w:sz="4" w:space="0" w:color="000000"/>
              <w:left w:val="single" w:sz="4" w:space="0" w:color="000000"/>
              <w:bottom w:val="single" w:sz="4" w:space="0" w:color="000000"/>
              <w:right w:val="single" w:sz="4" w:space="0" w:color="000000"/>
            </w:tcBorders>
            <w:vAlign w:val="center"/>
          </w:tcPr>
          <w:p w14:paraId="16DE88BE" w14:textId="77777777" w:rsidR="00E966AA" w:rsidRPr="003445F5" w:rsidRDefault="00E966AA" w:rsidP="00704956">
            <w:pPr>
              <w:jc w:val="center"/>
              <w:rPr>
                <w:szCs w:val="22"/>
                <w:lang w:val="sr-Latn-ME"/>
              </w:rPr>
            </w:pPr>
            <w:r w:rsidRPr="003445F5">
              <w:rPr>
                <w:szCs w:val="22"/>
                <w:lang w:val="sr-Latn-ME"/>
              </w:rPr>
              <w:t>0,066</w:t>
            </w:r>
          </w:p>
        </w:tc>
      </w:tr>
      <w:tr w:rsidR="00E966AA" w:rsidRPr="003445F5" w14:paraId="15EA74F8" w14:textId="77777777" w:rsidTr="00E96735">
        <w:trPr>
          <w:trHeight w:val="20"/>
        </w:trPr>
        <w:tc>
          <w:tcPr>
            <w:tcW w:w="1491" w:type="pct"/>
            <w:tcBorders>
              <w:top w:val="single" w:sz="4" w:space="0" w:color="000000"/>
              <w:left w:val="single" w:sz="4" w:space="0" w:color="000000"/>
              <w:bottom w:val="single" w:sz="4" w:space="0" w:color="000000"/>
              <w:right w:val="single" w:sz="4" w:space="0" w:color="000000"/>
            </w:tcBorders>
          </w:tcPr>
          <w:p w14:paraId="4E3EF2D7" w14:textId="22E0D018" w:rsidR="00E966AA" w:rsidRPr="003445F5" w:rsidRDefault="00E966AA" w:rsidP="00704956">
            <w:pPr>
              <w:rPr>
                <w:szCs w:val="22"/>
                <w:lang w:val="sr-Latn-ME"/>
              </w:rPr>
            </w:pPr>
            <w:r w:rsidRPr="003445F5">
              <w:rPr>
                <w:szCs w:val="22"/>
                <w:lang w:val="sr-Latn-ME"/>
              </w:rPr>
              <w:t>52. ned</w:t>
            </w:r>
            <w:r w:rsidR="00C621C2" w:rsidRPr="003445F5">
              <w:rPr>
                <w:szCs w:val="22"/>
                <w:lang w:val="sr-Latn-ME"/>
              </w:rPr>
              <w:t>j</w:t>
            </w:r>
            <w:r w:rsidRPr="003445F5">
              <w:rPr>
                <w:szCs w:val="22"/>
                <w:lang w:val="sr-Latn-ME"/>
              </w:rPr>
              <w:t xml:space="preserve">elja </w:t>
            </w:r>
          </w:p>
        </w:tc>
        <w:tc>
          <w:tcPr>
            <w:tcW w:w="1397" w:type="pct"/>
            <w:tcBorders>
              <w:top w:val="single" w:sz="4" w:space="0" w:color="000000"/>
              <w:left w:val="single" w:sz="4" w:space="0" w:color="000000"/>
              <w:bottom w:val="single" w:sz="4" w:space="0" w:color="000000"/>
              <w:right w:val="single" w:sz="4" w:space="0" w:color="000000"/>
            </w:tcBorders>
            <w:vAlign w:val="center"/>
          </w:tcPr>
          <w:p w14:paraId="5FF712B9" w14:textId="77777777" w:rsidR="00E966AA" w:rsidRPr="003445F5" w:rsidRDefault="00E966AA" w:rsidP="00704956">
            <w:pPr>
              <w:jc w:val="center"/>
              <w:rPr>
                <w:szCs w:val="22"/>
                <w:lang w:val="sr-Latn-ME"/>
              </w:rPr>
            </w:pPr>
            <w:r w:rsidRPr="003445F5">
              <w:rPr>
                <w:szCs w:val="22"/>
                <w:lang w:val="sr-Latn-ME"/>
              </w:rPr>
              <w:t>69,7%</w:t>
            </w:r>
          </w:p>
        </w:tc>
        <w:tc>
          <w:tcPr>
            <w:tcW w:w="1398" w:type="pct"/>
            <w:tcBorders>
              <w:top w:val="single" w:sz="4" w:space="0" w:color="000000"/>
              <w:left w:val="single" w:sz="4" w:space="0" w:color="000000"/>
              <w:bottom w:val="single" w:sz="4" w:space="0" w:color="000000"/>
              <w:right w:val="single" w:sz="4" w:space="0" w:color="000000"/>
            </w:tcBorders>
            <w:vAlign w:val="center"/>
          </w:tcPr>
          <w:p w14:paraId="24961D46" w14:textId="77777777" w:rsidR="00E966AA" w:rsidRPr="003445F5" w:rsidRDefault="00E966AA" w:rsidP="00704956">
            <w:pPr>
              <w:jc w:val="center"/>
              <w:rPr>
                <w:szCs w:val="22"/>
                <w:lang w:val="sr-Latn-ME"/>
              </w:rPr>
            </w:pPr>
            <w:r w:rsidRPr="003445F5">
              <w:rPr>
                <w:szCs w:val="22"/>
                <w:lang w:val="sr-Latn-ME"/>
              </w:rPr>
              <w:t>60,5%</w:t>
            </w:r>
          </w:p>
        </w:tc>
        <w:tc>
          <w:tcPr>
            <w:tcW w:w="714" w:type="pct"/>
            <w:tcBorders>
              <w:top w:val="single" w:sz="4" w:space="0" w:color="000000"/>
              <w:left w:val="single" w:sz="4" w:space="0" w:color="000000"/>
              <w:bottom w:val="single" w:sz="4" w:space="0" w:color="000000"/>
              <w:right w:val="single" w:sz="4" w:space="0" w:color="000000"/>
            </w:tcBorders>
            <w:vAlign w:val="center"/>
          </w:tcPr>
          <w:p w14:paraId="2DEDC6A5" w14:textId="77777777" w:rsidR="00E966AA" w:rsidRPr="003445F5" w:rsidRDefault="00E966AA" w:rsidP="00704956">
            <w:pPr>
              <w:jc w:val="center"/>
              <w:rPr>
                <w:szCs w:val="22"/>
                <w:lang w:val="sr-Latn-ME"/>
              </w:rPr>
            </w:pPr>
            <w:r w:rsidRPr="003445F5">
              <w:rPr>
                <w:szCs w:val="22"/>
                <w:lang w:val="sr-Latn-ME"/>
              </w:rPr>
              <w:t>0,420</w:t>
            </w:r>
          </w:p>
        </w:tc>
      </w:tr>
      <w:tr w:rsidR="00E966AA" w:rsidRPr="003445F5" w14:paraId="00664A2A" w14:textId="77777777" w:rsidTr="00E96735">
        <w:trPr>
          <w:trHeight w:val="20"/>
        </w:trPr>
        <w:tc>
          <w:tcPr>
            <w:tcW w:w="1491" w:type="pct"/>
            <w:tcBorders>
              <w:top w:val="single" w:sz="4" w:space="0" w:color="000000"/>
              <w:left w:val="single" w:sz="4" w:space="0" w:color="000000"/>
              <w:bottom w:val="single" w:sz="4" w:space="0" w:color="000000"/>
              <w:right w:val="single" w:sz="4" w:space="0" w:color="000000"/>
            </w:tcBorders>
          </w:tcPr>
          <w:p w14:paraId="5E961D71" w14:textId="77777777" w:rsidR="00E966AA" w:rsidRPr="003445F5" w:rsidRDefault="00E966AA" w:rsidP="00704956">
            <w:pPr>
              <w:rPr>
                <w:szCs w:val="22"/>
                <w:lang w:val="sr-Latn-ME"/>
              </w:rPr>
            </w:pPr>
            <w:r w:rsidRPr="003445F5">
              <w:rPr>
                <w:b/>
                <w:szCs w:val="22"/>
                <w:lang w:val="sr-Latn-ME"/>
              </w:rPr>
              <w:t>Prekid imunomodulatora</w:t>
            </w:r>
            <w:r w:rsidRPr="003445F5">
              <w:rPr>
                <w:b/>
                <w:szCs w:val="22"/>
                <w:vertAlign w:val="superscript"/>
                <w:lang w:val="sr-Latn-ME"/>
              </w:rPr>
              <w:t>2</w:t>
            </w:r>
          </w:p>
        </w:tc>
        <w:tc>
          <w:tcPr>
            <w:tcW w:w="1397" w:type="pct"/>
            <w:tcBorders>
              <w:top w:val="single" w:sz="4" w:space="0" w:color="000000"/>
              <w:left w:val="single" w:sz="4" w:space="0" w:color="000000"/>
              <w:bottom w:val="single" w:sz="4" w:space="0" w:color="000000"/>
              <w:right w:val="single" w:sz="4" w:space="0" w:color="000000"/>
            </w:tcBorders>
            <w:vAlign w:val="center"/>
          </w:tcPr>
          <w:p w14:paraId="3FF45F9A" w14:textId="77777777" w:rsidR="00E966AA" w:rsidRPr="003445F5" w:rsidRDefault="00E966AA" w:rsidP="00704956">
            <w:pPr>
              <w:jc w:val="center"/>
              <w:rPr>
                <w:szCs w:val="22"/>
                <w:lang w:val="sr-Latn-ME"/>
              </w:rPr>
            </w:pPr>
            <w:r w:rsidRPr="003445F5">
              <w:rPr>
                <w:b/>
                <w:szCs w:val="22"/>
                <w:lang w:val="sr-Latn-ME"/>
              </w:rPr>
              <w:t>N=60</w:t>
            </w:r>
          </w:p>
        </w:tc>
        <w:tc>
          <w:tcPr>
            <w:tcW w:w="1398" w:type="pct"/>
            <w:tcBorders>
              <w:top w:val="single" w:sz="4" w:space="0" w:color="000000"/>
              <w:left w:val="single" w:sz="4" w:space="0" w:color="000000"/>
              <w:bottom w:val="single" w:sz="4" w:space="0" w:color="000000"/>
              <w:right w:val="single" w:sz="4" w:space="0" w:color="000000"/>
            </w:tcBorders>
            <w:vAlign w:val="center"/>
          </w:tcPr>
          <w:p w14:paraId="1D0471D6" w14:textId="77777777" w:rsidR="00E966AA" w:rsidRPr="003445F5" w:rsidRDefault="00E966AA" w:rsidP="00704956">
            <w:pPr>
              <w:jc w:val="center"/>
              <w:rPr>
                <w:szCs w:val="22"/>
                <w:lang w:val="sr-Latn-ME"/>
              </w:rPr>
            </w:pPr>
            <w:r w:rsidRPr="003445F5">
              <w:rPr>
                <w:b/>
                <w:szCs w:val="22"/>
                <w:lang w:val="sr-Latn-ME"/>
              </w:rPr>
              <w:t>N=57</w:t>
            </w:r>
          </w:p>
        </w:tc>
        <w:tc>
          <w:tcPr>
            <w:tcW w:w="714" w:type="pct"/>
            <w:tcBorders>
              <w:top w:val="single" w:sz="4" w:space="0" w:color="000000"/>
              <w:left w:val="single" w:sz="4" w:space="0" w:color="000000"/>
              <w:bottom w:val="single" w:sz="4" w:space="0" w:color="000000"/>
              <w:right w:val="single" w:sz="4" w:space="0" w:color="000000"/>
            </w:tcBorders>
            <w:vAlign w:val="center"/>
          </w:tcPr>
          <w:p w14:paraId="4E8FDEE1" w14:textId="77777777" w:rsidR="00E966AA" w:rsidRPr="003445F5" w:rsidRDefault="00E966AA" w:rsidP="00704956">
            <w:pPr>
              <w:jc w:val="center"/>
              <w:rPr>
                <w:szCs w:val="22"/>
                <w:lang w:val="sr-Latn-ME"/>
              </w:rPr>
            </w:pPr>
          </w:p>
        </w:tc>
      </w:tr>
      <w:tr w:rsidR="00E966AA" w:rsidRPr="003445F5" w14:paraId="6D8CBEB7" w14:textId="77777777" w:rsidTr="00E96735">
        <w:trPr>
          <w:trHeight w:val="20"/>
        </w:trPr>
        <w:tc>
          <w:tcPr>
            <w:tcW w:w="1491" w:type="pct"/>
            <w:tcBorders>
              <w:top w:val="single" w:sz="4" w:space="0" w:color="000000"/>
              <w:left w:val="single" w:sz="4" w:space="0" w:color="000000"/>
              <w:bottom w:val="single" w:sz="4" w:space="0" w:color="000000"/>
              <w:right w:val="single" w:sz="4" w:space="0" w:color="000000"/>
            </w:tcBorders>
          </w:tcPr>
          <w:p w14:paraId="6F37DA5D" w14:textId="259BFF1D" w:rsidR="00E966AA" w:rsidRPr="003445F5" w:rsidRDefault="00E966AA" w:rsidP="00704956">
            <w:pPr>
              <w:rPr>
                <w:szCs w:val="22"/>
                <w:lang w:val="sr-Latn-ME"/>
              </w:rPr>
            </w:pPr>
            <w:r w:rsidRPr="003445F5">
              <w:rPr>
                <w:szCs w:val="22"/>
                <w:lang w:val="sr-Latn-ME"/>
              </w:rPr>
              <w:t>52. ned</w:t>
            </w:r>
            <w:r w:rsidR="00C621C2" w:rsidRPr="003445F5">
              <w:rPr>
                <w:szCs w:val="22"/>
                <w:lang w:val="sr-Latn-ME"/>
              </w:rPr>
              <w:t>j</w:t>
            </w:r>
            <w:r w:rsidRPr="003445F5">
              <w:rPr>
                <w:szCs w:val="22"/>
                <w:lang w:val="sr-Latn-ME"/>
              </w:rPr>
              <w:t>elja</w:t>
            </w:r>
          </w:p>
        </w:tc>
        <w:tc>
          <w:tcPr>
            <w:tcW w:w="1397" w:type="pct"/>
            <w:tcBorders>
              <w:top w:val="single" w:sz="4" w:space="0" w:color="000000"/>
              <w:left w:val="single" w:sz="4" w:space="0" w:color="000000"/>
              <w:bottom w:val="single" w:sz="4" w:space="0" w:color="000000"/>
              <w:right w:val="single" w:sz="4" w:space="0" w:color="000000"/>
            </w:tcBorders>
            <w:vAlign w:val="center"/>
          </w:tcPr>
          <w:p w14:paraId="4CC108F6" w14:textId="77777777" w:rsidR="00E966AA" w:rsidRPr="003445F5" w:rsidRDefault="00E966AA" w:rsidP="00704956">
            <w:pPr>
              <w:jc w:val="center"/>
              <w:rPr>
                <w:szCs w:val="22"/>
                <w:lang w:val="sr-Latn-ME"/>
              </w:rPr>
            </w:pPr>
            <w:r w:rsidRPr="003445F5">
              <w:rPr>
                <w:szCs w:val="22"/>
                <w:lang w:val="sr-Latn-ME"/>
              </w:rPr>
              <w:t>30,0%</w:t>
            </w:r>
          </w:p>
        </w:tc>
        <w:tc>
          <w:tcPr>
            <w:tcW w:w="1398" w:type="pct"/>
            <w:tcBorders>
              <w:top w:val="single" w:sz="4" w:space="0" w:color="000000"/>
              <w:left w:val="single" w:sz="4" w:space="0" w:color="000000"/>
              <w:bottom w:val="single" w:sz="4" w:space="0" w:color="000000"/>
              <w:right w:val="single" w:sz="4" w:space="0" w:color="000000"/>
            </w:tcBorders>
            <w:vAlign w:val="center"/>
          </w:tcPr>
          <w:p w14:paraId="2481B23D" w14:textId="77777777" w:rsidR="00E966AA" w:rsidRPr="003445F5" w:rsidRDefault="00E966AA" w:rsidP="00704956">
            <w:pPr>
              <w:jc w:val="center"/>
              <w:rPr>
                <w:szCs w:val="22"/>
                <w:lang w:val="sr-Latn-ME"/>
              </w:rPr>
            </w:pPr>
            <w:r w:rsidRPr="003445F5">
              <w:rPr>
                <w:szCs w:val="22"/>
                <w:lang w:val="sr-Latn-ME"/>
              </w:rPr>
              <w:t>29,8%</w:t>
            </w:r>
          </w:p>
        </w:tc>
        <w:tc>
          <w:tcPr>
            <w:tcW w:w="714" w:type="pct"/>
            <w:tcBorders>
              <w:top w:val="single" w:sz="4" w:space="0" w:color="000000"/>
              <w:left w:val="single" w:sz="4" w:space="0" w:color="000000"/>
              <w:bottom w:val="single" w:sz="4" w:space="0" w:color="000000"/>
              <w:right w:val="single" w:sz="4" w:space="0" w:color="000000"/>
            </w:tcBorders>
            <w:vAlign w:val="center"/>
          </w:tcPr>
          <w:p w14:paraId="1E9FA514" w14:textId="77777777" w:rsidR="00E966AA" w:rsidRPr="003445F5" w:rsidRDefault="00E966AA" w:rsidP="00704956">
            <w:pPr>
              <w:jc w:val="center"/>
              <w:rPr>
                <w:szCs w:val="22"/>
                <w:lang w:val="sr-Latn-ME"/>
              </w:rPr>
            </w:pPr>
            <w:r w:rsidRPr="003445F5">
              <w:rPr>
                <w:szCs w:val="22"/>
                <w:lang w:val="sr-Latn-ME"/>
              </w:rPr>
              <w:t>0,983</w:t>
            </w:r>
          </w:p>
        </w:tc>
      </w:tr>
      <w:tr w:rsidR="00E966AA" w:rsidRPr="003445F5" w14:paraId="7059CAA0" w14:textId="77777777" w:rsidTr="00E96735">
        <w:trPr>
          <w:trHeight w:val="20"/>
        </w:trPr>
        <w:tc>
          <w:tcPr>
            <w:tcW w:w="1491" w:type="pct"/>
            <w:tcBorders>
              <w:top w:val="single" w:sz="4" w:space="0" w:color="000000"/>
              <w:left w:val="single" w:sz="4" w:space="0" w:color="000000"/>
              <w:bottom w:val="single" w:sz="4" w:space="0" w:color="000000"/>
              <w:right w:val="single" w:sz="4" w:space="0" w:color="000000"/>
            </w:tcBorders>
          </w:tcPr>
          <w:p w14:paraId="4B7D5323" w14:textId="77777777" w:rsidR="00E966AA" w:rsidRPr="003445F5" w:rsidRDefault="00E966AA" w:rsidP="00704956">
            <w:pPr>
              <w:rPr>
                <w:szCs w:val="22"/>
                <w:lang w:val="sr-Latn-ME"/>
              </w:rPr>
            </w:pPr>
            <w:r w:rsidRPr="003445F5">
              <w:rPr>
                <w:b/>
                <w:szCs w:val="22"/>
                <w:lang w:val="sr-Latn-ME"/>
              </w:rPr>
              <w:t>Remisija fistula</w:t>
            </w:r>
            <w:r w:rsidRPr="003445F5">
              <w:rPr>
                <w:b/>
                <w:szCs w:val="22"/>
                <w:vertAlign w:val="superscript"/>
                <w:lang w:val="sr-Latn-ME"/>
              </w:rPr>
              <w:t>3</w:t>
            </w:r>
          </w:p>
        </w:tc>
        <w:tc>
          <w:tcPr>
            <w:tcW w:w="1397" w:type="pct"/>
            <w:tcBorders>
              <w:top w:val="single" w:sz="4" w:space="0" w:color="000000"/>
              <w:left w:val="single" w:sz="4" w:space="0" w:color="000000"/>
              <w:bottom w:val="single" w:sz="4" w:space="0" w:color="000000"/>
              <w:right w:val="single" w:sz="4" w:space="0" w:color="000000"/>
            </w:tcBorders>
            <w:vAlign w:val="center"/>
          </w:tcPr>
          <w:p w14:paraId="21EB4BD8" w14:textId="77777777" w:rsidR="00E966AA" w:rsidRPr="003445F5" w:rsidRDefault="00E966AA" w:rsidP="00704956">
            <w:pPr>
              <w:jc w:val="center"/>
              <w:rPr>
                <w:szCs w:val="22"/>
                <w:lang w:val="sr-Latn-ME"/>
              </w:rPr>
            </w:pPr>
            <w:r w:rsidRPr="003445F5">
              <w:rPr>
                <w:b/>
                <w:szCs w:val="22"/>
                <w:lang w:val="sr-Latn-ME"/>
              </w:rPr>
              <w:t>N=15</w:t>
            </w:r>
          </w:p>
        </w:tc>
        <w:tc>
          <w:tcPr>
            <w:tcW w:w="1398" w:type="pct"/>
            <w:tcBorders>
              <w:top w:val="single" w:sz="4" w:space="0" w:color="000000"/>
              <w:left w:val="single" w:sz="4" w:space="0" w:color="000000"/>
              <w:bottom w:val="single" w:sz="4" w:space="0" w:color="000000"/>
              <w:right w:val="single" w:sz="4" w:space="0" w:color="000000"/>
            </w:tcBorders>
            <w:vAlign w:val="center"/>
          </w:tcPr>
          <w:p w14:paraId="5AC9670C" w14:textId="77777777" w:rsidR="00E966AA" w:rsidRPr="003445F5" w:rsidRDefault="00E966AA" w:rsidP="00704956">
            <w:pPr>
              <w:jc w:val="center"/>
              <w:rPr>
                <w:szCs w:val="22"/>
                <w:lang w:val="sr-Latn-ME"/>
              </w:rPr>
            </w:pPr>
            <w:r w:rsidRPr="003445F5">
              <w:rPr>
                <w:b/>
                <w:szCs w:val="22"/>
                <w:lang w:val="sr-Latn-ME"/>
              </w:rPr>
              <w:t>N=21</w:t>
            </w:r>
          </w:p>
        </w:tc>
        <w:tc>
          <w:tcPr>
            <w:tcW w:w="714" w:type="pct"/>
            <w:tcBorders>
              <w:top w:val="single" w:sz="4" w:space="0" w:color="000000"/>
              <w:left w:val="single" w:sz="4" w:space="0" w:color="000000"/>
              <w:bottom w:val="single" w:sz="4" w:space="0" w:color="000000"/>
              <w:right w:val="single" w:sz="4" w:space="0" w:color="000000"/>
            </w:tcBorders>
            <w:vAlign w:val="center"/>
          </w:tcPr>
          <w:p w14:paraId="7B831F6E" w14:textId="77777777" w:rsidR="00E966AA" w:rsidRPr="003445F5" w:rsidRDefault="00E966AA" w:rsidP="00704956">
            <w:pPr>
              <w:jc w:val="center"/>
              <w:rPr>
                <w:szCs w:val="22"/>
                <w:lang w:val="sr-Latn-ME"/>
              </w:rPr>
            </w:pPr>
          </w:p>
        </w:tc>
      </w:tr>
      <w:tr w:rsidR="00E966AA" w:rsidRPr="003445F5" w14:paraId="29CB13C7" w14:textId="77777777" w:rsidTr="00E96735">
        <w:trPr>
          <w:trHeight w:val="20"/>
        </w:trPr>
        <w:tc>
          <w:tcPr>
            <w:tcW w:w="1491" w:type="pct"/>
            <w:tcBorders>
              <w:top w:val="single" w:sz="4" w:space="0" w:color="000000"/>
              <w:left w:val="single" w:sz="4" w:space="0" w:color="000000"/>
              <w:bottom w:val="single" w:sz="4" w:space="0" w:color="000000"/>
              <w:right w:val="single" w:sz="4" w:space="0" w:color="000000"/>
            </w:tcBorders>
          </w:tcPr>
          <w:p w14:paraId="3FBF4C25" w14:textId="6C96BF91" w:rsidR="00E966AA" w:rsidRPr="003445F5" w:rsidRDefault="00E966AA" w:rsidP="00704956">
            <w:pPr>
              <w:rPr>
                <w:szCs w:val="22"/>
                <w:lang w:val="sr-Latn-ME"/>
              </w:rPr>
            </w:pPr>
            <w:r w:rsidRPr="003445F5">
              <w:rPr>
                <w:szCs w:val="22"/>
                <w:lang w:val="sr-Latn-ME"/>
              </w:rPr>
              <w:t>26. ned</w:t>
            </w:r>
            <w:r w:rsidR="00C621C2" w:rsidRPr="003445F5">
              <w:rPr>
                <w:szCs w:val="22"/>
                <w:lang w:val="sr-Latn-ME"/>
              </w:rPr>
              <w:t>j</w:t>
            </w:r>
            <w:r w:rsidRPr="003445F5">
              <w:rPr>
                <w:szCs w:val="22"/>
                <w:lang w:val="sr-Latn-ME"/>
              </w:rPr>
              <w:t>elja</w:t>
            </w:r>
          </w:p>
        </w:tc>
        <w:tc>
          <w:tcPr>
            <w:tcW w:w="1397" w:type="pct"/>
            <w:tcBorders>
              <w:top w:val="single" w:sz="4" w:space="0" w:color="000000"/>
              <w:left w:val="single" w:sz="4" w:space="0" w:color="000000"/>
              <w:bottom w:val="single" w:sz="4" w:space="0" w:color="000000"/>
              <w:right w:val="single" w:sz="4" w:space="0" w:color="000000"/>
            </w:tcBorders>
            <w:vAlign w:val="center"/>
          </w:tcPr>
          <w:p w14:paraId="28D8F033" w14:textId="77777777" w:rsidR="00E966AA" w:rsidRPr="003445F5" w:rsidRDefault="00E966AA" w:rsidP="00704956">
            <w:pPr>
              <w:jc w:val="center"/>
              <w:rPr>
                <w:szCs w:val="22"/>
                <w:lang w:val="sr-Latn-ME"/>
              </w:rPr>
            </w:pPr>
            <w:r w:rsidRPr="003445F5">
              <w:rPr>
                <w:szCs w:val="22"/>
                <w:lang w:val="sr-Latn-ME"/>
              </w:rPr>
              <w:t>46,7%</w:t>
            </w:r>
          </w:p>
        </w:tc>
        <w:tc>
          <w:tcPr>
            <w:tcW w:w="1398" w:type="pct"/>
            <w:tcBorders>
              <w:top w:val="single" w:sz="4" w:space="0" w:color="000000"/>
              <w:left w:val="single" w:sz="4" w:space="0" w:color="000000"/>
              <w:bottom w:val="single" w:sz="4" w:space="0" w:color="000000"/>
              <w:right w:val="single" w:sz="4" w:space="0" w:color="000000"/>
            </w:tcBorders>
            <w:vAlign w:val="center"/>
          </w:tcPr>
          <w:p w14:paraId="25839651" w14:textId="77777777" w:rsidR="00E966AA" w:rsidRPr="003445F5" w:rsidRDefault="00E966AA" w:rsidP="00704956">
            <w:pPr>
              <w:jc w:val="center"/>
              <w:rPr>
                <w:szCs w:val="22"/>
                <w:lang w:val="sr-Latn-ME"/>
              </w:rPr>
            </w:pPr>
            <w:r w:rsidRPr="003445F5">
              <w:rPr>
                <w:szCs w:val="22"/>
                <w:lang w:val="sr-Latn-ME"/>
              </w:rPr>
              <w:t>38,1%</w:t>
            </w:r>
          </w:p>
        </w:tc>
        <w:tc>
          <w:tcPr>
            <w:tcW w:w="714" w:type="pct"/>
            <w:tcBorders>
              <w:top w:val="single" w:sz="4" w:space="0" w:color="000000"/>
              <w:left w:val="single" w:sz="4" w:space="0" w:color="000000"/>
              <w:bottom w:val="single" w:sz="4" w:space="0" w:color="000000"/>
              <w:right w:val="single" w:sz="4" w:space="0" w:color="000000"/>
            </w:tcBorders>
            <w:vAlign w:val="center"/>
          </w:tcPr>
          <w:p w14:paraId="442A6755" w14:textId="77777777" w:rsidR="00E966AA" w:rsidRPr="003445F5" w:rsidRDefault="00E966AA" w:rsidP="00704956">
            <w:pPr>
              <w:jc w:val="center"/>
              <w:rPr>
                <w:szCs w:val="22"/>
                <w:lang w:val="sr-Latn-ME"/>
              </w:rPr>
            </w:pPr>
            <w:r w:rsidRPr="003445F5">
              <w:rPr>
                <w:szCs w:val="22"/>
                <w:lang w:val="sr-Latn-ME"/>
              </w:rPr>
              <w:t>0,608</w:t>
            </w:r>
          </w:p>
        </w:tc>
      </w:tr>
      <w:tr w:rsidR="00E966AA" w:rsidRPr="003445F5" w14:paraId="0B717C96" w14:textId="77777777" w:rsidTr="00E96735">
        <w:trPr>
          <w:trHeight w:val="20"/>
        </w:trPr>
        <w:tc>
          <w:tcPr>
            <w:tcW w:w="1491" w:type="pct"/>
            <w:tcBorders>
              <w:top w:val="single" w:sz="4" w:space="0" w:color="000000"/>
              <w:left w:val="single" w:sz="4" w:space="0" w:color="000000"/>
              <w:bottom w:val="single" w:sz="4" w:space="0" w:color="000000"/>
              <w:right w:val="single" w:sz="4" w:space="0" w:color="000000"/>
            </w:tcBorders>
          </w:tcPr>
          <w:p w14:paraId="6EC28258" w14:textId="6E401B2E" w:rsidR="00E966AA" w:rsidRPr="003445F5" w:rsidRDefault="00E966AA" w:rsidP="00704956">
            <w:pPr>
              <w:rPr>
                <w:szCs w:val="22"/>
                <w:lang w:val="sr-Latn-ME"/>
              </w:rPr>
            </w:pPr>
            <w:r w:rsidRPr="003445F5">
              <w:rPr>
                <w:szCs w:val="22"/>
                <w:lang w:val="sr-Latn-ME"/>
              </w:rPr>
              <w:t>52. ned</w:t>
            </w:r>
            <w:r w:rsidR="00C621C2" w:rsidRPr="003445F5">
              <w:rPr>
                <w:szCs w:val="22"/>
                <w:lang w:val="sr-Latn-ME"/>
              </w:rPr>
              <w:t>j</w:t>
            </w:r>
            <w:r w:rsidRPr="003445F5">
              <w:rPr>
                <w:szCs w:val="22"/>
                <w:lang w:val="sr-Latn-ME"/>
              </w:rPr>
              <w:t>elja</w:t>
            </w:r>
          </w:p>
        </w:tc>
        <w:tc>
          <w:tcPr>
            <w:tcW w:w="1397" w:type="pct"/>
            <w:tcBorders>
              <w:top w:val="single" w:sz="4" w:space="0" w:color="000000"/>
              <w:left w:val="single" w:sz="4" w:space="0" w:color="000000"/>
              <w:bottom w:val="single" w:sz="4" w:space="0" w:color="000000"/>
              <w:right w:val="single" w:sz="4" w:space="0" w:color="000000"/>
            </w:tcBorders>
            <w:vAlign w:val="center"/>
          </w:tcPr>
          <w:p w14:paraId="370F6DFE" w14:textId="77777777" w:rsidR="00E966AA" w:rsidRPr="003445F5" w:rsidRDefault="00E966AA" w:rsidP="00704956">
            <w:pPr>
              <w:jc w:val="center"/>
              <w:rPr>
                <w:szCs w:val="22"/>
                <w:lang w:val="sr-Latn-ME"/>
              </w:rPr>
            </w:pPr>
            <w:r w:rsidRPr="003445F5">
              <w:rPr>
                <w:szCs w:val="22"/>
                <w:lang w:val="sr-Latn-ME"/>
              </w:rPr>
              <w:t>40,0%</w:t>
            </w:r>
          </w:p>
        </w:tc>
        <w:tc>
          <w:tcPr>
            <w:tcW w:w="1398" w:type="pct"/>
            <w:tcBorders>
              <w:top w:val="single" w:sz="4" w:space="0" w:color="000000"/>
              <w:left w:val="single" w:sz="4" w:space="0" w:color="000000"/>
              <w:bottom w:val="single" w:sz="4" w:space="0" w:color="000000"/>
              <w:right w:val="single" w:sz="4" w:space="0" w:color="000000"/>
            </w:tcBorders>
            <w:vAlign w:val="center"/>
          </w:tcPr>
          <w:p w14:paraId="65FB8535" w14:textId="77777777" w:rsidR="00E966AA" w:rsidRPr="003445F5" w:rsidRDefault="00E966AA" w:rsidP="00704956">
            <w:pPr>
              <w:jc w:val="center"/>
              <w:rPr>
                <w:szCs w:val="22"/>
                <w:lang w:val="sr-Latn-ME"/>
              </w:rPr>
            </w:pPr>
            <w:r w:rsidRPr="003445F5">
              <w:rPr>
                <w:szCs w:val="22"/>
                <w:lang w:val="sr-Latn-ME"/>
              </w:rPr>
              <w:t>23,8%</w:t>
            </w:r>
          </w:p>
        </w:tc>
        <w:tc>
          <w:tcPr>
            <w:tcW w:w="714" w:type="pct"/>
            <w:tcBorders>
              <w:top w:val="single" w:sz="4" w:space="0" w:color="000000"/>
              <w:left w:val="single" w:sz="4" w:space="0" w:color="000000"/>
              <w:bottom w:val="single" w:sz="4" w:space="0" w:color="000000"/>
              <w:right w:val="single" w:sz="4" w:space="0" w:color="000000"/>
            </w:tcBorders>
            <w:vAlign w:val="center"/>
          </w:tcPr>
          <w:p w14:paraId="7D323D95" w14:textId="77777777" w:rsidR="00E966AA" w:rsidRPr="003445F5" w:rsidRDefault="00E966AA" w:rsidP="00704956">
            <w:pPr>
              <w:jc w:val="center"/>
              <w:rPr>
                <w:szCs w:val="22"/>
                <w:lang w:val="sr-Latn-ME"/>
              </w:rPr>
            </w:pPr>
            <w:r w:rsidRPr="003445F5">
              <w:rPr>
                <w:szCs w:val="22"/>
                <w:lang w:val="sr-Latn-ME"/>
              </w:rPr>
              <w:t>0,303</w:t>
            </w:r>
          </w:p>
        </w:tc>
      </w:tr>
    </w:tbl>
    <w:p w14:paraId="193C5E65" w14:textId="3646AB33" w:rsidR="003E5816" w:rsidRPr="003445F5" w:rsidRDefault="003E5816" w:rsidP="003E5816">
      <w:pPr>
        <w:rPr>
          <w:szCs w:val="22"/>
          <w:lang w:val="sr-Latn-ME"/>
        </w:rPr>
      </w:pPr>
      <w:r w:rsidRPr="003445F5">
        <w:rPr>
          <w:szCs w:val="22"/>
          <w:lang w:val="sr-Latn-ME"/>
        </w:rPr>
        <w:t>¹ p vr</w:t>
      </w:r>
      <w:r w:rsidR="00C621C2" w:rsidRPr="003445F5">
        <w:rPr>
          <w:szCs w:val="22"/>
          <w:lang w:val="sr-Latn-ME"/>
        </w:rPr>
        <w:t>ij</w:t>
      </w:r>
      <w:r w:rsidRPr="003445F5">
        <w:rPr>
          <w:szCs w:val="22"/>
          <w:lang w:val="sr-Latn-ME"/>
        </w:rPr>
        <w:t xml:space="preserve">ednost za standardnu dozu u odnosu na nisku dozu </w:t>
      </w:r>
    </w:p>
    <w:p w14:paraId="3BFE066F" w14:textId="73AB666F" w:rsidR="003E5816" w:rsidRPr="003445F5" w:rsidRDefault="003E5816" w:rsidP="003E5816">
      <w:pPr>
        <w:rPr>
          <w:szCs w:val="22"/>
          <w:lang w:val="sr-Latn-ME"/>
        </w:rPr>
      </w:pPr>
      <w:r w:rsidRPr="003445F5">
        <w:rPr>
          <w:szCs w:val="22"/>
          <w:lang w:val="sr-Latn-ME"/>
        </w:rPr>
        <w:t xml:space="preserve">² imunosupresivna terapija mogla je biti prekinuta samo u 26. </w:t>
      </w:r>
      <w:r w:rsidR="00551F1D" w:rsidRPr="003445F5">
        <w:rPr>
          <w:szCs w:val="22"/>
          <w:lang w:val="sr-Latn-ME"/>
        </w:rPr>
        <w:t>nedjelj</w:t>
      </w:r>
      <w:r w:rsidR="00704AF5" w:rsidRPr="003445F5">
        <w:rPr>
          <w:szCs w:val="22"/>
          <w:lang w:val="sr-Latn-ME"/>
        </w:rPr>
        <w:t>i</w:t>
      </w:r>
      <w:r w:rsidRPr="003445F5">
        <w:rPr>
          <w:szCs w:val="22"/>
          <w:lang w:val="sr-Latn-ME"/>
        </w:rPr>
        <w:t xml:space="preserve"> ili nakon 26 </w:t>
      </w:r>
      <w:r w:rsidR="00551F1D" w:rsidRPr="003445F5">
        <w:rPr>
          <w:szCs w:val="22"/>
          <w:lang w:val="sr-Latn-ME"/>
        </w:rPr>
        <w:t>nedjelj</w:t>
      </w:r>
      <w:r w:rsidR="0047711E" w:rsidRPr="003445F5">
        <w:rPr>
          <w:szCs w:val="22"/>
          <w:lang w:val="sr-Latn-ME"/>
        </w:rPr>
        <w:t>e</w:t>
      </w:r>
      <w:r w:rsidRPr="003445F5">
        <w:rPr>
          <w:szCs w:val="22"/>
          <w:lang w:val="sr-Latn-ME"/>
        </w:rPr>
        <w:t xml:space="preserve"> ukoliko je kod ispitanika ispunjen kriterijum za klinički odgovor</w:t>
      </w:r>
    </w:p>
    <w:p w14:paraId="1B499D94" w14:textId="38195525" w:rsidR="003E5816" w:rsidRPr="003445F5" w:rsidRDefault="003E5816" w:rsidP="003E5816">
      <w:pPr>
        <w:rPr>
          <w:szCs w:val="22"/>
          <w:lang w:val="sr-Latn-ME"/>
        </w:rPr>
      </w:pPr>
      <w:r w:rsidRPr="003445F5">
        <w:rPr>
          <w:szCs w:val="22"/>
          <w:lang w:val="sr-Latn-ME"/>
        </w:rPr>
        <w:t>³ definisana kao zatvaranje svih fistula koje su bile drenirane na početku studije, tokom najmanje 2 uzastopne pos</w:t>
      </w:r>
      <w:r w:rsidR="00C621C2" w:rsidRPr="003445F5">
        <w:rPr>
          <w:szCs w:val="22"/>
          <w:lang w:val="sr-Latn-ME"/>
        </w:rPr>
        <w:t>j</w:t>
      </w:r>
      <w:r w:rsidRPr="003445F5">
        <w:rPr>
          <w:szCs w:val="22"/>
          <w:lang w:val="sr-Latn-ME"/>
        </w:rPr>
        <w:t>ete nakon početka l</w:t>
      </w:r>
      <w:r w:rsidR="00C621C2" w:rsidRPr="003445F5">
        <w:rPr>
          <w:szCs w:val="22"/>
          <w:lang w:val="sr-Latn-ME"/>
        </w:rPr>
        <w:t>ij</w:t>
      </w:r>
      <w:r w:rsidRPr="003445F5">
        <w:rPr>
          <w:szCs w:val="22"/>
          <w:lang w:val="sr-Latn-ME"/>
        </w:rPr>
        <w:t>ečenja</w:t>
      </w:r>
    </w:p>
    <w:p w14:paraId="722EF4A7" w14:textId="77777777" w:rsidR="003E5816" w:rsidRPr="003445F5" w:rsidRDefault="003E5816" w:rsidP="003E5816">
      <w:pPr>
        <w:rPr>
          <w:szCs w:val="22"/>
          <w:lang w:val="sr-Latn-ME"/>
        </w:rPr>
      </w:pPr>
    </w:p>
    <w:p w14:paraId="0E6CAC39" w14:textId="4C73CF2C" w:rsidR="003E5816" w:rsidRPr="003445F5" w:rsidRDefault="003E5816" w:rsidP="003E5816">
      <w:pPr>
        <w:rPr>
          <w:szCs w:val="22"/>
          <w:lang w:val="sr-Latn-ME"/>
        </w:rPr>
      </w:pPr>
      <w:r w:rsidRPr="003445F5">
        <w:rPr>
          <w:szCs w:val="22"/>
          <w:lang w:val="sr-Latn-ME"/>
        </w:rPr>
        <w:t>Statistički značajno povećanje (poboljšanje) indeksa t</w:t>
      </w:r>
      <w:r w:rsidR="00C621C2" w:rsidRPr="003445F5">
        <w:rPr>
          <w:szCs w:val="22"/>
          <w:lang w:val="sr-Latn-ME"/>
        </w:rPr>
        <w:t>j</w:t>
      </w:r>
      <w:r w:rsidRPr="003445F5">
        <w:rPr>
          <w:szCs w:val="22"/>
          <w:lang w:val="sr-Latn-ME"/>
        </w:rPr>
        <w:t>elesne mase i rasta, u odnosu na početne vr</w:t>
      </w:r>
      <w:r w:rsidR="00C621C2" w:rsidRPr="003445F5">
        <w:rPr>
          <w:szCs w:val="22"/>
          <w:lang w:val="sr-Latn-ME"/>
        </w:rPr>
        <w:t>ij</w:t>
      </w:r>
      <w:r w:rsidRPr="003445F5">
        <w:rPr>
          <w:szCs w:val="22"/>
          <w:lang w:val="sr-Latn-ME"/>
        </w:rPr>
        <w:t>ednosti, uočeno je u ob</w:t>
      </w:r>
      <w:r w:rsidR="00704AF5" w:rsidRPr="003445F5">
        <w:rPr>
          <w:szCs w:val="22"/>
          <w:lang w:val="sr-Latn-ME"/>
        </w:rPr>
        <w:t>ij</w:t>
      </w:r>
      <w:r w:rsidRPr="003445F5">
        <w:rPr>
          <w:szCs w:val="22"/>
          <w:lang w:val="sr-Latn-ME"/>
        </w:rPr>
        <w:t xml:space="preserve">e grupe ispitanika, u 26. </w:t>
      </w:r>
      <w:r w:rsidR="00551F1D" w:rsidRPr="003445F5">
        <w:rPr>
          <w:szCs w:val="22"/>
          <w:lang w:val="sr-Latn-ME"/>
        </w:rPr>
        <w:t>nedjelj</w:t>
      </w:r>
      <w:r w:rsidR="00704AF5" w:rsidRPr="003445F5">
        <w:rPr>
          <w:szCs w:val="22"/>
          <w:lang w:val="sr-Latn-ME"/>
        </w:rPr>
        <w:t>i</w:t>
      </w:r>
      <w:r w:rsidRPr="003445F5">
        <w:rPr>
          <w:szCs w:val="22"/>
          <w:lang w:val="sr-Latn-ME"/>
        </w:rPr>
        <w:t xml:space="preserve"> i u 52. </w:t>
      </w:r>
      <w:r w:rsidR="00551F1D" w:rsidRPr="003445F5">
        <w:rPr>
          <w:szCs w:val="22"/>
          <w:lang w:val="sr-Latn-ME"/>
        </w:rPr>
        <w:t>nedjelj</w:t>
      </w:r>
      <w:r w:rsidR="00704AF5" w:rsidRPr="003445F5">
        <w:rPr>
          <w:szCs w:val="22"/>
          <w:lang w:val="sr-Latn-ME"/>
        </w:rPr>
        <w:t>i</w:t>
      </w:r>
      <w:r w:rsidRPr="003445F5">
        <w:rPr>
          <w:szCs w:val="22"/>
          <w:lang w:val="sr-Latn-ME"/>
        </w:rPr>
        <w:t>.</w:t>
      </w:r>
    </w:p>
    <w:p w14:paraId="7A17BC6D" w14:textId="77777777" w:rsidR="003E5816" w:rsidRPr="003445F5" w:rsidRDefault="003E5816" w:rsidP="003E5816">
      <w:pPr>
        <w:rPr>
          <w:szCs w:val="22"/>
          <w:lang w:val="sr-Latn-ME"/>
        </w:rPr>
      </w:pPr>
    </w:p>
    <w:p w14:paraId="7BA4AADD" w14:textId="7ED3975F" w:rsidR="003E5816" w:rsidRPr="003445F5" w:rsidRDefault="003E5816" w:rsidP="003E5816">
      <w:pPr>
        <w:rPr>
          <w:szCs w:val="22"/>
          <w:lang w:val="sr-Latn-ME"/>
        </w:rPr>
      </w:pPr>
      <w:r w:rsidRPr="003445F5">
        <w:rPr>
          <w:szCs w:val="22"/>
          <w:lang w:val="sr-Latn-ME"/>
        </w:rPr>
        <w:t>Statistički i klinički značajno poboljšanje parametara kvaliteta života (uključujući IMPACT III), u odnosu na početne vr</w:t>
      </w:r>
      <w:r w:rsidR="00C621C2" w:rsidRPr="003445F5">
        <w:rPr>
          <w:szCs w:val="22"/>
          <w:lang w:val="sr-Latn-ME"/>
        </w:rPr>
        <w:t>ij</w:t>
      </w:r>
      <w:r w:rsidRPr="003445F5">
        <w:rPr>
          <w:szCs w:val="22"/>
          <w:lang w:val="sr-Latn-ME"/>
        </w:rPr>
        <w:t>ednosti, takođe je prim</w:t>
      </w:r>
      <w:r w:rsidR="00704AF5" w:rsidRPr="003445F5">
        <w:rPr>
          <w:szCs w:val="22"/>
          <w:lang w:val="sr-Latn-ME"/>
        </w:rPr>
        <w:t>j</w:t>
      </w:r>
      <w:r w:rsidRPr="003445F5">
        <w:rPr>
          <w:szCs w:val="22"/>
          <w:lang w:val="sr-Latn-ME"/>
        </w:rPr>
        <w:t>ećeno u ob</w:t>
      </w:r>
      <w:r w:rsidR="00704AF5" w:rsidRPr="003445F5">
        <w:rPr>
          <w:szCs w:val="22"/>
          <w:lang w:val="sr-Latn-ME"/>
        </w:rPr>
        <w:t>ij</w:t>
      </w:r>
      <w:r w:rsidRPr="003445F5">
        <w:rPr>
          <w:szCs w:val="22"/>
          <w:lang w:val="sr-Latn-ME"/>
        </w:rPr>
        <w:t xml:space="preserve">e ispitivane grupe pacijenata. </w:t>
      </w:r>
    </w:p>
    <w:p w14:paraId="773BD77E" w14:textId="77777777" w:rsidR="003E5816" w:rsidRPr="003445F5" w:rsidRDefault="003E5816" w:rsidP="003E5816">
      <w:pPr>
        <w:rPr>
          <w:szCs w:val="22"/>
          <w:lang w:val="sr-Latn-ME"/>
        </w:rPr>
      </w:pPr>
    </w:p>
    <w:p w14:paraId="4DC6FCAD" w14:textId="77777777" w:rsidR="003E5816" w:rsidRPr="003445F5" w:rsidRDefault="003E5816" w:rsidP="003E5816">
      <w:pPr>
        <w:rPr>
          <w:szCs w:val="22"/>
          <w:lang w:val="sr-Latn-ME"/>
        </w:rPr>
      </w:pPr>
      <w:r w:rsidRPr="003445F5">
        <w:rPr>
          <w:szCs w:val="22"/>
          <w:lang w:val="sr-Latn-ME"/>
        </w:rPr>
        <w:t xml:space="preserve">Sto pacijenata (n=100) iz ispitivanja pedijatrijskih pacijenata sa </w:t>
      </w:r>
      <w:r w:rsidRPr="003445F5">
        <w:rPr>
          <w:i/>
          <w:iCs/>
          <w:szCs w:val="22"/>
          <w:lang w:val="sr-Latn-ME"/>
        </w:rPr>
        <w:t>Crohn</w:t>
      </w:r>
      <w:r w:rsidRPr="003445F5">
        <w:rPr>
          <w:szCs w:val="22"/>
          <w:lang w:val="sr-Latn-ME"/>
        </w:rPr>
        <w:t xml:space="preserve">-ovom bolešću (engl. </w:t>
      </w:r>
      <w:r w:rsidRPr="003445F5">
        <w:rPr>
          <w:i/>
          <w:szCs w:val="22"/>
          <w:lang w:val="sr-Latn-ME"/>
        </w:rPr>
        <w:t>Paediatric CD Study</w:t>
      </w:r>
      <w:r w:rsidRPr="003445F5">
        <w:rPr>
          <w:szCs w:val="22"/>
          <w:lang w:val="sr-Latn-ME"/>
        </w:rPr>
        <w:t>) nastavilo je otvoreni dugotrajan produžetak ispitivanja. Nakon 5 godina terapije adalimumabom, 74,0% (37/50) od 50 pacijenata koji su ostali u ispitivanju i dalje je bilo u kliničkoj remisiji dok je 92,0% (46/50) pacijenata nastavilo da ima klinički odgovor prema PCDAI.</w:t>
      </w:r>
    </w:p>
    <w:p w14:paraId="36366973" w14:textId="60782FAD" w:rsidR="00630465" w:rsidRPr="003445F5" w:rsidRDefault="00630465" w:rsidP="00524FDF">
      <w:pPr>
        <w:rPr>
          <w:szCs w:val="22"/>
          <w:lang w:val="sr-Latn-ME"/>
        </w:rPr>
      </w:pPr>
    </w:p>
    <w:p w14:paraId="57971C44" w14:textId="561D7A8A" w:rsidR="004E4252" w:rsidRPr="003445F5" w:rsidRDefault="004E4252" w:rsidP="004E4252">
      <w:pPr>
        <w:rPr>
          <w:i/>
          <w:iCs/>
          <w:szCs w:val="22"/>
          <w:lang w:val="sr-Latn-ME"/>
        </w:rPr>
      </w:pPr>
      <w:r w:rsidRPr="003445F5">
        <w:rPr>
          <w:i/>
          <w:iCs/>
          <w:szCs w:val="22"/>
          <w:lang w:val="sr-Latn-ME"/>
        </w:rPr>
        <w:t xml:space="preserve">Ulcerozni </w:t>
      </w:r>
      <w:r w:rsidR="009D17F0" w:rsidRPr="003445F5">
        <w:rPr>
          <w:i/>
          <w:iCs/>
          <w:szCs w:val="22"/>
          <w:lang w:val="sr-Latn-ME"/>
        </w:rPr>
        <w:t>k</w:t>
      </w:r>
      <w:r w:rsidRPr="003445F5">
        <w:rPr>
          <w:i/>
          <w:iCs/>
          <w:szCs w:val="22"/>
          <w:lang w:val="sr-Latn-ME"/>
        </w:rPr>
        <w:t xml:space="preserve">olitis kod </w:t>
      </w:r>
      <w:r w:rsidR="0047711E" w:rsidRPr="003445F5">
        <w:rPr>
          <w:i/>
          <w:iCs/>
          <w:szCs w:val="22"/>
          <w:lang w:val="sr-Latn-ME"/>
        </w:rPr>
        <w:t>djece</w:t>
      </w:r>
    </w:p>
    <w:p w14:paraId="7878A60A" w14:textId="11DFAA25" w:rsidR="00805B8F" w:rsidRPr="003445F5" w:rsidRDefault="00805B8F" w:rsidP="00805B8F">
      <w:pPr>
        <w:rPr>
          <w:szCs w:val="22"/>
          <w:lang w:val="sr-Latn-ME"/>
        </w:rPr>
      </w:pPr>
      <w:r w:rsidRPr="003445F5">
        <w:rPr>
          <w:szCs w:val="22"/>
          <w:lang w:val="sr-Latn-ME"/>
        </w:rPr>
        <w:t>Bezbjednost i efikasnost adalimumaba proc</w:t>
      </w:r>
      <w:r w:rsidR="00704AF5" w:rsidRPr="003445F5">
        <w:rPr>
          <w:szCs w:val="22"/>
          <w:lang w:val="sr-Latn-ME"/>
        </w:rPr>
        <w:t>i</w:t>
      </w:r>
      <w:r w:rsidRPr="003445F5">
        <w:rPr>
          <w:szCs w:val="22"/>
          <w:lang w:val="sr-Latn-ME"/>
        </w:rPr>
        <w:t>jenjena je u multicentričnom, randomizovanom, dvostruko slijepom ispitivanju kod 93 pedijatrijskih pacijenata uzrasta od 5 do 17 godina sa umjerenim do teškim ulceroznim kolitisom (</w:t>
      </w:r>
      <w:r w:rsidRPr="003445F5">
        <w:rPr>
          <w:i/>
          <w:iCs/>
          <w:szCs w:val="22"/>
          <w:lang w:val="sr-Latn-ME"/>
        </w:rPr>
        <w:t>Mayo</w:t>
      </w:r>
      <w:r w:rsidRPr="003445F5">
        <w:rPr>
          <w:szCs w:val="22"/>
          <w:lang w:val="sr-Latn-ME"/>
        </w:rPr>
        <w:t xml:space="preserve"> rezultat od 6 do 12 uz endoskopski podrezultat od 2 do 3 poena, potvrđeno centralno očitanim rezultatima endoskopije) koji su imali neadekvatan odgovor ili intoleranciju na konvencionalnu terapiju. Oko 16% bolesnika u ispitivanju nije imalo uspjeha s prethodnim liječenjem antagonistom TNF-a. Onim bolesnicima koji su primali kortikosteroide pri uključivanju u studiju bilo je dozvoljeno postepeno smanjenje doze kortikosteroida nakon 4. </w:t>
      </w:r>
      <w:r w:rsidR="00551F1D" w:rsidRPr="003445F5">
        <w:rPr>
          <w:szCs w:val="22"/>
          <w:lang w:val="sr-Latn-ME"/>
        </w:rPr>
        <w:t>nedjelj</w:t>
      </w:r>
      <w:r w:rsidR="0047711E" w:rsidRPr="003445F5">
        <w:rPr>
          <w:szCs w:val="22"/>
          <w:lang w:val="sr-Latn-ME"/>
        </w:rPr>
        <w:t>e</w:t>
      </w:r>
      <w:r w:rsidRPr="003445F5">
        <w:rPr>
          <w:szCs w:val="22"/>
          <w:lang w:val="sr-Latn-ME"/>
        </w:rPr>
        <w:t>.</w:t>
      </w:r>
    </w:p>
    <w:p w14:paraId="4786CD9C" w14:textId="77777777" w:rsidR="00805B8F" w:rsidRPr="003445F5" w:rsidRDefault="00805B8F" w:rsidP="00805B8F">
      <w:pPr>
        <w:rPr>
          <w:szCs w:val="22"/>
          <w:lang w:val="sr-Latn-ME"/>
        </w:rPr>
      </w:pPr>
    </w:p>
    <w:p w14:paraId="198ABCCE" w14:textId="0C57DDE5" w:rsidR="00805B8F" w:rsidRPr="003445F5" w:rsidRDefault="00805B8F" w:rsidP="00805B8F">
      <w:pPr>
        <w:rPr>
          <w:szCs w:val="22"/>
          <w:lang w:val="sr-Latn-ME"/>
        </w:rPr>
      </w:pPr>
      <w:r w:rsidRPr="003445F5">
        <w:rPr>
          <w:szCs w:val="22"/>
          <w:lang w:val="sr-Latn-ME"/>
        </w:rPr>
        <w:t xml:space="preserve">U indukcionom periodu studije, 77 bolesnika je randomizovano u odnosu 3:2 da primaju dvostruko slijepi tretman adalimumabom sa indukcionom dozom od 2,4 mg/kg (maksimalno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1. </w:t>
      </w:r>
      <w:r w:rsidR="00551F1D" w:rsidRPr="003445F5">
        <w:rPr>
          <w:szCs w:val="22"/>
          <w:lang w:val="sr-Latn-ME"/>
        </w:rPr>
        <w:t>nedjelj</w:t>
      </w:r>
      <w:r w:rsidR="00704AF5" w:rsidRPr="003445F5">
        <w:rPr>
          <w:szCs w:val="22"/>
          <w:lang w:val="sr-Latn-ME"/>
        </w:rPr>
        <w:t>i</w:t>
      </w:r>
      <w:r w:rsidRPr="003445F5">
        <w:rPr>
          <w:szCs w:val="22"/>
          <w:lang w:val="sr-Latn-ME"/>
        </w:rPr>
        <w:t xml:space="preserve">, i 1,2 mg/kg (maksimalno 80 mg) u 2. </w:t>
      </w:r>
      <w:r w:rsidR="00551F1D" w:rsidRPr="003445F5">
        <w:rPr>
          <w:szCs w:val="22"/>
          <w:lang w:val="sr-Latn-ME"/>
        </w:rPr>
        <w:t>nedjelj</w:t>
      </w:r>
      <w:r w:rsidR="00704AF5" w:rsidRPr="003445F5">
        <w:rPr>
          <w:szCs w:val="22"/>
          <w:lang w:val="sr-Latn-ME"/>
        </w:rPr>
        <w:t>i</w:t>
      </w:r>
      <w:r w:rsidRPr="003445F5">
        <w:rPr>
          <w:szCs w:val="22"/>
          <w:lang w:val="sr-Latn-ME"/>
        </w:rPr>
        <w:t xml:space="preserve">; ili dozom indukcije od 2,4 mg/kg (maksimalno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placebo u 1. </w:t>
      </w:r>
      <w:r w:rsidR="00551F1D" w:rsidRPr="003445F5">
        <w:rPr>
          <w:szCs w:val="22"/>
          <w:lang w:val="sr-Latn-ME"/>
        </w:rPr>
        <w:t>nedjelj</w:t>
      </w:r>
      <w:r w:rsidR="00704AF5" w:rsidRPr="003445F5">
        <w:rPr>
          <w:szCs w:val="22"/>
          <w:lang w:val="sr-Latn-ME"/>
        </w:rPr>
        <w:t>i</w:t>
      </w:r>
      <w:r w:rsidRPr="003445F5">
        <w:rPr>
          <w:szCs w:val="22"/>
          <w:lang w:val="sr-Latn-ME"/>
        </w:rPr>
        <w:t xml:space="preserve">, i 1,2 mg/kg (maksimalno 80 mg) u 2. </w:t>
      </w:r>
      <w:r w:rsidR="00551F1D" w:rsidRPr="003445F5">
        <w:rPr>
          <w:szCs w:val="22"/>
          <w:lang w:val="sr-Latn-ME"/>
        </w:rPr>
        <w:t>nedjelj</w:t>
      </w:r>
      <w:r w:rsidR="00704AF5" w:rsidRPr="003445F5">
        <w:rPr>
          <w:szCs w:val="22"/>
          <w:lang w:val="sr-Latn-ME"/>
        </w:rPr>
        <w:t>i</w:t>
      </w:r>
      <w:r w:rsidRPr="003445F5">
        <w:rPr>
          <w:szCs w:val="22"/>
          <w:lang w:val="sr-Latn-ME"/>
        </w:rPr>
        <w:t xml:space="preserve">. </w:t>
      </w:r>
      <w:r w:rsidR="00704AF5" w:rsidRPr="003445F5">
        <w:rPr>
          <w:szCs w:val="22"/>
          <w:lang w:val="sr-Latn-ME"/>
        </w:rPr>
        <w:t>Obije</w:t>
      </w:r>
      <w:r w:rsidRPr="003445F5">
        <w:rPr>
          <w:szCs w:val="22"/>
          <w:lang w:val="sr-Latn-ME"/>
        </w:rPr>
        <w:t xml:space="preserve"> grupe su primale 0,6 mg/kg (maksimalno 40 mg) u 4. i 6. </w:t>
      </w:r>
      <w:r w:rsidR="00551F1D" w:rsidRPr="003445F5">
        <w:rPr>
          <w:szCs w:val="22"/>
          <w:lang w:val="sr-Latn-ME"/>
        </w:rPr>
        <w:t>nedjelj</w:t>
      </w:r>
      <w:r w:rsidR="00704AF5" w:rsidRPr="003445F5">
        <w:rPr>
          <w:szCs w:val="22"/>
          <w:lang w:val="sr-Latn-ME"/>
        </w:rPr>
        <w:t>i</w:t>
      </w:r>
      <w:r w:rsidRPr="003445F5">
        <w:rPr>
          <w:szCs w:val="22"/>
          <w:lang w:val="sr-Latn-ME"/>
        </w:rPr>
        <w:t xml:space="preserve">. Nakon izmene i dopune dizajna studije, preostalih 16 bolesnika koji su se uključili u indukcioni period studije primilo je otvoreno liječenje adalimumabom u induktivnoj dozi od 2,4 mg/kg (maksimalno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i 1.</w:t>
      </w:r>
      <w:r w:rsidR="00551F1D" w:rsidRPr="003445F5">
        <w:rPr>
          <w:szCs w:val="22"/>
          <w:lang w:val="sr-Latn-ME"/>
        </w:rPr>
        <w:t>nedjelj</w:t>
      </w:r>
      <w:r w:rsidR="00704AF5" w:rsidRPr="003445F5">
        <w:rPr>
          <w:szCs w:val="22"/>
          <w:lang w:val="sr-Latn-ME"/>
        </w:rPr>
        <w:t>i</w:t>
      </w:r>
      <w:r w:rsidRPr="003445F5">
        <w:rPr>
          <w:szCs w:val="22"/>
          <w:lang w:val="sr-Latn-ME"/>
        </w:rPr>
        <w:t xml:space="preserve">, i 1,2 mg/kg (maksimalno 80 mg) u 2. </w:t>
      </w:r>
      <w:r w:rsidR="00551F1D" w:rsidRPr="003445F5">
        <w:rPr>
          <w:szCs w:val="22"/>
          <w:lang w:val="sr-Latn-ME"/>
        </w:rPr>
        <w:t>nedjelj</w:t>
      </w:r>
      <w:r w:rsidR="00704AF5" w:rsidRPr="003445F5">
        <w:rPr>
          <w:szCs w:val="22"/>
          <w:lang w:val="sr-Latn-ME"/>
        </w:rPr>
        <w:t>i</w:t>
      </w:r>
      <w:r w:rsidRPr="003445F5">
        <w:rPr>
          <w:szCs w:val="22"/>
          <w:lang w:val="sr-Latn-ME"/>
        </w:rPr>
        <w:t>.</w:t>
      </w:r>
    </w:p>
    <w:p w14:paraId="7A79EA39" w14:textId="77777777" w:rsidR="00805B8F" w:rsidRPr="003445F5" w:rsidRDefault="00805B8F" w:rsidP="00805B8F">
      <w:pPr>
        <w:rPr>
          <w:szCs w:val="22"/>
          <w:u w:val="single"/>
          <w:lang w:val="sr-Latn-ME"/>
        </w:rPr>
      </w:pPr>
    </w:p>
    <w:p w14:paraId="321B802C" w14:textId="10EBEB37" w:rsidR="00805B8F" w:rsidRPr="003445F5" w:rsidRDefault="00805B8F" w:rsidP="00805B8F">
      <w:pPr>
        <w:rPr>
          <w:szCs w:val="22"/>
          <w:lang w:val="sr-Latn-ME"/>
        </w:rPr>
      </w:pPr>
      <w:r w:rsidRPr="003445F5">
        <w:rPr>
          <w:szCs w:val="22"/>
          <w:lang w:val="sr-Latn-ME"/>
        </w:rPr>
        <w:t xml:space="preserve">U 8. </w:t>
      </w:r>
      <w:r w:rsidR="00551F1D" w:rsidRPr="003445F5">
        <w:rPr>
          <w:szCs w:val="22"/>
          <w:lang w:val="sr-Latn-ME"/>
        </w:rPr>
        <w:t>nedjelj</w:t>
      </w:r>
      <w:r w:rsidR="00704AF5" w:rsidRPr="003445F5">
        <w:rPr>
          <w:szCs w:val="22"/>
          <w:lang w:val="sr-Latn-ME"/>
        </w:rPr>
        <w:t>i</w:t>
      </w:r>
      <w:r w:rsidRPr="003445F5">
        <w:rPr>
          <w:szCs w:val="22"/>
          <w:lang w:val="sr-Latn-ME"/>
        </w:rPr>
        <w:t xml:space="preserve">, 62 pacijenta koji su pokazali klinički odgovor prema delimičnom </w:t>
      </w:r>
      <w:r w:rsidRPr="003445F5">
        <w:rPr>
          <w:i/>
          <w:iCs/>
          <w:szCs w:val="22"/>
          <w:lang w:val="sr-Latn-ME"/>
        </w:rPr>
        <w:t>Mayo</w:t>
      </w:r>
      <w:r w:rsidRPr="003445F5">
        <w:rPr>
          <w:szCs w:val="22"/>
          <w:lang w:val="sr-Latn-ME"/>
        </w:rPr>
        <w:t xml:space="preserve"> rezultatu (engl. </w:t>
      </w:r>
      <w:r w:rsidRPr="003445F5">
        <w:rPr>
          <w:i/>
          <w:iCs/>
          <w:szCs w:val="22"/>
          <w:lang w:val="sr-Latn-ME"/>
        </w:rPr>
        <w:t>partial Mayo Score</w:t>
      </w:r>
      <w:r w:rsidRPr="003445F5">
        <w:rPr>
          <w:szCs w:val="22"/>
          <w:lang w:val="sr-Latn-ME"/>
        </w:rPr>
        <w:t xml:space="preserve"> (PMS); definisan kao smanjenje PMS ≥ 2 poena i ≥ 30% od početne vrijednosti) su podjednako randomizovani da primaju dvostruko slijepi tretman održavanja sa adalimumabom u dozi od 0,6 mg/kg (maksimalno 40 mg) svake </w:t>
      </w:r>
      <w:r w:rsidR="00551F1D" w:rsidRPr="003445F5">
        <w:rPr>
          <w:szCs w:val="22"/>
          <w:lang w:val="sr-Latn-ME"/>
        </w:rPr>
        <w:t>nedjelj</w:t>
      </w:r>
      <w:r w:rsidR="0047711E" w:rsidRPr="003445F5">
        <w:rPr>
          <w:szCs w:val="22"/>
          <w:lang w:val="sr-Latn-ME"/>
        </w:rPr>
        <w:t>e</w:t>
      </w:r>
      <w:r w:rsidRPr="003445F5">
        <w:rPr>
          <w:szCs w:val="22"/>
          <w:lang w:val="sr-Latn-ME"/>
        </w:rPr>
        <w:t xml:space="preserve">, ili dozu održavanja od 0,6 mg/kg (maksimalno 40 mg) svake druge </w:t>
      </w:r>
      <w:r w:rsidR="00551F1D" w:rsidRPr="003445F5">
        <w:rPr>
          <w:szCs w:val="22"/>
          <w:lang w:val="sr-Latn-ME"/>
        </w:rPr>
        <w:t>nedjelj</w:t>
      </w:r>
      <w:r w:rsidR="0047711E" w:rsidRPr="003445F5">
        <w:rPr>
          <w:szCs w:val="22"/>
          <w:lang w:val="sr-Latn-ME"/>
        </w:rPr>
        <w:t>e</w:t>
      </w:r>
      <w:r w:rsidRPr="003445F5">
        <w:rPr>
          <w:szCs w:val="22"/>
          <w:lang w:val="sr-Latn-ME"/>
        </w:rPr>
        <w:t>. Prije izmjene i dopune dizajna studije, 12 dodatnih bolesnika koji su pokazali klinički odgovor prema PMS su randomizovani da primaju placebo, ali nisu uključeni u potvrdnu analizu efikasnosti.</w:t>
      </w:r>
    </w:p>
    <w:p w14:paraId="6410EE60" w14:textId="77777777" w:rsidR="00805B8F" w:rsidRPr="003445F5" w:rsidRDefault="00805B8F" w:rsidP="00805B8F">
      <w:pPr>
        <w:rPr>
          <w:szCs w:val="22"/>
          <w:lang w:val="sr-Latn-ME"/>
        </w:rPr>
      </w:pPr>
    </w:p>
    <w:p w14:paraId="7895C345" w14:textId="30187918" w:rsidR="00805B8F" w:rsidRPr="003445F5" w:rsidRDefault="00805B8F" w:rsidP="00805B8F">
      <w:pPr>
        <w:rPr>
          <w:szCs w:val="22"/>
          <w:lang w:val="sr-Latn-ME"/>
        </w:rPr>
      </w:pPr>
      <w:r w:rsidRPr="003445F5">
        <w:rPr>
          <w:szCs w:val="22"/>
          <w:lang w:val="sr-Latn-ME"/>
        </w:rPr>
        <w:t xml:space="preserve">Pogoršanje bolesti je definisano kao povećanje PMS od najmanje 3 poena (za pacijente sa PMS od 0 do 2 u 8. </w:t>
      </w:r>
      <w:r w:rsidR="00551F1D" w:rsidRPr="003445F5">
        <w:rPr>
          <w:szCs w:val="22"/>
          <w:lang w:val="sr-Latn-ME"/>
        </w:rPr>
        <w:t>nedjelj</w:t>
      </w:r>
      <w:r w:rsidR="00704AF5" w:rsidRPr="003445F5">
        <w:rPr>
          <w:szCs w:val="22"/>
          <w:lang w:val="sr-Latn-ME"/>
        </w:rPr>
        <w:t>i</w:t>
      </w:r>
      <w:r w:rsidRPr="003445F5">
        <w:rPr>
          <w:szCs w:val="22"/>
          <w:lang w:val="sr-Latn-ME"/>
        </w:rPr>
        <w:t xml:space="preserve">), za najmanje 2 poena (za pacijente sa PMS od 3 do 4 u 8. </w:t>
      </w:r>
      <w:r w:rsidR="00551F1D" w:rsidRPr="003445F5">
        <w:rPr>
          <w:szCs w:val="22"/>
          <w:lang w:val="sr-Latn-ME"/>
        </w:rPr>
        <w:t>nedjelj</w:t>
      </w:r>
      <w:r w:rsidR="00704AF5" w:rsidRPr="003445F5">
        <w:rPr>
          <w:szCs w:val="22"/>
          <w:lang w:val="sr-Latn-ME"/>
        </w:rPr>
        <w:t>i</w:t>
      </w:r>
      <w:r w:rsidRPr="003445F5">
        <w:rPr>
          <w:szCs w:val="22"/>
          <w:lang w:val="sr-Latn-ME"/>
        </w:rPr>
        <w:t xml:space="preserve">) ili za najmanje 1 poen (za pacijente sa PMS- od 5 do 6 u 8. </w:t>
      </w:r>
      <w:r w:rsidR="00551F1D" w:rsidRPr="003445F5">
        <w:rPr>
          <w:szCs w:val="22"/>
          <w:lang w:val="sr-Latn-ME"/>
        </w:rPr>
        <w:t>nedjelj</w:t>
      </w:r>
      <w:r w:rsidR="00704AF5" w:rsidRPr="003445F5">
        <w:rPr>
          <w:szCs w:val="22"/>
          <w:lang w:val="sr-Latn-ME"/>
        </w:rPr>
        <w:t>i</w:t>
      </w:r>
      <w:r w:rsidRPr="003445F5">
        <w:rPr>
          <w:szCs w:val="22"/>
          <w:lang w:val="sr-Latn-ME"/>
        </w:rPr>
        <w:t>).</w:t>
      </w:r>
    </w:p>
    <w:p w14:paraId="24712B93" w14:textId="77777777" w:rsidR="00805B8F" w:rsidRPr="003445F5" w:rsidRDefault="00805B8F" w:rsidP="00805B8F">
      <w:pPr>
        <w:rPr>
          <w:szCs w:val="22"/>
          <w:lang w:val="sr-Latn-ME"/>
        </w:rPr>
      </w:pPr>
    </w:p>
    <w:p w14:paraId="24A16379" w14:textId="35EA4B03" w:rsidR="00805B8F" w:rsidRPr="003445F5" w:rsidRDefault="00805B8F" w:rsidP="00805B8F">
      <w:pPr>
        <w:rPr>
          <w:szCs w:val="22"/>
          <w:lang w:val="sr-Latn-ME"/>
        </w:rPr>
      </w:pPr>
      <w:r w:rsidRPr="003445F5">
        <w:rPr>
          <w:szCs w:val="22"/>
          <w:lang w:val="sr-Latn-ME"/>
        </w:rPr>
        <w:t xml:space="preserve">Pacijenti koji su ispunili kriterijume za pogoršanje bolesti u 12. </w:t>
      </w:r>
      <w:r w:rsidR="00551F1D" w:rsidRPr="003445F5">
        <w:rPr>
          <w:szCs w:val="22"/>
          <w:lang w:val="sr-Latn-ME"/>
        </w:rPr>
        <w:t>nedjelj</w:t>
      </w:r>
      <w:r w:rsidR="00704AF5" w:rsidRPr="003445F5">
        <w:rPr>
          <w:szCs w:val="22"/>
          <w:lang w:val="sr-Latn-ME"/>
        </w:rPr>
        <w:t>i</w:t>
      </w:r>
      <w:r w:rsidRPr="003445F5">
        <w:rPr>
          <w:szCs w:val="22"/>
          <w:lang w:val="sr-Latn-ME"/>
        </w:rPr>
        <w:t xml:space="preserve"> ili </w:t>
      </w:r>
      <w:r w:rsidR="004A0CF7" w:rsidRPr="003445F5">
        <w:rPr>
          <w:szCs w:val="22"/>
          <w:lang w:val="sr-Latn-ME"/>
        </w:rPr>
        <w:t>poslije</w:t>
      </w:r>
      <w:r w:rsidRPr="003445F5">
        <w:rPr>
          <w:szCs w:val="22"/>
          <w:lang w:val="sr-Latn-ME"/>
        </w:rPr>
        <w:t>su randomizovani da primaju reindukcionu dozu od 2,4 mg/kg (maksimalno 160 mg) ili dozu od 0,6 mg/kg (maksimalno 40 mg) i nakon toga nastavili su da primaju odgovarajuću dozu održavanja.</w:t>
      </w:r>
    </w:p>
    <w:p w14:paraId="5E71CDDB" w14:textId="77777777" w:rsidR="00805B8F" w:rsidRPr="003445F5" w:rsidRDefault="00805B8F" w:rsidP="00805B8F">
      <w:pPr>
        <w:rPr>
          <w:szCs w:val="22"/>
          <w:lang w:val="sr-Latn-ME"/>
        </w:rPr>
      </w:pPr>
    </w:p>
    <w:p w14:paraId="4EF32D8A" w14:textId="77777777" w:rsidR="00805B8F" w:rsidRPr="003445F5" w:rsidRDefault="00805B8F" w:rsidP="00805B8F">
      <w:pPr>
        <w:rPr>
          <w:i/>
          <w:iCs/>
          <w:szCs w:val="22"/>
          <w:u w:val="single"/>
          <w:lang w:val="sr-Latn-ME"/>
        </w:rPr>
      </w:pPr>
      <w:r w:rsidRPr="003445F5">
        <w:rPr>
          <w:i/>
          <w:iCs/>
          <w:szCs w:val="22"/>
          <w:u w:val="single"/>
          <w:lang w:val="sr-Latn-ME"/>
        </w:rPr>
        <w:t>Rezultati efikasnosti</w:t>
      </w:r>
    </w:p>
    <w:p w14:paraId="6226DEF2" w14:textId="2AF29C24" w:rsidR="00805B8F" w:rsidRPr="003445F5" w:rsidRDefault="00805B8F" w:rsidP="00805B8F">
      <w:pPr>
        <w:rPr>
          <w:szCs w:val="22"/>
          <w:lang w:val="sr-Latn-ME"/>
        </w:rPr>
      </w:pPr>
      <w:r w:rsidRPr="003445F5">
        <w:rPr>
          <w:szCs w:val="22"/>
          <w:lang w:val="sr-Latn-ME"/>
        </w:rPr>
        <w:t xml:space="preserve">Koprimarne mjere ishoda studije bile su klinička remisija prema PMS (definisana kao PMS ≤ 2 i bez pojedinačnih podrezultata &gt; 1) u 8. </w:t>
      </w:r>
      <w:r w:rsidR="00551F1D" w:rsidRPr="003445F5">
        <w:rPr>
          <w:szCs w:val="22"/>
          <w:lang w:val="sr-Latn-ME"/>
        </w:rPr>
        <w:t>nedjelj</w:t>
      </w:r>
      <w:r w:rsidR="00704AF5" w:rsidRPr="003445F5">
        <w:rPr>
          <w:szCs w:val="22"/>
          <w:lang w:val="sr-Latn-ME"/>
        </w:rPr>
        <w:t>i</w:t>
      </w:r>
      <w:r w:rsidRPr="003445F5">
        <w:rPr>
          <w:szCs w:val="22"/>
          <w:lang w:val="sr-Latn-ME"/>
        </w:rPr>
        <w:t xml:space="preserve"> i klinička remisija po FMS (engl. </w:t>
      </w:r>
      <w:r w:rsidRPr="003445F5">
        <w:rPr>
          <w:i/>
          <w:iCs/>
          <w:szCs w:val="22"/>
          <w:lang w:val="sr-Latn-ME"/>
        </w:rPr>
        <w:t>Full Mayo Score</w:t>
      </w:r>
      <w:r w:rsidRPr="003445F5">
        <w:rPr>
          <w:szCs w:val="22"/>
          <w:lang w:val="sr-Latn-ME"/>
        </w:rPr>
        <w:t xml:space="preserve">) (definisana kao </w:t>
      </w:r>
      <w:r w:rsidRPr="003445F5">
        <w:rPr>
          <w:i/>
          <w:iCs/>
          <w:szCs w:val="22"/>
          <w:lang w:val="sr-Latn-ME"/>
        </w:rPr>
        <w:t>Mayo</w:t>
      </w:r>
      <w:r w:rsidRPr="003445F5">
        <w:rPr>
          <w:szCs w:val="22"/>
          <w:lang w:val="sr-Latn-ME"/>
        </w:rPr>
        <w:t xml:space="preserve"> ocjena ≤ 2 i bez pojedinačnih podrezultata &gt; 1) u 52. </w:t>
      </w:r>
      <w:r w:rsidR="00551F1D" w:rsidRPr="003445F5">
        <w:rPr>
          <w:szCs w:val="22"/>
          <w:lang w:val="sr-Latn-ME"/>
        </w:rPr>
        <w:t>nedjelj</w:t>
      </w:r>
      <w:r w:rsidR="00704AF5" w:rsidRPr="003445F5">
        <w:rPr>
          <w:szCs w:val="22"/>
          <w:lang w:val="sr-Latn-ME"/>
        </w:rPr>
        <w:t>i</w:t>
      </w:r>
      <w:r w:rsidRPr="003445F5">
        <w:rPr>
          <w:szCs w:val="22"/>
          <w:lang w:val="sr-Latn-ME"/>
        </w:rPr>
        <w:t xml:space="preserve"> kod pacijenata koji su postigli klinički odgovor po PMS u 8. </w:t>
      </w:r>
      <w:r w:rsidR="00551F1D" w:rsidRPr="003445F5">
        <w:rPr>
          <w:szCs w:val="22"/>
          <w:lang w:val="sr-Latn-ME"/>
        </w:rPr>
        <w:t>nedjelj</w:t>
      </w:r>
      <w:r w:rsidR="00704AF5" w:rsidRPr="003445F5">
        <w:rPr>
          <w:szCs w:val="22"/>
          <w:lang w:val="sr-Latn-ME"/>
        </w:rPr>
        <w:t>i</w:t>
      </w:r>
      <w:r w:rsidRPr="003445F5">
        <w:rPr>
          <w:szCs w:val="22"/>
          <w:lang w:val="sr-Latn-ME"/>
        </w:rPr>
        <w:t>.</w:t>
      </w:r>
    </w:p>
    <w:p w14:paraId="2CD7B705" w14:textId="77777777" w:rsidR="004E4252" w:rsidRPr="003445F5" w:rsidRDefault="004E4252" w:rsidP="004E4252">
      <w:pPr>
        <w:rPr>
          <w:szCs w:val="22"/>
          <w:lang w:val="sr-Latn-ME"/>
        </w:rPr>
      </w:pPr>
    </w:p>
    <w:p w14:paraId="6A9502F8" w14:textId="385CDBDB" w:rsidR="004E4252" w:rsidRPr="003445F5" w:rsidRDefault="004E4252" w:rsidP="004E4252">
      <w:pPr>
        <w:rPr>
          <w:szCs w:val="22"/>
          <w:lang w:val="sr-Latn-ME"/>
        </w:rPr>
      </w:pPr>
      <w:r w:rsidRPr="003445F5">
        <w:rPr>
          <w:szCs w:val="22"/>
          <w:lang w:val="sr-Latn-ME"/>
        </w:rPr>
        <w:t xml:space="preserve">Stope kliničke remisije po PMS u 8. </w:t>
      </w:r>
      <w:r w:rsidR="00551F1D" w:rsidRPr="003445F5">
        <w:rPr>
          <w:szCs w:val="22"/>
          <w:lang w:val="sr-Latn-ME"/>
        </w:rPr>
        <w:t>nedjelj</w:t>
      </w:r>
      <w:r w:rsidR="00704AF5" w:rsidRPr="003445F5">
        <w:rPr>
          <w:szCs w:val="22"/>
          <w:lang w:val="sr-Latn-ME"/>
        </w:rPr>
        <w:t>i</w:t>
      </w:r>
      <w:r w:rsidRPr="003445F5">
        <w:rPr>
          <w:szCs w:val="22"/>
          <w:lang w:val="sr-Latn-ME"/>
        </w:rPr>
        <w:t xml:space="preserve"> za pacijente u svakoj od dvostruko sl</w:t>
      </w:r>
      <w:r w:rsidR="00805B8F" w:rsidRPr="003445F5">
        <w:rPr>
          <w:szCs w:val="22"/>
          <w:lang w:val="sr-Latn-ME"/>
        </w:rPr>
        <w:t>ij</w:t>
      </w:r>
      <w:r w:rsidRPr="003445F5">
        <w:rPr>
          <w:szCs w:val="22"/>
          <w:lang w:val="sr-Latn-ME"/>
        </w:rPr>
        <w:t>epih indukcionih grupa za adalimumab su predstavljene u tabeli 21.</w:t>
      </w:r>
    </w:p>
    <w:p w14:paraId="6F89E970" w14:textId="2A14A888" w:rsidR="009F7168" w:rsidRPr="003445F5" w:rsidRDefault="009F7168" w:rsidP="00524FDF">
      <w:pPr>
        <w:rPr>
          <w:szCs w:val="22"/>
          <w:lang w:val="sr-Latn-ME"/>
        </w:rPr>
      </w:pPr>
    </w:p>
    <w:p w14:paraId="41A16E6C" w14:textId="52FDF760" w:rsidR="008C3ABE" w:rsidRPr="003445F5" w:rsidRDefault="008C3ABE" w:rsidP="00524FDF">
      <w:pPr>
        <w:rPr>
          <w:b/>
          <w:bCs/>
          <w:szCs w:val="22"/>
          <w:lang w:val="sr-Latn-ME"/>
        </w:rPr>
      </w:pPr>
      <w:r w:rsidRPr="003445F5">
        <w:rPr>
          <w:b/>
          <w:bCs/>
          <w:szCs w:val="22"/>
          <w:lang w:val="sr-Latn-ME"/>
        </w:rPr>
        <w:t xml:space="preserve">Tabela </w:t>
      </w:r>
      <w:r w:rsidR="00C526BC" w:rsidRPr="003445F5">
        <w:rPr>
          <w:b/>
          <w:bCs/>
          <w:szCs w:val="22"/>
          <w:lang w:val="sr-Latn-ME"/>
        </w:rPr>
        <w:t>2</w:t>
      </w:r>
      <w:r w:rsidRPr="003445F5">
        <w:rPr>
          <w:b/>
          <w:bCs/>
          <w:szCs w:val="22"/>
          <w:lang w:val="sr-Latn-ME"/>
        </w:rPr>
        <w:t>1. Klinička remisija po PMS nakon 8 ned</w:t>
      </w:r>
      <w:r w:rsidR="00805B8F" w:rsidRPr="003445F5">
        <w:rPr>
          <w:b/>
          <w:bCs/>
          <w:szCs w:val="22"/>
          <w:lang w:val="sr-Latn-ME"/>
        </w:rPr>
        <w:t>j</w:t>
      </w:r>
      <w:r w:rsidRPr="003445F5">
        <w:rPr>
          <w:b/>
          <w:bCs/>
          <w:szCs w:val="22"/>
          <w:lang w:val="sr-Latn-ME"/>
        </w:rPr>
        <w:t>elja</w:t>
      </w:r>
    </w:p>
    <w:p w14:paraId="691605AA" w14:textId="77777777" w:rsidR="008C3ABE" w:rsidRPr="003445F5" w:rsidRDefault="008C3ABE" w:rsidP="00524FDF">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751"/>
        <w:gridCol w:w="3773"/>
        <w:gridCol w:w="3493"/>
      </w:tblGrid>
      <w:tr w:rsidR="003A666B" w:rsidRPr="003445F5" w14:paraId="41FC060C" w14:textId="77777777" w:rsidTr="00704956">
        <w:trPr>
          <w:trHeight w:val="20"/>
        </w:trPr>
        <w:tc>
          <w:tcPr>
            <w:tcW w:w="971" w:type="pct"/>
            <w:vAlign w:val="center"/>
          </w:tcPr>
          <w:p w14:paraId="587AE855" w14:textId="77777777" w:rsidR="003A666B" w:rsidRPr="003445F5" w:rsidRDefault="003A666B" w:rsidP="00704956">
            <w:pPr>
              <w:jc w:val="center"/>
              <w:rPr>
                <w:szCs w:val="22"/>
                <w:lang w:val="sr-Latn-ME"/>
              </w:rPr>
            </w:pPr>
          </w:p>
        </w:tc>
        <w:tc>
          <w:tcPr>
            <w:tcW w:w="2092" w:type="pct"/>
            <w:vAlign w:val="center"/>
          </w:tcPr>
          <w:p w14:paraId="7E2FFB7D" w14:textId="77777777" w:rsidR="003A666B" w:rsidRPr="003445F5" w:rsidRDefault="003A666B" w:rsidP="00704956">
            <w:pPr>
              <w:jc w:val="center"/>
              <w:rPr>
                <w:b/>
                <w:bCs/>
                <w:szCs w:val="22"/>
                <w:vertAlign w:val="superscript"/>
                <w:lang w:val="sr-Latn-ME"/>
              </w:rPr>
            </w:pPr>
            <w:r w:rsidRPr="003445F5">
              <w:rPr>
                <w:b/>
                <w:bCs/>
                <w:szCs w:val="22"/>
                <w:lang w:val="sr-Latn-ME"/>
              </w:rPr>
              <w:t>Adalimumab</w:t>
            </w:r>
            <w:r w:rsidRPr="003445F5">
              <w:rPr>
                <w:b/>
                <w:bCs/>
                <w:szCs w:val="22"/>
                <w:vertAlign w:val="superscript"/>
                <w:lang w:val="sr-Latn-ME"/>
              </w:rPr>
              <w:t>a</w:t>
            </w:r>
          </w:p>
          <w:p w14:paraId="11CFD8DC" w14:textId="77445A5C" w:rsidR="003A666B" w:rsidRPr="003445F5" w:rsidRDefault="003A666B" w:rsidP="00704956">
            <w:pPr>
              <w:jc w:val="center"/>
              <w:rPr>
                <w:b/>
                <w:bCs/>
                <w:szCs w:val="22"/>
                <w:lang w:val="sr-Latn-ME"/>
              </w:rPr>
            </w:pPr>
            <w:r w:rsidRPr="003445F5">
              <w:rPr>
                <w:b/>
                <w:bCs/>
                <w:szCs w:val="22"/>
                <w:lang w:val="sr-Latn-ME"/>
              </w:rPr>
              <w:lastRenderedPageBreak/>
              <w:t xml:space="preserve">Maksimalno 160 mg u početnoj </w:t>
            </w:r>
            <w:r w:rsidR="00551F1D" w:rsidRPr="003445F5">
              <w:rPr>
                <w:b/>
                <w:bCs/>
                <w:szCs w:val="22"/>
                <w:lang w:val="sr-Latn-ME"/>
              </w:rPr>
              <w:t>nedjelj</w:t>
            </w:r>
            <w:r w:rsidR="00704AF5" w:rsidRPr="003445F5">
              <w:rPr>
                <w:b/>
                <w:bCs/>
                <w:szCs w:val="22"/>
                <w:lang w:val="sr-Latn-ME"/>
              </w:rPr>
              <w:t>i</w:t>
            </w:r>
            <w:r w:rsidRPr="003445F5">
              <w:rPr>
                <w:b/>
                <w:bCs/>
                <w:szCs w:val="22"/>
                <w:lang w:val="sr-Latn-ME"/>
              </w:rPr>
              <w:t xml:space="preserve"> (označena kao nulta ned</w:t>
            </w:r>
            <w:r w:rsidR="00805B8F" w:rsidRPr="003445F5">
              <w:rPr>
                <w:b/>
                <w:bCs/>
                <w:szCs w:val="22"/>
                <w:lang w:val="sr-Latn-ME"/>
              </w:rPr>
              <w:t>j</w:t>
            </w:r>
            <w:r w:rsidRPr="003445F5">
              <w:rPr>
                <w:b/>
                <w:bCs/>
                <w:szCs w:val="22"/>
                <w:lang w:val="sr-Latn-ME"/>
              </w:rPr>
              <w:t xml:space="preserve">elja, </w:t>
            </w:r>
            <w:r w:rsidRPr="003445F5">
              <w:rPr>
                <w:b/>
                <w:bCs/>
                <w:i/>
                <w:iCs/>
                <w:szCs w:val="22"/>
                <w:lang w:val="sr-Latn-ME"/>
              </w:rPr>
              <w:t>Week 0</w:t>
            </w:r>
            <w:r w:rsidRPr="003445F5">
              <w:rPr>
                <w:b/>
                <w:bCs/>
                <w:szCs w:val="22"/>
                <w:lang w:val="sr-Latn-ME"/>
              </w:rPr>
              <w:t xml:space="preserve">) / placebo u 1. </w:t>
            </w:r>
            <w:r w:rsidR="00551F1D" w:rsidRPr="003445F5">
              <w:rPr>
                <w:b/>
                <w:bCs/>
                <w:szCs w:val="22"/>
                <w:lang w:val="sr-Latn-ME"/>
              </w:rPr>
              <w:t>nedjelj</w:t>
            </w:r>
            <w:r w:rsidR="00704AF5" w:rsidRPr="003445F5">
              <w:rPr>
                <w:b/>
                <w:bCs/>
                <w:szCs w:val="22"/>
                <w:lang w:val="sr-Latn-ME"/>
              </w:rPr>
              <w:t>i</w:t>
            </w:r>
          </w:p>
          <w:p w14:paraId="6DBF1981" w14:textId="77777777" w:rsidR="003A666B" w:rsidRPr="003445F5" w:rsidRDefault="003A666B" w:rsidP="00704956">
            <w:pPr>
              <w:jc w:val="center"/>
              <w:rPr>
                <w:b/>
                <w:bCs/>
                <w:szCs w:val="22"/>
                <w:lang w:val="sr-Latn-ME"/>
              </w:rPr>
            </w:pPr>
            <w:r w:rsidRPr="003445F5">
              <w:rPr>
                <w:b/>
                <w:bCs/>
                <w:szCs w:val="22"/>
                <w:lang w:val="sr-Latn-ME"/>
              </w:rPr>
              <w:t>N=30</w:t>
            </w:r>
          </w:p>
        </w:tc>
        <w:tc>
          <w:tcPr>
            <w:tcW w:w="1937" w:type="pct"/>
            <w:vAlign w:val="center"/>
          </w:tcPr>
          <w:p w14:paraId="574262CC" w14:textId="77777777" w:rsidR="003A666B" w:rsidRPr="003445F5" w:rsidRDefault="003A666B" w:rsidP="00704956">
            <w:pPr>
              <w:jc w:val="center"/>
              <w:rPr>
                <w:b/>
                <w:bCs/>
                <w:szCs w:val="22"/>
                <w:vertAlign w:val="superscript"/>
                <w:lang w:val="sr-Latn-ME"/>
              </w:rPr>
            </w:pPr>
            <w:r w:rsidRPr="003445F5">
              <w:rPr>
                <w:b/>
                <w:bCs/>
                <w:szCs w:val="22"/>
                <w:lang w:val="sr-Latn-ME"/>
              </w:rPr>
              <w:lastRenderedPageBreak/>
              <w:t>Adalimumab</w:t>
            </w:r>
            <w:r w:rsidRPr="003445F5">
              <w:rPr>
                <w:b/>
                <w:bCs/>
                <w:szCs w:val="22"/>
                <w:vertAlign w:val="superscript"/>
                <w:lang w:val="sr-Latn-ME"/>
              </w:rPr>
              <w:t>b, c</w:t>
            </w:r>
          </w:p>
          <w:p w14:paraId="28D50C8B" w14:textId="2D4B8C76" w:rsidR="003A666B" w:rsidRPr="003445F5" w:rsidRDefault="003A666B" w:rsidP="00704956">
            <w:pPr>
              <w:jc w:val="center"/>
              <w:rPr>
                <w:b/>
                <w:bCs/>
                <w:szCs w:val="22"/>
                <w:lang w:val="sr-Latn-ME"/>
              </w:rPr>
            </w:pPr>
            <w:r w:rsidRPr="003445F5">
              <w:rPr>
                <w:b/>
                <w:bCs/>
                <w:szCs w:val="22"/>
                <w:lang w:val="sr-Latn-ME"/>
              </w:rPr>
              <w:lastRenderedPageBreak/>
              <w:t xml:space="preserve">Maksimalno 160 mg u početnoj </w:t>
            </w:r>
            <w:r w:rsidR="00551F1D" w:rsidRPr="003445F5">
              <w:rPr>
                <w:b/>
                <w:bCs/>
                <w:szCs w:val="22"/>
                <w:lang w:val="sr-Latn-ME"/>
              </w:rPr>
              <w:t>nedjelj</w:t>
            </w:r>
            <w:r w:rsidR="00704AF5" w:rsidRPr="003445F5">
              <w:rPr>
                <w:b/>
                <w:bCs/>
                <w:szCs w:val="22"/>
                <w:lang w:val="sr-Latn-ME"/>
              </w:rPr>
              <w:t>i</w:t>
            </w:r>
            <w:r w:rsidRPr="003445F5">
              <w:rPr>
                <w:b/>
                <w:bCs/>
                <w:szCs w:val="22"/>
                <w:lang w:val="sr-Latn-ME"/>
              </w:rPr>
              <w:t xml:space="preserve"> (označena kao nulta ned</w:t>
            </w:r>
            <w:r w:rsidR="00805B8F" w:rsidRPr="003445F5">
              <w:rPr>
                <w:b/>
                <w:bCs/>
                <w:szCs w:val="22"/>
                <w:lang w:val="sr-Latn-ME"/>
              </w:rPr>
              <w:t>j</w:t>
            </w:r>
            <w:r w:rsidRPr="003445F5">
              <w:rPr>
                <w:b/>
                <w:bCs/>
                <w:szCs w:val="22"/>
                <w:lang w:val="sr-Latn-ME"/>
              </w:rPr>
              <w:t xml:space="preserve">elja, </w:t>
            </w:r>
            <w:r w:rsidRPr="003445F5">
              <w:rPr>
                <w:b/>
                <w:bCs/>
                <w:i/>
                <w:iCs/>
                <w:szCs w:val="22"/>
                <w:lang w:val="sr-Latn-ME"/>
              </w:rPr>
              <w:t>Week 0</w:t>
            </w:r>
            <w:r w:rsidRPr="003445F5">
              <w:rPr>
                <w:b/>
                <w:bCs/>
                <w:szCs w:val="22"/>
                <w:lang w:val="sr-Latn-ME"/>
              </w:rPr>
              <w:t xml:space="preserve">), i 1. </w:t>
            </w:r>
            <w:r w:rsidR="00551F1D" w:rsidRPr="003445F5">
              <w:rPr>
                <w:b/>
                <w:bCs/>
                <w:szCs w:val="22"/>
                <w:lang w:val="sr-Latn-ME"/>
              </w:rPr>
              <w:t>nedjelj</w:t>
            </w:r>
            <w:r w:rsidR="00704AF5" w:rsidRPr="003445F5">
              <w:rPr>
                <w:b/>
                <w:bCs/>
                <w:szCs w:val="22"/>
                <w:lang w:val="sr-Latn-ME"/>
              </w:rPr>
              <w:t>i</w:t>
            </w:r>
          </w:p>
          <w:p w14:paraId="104F0192" w14:textId="77777777" w:rsidR="003A666B" w:rsidRPr="003445F5" w:rsidRDefault="003A666B" w:rsidP="00704956">
            <w:pPr>
              <w:jc w:val="center"/>
              <w:rPr>
                <w:b/>
                <w:bCs/>
                <w:szCs w:val="22"/>
                <w:lang w:val="sr-Latn-ME"/>
              </w:rPr>
            </w:pPr>
            <w:r w:rsidRPr="003445F5">
              <w:rPr>
                <w:b/>
                <w:bCs/>
                <w:szCs w:val="22"/>
                <w:lang w:val="sr-Latn-ME"/>
              </w:rPr>
              <w:t>N=47</w:t>
            </w:r>
          </w:p>
        </w:tc>
      </w:tr>
      <w:tr w:rsidR="003A666B" w:rsidRPr="003445F5" w14:paraId="47D9FA84" w14:textId="77777777" w:rsidTr="00704956">
        <w:trPr>
          <w:trHeight w:val="20"/>
        </w:trPr>
        <w:tc>
          <w:tcPr>
            <w:tcW w:w="971" w:type="pct"/>
            <w:vAlign w:val="center"/>
          </w:tcPr>
          <w:p w14:paraId="7C80C330" w14:textId="77777777" w:rsidR="003A666B" w:rsidRPr="003445F5" w:rsidRDefault="003A666B" w:rsidP="00704956">
            <w:pPr>
              <w:jc w:val="center"/>
              <w:rPr>
                <w:szCs w:val="22"/>
                <w:lang w:val="sr-Latn-ME"/>
              </w:rPr>
            </w:pPr>
            <w:r w:rsidRPr="003445F5">
              <w:rPr>
                <w:szCs w:val="22"/>
                <w:lang w:val="sr-Latn-ME"/>
              </w:rPr>
              <w:lastRenderedPageBreak/>
              <w:t>Klinička remisija</w:t>
            </w:r>
          </w:p>
        </w:tc>
        <w:tc>
          <w:tcPr>
            <w:tcW w:w="2092" w:type="pct"/>
            <w:vAlign w:val="center"/>
          </w:tcPr>
          <w:p w14:paraId="72CCF78E" w14:textId="77777777" w:rsidR="003A666B" w:rsidRPr="003445F5" w:rsidRDefault="003A666B" w:rsidP="00704956">
            <w:pPr>
              <w:jc w:val="center"/>
              <w:rPr>
                <w:szCs w:val="22"/>
                <w:lang w:val="sr-Latn-ME"/>
              </w:rPr>
            </w:pPr>
            <w:r w:rsidRPr="003445F5">
              <w:rPr>
                <w:szCs w:val="22"/>
                <w:lang w:val="sr-Latn-ME"/>
              </w:rPr>
              <w:t>13/30 (43,3%)</w:t>
            </w:r>
          </w:p>
        </w:tc>
        <w:tc>
          <w:tcPr>
            <w:tcW w:w="1937" w:type="pct"/>
            <w:vAlign w:val="center"/>
          </w:tcPr>
          <w:p w14:paraId="3C41EAD0" w14:textId="77777777" w:rsidR="003A666B" w:rsidRPr="003445F5" w:rsidRDefault="003A666B" w:rsidP="00704956">
            <w:pPr>
              <w:jc w:val="center"/>
              <w:rPr>
                <w:szCs w:val="22"/>
                <w:lang w:val="sr-Latn-ME"/>
              </w:rPr>
            </w:pPr>
            <w:r w:rsidRPr="003445F5">
              <w:rPr>
                <w:szCs w:val="22"/>
                <w:lang w:val="sr-Latn-ME"/>
              </w:rPr>
              <w:t>28/47 (59,6%)</w:t>
            </w:r>
          </w:p>
        </w:tc>
      </w:tr>
    </w:tbl>
    <w:p w14:paraId="6D9FF43C" w14:textId="528B8257" w:rsidR="00CC605C" w:rsidRPr="003445F5" w:rsidRDefault="00CC605C" w:rsidP="00CC605C">
      <w:pPr>
        <w:rPr>
          <w:szCs w:val="22"/>
          <w:lang w:val="sr-Latn-ME"/>
        </w:rPr>
      </w:pPr>
      <w:r w:rsidRPr="003445F5">
        <w:rPr>
          <w:szCs w:val="22"/>
          <w:vertAlign w:val="superscript"/>
          <w:lang w:val="sr-Latn-ME"/>
        </w:rPr>
        <w:t xml:space="preserve">a </w:t>
      </w:r>
      <w:r w:rsidRPr="003445F5">
        <w:rPr>
          <w:szCs w:val="22"/>
          <w:lang w:val="sr-Latn-ME"/>
        </w:rPr>
        <w:t xml:space="preserve">Adalimumab 2,4 mg/kg (maksimalno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placebo u 1. </w:t>
      </w:r>
      <w:r w:rsidR="00551F1D" w:rsidRPr="003445F5">
        <w:rPr>
          <w:szCs w:val="22"/>
          <w:lang w:val="sr-Latn-ME"/>
        </w:rPr>
        <w:t>nedjelj</w:t>
      </w:r>
      <w:r w:rsidR="00704AF5" w:rsidRPr="003445F5">
        <w:rPr>
          <w:szCs w:val="22"/>
          <w:lang w:val="sr-Latn-ME"/>
        </w:rPr>
        <w:t>i</w:t>
      </w:r>
      <w:r w:rsidRPr="003445F5">
        <w:rPr>
          <w:szCs w:val="22"/>
          <w:lang w:val="sr-Latn-ME"/>
        </w:rPr>
        <w:t xml:space="preserve">, i 1,2 mg/kg (maksimalno 80 mg) u 2. </w:t>
      </w:r>
      <w:r w:rsidR="00551F1D" w:rsidRPr="003445F5">
        <w:rPr>
          <w:szCs w:val="22"/>
          <w:lang w:val="sr-Latn-ME"/>
        </w:rPr>
        <w:t>nedjelj</w:t>
      </w:r>
      <w:r w:rsidR="00704AF5" w:rsidRPr="003445F5">
        <w:rPr>
          <w:szCs w:val="22"/>
          <w:lang w:val="sr-Latn-ME"/>
        </w:rPr>
        <w:t>i</w:t>
      </w:r>
    </w:p>
    <w:p w14:paraId="2C6984C7" w14:textId="5A089424" w:rsidR="00CC605C" w:rsidRPr="003445F5" w:rsidRDefault="00CC605C" w:rsidP="00CC605C">
      <w:pPr>
        <w:rPr>
          <w:szCs w:val="22"/>
          <w:lang w:val="sr-Latn-ME"/>
        </w:rPr>
      </w:pPr>
      <w:r w:rsidRPr="003445F5">
        <w:rPr>
          <w:szCs w:val="22"/>
          <w:vertAlign w:val="superscript"/>
          <w:lang w:val="sr-Latn-ME"/>
        </w:rPr>
        <w:t>b</w:t>
      </w:r>
      <w:r w:rsidRPr="003445F5">
        <w:rPr>
          <w:szCs w:val="22"/>
          <w:lang w:val="sr-Latn-ME"/>
        </w:rPr>
        <w:t xml:space="preserve"> Adalimumab 2,4 mg/kg (maksimalno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1. </w:t>
      </w:r>
      <w:r w:rsidR="00551F1D" w:rsidRPr="003445F5">
        <w:rPr>
          <w:szCs w:val="22"/>
          <w:lang w:val="sr-Latn-ME"/>
        </w:rPr>
        <w:t>nedjelj</w:t>
      </w:r>
      <w:r w:rsidR="00704AF5" w:rsidRPr="003445F5">
        <w:rPr>
          <w:szCs w:val="22"/>
          <w:lang w:val="sr-Latn-ME"/>
        </w:rPr>
        <w:t>i</w:t>
      </w:r>
      <w:r w:rsidRPr="003445F5">
        <w:rPr>
          <w:szCs w:val="22"/>
          <w:lang w:val="sr-Latn-ME"/>
        </w:rPr>
        <w:t xml:space="preserve">, i 1,2 mg/kg (maksimalno od 80 mg) u 2. </w:t>
      </w:r>
      <w:r w:rsidR="00551F1D" w:rsidRPr="003445F5">
        <w:rPr>
          <w:szCs w:val="22"/>
          <w:lang w:val="sr-Latn-ME"/>
        </w:rPr>
        <w:t>nedjelj</w:t>
      </w:r>
      <w:r w:rsidR="00704AF5" w:rsidRPr="003445F5">
        <w:rPr>
          <w:szCs w:val="22"/>
          <w:lang w:val="sr-Latn-ME"/>
        </w:rPr>
        <w:t>i</w:t>
      </w:r>
    </w:p>
    <w:p w14:paraId="67179E2F" w14:textId="6D866319" w:rsidR="00CC605C" w:rsidRPr="003445F5" w:rsidRDefault="00CC605C" w:rsidP="00CC605C">
      <w:pPr>
        <w:rPr>
          <w:szCs w:val="22"/>
          <w:lang w:val="sr-Latn-ME"/>
        </w:rPr>
      </w:pPr>
      <w:r w:rsidRPr="003445F5">
        <w:rPr>
          <w:szCs w:val="22"/>
          <w:vertAlign w:val="superscript"/>
          <w:lang w:val="sr-Latn-ME"/>
        </w:rPr>
        <w:t>c</w:t>
      </w:r>
      <w:r w:rsidRPr="003445F5">
        <w:rPr>
          <w:szCs w:val="22"/>
          <w:lang w:val="sr-Latn-ME"/>
        </w:rPr>
        <w:t xml:space="preserve"> Ne uključujući otvorenu indukcionu dozu adalimumaba od 2,4 mg/kg (maksimalno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1. </w:t>
      </w:r>
      <w:r w:rsidR="00551F1D" w:rsidRPr="003445F5">
        <w:rPr>
          <w:szCs w:val="22"/>
          <w:lang w:val="sr-Latn-ME"/>
        </w:rPr>
        <w:t>nedjelj</w:t>
      </w:r>
      <w:r w:rsidR="00704AF5" w:rsidRPr="003445F5">
        <w:rPr>
          <w:szCs w:val="22"/>
          <w:lang w:val="sr-Latn-ME"/>
        </w:rPr>
        <w:t>i</w:t>
      </w:r>
      <w:r w:rsidRPr="003445F5">
        <w:rPr>
          <w:szCs w:val="22"/>
          <w:lang w:val="sr-Latn-ME"/>
        </w:rPr>
        <w:t xml:space="preserve"> i 1,2 mg/kg (maksimalno 80 mg) u 2. </w:t>
      </w:r>
      <w:r w:rsidR="00551F1D" w:rsidRPr="003445F5">
        <w:rPr>
          <w:szCs w:val="22"/>
          <w:lang w:val="sr-Latn-ME"/>
        </w:rPr>
        <w:t>nedjelj</w:t>
      </w:r>
      <w:r w:rsidR="00704AF5" w:rsidRPr="003445F5">
        <w:rPr>
          <w:szCs w:val="22"/>
          <w:lang w:val="sr-Latn-ME"/>
        </w:rPr>
        <w:t>i</w:t>
      </w:r>
    </w:p>
    <w:p w14:paraId="101C4D64" w14:textId="5794B755" w:rsidR="00CC605C" w:rsidRPr="003445F5" w:rsidRDefault="00CC605C" w:rsidP="00CC605C">
      <w:pPr>
        <w:rPr>
          <w:szCs w:val="22"/>
          <w:lang w:val="sr-Latn-ME"/>
        </w:rPr>
      </w:pPr>
      <w:r w:rsidRPr="003445F5">
        <w:rPr>
          <w:szCs w:val="22"/>
          <w:lang w:val="sr-Latn-ME"/>
        </w:rPr>
        <w:t xml:space="preserve">Napomena 1: </w:t>
      </w:r>
      <w:r w:rsidR="00704AF5" w:rsidRPr="003445F5">
        <w:rPr>
          <w:szCs w:val="22"/>
          <w:lang w:val="sr-Latn-ME"/>
        </w:rPr>
        <w:t>Obije</w:t>
      </w:r>
      <w:r w:rsidRPr="003445F5">
        <w:rPr>
          <w:szCs w:val="22"/>
          <w:lang w:val="sr-Latn-ME"/>
        </w:rPr>
        <w:t xml:space="preserve"> indukcione grupe su primile 0,6 mg/kg (maksimalno 40 mg) u 4. i 6. </w:t>
      </w:r>
      <w:r w:rsidR="00551F1D" w:rsidRPr="003445F5">
        <w:rPr>
          <w:szCs w:val="22"/>
          <w:lang w:val="sr-Latn-ME"/>
        </w:rPr>
        <w:t>nedjelj</w:t>
      </w:r>
      <w:r w:rsidR="00704AF5" w:rsidRPr="003445F5">
        <w:rPr>
          <w:szCs w:val="22"/>
          <w:lang w:val="sr-Latn-ME"/>
        </w:rPr>
        <w:t>i</w:t>
      </w:r>
    </w:p>
    <w:p w14:paraId="28D1A06A" w14:textId="7F4A1E74" w:rsidR="00CC605C" w:rsidRPr="003445F5" w:rsidRDefault="00CC605C" w:rsidP="00CC605C">
      <w:pPr>
        <w:rPr>
          <w:szCs w:val="22"/>
          <w:lang w:val="sr-Latn-ME"/>
        </w:rPr>
      </w:pPr>
      <w:r w:rsidRPr="003445F5">
        <w:rPr>
          <w:szCs w:val="22"/>
          <w:lang w:val="sr-Latn-ME"/>
        </w:rPr>
        <w:t xml:space="preserve">Napomena 2: Smatralo se da pacijenti sa nedostajućim vrijednostima u 8. </w:t>
      </w:r>
      <w:r w:rsidR="00551F1D" w:rsidRPr="003445F5">
        <w:rPr>
          <w:szCs w:val="22"/>
          <w:lang w:val="sr-Latn-ME"/>
        </w:rPr>
        <w:t>nedjelj</w:t>
      </w:r>
      <w:r w:rsidRPr="003445F5">
        <w:rPr>
          <w:szCs w:val="22"/>
          <w:lang w:val="sr-Latn-ME"/>
        </w:rPr>
        <w:t>i nisu ispunili cilj</w:t>
      </w:r>
    </w:p>
    <w:p w14:paraId="76EED1CF" w14:textId="77777777" w:rsidR="002B65AB" w:rsidRPr="003445F5" w:rsidRDefault="002B65AB" w:rsidP="002B65AB">
      <w:pPr>
        <w:rPr>
          <w:szCs w:val="22"/>
          <w:lang w:val="sr-Latn-ME"/>
        </w:rPr>
      </w:pPr>
    </w:p>
    <w:p w14:paraId="4C5E5D05" w14:textId="538229B4" w:rsidR="007D740F" w:rsidRPr="003445F5" w:rsidRDefault="007D740F" w:rsidP="007D740F">
      <w:pPr>
        <w:rPr>
          <w:szCs w:val="22"/>
          <w:lang w:val="sr-Latn-ME"/>
        </w:rPr>
      </w:pPr>
      <w:r w:rsidRPr="003445F5">
        <w:rPr>
          <w:szCs w:val="22"/>
          <w:lang w:val="sr-Latn-ME"/>
        </w:rPr>
        <w:t xml:space="preserve">U 52. </w:t>
      </w:r>
      <w:r w:rsidR="00551F1D" w:rsidRPr="003445F5">
        <w:rPr>
          <w:szCs w:val="22"/>
          <w:lang w:val="sr-Latn-ME"/>
        </w:rPr>
        <w:t>nedjelj</w:t>
      </w:r>
      <w:r w:rsidR="00704AF5" w:rsidRPr="003445F5">
        <w:rPr>
          <w:szCs w:val="22"/>
          <w:lang w:val="sr-Latn-ME"/>
        </w:rPr>
        <w:t>i</w:t>
      </w:r>
      <w:r w:rsidRPr="003445F5">
        <w:rPr>
          <w:szCs w:val="22"/>
          <w:lang w:val="sr-Latn-ME"/>
        </w:rPr>
        <w:t xml:space="preserve">, klinička remisija prema FMS kod bolesnika sa odgovorom u 8. </w:t>
      </w:r>
      <w:r w:rsidR="00551F1D" w:rsidRPr="003445F5">
        <w:rPr>
          <w:szCs w:val="22"/>
          <w:lang w:val="sr-Latn-ME"/>
        </w:rPr>
        <w:t>nedjelj</w:t>
      </w:r>
      <w:r w:rsidR="00704AF5" w:rsidRPr="003445F5">
        <w:rPr>
          <w:szCs w:val="22"/>
          <w:lang w:val="sr-Latn-ME"/>
        </w:rPr>
        <w:t>i</w:t>
      </w:r>
      <w:r w:rsidRPr="003445F5">
        <w:rPr>
          <w:szCs w:val="22"/>
          <w:lang w:val="sr-Latn-ME"/>
        </w:rPr>
        <w:t xml:space="preserve">, klinički odgovor prema FMS (definisano kao smanjenje </w:t>
      </w:r>
      <w:r w:rsidRPr="003445F5">
        <w:rPr>
          <w:i/>
          <w:iCs/>
          <w:szCs w:val="22"/>
          <w:lang w:val="sr-Latn-ME"/>
        </w:rPr>
        <w:t>Mayo</w:t>
      </w:r>
      <w:r w:rsidRPr="003445F5">
        <w:rPr>
          <w:szCs w:val="22"/>
          <w:lang w:val="sr-Latn-ME"/>
        </w:rPr>
        <w:t xml:space="preserve"> skora ≥ 3 poena i ≥ 30% od početne vrijednosti) kod bolesnika sa odgovorom u 8. </w:t>
      </w:r>
      <w:r w:rsidR="00551F1D" w:rsidRPr="003445F5">
        <w:rPr>
          <w:szCs w:val="22"/>
          <w:lang w:val="sr-Latn-ME"/>
        </w:rPr>
        <w:t>nedjelj</w:t>
      </w:r>
      <w:r w:rsidR="00704AF5" w:rsidRPr="003445F5">
        <w:rPr>
          <w:szCs w:val="22"/>
          <w:lang w:val="sr-Latn-ME"/>
        </w:rPr>
        <w:t>i</w:t>
      </w:r>
      <w:r w:rsidRPr="003445F5">
        <w:rPr>
          <w:szCs w:val="22"/>
          <w:lang w:val="sr-Latn-ME"/>
        </w:rPr>
        <w:t xml:space="preserve">, zarastanje sluzokože (definisano kao podskor </w:t>
      </w:r>
      <w:r w:rsidRPr="003445F5">
        <w:rPr>
          <w:i/>
          <w:iCs/>
          <w:szCs w:val="22"/>
          <w:lang w:val="sr-Latn-ME"/>
        </w:rPr>
        <w:t>Mayo</w:t>
      </w:r>
      <w:r w:rsidRPr="003445F5">
        <w:rPr>
          <w:szCs w:val="22"/>
          <w:lang w:val="sr-Latn-ME"/>
        </w:rPr>
        <w:t xml:space="preserve"> endoskopije ≤ 1 ) kod bolesnika sa odgovorom u 8. </w:t>
      </w:r>
      <w:r w:rsidR="00551F1D" w:rsidRPr="003445F5">
        <w:rPr>
          <w:szCs w:val="22"/>
          <w:lang w:val="sr-Latn-ME"/>
        </w:rPr>
        <w:t>nedjelj</w:t>
      </w:r>
      <w:r w:rsidRPr="003445F5">
        <w:rPr>
          <w:szCs w:val="22"/>
          <w:lang w:val="sr-Latn-ME"/>
        </w:rPr>
        <w:t xml:space="preserve">i, klinička remisija prema FMS kod bolesnika u remisiji u 8. </w:t>
      </w:r>
      <w:r w:rsidR="00551F1D" w:rsidRPr="003445F5">
        <w:rPr>
          <w:szCs w:val="22"/>
          <w:lang w:val="sr-Latn-ME"/>
        </w:rPr>
        <w:t>nedjelj</w:t>
      </w:r>
      <w:r w:rsidRPr="003445F5">
        <w:rPr>
          <w:szCs w:val="22"/>
          <w:lang w:val="sr-Latn-ME"/>
        </w:rPr>
        <w:t xml:space="preserve">i i proporcija ispitanika koji su postigli remisiju bez upotrebe kortikosteroida prema FMS u 8. </w:t>
      </w:r>
      <w:r w:rsidR="00551F1D" w:rsidRPr="003445F5">
        <w:rPr>
          <w:szCs w:val="22"/>
          <w:lang w:val="sr-Latn-ME"/>
        </w:rPr>
        <w:t>nedjelj</w:t>
      </w:r>
      <w:r w:rsidR="00704AF5" w:rsidRPr="003445F5">
        <w:rPr>
          <w:szCs w:val="22"/>
          <w:lang w:val="sr-Latn-ME"/>
        </w:rPr>
        <w:t>i</w:t>
      </w:r>
      <w:r w:rsidRPr="003445F5">
        <w:rPr>
          <w:szCs w:val="22"/>
          <w:lang w:val="sr-Latn-ME"/>
        </w:rPr>
        <w:t xml:space="preserve"> su proc</w:t>
      </w:r>
      <w:r w:rsidR="00704AF5" w:rsidRPr="003445F5">
        <w:rPr>
          <w:szCs w:val="22"/>
          <w:lang w:val="sr-Latn-ME"/>
        </w:rPr>
        <w:t>i</w:t>
      </w:r>
      <w:r w:rsidRPr="003445F5">
        <w:rPr>
          <w:szCs w:val="22"/>
          <w:lang w:val="sr-Latn-ME"/>
        </w:rPr>
        <w:t xml:space="preserve">jenjeni kod pacijenata koji su primali dvostruko slijepe doze održavanja adalimumaba, sa maksimalnom dozom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(0,6 mg /kg) i maksimalnom dozom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(0,6 mg/kg) (tabela 22).</w:t>
      </w:r>
    </w:p>
    <w:p w14:paraId="6F3B4A41" w14:textId="77777777" w:rsidR="008C3ABE" w:rsidRPr="003445F5" w:rsidRDefault="008C3ABE" w:rsidP="00524FDF">
      <w:pPr>
        <w:rPr>
          <w:szCs w:val="22"/>
          <w:lang w:val="sr-Latn-ME"/>
        </w:rPr>
      </w:pPr>
    </w:p>
    <w:p w14:paraId="53C8CA13" w14:textId="4386C651" w:rsidR="008C3ABE" w:rsidRPr="003445F5" w:rsidRDefault="008C3ABE" w:rsidP="00524FDF">
      <w:pPr>
        <w:rPr>
          <w:b/>
          <w:bCs/>
          <w:szCs w:val="22"/>
          <w:lang w:val="sr-Latn-ME"/>
        </w:rPr>
      </w:pPr>
      <w:r w:rsidRPr="003445F5">
        <w:rPr>
          <w:b/>
          <w:bCs/>
          <w:szCs w:val="22"/>
          <w:lang w:val="sr-Latn-ME"/>
        </w:rPr>
        <w:t xml:space="preserve">Tabela </w:t>
      </w:r>
      <w:r w:rsidR="00BF52F5" w:rsidRPr="003445F5">
        <w:rPr>
          <w:b/>
          <w:bCs/>
          <w:szCs w:val="22"/>
          <w:lang w:val="sr-Latn-ME"/>
        </w:rPr>
        <w:t>2</w:t>
      </w:r>
      <w:r w:rsidRPr="003445F5">
        <w:rPr>
          <w:b/>
          <w:bCs/>
          <w:szCs w:val="22"/>
          <w:lang w:val="sr-Latn-ME"/>
        </w:rPr>
        <w:t>2: Rezultati efikasnosti u 52.</w:t>
      </w:r>
      <w:r w:rsidR="000C1179" w:rsidRPr="003445F5">
        <w:rPr>
          <w:b/>
          <w:bCs/>
          <w:szCs w:val="22"/>
          <w:lang w:val="sr-Latn-ME"/>
        </w:rPr>
        <w:t xml:space="preserve"> </w:t>
      </w:r>
      <w:r w:rsidR="00551F1D" w:rsidRPr="003445F5">
        <w:rPr>
          <w:b/>
          <w:bCs/>
          <w:szCs w:val="22"/>
          <w:lang w:val="sr-Latn-ME"/>
        </w:rPr>
        <w:t>nedjelj</w:t>
      </w:r>
      <w:r w:rsidRPr="003445F5">
        <w:rPr>
          <w:b/>
          <w:bCs/>
          <w:szCs w:val="22"/>
          <w:lang w:val="sr-Latn-ME"/>
        </w:rPr>
        <w:t>i</w:t>
      </w:r>
    </w:p>
    <w:p w14:paraId="58FD1FAE" w14:textId="77777777" w:rsidR="008C3ABE" w:rsidRPr="003445F5" w:rsidRDefault="008C3ABE" w:rsidP="00524FDF">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4815"/>
        <w:gridCol w:w="2126"/>
        <w:gridCol w:w="2076"/>
      </w:tblGrid>
      <w:tr w:rsidR="009C42BA" w:rsidRPr="003445F5" w14:paraId="35510FF2" w14:textId="77777777" w:rsidTr="00704956">
        <w:trPr>
          <w:trHeight w:val="20"/>
        </w:trPr>
        <w:tc>
          <w:tcPr>
            <w:tcW w:w="2670" w:type="pct"/>
          </w:tcPr>
          <w:p w14:paraId="7B31702A" w14:textId="77777777" w:rsidR="009C42BA" w:rsidRPr="003445F5" w:rsidRDefault="009C42BA" w:rsidP="00704956">
            <w:pPr>
              <w:rPr>
                <w:szCs w:val="22"/>
                <w:lang w:val="sr-Latn-ME"/>
              </w:rPr>
            </w:pPr>
          </w:p>
        </w:tc>
        <w:tc>
          <w:tcPr>
            <w:tcW w:w="1179" w:type="pct"/>
            <w:vAlign w:val="center"/>
          </w:tcPr>
          <w:p w14:paraId="32A8E5CF" w14:textId="77777777" w:rsidR="009C42BA" w:rsidRPr="003445F5" w:rsidRDefault="009C42BA" w:rsidP="00704956">
            <w:pPr>
              <w:jc w:val="center"/>
              <w:rPr>
                <w:b/>
                <w:bCs/>
                <w:szCs w:val="22"/>
                <w:vertAlign w:val="superscript"/>
                <w:lang w:val="sr-Latn-ME"/>
              </w:rPr>
            </w:pPr>
            <w:r w:rsidRPr="003445F5">
              <w:rPr>
                <w:b/>
                <w:bCs/>
                <w:szCs w:val="22"/>
                <w:lang w:val="sr-Latn-ME"/>
              </w:rPr>
              <w:t>Adalimumab</w:t>
            </w:r>
            <w:r w:rsidRPr="003445F5">
              <w:rPr>
                <w:b/>
                <w:bCs/>
                <w:szCs w:val="22"/>
                <w:vertAlign w:val="superscript"/>
                <w:lang w:val="sr-Latn-ME"/>
              </w:rPr>
              <w:t>a</w:t>
            </w:r>
          </w:p>
          <w:p w14:paraId="1484F511" w14:textId="2472E8CB" w:rsidR="009C42BA" w:rsidRPr="003445F5" w:rsidRDefault="009C42BA" w:rsidP="00704956">
            <w:pPr>
              <w:jc w:val="center"/>
              <w:rPr>
                <w:b/>
                <w:bCs/>
                <w:szCs w:val="22"/>
                <w:lang w:val="sr-Latn-ME"/>
              </w:rPr>
            </w:pPr>
            <w:r w:rsidRPr="003445F5">
              <w:rPr>
                <w:b/>
                <w:bCs/>
                <w:szCs w:val="22"/>
                <w:lang w:val="sr-Latn-ME"/>
              </w:rPr>
              <w:t xml:space="preserve">Maksimalno 40 mg svake druge </w:t>
            </w:r>
            <w:r w:rsidR="00551F1D" w:rsidRPr="003445F5">
              <w:rPr>
                <w:b/>
                <w:bCs/>
                <w:szCs w:val="22"/>
                <w:lang w:val="sr-Latn-ME"/>
              </w:rPr>
              <w:t>nedjelj</w:t>
            </w:r>
            <w:r w:rsidR="0047711E" w:rsidRPr="003445F5">
              <w:rPr>
                <w:b/>
                <w:bCs/>
                <w:szCs w:val="22"/>
                <w:lang w:val="sr-Latn-ME"/>
              </w:rPr>
              <w:t>e</w:t>
            </w:r>
          </w:p>
          <w:p w14:paraId="4BBA4FDD" w14:textId="77777777" w:rsidR="009C42BA" w:rsidRPr="003445F5" w:rsidRDefault="009C42BA" w:rsidP="00704956">
            <w:pPr>
              <w:jc w:val="center"/>
              <w:rPr>
                <w:b/>
                <w:bCs/>
                <w:szCs w:val="22"/>
                <w:lang w:val="sr-Latn-ME"/>
              </w:rPr>
            </w:pPr>
            <w:r w:rsidRPr="003445F5">
              <w:rPr>
                <w:b/>
                <w:bCs/>
                <w:szCs w:val="22"/>
                <w:lang w:val="sr-Latn-ME"/>
              </w:rPr>
              <w:t>N=31</w:t>
            </w:r>
          </w:p>
        </w:tc>
        <w:tc>
          <w:tcPr>
            <w:tcW w:w="1151" w:type="pct"/>
            <w:vAlign w:val="center"/>
          </w:tcPr>
          <w:p w14:paraId="45969E16" w14:textId="77777777" w:rsidR="009C42BA" w:rsidRPr="003445F5" w:rsidRDefault="009C42BA" w:rsidP="00704956">
            <w:pPr>
              <w:jc w:val="center"/>
              <w:rPr>
                <w:b/>
                <w:bCs/>
                <w:szCs w:val="22"/>
                <w:vertAlign w:val="superscript"/>
                <w:lang w:val="sr-Latn-ME"/>
              </w:rPr>
            </w:pPr>
            <w:r w:rsidRPr="003445F5">
              <w:rPr>
                <w:b/>
                <w:bCs/>
                <w:szCs w:val="22"/>
                <w:lang w:val="sr-Latn-ME"/>
              </w:rPr>
              <w:t>Adalimumab</w:t>
            </w:r>
            <w:r w:rsidRPr="003445F5">
              <w:rPr>
                <w:b/>
                <w:bCs/>
                <w:szCs w:val="22"/>
                <w:vertAlign w:val="superscript"/>
                <w:lang w:val="sr-Latn-ME"/>
              </w:rPr>
              <w:t>b</w:t>
            </w:r>
          </w:p>
          <w:p w14:paraId="3E3B92CD" w14:textId="675985A4" w:rsidR="009C42BA" w:rsidRPr="003445F5" w:rsidRDefault="009C42BA" w:rsidP="00704956">
            <w:pPr>
              <w:jc w:val="center"/>
              <w:rPr>
                <w:b/>
                <w:bCs/>
                <w:szCs w:val="22"/>
                <w:lang w:val="sr-Latn-ME"/>
              </w:rPr>
            </w:pPr>
            <w:r w:rsidRPr="003445F5">
              <w:rPr>
                <w:b/>
                <w:bCs/>
                <w:szCs w:val="22"/>
                <w:lang w:val="sr-Latn-ME"/>
              </w:rPr>
              <w:t xml:space="preserve">Maksimalno 40 mg svake </w:t>
            </w:r>
            <w:r w:rsidR="00551F1D" w:rsidRPr="003445F5">
              <w:rPr>
                <w:b/>
                <w:bCs/>
                <w:szCs w:val="22"/>
                <w:lang w:val="sr-Latn-ME"/>
              </w:rPr>
              <w:t>nedjelj</w:t>
            </w:r>
            <w:r w:rsidR="0047711E" w:rsidRPr="003445F5">
              <w:rPr>
                <w:b/>
                <w:bCs/>
                <w:szCs w:val="22"/>
                <w:lang w:val="sr-Latn-ME"/>
              </w:rPr>
              <w:t>e</w:t>
            </w:r>
          </w:p>
          <w:p w14:paraId="0E7B9007" w14:textId="77777777" w:rsidR="009C42BA" w:rsidRPr="003445F5" w:rsidRDefault="009C42BA" w:rsidP="00704956">
            <w:pPr>
              <w:jc w:val="center"/>
              <w:rPr>
                <w:b/>
                <w:bCs/>
                <w:szCs w:val="22"/>
                <w:lang w:val="sr-Latn-ME"/>
              </w:rPr>
            </w:pPr>
            <w:r w:rsidRPr="003445F5">
              <w:rPr>
                <w:b/>
                <w:bCs/>
                <w:szCs w:val="22"/>
                <w:lang w:val="sr-Latn-ME"/>
              </w:rPr>
              <w:t>N=31</w:t>
            </w:r>
          </w:p>
        </w:tc>
      </w:tr>
      <w:tr w:rsidR="00AB25DA" w:rsidRPr="003445F5" w14:paraId="3973A56A" w14:textId="77777777" w:rsidTr="00704956">
        <w:trPr>
          <w:trHeight w:val="20"/>
        </w:trPr>
        <w:tc>
          <w:tcPr>
            <w:tcW w:w="2670" w:type="pct"/>
            <w:vAlign w:val="center"/>
          </w:tcPr>
          <w:p w14:paraId="01DD819F" w14:textId="7068D2DF" w:rsidR="00AB25DA" w:rsidRPr="003445F5" w:rsidRDefault="00AB25DA" w:rsidP="00AB25DA">
            <w:pPr>
              <w:jc w:val="left"/>
              <w:rPr>
                <w:szCs w:val="22"/>
                <w:lang w:val="sr-Latn-ME"/>
              </w:rPr>
            </w:pPr>
            <w:r w:rsidRPr="003445F5">
              <w:rPr>
                <w:szCs w:val="22"/>
                <w:lang w:val="sr-Latn-ME"/>
              </w:rPr>
              <w:t xml:space="preserve">Klinička remisija prema PMS kod bolesnika sa odgovorom u 8. </w:t>
            </w:r>
            <w:r w:rsidR="00551F1D" w:rsidRPr="003445F5">
              <w:rPr>
                <w:szCs w:val="22"/>
                <w:lang w:val="sr-Latn-ME"/>
              </w:rPr>
              <w:t>nedjelj</w:t>
            </w:r>
            <w:r w:rsidR="00704AF5" w:rsidRPr="003445F5">
              <w:rPr>
                <w:szCs w:val="22"/>
                <w:lang w:val="sr-Latn-ME"/>
              </w:rPr>
              <w:t>i</w:t>
            </w:r>
          </w:p>
        </w:tc>
        <w:tc>
          <w:tcPr>
            <w:tcW w:w="1179" w:type="pct"/>
            <w:vAlign w:val="center"/>
          </w:tcPr>
          <w:p w14:paraId="29C267E9" w14:textId="77777777" w:rsidR="00AB25DA" w:rsidRPr="003445F5" w:rsidRDefault="00AB25DA" w:rsidP="00AB25DA">
            <w:pPr>
              <w:jc w:val="center"/>
              <w:rPr>
                <w:szCs w:val="22"/>
                <w:lang w:val="sr-Latn-ME"/>
              </w:rPr>
            </w:pPr>
            <w:r w:rsidRPr="003445F5">
              <w:rPr>
                <w:szCs w:val="22"/>
                <w:lang w:val="sr-Latn-ME"/>
              </w:rPr>
              <w:t>9/31 (29,0%)</w:t>
            </w:r>
          </w:p>
        </w:tc>
        <w:tc>
          <w:tcPr>
            <w:tcW w:w="1151" w:type="pct"/>
            <w:vAlign w:val="center"/>
          </w:tcPr>
          <w:p w14:paraId="22192380" w14:textId="77777777" w:rsidR="00AB25DA" w:rsidRPr="003445F5" w:rsidRDefault="00AB25DA" w:rsidP="00AB25DA">
            <w:pPr>
              <w:jc w:val="center"/>
              <w:rPr>
                <w:szCs w:val="22"/>
                <w:lang w:val="sr-Latn-ME"/>
              </w:rPr>
            </w:pPr>
            <w:r w:rsidRPr="003445F5">
              <w:rPr>
                <w:szCs w:val="22"/>
                <w:lang w:val="sr-Latn-ME"/>
              </w:rPr>
              <w:t>14/31 (45.2%)</w:t>
            </w:r>
          </w:p>
        </w:tc>
      </w:tr>
      <w:tr w:rsidR="00AB25DA" w:rsidRPr="003445F5" w14:paraId="62CC700D" w14:textId="77777777" w:rsidTr="00704956">
        <w:trPr>
          <w:trHeight w:val="20"/>
        </w:trPr>
        <w:tc>
          <w:tcPr>
            <w:tcW w:w="2670" w:type="pct"/>
            <w:vAlign w:val="center"/>
          </w:tcPr>
          <w:p w14:paraId="249DAB07" w14:textId="006E9D3E" w:rsidR="00AB25DA" w:rsidRPr="003445F5" w:rsidRDefault="00AB25DA" w:rsidP="00AB25DA">
            <w:pPr>
              <w:jc w:val="left"/>
              <w:rPr>
                <w:szCs w:val="22"/>
                <w:lang w:val="sr-Latn-ME"/>
              </w:rPr>
            </w:pPr>
            <w:r w:rsidRPr="003445F5">
              <w:rPr>
                <w:szCs w:val="22"/>
                <w:lang w:val="sr-Latn-ME"/>
              </w:rPr>
              <w:t xml:space="preserve">Klinički odgovor prema PMS kod bolesnika sa odgovorom u 8. </w:t>
            </w:r>
            <w:r w:rsidR="00551F1D" w:rsidRPr="003445F5">
              <w:rPr>
                <w:szCs w:val="22"/>
                <w:lang w:val="sr-Latn-ME"/>
              </w:rPr>
              <w:t>nedjelj</w:t>
            </w:r>
            <w:r w:rsidR="00704AF5" w:rsidRPr="003445F5">
              <w:rPr>
                <w:szCs w:val="22"/>
                <w:lang w:val="sr-Latn-ME"/>
              </w:rPr>
              <w:t>i</w:t>
            </w:r>
          </w:p>
        </w:tc>
        <w:tc>
          <w:tcPr>
            <w:tcW w:w="1179" w:type="pct"/>
            <w:vAlign w:val="center"/>
          </w:tcPr>
          <w:p w14:paraId="4FB6E503" w14:textId="77777777" w:rsidR="00AB25DA" w:rsidRPr="003445F5" w:rsidRDefault="00AB25DA" w:rsidP="00AB25DA">
            <w:pPr>
              <w:jc w:val="center"/>
              <w:rPr>
                <w:szCs w:val="22"/>
                <w:lang w:val="sr-Latn-ME"/>
              </w:rPr>
            </w:pPr>
            <w:r w:rsidRPr="003445F5">
              <w:rPr>
                <w:szCs w:val="22"/>
                <w:lang w:val="sr-Latn-ME"/>
              </w:rPr>
              <w:t>19/31 (61,3%)</w:t>
            </w:r>
          </w:p>
        </w:tc>
        <w:tc>
          <w:tcPr>
            <w:tcW w:w="1151" w:type="pct"/>
            <w:vAlign w:val="center"/>
          </w:tcPr>
          <w:p w14:paraId="367C8A25" w14:textId="77777777" w:rsidR="00AB25DA" w:rsidRPr="003445F5" w:rsidRDefault="00AB25DA" w:rsidP="00AB25DA">
            <w:pPr>
              <w:jc w:val="center"/>
              <w:rPr>
                <w:szCs w:val="22"/>
                <w:lang w:val="sr-Latn-ME"/>
              </w:rPr>
            </w:pPr>
            <w:r w:rsidRPr="003445F5">
              <w:rPr>
                <w:szCs w:val="22"/>
                <w:lang w:val="sr-Latn-ME"/>
              </w:rPr>
              <w:t>21/31 (67,7%)</w:t>
            </w:r>
          </w:p>
        </w:tc>
      </w:tr>
      <w:tr w:rsidR="00AB25DA" w:rsidRPr="003445F5" w14:paraId="59F7EC17" w14:textId="77777777" w:rsidTr="00704956">
        <w:trPr>
          <w:trHeight w:val="20"/>
        </w:trPr>
        <w:tc>
          <w:tcPr>
            <w:tcW w:w="2670" w:type="pct"/>
            <w:vAlign w:val="center"/>
          </w:tcPr>
          <w:p w14:paraId="57F38EEB" w14:textId="2E92FA1D" w:rsidR="00AB25DA" w:rsidRPr="003445F5" w:rsidRDefault="00AB25DA" w:rsidP="00AB25DA">
            <w:pPr>
              <w:jc w:val="left"/>
              <w:rPr>
                <w:szCs w:val="22"/>
                <w:lang w:val="sr-Latn-ME"/>
              </w:rPr>
            </w:pPr>
            <w:r w:rsidRPr="003445F5">
              <w:rPr>
                <w:szCs w:val="22"/>
                <w:lang w:val="sr-Latn-ME"/>
              </w:rPr>
              <w:t xml:space="preserve">Zaliječenje mukoze kod bolesnika sa odgovorom u 8. </w:t>
            </w:r>
            <w:r w:rsidR="00551F1D" w:rsidRPr="003445F5">
              <w:rPr>
                <w:szCs w:val="22"/>
                <w:lang w:val="sr-Latn-ME"/>
              </w:rPr>
              <w:t>nedjelj</w:t>
            </w:r>
            <w:r w:rsidR="00704AF5" w:rsidRPr="003445F5">
              <w:rPr>
                <w:szCs w:val="22"/>
                <w:lang w:val="sr-Latn-ME"/>
              </w:rPr>
              <w:t>i</w:t>
            </w:r>
            <w:r w:rsidRPr="003445F5">
              <w:rPr>
                <w:szCs w:val="22"/>
                <w:lang w:val="sr-Latn-ME"/>
              </w:rPr>
              <w:t xml:space="preserve"> prema PMS</w:t>
            </w:r>
          </w:p>
        </w:tc>
        <w:tc>
          <w:tcPr>
            <w:tcW w:w="1179" w:type="pct"/>
            <w:vAlign w:val="center"/>
          </w:tcPr>
          <w:p w14:paraId="35BEB24D" w14:textId="77777777" w:rsidR="00AB25DA" w:rsidRPr="003445F5" w:rsidRDefault="00AB25DA" w:rsidP="00AB25DA">
            <w:pPr>
              <w:jc w:val="center"/>
              <w:rPr>
                <w:szCs w:val="22"/>
                <w:lang w:val="sr-Latn-ME"/>
              </w:rPr>
            </w:pPr>
            <w:r w:rsidRPr="003445F5">
              <w:rPr>
                <w:szCs w:val="22"/>
                <w:lang w:val="sr-Latn-ME"/>
              </w:rPr>
              <w:t>12/31 (38,7%)</w:t>
            </w:r>
          </w:p>
        </w:tc>
        <w:tc>
          <w:tcPr>
            <w:tcW w:w="1151" w:type="pct"/>
            <w:vAlign w:val="center"/>
          </w:tcPr>
          <w:p w14:paraId="6FCB0125" w14:textId="77777777" w:rsidR="00AB25DA" w:rsidRPr="003445F5" w:rsidRDefault="00AB25DA" w:rsidP="00AB25DA">
            <w:pPr>
              <w:jc w:val="center"/>
              <w:rPr>
                <w:szCs w:val="22"/>
                <w:lang w:val="sr-Latn-ME"/>
              </w:rPr>
            </w:pPr>
            <w:r w:rsidRPr="003445F5">
              <w:rPr>
                <w:szCs w:val="22"/>
                <w:lang w:val="sr-Latn-ME"/>
              </w:rPr>
              <w:t>16/31 (51,6%)</w:t>
            </w:r>
          </w:p>
        </w:tc>
      </w:tr>
      <w:tr w:rsidR="00AB25DA" w:rsidRPr="003445F5" w14:paraId="65A6A394" w14:textId="77777777" w:rsidTr="00704956">
        <w:trPr>
          <w:trHeight w:val="20"/>
        </w:trPr>
        <w:tc>
          <w:tcPr>
            <w:tcW w:w="2670" w:type="pct"/>
            <w:vAlign w:val="center"/>
          </w:tcPr>
          <w:p w14:paraId="17290DBE" w14:textId="5791F2EA" w:rsidR="00AB25DA" w:rsidRPr="003445F5" w:rsidRDefault="00AB25DA" w:rsidP="00AB25DA">
            <w:pPr>
              <w:jc w:val="left"/>
              <w:rPr>
                <w:szCs w:val="22"/>
                <w:lang w:val="sr-Latn-ME"/>
              </w:rPr>
            </w:pPr>
            <w:r w:rsidRPr="003445F5">
              <w:rPr>
                <w:szCs w:val="22"/>
                <w:lang w:val="sr-Latn-ME"/>
              </w:rPr>
              <w:t xml:space="preserve">Klinička remisija kod bolesnika u remisiji u 8. </w:t>
            </w:r>
            <w:r w:rsidR="00551F1D" w:rsidRPr="003445F5">
              <w:rPr>
                <w:szCs w:val="22"/>
                <w:lang w:val="sr-Latn-ME"/>
              </w:rPr>
              <w:t>nedjelj</w:t>
            </w:r>
            <w:r w:rsidR="00704AF5" w:rsidRPr="003445F5">
              <w:rPr>
                <w:szCs w:val="22"/>
                <w:lang w:val="sr-Latn-ME"/>
              </w:rPr>
              <w:t>i</w:t>
            </w:r>
            <w:r w:rsidRPr="003445F5">
              <w:rPr>
                <w:szCs w:val="22"/>
                <w:lang w:val="sr-Latn-ME"/>
              </w:rPr>
              <w:t xml:space="preserve"> prema PMS </w:t>
            </w:r>
          </w:p>
        </w:tc>
        <w:tc>
          <w:tcPr>
            <w:tcW w:w="1179" w:type="pct"/>
            <w:vAlign w:val="center"/>
          </w:tcPr>
          <w:p w14:paraId="1D00EE45" w14:textId="77777777" w:rsidR="00AB25DA" w:rsidRPr="003445F5" w:rsidRDefault="00AB25DA" w:rsidP="00AB25DA">
            <w:pPr>
              <w:jc w:val="center"/>
              <w:rPr>
                <w:szCs w:val="22"/>
                <w:lang w:val="sr-Latn-ME"/>
              </w:rPr>
            </w:pPr>
            <w:r w:rsidRPr="003445F5">
              <w:rPr>
                <w:szCs w:val="22"/>
                <w:lang w:val="sr-Latn-ME"/>
              </w:rPr>
              <w:t>9/21 (42,9%)</w:t>
            </w:r>
          </w:p>
        </w:tc>
        <w:tc>
          <w:tcPr>
            <w:tcW w:w="1151" w:type="pct"/>
            <w:vAlign w:val="center"/>
          </w:tcPr>
          <w:p w14:paraId="47C1820A" w14:textId="77777777" w:rsidR="00AB25DA" w:rsidRPr="003445F5" w:rsidRDefault="00AB25DA" w:rsidP="00AB25DA">
            <w:pPr>
              <w:jc w:val="center"/>
              <w:rPr>
                <w:szCs w:val="22"/>
                <w:lang w:val="sr-Latn-ME"/>
              </w:rPr>
            </w:pPr>
            <w:r w:rsidRPr="003445F5">
              <w:rPr>
                <w:szCs w:val="22"/>
                <w:lang w:val="sr-Latn-ME"/>
              </w:rPr>
              <w:t>10/22 (45,5%)</w:t>
            </w:r>
          </w:p>
        </w:tc>
      </w:tr>
      <w:tr w:rsidR="00AB25DA" w:rsidRPr="003445F5" w14:paraId="375D43D1" w14:textId="77777777" w:rsidTr="00704956">
        <w:trPr>
          <w:trHeight w:val="20"/>
        </w:trPr>
        <w:tc>
          <w:tcPr>
            <w:tcW w:w="2670" w:type="pct"/>
            <w:vAlign w:val="center"/>
          </w:tcPr>
          <w:p w14:paraId="44DE5ED3" w14:textId="1520F22F" w:rsidR="00AB25DA" w:rsidRPr="003445F5" w:rsidRDefault="00AB25DA" w:rsidP="00AB25DA">
            <w:pPr>
              <w:jc w:val="left"/>
              <w:rPr>
                <w:szCs w:val="22"/>
                <w:lang w:val="sr-Latn-ME"/>
              </w:rPr>
            </w:pPr>
            <w:r w:rsidRPr="003445F5">
              <w:rPr>
                <w:szCs w:val="22"/>
                <w:lang w:val="sr-Latn-ME"/>
              </w:rPr>
              <w:t xml:space="preserve">Remisija bez kortikosteroida kod bolesnika sa odgovorom u 8. </w:t>
            </w:r>
            <w:r w:rsidR="00551F1D" w:rsidRPr="003445F5">
              <w:rPr>
                <w:szCs w:val="22"/>
                <w:lang w:val="sr-Latn-ME"/>
              </w:rPr>
              <w:t>nedjelj</w:t>
            </w:r>
            <w:r w:rsidR="00704AF5" w:rsidRPr="003445F5">
              <w:rPr>
                <w:szCs w:val="22"/>
                <w:lang w:val="sr-Latn-ME"/>
              </w:rPr>
              <w:t>i</w:t>
            </w:r>
            <w:r w:rsidRPr="003445F5">
              <w:rPr>
                <w:szCs w:val="22"/>
                <w:lang w:val="sr-Latn-ME"/>
              </w:rPr>
              <w:t xml:space="preserve"> prema PMS</w:t>
            </w:r>
            <w:r w:rsidRPr="003445F5">
              <w:rPr>
                <w:szCs w:val="22"/>
                <w:vertAlign w:val="superscript"/>
                <w:lang w:val="sr-Latn-ME"/>
              </w:rPr>
              <w:t>x</w:t>
            </w:r>
          </w:p>
        </w:tc>
        <w:tc>
          <w:tcPr>
            <w:tcW w:w="1179" w:type="pct"/>
            <w:vAlign w:val="center"/>
          </w:tcPr>
          <w:p w14:paraId="21E89A5F" w14:textId="77777777" w:rsidR="00AB25DA" w:rsidRPr="003445F5" w:rsidRDefault="00AB25DA" w:rsidP="00AB25DA">
            <w:pPr>
              <w:jc w:val="center"/>
              <w:rPr>
                <w:szCs w:val="22"/>
                <w:lang w:val="sr-Latn-ME"/>
              </w:rPr>
            </w:pPr>
            <w:r w:rsidRPr="003445F5">
              <w:rPr>
                <w:szCs w:val="22"/>
                <w:lang w:val="sr-Latn-ME"/>
              </w:rPr>
              <w:t>4/13 (30,8%)</w:t>
            </w:r>
          </w:p>
        </w:tc>
        <w:tc>
          <w:tcPr>
            <w:tcW w:w="1151" w:type="pct"/>
            <w:vAlign w:val="center"/>
          </w:tcPr>
          <w:p w14:paraId="7377008E" w14:textId="77777777" w:rsidR="00AB25DA" w:rsidRPr="003445F5" w:rsidRDefault="00AB25DA" w:rsidP="00AB25DA">
            <w:pPr>
              <w:jc w:val="center"/>
              <w:rPr>
                <w:szCs w:val="22"/>
                <w:lang w:val="sr-Latn-ME"/>
              </w:rPr>
            </w:pPr>
            <w:r w:rsidRPr="003445F5">
              <w:rPr>
                <w:szCs w:val="22"/>
                <w:lang w:val="sr-Latn-ME"/>
              </w:rPr>
              <w:t>5/16 (31,3%)</w:t>
            </w:r>
          </w:p>
        </w:tc>
      </w:tr>
    </w:tbl>
    <w:p w14:paraId="7CB31352" w14:textId="2BF7B7E9" w:rsidR="00557275" w:rsidRPr="003445F5" w:rsidRDefault="00557275" w:rsidP="00557275">
      <w:pPr>
        <w:rPr>
          <w:szCs w:val="22"/>
          <w:lang w:val="sr-Latn-ME"/>
        </w:rPr>
      </w:pPr>
      <w:r w:rsidRPr="003445F5">
        <w:rPr>
          <w:szCs w:val="22"/>
          <w:vertAlign w:val="superscript"/>
          <w:lang w:val="sr-Latn-ME"/>
        </w:rPr>
        <w:t xml:space="preserve">a </w:t>
      </w:r>
      <w:r w:rsidRPr="003445F5">
        <w:rPr>
          <w:szCs w:val="22"/>
          <w:lang w:val="sr-Latn-ME"/>
        </w:rPr>
        <w:t xml:space="preserve">Adalimumab 0,6 mg/kg (maksimalno 40 mg) svake druge </w:t>
      </w:r>
      <w:r w:rsidR="00551F1D" w:rsidRPr="003445F5">
        <w:rPr>
          <w:szCs w:val="22"/>
          <w:lang w:val="sr-Latn-ME"/>
        </w:rPr>
        <w:t>nedjelj</w:t>
      </w:r>
      <w:r w:rsidR="0047711E" w:rsidRPr="003445F5">
        <w:rPr>
          <w:szCs w:val="22"/>
          <w:lang w:val="sr-Latn-ME"/>
        </w:rPr>
        <w:t>e</w:t>
      </w:r>
    </w:p>
    <w:p w14:paraId="7CF92FCA" w14:textId="59574062" w:rsidR="00557275" w:rsidRPr="003445F5" w:rsidRDefault="00557275" w:rsidP="00557275">
      <w:pPr>
        <w:rPr>
          <w:szCs w:val="22"/>
          <w:lang w:val="sr-Latn-ME"/>
        </w:rPr>
      </w:pPr>
      <w:r w:rsidRPr="003445F5">
        <w:rPr>
          <w:szCs w:val="22"/>
          <w:vertAlign w:val="superscript"/>
          <w:lang w:val="sr-Latn-ME"/>
        </w:rPr>
        <w:t xml:space="preserve">b </w:t>
      </w:r>
      <w:r w:rsidRPr="003445F5">
        <w:rPr>
          <w:szCs w:val="22"/>
          <w:lang w:val="sr-Latn-ME"/>
        </w:rPr>
        <w:t xml:space="preserve">Adalimumab 0,6 mg/kg (maksimalno 40 mg) svake </w:t>
      </w:r>
      <w:r w:rsidR="00551F1D" w:rsidRPr="003445F5">
        <w:rPr>
          <w:szCs w:val="22"/>
          <w:lang w:val="sr-Latn-ME"/>
        </w:rPr>
        <w:t>nedjelj</w:t>
      </w:r>
      <w:r w:rsidR="0047711E" w:rsidRPr="003445F5">
        <w:rPr>
          <w:szCs w:val="22"/>
          <w:lang w:val="sr-Latn-ME"/>
        </w:rPr>
        <w:t>e</w:t>
      </w:r>
    </w:p>
    <w:p w14:paraId="7EAB5416" w14:textId="77777777" w:rsidR="00557275" w:rsidRPr="003445F5" w:rsidRDefault="00557275" w:rsidP="00557275">
      <w:pPr>
        <w:rPr>
          <w:szCs w:val="22"/>
          <w:lang w:val="sr-Latn-ME"/>
        </w:rPr>
      </w:pPr>
      <w:r w:rsidRPr="003445F5">
        <w:rPr>
          <w:szCs w:val="22"/>
          <w:vertAlign w:val="superscript"/>
          <w:lang w:val="sr-Latn-ME"/>
        </w:rPr>
        <w:t xml:space="preserve">c </w:t>
      </w:r>
      <w:r w:rsidRPr="003445F5">
        <w:rPr>
          <w:szCs w:val="22"/>
          <w:lang w:val="sr-Latn-ME"/>
        </w:rPr>
        <w:t>Kod pacijenata koji su istovremeno primali kortikosteroide na početku</w:t>
      </w:r>
    </w:p>
    <w:p w14:paraId="0DC5CC00" w14:textId="5A04E7EB" w:rsidR="00557275" w:rsidRPr="003445F5" w:rsidRDefault="00557275" w:rsidP="00557275">
      <w:pPr>
        <w:rPr>
          <w:szCs w:val="22"/>
          <w:lang w:val="sr-Latn-ME"/>
        </w:rPr>
      </w:pPr>
      <w:r w:rsidRPr="003445F5">
        <w:rPr>
          <w:szCs w:val="22"/>
          <w:lang w:val="sr-Latn-ME"/>
        </w:rPr>
        <w:t xml:space="preserve">Napomena: Pacijenti sa </w:t>
      </w:r>
      <w:r w:rsidR="00EA35BB" w:rsidRPr="003445F5">
        <w:rPr>
          <w:szCs w:val="22"/>
          <w:lang w:val="sr-Latn-ME"/>
        </w:rPr>
        <w:t>nedostajućim</w:t>
      </w:r>
      <w:r w:rsidRPr="003445F5">
        <w:rPr>
          <w:szCs w:val="22"/>
          <w:lang w:val="sr-Latn-ME"/>
        </w:rPr>
        <w:t xml:space="preserve"> vrijednostima u 52. </w:t>
      </w:r>
      <w:r w:rsidR="00551F1D" w:rsidRPr="003445F5">
        <w:rPr>
          <w:szCs w:val="22"/>
          <w:lang w:val="sr-Latn-ME"/>
        </w:rPr>
        <w:t>nedjelj</w:t>
      </w:r>
      <w:r w:rsidR="00704AF5" w:rsidRPr="003445F5">
        <w:rPr>
          <w:szCs w:val="22"/>
          <w:lang w:val="sr-Latn-ME"/>
        </w:rPr>
        <w:t>i</w:t>
      </w:r>
      <w:r w:rsidRPr="003445F5">
        <w:rPr>
          <w:szCs w:val="22"/>
          <w:lang w:val="sr-Latn-ME"/>
        </w:rPr>
        <w:t xml:space="preserve"> ili koji su randomizovani na terapiju reindukcije ili terapiju održavanja smatrani su onima koji nisu dostigli odgovor u 52. </w:t>
      </w:r>
      <w:r w:rsidR="00551F1D" w:rsidRPr="003445F5">
        <w:rPr>
          <w:szCs w:val="22"/>
          <w:lang w:val="sr-Latn-ME"/>
        </w:rPr>
        <w:t>nedjelj</w:t>
      </w:r>
      <w:r w:rsidR="00704AF5" w:rsidRPr="003445F5">
        <w:rPr>
          <w:szCs w:val="22"/>
          <w:lang w:val="sr-Latn-ME"/>
        </w:rPr>
        <w:t>i</w:t>
      </w:r>
    </w:p>
    <w:p w14:paraId="782FE726" w14:textId="77777777" w:rsidR="00557275" w:rsidRPr="003445F5" w:rsidRDefault="00557275" w:rsidP="00557275">
      <w:pPr>
        <w:rPr>
          <w:szCs w:val="22"/>
          <w:lang w:val="sr-Latn-ME"/>
        </w:rPr>
      </w:pPr>
    </w:p>
    <w:p w14:paraId="60C3A420" w14:textId="09421B76" w:rsidR="00557275" w:rsidRPr="003445F5" w:rsidRDefault="00557275" w:rsidP="00557275">
      <w:pPr>
        <w:rPr>
          <w:szCs w:val="22"/>
          <w:lang w:val="sr-Latn-ME"/>
        </w:rPr>
      </w:pPr>
      <w:r w:rsidRPr="003445F5">
        <w:rPr>
          <w:szCs w:val="22"/>
          <w:lang w:val="sr-Latn-ME"/>
        </w:rPr>
        <w:t xml:space="preserve">Dodatne istraživačke mjere efikasnosti uključivale su klinički odgovor prema indeksu aktivnosti pedijatrijskog ulceroznog kolitisa (engl. </w:t>
      </w:r>
      <w:r w:rsidRPr="003445F5">
        <w:rPr>
          <w:i/>
          <w:iCs/>
          <w:szCs w:val="22"/>
          <w:lang w:val="sr-Latn-ME"/>
        </w:rPr>
        <w:t>Paediatric Ulcerative Colitis Activity Index</w:t>
      </w:r>
      <w:r w:rsidRPr="003445F5">
        <w:rPr>
          <w:szCs w:val="22"/>
          <w:lang w:val="sr-Latn-ME"/>
        </w:rPr>
        <w:t xml:space="preserve"> - PUCAI) (definisan kao smanjenje rezultata PUCAI ≥ 20 poena u odnosu na početne vrijednosti) i kliničku remisiju prema PUCAI (definisana kao PUCAI &lt; 10) u 8. i 52. </w:t>
      </w:r>
      <w:r w:rsidR="00551F1D" w:rsidRPr="003445F5">
        <w:rPr>
          <w:szCs w:val="22"/>
          <w:lang w:val="sr-Latn-ME"/>
        </w:rPr>
        <w:t>nedjelj</w:t>
      </w:r>
      <w:r w:rsidR="00704AF5" w:rsidRPr="003445F5">
        <w:rPr>
          <w:szCs w:val="22"/>
          <w:lang w:val="sr-Latn-ME"/>
        </w:rPr>
        <w:t>i</w:t>
      </w:r>
      <w:r w:rsidRPr="003445F5">
        <w:rPr>
          <w:szCs w:val="22"/>
          <w:lang w:val="sr-Latn-ME"/>
        </w:rPr>
        <w:t xml:space="preserve"> (Tabela 23).</w:t>
      </w:r>
    </w:p>
    <w:p w14:paraId="6F3D8BCE" w14:textId="77777777" w:rsidR="008C3ABE" w:rsidRPr="003445F5" w:rsidRDefault="008C3ABE" w:rsidP="00524FDF">
      <w:pPr>
        <w:rPr>
          <w:szCs w:val="22"/>
          <w:lang w:val="sr-Latn-ME"/>
        </w:rPr>
      </w:pPr>
    </w:p>
    <w:p w14:paraId="27295247" w14:textId="164283A7" w:rsidR="008C3ABE" w:rsidRPr="003445F5" w:rsidRDefault="008C3ABE" w:rsidP="00524FDF">
      <w:pPr>
        <w:rPr>
          <w:b/>
          <w:bCs/>
          <w:szCs w:val="22"/>
          <w:lang w:val="sr-Latn-ME"/>
        </w:rPr>
      </w:pPr>
      <w:r w:rsidRPr="003445F5">
        <w:rPr>
          <w:b/>
          <w:bCs/>
          <w:szCs w:val="22"/>
          <w:lang w:val="sr-Latn-ME"/>
        </w:rPr>
        <w:t xml:space="preserve">Tabela </w:t>
      </w:r>
      <w:r w:rsidR="00825770" w:rsidRPr="003445F5">
        <w:rPr>
          <w:b/>
          <w:bCs/>
          <w:szCs w:val="22"/>
          <w:lang w:val="sr-Latn-ME"/>
        </w:rPr>
        <w:t>2</w:t>
      </w:r>
      <w:r w:rsidRPr="003445F5">
        <w:rPr>
          <w:b/>
          <w:bCs/>
          <w:szCs w:val="22"/>
          <w:lang w:val="sr-Latn-ME"/>
        </w:rPr>
        <w:t>3: Rezultati istraživačkih m</w:t>
      </w:r>
      <w:r w:rsidR="001060A5" w:rsidRPr="003445F5">
        <w:rPr>
          <w:b/>
          <w:bCs/>
          <w:szCs w:val="22"/>
          <w:lang w:val="sr-Latn-ME"/>
        </w:rPr>
        <w:t>j</w:t>
      </w:r>
      <w:r w:rsidRPr="003445F5">
        <w:rPr>
          <w:b/>
          <w:bCs/>
          <w:szCs w:val="22"/>
          <w:lang w:val="sr-Latn-ME"/>
        </w:rPr>
        <w:t>era ishoda prema PUCAI</w:t>
      </w:r>
    </w:p>
    <w:p w14:paraId="77462BC1" w14:textId="77777777" w:rsidR="008C3ABE" w:rsidRPr="003445F5" w:rsidRDefault="008C3ABE" w:rsidP="00524FDF">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114"/>
        <w:gridCol w:w="2900"/>
        <w:gridCol w:w="3003"/>
      </w:tblGrid>
      <w:tr w:rsidR="00D67B4C" w:rsidRPr="003445F5" w14:paraId="47AAED34" w14:textId="77777777" w:rsidTr="00EE40DA">
        <w:trPr>
          <w:trHeight w:val="20"/>
        </w:trPr>
        <w:tc>
          <w:tcPr>
            <w:tcW w:w="1727" w:type="pct"/>
            <w:vMerge w:val="restart"/>
            <w:vAlign w:val="center"/>
          </w:tcPr>
          <w:p w14:paraId="5A44EF10" w14:textId="77777777" w:rsidR="00D67B4C" w:rsidRPr="003445F5" w:rsidRDefault="00D67B4C" w:rsidP="00704956">
            <w:pPr>
              <w:jc w:val="center"/>
              <w:rPr>
                <w:szCs w:val="22"/>
                <w:lang w:val="sr-Latn-ME"/>
              </w:rPr>
            </w:pPr>
          </w:p>
        </w:tc>
        <w:tc>
          <w:tcPr>
            <w:tcW w:w="3273" w:type="pct"/>
            <w:gridSpan w:val="2"/>
            <w:vAlign w:val="center"/>
          </w:tcPr>
          <w:p w14:paraId="21940C5C" w14:textId="3083ECCA" w:rsidR="00D67B4C" w:rsidRPr="003445F5" w:rsidRDefault="00D67B4C" w:rsidP="00704956">
            <w:pPr>
              <w:jc w:val="center"/>
              <w:rPr>
                <w:b/>
                <w:bCs/>
                <w:szCs w:val="22"/>
                <w:lang w:val="sr-Latn-ME"/>
              </w:rPr>
            </w:pPr>
            <w:r w:rsidRPr="003445F5">
              <w:rPr>
                <w:b/>
                <w:bCs/>
                <w:szCs w:val="22"/>
                <w:lang w:val="sr-Latn-ME"/>
              </w:rPr>
              <w:t>8. ned</w:t>
            </w:r>
            <w:r w:rsidR="00EA35BB" w:rsidRPr="003445F5">
              <w:rPr>
                <w:b/>
                <w:bCs/>
                <w:szCs w:val="22"/>
                <w:lang w:val="sr-Latn-ME"/>
              </w:rPr>
              <w:t>j</w:t>
            </w:r>
            <w:r w:rsidRPr="003445F5">
              <w:rPr>
                <w:b/>
                <w:bCs/>
                <w:szCs w:val="22"/>
                <w:lang w:val="sr-Latn-ME"/>
              </w:rPr>
              <w:t>elja</w:t>
            </w:r>
          </w:p>
        </w:tc>
      </w:tr>
      <w:tr w:rsidR="00D67B4C" w:rsidRPr="003445F5" w14:paraId="33CC8049" w14:textId="77777777" w:rsidTr="00EE40DA">
        <w:trPr>
          <w:trHeight w:val="20"/>
        </w:trPr>
        <w:tc>
          <w:tcPr>
            <w:tcW w:w="1727" w:type="pct"/>
            <w:vMerge/>
            <w:vAlign w:val="center"/>
          </w:tcPr>
          <w:p w14:paraId="035ABE2F" w14:textId="77777777" w:rsidR="00D67B4C" w:rsidRPr="003445F5" w:rsidRDefault="00D67B4C" w:rsidP="00704956">
            <w:pPr>
              <w:jc w:val="center"/>
              <w:rPr>
                <w:szCs w:val="22"/>
                <w:lang w:val="sr-Latn-ME"/>
              </w:rPr>
            </w:pPr>
          </w:p>
        </w:tc>
        <w:tc>
          <w:tcPr>
            <w:tcW w:w="1608" w:type="pct"/>
            <w:vAlign w:val="center"/>
          </w:tcPr>
          <w:p w14:paraId="4B3EBFD4" w14:textId="77777777" w:rsidR="00D67B4C" w:rsidRPr="003445F5" w:rsidRDefault="00D67B4C" w:rsidP="00704956">
            <w:pPr>
              <w:jc w:val="center"/>
              <w:rPr>
                <w:b/>
                <w:bCs/>
                <w:szCs w:val="22"/>
                <w:vertAlign w:val="superscript"/>
                <w:lang w:val="sr-Latn-ME"/>
              </w:rPr>
            </w:pPr>
            <w:r w:rsidRPr="003445F5">
              <w:rPr>
                <w:b/>
                <w:bCs/>
                <w:szCs w:val="22"/>
                <w:lang w:val="sr-Latn-ME"/>
              </w:rPr>
              <w:t>Adalimumab</w:t>
            </w:r>
            <w:r w:rsidRPr="003445F5">
              <w:rPr>
                <w:b/>
                <w:bCs/>
                <w:szCs w:val="22"/>
                <w:vertAlign w:val="superscript"/>
                <w:lang w:val="sr-Latn-ME"/>
              </w:rPr>
              <w:t>a</w:t>
            </w:r>
          </w:p>
          <w:p w14:paraId="41520F0B" w14:textId="304665FA" w:rsidR="00D67B4C" w:rsidRPr="003445F5" w:rsidRDefault="00D67B4C" w:rsidP="00704956">
            <w:pPr>
              <w:jc w:val="center"/>
              <w:rPr>
                <w:b/>
                <w:bCs/>
                <w:szCs w:val="22"/>
                <w:lang w:val="sr-Latn-ME"/>
              </w:rPr>
            </w:pPr>
            <w:r w:rsidRPr="003445F5">
              <w:rPr>
                <w:b/>
                <w:bCs/>
                <w:szCs w:val="22"/>
                <w:lang w:val="sr-Latn-ME"/>
              </w:rPr>
              <w:t xml:space="preserve">Maksimalno 160 mg u početnoj </w:t>
            </w:r>
            <w:r w:rsidR="00551F1D" w:rsidRPr="003445F5">
              <w:rPr>
                <w:b/>
                <w:bCs/>
                <w:szCs w:val="22"/>
                <w:lang w:val="sr-Latn-ME"/>
              </w:rPr>
              <w:t>nedjelj</w:t>
            </w:r>
            <w:r w:rsidR="00704AF5" w:rsidRPr="003445F5">
              <w:rPr>
                <w:b/>
                <w:bCs/>
                <w:szCs w:val="22"/>
                <w:lang w:val="sr-Latn-ME"/>
              </w:rPr>
              <w:t>i</w:t>
            </w:r>
            <w:r w:rsidRPr="003445F5">
              <w:rPr>
                <w:b/>
                <w:bCs/>
                <w:szCs w:val="22"/>
                <w:lang w:val="sr-Latn-ME"/>
              </w:rPr>
              <w:t xml:space="preserve"> (označena kao nulta ned</w:t>
            </w:r>
            <w:r w:rsidR="00EA35BB" w:rsidRPr="003445F5">
              <w:rPr>
                <w:b/>
                <w:bCs/>
                <w:szCs w:val="22"/>
                <w:lang w:val="sr-Latn-ME"/>
              </w:rPr>
              <w:t>j</w:t>
            </w:r>
            <w:r w:rsidRPr="003445F5">
              <w:rPr>
                <w:b/>
                <w:bCs/>
                <w:szCs w:val="22"/>
                <w:lang w:val="sr-Latn-ME"/>
              </w:rPr>
              <w:t xml:space="preserve">elja, </w:t>
            </w:r>
            <w:r w:rsidRPr="003445F5">
              <w:rPr>
                <w:b/>
                <w:bCs/>
                <w:i/>
                <w:iCs/>
                <w:szCs w:val="22"/>
                <w:lang w:val="sr-Latn-ME"/>
              </w:rPr>
              <w:t>Week 0</w:t>
            </w:r>
            <w:r w:rsidRPr="003445F5">
              <w:rPr>
                <w:b/>
                <w:bCs/>
                <w:szCs w:val="22"/>
                <w:lang w:val="sr-Latn-ME"/>
              </w:rPr>
              <w:t>) / placebo u 1.</w:t>
            </w:r>
            <w:r w:rsidR="00551F1D" w:rsidRPr="003445F5">
              <w:rPr>
                <w:b/>
                <w:bCs/>
                <w:szCs w:val="22"/>
                <w:lang w:val="sr-Latn-ME"/>
              </w:rPr>
              <w:t>nedjelj</w:t>
            </w:r>
            <w:r w:rsidRPr="003445F5">
              <w:rPr>
                <w:b/>
                <w:bCs/>
                <w:szCs w:val="22"/>
                <w:lang w:val="sr-Latn-ME"/>
              </w:rPr>
              <w:t>i</w:t>
            </w:r>
          </w:p>
          <w:p w14:paraId="0417E979" w14:textId="77777777" w:rsidR="00D67B4C" w:rsidRPr="003445F5" w:rsidRDefault="00D67B4C" w:rsidP="00704956">
            <w:pPr>
              <w:jc w:val="center"/>
              <w:rPr>
                <w:szCs w:val="22"/>
                <w:lang w:val="sr-Latn-ME"/>
              </w:rPr>
            </w:pPr>
            <w:r w:rsidRPr="003445F5">
              <w:rPr>
                <w:szCs w:val="22"/>
                <w:lang w:val="sr-Latn-ME"/>
              </w:rPr>
              <w:t>N=30</w:t>
            </w:r>
          </w:p>
        </w:tc>
        <w:tc>
          <w:tcPr>
            <w:tcW w:w="1665" w:type="pct"/>
            <w:vAlign w:val="center"/>
          </w:tcPr>
          <w:p w14:paraId="24647D95" w14:textId="77777777" w:rsidR="00D67B4C" w:rsidRPr="003445F5" w:rsidRDefault="00D67B4C" w:rsidP="00704956">
            <w:pPr>
              <w:jc w:val="center"/>
              <w:rPr>
                <w:b/>
                <w:bCs/>
                <w:szCs w:val="22"/>
                <w:vertAlign w:val="superscript"/>
                <w:lang w:val="sr-Latn-ME"/>
              </w:rPr>
            </w:pPr>
            <w:r w:rsidRPr="003445F5">
              <w:rPr>
                <w:b/>
                <w:bCs/>
                <w:szCs w:val="22"/>
                <w:lang w:val="sr-Latn-ME"/>
              </w:rPr>
              <w:t>Adalimumab</w:t>
            </w:r>
            <w:r w:rsidRPr="003445F5">
              <w:rPr>
                <w:b/>
                <w:bCs/>
                <w:szCs w:val="22"/>
                <w:vertAlign w:val="superscript"/>
                <w:lang w:val="sr-Latn-ME"/>
              </w:rPr>
              <w:t>b,c</w:t>
            </w:r>
          </w:p>
          <w:p w14:paraId="3E328091" w14:textId="2DEFEFE8" w:rsidR="00D67B4C" w:rsidRPr="003445F5" w:rsidRDefault="00D67B4C" w:rsidP="00704956">
            <w:pPr>
              <w:jc w:val="center"/>
              <w:rPr>
                <w:b/>
                <w:bCs/>
                <w:szCs w:val="22"/>
                <w:lang w:val="sr-Latn-ME"/>
              </w:rPr>
            </w:pPr>
            <w:r w:rsidRPr="003445F5">
              <w:rPr>
                <w:b/>
                <w:bCs/>
                <w:szCs w:val="22"/>
                <w:lang w:val="sr-Latn-ME"/>
              </w:rPr>
              <w:t xml:space="preserve">Maksimalno 160 mg u početnoj </w:t>
            </w:r>
            <w:r w:rsidR="00551F1D" w:rsidRPr="003445F5">
              <w:rPr>
                <w:b/>
                <w:bCs/>
                <w:szCs w:val="22"/>
                <w:lang w:val="sr-Latn-ME"/>
              </w:rPr>
              <w:t>nedjelj</w:t>
            </w:r>
            <w:r w:rsidR="00704AF5" w:rsidRPr="003445F5">
              <w:rPr>
                <w:b/>
                <w:bCs/>
                <w:szCs w:val="22"/>
                <w:lang w:val="sr-Latn-ME"/>
              </w:rPr>
              <w:t>i</w:t>
            </w:r>
            <w:r w:rsidRPr="003445F5">
              <w:rPr>
                <w:b/>
                <w:bCs/>
                <w:szCs w:val="22"/>
                <w:lang w:val="sr-Latn-ME"/>
              </w:rPr>
              <w:t xml:space="preserve"> (označena kao nulta ned</w:t>
            </w:r>
            <w:r w:rsidR="00EA35BB" w:rsidRPr="003445F5">
              <w:rPr>
                <w:b/>
                <w:bCs/>
                <w:szCs w:val="22"/>
                <w:lang w:val="sr-Latn-ME"/>
              </w:rPr>
              <w:t>j</w:t>
            </w:r>
            <w:r w:rsidRPr="003445F5">
              <w:rPr>
                <w:b/>
                <w:bCs/>
                <w:szCs w:val="22"/>
                <w:lang w:val="sr-Latn-ME"/>
              </w:rPr>
              <w:t xml:space="preserve">elja, </w:t>
            </w:r>
            <w:r w:rsidRPr="003445F5">
              <w:rPr>
                <w:b/>
                <w:bCs/>
                <w:i/>
                <w:iCs/>
                <w:szCs w:val="22"/>
                <w:lang w:val="sr-Latn-ME"/>
              </w:rPr>
              <w:t>Week 0</w:t>
            </w:r>
            <w:r w:rsidRPr="003445F5">
              <w:rPr>
                <w:b/>
                <w:bCs/>
                <w:szCs w:val="22"/>
                <w:lang w:val="sr-Latn-ME"/>
              </w:rPr>
              <w:t>) i 1.</w:t>
            </w:r>
            <w:r w:rsidR="00551F1D" w:rsidRPr="003445F5">
              <w:rPr>
                <w:b/>
                <w:bCs/>
                <w:szCs w:val="22"/>
                <w:lang w:val="sr-Latn-ME"/>
              </w:rPr>
              <w:t>nedjelj</w:t>
            </w:r>
            <w:r w:rsidRPr="003445F5">
              <w:rPr>
                <w:b/>
                <w:bCs/>
                <w:szCs w:val="22"/>
                <w:lang w:val="sr-Latn-ME"/>
              </w:rPr>
              <w:t>i</w:t>
            </w:r>
          </w:p>
          <w:p w14:paraId="327B006F" w14:textId="77777777" w:rsidR="00D67B4C" w:rsidRPr="003445F5" w:rsidRDefault="00D67B4C" w:rsidP="00704956">
            <w:pPr>
              <w:jc w:val="center"/>
              <w:rPr>
                <w:szCs w:val="22"/>
                <w:lang w:val="sr-Latn-ME"/>
              </w:rPr>
            </w:pPr>
            <w:r w:rsidRPr="003445F5">
              <w:rPr>
                <w:szCs w:val="22"/>
                <w:lang w:val="sr-Latn-ME"/>
              </w:rPr>
              <w:t>N=47</w:t>
            </w:r>
          </w:p>
        </w:tc>
      </w:tr>
      <w:tr w:rsidR="00D67B4C" w:rsidRPr="003445F5" w14:paraId="4AF490D8" w14:textId="77777777" w:rsidTr="00EE40DA">
        <w:trPr>
          <w:trHeight w:val="20"/>
        </w:trPr>
        <w:tc>
          <w:tcPr>
            <w:tcW w:w="1727" w:type="pct"/>
            <w:vAlign w:val="center"/>
          </w:tcPr>
          <w:p w14:paraId="476241D1" w14:textId="77777777" w:rsidR="00D67B4C" w:rsidRPr="003445F5" w:rsidRDefault="00D67B4C" w:rsidP="00704956">
            <w:pPr>
              <w:jc w:val="left"/>
              <w:rPr>
                <w:szCs w:val="22"/>
                <w:lang w:val="sr-Latn-ME"/>
              </w:rPr>
            </w:pPr>
            <w:r w:rsidRPr="003445F5">
              <w:rPr>
                <w:szCs w:val="22"/>
                <w:lang w:val="sr-Latn-ME"/>
              </w:rPr>
              <w:t>Klinička remisija prema PUCAI</w:t>
            </w:r>
          </w:p>
        </w:tc>
        <w:tc>
          <w:tcPr>
            <w:tcW w:w="1608" w:type="pct"/>
            <w:vAlign w:val="center"/>
          </w:tcPr>
          <w:p w14:paraId="1E2FB393" w14:textId="42DB80A0" w:rsidR="00D67B4C" w:rsidRPr="003445F5" w:rsidRDefault="00D67B4C" w:rsidP="00EE40DA">
            <w:pPr>
              <w:jc w:val="center"/>
              <w:rPr>
                <w:szCs w:val="22"/>
                <w:lang w:val="sr-Latn-ME"/>
              </w:rPr>
            </w:pPr>
            <w:r w:rsidRPr="003445F5">
              <w:rPr>
                <w:szCs w:val="22"/>
                <w:lang w:val="sr-Latn-ME"/>
              </w:rPr>
              <w:t>10/30 (33,3%)</w:t>
            </w:r>
          </w:p>
        </w:tc>
        <w:tc>
          <w:tcPr>
            <w:tcW w:w="1665" w:type="pct"/>
            <w:vAlign w:val="center"/>
          </w:tcPr>
          <w:p w14:paraId="195E1FBF" w14:textId="56139BE4" w:rsidR="00D67B4C" w:rsidRPr="003445F5" w:rsidRDefault="00D67B4C" w:rsidP="00EE40DA">
            <w:pPr>
              <w:jc w:val="center"/>
              <w:rPr>
                <w:szCs w:val="22"/>
                <w:lang w:val="sr-Latn-ME"/>
              </w:rPr>
            </w:pPr>
            <w:r w:rsidRPr="003445F5">
              <w:rPr>
                <w:szCs w:val="22"/>
                <w:lang w:val="sr-Latn-ME"/>
              </w:rPr>
              <w:t>22/47 (46,8%)</w:t>
            </w:r>
          </w:p>
        </w:tc>
      </w:tr>
      <w:tr w:rsidR="00D67B4C" w:rsidRPr="003445F5" w14:paraId="60563566" w14:textId="77777777" w:rsidTr="00EE40DA">
        <w:trPr>
          <w:trHeight w:val="20"/>
        </w:trPr>
        <w:tc>
          <w:tcPr>
            <w:tcW w:w="1727" w:type="pct"/>
            <w:vAlign w:val="center"/>
          </w:tcPr>
          <w:p w14:paraId="236579A0" w14:textId="77777777" w:rsidR="00D67B4C" w:rsidRPr="003445F5" w:rsidRDefault="00D67B4C" w:rsidP="00704956">
            <w:pPr>
              <w:jc w:val="left"/>
              <w:rPr>
                <w:szCs w:val="22"/>
                <w:lang w:val="sr-Latn-ME"/>
              </w:rPr>
            </w:pPr>
            <w:r w:rsidRPr="003445F5">
              <w:rPr>
                <w:szCs w:val="22"/>
                <w:lang w:val="sr-Latn-ME"/>
              </w:rPr>
              <w:t>Klinički odgovor prema PUCAI</w:t>
            </w:r>
          </w:p>
        </w:tc>
        <w:tc>
          <w:tcPr>
            <w:tcW w:w="1608" w:type="pct"/>
            <w:vAlign w:val="center"/>
          </w:tcPr>
          <w:p w14:paraId="06F7A9B9" w14:textId="77777777" w:rsidR="00D67B4C" w:rsidRPr="003445F5" w:rsidRDefault="00D67B4C" w:rsidP="00704956">
            <w:pPr>
              <w:jc w:val="center"/>
              <w:rPr>
                <w:szCs w:val="22"/>
                <w:lang w:val="sr-Latn-ME"/>
              </w:rPr>
            </w:pPr>
            <w:r w:rsidRPr="003445F5">
              <w:rPr>
                <w:szCs w:val="22"/>
                <w:lang w:val="sr-Latn-ME"/>
              </w:rPr>
              <w:t>15/30 (50,0%)</w:t>
            </w:r>
          </w:p>
        </w:tc>
        <w:tc>
          <w:tcPr>
            <w:tcW w:w="1665" w:type="pct"/>
            <w:vAlign w:val="center"/>
          </w:tcPr>
          <w:p w14:paraId="6636D354" w14:textId="77777777" w:rsidR="00D67B4C" w:rsidRPr="003445F5" w:rsidRDefault="00D67B4C" w:rsidP="00704956">
            <w:pPr>
              <w:jc w:val="center"/>
              <w:rPr>
                <w:szCs w:val="22"/>
                <w:lang w:val="sr-Latn-ME"/>
              </w:rPr>
            </w:pPr>
            <w:r w:rsidRPr="003445F5">
              <w:rPr>
                <w:szCs w:val="22"/>
                <w:lang w:val="sr-Latn-ME"/>
              </w:rPr>
              <w:t>32,47 (68,1%)</w:t>
            </w:r>
          </w:p>
        </w:tc>
      </w:tr>
      <w:tr w:rsidR="00D67B4C" w:rsidRPr="003445F5" w14:paraId="28A569B0" w14:textId="77777777" w:rsidTr="00EE40DA">
        <w:trPr>
          <w:trHeight w:val="20"/>
        </w:trPr>
        <w:tc>
          <w:tcPr>
            <w:tcW w:w="1727" w:type="pct"/>
            <w:vMerge w:val="restart"/>
            <w:vAlign w:val="center"/>
          </w:tcPr>
          <w:p w14:paraId="664B7BDE" w14:textId="77777777" w:rsidR="00D67B4C" w:rsidRPr="003445F5" w:rsidRDefault="00D67B4C" w:rsidP="00704956">
            <w:pPr>
              <w:jc w:val="center"/>
              <w:rPr>
                <w:szCs w:val="22"/>
                <w:lang w:val="sr-Latn-ME"/>
              </w:rPr>
            </w:pPr>
          </w:p>
        </w:tc>
        <w:tc>
          <w:tcPr>
            <w:tcW w:w="3273" w:type="pct"/>
            <w:gridSpan w:val="2"/>
            <w:vAlign w:val="center"/>
          </w:tcPr>
          <w:p w14:paraId="78DBF07A" w14:textId="3B9715AB" w:rsidR="00D67B4C" w:rsidRPr="003445F5" w:rsidRDefault="00D67B4C" w:rsidP="00704956">
            <w:pPr>
              <w:jc w:val="center"/>
              <w:rPr>
                <w:b/>
                <w:bCs/>
                <w:szCs w:val="22"/>
                <w:lang w:val="sr-Latn-ME"/>
              </w:rPr>
            </w:pPr>
            <w:r w:rsidRPr="003445F5">
              <w:rPr>
                <w:b/>
                <w:bCs/>
                <w:szCs w:val="22"/>
                <w:lang w:val="sr-Latn-ME"/>
              </w:rPr>
              <w:t>52. ned</w:t>
            </w:r>
            <w:r w:rsidR="00EA35BB" w:rsidRPr="003445F5">
              <w:rPr>
                <w:b/>
                <w:bCs/>
                <w:szCs w:val="22"/>
                <w:lang w:val="sr-Latn-ME"/>
              </w:rPr>
              <w:t>j</w:t>
            </w:r>
            <w:r w:rsidRPr="003445F5">
              <w:rPr>
                <w:b/>
                <w:bCs/>
                <w:szCs w:val="22"/>
                <w:lang w:val="sr-Latn-ME"/>
              </w:rPr>
              <w:t>elja</w:t>
            </w:r>
          </w:p>
        </w:tc>
      </w:tr>
      <w:tr w:rsidR="00D67B4C" w:rsidRPr="003445F5" w14:paraId="2F9891A7" w14:textId="77777777" w:rsidTr="00EE40DA">
        <w:trPr>
          <w:trHeight w:val="20"/>
        </w:trPr>
        <w:tc>
          <w:tcPr>
            <w:tcW w:w="1727" w:type="pct"/>
            <w:vMerge/>
            <w:vAlign w:val="center"/>
          </w:tcPr>
          <w:p w14:paraId="6CD45808" w14:textId="77777777" w:rsidR="00D67B4C" w:rsidRPr="003445F5" w:rsidRDefault="00D67B4C" w:rsidP="00704956">
            <w:pPr>
              <w:jc w:val="center"/>
              <w:rPr>
                <w:szCs w:val="22"/>
                <w:lang w:val="sr-Latn-ME"/>
              </w:rPr>
            </w:pPr>
          </w:p>
        </w:tc>
        <w:tc>
          <w:tcPr>
            <w:tcW w:w="1608" w:type="pct"/>
            <w:vAlign w:val="center"/>
          </w:tcPr>
          <w:p w14:paraId="2942159B" w14:textId="77777777" w:rsidR="00D67B4C" w:rsidRPr="003445F5" w:rsidRDefault="00D67B4C" w:rsidP="00704956">
            <w:pPr>
              <w:jc w:val="center"/>
              <w:rPr>
                <w:b/>
                <w:bCs/>
                <w:szCs w:val="22"/>
                <w:vertAlign w:val="superscript"/>
                <w:lang w:val="sr-Latn-ME"/>
              </w:rPr>
            </w:pPr>
            <w:r w:rsidRPr="003445F5">
              <w:rPr>
                <w:b/>
                <w:bCs/>
                <w:szCs w:val="22"/>
                <w:lang w:val="sr-Latn-ME"/>
              </w:rPr>
              <w:t>Adalimumab</w:t>
            </w:r>
            <w:r w:rsidRPr="003445F5">
              <w:rPr>
                <w:b/>
                <w:bCs/>
                <w:szCs w:val="22"/>
                <w:vertAlign w:val="superscript"/>
                <w:lang w:val="sr-Latn-ME"/>
              </w:rPr>
              <w:t>d</w:t>
            </w:r>
          </w:p>
          <w:p w14:paraId="6743A7F5" w14:textId="68D35D43" w:rsidR="00D67B4C" w:rsidRPr="003445F5" w:rsidRDefault="00D67B4C" w:rsidP="00704956">
            <w:pPr>
              <w:jc w:val="center"/>
              <w:rPr>
                <w:b/>
                <w:bCs/>
                <w:szCs w:val="22"/>
                <w:lang w:val="sr-Latn-ME"/>
              </w:rPr>
            </w:pPr>
            <w:r w:rsidRPr="003445F5">
              <w:rPr>
                <w:b/>
                <w:bCs/>
                <w:szCs w:val="22"/>
                <w:lang w:val="sr-Latn-ME"/>
              </w:rPr>
              <w:t xml:space="preserve">Maksimalno 40 mg svake druge </w:t>
            </w:r>
            <w:r w:rsidR="00551F1D" w:rsidRPr="003445F5">
              <w:rPr>
                <w:b/>
                <w:bCs/>
                <w:szCs w:val="22"/>
                <w:lang w:val="sr-Latn-ME"/>
              </w:rPr>
              <w:t>nedjelj</w:t>
            </w:r>
            <w:r w:rsidR="0047711E" w:rsidRPr="003445F5">
              <w:rPr>
                <w:b/>
                <w:bCs/>
                <w:szCs w:val="22"/>
                <w:lang w:val="sr-Latn-ME"/>
              </w:rPr>
              <w:t>e</w:t>
            </w:r>
          </w:p>
          <w:p w14:paraId="298F5B3D" w14:textId="77777777" w:rsidR="00D67B4C" w:rsidRPr="003445F5" w:rsidRDefault="00D67B4C" w:rsidP="00704956">
            <w:pPr>
              <w:jc w:val="center"/>
              <w:rPr>
                <w:szCs w:val="22"/>
                <w:lang w:val="sr-Latn-ME"/>
              </w:rPr>
            </w:pPr>
            <w:r w:rsidRPr="003445F5">
              <w:rPr>
                <w:szCs w:val="22"/>
                <w:lang w:val="sr-Latn-ME"/>
              </w:rPr>
              <w:t>N=31</w:t>
            </w:r>
          </w:p>
        </w:tc>
        <w:tc>
          <w:tcPr>
            <w:tcW w:w="1665" w:type="pct"/>
            <w:vAlign w:val="center"/>
          </w:tcPr>
          <w:p w14:paraId="7BAC08F3" w14:textId="77777777" w:rsidR="00D67B4C" w:rsidRPr="003445F5" w:rsidRDefault="00D67B4C" w:rsidP="00704956">
            <w:pPr>
              <w:jc w:val="center"/>
              <w:rPr>
                <w:b/>
                <w:bCs/>
                <w:szCs w:val="22"/>
                <w:vertAlign w:val="superscript"/>
                <w:lang w:val="sr-Latn-ME"/>
              </w:rPr>
            </w:pPr>
            <w:r w:rsidRPr="003445F5">
              <w:rPr>
                <w:b/>
                <w:bCs/>
                <w:szCs w:val="22"/>
                <w:lang w:val="sr-Latn-ME"/>
              </w:rPr>
              <w:t>Adalimumab</w:t>
            </w:r>
            <w:r w:rsidRPr="003445F5">
              <w:rPr>
                <w:b/>
                <w:bCs/>
                <w:szCs w:val="22"/>
                <w:vertAlign w:val="superscript"/>
                <w:lang w:val="sr-Latn-ME"/>
              </w:rPr>
              <w:t>e</w:t>
            </w:r>
          </w:p>
          <w:p w14:paraId="11E051A9" w14:textId="0FADC635" w:rsidR="00D67B4C" w:rsidRPr="003445F5" w:rsidRDefault="00D67B4C" w:rsidP="00704956">
            <w:pPr>
              <w:jc w:val="center"/>
              <w:rPr>
                <w:b/>
                <w:bCs/>
                <w:szCs w:val="22"/>
                <w:lang w:val="sr-Latn-ME"/>
              </w:rPr>
            </w:pPr>
            <w:r w:rsidRPr="003445F5">
              <w:rPr>
                <w:b/>
                <w:bCs/>
                <w:szCs w:val="22"/>
                <w:lang w:val="sr-Latn-ME"/>
              </w:rPr>
              <w:t xml:space="preserve">Maksimalno 40 mg svake </w:t>
            </w:r>
            <w:r w:rsidR="00551F1D" w:rsidRPr="003445F5">
              <w:rPr>
                <w:b/>
                <w:bCs/>
                <w:szCs w:val="22"/>
                <w:lang w:val="sr-Latn-ME"/>
              </w:rPr>
              <w:t>nedjelj</w:t>
            </w:r>
            <w:r w:rsidR="0047711E" w:rsidRPr="003445F5">
              <w:rPr>
                <w:b/>
                <w:bCs/>
                <w:szCs w:val="22"/>
                <w:lang w:val="sr-Latn-ME"/>
              </w:rPr>
              <w:t>e</w:t>
            </w:r>
          </w:p>
          <w:p w14:paraId="65A96BC7" w14:textId="77777777" w:rsidR="00D67B4C" w:rsidRPr="003445F5" w:rsidRDefault="00D67B4C" w:rsidP="00704956">
            <w:pPr>
              <w:jc w:val="center"/>
              <w:rPr>
                <w:szCs w:val="22"/>
                <w:lang w:val="sr-Latn-ME"/>
              </w:rPr>
            </w:pPr>
            <w:r w:rsidRPr="003445F5">
              <w:rPr>
                <w:szCs w:val="22"/>
                <w:lang w:val="sr-Latn-ME"/>
              </w:rPr>
              <w:t>N=31</w:t>
            </w:r>
          </w:p>
        </w:tc>
      </w:tr>
      <w:tr w:rsidR="00D67B4C" w:rsidRPr="003445F5" w14:paraId="41C1C48F" w14:textId="77777777" w:rsidTr="00EE40DA">
        <w:trPr>
          <w:trHeight w:val="20"/>
        </w:trPr>
        <w:tc>
          <w:tcPr>
            <w:tcW w:w="1727" w:type="pct"/>
            <w:vAlign w:val="center"/>
          </w:tcPr>
          <w:p w14:paraId="0B187DC7" w14:textId="1899A431" w:rsidR="00D67B4C" w:rsidRPr="003445F5" w:rsidRDefault="00D67B4C" w:rsidP="00704956">
            <w:pPr>
              <w:jc w:val="left"/>
              <w:rPr>
                <w:szCs w:val="22"/>
                <w:lang w:val="sr-Latn-ME"/>
              </w:rPr>
            </w:pPr>
            <w:r w:rsidRPr="003445F5">
              <w:rPr>
                <w:szCs w:val="22"/>
                <w:lang w:val="sr-Latn-ME"/>
              </w:rPr>
              <w:t xml:space="preserve">Klinička remisija prema PUCAI kod bolesnika sa odgovorom prema PMS u 8. </w:t>
            </w:r>
            <w:r w:rsidR="00551F1D" w:rsidRPr="003445F5">
              <w:rPr>
                <w:szCs w:val="22"/>
                <w:lang w:val="sr-Latn-ME"/>
              </w:rPr>
              <w:t>nedjelj</w:t>
            </w:r>
            <w:r w:rsidR="00704AF5" w:rsidRPr="003445F5">
              <w:rPr>
                <w:szCs w:val="22"/>
                <w:lang w:val="sr-Latn-ME"/>
              </w:rPr>
              <w:t>i</w:t>
            </w:r>
            <w:r w:rsidRPr="003445F5">
              <w:rPr>
                <w:szCs w:val="22"/>
                <w:lang w:val="sr-Latn-ME"/>
              </w:rPr>
              <w:t xml:space="preserve"> </w:t>
            </w:r>
          </w:p>
        </w:tc>
        <w:tc>
          <w:tcPr>
            <w:tcW w:w="1608" w:type="pct"/>
            <w:vAlign w:val="center"/>
          </w:tcPr>
          <w:p w14:paraId="459DE10F" w14:textId="77777777" w:rsidR="00D67B4C" w:rsidRPr="003445F5" w:rsidRDefault="00D67B4C" w:rsidP="00704956">
            <w:pPr>
              <w:jc w:val="center"/>
              <w:rPr>
                <w:szCs w:val="22"/>
                <w:lang w:val="sr-Latn-ME"/>
              </w:rPr>
            </w:pPr>
            <w:r w:rsidRPr="003445F5">
              <w:rPr>
                <w:szCs w:val="22"/>
                <w:lang w:val="sr-Latn-ME"/>
              </w:rPr>
              <w:t>14/31 (45,2%)</w:t>
            </w:r>
          </w:p>
        </w:tc>
        <w:tc>
          <w:tcPr>
            <w:tcW w:w="1665" w:type="pct"/>
            <w:vAlign w:val="center"/>
          </w:tcPr>
          <w:p w14:paraId="54CFC4E7" w14:textId="77777777" w:rsidR="00D67B4C" w:rsidRPr="003445F5" w:rsidRDefault="00D67B4C" w:rsidP="00704956">
            <w:pPr>
              <w:jc w:val="center"/>
              <w:rPr>
                <w:szCs w:val="22"/>
                <w:lang w:val="sr-Latn-ME"/>
              </w:rPr>
            </w:pPr>
            <w:r w:rsidRPr="003445F5">
              <w:rPr>
                <w:szCs w:val="22"/>
                <w:lang w:val="sr-Latn-ME"/>
              </w:rPr>
              <w:t>18/31 (58,1%)</w:t>
            </w:r>
          </w:p>
        </w:tc>
      </w:tr>
      <w:tr w:rsidR="00D67B4C" w:rsidRPr="003445F5" w14:paraId="56C30D4B" w14:textId="77777777" w:rsidTr="00EE40DA">
        <w:trPr>
          <w:trHeight w:val="20"/>
        </w:trPr>
        <w:tc>
          <w:tcPr>
            <w:tcW w:w="1727" w:type="pct"/>
            <w:vAlign w:val="center"/>
          </w:tcPr>
          <w:p w14:paraId="419E7857" w14:textId="593CA379" w:rsidR="00D67B4C" w:rsidRPr="003445F5" w:rsidRDefault="00D67B4C" w:rsidP="00704956">
            <w:pPr>
              <w:jc w:val="left"/>
              <w:rPr>
                <w:szCs w:val="22"/>
                <w:lang w:val="sr-Latn-ME"/>
              </w:rPr>
            </w:pPr>
            <w:r w:rsidRPr="003445F5">
              <w:rPr>
                <w:szCs w:val="22"/>
                <w:lang w:val="sr-Latn-ME"/>
              </w:rPr>
              <w:t xml:space="preserve">Klinički odgovor prema PUCAI kod bolesnika sa odgovorom prema PMS u 8. </w:t>
            </w:r>
            <w:r w:rsidR="00551F1D" w:rsidRPr="003445F5">
              <w:rPr>
                <w:szCs w:val="22"/>
                <w:lang w:val="sr-Latn-ME"/>
              </w:rPr>
              <w:t>nedjelj</w:t>
            </w:r>
            <w:r w:rsidR="00704AF5" w:rsidRPr="003445F5">
              <w:rPr>
                <w:szCs w:val="22"/>
                <w:lang w:val="sr-Latn-ME"/>
              </w:rPr>
              <w:t>i</w:t>
            </w:r>
            <w:r w:rsidRPr="003445F5">
              <w:rPr>
                <w:szCs w:val="22"/>
                <w:lang w:val="sr-Latn-ME"/>
              </w:rPr>
              <w:t xml:space="preserve"> </w:t>
            </w:r>
          </w:p>
        </w:tc>
        <w:tc>
          <w:tcPr>
            <w:tcW w:w="1608" w:type="pct"/>
            <w:vAlign w:val="center"/>
          </w:tcPr>
          <w:p w14:paraId="777B8C00" w14:textId="77777777" w:rsidR="00D67B4C" w:rsidRPr="003445F5" w:rsidRDefault="00D67B4C" w:rsidP="00704956">
            <w:pPr>
              <w:jc w:val="center"/>
              <w:rPr>
                <w:szCs w:val="22"/>
                <w:lang w:val="sr-Latn-ME"/>
              </w:rPr>
            </w:pPr>
            <w:r w:rsidRPr="003445F5">
              <w:rPr>
                <w:szCs w:val="22"/>
                <w:lang w:val="sr-Latn-ME"/>
              </w:rPr>
              <w:t>18/31 (58,1%)</w:t>
            </w:r>
          </w:p>
        </w:tc>
        <w:tc>
          <w:tcPr>
            <w:tcW w:w="1665" w:type="pct"/>
            <w:vAlign w:val="center"/>
          </w:tcPr>
          <w:p w14:paraId="59B6D981" w14:textId="77777777" w:rsidR="00D67B4C" w:rsidRPr="003445F5" w:rsidRDefault="00D67B4C" w:rsidP="00704956">
            <w:pPr>
              <w:jc w:val="center"/>
              <w:rPr>
                <w:szCs w:val="22"/>
                <w:lang w:val="sr-Latn-ME"/>
              </w:rPr>
            </w:pPr>
            <w:r w:rsidRPr="003445F5">
              <w:rPr>
                <w:szCs w:val="22"/>
                <w:lang w:val="sr-Latn-ME"/>
              </w:rPr>
              <w:t>16/31 (51,6%)</w:t>
            </w:r>
          </w:p>
        </w:tc>
      </w:tr>
    </w:tbl>
    <w:p w14:paraId="013C2929" w14:textId="45025B57" w:rsidR="00C84988" w:rsidRPr="003445F5" w:rsidRDefault="00C84988" w:rsidP="00C84988">
      <w:pPr>
        <w:rPr>
          <w:szCs w:val="22"/>
          <w:lang w:val="sr-Latn-ME"/>
        </w:rPr>
      </w:pPr>
      <w:r w:rsidRPr="003445F5">
        <w:rPr>
          <w:szCs w:val="22"/>
          <w:vertAlign w:val="superscript"/>
          <w:lang w:val="sr-Latn-ME"/>
        </w:rPr>
        <w:t>a</w:t>
      </w:r>
      <w:r w:rsidRPr="003445F5">
        <w:rPr>
          <w:szCs w:val="22"/>
          <w:lang w:val="sr-Latn-ME"/>
        </w:rPr>
        <w:t xml:space="preserve"> Adalimumab 2,4 mg/kg (maksimalno 160 mg) u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Week 0), placebo u 1. </w:t>
      </w:r>
      <w:r w:rsidR="00551F1D" w:rsidRPr="003445F5">
        <w:rPr>
          <w:szCs w:val="22"/>
          <w:lang w:val="sr-Latn-ME"/>
        </w:rPr>
        <w:t>nedjelj</w:t>
      </w:r>
      <w:r w:rsidR="00704AF5" w:rsidRPr="003445F5">
        <w:rPr>
          <w:szCs w:val="22"/>
          <w:lang w:val="sr-Latn-ME"/>
        </w:rPr>
        <w:t>i</w:t>
      </w:r>
      <w:r w:rsidRPr="003445F5">
        <w:rPr>
          <w:szCs w:val="22"/>
          <w:lang w:val="sr-Latn-ME"/>
        </w:rPr>
        <w:t xml:space="preserve">, i 1,2 mg/kg (maksimalno 80 mg) u 2. </w:t>
      </w:r>
      <w:r w:rsidR="00551F1D" w:rsidRPr="003445F5">
        <w:rPr>
          <w:szCs w:val="22"/>
          <w:lang w:val="sr-Latn-ME"/>
        </w:rPr>
        <w:t>nedjelj</w:t>
      </w:r>
      <w:r w:rsidR="00704AF5" w:rsidRPr="003445F5">
        <w:rPr>
          <w:szCs w:val="22"/>
          <w:lang w:val="sr-Latn-ME"/>
        </w:rPr>
        <w:t>i</w:t>
      </w:r>
    </w:p>
    <w:p w14:paraId="7C03C203" w14:textId="66BD35FF" w:rsidR="00C84988" w:rsidRPr="003445F5" w:rsidRDefault="00C84988" w:rsidP="00C84988">
      <w:pPr>
        <w:rPr>
          <w:szCs w:val="22"/>
          <w:lang w:val="sr-Latn-ME"/>
        </w:rPr>
      </w:pPr>
      <w:r w:rsidRPr="003445F5">
        <w:rPr>
          <w:szCs w:val="22"/>
          <w:vertAlign w:val="superscript"/>
          <w:lang w:val="sr-Latn-ME"/>
        </w:rPr>
        <w:t xml:space="preserve">b </w:t>
      </w:r>
      <w:r w:rsidRPr="003445F5">
        <w:rPr>
          <w:szCs w:val="22"/>
          <w:lang w:val="sr-Latn-ME"/>
        </w:rPr>
        <w:t xml:space="preserve">Adalimumab 2,4 mg/kg (maksimalno 160 mg) u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Week 0) i 1. </w:t>
      </w:r>
      <w:r w:rsidR="00551F1D" w:rsidRPr="003445F5">
        <w:rPr>
          <w:szCs w:val="22"/>
          <w:lang w:val="sr-Latn-ME"/>
        </w:rPr>
        <w:t>nedjelj</w:t>
      </w:r>
      <w:r w:rsidR="00704AF5" w:rsidRPr="003445F5">
        <w:rPr>
          <w:szCs w:val="22"/>
          <w:lang w:val="sr-Latn-ME"/>
        </w:rPr>
        <w:t>i</w:t>
      </w:r>
      <w:r w:rsidRPr="003445F5">
        <w:rPr>
          <w:szCs w:val="22"/>
          <w:lang w:val="sr-Latn-ME"/>
        </w:rPr>
        <w:t xml:space="preserve">, i 1,2 mg/kg (maksimalno od 80 mg) u 2. </w:t>
      </w:r>
      <w:r w:rsidR="00551F1D" w:rsidRPr="003445F5">
        <w:rPr>
          <w:szCs w:val="22"/>
          <w:lang w:val="sr-Latn-ME"/>
        </w:rPr>
        <w:t>nedjelj</w:t>
      </w:r>
      <w:r w:rsidR="00704AF5" w:rsidRPr="003445F5">
        <w:rPr>
          <w:szCs w:val="22"/>
          <w:lang w:val="sr-Latn-ME"/>
        </w:rPr>
        <w:t>i</w:t>
      </w:r>
    </w:p>
    <w:p w14:paraId="3736EF2B" w14:textId="79CC43AF" w:rsidR="00C84988" w:rsidRPr="003445F5" w:rsidRDefault="00C84988" w:rsidP="00C84988">
      <w:pPr>
        <w:rPr>
          <w:szCs w:val="22"/>
          <w:lang w:val="sr-Latn-ME"/>
        </w:rPr>
      </w:pPr>
      <w:r w:rsidRPr="003445F5">
        <w:rPr>
          <w:szCs w:val="22"/>
          <w:vertAlign w:val="superscript"/>
          <w:lang w:val="sr-Latn-ME"/>
        </w:rPr>
        <w:t xml:space="preserve">c </w:t>
      </w:r>
      <w:r w:rsidRPr="003445F5">
        <w:rPr>
          <w:szCs w:val="22"/>
          <w:lang w:val="sr-Latn-ME"/>
        </w:rPr>
        <w:t xml:space="preserve">Ne uključujući indukcionu dozu adalimumaba u otvorenoj studiji od 2,4 mg/kg (maksimalno 160 mg) u 0. i 1. </w:t>
      </w:r>
      <w:r w:rsidR="00551F1D" w:rsidRPr="003445F5">
        <w:rPr>
          <w:szCs w:val="22"/>
          <w:lang w:val="sr-Latn-ME"/>
        </w:rPr>
        <w:t>nedjelj</w:t>
      </w:r>
      <w:r w:rsidR="00704AF5" w:rsidRPr="003445F5">
        <w:rPr>
          <w:szCs w:val="22"/>
          <w:lang w:val="sr-Latn-ME"/>
        </w:rPr>
        <w:t>i</w:t>
      </w:r>
      <w:r w:rsidRPr="003445F5">
        <w:rPr>
          <w:szCs w:val="22"/>
          <w:lang w:val="sr-Latn-ME"/>
        </w:rPr>
        <w:t xml:space="preserve"> i 1,2 mg/kg (maksimalno 80 mg) u 2. </w:t>
      </w:r>
      <w:r w:rsidR="00551F1D" w:rsidRPr="003445F5">
        <w:rPr>
          <w:szCs w:val="22"/>
          <w:lang w:val="sr-Latn-ME"/>
        </w:rPr>
        <w:t>nedjelj</w:t>
      </w:r>
      <w:r w:rsidR="00704AF5" w:rsidRPr="003445F5">
        <w:rPr>
          <w:szCs w:val="22"/>
          <w:lang w:val="sr-Latn-ME"/>
        </w:rPr>
        <w:t>i</w:t>
      </w:r>
    </w:p>
    <w:p w14:paraId="51821039" w14:textId="2C4D83D1" w:rsidR="00C84988" w:rsidRPr="003445F5" w:rsidRDefault="00C84988" w:rsidP="00C84988">
      <w:pPr>
        <w:rPr>
          <w:szCs w:val="22"/>
          <w:lang w:val="sr-Latn-ME"/>
        </w:rPr>
      </w:pPr>
      <w:r w:rsidRPr="003445F5">
        <w:rPr>
          <w:szCs w:val="22"/>
          <w:vertAlign w:val="superscript"/>
          <w:lang w:val="sr-Latn-ME"/>
        </w:rPr>
        <w:t>d</w:t>
      </w:r>
      <w:r w:rsidRPr="003445F5">
        <w:rPr>
          <w:szCs w:val="22"/>
          <w:lang w:val="sr-Latn-ME"/>
        </w:rPr>
        <w:t xml:space="preserve"> Adalimumab 0,6 mg/kg (maksimalno 40 mg) svake druge </w:t>
      </w:r>
      <w:r w:rsidR="00551F1D" w:rsidRPr="003445F5">
        <w:rPr>
          <w:szCs w:val="22"/>
          <w:lang w:val="sr-Latn-ME"/>
        </w:rPr>
        <w:t>nedjelj</w:t>
      </w:r>
      <w:r w:rsidR="0047711E" w:rsidRPr="003445F5">
        <w:rPr>
          <w:szCs w:val="22"/>
          <w:lang w:val="sr-Latn-ME"/>
        </w:rPr>
        <w:t>e</w:t>
      </w:r>
    </w:p>
    <w:p w14:paraId="05B53F1D" w14:textId="34C6AA7D" w:rsidR="00C84988" w:rsidRPr="003445F5" w:rsidRDefault="00C84988" w:rsidP="00C84988">
      <w:pPr>
        <w:rPr>
          <w:szCs w:val="22"/>
          <w:lang w:val="sr-Latn-ME"/>
        </w:rPr>
      </w:pPr>
      <w:r w:rsidRPr="003445F5">
        <w:rPr>
          <w:szCs w:val="22"/>
          <w:vertAlign w:val="superscript"/>
          <w:lang w:val="sr-Latn-ME"/>
        </w:rPr>
        <w:t>e</w:t>
      </w:r>
      <w:r w:rsidRPr="003445F5">
        <w:rPr>
          <w:szCs w:val="22"/>
          <w:lang w:val="sr-Latn-ME"/>
        </w:rPr>
        <w:t xml:space="preserve"> Adalimumab 0,6 mg/kg (maksimalno 40 mg) svake </w:t>
      </w:r>
      <w:r w:rsidR="00551F1D" w:rsidRPr="003445F5">
        <w:rPr>
          <w:szCs w:val="22"/>
          <w:lang w:val="sr-Latn-ME"/>
        </w:rPr>
        <w:t>nedjelj</w:t>
      </w:r>
      <w:r w:rsidR="0047711E" w:rsidRPr="003445F5">
        <w:rPr>
          <w:szCs w:val="22"/>
          <w:lang w:val="sr-Latn-ME"/>
        </w:rPr>
        <w:t>e</w:t>
      </w:r>
    </w:p>
    <w:p w14:paraId="1542FE4D" w14:textId="448754C7" w:rsidR="00C84988" w:rsidRPr="003445F5" w:rsidRDefault="00C84988" w:rsidP="00C84988">
      <w:pPr>
        <w:rPr>
          <w:szCs w:val="22"/>
          <w:lang w:val="sr-Latn-ME"/>
        </w:rPr>
      </w:pPr>
      <w:r w:rsidRPr="003445F5">
        <w:rPr>
          <w:szCs w:val="22"/>
          <w:lang w:val="sr-Latn-ME"/>
        </w:rPr>
        <w:t xml:space="preserve">Napomena 1: </w:t>
      </w:r>
      <w:r w:rsidR="00704AF5" w:rsidRPr="003445F5">
        <w:rPr>
          <w:szCs w:val="22"/>
          <w:lang w:val="sr-Latn-ME"/>
        </w:rPr>
        <w:t>Obije</w:t>
      </w:r>
      <w:r w:rsidRPr="003445F5">
        <w:rPr>
          <w:szCs w:val="22"/>
          <w:lang w:val="sr-Latn-ME"/>
        </w:rPr>
        <w:t xml:space="preserve"> indukcione grupe su primile 0,6 mg/kg (maksimalno 40 mg) u 4. i 6. </w:t>
      </w:r>
      <w:r w:rsidR="00551F1D" w:rsidRPr="003445F5">
        <w:rPr>
          <w:szCs w:val="22"/>
          <w:lang w:val="sr-Latn-ME"/>
        </w:rPr>
        <w:t>nedjelj</w:t>
      </w:r>
      <w:r w:rsidR="00704AF5" w:rsidRPr="003445F5">
        <w:rPr>
          <w:szCs w:val="22"/>
          <w:lang w:val="sr-Latn-ME"/>
        </w:rPr>
        <w:t>i</w:t>
      </w:r>
      <w:r w:rsidRPr="003445F5">
        <w:rPr>
          <w:szCs w:val="22"/>
          <w:lang w:val="sr-Latn-ME"/>
        </w:rPr>
        <w:t>.</w:t>
      </w:r>
    </w:p>
    <w:p w14:paraId="46227D61" w14:textId="16CC2831" w:rsidR="00C84988" w:rsidRPr="003445F5" w:rsidRDefault="00C84988" w:rsidP="00C84988">
      <w:pPr>
        <w:rPr>
          <w:szCs w:val="22"/>
          <w:lang w:val="sr-Latn-ME"/>
        </w:rPr>
      </w:pPr>
      <w:r w:rsidRPr="003445F5">
        <w:rPr>
          <w:szCs w:val="22"/>
          <w:lang w:val="sr-Latn-ME"/>
        </w:rPr>
        <w:t xml:space="preserve">Napomena 2: Smatralo se da pacijenti sa nedostajućim vrijednostima u 8. </w:t>
      </w:r>
      <w:r w:rsidR="00551F1D" w:rsidRPr="003445F5">
        <w:rPr>
          <w:szCs w:val="22"/>
          <w:lang w:val="sr-Latn-ME"/>
        </w:rPr>
        <w:t>nedjelj</w:t>
      </w:r>
      <w:r w:rsidR="00704AF5" w:rsidRPr="003445F5">
        <w:rPr>
          <w:szCs w:val="22"/>
          <w:lang w:val="sr-Latn-ME"/>
        </w:rPr>
        <w:t>i</w:t>
      </w:r>
      <w:r w:rsidRPr="003445F5">
        <w:rPr>
          <w:szCs w:val="22"/>
          <w:lang w:val="sr-Latn-ME"/>
        </w:rPr>
        <w:t xml:space="preserve"> nisu ispunili krajnje ciljeve.</w:t>
      </w:r>
    </w:p>
    <w:p w14:paraId="3430CEED" w14:textId="65E59928" w:rsidR="00C84988" w:rsidRPr="003445F5" w:rsidRDefault="00C84988" w:rsidP="00C84988">
      <w:pPr>
        <w:rPr>
          <w:szCs w:val="22"/>
          <w:lang w:val="sr-Latn-ME"/>
        </w:rPr>
      </w:pPr>
      <w:r w:rsidRPr="003445F5">
        <w:rPr>
          <w:szCs w:val="22"/>
          <w:lang w:val="sr-Latn-ME"/>
        </w:rPr>
        <w:t xml:space="preserve">Napomena 3: Pacijenti sa nedostajućim vrijednostima u 52. </w:t>
      </w:r>
      <w:r w:rsidR="00551F1D" w:rsidRPr="003445F5">
        <w:rPr>
          <w:szCs w:val="22"/>
          <w:lang w:val="sr-Latn-ME"/>
        </w:rPr>
        <w:t>nedjelj</w:t>
      </w:r>
      <w:r w:rsidR="00704AF5" w:rsidRPr="003445F5">
        <w:rPr>
          <w:szCs w:val="22"/>
          <w:lang w:val="sr-Latn-ME"/>
        </w:rPr>
        <w:t>i</w:t>
      </w:r>
      <w:r w:rsidRPr="003445F5">
        <w:rPr>
          <w:szCs w:val="22"/>
          <w:lang w:val="sr-Latn-ME"/>
        </w:rPr>
        <w:t xml:space="preserve"> ili koji su randomizovani da primaju terapiju reindukcije ili terapiju održavanja smatrani su onima koji nisu ispunili krajnje ciljeve u 52. </w:t>
      </w:r>
      <w:r w:rsidR="00551F1D" w:rsidRPr="003445F5">
        <w:rPr>
          <w:szCs w:val="22"/>
          <w:lang w:val="sr-Latn-ME"/>
        </w:rPr>
        <w:t>nedjelj</w:t>
      </w:r>
      <w:r w:rsidR="00704AF5" w:rsidRPr="003445F5">
        <w:rPr>
          <w:szCs w:val="22"/>
          <w:lang w:val="sr-Latn-ME"/>
        </w:rPr>
        <w:t>i</w:t>
      </w:r>
      <w:r w:rsidRPr="003445F5">
        <w:rPr>
          <w:szCs w:val="22"/>
          <w:lang w:val="sr-Latn-ME"/>
        </w:rPr>
        <w:t>.</w:t>
      </w:r>
    </w:p>
    <w:p w14:paraId="4F7F2806" w14:textId="77777777" w:rsidR="00C84988" w:rsidRPr="003445F5" w:rsidRDefault="00C84988" w:rsidP="00C84988">
      <w:pPr>
        <w:rPr>
          <w:szCs w:val="22"/>
          <w:lang w:val="sr-Latn-ME"/>
        </w:rPr>
      </w:pPr>
    </w:p>
    <w:p w14:paraId="5C2F446C" w14:textId="343186C6" w:rsidR="00C84988" w:rsidRPr="003445F5" w:rsidRDefault="00C84988" w:rsidP="00C84988">
      <w:pPr>
        <w:rPr>
          <w:szCs w:val="22"/>
          <w:lang w:val="sr-Latn-ME"/>
        </w:rPr>
      </w:pPr>
      <w:r w:rsidRPr="003445F5">
        <w:rPr>
          <w:szCs w:val="22"/>
          <w:lang w:val="sr-Latn-ME"/>
        </w:rPr>
        <w:t xml:space="preserve">Među bolesnicima koji su liječeni lijekom adalimumab i koji su primili ponovno indukcijsko liječenje tokom perioda održavanja, 2/6 (33%) postiglo je klinički odgovor prema FMS u 52. </w:t>
      </w:r>
      <w:r w:rsidR="00551F1D" w:rsidRPr="003445F5">
        <w:rPr>
          <w:szCs w:val="22"/>
          <w:lang w:val="sr-Latn-ME"/>
        </w:rPr>
        <w:t>Nedjelj</w:t>
      </w:r>
      <w:r w:rsidR="00704AF5" w:rsidRPr="003445F5">
        <w:rPr>
          <w:szCs w:val="22"/>
          <w:lang w:val="sr-Latn-ME"/>
        </w:rPr>
        <w:t>i</w:t>
      </w:r>
      <w:r w:rsidRPr="003445F5">
        <w:rPr>
          <w:szCs w:val="22"/>
          <w:lang w:val="sr-Latn-ME"/>
        </w:rPr>
        <w:t>.</w:t>
      </w:r>
    </w:p>
    <w:p w14:paraId="3A928646" w14:textId="77777777" w:rsidR="00794D84" w:rsidRPr="003445F5" w:rsidRDefault="00794D84" w:rsidP="00794D84">
      <w:pPr>
        <w:rPr>
          <w:szCs w:val="22"/>
          <w:lang w:val="sr-Latn-ME"/>
        </w:rPr>
      </w:pPr>
    </w:p>
    <w:p w14:paraId="2235F7B5" w14:textId="77777777" w:rsidR="00794D84" w:rsidRPr="003445F5" w:rsidRDefault="00794D84" w:rsidP="00794D84">
      <w:pPr>
        <w:rPr>
          <w:i/>
          <w:iCs/>
          <w:szCs w:val="22"/>
          <w:u w:val="single"/>
          <w:lang w:val="sr-Latn-ME"/>
        </w:rPr>
      </w:pPr>
      <w:r w:rsidRPr="003445F5">
        <w:rPr>
          <w:i/>
          <w:iCs/>
          <w:szCs w:val="22"/>
          <w:u w:val="single"/>
          <w:lang w:val="sr-Latn-ME"/>
        </w:rPr>
        <w:t>Kvalitet života</w:t>
      </w:r>
    </w:p>
    <w:p w14:paraId="7F04B9A4" w14:textId="77777777" w:rsidR="00D93844" w:rsidRPr="003445F5" w:rsidRDefault="00D93844" w:rsidP="00D93844">
      <w:pPr>
        <w:rPr>
          <w:szCs w:val="22"/>
          <w:lang w:val="sr-Latn-ME"/>
        </w:rPr>
      </w:pPr>
      <w:r w:rsidRPr="003445F5">
        <w:rPr>
          <w:szCs w:val="22"/>
          <w:lang w:val="sr-Latn-ME"/>
        </w:rPr>
        <w:t xml:space="preserve">Za grupe liječene adalimumabom klinički značajna poboljšanja u odnosu na početnu vrijednost primjećena su u IMPACT III i u rezultatima upitnika o radnoj produktivnosti i smetnjama u radu (engl. </w:t>
      </w:r>
      <w:r w:rsidRPr="003445F5">
        <w:rPr>
          <w:i/>
          <w:iCs/>
          <w:szCs w:val="22"/>
          <w:lang w:val="sr-Latn-ME"/>
        </w:rPr>
        <w:t>Work Productivity and Activity Impairment</w:t>
      </w:r>
      <w:r w:rsidRPr="003445F5">
        <w:rPr>
          <w:szCs w:val="22"/>
          <w:lang w:val="sr-Latn-ME"/>
        </w:rPr>
        <w:t xml:space="preserve"> - WPAI) kojeg su popunjavali negovatelji. </w:t>
      </w:r>
    </w:p>
    <w:p w14:paraId="7352B419" w14:textId="77777777" w:rsidR="00D93844" w:rsidRPr="003445F5" w:rsidRDefault="00D93844" w:rsidP="00D93844">
      <w:pPr>
        <w:rPr>
          <w:szCs w:val="22"/>
          <w:lang w:val="sr-Latn-ME"/>
        </w:rPr>
      </w:pPr>
    </w:p>
    <w:p w14:paraId="46D41619" w14:textId="6B0C1B57" w:rsidR="00D93844" w:rsidRPr="003445F5" w:rsidRDefault="00D93844" w:rsidP="00D93844">
      <w:pPr>
        <w:rPr>
          <w:szCs w:val="22"/>
          <w:lang w:val="sr-Latn-ME"/>
        </w:rPr>
      </w:pPr>
      <w:r w:rsidRPr="003445F5">
        <w:rPr>
          <w:szCs w:val="22"/>
          <w:lang w:val="sr-Latn-ME"/>
        </w:rPr>
        <w:t xml:space="preserve">Klinički značajno povećanje (poboljšanje) brzine rasta u odnosu na početne vrijednosti je </w:t>
      </w:r>
      <w:r w:rsidR="004D0BB8" w:rsidRPr="003445F5">
        <w:rPr>
          <w:szCs w:val="22"/>
          <w:lang w:val="sr-Latn-ME"/>
        </w:rPr>
        <w:t>primjećeno</w:t>
      </w:r>
      <w:r w:rsidRPr="003445F5">
        <w:rPr>
          <w:szCs w:val="22"/>
          <w:lang w:val="sr-Latn-ME"/>
        </w:rPr>
        <w:t xml:space="preserve"> za grupe liječene adalimumabom, a klinički značajno </w:t>
      </w:r>
      <w:r w:rsidR="004D0BB8" w:rsidRPr="003445F5">
        <w:rPr>
          <w:szCs w:val="22"/>
          <w:lang w:val="sr-Latn-ME"/>
        </w:rPr>
        <w:t>povećanje</w:t>
      </w:r>
      <w:r w:rsidRPr="003445F5">
        <w:rPr>
          <w:szCs w:val="22"/>
          <w:lang w:val="sr-Latn-ME"/>
        </w:rPr>
        <w:t xml:space="preserve"> (poboljšanje) indeksa tjelesne mase (BMI) u odnosu na početnu vrijednost je </w:t>
      </w:r>
      <w:r w:rsidR="004D0BB8" w:rsidRPr="003445F5">
        <w:rPr>
          <w:szCs w:val="22"/>
          <w:lang w:val="sr-Latn-ME"/>
        </w:rPr>
        <w:t>primjećeno</w:t>
      </w:r>
      <w:r w:rsidRPr="003445F5">
        <w:rPr>
          <w:szCs w:val="22"/>
          <w:lang w:val="sr-Latn-ME"/>
        </w:rPr>
        <w:t xml:space="preserve"> za ispitanike na visokoj dozi održavanja od maksimalno 40 mg (0,6 mg/ kg) svake </w:t>
      </w:r>
      <w:r w:rsidR="00551F1D" w:rsidRPr="003445F5">
        <w:rPr>
          <w:szCs w:val="22"/>
          <w:lang w:val="sr-Latn-ME"/>
        </w:rPr>
        <w:t>nedjelj</w:t>
      </w:r>
      <w:r w:rsidR="0047711E" w:rsidRPr="003445F5">
        <w:rPr>
          <w:szCs w:val="22"/>
          <w:lang w:val="sr-Latn-ME"/>
        </w:rPr>
        <w:t>e</w:t>
      </w:r>
      <w:r w:rsidRPr="003445F5">
        <w:rPr>
          <w:szCs w:val="22"/>
          <w:lang w:val="sr-Latn-ME"/>
        </w:rPr>
        <w:t>.</w:t>
      </w:r>
    </w:p>
    <w:p w14:paraId="51609007" w14:textId="77777777" w:rsidR="00D93844" w:rsidRPr="003445F5" w:rsidRDefault="00D93844" w:rsidP="00D93844">
      <w:pPr>
        <w:rPr>
          <w:szCs w:val="22"/>
          <w:lang w:val="sr-Latn-ME"/>
        </w:rPr>
      </w:pPr>
    </w:p>
    <w:p w14:paraId="0082394F" w14:textId="77777777" w:rsidR="00D93844" w:rsidRPr="003445F5" w:rsidRDefault="00D93844" w:rsidP="00D93844">
      <w:pPr>
        <w:rPr>
          <w:i/>
          <w:szCs w:val="22"/>
          <w:lang w:val="sr-Latn-ME"/>
        </w:rPr>
      </w:pPr>
      <w:r w:rsidRPr="003445F5">
        <w:rPr>
          <w:i/>
          <w:szCs w:val="22"/>
          <w:lang w:val="sr-Latn-ME"/>
        </w:rPr>
        <w:t>Pedijatrijski uveitis</w:t>
      </w:r>
    </w:p>
    <w:p w14:paraId="1EDD3A3B" w14:textId="4A81C866" w:rsidR="00D93844" w:rsidRPr="003445F5" w:rsidRDefault="00D93844" w:rsidP="00D93844">
      <w:pPr>
        <w:rPr>
          <w:szCs w:val="22"/>
          <w:lang w:val="sr-Latn-ME"/>
        </w:rPr>
      </w:pPr>
      <w:r w:rsidRPr="003445F5">
        <w:rPr>
          <w:szCs w:val="22"/>
          <w:lang w:val="sr-Latn-ME"/>
        </w:rPr>
        <w:t xml:space="preserve">Bezbjednost i efikasnost adalimumaba ocjenjivale su se u randomizovanom, dvostruko maskiranom, kontrolisanom ispitivanju sprovedenom kod 90 pedijatrijskih pacijenata uzrasta od 2 do &lt; 18 godina koji su imali aktivan neinfektivni anteriorni uveitis povezan sa JIA i koji su bili refraktorni na najmanje 12 nedjelja liječenja metotreksatom. Pacijenti su primali ili placebo ili 20 mg adalimumaba (ako su bili tjelesne mase &lt; 30 kg) odnosno 40 mg adalimumaba (ako su bili tjelesne mase ≥ 30 kg)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u kombinaciji sa metotreksatom u dozi koju su primali na početku ispitivanja. </w:t>
      </w:r>
    </w:p>
    <w:p w14:paraId="280FBB8F" w14:textId="77777777" w:rsidR="00D93844" w:rsidRPr="003445F5" w:rsidRDefault="00D93844" w:rsidP="00D93844">
      <w:pPr>
        <w:rPr>
          <w:szCs w:val="22"/>
          <w:lang w:val="sr-Latn-ME"/>
        </w:rPr>
      </w:pPr>
    </w:p>
    <w:p w14:paraId="7E9B1EEC" w14:textId="52782D49" w:rsidR="00D93844" w:rsidRPr="003445F5" w:rsidRDefault="00D93844" w:rsidP="00D93844">
      <w:pPr>
        <w:rPr>
          <w:szCs w:val="22"/>
          <w:lang w:val="sr-Latn-ME"/>
        </w:rPr>
      </w:pPr>
      <w:r w:rsidRPr="003445F5">
        <w:rPr>
          <w:szCs w:val="22"/>
          <w:lang w:val="sr-Latn-ME"/>
        </w:rPr>
        <w:t>Primarni parametar praćenja bilo je „vr</w:t>
      </w:r>
      <w:r w:rsidR="004D0BB8" w:rsidRPr="003445F5">
        <w:rPr>
          <w:szCs w:val="22"/>
          <w:lang w:val="sr-Latn-ME"/>
        </w:rPr>
        <w:t>ij</w:t>
      </w:r>
      <w:r w:rsidRPr="003445F5">
        <w:rPr>
          <w:szCs w:val="22"/>
          <w:lang w:val="sr-Latn-ME"/>
        </w:rPr>
        <w:t>eme do neuspjeha liječenja“. Kriterijumi koji su određivali neuspjeh liječenja bili su pogoršanje ili dugotrajan izostanak poboljšanja zapaljenja oka, d</w:t>
      </w:r>
      <w:r w:rsidR="00704AF5" w:rsidRPr="003445F5">
        <w:rPr>
          <w:szCs w:val="22"/>
          <w:lang w:val="sr-Latn-ME"/>
        </w:rPr>
        <w:t>j</w:t>
      </w:r>
      <w:r w:rsidRPr="003445F5">
        <w:rPr>
          <w:szCs w:val="22"/>
          <w:lang w:val="sr-Latn-ME"/>
        </w:rPr>
        <w:t xml:space="preserve">elimično poboljšanje uz razvoj dugotrajnih propratnih očnih bolesti ili pogoršanje propratnih očnih bolesti, nedopuštena istovremena primjena drugih ljekova, kao i prekid liječenja na duži period. </w:t>
      </w:r>
    </w:p>
    <w:p w14:paraId="1FFE2E3F" w14:textId="77777777" w:rsidR="00D93844" w:rsidRPr="003445F5" w:rsidRDefault="00D93844" w:rsidP="00D93844">
      <w:pPr>
        <w:rPr>
          <w:szCs w:val="22"/>
          <w:lang w:val="sr-Latn-ME"/>
        </w:rPr>
      </w:pPr>
    </w:p>
    <w:p w14:paraId="7540F555" w14:textId="77777777" w:rsidR="00D93844" w:rsidRPr="003445F5" w:rsidRDefault="00D93844" w:rsidP="00D93844">
      <w:pPr>
        <w:rPr>
          <w:i/>
          <w:szCs w:val="22"/>
          <w:lang w:val="sr-Latn-ME"/>
        </w:rPr>
      </w:pPr>
      <w:r w:rsidRPr="003445F5">
        <w:rPr>
          <w:i/>
          <w:szCs w:val="22"/>
          <w:u w:val="single"/>
          <w:lang w:val="sr-Latn-ME"/>
        </w:rPr>
        <w:t>Klinički odgovor</w:t>
      </w:r>
      <w:r w:rsidRPr="003445F5">
        <w:rPr>
          <w:i/>
          <w:szCs w:val="22"/>
          <w:lang w:val="sr-Latn-ME"/>
        </w:rPr>
        <w:t xml:space="preserve"> </w:t>
      </w:r>
    </w:p>
    <w:p w14:paraId="5810C4E6" w14:textId="37A2659A" w:rsidR="00D93844" w:rsidRPr="003445F5" w:rsidRDefault="00D93844" w:rsidP="00D93844">
      <w:pPr>
        <w:rPr>
          <w:szCs w:val="22"/>
          <w:lang w:val="sr-Latn-ME"/>
        </w:rPr>
      </w:pPr>
      <w:r w:rsidRPr="003445F5">
        <w:rPr>
          <w:szCs w:val="22"/>
          <w:lang w:val="sr-Latn-ME"/>
        </w:rPr>
        <w:t>Adalimumab je značajno odložio vr</w:t>
      </w:r>
      <w:r w:rsidR="00704AF5" w:rsidRPr="003445F5">
        <w:rPr>
          <w:szCs w:val="22"/>
          <w:lang w:val="sr-Latn-ME"/>
        </w:rPr>
        <w:t>ij</w:t>
      </w:r>
      <w:r w:rsidRPr="003445F5">
        <w:rPr>
          <w:szCs w:val="22"/>
          <w:lang w:val="sr-Latn-ME"/>
        </w:rPr>
        <w:t xml:space="preserve">eme do neuspjeha liječenja u odnosu na placebo (vidjeti Sliku </w:t>
      </w:r>
      <w:r w:rsidR="00F0136F" w:rsidRPr="003445F5">
        <w:rPr>
          <w:szCs w:val="22"/>
          <w:lang w:val="sr-Latn-ME"/>
        </w:rPr>
        <w:t>2</w:t>
      </w:r>
      <w:r w:rsidRPr="003445F5">
        <w:rPr>
          <w:szCs w:val="22"/>
          <w:lang w:val="sr-Latn-ME"/>
        </w:rPr>
        <w:t>, P &lt; 0,0001 iz log-rank testa). Medijana vremena do neuspjeha liječenja iznosio je 24,1 nedjelju kod ispitanika koji su primali placebo, dok se kod ispitanika liječenih adalimumabom medijana vremena do neuspjeha liječenja nije mogao proc</w:t>
      </w:r>
      <w:r w:rsidR="00704AF5" w:rsidRPr="003445F5">
        <w:rPr>
          <w:szCs w:val="22"/>
          <w:lang w:val="sr-Latn-ME"/>
        </w:rPr>
        <w:t>i</w:t>
      </w:r>
      <w:r w:rsidRPr="003445F5">
        <w:rPr>
          <w:szCs w:val="22"/>
          <w:lang w:val="sr-Latn-ME"/>
        </w:rPr>
        <w:t xml:space="preserve">jeniti jer je do neuspjeha liječenja došlo kod manje od polovine tih ispitanika. Adalimumab je značajno smanjio rizik od neuspjeha liječenja za 75% u odnosu na placebo, što pokazuje odnos rizika (engl. </w:t>
      </w:r>
      <w:r w:rsidRPr="003445F5">
        <w:rPr>
          <w:i/>
          <w:szCs w:val="22"/>
          <w:lang w:val="sr-Latn-ME"/>
        </w:rPr>
        <w:t xml:space="preserve">Hazard ratio) </w:t>
      </w:r>
      <w:r w:rsidRPr="003445F5">
        <w:rPr>
          <w:szCs w:val="22"/>
          <w:lang w:val="sr-Latn-ME"/>
        </w:rPr>
        <w:t>(HR (= 0,25 [95% CI: 0,12; 0,49]).</w:t>
      </w:r>
    </w:p>
    <w:p w14:paraId="7160F0AF" w14:textId="2EFE5D44" w:rsidR="001523A0" w:rsidRPr="003445F5" w:rsidRDefault="001523A0" w:rsidP="00524FDF">
      <w:pPr>
        <w:rPr>
          <w:szCs w:val="22"/>
          <w:lang w:val="sr-Latn-ME"/>
        </w:rPr>
      </w:pPr>
    </w:p>
    <w:p w14:paraId="0F04A33C" w14:textId="3A083BBC" w:rsidR="00EB5067" w:rsidRPr="003445F5" w:rsidRDefault="00D606D0" w:rsidP="00EB5067">
      <w:pPr>
        <w:rPr>
          <w:b/>
          <w:szCs w:val="22"/>
          <w:lang w:val="sr-Latn-ME"/>
        </w:rPr>
      </w:pPr>
      <w:r w:rsidRPr="003445F5">
        <w:rPr>
          <w:b/>
          <w:szCs w:val="22"/>
          <w:lang w:val="sr-Latn-ME"/>
        </w:rPr>
        <w:t xml:space="preserve">Slika </w:t>
      </w:r>
      <w:r w:rsidR="00FC77B8" w:rsidRPr="003445F5">
        <w:rPr>
          <w:b/>
          <w:szCs w:val="22"/>
          <w:lang w:val="sr-Latn-ME"/>
        </w:rPr>
        <w:t>2</w:t>
      </w:r>
      <w:r w:rsidRPr="003445F5">
        <w:rPr>
          <w:b/>
          <w:szCs w:val="22"/>
          <w:lang w:val="sr-Latn-ME"/>
        </w:rPr>
        <w:t xml:space="preserve">: </w:t>
      </w:r>
      <w:r w:rsidR="00AE7D63" w:rsidRPr="003445F5">
        <w:rPr>
          <w:b/>
          <w:i/>
          <w:iCs/>
          <w:szCs w:val="22"/>
          <w:lang w:val="sr-Latn-ME"/>
        </w:rPr>
        <w:t>Kaplan-Meier</w:t>
      </w:r>
      <w:r w:rsidR="00AE7D63" w:rsidRPr="003445F5">
        <w:rPr>
          <w:b/>
          <w:szCs w:val="22"/>
          <w:lang w:val="sr-Latn-ME"/>
        </w:rPr>
        <w:t xml:space="preserve">-ove krive </w:t>
      </w:r>
      <w:r w:rsidR="00EB5067" w:rsidRPr="003445F5">
        <w:rPr>
          <w:b/>
          <w:szCs w:val="22"/>
          <w:lang w:val="sr-Latn-ME"/>
        </w:rPr>
        <w:t>koje sažeto prikazuju vr</w:t>
      </w:r>
      <w:r w:rsidR="00704AF5" w:rsidRPr="003445F5">
        <w:rPr>
          <w:b/>
          <w:szCs w:val="22"/>
          <w:lang w:val="sr-Latn-ME"/>
        </w:rPr>
        <w:t>ij</w:t>
      </w:r>
      <w:r w:rsidR="00EB5067" w:rsidRPr="003445F5">
        <w:rPr>
          <w:b/>
          <w:szCs w:val="22"/>
          <w:lang w:val="sr-Latn-ME"/>
        </w:rPr>
        <w:t>eme do neuspjeha liječenja u ispitivanju liječenja uveitisa kod djece</w:t>
      </w:r>
    </w:p>
    <w:p w14:paraId="6F4CBE8F" w14:textId="3FF6E666" w:rsidR="001523A0" w:rsidRPr="003445F5" w:rsidRDefault="002D30A8" w:rsidP="00524FDF">
      <w:pPr>
        <w:rPr>
          <w:szCs w:val="22"/>
          <w:lang w:val="sr-Latn-ME"/>
        </w:rPr>
      </w:pPr>
      <w:r w:rsidRPr="003445F5">
        <w:rPr>
          <w:noProof/>
          <w:szCs w:val="22"/>
        </w:rPr>
        <w:drawing>
          <wp:inline distT="0" distB="0" distL="0" distR="0" wp14:anchorId="5BEF7F9F" wp14:editId="58BF632A">
            <wp:extent cx="5438775" cy="4200525"/>
            <wp:effectExtent l="0" t="0" r="9525" b="9525"/>
            <wp:docPr id="12660" name="Picture 12660"/>
            <wp:cNvGraphicFramePr/>
            <a:graphic xmlns:a="http://schemas.openxmlformats.org/drawingml/2006/main">
              <a:graphicData uri="http://schemas.openxmlformats.org/drawingml/2006/picture">
                <pic:pic xmlns:pic="http://schemas.openxmlformats.org/drawingml/2006/picture">
                  <pic:nvPicPr>
                    <pic:cNvPr id="12660" name="Picture 12660"/>
                    <pic:cNvPicPr/>
                  </pic:nvPicPr>
                  <pic:blipFill>
                    <a:blip r:embed="rId16"/>
                    <a:stretch>
                      <a:fillRect/>
                    </a:stretch>
                  </pic:blipFill>
                  <pic:spPr>
                    <a:xfrm>
                      <a:off x="0" y="0"/>
                      <a:ext cx="5439454" cy="4201049"/>
                    </a:xfrm>
                    <a:prstGeom prst="rect">
                      <a:avLst/>
                    </a:prstGeom>
                  </pic:spPr>
                </pic:pic>
              </a:graphicData>
            </a:graphic>
          </wp:inline>
        </w:drawing>
      </w:r>
    </w:p>
    <w:p w14:paraId="158BCB10" w14:textId="77777777" w:rsidR="0035671D" w:rsidRPr="003445F5" w:rsidRDefault="0035671D" w:rsidP="0035671D">
      <w:pPr>
        <w:rPr>
          <w:szCs w:val="22"/>
          <w:lang w:val="sr-Latn-ME"/>
        </w:rPr>
      </w:pPr>
    </w:p>
    <w:p w14:paraId="2EF9D059" w14:textId="77777777" w:rsidR="0035671D" w:rsidRPr="003445F5" w:rsidRDefault="0035671D" w:rsidP="0035671D">
      <w:pPr>
        <w:rPr>
          <w:szCs w:val="22"/>
          <w:lang w:val="sr-Latn-ME"/>
        </w:rPr>
      </w:pPr>
      <w:r w:rsidRPr="003445F5">
        <w:rPr>
          <w:color w:val="000000"/>
          <w:szCs w:val="22"/>
          <w:lang w:val="sr-Latn-ME"/>
        </w:rPr>
        <w:t>Napomena: P = Placebo (broj pacijenata pod rizikom); A = Adalimumab (broj pacijenata pod rizikom)</w:t>
      </w:r>
    </w:p>
    <w:p w14:paraId="2BD03F0F" w14:textId="77777777" w:rsidR="00630465" w:rsidRPr="003445F5" w:rsidRDefault="00630465" w:rsidP="00524FDF">
      <w:pPr>
        <w:rPr>
          <w:szCs w:val="22"/>
          <w:u w:val="single"/>
          <w:lang w:val="sr-Latn-ME"/>
        </w:rPr>
      </w:pPr>
    </w:p>
    <w:p w14:paraId="072D43EB" w14:textId="77777777" w:rsidR="00CE09F3" w:rsidRPr="003445F5" w:rsidRDefault="00CE09F3" w:rsidP="00524FDF">
      <w:pPr>
        <w:rPr>
          <w:b/>
          <w:bCs/>
          <w:szCs w:val="22"/>
          <w:lang w:val="sr-Latn-ME"/>
        </w:rPr>
      </w:pPr>
      <w:r w:rsidRPr="003445F5">
        <w:rPr>
          <w:b/>
          <w:bCs/>
          <w:szCs w:val="22"/>
          <w:lang w:val="sr-Latn-ME"/>
        </w:rPr>
        <w:t>5.2. Farmakokinetički podaci</w:t>
      </w:r>
    </w:p>
    <w:p w14:paraId="072D43EC" w14:textId="61EDF31A" w:rsidR="00CE09F3" w:rsidRPr="003445F5" w:rsidRDefault="00CE09F3" w:rsidP="00524FDF">
      <w:pPr>
        <w:rPr>
          <w:szCs w:val="22"/>
          <w:lang w:val="sr-Latn-ME"/>
        </w:rPr>
      </w:pPr>
    </w:p>
    <w:p w14:paraId="5310FD7D" w14:textId="5F4C1EFE" w:rsidR="008B4BBC" w:rsidRPr="003445F5" w:rsidRDefault="008B4BBC" w:rsidP="00524FDF">
      <w:pPr>
        <w:rPr>
          <w:szCs w:val="22"/>
          <w:u w:val="single"/>
          <w:lang w:val="sr-Latn-ME"/>
        </w:rPr>
      </w:pPr>
      <w:r w:rsidRPr="003445F5">
        <w:rPr>
          <w:szCs w:val="22"/>
          <w:u w:val="single"/>
          <w:lang w:val="sr-Latn-ME"/>
        </w:rPr>
        <w:t>Resorpcija i distribucija</w:t>
      </w:r>
    </w:p>
    <w:p w14:paraId="064DD942" w14:textId="77777777" w:rsidR="008B4BBC" w:rsidRPr="003445F5" w:rsidRDefault="008B4BBC" w:rsidP="00524FDF">
      <w:pPr>
        <w:rPr>
          <w:szCs w:val="22"/>
          <w:u w:val="single"/>
          <w:lang w:val="sr-Latn-ME"/>
        </w:rPr>
      </w:pPr>
    </w:p>
    <w:p w14:paraId="456A4C32" w14:textId="2A0D0459" w:rsidR="00DA56A9" w:rsidRPr="003445F5" w:rsidRDefault="00DA56A9" w:rsidP="00DA56A9">
      <w:pPr>
        <w:rPr>
          <w:szCs w:val="22"/>
          <w:lang w:val="sr-Latn-ME"/>
        </w:rPr>
      </w:pPr>
      <w:r w:rsidRPr="003445F5">
        <w:rPr>
          <w:szCs w:val="22"/>
          <w:lang w:val="sr-Latn-ME"/>
        </w:rPr>
        <w:t>Nakon supkutane primjene pojedinačne doze od 40 mg, adalimumab se sporo resorbuje i raspod</w:t>
      </w:r>
      <w:r w:rsidR="00704AF5" w:rsidRPr="003445F5">
        <w:rPr>
          <w:szCs w:val="22"/>
          <w:lang w:val="sr-Latn-ME"/>
        </w:rPr>
        <w:t>j</w:t>
      </w:r>
      <w:r w:rsidRPr="003445F5">
        <w:rPr>
          <w:szCs w:val="22"/>
          <w:lang w:val="sr-Latn-ME"/>
        </w:rPr>
        <w:t>eljuje, a maksimalne koncentracije u serumu postižu se približno 5 dana nakon primjene. Prosječna apsolutna bioraspoloživost adalimumaba je proc</w:t>
      </w:r>
      <w:r w:rsidR="00704AF5" w:rsidRPr="003445F5">
        <w:rPr>
          <w:szCs w:val="22"/>
          <w:lang w:val="sr-Latn-ME"/>
        </w:rPr>
        <w:t>i</w:t>
      </w:r>
      <w:r w:rsidRPr="003445F5">
        <w:rPr>
          <w:szCs w:val="22"/>
          <w:lang w:val="sr-Latn-ME"/>
        </w:rPr>
        <w:t xml:space="preserve">jenjena u tri studije sprovedene sa referentnim proizvodom nakon pojedinačne supkutane doze od 40 mg, i iznosila je 64%. Nakon pojedinačne intravenske doze u rasponu od 0,25 do 10 mg/kg koncentracije su bile dozno proporcionalne. Nakon doze od 0,5 mg/kg </w:t>
      </w:r>
      <w:r w:rsidRPr="003445F5">
        <w:rPr>
          <w:szCs w:val="22"/>
          <w:lang w:val="sr-Latn-ME"/>
        </w:rPr>
        <w:lastRenderedPageBreak/>
        <w:t>(~40 mg), raspon klirensa je iznosio od 11 do 15 m</w:t>
      </w:r>
      <w:r w:rsidR="00AF00CF" w:rsidRPr="003445F5">
        <w:rPr>
          <w:szCs w:val="22"/>
          <w:lang w:val="sr-Latn-ME"/>
        </w:rPr>
        <w:t>l</w:t>
      </w:r>
      <w:r w:rsidRPr="003445F5">
        <w:rPr>
          <w:szCs w:val="22"/>
          <w:lang w:val="sr-Latn-ME"/>
        </w:rPr>
        <w:t>/h, volumen distribucije (V</w:t>
      </w:r>
      <w:r w:rsidRPr="003445F5">
        <w:rPr>
          <w:szCs w:val="22"/>
          <w:vertAlign w:val="subscript"/>
          <w:lang w:val="sr-Latn-ME"/>
        </w:rPr>
        <w:t>ss</w:t>
      </w:r>
      <w:r w:rsidRPr="003445F5">
        <w:rPr>
          <w:szCs w:val="22"/>
          <w:lang w:val="sr-Latn-ME"/>
        </w:rPr>
        <w:t>) u opsegu od 5 do 6 litara i srednje poluvr</w:t>
      </w:r>
      <w:r w:rsidR="00704AF5" w:rsidRPr="003445F5">
        <w:rPr>
          <w:szCs w:val="22"/>
          <w:lang w:val="sr-Latn-ME"/>
        </w:rPr>
        <w:t>ij</w:t>
      </w:r>
      <w:r w:rsidRPr="003445F5">
        <w:rPr>
          <w:szCs w:val="22"/>
          <w:lang w:val="sr-Latn-ME"/>
        </w:rPr>
        <w:t xml:space="preserve">eme eliminacije u terminalnoj fazi iznosilo je približno dvije </w:t>
      </w:r>
      <w:r w:rsidR="00551F1D" w:rsidRPr="003445F5">
        <w:rPr>
          <w:szCs w:val="22"/>
          <w:lang w:val="sr-Latn-ME"/>
        </w:rPr>
        <w:t>nedjelj</w:t>
      </w:r>
      <w:r w:rsidR="0047711E" w:rsidRPr="003445F5">
        <w:rPr>
          <w:szCs w:val="22"/>
          <w:lang w:val="sr-Latn-ME"/>
        </w:rPr>
        <w:t>e</w:t>
      </w:r>
      <w:r w:rsidRPr="003445F5">
        <w:rPr>
          <w:szCs w:val="22"/>
          <w:lang w:val="sr-Latn-ME"/>
        </w:rPr>
        <w:t xml:space="preserve">. Koncentracije adalimumaba u sinovijalnoj tečnosti kod nekoliko pacijenata sa reumatoidnim artritisom iznosile su 31-96% koncentracije u serumu. </w:t>
      </w:r>
    </w:p>
    <w:p w14:paraId="77783B19" w14:textId="77777777" w:rsidR="004967B5" w:rsidRPr="003445F5" w:rsidRDefault="004967B5" w:rsidP="004967B5">
      <w:pPr>
        <w:rPr>
          <w:szCs w:val="22"/>
          <w:lang w:val="sr-Latn-ME"/>
        </w:rPr>
      </w:pPr>
    </w:p>
    <w:p w14:paraId="6422D944" w14:textId="6DDA77D5" w:rsidR="00AD5AFC" w:rsidRPr="003445F5" w:rsidRDefault="00AD5AFC" w:rsidP="00AD5AFC">
      <w:pPr>
        <w:rPr>
          <w:szCs w:val="22"/>
          <w:lang w:val="sr-Latn-ME"/>
        </w:rPr>
      </w:pPr>
      <w:r w:rsidRPr="003445F5">
        <w:rPr>
          <w:szCs w:val="22"/>
          <w:lang w:val="sr-Latn-ME"/>
        </w:rPr>
        <w:t xml:space="preserve">Nakon supkutane primjene adalimumaba u dozi od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kod odraslih pacijenata sa reumatoidnim artritisom (RA), srednja vrijednost najniže koncentracije lijeka u stanju dinamičke ravnoteže je bila približno 5 mikrograma/m</w:t>
      </w:r>
      <w:r w:rsidR="00AF00CF" w:rsidRPr="003445F5">
        <w:rPr>
          <w:szCs w:val="22"/>
          <w:lang w:val="sr-Latn-ME"/>
        </w:rPr>
        <w:t>l</w:t>
      </w:r>
      <w:r w:rsidRPr="003445F5">
        <w:rPr>
          <w:szCs w:val="22"/>
          <w:lang w:val="sr-Latn-ME"/>
        </w:rPr>
        <w:t xml:space="preserve"> (bez istovremene primjene metotreksata) i 8 do 9 mikrograma/m</w:t>
      </w:r>
      <w:r w:rsidR="00AF00CF" w:rsidRPr="003445F5">
        <w:rPr>
          <w:szCs w:val="22"/>
          <w:lang w:val="sr-Latn-ME"/>
        </w:rPr>
        <w:t>l</w:t>
      </w:r>
      <w:r w:rsidRPr="003445F5">
        <w:rPr>
          <w:szCs w:val="22"/>
          <w:lang w:val="sr-Latn-ME"/>
        </w:rPr>
        <w:t xml:space="preserve"> (uz istovremenu primjenu metotreksata). Najniže koncentracije adalimumaba u serumu u stanju dinamičke ravnoteže povećavale su se uglavnom srazmerno dozi nakon supkutane primjene 20, 40 i 80 mg svake dvije </w:t>
      </w:r>
      <w:r w:rsidR="00551F1D" w:rsidRPr="003445F5">
        <w:rPr>
          <w:szCs w:val="22"/>
          <w:lang w:val="sr-Latn-ME"/>
        </w:rPr>
        <w:t>nedjelj</w:t>
      </w:r>
      <w:r w:rsidR="0047711E" w:rsidRPr="003445F5">
        <w:rPr>
          <w:szCs w:val="22"/>
          <w:lang w:val="sr-Latn-ME"/>
        </w:rPr>
        <w:t>e</w:t>
      </w:r>
      <w:r w:rsidRPr="003445F5">
        <w:rPr>
          <w:szCs w:val="22"/>
          <w:lang w:val="sr-Latn-ME"/>
        </w:rPr>
        <w:t xml:space="preserve">, odnosno svake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67852E70" w14:textId="77777777" w:rsidR="003D4BE0" w:rsidRPr="003445F5" w:rsidRDefault="003D4BE0" w:rsidP="00524FDF">
      <w:pPr>
        <w:rPr>
          <w:szCs w:val="22"/>
          <w:lang w:val="sr-Latn-ME"/>
        </w:rPr>
      </w:pPr>
    </w:p>
    <w:p w14:paraId="4BE286DD" w14:textId="77D2FE38" w:rsidR="00F84816" w:rsidRPr="003445F5" w:rsidRDefault="00F84816" w:rsidP="00F84816">
      <w:pPr>
        <w:rPr>
          <w:szCs w:val="22"/>
          <w:lang w:val="sr-Latn-ME"/>
        </w:rPr>
      </w:pPr>
      <w:r w:rsidRPr="003445F5">
        <w:rPr>
          <w:szCs w:val="22"/>
          <w:lang w:val="sr-Latn-ME"/>
        </w:rPr>
        <w:t>Kod odraslih pacijenata sa psorijazom, srednja vrijednost minimalne koncentracije adalimumaba u stanju dinamičke ravnoteže bila je 5 mikrograma/m</w:t>
      </w:r>
      <w:r w:rsidR="00AF00CF" w:rsidRPr="003445F5">
        <w:rPr>
          <w:szCs w:val="22"/>
          <w:lang w:val="sr-Latn-ME"/>
        </w:rPr>
        <w:t>l</w:t>
      </w:r>
      <w:r w:rsidRPr="003445F5">
        <w:rPr>
          <w:szCs w:val="22"/>
          <w:lang w:val="sr-Latn-ME"/>
        </w:rPr>
        <w:t xml:space="preserve"> tokom primjene monoterapije dozom adalimumaba od 40 mg svake druge </w:t>
      </w:r>
      <w:r w:rsidR="00551F1D" w:rsidRPr="003445F5">
        <w:rPr>
          <w:szCs w:val="22"/>
          <w:lang w:val="sr-Latn-ME"/>
        </w:rPr>
        <w:t>nedjelj</w:t>
      </w:r>
      <w:r w:rsidR="0047711E" w:rsidRPr="003445F5">
        <w:rPr>
          <w:szCs w:val="22"/>
          <w:lang w:val="sr-Latn-ME"/>
        </w:rPr>
        <w:t>e</w:t>
      </w:r>
      <w:r w:rsidRPr="003445F5">
        <w:rPr>
          <w:szCs w:val="22"/>
          <w:lang w:val="sr-Latn-ME"/>
        </w:rPr>
        <w:t>.</w:t>
      </w:r>
    </w:p>
    <w:p w14:paraId="13090A8C" w14:textId="77777777" w:rsidR="003D4BE0" w:rsidRPr="003445F5" w:rsidRDefault="003D4BE0" w:rsidP="00524FDF">
      <w:pPr>
        <w:rPr>
          <w:szCs w:val="22"/>
          <w:lang w:val="sr-Latn-ME"/>
        </w:rPr>
      </w:pPr>
    </w:p>
    <w:p w14:paraId="3E878E27" w14:textId="7EE831BF" w:rsidR="00544212" w:rsidRPr="003445F5" w:rsidRDefault="00544212" w:rsidP="00544212">
      <w:pPr>
        <w:rPr>
          <w:szCs w:val="22"/>
          <w:lang w:val="sr-Latn-ME"/>
        </w:rPr>
      </w:pPr>
      <w:r w:rsidRPr="003445F5">
        <w:rPr>
          <w:szCs w:val="22"/>
          <w:lang w:val="sr-Latn-ME"/>
        </w:rPr>
        <w:t xml:space="preserve">Nakon primjene adalimumaba u dozi od 160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80 mg u 2. </w:t>
      </w:r>
      <w:r w:rsidR="00551F1D" w:rsidRPr="003445F5">
        <w:rPr>
          <w:szCs w:val="22"/>
          <w:lang w:val="sr-Latn-ME"/>
        </w:rPr>
        <w:t>nedjelj</w:t>
      </w:r>
      <w:r w:rsidR="00704AF5" w:rsidRPr="003445F5">
        <w:rPr>
          <w:szCs w:val="22"/>
          <w:lang w:val="sr-Latn-ME"/>
        </w:rPr>
        <w:t>i</w:t>
      </w:r>
      <w:r w:rsidRPr="003445F5">
        <w:rPr>
          <w:szCs w:val="22"/>
          <w:lang w:val="sr-Latn-ME"/>
        </w:rPr>
        <w:t xml:space="preserve"> kod odraslih pacijenata sa gnojnim zapaljenjem znojnih žlijezda (</w:t>
      </w:r>
      <w:r w:rsidRPr="003445F5">
        <w:rPr>
          <w:i/>
          <w:iCs/>
          <w:szCs w:val="22"/>
          <w:lang w:val="sr-Latn-ME"/>
        </w:rPr>
        <w:t>hidradenitis suppurativa</w:t>
      </w:r>
      <w:r w:rsidRPr="003445F5">
        <w:rPr>
          <w:szCs w:val="22"/>
          <w:lang w:val="sr-Latn-ME"/>
        </w:rPr>
        <w:t xml:space="preserve">), najniže koncentracije adalimumaba u serumu u 2. i 4. </w:t>
      </w:r>
      <w:r w:rsidR="00551F1D" w:rsidRPr="003445F5">
        <w:rPr>
          <w:szCs w:val="22"/>
          <w:lang w:val="sr-Latn-ME"/>
        </w:rPr>
        <w:t>nedjelj</w:t>
      </w:r>
      <w:r w:rsidR="00704AF5" w:rsidRPr="003445F5">
        <w:rPr>
          <w:szCs w:val="22"/>
          <w:lang w:val="sr-Latn-ME"/>
        </w:rPr>
        <w:t>i</w:t>
      </w:r>
      <w:r w:rsidRPr="003445F5">
        <w:rPr>
          <w:szCs w:val="22"/>
          <w:lang w:val="sr-Latn-ME"/>
        </w:rPr>
        <w:t xml:space="preserve"> iznosile su približno 7 do 8 mikrograma/m</w:t>
      </w:r>
      <w:r w:rsidR="00AF00CF" w:rsidRPr="003445F5">
        <w:rPr>
          <w:szCs w:val="22"/>
          <w:lang w:val="sr-Latn-ME"/>
        </w:rPr>
        <w:t>l</w:t>
      </w:r>
      <w:r w:rsidRPr="003445F5">
        <w:rPr>
          <w:szCs w:val="22"/>
          <w:lang w:val="sr-Latn-ME"/>
        </w:rPr>
        <w:t xml:space="preserve">. Kada se adalimumab primjenjivao u dozi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srednja vrijednost najniže koncentracije u stanju dinamičke ravnoteže od 12. do 36. </w:t>
      </w:r>
      <w:r w:rsidR="00551F1D" w:rsidRPr="003445F5">
        <w:rPr>
          <w:szCs w:val="22"/>
          <w:lang w:val="sr-Latn-ME"/>
        </w:rPr>
        <w:t>nedjelj</w:t>
      </w:r>
      <w:r w:rsidR="0047711E" w:rsidRPr="003445F5">
        <w:rPr>
          <w:szCs w:val="22"/>
          <w:lang w:val="sr-Latn-ME"/>
        </w:rPr>
        <w:t>e</w:t>
      </w:r>
      <w:r w:rsidRPr="003445F5">
        <w:rPr>
          <w:szCs w:val="22"/>
          <w:lang w:val="sr-Latn-ME"/>
        </w:rPr>
        <w:t xml:space="preserve"> iznosila je približno 8 do 10 mikrograma/m</w:t>
      </w:r>
      <w:r w:rsidR="00AF00CF" w:rsidRPr="003445F5">
        <w:rPr>
          <w:szCs w:val="22"/>
          <w:lang w:val="sr-Latn-ME"/>
        </w:rPr>
        <w:t>l</w:t>
      </w:r>
      <w:r w:rsidRPr="003445F5">
        <w:rPr>
          <w:szCs w:val="22"/>
          <w:lang w:val="sr-Latn-ME"/>
        </w:rPr>
        <w:t xml:space="preserve">. </w:t>
      </w:r>
    </w:p>
    <w:p w14:paraId="71653A38" w14:textId="77777777" w:rsidR="00544212" w:rsidRPr="003445F5" w:rsidRDefault="00544212" w:rsidP="00544212">
      <w:pPr>
        <w:rPr>
          <w:szCs w:val="22"/>
          <w:lang w:val="sr-Latn-ME"/>
        </w:rPr>
      </w:pPr>
    </w:p>
    <w:p w14:paraId="53775E32" w14:textId="4876F616" w:rsidR="00544212" w:rsidRPr="003445F5" w:rsidRDefault="00544212" w:rsidP="00544212">
      <w:pPr>
        <w:rPr>
          <w:szCs w:val="22"/>
          <w:lang w:val="sr-Latn-ME"/>
        </w:rPr>
      </w:pPr>
      <w:r w:rsidRPr="003445F5">
        <w:rPr>
          <w:szCs w:val="22"/>
          <w:lang w:val="sr-Latn-ME"/>
        </w:rPr>
        <w:t>Izloženost adalimumabu kod adolescentnih pacijenata sa gnojnim zapaljenjem znojnih žlijezda (</w:t>
      </w:r>
      <w:r w:rsidRPr="003445F5">
        <w:rPr>
          <w:i/>
          <w:iCs/>
          <w:szCs w:val="22"/>
          <w:lang w:val="sr-Latn-ME"/>
        </w:rPr>
        <w:t>hidradenitis suppurativa</w:t>
      </w:r>
      <w:r w:rsidRPr="003445F5">
        <w:rPr>
          <w:szCs w:val="22"/>
          <w:lang w:val="sr-Latn-ME"/>
        </w:rPr>
        <w:t xml:space="preserve">) predviđena je uz pomoć farmakokinetičkog modelovanja i simulacije na osnovu farmakokinetike u drugim indikacijama kod drugih pedijatrijskih pacijenata (psorijaza kod djece, juvenilni idiopatski artritis, </w:t>
      </w:r>
      <w:r w:rsidRPr="003445F5">
        <w:rPr>
          <w:i/>
          <w:iCs/>
          <w:szCs w:val="22"/>
          <w:lang w:val="sr-Latn-ME"/>
        </w:rPr>
        <w:t>Crohn</w:t>
      </w:r>
      <w:r w:rsidRPr="003445F5">
        <w:rPr>
          <w:szCs w:val="22"/>
          <w:lang w:val="sr-Latn-ME"/>
        </w:rPr>
        <w:t xml:space="preserve">-ova bolest kod djece i artritis povezan sa entezitisom). Preporučeni režim doziranja za adolescente sa gnojnim zapaljenjem znojnih žlijezda je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Budući da veličina </w:t>
      </w:r>
      <w:r w:rsidR="0063026D" w:rsidRPr="003445F5">
        <w:rPr>
          <w:szCs w:val="22"/>
          <w:lang w:val="sr-Latn-ME"/>
        </w:rPr>
        <w:t>tijela</w:t>
      </w:r>
      <w:r w:rsidRPr="003445F5">
        <w:rPr>
          <w:szCs w:val="22"/>
          <w:lang w:val="sr-Latn-ME"/>
        </w:rPr>
        <w:t xml:space="preserve"> može uticati na izloženost adalimumabu, adolescenti sa većom tjelesnom masom kod kojih nije postignut zadovoljavajući odgovor mogli bi imati koristi od primjene preporučene doze za odrasle od 40 mg svake </w:t>
      </w:r>
      <w:r w:rsidR="00551F1D" w:rsidRPr="003445F5">
        <w:rPr>
          <w:szCs w:val="22"/>
          <w:lang w:val="sr-Latn-ME"/>
        </w:rPr>
        <w:t>nedjelj</w:t>
      </w:r>
      <w:r w:rsidR="0047711E" w:rsidRPr="003445F5">
        <w:rPr>
          <w:szCs w:val="22"/>
          <w:lang w:val="sr-Latn-ME"/>
        </w:rPr>
        <w:t>e</w:t>
      </w:r>
      <w:r w:rsidRPr="003445F5">
        <w:rPr>
          <w:szCs w:val="22"/>
          <w:lang w:val="sr-Latn-ME"/>
        </w:rPr>
        <w:t xml:space="preserve">. </w:t>
      </w:r>
    </w:p>
    <w:p w14:paraId="256574B7" w14:textId="77777777" w:rsidR="00544212" w:rsidRPr="003445F5" w:rsidRDefault="00544212" w:rsidP="00544212">
      <w:pPr>
        <w:rPr>
          <w:szCs w:val="22"/>
          <w:lang w:val="sr-Latn-ME"/>
        </w:rPr>
      </w:pPr>
    </w:p>
    <w:p w14:paraId="403B4E12" w14:textId="58F4F842" w:rsidR="00544212" w:rsidRPr="003445F5" w:rsidRDefault="00544212" w:rsidP="00544212">
      <w:pPr>
        <w:ind w:left="-5"/>
        <w:rPr>
          <w:szCs w:val="22"/>
          <w:lang w:val="sr-Latn-ME"/>
        </w:rPr>
      </w:pPr>
      <w:r w:rsidRPr="003445F5">
        <w:rPr>
          <w:szCs w:val="22"/>
          <w:lang w:val="sr-Latn-ME"/>
        </w:rPr>
        <w:t xml:space="preserve">Tokom perioda indukcije kod pacijenata sa </w:t>
      </w:r>
      <w:r w:rsidRPr="003445F5">
        <w:rPr>
          <w:i/>
          <w:iCs/>
          <w:szCs w:val="22"/>
          <w:lang w:val="sr-Latn-ME"/>
        </w:rPr>
        <w:t>Crohn</w:t>
      </w:r>
      <w:r w:rsidRPr="003445F5">
        <w:rPr>
          <w:szCs w:val="22"/>
          <w:lang w:val="sr-Latn-ME"/>
        </w:rPr>
        <w:t xml:space="preserve">-ovom bolešću nakon udarne doze od 80 mg adalimumaba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zatim 40 mg adalimumaba u drugoj </w:t>
      </w:r>
      <w:r w:rsidR="00551F1D" w:rsidRPr="003445F5">
        <w:rPr>
          <w:szCs w:val="22"/>
          <w:lang w:val="sr-Latn-ME"/>
        </w:rPr>
        <w:t>nedjelj</w:t>
      </w:r>
      <w:r w:rsidR="00704AF5" w:rsidRPr="003445F5">
        <w:rPr>
          <w:szCs w:val="22"/>
          <w:lang w:val="sr-Latn-ME"/>
        </w:rPr>
        <w:t>i</w:t>
      </w:r>
      <w:r w:rsidRPr="003445F5">
        <w:rPr>
          <w:szCs w:val="22"/>
          <w:lang w:val="sr-Latn-ME"/>
        </w:rPr>
        <w:t xml:space="preserve"> postignute su najniže koncentracije adalimumaba u serumu od oko 5,5 mikrograma/m</w:t>
      </w:r>
      <w:r w:rsidR="00AF00CF" w:rsidRPr="003445F5">
        <w:rPr>
          <w:szCs w:val="22"/>
          <w:lang w:val="sr-Latn-ME"/>
        </w:rPr>
        <w:t>l</w:t>
      </w:r>
      <w:r w:rsidRPr="003445F5">
        <w:rPr>
          <w:szCs w:val="22"/>
          <w:lang w:val="sr-Latn-ME"/>
        </w:rPr>
        <w:t xml:space="preserve">. Nakon udarne doze od 160 mg adalimumaba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w:t>
      </w:r>
      <w:r w:rsidRPr="003445F5">
        <w:rPr>
          <w:szCs w:val="22"/>
          <w:lang w:val="sr-Latn-ME"/>
        </w:rPr>
        <w:t xml:space="preserve"> 0) praćene dozom od 80 mg adalimumaba u drugoj </w:t>
      </w:r>
      <w:r w:rsidR="00551F1D" w:rsidRPr="003445F5">
        <w:rPr>
          <w:szCs w:val="22"/>
          <w:lang w:val="sr-Latn-ME"/>
        </w:rPr>
        <w:t>nedjelj</w:t>
      </w:r>
      <w:r w:rsidR="00704AF5" w:rsidRPr="003445F5">
        <w:rPr>
          <w:szCs w:val="22"/>
          <w:lang w:val="sr-Latn-ME"/>
        </w:rPr>
        <w:t>i</w:t>
      </w:r>
      <w:r w:rsidRPr="003445F5">
        <w:rPr>
          <w:szCs w:val="22"/>
          <w:lang w:val="sr-Latn-ME"/>
        </w:rPr>
        <w:t xml:space="preserve"> postignute su najniže koncentracije adalimumaba u serumu od oko 12 mikrograma/m</w:t>
      </w:r>
      <w:r w:rsidR="00AF00CF" w:rsidRPr="003445F5">
        <w:rPr>
          <w:szCs w:val="22"/>
          <w:lang w:val="sr-Latn-ME"/>
        </w:rPr>
        <w:t>l</w:t>
      </w:r>
      <w:r w:rsidRPr="003445F5">
        <w:rPr>
          <w:szCs w:val="22"/>
          <w:lang w:val="sr-Latn-ME"/>
        </w:rPr>
        <w:t xml:space="preserve"> tokom perioda indukcije. Kod pacijenata sa </w:t>
      </w:r>
      <w:r w:rsidRPr="003445F5">
        <w:rPr>
          <w:i/>
          <w:iCs/>
          <w:szCs w:val="22"/>
          <w:lang w:val="sr-Latn-ME"/>
        </w:rPr>
        <w:t>Crohn</w:t>
      </w:r>
      <w:r w:rsidRPr="003445F5">
        <w:rPr>
          <w:szCs w:val="22"/>
          <w:lang w:val="sr-Latn-ME"/>
        </w:rPr>
        <w:t xml:space="preserve">-ovom bolešću koji primaju terapiju održavanja dozom od 40 mg adalimumaba svake druge </w:t>
      </w:r>
      <w:r w:rsidR="00551F1D" w:rsidRPr="003445F5">
        <w:rPr>
          <w:szCs w:val="22"/>
          <w:lang w:val="sr-Latn-ME"/>
        </w:rPr>
        <w:t>nedjelj</w:t>
      </w:r>
      <w:r w:rsidR="0047711E" w:rsidRPr="003445F5">
        <w:rPr>
          <w:szCs w:val="22"/>
          <w:lang w:val="sr-Latn-ME"/>
        </w:rPr>
        <w:t>e</w:t>
      </w:r>
      <w:r w:rsidRPr="003445F5">
        <w:rPr>
          <w:szCs w:val="22"/>
          <w:lang w:val="sr-Latn-ME"/>
        </w:rPr>
        <w:t xml:space="preserve"> prosječna najniža koncentracija adalimumaba u serumu bila je oko 7 mikrograma/m</w:t>
      </w:r>
      <w:r w:rsidR="00AF00CF" w:rsidRPr="003445F5">
        <w:rPr>
          <w:szCs w:val="22"/>
          <w:lang w:val="sr-Latn-ME"/>
        </w:rPr>
        <w:t>l</w:t>
      </w:r>
      <w:r w:rsidRPr="003445F5">
        <w:rPr>
          <w:szCs w:val="22"/>
          <w:lang w:val="sr-Latn-ME"/>
        </w:rPr>
        <w:t xml:space="preserve">. </w:t>
      </w:r>
    </w:p>
    <w:p w14:paraId="4F1458B4" w14:textId="77777777" w:rsidR="000E39A1" w:rsidRPr="003445F5" w:rsidRDefault="000E39A1" w:rsidP="000E39A1">
      <w:pPr>
        <w:ind w:left="-5"/>
        <w:rPr>
          <w:szCs w:val="22"/>
          <w:lang w:val="sr-Latn-ME"/>
        </w:rPr>
      </w:pPr>
    </w:p>
    <w:p w14:paraId="5E4796D9" w14:textId="6978471D" w:rsidR="00822C45" w:rsidRPr="003445F5" w:rsidRDefault="00822C45" w:rsidP="00822C45">
      <w:pPr>
        <w:ind w:left="-5"/>
        <w:rPr>
          <w:szCs w:val="22"/>
          <w:lang w:val="sr-Latn-ME"/>
        </w:rPr>
      </w:pPr>
      <w:r w:rsidRPr="003445F5">
        <w:rPr>
          <w:szCs w:val="22"/>
          <w:lang w:val="sr-Latn-ME"/>
        </w:rPr>
        <w:t xml:space="preserve">Kod pedijatrijskih pacijenata sa umjerenim do teškim oblikom </w:t>
      </w:r>
      <w:r w:rsidRPr="003445F5">
        <w:rPr>
          <w:i/>
          <w:iCs/>
          <w:szCs w:val="22"/>
          <w:lang w:val="sr-Latn-ME"/>
        </w:rPr>
        <w:t>Crohn</w:t>
      </w:r>
      <w:r w:rsidRPr="003445F5">
        <w:rPr>
          <w:szCs w:val="22"/>
          <w:lang w:val="sr-Latn-ME"/>
        </w:rPr>
        <w:t xml:space="preserve">-ove bolesti, indukciona doza u otvorenoj studiji bila je 160/80 mg ili 80/40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drugoj </w:t>
      </w:r>
      <w:r w:rsidR="00551F1D" w:rsidRPr="003445F5">
        <w:rPr>
          <w:szCs w:val="22"/>
          <w:lang w:val="sr-Latn-ME"/>
        </w:rPr>
        <w:t>nedjelj</w:t>
      </w:r>
      <w:r w:rsidR="00704AF5" w:rsidRPr="003445F5">
        <w:rPr>
          <w:szCs w:val="22"/>
          <w:lang w:val="sr-Latn-ME"/>
        </w:rPr>
        <w:t>i</w:t>
      </w:r>
      <w:r w:rsidRPr="003445F5">
        <w:rPr>
          <w:szCs w:val="22"/>
          <w:lang w:val="sr-Latn-ME"/>
        </w:rPr>
        <w:t xml:space="preserve">, u zavisnosti od granične vrijednosti za tjelesnu masu od 40 kg. U 4. </w:t>
      </w:r>
      <w:r w:rsidR="00551F1D" w:rsidRPr="003445F5">
        <w:rPr>
          <w:szCs w:val="22"/>
          <w:lang w:val="sr-Latn-ME"/>
        </w:rPr>
        <w:t>nedjelj</w:t>
      </w:r>
      <w:r w:rsidR="00704AF5" w:rsidRPr="003445F5">
        <w:rPr>
          <w:szCs w:val="22"/>
          <w:lang w:val="sr-Latn-ME"/>
        </w:rPr>
        <w:t>i</w:t>
      </w:r>
      <w:r w:rsidRPr="003445F5">
        <w:rPr>
          <w:szCs w:val="22"/>
          <w:lang w:val="sr-Latn-ME"/>
        </w:rPr>
        <w:t xml:space="preserve">, pacijenti su randomizovani 1:1, da bi primali ili standardnu dozu (40/20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ili nisku dozu (20/10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na osnovu tjelesne mase, kao terapiju održavanja. Srednja vrijednost (± SD) najnižih koncentracija adalimumaba u serumu nakon 4 </w:t>
      </w:r>
      <w:r w:rsidR="00551F1D" w:rsidRPr="003445F5">
        <w:rPr>
          <w:szCs w:val="22"/>
          <w:lang w:val="sr-Latn-ME"/>
        </w:rPr>
        <w:t>nedjelj</w:t>
      </w:r>
      <w:r w:rsidR="0047711E" w:rsidRPr="003445F5">
        <w:rPr>
          <w:szCs w:val="22"/>
          <w:lang w:val="sr-Latn-ME"/>
        </w:rPr>
        <w:t>e</w:t>
      </w:r>
      <w:r w:rsidRPr="003445F5">
        <w:rPr>
          <w:szCs w:val="22"/>
          <w:lang w:val="sr-Latn-ME"/>
        </w:rPr>
        <w:t xml:space="preserve"> bila je 15,7 ± 6,6 mikrograma/m</w:t>
      </w:r>
      <w:r w:rsidR="00AF00CF" w:rsidRPr="003445F5">
        <w:rPr>
          <w:szCs w:val="22"/>
          <w:lang w:val="sr-Latn-ME"/>
        </w:rPr>
        <w:t>l</w:t>
      </w:r>
      <w:r w:rsidRPr="003445F5">
        <w:rPr>
          <w:szCs w:val="22"/>
          <w:lang w:val="sr-Latn-ME"/>
        </w:rPr>
        <w:t xml:space="preserve"> kod pacijenata sa tjelesnom masom ≥40 kg (160/80 mg), i 10,6 ± 6,1 mikrograma/m</w:t>
      </w:r>
      <w:r w:rsidR="00AF00CF" w:rsidRPr="003445F5">
        <w:rPr>
          <w:szCs w:val="22"/>
          <w:lang w:val="sr-Latn-ME"/>
        </w:rPr>
        <w:t>l</w:t>
      </w:r>
      <w:r w:rsidRPr="003445F5">
        <w:rPr>
          <w:szCs w:val="22"/>
          <w:lang w:val="sr-Latn-ME"/>
        </w:rPr>
        <w:t xml:space="preserve"> kod pacijenata sa tjelesnom masom &lt; 40 kg (80/40 mg).</w:t>
      </w:r>
    </w:p>
    <w:p w14:paraId="7B72D912" w14:textId="77777777" w:rsidR="00822C45" w:rsidRPr="003445F5" w:rsidRDefault="00822C45" w:rsidP="00822C45">
      <w:pPr>
        <w:ind w:left="-5"/>
        <w:rPr>
          <w:szCs w:val="22"/>
          <w:lang w:val="sr-Latn-ME"/>
        </w:rPr>
      </w:pPr>
    </w:p>
    <w:p w14:paraId="7FFE8A5C" w14:textId="15EA50BD" w:rsidR="00822C45" w:rsidRPr="003445F5" w:rsidRDefault="00822C45" w:rsidP="00822C45">
      <w:pPr>
        <w:ind w:left="-5"/>
        <w:rPr>
          <w:szCs w:val="22"/>
          <w:lang w:val="sr-Latn-ME"/>
        </w:rPr>
      </w:pPr>
      <w:r w:rsidRPr="003445F5">
        <w:rPr>
          <w:szCs w:val="22"/>
          <w:lang w:val="sr-Latn-ME"/>
        </w:rPr>
        <w:t xml:space="preserve">Kod pacijenata koji su ostali na svojoj randomizovanoj terapiji, prosječne koncentracije (± SD) adalimumaba u serumu nakon 52 </w:t>
      </w:r>
      <w:r w:rsidR="00551F1D" w:rsidRPr="003445F5">
        <w:rPr>
          <w:szCs w:val="22"/>
          <w:lang w:val="sr-Latn-ME"/>
        </w:rPr>
        <w:t>nedjelj</w:t>
      </w:r>
      <w:r w:rsidR="0047711E" w:rsidRPr="003445F5">
        <w:rPr>
          <w:szCs w:val="22"/>
          <w:lang w:val="sr-Latn-ME"/>
        </w:rPr>
        <w:t>e</w:t>
      </w:r>
      <w:r w:rsidRPr="003445F5">
        <w:rPr>
          <w:szCs w:val="22"/>
          <w:lang w:val="sr-Latn-ME"/>
        </w:rPr>
        <w:t xml:space="preserve"> bile su 9,5 ± 5,6 mikrograma/m</w:t>
      </w:r>
      <w:r w:rsidR="00AF00CF" w:rsidRPr="003445F5">
        <w:rPr>
          <w:szCs w:val="22"/>
          <w:lang w:val="sr-Latn-ME"/>
        </w:rPr>
        <w:t>l</w:t>
      </w:r>
      <w:r w:rsidRPr="003445F5">
        <w:rPr>
          <w:szCs w:val="22"/>
          <w:lang w:val="sr-Latn-ME"/>
        </w:rPr>
        <w:t xml:space="preserve"> u grupi koja je primala standardnu dozu, i 3,5 ± 2,2 mikrograma/m</w:t>
      </w:r>
      <w:r w:rsidR="00AF00CF" w:rsidRPr="003445F5">
        <w:rPr>
          <w:szCs w:val="22"/>
          <w:lang w:val="sr-Latn-ME"/>
        </w:rPr>
        <w:t>l</w:t>
      </w:r>
      <w:r w:rsidRPr="003445F5">
        <w:rPr>
          <w:szCs w:val="22"/>
          <w:lang w:val="sr-Latn-ME"/>
        </w:rPr>
        <w:t xml:space="preserve"> u grupi koja je primala nisku dozu. Prosječne koncentracije su održane kod pacijenata koji su nastavili da primaju adalimumab terapiju svake druge </w:t>
      </w:r>
      <w:r w:rsidR="00551F1D" w:rsidRPr="003445F5">
        <w:rPr>
          <w:szCs w:val="22"/>
          <w:lang w:val="sr-Latn-ME"/>
        </w:rPr>
        <w:t>nedjelj</w:t>
      </w:r>
      <w:r w:rsidR="0047711E" w:rsidRPr="003445F5">
        <w:rPr>
          <w:szCs w:val="22"/>
          <w:lang w:val="sr-Latn-ME"/>
        </w:rPr>
        <w:t>e</w:t>
      </w:r>
      <w:r w:rsidRPr="003445F5">
        <w:rPr>
          <w:szCs w:val="22"/>
          <w:lang w:val="sr-Latn-ME"/>
        </w:rPr>
        <w:t xml:space="preserve"> tokom 52 </w:t>
      </w:r>
      <w:r w:rsidR="00551F1D" w:rsidRPr="003445F5">
        <w:rPr>
          <w:szCs w:val="22"/>
          <w:lang w:val="sr-Latn-ME"/>
        </w:rPr>
        <w:t>nedjelj</w:t>
      </w:r>
      <w:r w:rsidR="0047711E" w:rsidRPr="003445F5">
        <w:rPr>
          <w:szCs w:val="22"/>
          <w:lang w:val="sr-Latn-ME"/>
        </w:rPr>
        <w:t>e</w:t>
      </w:r>
      <w:r w:rsidRPr="003445F5">
        <w:rPr>
          <w:szCs w:val="22"/>
          <w:lang w:val="sr-Latn-ME"/>
        </w:rPr>
        <w:t xml:space="preserve">. Kod pacijenata kod kojih je doza povećana sa svake dvije </w:t>
      </w:r>
      <w:r w:rsidR="00551F1D" w:rsidRPr="003445F5">
        <w:rPr>
          <w:szCs w:val="22"/>
          <w:lang w:val="sr-Latn-ME"/>
        </w:rPr>
        <w:t>nedjelj</w:t>
      </w:r>
      <w:r w:rsidR="0047711E" w:rsidRPr="003445F5">
        <w:rPr>
          <w:szCs w:val="22"/>
          <w:lang w:val="sr-Latn-ME"/>
        </w:rPr>
        <w:t>e</w:t>
      </w:r>
      <w:r w:rsidRPr="003445F5">
        <w:rPr>
          <w:szCs w:val="22"/>
          <w:lang w:val="sr-Latn-ME"/>
        </w:rPr>
        <w:t xml:space="preserve"> na svaku nedjelju, </w:t>
      </w:r>
      <w:r w:rsidRPr="003445F5">
        <w:rPr>
          <w:szCs w:val="22"/>
          <w:lang w:val="sr-Latn-ME"/>
        </w:rPr>
        <w:lastRenderedPageBreak/>
        <w:t xml:space="preserve">prosječna koncentracija (± SD) adalimumaba u serumu nakon 52 </w:t>
      </w:r>
      <w:r w:rsidR="00551F1D" w:rsidRPr="003445F5">
        <w:rPr>
          <w:szCs w:val="22"/>
          <w:lang w:val="sr-Latn-ME"/>
        </w:rPr>
        <w:t>nedjelj</w:t>
      </w:r>
      <w:r w:rsidR="0047711E" w:rsidRPr="003445F5">
        <w:rPr>
          <w:szCs w:val="22"/>
          <w:lang w:val="sr-Latn-ME"/>
        </w:rPr>
        <w:t>e</w:t>
      </w:r>
      <w:r w:rsidRPr="003445F5">
        <w:rPr>
          <w:szCs w:val="22"/>
          <w:lang w:val="sr-Latn-ME"/>
        </w:rPr>
        <w:t xml:space="preserve"> bila je 15,3 ± 11,4 mikrograma/m</w:t>
      </w:r>
      <w:r w:rsidR="00AF00CF" w:rsidRPr="003445F5">
        <w:rPr>
          <w:szCs w:val="22"/>
          <w:lang w:val="sr-Latn-ME"/>
        </w:rPr>
        <w:t>l</w:t>
      </w:r>
      <w:r w:rsidRPr="003445F5">
        <w:rPr>
          <w:szCs w:val="22"/>
          <w:lang w:val="sr-Latn-ME"/>
        </w:rPr>
        <w:t xml:space="preserve"> (40/20 mg nedjeljno) i 6,7 ± 3,5 mikrograma/m</w:t>
      </w:r>
      <w:r w:rsidR="00AF00CF" w:rsidRPr="003445F5">
        <w:rPr>
          <w:szCs w:val="22"/>
          <w:lang w:val="sr-Latn-ME"/>
        </w:rPr>
        <w:t>l</w:t>
      </w:r>
      <w:r w:rsidRPr="003445F5">
        <w:rPr>
          <w:szCs w:val="22"/>
          <w:lang w:val="sr-Latn-ME"/>
        </w:rPr>
        <w:t xml:space="preserve"> (20/10 mg nedjeljno). </w:t>
      </w:r>
    </w:p>
    <w:p w14:paraId="2360EFC8" w14:textId="77777777" w:rsidR="000E39A1" w:rsidRPr="003445F5" w:rsidRDefault="000E39A1" w:rsidP="00524FDF">
      <w:pPr>
        <w:ind w:left="-5"/>
        <w:rPr>
          <w:szCs w:val="22"/>
          <w:lang w:val="sr-Latn-ME"/>
        </w:rPr>
      </w:pPr>
    </w:p>
    <w:p w14:paraId="2A135A59" w14:textId="57632EBF" w:rsidR="00646619" w:rsidRPr="003445F5" w:rsidRDefault="00646619" w:rsidP="00646619">
      <w:pPr>
        <w:ind w:left="-5"/>
        <w:rPr>
          <w:szCs w:val="22"/>
          <w:lang w:val="sr-Latn-ME"/>
        </w:rPr>
      </w:pPr>
      <w:r w:rsidRPr="003445F5">
        <w:rPr>
          <w:szCs w:val="22"/>
          <w:lang w:val="sr-Latn-ME"/>
        </w:rPr>
        <w:t xml:space="preserve">Tokom perioda indukcije kod pacijenata sa ulceroznim kolitisom nakon udarne doze od 160 mg adalimumaba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xml:space="preserve">) i druge doze od 80 mg adalimumaba u drugoj </w:t>
      </w:r>
      <w:r w:rsidR="00551F1D" w:rsidRPr="003445F5">
        <w:rPr>
          <w:szCs w:val="22"/>
          <w:lang w:val="sr-Latn-ME"/>
        </w:rPr>
        <w:t>nedjelj</w:t>
      </w:r>
      <w:r w:rsidR="00704AF5" w:rsidRPr="003445F5">
        <w:rPr>
          <w:szCs w:val="22"/>
          <w:lang w:val="sr-Latn-ME"/>
        </w:rPr>
        <w:t>i</w:t>
      </w:r>
      <w:r w:rsidRPr="003445F5">
        <w:rPr>
          <w:szCs w:val="22"/>
          <w:lang w:val="sr-Latn-ME"/>
        </w:rPr>
        <w:t xml:space="preserve"> postignute su najniže koncentracije adalimumaba u serumu od oko 12 mikrograma/m</w:t>
      </w:r>
      <w:r w:rsidR="00AF00CF" w:rsidRPr="003445F5">
        <w:rPr>
          <w:szCs w:val="22"/>
          <w:lang w:val="sr-Latn-ME"/>
        </w:rPr>
        <w:t>l</w:t>
      </w:r>
      <w:r w:rsidRPr="003445F5">
        <w:rPr>
          <w:szCs w:val="22"/>
          <w:lang w:val="sr-Latn-ME"/>
        </w:rPr>
        <w:t xml:space="preserve">. Kod pacijenata sa ulceroznim kolitisom koji su primali terapiju održavanja dozom od 40 mg svake druge </w:t>
      </w:r>
      <w:r w:rsidR="00551F1D" w:rsidRPr="003445F5">
        <w:rPr>
          <w:szCs w:val="22"/>
          <w:lang w:val="sr-Latn-ME"/>
        </w:rPr>
        <w:t>nedjelj</w:t>
      </w:r>
      <w:r w:rsidR="0047711E" w:rsidRPr="003445F5">
        <w:rPr>
          <w:szCs w:val="22"/>
          <w:lang w:val="sr-Latn-ME"/>
        </w:rPr>
        <w:t>e</w:t>
      </w:r>
      <w:r w:rsidRPr="003445F5">
        <w:rPr>
          <w:szCs w:val="22"/>
          <w:lang w:val="sr-Latn-ME"/>
        </w:rPr>
        <w:t>, srednja vrijednost najniže koncentracije adalimumaba u serumu u stanju dinamičke ravnoteže iznosila je oko 8 mikrograma/m</w:t>
      </w:r>
      <w:r w:rsidR="00AF00CF" w:rsidRPr="003445F5">
        <w:rPr>
          <w:szCs w:val="22"/>
          <w:lang w:val="sr-Latn-ME"/>
        </w:rPr>
        <w:t>l</w:t>
      </w:r>
      <w:r w:rsidRPr="003445F5">
        <w:rPr>
          <w:szCs w:val="22"/>
          <w:lang w:val="sr-Latn-ME"/>
        </w:rPr>
        <w:t xml:space="preserve">. </w:t>
      </w:r>
    </w:p>
    <w:p w14:paraId="437DD1D6" w14:textId="77777777" w:rsidR="00646619" w:rsidRPr="003445F5" w:rsidRDefault="00646619" w:rsidP="00646619">
      <w:pPr>
        <w:ind w:left="-5"/>
        <w:rPr>
          <w:szCs w:val="22"/>
          <w:lang w:val="sr-Latn-ME"/>
        </w:rPr>
      </w:pPr>
    </w:p>
    <w:p w14:paraId="4CE7DFD9" w14:textId="5351230E" w:rsidR="00646619" w:rsidRPr="003445F5" w:rsidRDefault="00646619" w:rsidP="00646619">
      <w:pPr>
        <w:ind w:left="-5"/>
        <w:rPr>
          <w:szCs w:val="22"/>
          <w:lang w:val="sr-Latn-ME"/>
        </w:rPr>
      </w:pPr>
      <w:r w:rsidRPr="003445F5">
        <w:rPr>
          <w:szCs w:val="22"/>
          <w:lang w:val="sr-Latn-ME"/>
        </w:rPr>
        <w:t xml:space="preserve">Nakon supkutane primjene doze prilagođene tjelesnoj masi od 0,6 mg/kg (maksimalno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pedijatrijskim pacijentima sa ulceroznim kolitisom, srednja minimalna koncentracija adalimumaba u stanju dinamičke ravnoteže u serumu bila je 5,01±3,28 mg/m</w:t>
      </w:r>
      <w:r w:rsidR="00AF00CF" w:rsidRPr="003445F5">
        <w:rPr>
          <w:szCs w:val="22"/>
          <w:lang w:val="sr-Latn-ME"/>
        </w:rPr>
        <w:t>l</w:t>
      </w:r>
      <w:r w:rsidRPr="003445F5">
        <w:rPr>
          <w:szCs w:val="22"/>
          <w:lang w:val="sr-Latn-ME"/>
        </w:rPr>
        <w:t xml:space="preserve"> u 52. </w:t>
      </w:r>
      <w:r w:rsidR="00551F1D" w:rsidRPr="003445F5">
        <w:rPr>
          <w:szCs w:val="22"/>
          <w:lang w:val="sr-Latn-ME"/>
        </w:rPr>
        <w:t>nedjelj</w:t>
      </w:r>
      <w:r w:rsidR="00704AF5" w:rsidRPr="003445F5">
        <w:rPr>
          <w:szCs w:val="22"/>
          <w:lang w:val="sr-Latn-ME"/>
        </w:rPr>
        <w:t>i</w:t>
      </w:r>
      <w:r w:rsidRPr="003445F5">
        <w:rPr>
          <w:szCs w:val="22"/>
          <w:lang w:val="sr-Latn-ME"/>
        </w:rPr>
        <w:t xml:space="preserve">. Za pacijente koji su primali 0,6 mg/kg (maksimalno 40 mg) svake </w:t>
      </w:r>
      <w:r w:rsidR="00551F1D" w:rsidRPr="003445F5">
        <w:rPr>
          <w:szCs w:val="22"/>
          <w:lang w:val="sr-Latn-ME"/>
        </w:rPr>
        <w:t>nedjelj</w:t>
      </w:r>
      <w:r w:rsidR="0047711E" w:rsidRPr="003445F5">
        <w:rPr>
          <w:szCs w:val="22"/>
          <w:lang w:val="sr-Latn-ME"/>
        </w:rPr>
        <w:t>e</w:t>
      </w:r>
      <w:r w:rsidRPr="003445F5">
        <w:rPr>
          <w:szCs w:val="22"/>
          <w:lang w:val="sr-Latn-ME"/>
        </w:rPr>
        <w:t>, srednja (±SD) minimalna koncentracija adalimumaba u stanju dinamičke ravnoteže u serumu bila je 15,7±5,60 mg/m</w:t>
      </w:r>
      <w:r w:rsidR="00AF00CF" w:rsidRPr="003445F5">
        <w:rPr>
          <w:szCs w:val="22"/>
          <w:lang w:val="sr-Latn-ME"/>
        </w:rPr>
        <w:t>l</w:t>
      </w:r>
      <w:r w:rsidRPr="003445F5">
        <w:rPr>
          <w:szCs w:val="22"/>
          <w:lang w:val="sr-Latn-ME"/>
        </w:rPr>
        <w:t xml:space="preserve"> u 52. </w:t>
      </w:r>
      <w:r w:rsidR="00551F1D" w:rsidRPr="003445F5">
        <w:rPr>
          <w:szCs w:val="22"/>
          <w:lang w:val="sr-Latn-ME"/>
        </w:rPr>
        <w:t>nedjelj</w:t>
      </w:r>
      <w:r w:rsidR="00704AF5" w:rsidRPr="003445F5">
        <w:rPr>
          <w:szCs w:val="22"/>
          <w:lang w:val="sr-Latn-ME"/>
        </w:rPr>
        <w:t>i</w:t>
      </w:r>
      <w:r w:rsidRPr="003445F5">
        <w:rPr>
          <w:szCs w:val="22"/>
          <w:lang w:val="sr-Latn-ME"/>
        </w:rPr>
        <w:t>.</w:t>
      </w:r>
    </w:p>
    <w:p w14:paraId="76837141" w14:textId="77777777" w:rsidR="00646619" w:rsidRPr="003445F5" w:rsidRDefault="00646619" w:rsidP="00646619">
      <w:pPr>
        <w:ind w:left="-5"/>
        <w:rPr>
          <w:szCs w:val="22"/>
          <w:lang w:val="sr-Latn-ME"/>
        </w:rPr>
      </w:pPr>
    </w:p>
    <w:p w14:paraId="2B9CBA42" w14:textId="66D2F474" w:rsidR="00646619" w:rsidRPr="003445F5" w:rsidRDefault="00646619" w:rsidP="00646619">
      <w:pPr>
        <w:rPr>
          <w:szCs w:val="22"/>
          <w:lang w:val="sr-Latn-ME"/>
        </w:rPr>
      </w:pPr>
      <w:r w:rsidRPr="003445F5">
        <w:rPr>
          <w:szCs w:val="22"/>
          <w:lang w:val="sr-Latn-ME"/>
        </w:rPr>
        <w:t xml:space="preserve">Kod odraslih pacijenata sa uveitisom, udarna doza adalimumaba od 80 mg u početnoj </w:t>
      </w:r>
      <w:r w:rsidR="00551F1D" w:rsidRPr="003445F5">
        <w:rPr>
          <w:szCs w:val="22"/>
          <w:lang w:val="sr-Latn-ME"/>
        </w:rPr>
        <w:t>nedjelj</w:t>
      </w:r>
      <w:r w:rsidR="00704AF5" w:rsidRPr="003445F5">
        <w:rPr>
          <w:szCs w:val="22"/>
          <w:lang w:val="sr-Latn-ME"/>
        </w:rPr>
        <w:t>i</w:t>
      </w:r>
      <w:r w:rsidRPr="003445F5">
        <w:rPr>
          <w:szCs w:val="22"/>
          <w:lang w:val="sr-Latn-ME"/>
        </w:rPr>
        <w:t xml:space="preserve"> (označena kao nulta nedjelja, </w:t>
      </w:r>
      <w:r w:rsidRPr="003445F5">
        <w:rPr>
          <w:i/>
          <w:iCs/>
          <w:szCs w:val="22"/>
          <w:lang w:val="sr-Latn-ME"/>
        </w:rPr>
        <w:t>Week 0</w:t>
      </w:r>
      <w:r w:rsidRPr="003445F5">
        <w:rPr>
          <w:szCs w:val="22"/>
          <w:lang w:val="sr-Latn-ME"/>
        </w:rPr>
        <w:t>), nakon čega sl</w:t>
      </w:r>
      <w:r w:rsidR="00704AF5" w:rsidRPr="003445F5">
        <w:rPr>
          <w:szCs w:val="22"/>
          <w:lang w:val="sr-Latn-ME"/>
        </w:rPr>
        <w:t>ij</w:t>
      </w:r>
      <w:r w:rsidRPr="003445F5">
        <w:rPr>
          <w:szCs w:val="22"/>
          <w:lang w:val="sr-Latn-ME"/>
        </w:rPr>
        <w:t xml:space="preserve">edi 40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počevši od 1. </w:t>
      </w:r>
      <w:r w:rsidR="00551F1D" w:rsidRPr="003445F5">
        <w:rPr>
          <w:szCs w:val="22"/>
          <w:lang w:val="sr-Latn-ME"/>
        </w:rPr>
        <w:t>nedjelj</w:t>
      </w:r>
      <w:r w:rsidR="0047711E" w:rsidRPr="003445F5">
        <w:rPr>
          <w:szCs w:val="22"/>
          <w:lang w:val="sr-Latn-ME"/>
        </w:rPr>
        <w:t>e</w:t>
      </w:r>
      <w:r w:rsidRPr="003445F5">
        <w:rPr>
          <w:szCs w:val="22"/>
          <w:lang w:val="sr-Latn-ME"/>
        </w:rPr>
        <w:t>, dovela je do srednje vrijednosti koncentracija u stanju dinamičke ravnoteže od približno 8 – 10 mikrograma/m</w:t>
      </w:r>
      <w:r w:rsidR="00AF00CF" w:rsidRPr="003445F5">
        <w:rPr>
          <w:szCs w:val="22"/>
          <w:lang w:val="sr-Latn-ME"/>
        </w:rPr>
        <w:t>l</w:t>
      </w:r>
      <w:r w:rsidRPr="003445F5">
        <w:rPr>
          <w:szCs w:val="22"/>
          <w:lang w:val="sr-Latn-ME"/>
        </w:rPr>
        <w:t>.</w:t>
      </w:r>
    </w:p>
    <w:p w14:paraId="36A24254" w14:textId="77777777" w:rsidR="00646619" w:rsidRPr="003445F5" w:rsidRDefault="00646619" w:rsidP="00646619">
      <w:pPr>
        <w:ind w:left="-5"/>
        <w:rPr>
          <w:szCs w:val="22"/>
          <w:lang w:val="sr-Latn-ME"/>
        </w:rPr>
      </w:pPr>
    </w:p>
    <w:p w14:paraId="09D76DE1" w14:textId="77777777" w:rsidR="00646619" w:rsidRPr="003445F5" w:rsidRDefault="00646619" w:rsidP="00646619">
      <w:pPr>
        <w:ind w:left="-5"/>
        <w:rPr>
          <w:szCs w:val="22"/>
          <w:lang w:val="sr-Latn-ME"/>
        </w:rPr>
      </w:pPr>
      <w:r w:rsidRPr="003445F5">
        <w:rPr>
          <w:szCs w:val="22"/>
          <w:lang w:val="sr-Latn-ME"/>
        </w:rPr>
        <w:t xml:space="preserve">Izloženost adalimumabu kod pedijatrijskih pacijenata sa uveitisom predviđena je uz pomoć populacionog farmakokinetičkog modelovanja i simulacije na osnovu farmakokinetike u drugim indikacijama kod drugih pedijatrijskih pacijenata (psorijaza kod djece, juvenilni idiopatski artritis, </w:t>
      </w:r>
      <w:r w:rsidRPr="003445F5">
        <w:rPr>
          <w:i/>
          <w:iCs/>
          <w:szCs w:val="22"/>
          <w:lang w:val="sr-Latn-ME"/>
        </w:rPr>
        <w:t>Crohn</w:t>
      </w:r>
      <w:r w:rsidRPr="003445F5">
        <w:rPr>
          <w:szCs w:val="22"/>
          <w:lang w:val="sr-Latn-ME"/>
        </w:rPr>
        <w:t>-ova bolest kod djece i artritis povezan sa entezitisom). Nema dostupnih kliničkih podataka o izloženosti kod primjene udarne doze kod djece uzrasta &lt; 6 godina. Predviđene izloženosti ukazuju na to da u odsutnosti metotreksata udarna doza može dovesti do početnog povećanja sistemske izloženosti.</w:t>
      </w:r>
    </w:p>
    <w:p w14:paraId="289F10A7" w14:textId="77777777" w:rsidR="00646619" w:rsidRPr="003445F5" w:rsidRDefault="00646619" w:rsidP="00646619">
      <w:pPr>
        <w:ind w:left="-5"/>
        <w:rPr>
          <w:szCs w:val="22"/>
          <w:lang w:val="sr-Latn-ME"/>
        </w:rPr>
      </w:pPr>
    </w:p>
    <w:p w14:paraId="794EAE2E" w14:textId="7A8F9101" w:rsidR="00646619" w:rsidRPr="003445F5" w:rsidRDefault="00646619" w:rsidP="00646619">
      <w:pPr>
        <w:ind w:left="-5"/>
        <w:rPr>
          <w:szCs w:val="22"/>
          <w:lang w:val="sr-Latn-ME"/>
        </w:rPr>
      </w:pPr>
      <w:r w:rsidRPr="003445F5">
        <w:rPr>
          <w:szCs w:val="22"/>
          <w:lang w:val="sr-Latn-ME"/>
        </w:rPr>
        <w:t xml:space="preserve">Populacionim farmakokinetičkim i farmakokinetičkim/farmakodinamskim modelovanjem i simulacijom predviđena je uporediva izloženost adalimumabu i efikasnost kod pacijenata liječenih sa 80 mg svake druge </w:t>
      </w:r>
      <w:r w:rsidR="00551F1D" w:rsidRPr="003445F5">
        <w:rPr>
          <w:szCs w:val="22"/>
          <w:lang w:val="sr-Latn-ME"/>
        </w:rPr>
        <w:t>nedjelj</w:t>
      </w:r>
      <w:r w:rsidR="0047711E" w:rsidRPr="003445F5">
        <w:rPr>
          <w:szCs w:val="22"/>
          <w:lang w:val="sr-Latn-ME"/>
        </w:rPr>
        <w:t>e</w:t>
      </w:r>
      <w:r w:rsidRPr="003445F5">
        <w:rPr>
          <w:szCs w:val="22"/>
          <w:lang w:val="sr-Latn-ME"/>
        </w:rPr>
        <w:t xml:space="preserve"> i onih liječenih sa 40 mg svake </w:t>
      </w:r>
      <w:r w:rsidR="00551F1D" w:rsidRPr="003445F5">
        <w:rPr>
          <w:szCs w:val="22"/>
          <w:lang w:val="sr-Latn-ME"/>
        </w:rPr>
        <w:t>nedjelj</w:t>
      </w:r>
      <w:r w:rsidR="0047711E" w:rsidRPr="003445F5">
        <w:rPr>
          <w:szCs w:val="22"/>
          <w:lang w:val="sr-Latn-ME"/>
        </w:rPr>
        <w:t>e</w:t>
      </w:r>
      <w:r w:rsidRPr="003445F5">
        <w:rPr>
          <w:szCs w:val="22"/>
          <w:lang w:val="sr-Latn-ME"/>
        </w:rPr>
        <w:t xml:space="preserve"> (uključujući odrasle pacijente s reumatoidnim artritisom, gnojnim zapaljenjem znojnih žlijezda, ulceroznim kolitisom, </w:t>
      </w:r>
      <w:r w:rsidRPr="003445F5">
        <w:rPr>
          <w:i/>
          <w:iCs/>
          <w:szCs w:val="22"/>
          <w:lang w:val="sr-Latn-ME"/>
        </w:rPr>
        <w:t>Crohn</w:t>
      </w:r>
      <w:r w:rsidRPr="003445F5">
        <w:rPr>
          <w:szCs w:val="22"/>
          <w:lang w:val="sr-Latn-ME"/>
        </w:rPr>
        <w:t xml:space="preserve">-ovom bolešću ili psorijazom, pacijente sa adolescentnim gnojnim zapaljenjem znojnih žlijezda, i pedijatrijske pacijente ≥ 40 kg sa </w:t>
      </w:r>
      <w:r w:rsidRPr="003445F5">
        <w:rPr>
          <w:i/>
          <w:iCs/>
          <w:szCs w:val="22"/>
          <w:lang w:val="sr-Latn-ME"/>
        </w:rPr>
        <w:t>Crohn</w:t>
      </w:r>
      <w:r w:rsidRPr="003445F5">
        <w:rPr>
          <w:szCs w:val="22"/>
          <w:lang w:val="sr-Latn-ME"/>
        </w:rPr>
        <w:t>-ovom bolešću).</w:t>
      </w:r>
    </w:p>
    <w:p w14:paraId="2CC3874F" w14:textId="77777777" w:rsidR="00D70734" w:rsidRPr="003445F5" w:rsidRDefault="00D70734" w:rsidP="00524FDF">
      <w:pPr>
        <w:ind w:left="-5"/>
        <w:rPr>
          <w:szCs w:val="22"/>
          <w:lang w:val="sr-Latn-ME"/>
        </w:rPr>
      </w:pPr>
    </w:p>
    <w:p w14:paraId="3094D927" w14:textId="77777777" w:rsidR="00EC361C" w:rsidRPr="003445F5" w:rsidRDefault="00EC361C" w:rsidP="00EC361C">
      <w:pPr>
        <w:ind w:left="-5"/>
        <w:rPr>
          <w:szCs w:val="22"/>
          <w:u w:val="single"/>
          <w:lang w:val="sr-Latn-ME"/>
        </w:rPr>
      </w:pPr>
      <w:r w:rsidRPr="003445F5">
        <w:rPr>
          <w:szCs w:val="22"/>
          <w:u w:val="single"/>
          <w:lang w:val="sr-Latn-ME"/>
        </w:rPr>
        <w:t>Veza između izloženosti i odgovora na terapiju u pedijatrijskoj populaciji</w:t>
      </w:r>
    </w:p>
    <w:p w14:paraId="595B72C6" w14:textId="77777777" w:rsidR="00EC361C" w:rsidRPr="003445F5" w:rsidRDefault="00EC361C" w:rsidP="00EC361C">
      <w:pPr>
        <w:ind w:left="-5"/>
        <w:rPr>
          <w:szCs w:val="22"/>
          <w:lang w:val="sr-Latn-ME"/>
        </w:rPr>
      </w:pPr>
    </w:p>
    <w:p w14:paraId="36F100D5" w14:textId="489E4714" w:rsidR="003A637C" w:rsidRPr="003445F5" w:rsidRDefault="003A637C" w:rsidP="003A637C">
      <w:pPr>
        <w:ind w:left="-5"/>
        <w:rPr>
          <w:szCs w:val="22"/>
          <w:lang w:val="sr-Latn-ME"/>
        </w:rPr>
      </w:pPr>
      <w:r w:rsidRPr="003445F5">
        <w:rPr>
          <w:szCs w:val="22"/>
          <w:lang w:val="sr-Latn-ME"/>
        </w:rPr>
        <w:t>Na osnovu podataka iz kliničkih studija kod pacijenata sa juvenilnim idiopatskim artritisom (poliartikularnim juvenilnim idiopatskim artritisom i artritisom povezanim sa entezitisom), utvrđena je veza između plazmatskih koncentracija i odgovora PedACR 50. Prividna plazmatska koncentracija adalimumaba uz koju se postiže polovina maksimalne vjerovatnoće za odgovor PedACR 50 (EC50) bila je 3 mikrograma/m</w:t>
      </w:r>
      <w:r w:rsidR="00AF00CF" w:rsidRPr="003445F5">
        <w:rPr>
          <w:szCs w:val="22"/>
          <w:lang w:val="sr-Latn-ME"/>
        </w:rPr>
        <w:t>l</w:t>
      </w:r>
      <w:r w:rsidRPr="003445F5">
        <w:rPr>
          <w:szCs w:val="22"/>
          <w:lang w:val="sr-Latn-ME"/>
        </w:rPr>
        <w:t xml:space="preserve"> (95% CI: 1 - 6 mikrograma/m</w:t>
      </w:r>
      <w:r w:rsidR="00AF00CF" w:rsidRPr="003445F5">
        <w:rPr>
          <w:szCs w:val="22"/>
          <w:lang w:val="sr-Latn-ME"/>
        </w:rPr>
        <w:t>l</w:t>
      </w:r>
      <w:r w:rsidRPr="003445F5">
        <w:rPr>
          <w:szCs w:val="22"/>
          <w:lang w:val="sr-Latn-ME"/>
        </w:rPr>
        <w:t>).</w:t>
      </w:r>
    </w:p>
    <w:p w14:paraId="56B9C238" w14:textId="77777777" w:rsidR="003A637C" w:rsidRPr="003445F5" w:rsidRDefault="003A637C" w:rsidP="003A637C">
      <w:pPr>
        <w:rPr>
          <w:szCs w:val="22"/>
          <w:lang w:val="sr-Latn-ME"/>
        </w:rPr>
      </w:pPr>
    </w:p>
    <w:p w14:paraId="2F5CCC31" w14:textId="7B19B748" w:rsidR="003A637C" w:rsidRPr="003445F5" w:rsidRDefault="003A637C" w:rsidP="003A637C">
      <w:pPr>
        <w:rPr>
          <w:szCs w:val="22"/>
          <w:lang w:val="sr-Latn-ME"/>
        </w:rPr>
      </w:pPr>
      <w:r w:rsidRPr="003445F5">
        <w:rPr>
          <w:szCs w:val="22"/>
          <w:lang w:val="sr-Latn-ME"/>
        </w:rPr>
        <w:t>Veza između izloženosti i odgovora na liječenje između koncentracije adalimumaba i njegove efikasnosti kod pedijatrijskih pacijenata sa teškom hroničnom plak psorijazom utvrđena je za odgovor PASI 75 i PGA rezultat 'bez bolesti' ili 'minimalno'. Sa povećanjem koncentracija adalimumaba povećavale su se i stope odgovora PASI 75 i PGA rezultata 'bez bolesti' ili 'minimalno' u oba slučaja uz sličan prividan EC50 od približno 4,5 mikrograma/m</w:t>
      </w:r>
      <w:r w:rsidR="00AF00CF" w:rsidRPr="003445F5">
        <w:rPr>
          <w:szCs w:val="22"/>
          <w:lang w:val="sr-Latn-ME"/>
        </w:rPr>
        <w:t>l</w:t>
      </w:r>
      <w:r w:rsidRPr="003445F5">
        <w:rPr>
          <w:szCs w:val="22"/>
          <w:lang w:val="sr-Latn-ME"/>
        </w:rPr>
        <w:t xml:space="preserve"> (95% CI: 0,4 - 47,6 odnosno 1,9 - 10,5).</w:t>
      </w:r>
    </w:p>
    <w:p w14:paraId="16123238" w14:textId="77777777" w:rsidR="003A637C" w:rsidRPr="003445F5" w:rsidRDefault="003A637C" w:rsidP="003A637C">
      <w:pPr>
        <w:rPr>
          <w:szCs w:val="22"/>
          <w:lang w:val="sr-Latn-ME"/>
        </w:rPr>
      </w:pPr>
    </w:p>
    <w:p w14:paraId="29034F54" w14:textId="415A2120" w:rsidR="00D663B7" w:rsidRPr="003445F5" w:rsidRDefault="00D663B7" w:rsidP="00524FDF">
      <w:pPr>
        <w:rPr>
          <w:szCs w:val="22"/>
          <w:lang w:val="sr-Latn-ME"/>
        </w:rPr>
      </w:pPr>
      <w:r w:rsidRPr="003445F5">
        <w:rPr>
          <w:szCs w:val="22"/>
          <w:u w:val="single"/>
          <w:lang w:val="sr-Latn-ME"/>
        </w:rPr>
        <w:t>Eliminacija</w:t>
      </w:r>
      <w:r w:rsidRPr="003445F5">
        <w:rPr>
          <w:szCs w:val="22"/>
          <w:lang w:val="sr-Latn-ME"/>
        </w:rPr>
        <w:t xml:space="preserve"> </w:t>
      </w:r>
    </w:p>
    <w:p w14:paraId="39B5A9A8" w14:textId="77777777" w:rsidR="00D663B7" w:rsidRPr="003445F5" w:rsidRDefault="00D663B7" w:rsidP="00524FDF">
      <w:pPr>
        <w:rPr>
          <w:szCs w:val="22"/>
          <w:u w:val="single"/>
          <w:lang w:val="sr-Latn-ME"/>
        </w:rPr>
      </w:pPr>
    </w:p>
    <w:p w14:paraId="0F37C8E5" w14:textId="77777777" w:rsidR="004924B6" w:rsidRPr="003445F5" w:rsidRDefault="004924B6" w:rsidP="004924B6">
      <w:pPr>
        <w:rPr>
          <w:szCs w:val="22"/>
          <w:lang w:val="sr-Latn-ME"/>
        </w:rPr>
      </w:pPr>
      <w:r w:rsidRPr="003445F5">
        <w:rPr>
          <w:szCs w:val="22"/>
          <w:lang w:val="sr-Latn-ME"/>
        </w:rPr>
        <w:t xml:space="preserve">Populacione farmakokinetičke analize na osnovu podataka dobijenih kod više od 1300 pacijenata sa reumatoidnim artritisom pokazale su tendenciju da se prividni klirens adalimumaba povećava sa tjelesnom masom pacijenta. Nakon prilagođavanja doze prema tjelesnoj masi, čini se da pol i starost </w:t>
      </w:r>
      <w:r w:rsidRPr="003445F5">
        <w:rPr>
          <w:szCs w:val="22"/>
          <w:lang w:val="sr-Latn-ME"/>
        </w:rPr>
        <w:lastRenderedPageBreak/>
        <w:t xml:space="preserve">pacijenata imaju minimalno dejstvo na klirens adalimumaba. Primjećeno je da su koncentracije slobodnog adalimumaba u serumu (onog koji nije vezan za antitijela na adalimumab) niže kod pacijenata sa mjerljivim koncentracijama antitijela na adalimumab. </w:t>
      </w:r>
    </w:p>
    <w:p w14:paraId="003A4B21" w14:textId="77777777" w:rsidR="00E316E0" w:rsidRPr="003445F5" w:rsidRDefault="00E316E0" w:rsidP="00E316E0">
      <w:pPr>
        <w:rPr>
          <w:szCs w:val="22"/>
          <w:lang w:val="sr-Latn-ME"/>
        </w:rPr>
      </w:pPr>
    </w:p>
    <w:p w14:paraId="5760DA6C" w14:textId="77777777" w:rsidR="00E316E0" w:rsidRPr="003445F5" w:rsidRDefault="00E316E0" w:rsidP="00E316E0">
      <w:pPr>
        <w:rPr>
          <w:szCs w:val="22"/>
          <w:u w:val="single"/>
          <w:lang w:val="sr-Latn-ME"/>
        </w:rPr>
      </w:pPr>
      <w:r w:rsidRPr="003445F5">
        <w:rPr>
          <w:szCs w:val="22"/>
          <w:u w:val="single"/>
          <w:lang w:val="sr-Latn-ME"/>
        </w:rPr>
        <w:t>Oštećenje funkcije jetre ili bubrega</w:t>
      </w:r>
    </w:p>
    <w:p w14:paraId="39A84C3C" w14:textId="77777777" w:rsidR="00E316E0" w:rsidRPr="003445F5" w:rsidRDefault="00E316E0" w:rsidP="00E316E0">
      <w:pPr>
        <w:rPr>
          <w:szCs w:val="22"/>
          <w:u w:val="single"/>
          <w:lang w:val="sr-Latn-ME"/>
        </w:rPr>
      </w:pPr>
    </w:p>
    <w:p w14:paraId="08816A59" w14:textId="77777777" w:rsidR="00E316E0" w:rsidRPr="003445F5" w:rsidRDefault="00E316E0" w:rsidP="00E316E0">
      <w:pPr>
        <w:rPr>
          <w:szCs w:val="22"/>
          <w:lang w:val="sr-Latn-ME"/>
        </w:rPr>
      </w:pPr>
      <w:r w:rsidRPr="003445F5">
        <w:rPr>
          <w:szCs w:val="22"/>
          <w:lang w:val="sr-Latn-ME"/>
        </w:rPr>
        <w:t>Adalimumab nije ispitivan kod pacijenata sa insuficijencijom jetre ili bubrega.</w:t>
      </w:r>
    </w:p>
    <w:p w14:paraId="7A975659" w14:textId="77777777" w:rsidR="008B4BBC" w:rsidRPr="003445F5" w:rsidRDefault="008B4BBC" w:rsidP="00524FDF">
      <w:pPr>
        <w:rPr>
          <w:szCs w:val="22"/>
          <w:lang w:val="sr-Latn-ME"/>
        </w:rPr>
      </w:pPr>
    </w:p>
    <w:p w14:paraId="46C472D0" w14:textId="77777777" w:rsidR="004E2C05" w:rsidRPr="003445F5" w:rsidRDefault="004E2C05" w:rsidP="004E2C05">
      <w:pPr>
        <w:rPr>
          <w:b/>
          <w:bCs/>
          <w:szCs w:val="22"/>
          <w:lang w:val="sr-Latn-ME"/>
        </w:rPr>
      </w:pPr>
      <w:r w:rsidRPr="003445F5">
        <w:rPr>
          <w:b/>
          <w:bCs/>
          <w:szCs w:val="22"/>
          <w:lang w:val="sr-Latn-ME"/>
        </w:rPr>
        <w:t xml:space="preserve">5.3. Pretklinički podaci o bezbjednosti </w:t>
      </w:r>
    </w:p>
    <w:p w14:paraId="797571CC" w14:textId="77777777" w:rsidR="004E2C05" w:rsidRPr="003445F5" w:rsidRDefault="004E2C05" w:rsidP="004E2C05">
      <w:pPr>
        <w:rPr>
          <w:szCs w:val="22"/>
          <w:lang w:val="sr-Latn-ME"/>
        </w:rPr>
      </w:pPr>
    </w:p>
    <w:p w14:paraId="299B8FF4" w14:textId="77777777" w:rsidR="004E2C05" w:rsidRPr="003445F5" w:rsidRDefault="004E2C05" w:rsidP="004E2C05">
      <w:pPr>
        <w:rPr>
          <w:szCs w:val="22"/>
          <w:lang w:val="sr-Latn-ME"/>
        </w:rPr>
      </w:pPr>
      <w:r w:rsidRPr="003445F5">
        <w:rPr>
          <w:szCs w:val="22"/>
          <w:lang w:val="sr-Latn-ME"/>
        </w:rPr>
        <w:t xml:space="preserve">Pretklinički podaci otkrivaju da ne postoji poseban rizik za ljude na osnovu studija toksičnosti pojedinačne doze, toksičnosti ponavljane doze i genotoksičnosti. </w:t>
      </w:r>
    </w:p>
    <w:p w14:paraId="4FEE4C65" w14:textId="77777777" w:rsidR="004E2C05" w:rsidRPr="003445F5" w:rsidRDefault="004E2C05" w:rsidP="004E2C05">
      <w:pPr>
        <w:rPr>
          <w:szCs w:val="22"/>
          <w:lang w:val="sr-Latn-ME"/>
        </w:rPr>
      </w:pPr>
    </w:p>
    <w:p w14:paraId="03F5A6D9" w14:textId="77777777" w:rsidR="004E2C05" w:rsidRPr="003445F5" w:rsidRDefault="004E2C05" w:rsidP="004E2C05">
      <w:pPr>
        <w:rPr>
          <w:szCs w:val="22"/>
          <w:lang w:val="sr-Latn-ME"/>
        </w:rPr>
      </w:pPr>
      <w:r w:rsidRPr="003445F5">
        <w:rPr>
          <w:szCs w:val="22"/>
          <w:lang w:val="sr-Latn-ME"/>
        </w:rPr>
        <w:t>Studije embrio-fetalne razvojne toksičnosti/razvojne perinatalne studije su obavljene na makaki majmunima sa 0,30 i 100 mg/kg (9-17 majmuna/grupa) i ukazuju da ne postoje dokazi o štetnosti adalimumaba za plod. Studije karcinogenosti i sve standardne procjene postnatalne toksičnosti i toksičnosti na reproduktivni sistem nisu obavljene sa adalimumabom, uslijed nedostatka odgovarajućeg modela za antitijela sa ograničenom ukrštenom reaktivnošću TNF glodara, i razvoju neutrališućih antitijela glodara.</w:t>
      </w:r>
    </w:p>
    <w:p w14:paraId="072D43EF" w14:textId="77777777" w:rsidR="00CE09F3" w:rsidRPr="003445F5" w:rsidRDefault="00CE09F3" w:rsidP="00524FDF">
      <w:pPr>
        <w:rPr>
          <w:szCs w:val="22"/>
          <w:lang w:val="sr-Latn-ME"/>
        </w:rPr>
      </w:pPr>
    </w:p>
    <w:p w14:paraId="50B141F3" w14:textId="77777777" w:rsidR="00C21547" w:rsidRPr="003445F5" w:rsidRDefault="00C21547" w:rsidP="00524FDF">
      <w:pPr>
        <w:rPr>
          <w:szCs w:val="22"/>
          <w:lang w:val="sr-Latn-ME"/>
        </w:rPr>
      </w:pPr>
    </w:p>
    <w:p w14:paraId="072D43F0" w14:textId="77777777" w:rsidR="00CE09F3" w:rsidRPr="003445F5" w:rsidRDefault="00CE09F3" w:rsidP="00524FDF">
      <w:pPr>
        <w:pStyle w:val="NASLOV123"/>
        <w:spacing w:before="0" w:after="0"/>
        <w:rPr>
          <w:lang w:val="sr-Latn-ME"/>
        </w:rPr>
      </w:pPr>
      <w:r w:rsidRPr="003445F5">
        <w:rPr>
          <w:lang w:val="sr-Latn-ME"/>
        </w:rPr>
        <w:t>6. FARMACEUTSKI PODACI</w:t>
      </w:r>
    </w:p>
    <w:p w14:paraId="013B645C" w14:textId="77777777" w:rsidR="00C21547" w:rsidRPr="003445F5" w:rsidRDefault="00C21547" w:rsidP="00524FDF">
      <w:pPr>
        <w:rPr>
          <w:b/>
          <w:bCs/>
          <w:szCs w:val="22"/>
          <w:lang w:val="sr-Latn-ME"/>
        </w:rPr>
      </w:pPr>
    </w:p>
    <w:p w14:paraId="200B95F0" w14:textId="77777777" w:rsidR="00521466" w:rsidRPr="003445F5" w:rsidRDefault="00521466" w:rsidP="00521466">
      <w:pPr>
        <w:rPr>
          <w:b/>
          <w:bCs/>
          <w:szCs w:val="22"/>
          <w:lang w:val="sr-Latn-ME"/>
        </w:rPr>
      </w:pPr>
      <w:r w:rsidRPr="003445F5">
        <w:rPr>
          <w:b/>
          <w:bCs/>
          <w:szCs w:val="22"/>
          <w:lang w:val="sr-Latn-ME"/>
        </w:rPr>
        <w:t>6.1. Lista pomoćnih supstanci (ekscipijenasa)</w:t>
      </w:r>
    </w:p>
    <w:p w14:paraId="072D43F2" w14:textId="3EF2FDFE" w:rsidR="00CE09F3" w:rsidRPr="003445F5" w:rsidRDefault="00CE09F3" w:rsidP="00524FDF">
      <w:pPr>
        <w:rPr>
          <w:szCs w:val="22"/>
          <w:lang w:val="sr-Latn-ME"/>
        </w:rPr>
      </w:pPr>
    </w:p>
    <w:p w14:paraId="0B06CC39" w14:textId="50959149" w:rsidR="00364985" w:rsidRPr="003445F5" w:rsidRDefault="00364985" w:rsidP="00524FDF">
      <w:pPr>
        <w:rPr>
          <w:szCs w:val="22"/>
          <w:lang w:val="sr-Latn-ME"/>
        </w:rPr>
      </w:pPr>
      <w:r w:rsidRPr="003445F5">
        <w:rPr>
          <w:szCs w:val="22"/>
          <w:lang w:val="sr-Latn-ME"/>
        </w:rPr>
        <w:t>Natrijum</w:t>
      </w:r>
      <w:r w:rsidR="009D2148" w:rsidRPr="003445F5">
        <w:rPr>
          <w:szCs w:val="22"/>
          <w:lang w:val="sr-Latn-ME"/>
        </w:rPr>
        <w:t xml:space="preserve"> </w:t>
      </w:r>
      <w:r w:rsidRPr="003445F5">
        <w:rPr>
          <w:szCs w:val="22"/>
          <w:lang w:val="sr-Latn-ME"/>
        </w:rPr>
        <w:t>hlorid;</w:t>
      </w:r>
    </w:p>
    <w:p w14:paraId="51AF406E" w14:textId="2BE27DA1" w:rsidR="00364985" w:rsidRPr="003445F5" w:rsidRDefault="00C21547" w:rsidP="00524FDF">
      <w:pPr>
        <w:rPr>
          <w:szCs w:val="22"/>
          <w:lang w:val="sr-Latn-ME"/>
        </w:rPr>
      </w:pPr>
      <w:r w:rsidRPr="003445F5">
        <w:rPr>
          <w:szCs w:val="22"/>
          <w:lang w:val="sr-Latn-ME"/>
        </w:rPr>
        <w:t>Saharoza</w:t>
      </w:r>
      <w:r w:rsidR="00364985" w:rsidRPr="003445F5">
        <w:rPr>
          <w:szCs w:val="22"/>
          <w:lang w:val="sr-Latn-ME"/>
        </w:rPr>
        <w:t>;</w:t>
      </w:r>
    </w:p>
    <w:p w14:paraId="2CFF8C8C" w14:textId="30A54361" w:rsidR="00364985" w:rsidRPr="003445F5" w:rsidRDefault="00364985" w:rsidP="00524FDF">
      <w:pPr>
        <w:rPr>
          <w:szCs w:val="22"/>
          <w:lang w:val="sr-Latn-ME"/>
        </w:rPr>
      </w:pPr>
      <w:r w:rsidRPr="003445F5">
        <w:rPr>
          <w:szCs w:val="22"/>
          <w:lang w:val="sr-Latn-ME"/>
        </w:rPr>
        <w:t>Polisorbat 80;</w:t>
      </w:r>
    </w:p>
    <w:p w14:paraId="4F169D74" w14:textId="19EF14C5" w:rsidR="00364985" w:rsidRPr="003445F5" w:rsidRDefault="00364985" w:rsidP="00524FDF">
      <w:pPr>
        <w:rPr>
          <w:szCs w:val="22"/>
          <w:lang w:val="sr-Latn-ME"/>
        </w:rPr>
      </w:pPr>
      <w:r w:rsidRPr="003445F5">
        <w:rPr>
          <w:szCs w:val="22"/>
          <w:lang w:val="sr-Latn-ME"/>
        </w:rPr>
        <w:t>Voda za injekcije</w:t>
      </w:r>
      <w:r w:rsidR="001E11F1" w:rsidRPr="003445F5">
        <w:rPr>
          <w:szCs w:val="22"/>
          <w:lang w:val="sr-Latn-ME"/>
        </w:rPr>
        <w:t>;</w:t>
      </w:r>
    </w:p>
    <w:p w14:paraId="03FC953F" w14:textId="7ED0969E" w:rsidR="001E11F1" w:rsidRPr="003445F5" w:rsidRDefault="001E11F1" w:rsidP="00524FDF">
      <w:pPr>
        <w:rPr>
          <w:szCs w:val="22"/>
          <w:lang w:val="sr-Latn-ME"/>
        </w:rPr>
      </w:pPr>
      <w:r w:rsidRPr="003445F5">
        <w:rPr>
          <w:szCs w:val="22"/>
          <w:lang w:val="sr-Latn-ME"/>
        </w:rPr>
        <w:t xml:space="preserve">Hlorovodonična kiselina (za </w:t>
      </w:r>
      <w:r w:rsidR="00375BC3" w:rsidRPr="003445F5">
        <w:rPr>
          <w:szCs w:val="22"/>
          <w:lang w:val="sr-Latn-ME"/>
        </w:rPr>
        <w:t xml:space="preserve">stabilizaciju </w:t>
      </w:r>
      <w:r w:rsidRPr="003445F5">
        <w:rPr>
          <w:szCs w:val="22"/>
          <w:lang w:val="sr-Latn-ME"/>
        </w:rPr>
        <w:t>pH);</w:t>
      </w:r>
    </w:p>
    <w:p w14:paraId="20A22F64" w14:textId="73DD2B70" w:rsidR="001E11F1" w:rsidRPr="003445F5" w:rsidRDefault="001E11F1" w:rsidP="00524FDF">
      <w:pPr>
        <w:rPr>
          <w:szCs w:val="22"/>
          <w:lang w:val="sr-Latn-ME"/>
        </w:rPr>
      </w:pPr>
      <w:r w:rsidRPr="003445F5">
        <w:rPr>
          <w:szCs w:val="22"/>
          <w:lang w:val="sr-Latn-ME"/>
        </w:rPr>
        <w:t>Natrijum</w:t>
      </w:r>
      <w:r w:rsidR="009D2148" w:rsidRPr="003445F5">
        <w:rPr>
          <w:szCs w:val="22"/>
          <w:lang w:val="sr-Latn-ME"/>
        </w:rPr>
        <w:t xml:space="preserve"> </w:t>
      </w:r>
      <w:r w:rsidRPr="003445F5">
        <w:rPr>
          <w:szCs w:val="22"/>
          <w:lang w:val="sr-Latn-ME"/>
        </w:rPr>
        <w:t>hidroksid</w:t>
      </w:r>
      <w:r w:rsidR="001A112F" w:rsidRPr="003445F5">
        <w:rPr>
          <w:szCs w:val="22"/>
          <w:lang w:val="sr-Latn-ME"/>
        </w:rPr>
        <w:t xml:space="preserve"> (za </w:t>
      </w:r>
      <w:r w:rsidR="00375BC3" w:rsidRPr="003445F5">
        <w:rPr>
          <w:szCs w:val="22"/>
          <w:lang w:val="sr-Latn-ME"/>
        </w:rPr>
        <w:t xml:space="preserve">stabilizaciju </w:t>
      </w:r>
      <w:r w:rsidR="001A112F" w:rsidRPr="003445F5">
        <w:rPr>
          <w:szCs w:val="22"/>
          <w:lang w:val="sr-Latn-ME"/>
        </w:rPr>
        <w:t>pH).</w:t>
      </w:r>
    </w:p>
    <w:p w14:paraId="072D43F3" w14:textId="77777777" w:rsidR="00CE09F3" w:rsidRPr="003445F5" w:rsidRDefault="00CE09F3" w:rsidP="00524FDF">
      <w:pPr>
        <w:rPr>
          <w:szCs w:val="22"/>
          <w:lang w:val="sr-Latn-ME"/>
        </w:rPr>
      </w:pPr>
    </w:p>
    <w:p w14:paraId="072D43F4" w14:textId="3EAF9185" w:rsidR="00CE09F3" w:rsidRPr="003445F5" w:rsidRDefault="00CE09F3" w:rsidP="00524FDF">
      <w:pPr>
        <w:rPr>
          <w:b/>
          <w:bCs/>
          <w:szCs w:val="22"/>
          <w:lang w:val="sr-Latn-ME"/>
        </w:rPr>
      </w:pPr>
      <w:r w:rsidRPr="003445F5">
        <w:rPr>
          <w:b/>
          <w:bCs/>
          <w:szCs w:val="22"/>
          <w:lang w:val="sr-Latn-ME"/>
        </w:rPr>
        <w:t>6.2. Inkompatibilnost</w:t>
      </w:r>
      <w:r w:rsidR="00521466" w:rsidRPr="003445F5">
        <w:rPr>
          <w:b/>
          <w:bCs/>
          <w:szCs w:val="22"/>
          <w:lang w:val="sr-Latn-ME"/>
        </w:rPr>
        <w:t>i</w:t>
      </w:r>
    </w:p>
    <w:p w14:paraId="072D43F5" w14:textId="77777777" w:rsidR="00CE09F3" w:rsidRPr="003445F5" w:rsidRDefault="00CE09F3" w:rsidP="00524FDF">
      <w:pPr>
        <w:rPr>
          <w:szCs w:val="22"/>
          <w:lang w:val="sr-Latn-ME"/>
        </w:rPr>
      </w:pPr>
    </w:p>
    <w:p w14:paraId="43575239" w14:textId="7FA5894D" w:rsidR="009F1C75" w:rsidRPr="003445F5" w:rsidRDefault="009F1C75" w:rsidP="00524FDF">
      <w:pPr>
        <w:ind w:left="-5"/>
        <w:rPr>
          <w:szCs w:val="22"/>
          <w:lang w:val="sr-Latn-ME"/>
        </w:rPr>
      </w:pPr>
      <w:r w:rsidRPr="003445F5">
        <w:rPr>
          <w:szCs w:val="22"/>
          <w:lang w:val="sr-Latn-ME"/>
        </w:rPr>
        <w:t>Usl</w:t>
      </w:r>
      <w:r w:rsidR="00521466" w:rsidRPr="003445F5">
        <w:rPr>
          <w:szCs w:val="22"/>
          <w:lang w:val="sr-Latn-ME"/>
        </w:rPr>
        <w:t>ij</w:t>
      </w:r>
      <w:r w:rsidRPr="003445F5">
        <w:rPr>
          <w:szCs w:val="22"/>
          <w:lang w:val="sr-Latn-ME"/>
        </w:rPr>
        <w:t>ed nedostatka studija kompatibilnosti, ovaj l</w:t>
      </w:r>
      <w:r w:rsidR="00521466" w:rsidRPr="003445F5">
        <w:rPr>
          <w:szCs w:val="22"/>
          <w:lang w:val="sr-Latn-ME"/>
        </w:rPr>
        <w:t>ij</w:t>
      </w:r>
      <w:r w:rsidRPr="003445F5">
        <w:rPr>
          <w:szCs w:val="22"/>
          <w:lang w:val="sr-Latn-ME"/>
        </w:rPr>
        <w:t>ek se ne sm</w:t>
      </w:r>
      <w:r w:rsidR="00521466" w:rsidRPr="003445F5">
        <w:rPr>
          <w:szCs w:val="22"/>
          <w:lang w:val="sr-Latn-ME"/>
        </w:rPr>
        <w:t>ij</w:t>
      </w:r>
      <w:r w:rsidRPr="003445F5">
        <w:rPr>
          <w:szCs w:val="22"/>
          <w:lang w:val="sr-Latn-ME"/>
        </w:rPr>
        <w:t>e m</w:t>
      </w:r>
      <w:r w:rsidR="00521466" w:rsidRPr="003445F5">
        <w:rPr>
          <w:szCs w:val="22"/>
          <w:lang w:val="sr-Latn-ME"/>
        </w:rPr>
        <w:t>ij</w:t>
      </w:r>
      <w:r w:rsidRPr="003445F5">
        <w:rPr>
          <w:szCs w:val="22"/>
          <w:lang w:val="sr-Latn-ME"/>
        </w:rPr>
        <w:t>ešati sa drugim proizvodima.</w:t>
      </w:r>
    </w:p>
    <w:p w14:paraId="072D43F6" w14:textId="77777777" w:rsidR="00CE09F3" w:rsidRPr="003445F5" w:rsidRDefault="00CE09F3" w:rsidP="00524FDF">
      <w:pPr>
        <w:rPr>
          <w:szCs w:val="22"/>
          <w:lang w:val="sr-Latn-ME"/>
        </w:rPr>
      </w:pPr>
    </w:p>
    <w:p w14:paraId="072D43F7" w14:textId="77777777" w:rsidR="00CE09F3" w:rsidRPr="003445F5" w:rsidRDefault="00CE09F3" w:rsidP="00524FDF">
      <w:pPr>
        <w:rPr>
          <w:b/>
          <w:bCs/>
          <w:szCs w:val="22"/>
          <w:lang w:val="sr-Latn-ME"/>
        </w:rPr>
      </w:pPr>
      <w:r w:rsidRPr="003445F5">
        <w:rPr>
          <w:b/>
          <w:bCs/>
          <w:szCs w:val="22"/>
          <w:lang w:val="sr-Latn-ME"/>
        </w:rPr>
        <w:t>6.3. Rok upotrebe</w:t>
      </w:r>
    </w:p>
    <w:p w14:paraId="1F419974" w14:textId="77777777" w:rsidR="008E73E7" w:rsidRPr="003445F5" w:rsidRDefault="008E73E7" w:rsidP="00524FDF">
      <w:pPr>
        <w:rPr>
          <w:szCs w:val="22"/>
          <w:lang w:val="sr-Latn-ME"/>
        </w:rPr>
      </w:pPr>
    </w:p>
    <w:p w14:paraId="072D43F9" w14:textId="2D9CF875" w:rsidR="00CE09F3" w:rsidRPr="003445F5" w:rsidRDefault="008A53D1" w:rsidP="00524FDF">
      <w:pPr>
        <w:rPr>
          <w:szCs w:val="22"/>
          <w:lang w:val="sr-Latn-ME"/>
        </w:rPr>
      </w:pPr>
      <w:r w:rsidRPr="003445F5">
        <w:rPr>
          <w:szCs w:val="22"/>
          <w:lang w:val="sr-Latn-ME"/>
        </w:rPr>
        <w:t>3</w:t>
      </w:r>
      <w:r w:rsidR="008E73E7" w:rsidRPr="003445F5">
        <w:rPr>
          <w:szCs w:val="22"/>
          <w:lang w:val="sr-Latn-ME"/>
        </w:rPr>
        <w:t xml:space="preserve"> godine</w:t>
      </w:r>
      <w:r w:rsidR="009A19B8" w:rsidRPr="003445F5">
        <w:rPr>
          <w:szCs w:val="22"/>
          <w:lang w:val="sr-Latn-ME"/>
        </w:rPr>
        <w:t>.</w:t>
      </w:r>
    </w:p>
    <w:p w14:paraId="0B24E6E5" w14:textId="77777777" w:rsidR="008E73E7" w:rsidRPr="003445F5" w:rsidRDefault="008E73E7" w:rsidP="00524FDF">
      <w:pPr>
        <w:rPr>
          <w:szCs w:val="22"/>
          <w:lang w:val="sr-Latn-ME"/>
        </w:rPr>
      </w:pPr>
    </w:p>
    <w:p w14:paraId="072D43FA" w14:textId="1AAD8FA0" w:rsidR="00CE09F3" w:rsidRPr="003445F5" w:rsidRDefault="00CE09F3" w:rsidP="00524FDF">
      <w:pPr>
        <w:rPr>
          <w:b/>
          <w:bCs/>
          <w:szCs w:val="22"/>
          <w:lang w:val="sr-Latn-ME"/>
        </w:rPr>
      </w:pPr>
      <w:r w:rsidRPr="003445F5">
        <w:rPr>
          <w:b/>
          <w:bCs/>
          <w:szCs w:val="22"/>
          <w:lang w:val="sr-Latn-ME"/>
        </w:rPr>
        <w:t>6.4. Posebne m</w:t>
      </w:r>
      <w:r w:rsidR="00521466" w:rsidRPr="003445F5">
        <w:rPr>
          <w:b/>
          <w:bCs/>
          <w:szCs w:val="22"/>
          <w:lang w:val="sr-Latn-ME"/>
        </w:rPr>
        <w:t>j</w:t>
      </w:r>
      <w:r w:rsidRPr="003445F5">
        <w:rPr>
          <w:b/>
          <w:bCs/>
          <w:szCs w:val="22"/>
          <w:lang w:val="sr-Latn-ME"/>
        </w:rPr>
        <w:t>ere opreza pri čuvanju</w:t>
      </w:r>
      <w:r w:rsidR="00521466" w:rsidRPr="003445F5">
        <w:rPr>
          <w:b/>
          <w:bCs/>
          <w:szCs w:val="22"/>
          <w:lang w:val="sr-Latn-ME"/>
        </w:rPr>
        <w:t xml:space="preserve"> lijeka</w:t>
      </w:r>
    </w:p>
    <w:p w14:paraId="072D43FB" w14:textId="77777777" w:rsidR="00CE09F3" w:rsidRPr="003445F5" w:rsidRDefault="00CE09F3" w:rsidP="00524FDF">
      <w:pPr>
        <w:rPr>
          <w:szCs w:val="22"/>
          <w:lang w:val="sr-Latn-ME"/>
        </w:rPr>
      </w:pPr>
    </w:p>
    <w:p w14:paraId="38C372CD" w14:textId="0C9156F9" w:rsidR="00F75CD1" w:rsidRPr="003445F5" w:rsidRDefault="00F75CD1" w:rsidP="00524FDF">
      <w:pPr>
        <w:rPr>
          <w:szCs w:val="22"/>
          <w:lang w:val="sr-Latn-ME"/>
        </w:rPr>
      </w:pPr>
      <w:r w:rsidRPr="003445F5">
        <w:rPr>
          <w:szCs w:val="22"/>
          <w:lang w:val="sr-Latn-ME"/>
        </w:rPr>
        <w:t>Čuvati u frižideru (</w:t>
      </w:r>
      <w:r w:rsidR="00DD468B" w:rsidRPr="003445F5">
        <w:rPr>
          <w:szCs w:val="22"/>
          <w:lang w:val="sr-Latn-ME"/>
        </w:rPr>
        <w:t xml:space="preserve">na temperaturi od </w:t>
      </w:r>
      <w:r w:rsidRPr="003445F5">
        <w:rPr>
          <w:szCs w:val="22"/>
          <w:lang w:val="sr-Latn-ME"/>
        </w:rPr>
        <w:t xml:space="preserve">2°C do 8°C). Ne zamrzavati. Čuvajte napunjeni injekcioni </w:t>
      </w:r>
      <w:r w:rsidR="00DF25CA" w:rsidRPr="003445F5">
        <w:rPr>
          <w:szCs w:val="22"/>
          <w:lang w:val="sr-Latn-ME"/>
        </w:rPr>
        <w:t>špric</w:t>
      </w:r>
      <w:r w:rsidRPr="003445F5">
        <w:rPr>
          <w:szCs w:val="22"/>
          <w:lang w:val="sr-Latn-ME"/>
        </w:rPr>
        <w:t xml:space="preserve"> u spoljašnjem pakovanju radi zaštite od sv</w:t>
      </w:r>
      <w:r w:rsidR="00521466" w:rsidRPr="003445F5">
        <w:rPr>
          <w:szCs w:val="22"/>
          <w:lang w:val="sr-Latn-ME"/>
        </w:rPr>
        <w:t>j</w:t>
      </w:r>
      <w:r w:rsidRPr="003445F5">
        <w:rPr>
          <w:szCs w:val="22"/>
          <w:lang w:val="sr-Latn-ME"/>
        </w:rPr>
        <w:t xml:space="preserve">etlosti. </w:t>
      </w:r>
    </w:p>
    <w:p w14:paraId="3D17EBC1" w14:textId="77777777" w:rsidR="00F75CD1" w:rsidRPr="003445F5" w:rsidRDefault="00F75CD1" w:rsidP="00524FDF">
      <w:pPr>
        <w:rPr>
          <w:szCs w:val="22"/>
          <w:lang w:val="sr-Latn-ME"/>
        </w:rPr>
      </w:pPr>
    </w:p>
    <w:p w14:paraId="59BC1750" w14:textId="2E161F10" w:rsidR="00F75CD1" w:rsidRPr="003445F5" w:rsidRDefault="00F75CD1" w:rsidP="00524FDF">
      <w:pPr>
        <w:rPr>
          <w:szCs w:val="22"/>
          <w:lang w:val="sr-Latn-ME"/>
        </w:rPr>
      </w:pPr>
      <w:r w:rsidRPr="003445F5">
        <w:rPr>
          <w:szCs w:val="22"/>
          <w:lang w:val="sr-Latn-ME"/>
        </w:rPr>
        <w:t xml:space="preserve">Pojedinačni napunjeni injekcioni </w:t>
      </w:r>
      <w:r w:rsidR="00DF25CA" w:rsidRPr="003445F5">
        <w:rPr>
          <w:szCs w:val="22"/>
          <w:lang w:val="sr-Latn-ME"/>
        </w:rPr>
        <w:t>špric</w:t>
      </w:r>
      <w:r w:rsidRPr="003445F5">
        <w:rPr>
          <w:szCs w:val="22"/>
          <w:lang w:val="sr-Latn-ME"/>
        </w:rPr>
        <w:t xml:space="preserve"> se može čuvati na temperaturi </w:t>
      </w:r>
      <w:r w:rsidR="00C21547" w:rsidRPr="003445F5">
        <w:rPr>
          <w:szCs w:val="22"/>
          <w:lang w:val="sr-Latn-ME"/>
        </w:rPr>
        <w:t xml:space="preserve">do </w:t>
      </w:r>
      <w:r w:rsidRPr="003445F5">
        <w:rPr>
          <w:szCs w:val="22"/>
          <w:lang w:val="sr-Latn-ME"/>
        </w:rPr>
        <w:t xml:space="preserve">najviše 25°C tokom perioda do </w:t>
      </w:r>
      <w:r w:rsidR="008A53D1" w:rsidRPr="003445F5">
        <w:rPr>
          <w:szCs w:val="22"/>
          <w:lang w:val="sr-Latn-ME"/>
        </w:rPr>
        <w:t>30</w:t>
      </w:r>
      <w:r w:rsidRPr="003445F5">
        <w:rPr>
          <w:szCs w:val="22"/>
          <w:lang w:val="sr-Latn-ME"/>
        </w:rPr>
        <w:t xml:space="preserve"> dana. Napunjeni injekcioni </w:t>
      </w:r>
      <w:r w:rsidR="00DF25CA" w:rsidRPr="003445F5">
        <w:rPr>
          <w:szCs w:val="22"/>
          <w:lang w:val="sr-Latn-ME"/>
        </w:rPr>
        <w:t>špric</w:t>
      </w:r>
      <w:r w:rsidRPr="003445F5">
        <w:rPr>
          <w:szCs w:val="22"/>
          <w:lang w:val="sr-Latn-ME"/>
        </w:rPr>
        <w:t xml:space="preserve"> mora </w:t>
      </w:r>
      <w:r w:rsidR="00DD468B" w:rsidRPr="003445F5">
        <w:rPr>
          <w:szCs w:val="22"/>
          <w:lang w:val="sr-Latn-ME"/>
        </w:rPr>
        <w:t xml:space="preserve">biti </w:t>
      </w:r>
      <w:r w:rsidRPr="003445F5">
        <w:rPr>
          <w:szCs w:val="22"/>
          <w:lang w:val="sr-Latn-ME"/>
        </w:rPr>
        <w:t xml:space="preserve">odbačen ukoliko se ne iskoristi u periodu od </w:t>
      </w:r>
      <w:r w:rsidR="008A53D1" w:rsidRPr="003445F5">
        <w:rPr>
          <w:szCs w:val="22"/>
          <w:lang w:val="sr-Latn-ME"/>
        </w:rPr>
        <w:t>30</w:t>
      </w:r>
      <w:r w:rsidRPr="003445F5">
        <w:rPr>
          <w:szCs w:val="22"/>
          <w:lang w:val="sr-Latn-ME"/>
        </w:rPr>
        <w:t xml:space="preserve"> dana.</w:t>
      </w:r>
    </w:p>
    <w:p w14:paraId="072D43FC" w14:textId="77777777" w:rsidR="00CE09F3" w:rsidRPr="003445F5" w:rsidRDefault="00CE09F3" w:rsidP="00524FDF">
      <w:pPr>
        <w:rPr>
          <w:szCs w:val="22"/>
          <w:lang w:val="sr-Latn-ME"/>
        </w:rPr>
      </w:pPr>
    </w:p>
    <w:p w14:paraId="072D43FD" w14:textId="521F984E" w:rsidR="00CE09F3" w:rsidRPr="003445F5" w:rsidRDefault="0022223A" w:rsidP="00524FDF">
      <w:pPr>
        <w:rPr>
          <w:b/>
          <w:bCs/>
          <w:szCs w:val="22"/>
          <w:lang w:val="sr-Latn-ME"/>
        </w:rPr>
      </w:pPr>
      <w:r w:rsidRPr="003445F5">
        <w:rPr>
          <w:b/>
          <w:bCs/>
          <w:szCs w:val="22"/>
          <w:lang w:val="sr-Latn-ME"/>
        </w:rPr>
        <w:t xml:space="preserve">6.5. </w:t>
      </w:r>
      <w:r w:rsidR="00521466" w:rsidRPr="003445F5">
        <w:rPr>
          <w:b/>
          <w:bCs/>
          <w:szCs w:val="22"/>
          <w:lang w:val="sr-Latn-ME"/>
        </w:rPr>
        <w:t>Vrsta</w:t>
      </w:r>
      <w:r w:rsidR="00CE09F3" w:rsidRPr="003445F5">
        <w:rPr>
          <w:b/>
          <w:bCs/>
          <w:szCs w:val="22"/>
          <w:lang w:val="sr-Latn-ME"/>
        </w:rPr>
        <w:t xml:space="preserve"> i sadržaj pakovanja</w:t>
      </w:r>
      <w:r w:rsidR="00F42610" w:rsidRPr="003445F5">
        <w:rPr>
          <w:b/>
          <w:bCs/>
          <w:szCs w:val="22"/>
          <w:lang w:val="sr-Latn-ME"/>
        </w:rPr>
        <w:t xml:space="preserve"> </w:t>
      </w:r>
    </w:p>
    <w:p w14:paraId="1BC83517" w14:textId="77777777" w:rsidR="00375BC3" w:rsidRPr="003445F5" w:rsidRDefault="00375BC3" w:rsidP="00375BC3">
      <w:pPr>
        <w:rPr>
          <w:b/>
          <w:bCs/>
          <w:szCs w:val="22"/>
          <w:lang w:val="sr-Latn-ME"/>
        </w:rPr>
      </w:pPr>
    </w:p>
    <w:p w14:paraId="6AA97DE8" w14:textId="3AF33786" w:rsidR="00375BC3" w:rsidRPr="003445F5" w:rsidRDefault="00375BC3" w:rsidP="00375BC3">
      <w:pPr>
        <w:rPr>
          <w:szCs w:val="22"/>
          <w:lang w:val="sr-Latn-ME"/>
        </w:rPr>
      </w:pPr>
      <w:r w:rsidRPr="003445F5">
        <w:rPr>
          <w:szCs w:val="22"/>
          <w:lang w:val="sr-Latn-ME"/>
        </w:rPr>
        <w:t>Unutrašnje pakovanje je 0,8 m</w:t>
      </w:r>
      <w:r w:rsidR="009D2148" w:rsidRPr="003445F5">
        <w:rPr>
          <w:szCs w:val="22"/>
          <w:lang w:val="sr-Latn-ME"/>
        </w:rPr>
        <w:t>l</w:t>
      </w:r>
      <w:r w:rsidRPr="003445F5">
        <w:rPr>
          <w:szCs w:val="22"/>
          <w:lang w:val="sr-Latn-ME"/>
        </w:rPr>
        <w:t xml:space="preserve"> rastvora za injekciju u napunjenom injekcionom špricu od stakla tipa I, sa pričvršćenom iglom veličine 29 G, proširenim držačima za prste i zaštitnikom za iglu i čepom klipa (bromobutil guma). </w:t>
      </w:r>
    </w:p>
    <w:p w14:paraId="03502339" w14:textId="65083A0B" w:rsidR="00375BC3" w:rsidRPr="003445F5" w:rsidRDefault="00375BC3" w:rsidP="00375BC3">
      <w:pPr>
        <w:rPr>
          <w:szCs w:val="22"/>
          <w:lang w:val="sr-Latn-ME"/>
        </w:rPr>
      </w:pPr>
      <w:r w:rsidRPr="003445F5">
        <w:rPr>
          <w:szCs w:val="22"/>
          <w:lang w:val="sr-Latn-ME"/>
        </w:rPr>
        <w:t>Spolj</w:t>
      </w:r>
      <w:r w:rsidR="0059248A" w:rsidRPr="003445F5">
        <w:rPr>
          <w:szCs w:val="22"/>
          <w:lang w:val="sr-Latn-ME"/>
        </w:rPr>
        <w:t>aš</w:t>
      </w:r>
      <w:r w:rsidRPr="003445F5">
        <w:rPr>
          <w:szCs w:val="22"/>
          <w:lang w:val="sr-Latn-ME"/>
        </w:rPr>
        <w:t>nje pakovanje l</w:t>
      </w:r>
      <w:r w:rsidR="00521466" w:rsidRPr="003445F5">
        <w:rPr>
          <w:szCs w:val="22"/>
          <w:lang w:val="sr-Latn-ME"/>
        </w:rPr>
        <w:t>ij</w:t>
      </w:r>
      <w:r w:rsidRPr="003445F5">
        <w:rPr>
          <w:szCs w:val="22"/>
          <w:lang w:val="sr-Latn-ME"/>
        </w:rPr>
        <w:t>eka je složiva kartonska kutija u kojoj se nalazi 1 napunjen</w:t>
      </w:r>
      <w:r w:rsidR="007E5919" w:rsidRPr="003445F5">
        <w:rPr>
          <w:szCs w:val="22"/>
          <w:lang w:val="sr-Latn-ME"/>
        </w:rPr>
        <w:t>i</w:t>
      </w:r>
      <w:r w:rsidRPr="003445F5">
        <w:rPr>
          <w:szCs w:val="22"/>
          <w:lang w:val="sr-Latn-ME"/>
        </w:rPr>
        <w:t xml:space="preserve"> injekcion</w:t>
      </w:r>
      <w:r w:rsidR="007E5919" w:rsidRPr="003445F5">
        <w:rPr>
          <w:szCs w:val="22"/>
          <w:lang w:val="sr-Latn-ME"/>
        </w:rPr>
        <w:t>i</w:t>
      </w:r>
      <w:r w:rsidRPr="003445F5">
        <w:rPr>
          <w:szCs w:val="22"/>
          <w:lang w:val="sr-Latn-ME"/>
        </w:rPr>
        <w:t xml:space="preserve"> špric upakovan u PVC/PE blister, sa </w:t>
      </w:r>
      <w:r w:rsidR="00E82232" w:rsidRPr="003445F5">
        <w:rPr>
          <w:szCs w:val="22"/>
          <w:lang w:val="sr-Latn-ME"/>
        </w:rPr>
        <w:t>1</w:t>
      </w:r>
      <w:r w:rsidRPr="003445F5">
        <w:rPr>
          <w:szCs w:val="22"/>
          <w:lang w:val="sr-Latn-ME"/>
        </w:rPr>
        <w:t xml:space="preserve"> jastučić</w:t>
      </w:r>
      <w:r w:rsidR="00E82232" w:rsidRPr="003445F5">
        <w:rPr>
          <w:szCs w:val="22"/>
          <w:lang w:val="sr-Latn-ME"/>
        </w:rPr>
        <w:t>em</w:t>
      </w:r>
      <w:r w:rsidRPr="003445F5">
        <w:rPr>
          <w:szCs w:val="22"/>
          <w:lang w:val="sr-Latn-ME"/>
        </w:rPr>
        <w:t xml:space="preserve"> natopljen</w:t>
      </w:r>
      <w:r w:rsidR="00E82232" w:rsidRPr="003445F5">
        <w:rPr>
          <w:szCs w:val="22"/>
          <w:lang w:val="sr-Latn-ME"/>
        </w:rPr>
        <w:t>im</w:t>
      </w:r>
      <w:r w:rsidRPr="003445F5">
        <w:rPr>
          <w:szCs w:val="22"/>
          <w:lang w:val="sr-Latn-ME"/>
        </w:rPr>
        <w:t xml:space="preserve"> alkoholom. </w:t>
      </w:r>
    </w:p>
    <w:p w14:paraId="5366A813" w14:textId="378A4DC5" w:rsidR="00C92341" w:rsidRPr="003445F5" w:rsidRDefault="00C92341" w:rsidP="00524FDF">
      <w:pPr>
        <w:rPr>
          <w:szCs w:val="22"/>
          <w:lang w:val="sr-Latn-ME"/>
        </w:rPr>
      </w:pPr>
    </w:p>
    <w:p w14:paraId="072D43FF" w14:textId="17E8026A" w:rsidR="00CE09F3" w:rsidRPr="003445F5" w:rsidRDefault="00CE09F3" w:rsidP="00524FDF">
      <w:pPr>
        <w:rPr>
          <w:b/>
          <w:bCs/>
          <w:szCs w:val="22"/>
          <w:lang w:val="sr-Latn-ME"/>
        </w:rPr>
      </w:pPr>
      <w:r w:rsidRPr="003445F5">
        <w:rPr>
          <w:b/>
          <w:bCs/>
          <w:szCs w:val="22"/>
          <w:lang w:val="sr-Latn-ME"/>
        </w:rPr>
        <w:t>6.6. Posebne m</w:t>
      </w:r>
      <w:r w:rsidR="00521466" w:rsidRPr="003445F5">
        <w:rPr>
          <w:b/>
          <w:bCs/>
          <w:szCs w:val="22"/>
          <w:lang w:val="sr-Latn-ME"/>
        </w:rPr>
        <w:t>j</w:t>
      </w:r>
      <w:r w:rsidRPr="003445F5">
        <w:rPr>
          <w:b/>
          <w:bCs/>
          <w:szCs w:val="22"/>
          <w:lang w:val="sr-Latn-ME"/>
        </w:rPr>
        <w:t>ere opreza pri odlaganju materijala koji treba odbaciti nakon prim</w:t>
      </w:r>
      <w:r w:rsidR="00521466" w:rsidRPr="003445F5">
        <w:rPr>
          <w:b/>
          <w:bCs/>
          <w:szCs w:val="22"/>
          <w:lang w:val="sr-Latn-ME"/>
        </w:rPr>
        <w:t>j</w:t>
      </w:r>
      <w:r w:rsidRPr="003445F5">
        <w:rPr>
          <w:b/>
          <w:bCs/>
          <w:szCs w:val="22"/>
          <w:lang w:val="sr-Latn-ME"/>
        </w:rPr>
        <w:t>ene l</w:t>
      </w:r>
      <w:r w:rsidR="00521466" w:rsidRPr="003445F5">
        <w:rPr>
          <w:b/>
          <w:bCs/>
          <w:szCs w:val="22"/>
          <w:lang w:val="sr-Latn-ME"/>
        </w:rPr>
        <w:t>ij</w:t>
      </w:r>
      <w:r w:rsidRPr="003445F5">
        <w:rPr>
          <w:b/>
          <w:bCs/>
          <w:szCs w:val="22"/>
          <w:lang w:val="sr-Latn-ME"/>
        </w:rPr>
        <w:t>eka (i druga uputstva za rukovanje l</w:t>
      </w:r>
      <w:r w:rsidR="00521466" w:rsidRPr="003445F5">
        <w:rPr>
          <w:b/>
          <w:bCs/>
          <w:szCs w:val="22"/>
          <w:lang w:val="sr-Latn-ME"/>
        </w:rPr>
        <w:t>ij</w:t>
      </w:r>
      <w:r w:rsidRPr="003445F5">
        <w:rPr>
          <w:b/>
          <w:bCs/>
          <w:szCs w:val="22"/>
          <w:lang w:val="sr-Latn-ME"/>
        </w:rPr>
        <w:t>ekom)</w:t>
      </w:r>
    </w:p>
    <w:p w14:paraId="072D4400" w14:textId="77777777" w:rsidR="00CE09F3" w:rsidRPr="003445F5" w:rsidRDefault="00CE09F3" w:rsidP="00524FDF">
      <w:pPr>
        <w:rPr>
          <w:szCs w:val="22"/>
          <w:lang w:val="sr-Latn-ME"/>
        </w:rPr>
      </w:pPr>
    </w:p>
    <w:p w14:paraId="1A192AD4" w14:textId="3F0E6B74" w:rsidR="00DB61C4" w:rsidRPr="003445F5" w:rsidRDefault="00DB61C4" w:rsidP="00524FDF">
      <w:pPr>
        <w:rPr>
          <w:szCs w:val="22"/>
          <w:lang w:val="sr-Latn-ME"/>
        </w:rPr>
      </w:pPr>
      <w:r w:rsidRPr="003445F5">
        <w:rPr>
          <w:szCs w:val="22"/>
          <w:lang w:val="sr-Latn-ME"/>
        </w:rPr>
        <w:t>Svu neiskorišćenu količinu l</w:t>
      </w:r>
      <w:r w:rsidR="00521466" w:rsidRPr="003445F5">
        <w:rPr>
          <w:szCs w:val="22"/>
          <w:lang w:val="sr-Latn-ME"/>
        </w:rPr>
        <w:t>ij</w:t>
      </w:r>
      <w:r w:rsidRPr="003445F5">
        <w:rPr>
          <w:szCs w:val="22"/>
          <w:lang w:val="sr-Latn-ME"/>
        </w:rPr>
        <w:t>eka ili otpadnog materijala nakon njegove upotrebe treba ukloniti, u skladu sa važećim propisima.</w:t>
      </w:r>
    </w:p>
    <w:p w14:paraId="072D4401" w14:textId="77777777" w:rsidR="00CE09F3" w:rsidRPr="003445F5" w:rsidRDefault="00CE09F3" w:rsidP="00524FDF">
      <w:pPr>
        <w:rPr>
          <w:szCs w:val="22"/>
          <w:lang w:val="sr-Latn-ME"/>
        </w:rPr>
      </w:pPr>
    </w:p>
    <w:p w14:paraId="55BFAF85" w14:textId="77777777" w:rsidR="00F651D5" w:rsidRPr="003445F5" w:rsidRDefault="00F651D5" w:rsidP="00524FDF">
      <w:pPr>
        <w:rPr>
          <w:szCs w:val="22"/>
          <w:lang w:val="sr-Latn-ME"/>
        </w:rPr>
      </w:pPr>
    </w:p>
    <w:p w14:paraId="072D4402" w14:textId="77777777" w:rsidR="00CE09F3" w:rsidRPr="003445F5" w:rsidRDefault="00CE09F3" w:rsidP="00524FDF">
      <w:pPr>
        <w:pStyle w:val="NASLOV123"/>
        <w:spacing w:before="0" w:after="0"/>
        <w:rPr>
          <w:lang w:val="sr-Latn-ME"/>
        </w:rPr>
      </w:pPr>
      <w:r w:rsidRPr="003445F5">
        <w:rPr>
          <w:lang w:val="sr-Latn-ME"/>
        </w:rPr>
        <w:t xml:space="preserve">7. NOSILAC DOZVOLE </w:t>
      </w:r>
    </w:p>
    <w:p w14:paraId="406C9084" w14:textId="77777777" w:rsidR="00F651D5" w:rsidRPr="003445F5" w:rsidRDefault="00F651D5" w:rsidP="00524FDF">
      <w:pPr>
        <w:rPr>
          <w:szCs w:val="22"/>
          <w:lang w:val="sr-Latn-ME"/>
        </w:rPr>
      </w:pPr>
    </w:p>
    <w:p w14:paraId="31B82CAF" w14:textId="658B1657" w:rsidR="00316D17" w:rsidRPr="003445F5" w:rsidRDefault="00316D17" w:rsidP="00316D17">
      <w:pPr>
        <w:rPr>
          <w:szCs w:val="22"/>
          <w:lang w:val="sr-Latn-ME"/>
        </w:rPr>
      </w:pPr>
      <w:r w:rsidRPr="003445F5">
        <w:rPr>
          <w:szCs w:val="22"/>
          <w:lang w:val="sr-Latn-ME"/>
        </w:rPr>
        <w:t>Hemofarm A</w:t>
      </w:r>
      <w:r w:rsidR="009D2148" w:rsidRPr="003445F5">
        <w:rPr>
          <w:szCs w:val="22"/>
          <w:lang w:val="sr-Latn-ME"/>
        </w:rPr>
        <w:t>.</w:t>
      </w:r>
      <w:r w:rsidRPr="003445F5">
        <w:rPr>
          <w:szCs w:val="22"/>
          <w:lang w:val="sr-Latn-ME"/>
        </w:rPr>
        <w:t>D</w:t>
      </w:r>
      <w:r w:rsidR="009D2148" w:rsidRPr="003445F5">
        <w:rPr>
          <w:szCs w:val="22"/>
          <w:lang w:val="sr-Latn-ME"/>
        </w:rPr>
        <w:t>.</w:t>
      </w:r>
      <w:r w:rsidRPr="003445F5">
        <w:rPr>
          <w:szCs w:val="22"/>
          <w:lang w:val="sr-Latn-ME"/>
        </w:rPr>
        <w:t xml:space="preserve"> Vršac P</w:t>
      </w:r>
      <w:r w:rsidR="009D2148" w:rsidRPr="003445F5">
        <w:rPr>
          <w:szCs w:val="22"/>
          <w:lang w:val="sr-Latn-ME"/>
        </w:rPr>
        <w:t>.</w:t>
      </w:r>
      <w:r w:rsidRPr="003445F5">
        <w:rPr>
          <w:szCs w:val="22"/>
          <w:lang w:val="sr-Latn-ME"/>
        </w:rPr>
        <w:t>J</w:t>
      </w:r>
      <w:r w:rsidR="009D2148" w:rsidRPr="003445F5">
        <w:rPr>
          <w:szCs w:val="22"/>
          <w:lang w:val="sr-Latn-ME"/>
        </w:rPr>
        <w:t xml:space="preserve">. </w:t>
      </w:r>
      <w:r w:rsidRPr="003445F5">
        <w:rPr>
          <w:szCs w:val="22"/>
          <w:lang w:val="sr-Latn-ME"/>
        </w:rPr>
        <w:t>Podgorica</w:t>
      </w:r>
    </w:p>
    <w:p w14:paraId="0196F9D7" w14:textId="6B9749CA" w:rsidR="00316D17" w:rsidRPr="003445F5" w:rsidRDefault="00316D17" w:rsidP="00316D17">
      <w:pPr>
        <w:rPr>
          <w:szCs w:val="22"/>
          <w:lang w:val="sr-Latn-ME"/>
        </w:rPr>
      </w:pPr>
      <w:r w:rsidRPr="003445F5">
        <w:rPr>
          <w:szCs w:val="22"/>
          <w:lang w:val="sr-Latn-ME"/>
        </w:rPr>
        <w:t>8 marta 55A, Podgorica</w:t>
      </w:r>
      <w:r w:rsidR="009D2148" w:rsidRPr="003445F5">
        <w:rPr>
          <w:szCs w:val="22"/>
          <w:lang w:val="sr-Latn-ME"/>
        </w:rPr>
        <w:t>, Crna Gora</w:t>
      </w:r>
    </w:p>
    <w:p w14:paraId="072D4404" w14:textId="77777777" w:rsidR="00CE09F3" w:rsidRPr="003445F5" w:rsidRDefault="00CE09F3" w:rsidP="00524FDF">
      <w:pPr>
        <w:rPr>
          <w:szCs w:val="22"/>
          <w:lang w:val="sr-Latn-ME"/>
        </w:rPr>
      </w:pPr>
    </w:p>
    <w:p w14:paraId="7AAC5C94" w14:textId="77777777" w:rsidR="00F651D5" w:rsidRPr="003445F5" w:rsidRDefault="00F651D5" w:rsidP="00524FDF">
      <w:pPr>
        <w:rPr>
          <w:szCs w:val="22"/>
          <w:lang w:val="sr-Latn-ME"/>
        </w:rPr>
      </w:pPr>
    </w:p>
    <w:p w14:paraId="442945F7" w14:textId="77777777" w:rsidR="0056198B" w:rsidRPr="003445F5" w:rsidRDefault="0056198B" w:rsidP="0056198B">
      <w:pPr>
        <w:pStyle w:val="NASLOV123"/>
        <w:spacing w:before="0" w:after="0"/>
        <w:rPr>
          <w:lang w:val="sr-Latn-ME"/>
        </w:rPr>
      </w:pPr>
      <w:r w:rsidRPr="003445F5">
        <w:rPr>
          <w:lang w:val="sr-Latn-ME"/>
        </w:rPr>
        <w:t>8. BROJ DOZVOLE ZA STAVLJANJE LIJEKA U PROMET</w:t>
      </w:r>
    </w:p>
    <w:p w14:paraId="7E6DFFF3" w14:textId="77777777" w:rsidR="0056198B" w:rsidRPr="003445F5" w:rsidRDefault="0056198B" w:rsidP="0056198B">
      <w:pPr>
        <w:rPr>
          <w:szCs w:val="22"/>
          <w:lang w:val="sr-Latn-ME"/>
        </w:rPr>
      </w:pPr>
    </w:p>
    <w:p w14:paraId="5D010AB5" w14:textId="7BC801E8" w:rsidR="0056198B" w:rsidRPr="003445F5" w:rsidRDefault="00641D91" w:rsidP="0056198B">
      <w:pPr>
        <w:rPr>
          <w:szCs w:val="22"/>
          <w:lang w:val="sr-Latn-ME"/>
        </w:rPr>
      </w:pPr>
      <w:r w:rsidRPr="003445F5">
        <w:rPr>
          <w:szCs w:val="22"/>
        </w:rPr>
        <w:t>2030/24/6575 - 7258</w:t>
      </w:r>
    </w:p>
    <w:p w14:paraId="0C049E4B" w14:textId="77777777" w:rsidR="0056198B" w:rsidRPr="003445F5" w:rsidRDefault="0056198B" w:rsidP="0056198B">
      <w:pPr>
        <w:rPr>
          <w:szCs w:val="22"/>
          <w:lang w:val="sr-Latn-ME"/>
        </w:rPr>
      </w:pPr>
    </w:p>
    <w:p w14:paraId="2839633D" w14:textId="77777777" w:rsidR="0056198B" w:rsidRPr="003445F5" w:rsidRDefault="0056198B" w:rsidP="0056198B">
      <w:pPr>
        <w:rPr>
          <w:szCs w:val="22"/>
          <w:lang w:val="sr-Latn-ME"/>
        </w:rPr>
      </w:pPr>
    </w:p>
    <w:p w14:paraId="3CA0D348" w14:textId="24995060" w:rsidR="0056198B" w:rsidRPr="003445F5" w:rsidRDefault="0056198B" w:rsidP="0056198B">
      <w:pPr>
        <w:pStyle w:val="NASLOV123"/>
        <w:spacing w:before="0" w:after="0"/>
        <w:jc w:val="both"/>
        <w:rPr>
          <w:lang w:val="sr-Latn-ME"/>
        </w:rPr>
      </w:pPr>
      <w:r w:rsidRPr="003445F5">
        <w:rPr>
          <w:lang w:val="sr-Latn-ME"/>
        </w:rPr>
        <w:t>9. DATUM PRVE DOZVOLE/ OBNOVE DOZVOLE ZA STAVLJANJE LIJEKA U PROMET</w:t>
      </w:r>
    </w:p>
    <w:p w14:paraId="00D64CDF" w14:textId="77777777" w:rsidR="0056198B" w:rsidRPr="003445F5" w:rsidRDefault="0056198B" w:rsidP="0056198B">
      <w:pPr>
        <w:autoSpaceDE w:val="0"/>
        <w:autoSpaceDN w:val="0"/>
        <w:adjustRightInd w:val="0"/>
        <w:rPr>
          <w:szCs w:val="22"/>
          <w:lang w:val="sr-Latn-ME"/>
        </w:rPr>
      </w:pPr>
    </w:p>
    <w:p w14:paraId="6795095B" w14:textId="249755CA" w:rsidR="0056198B" w:rsidRPr="003445F5" w:rsidRDefault="00641D91" w:rsidP="0056198B">
      <w:pPr>
        <w:rPr>
          <w:szCs w:val="22"/>
          <w:lang w:val="sr-Latn-ME"/>
        </w:rPr>
      </w:pPr>
      <w:r w:rsidRPr="003445F5">
        <w:rPr>
          <w:szCs w:val="22"/>
          <w:lang w:val="sr-Latn-ME"/>
        </w:rPr>
        <w:t>09.12.2024. godine</w:t>
      </w:r>
    </w:p>
    <w:p w14:paraId="5CC2EF83" w14:textId="77777777" w:rsidR="00641D91" w:rsidRPr="003445F5" w:rsidRDefault="00641D91" w:rsidP="0056198B">
      <w:pPr>
        <w:rPr>
          <w:szCs w:val="22"/>
          <w:lang w:val="sr-Latn-ME"/>
        </w:rPr>
      </w:pPr>
    </w:p>
    <w:p w14:paraId="5B94CB1D" w14:textId="77777777" w:rsidR="0056198B" w:rsidRPr="003445F5" w:rsidRDefault="0056198B" w:rsidP="0056198B">
      <w:pPr>
        <w:rPr>
          <w:szCs w:val="22"/>
          <w:lang w:val="sr-Latn-ME"/>
        </w:rPr>
      </w:pPr>
    </w:p>
    <w:p w14:paraId="7640F651" w14:textId="77777777" w:rsidR="0056198B" w:rsidRPr="003445F5" w:rsidRDefault="0056198B" w:rsidP="0056198B">
      <w:pPr>
        <w:pStyle w:val="NASLOV123"/>
        <w:spacing w:before="0" w:after="0"/>
        <w:rPr>
          <w:lang w:val="sr-Latn-ME"/>
        </w:rPr>
      </w:pPr>
      <w:r w:rsidRPr="003445F5">
        <w:rPr>
          <w:lang w:val="sr-Latn-ME"/>
        </w:rPr>
        <w:t>10. DATUM REVIZIJE TEKSTA</w:t>
      </w:r>
    </w:p>
    <w:p w14:paraId="35367903" w14:textId="77777777" w:rsidR="0056198B" w:rsidRPr="003445F5" w:rsidRDefault="0056198B" w:rsidP="0056198B">
      <w:pPr>
        <w:pStyle w:val="NASLOV123"/>
        <w:spacing w:before="0" w:after="0"/>
        <w:rPr>
          <w:b w:val="0"/>
          <w:bCs/>
          <w:lang w:val="sr-Latn-ME"/>
        </w:rPr>
      </w:pPr>
      <w:bookmarkStart w:id="0" w:name="_GoBack"/>
      <w:bookmarkEnd w:id="0"/>
    </w:p>
    <w:p w14:paraId="752DEE78" w14:textId="242A6430" w:rsidR="00C371A2" w:rsidRPr="003445F5" w:rsidRDefault="00551F1D" w:rsidP="0056198B">
      <w:pPr>
        <w:pStyle w:val="NASLOV123"/>
        <w:spacing w:before="0" w:after="0"/>
        <w:rPr>
          <w:b w:val="0"/>
          <w:bCs/>
          <w:lang w:val="sr-Latn-ME"/>
        </w:rPr>
      </w:pPr>
      <w:r w:rsidRPr="003445F5">
        <w:rPr>
          <w:b w:val="0"/>
          <w:bCs/>
          <w:lang w:val="sr-Latn-ME"/>
        </w:rPr>
        <w:t>Decembar</w:t>
      </w:r>
      <w:r w:rsidR="0056198B" w:rsidRPr="003445F5">
        <w:rPr>
          <w:b w:val="0"/>
          <w:bCs/>
          <w:lang w:val="sr-Latn-ME"/>
        </w:rPr>
        <w:t>, 2024.</w:t>
      </w:r>
      <w:r w:rsidR="00641D91" w:rsidRPr="003445F5">
        <w:rPr>
          <w:b w:val="0"/>
          <w:bCs/>
          <w:lang w:val="sr-Latn-ME"/>
        </w:rPr>
        <w:t xml:space="preserve"> godine</w:t>
      </w:r>
    </w:p>
    <w:sectPr w:rsidR="00C371A2" w:rsidRPr="003445F5" w:rsidSect="00524FDF">
      <w:footerReference w:type="even" r:id="rId17"/>
      <w:footerReference w:type="default" r:id="rId18"/>
      <w:pgSz w:w="11907" w:h="16840" w:code="9"/>
      <w:pgMar w:top="1440" w:right="1440" w:bottom="1440" w:left="144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7EE07" w14:textId="77777777" w:rsidR="00BF64DD" w:rsidRDefault="00BF64DD">
      <w:r>
        <w:separator/>
      </w:r>
    </w:p>
  </w:endnote>
  <w:endnote w:type="continuationSeparator" w:id="0">
    <w:p w14:paraId="56596ED3" w14:textId="77777777" w:rsidR="00BF64DD" w:rsidRDefault="00BF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441B" w14:textId="77777777" w:rsidR="003B328F" w:rsidRDefault="003B328F"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72D441C" w14:textId="77777777" w:rsidR="003B328F" w:rsidRDefault="003B32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441E" w14:textId="22D31D7D" w:rsidR="003B328F" w:rsidRPr="00E302DC" w:rsidRDefault="00BF64DD" w:rsidP="00FB543A">
    <w:pPr>
      <w:pStyle w:val="Footer"/>
      <w:tabs>
        <w:tab w:val="left" w:pos="5448"/>
      </w:tabs>
      <w:jc w:val="center"/>
      <w:rPr>
        <w:szCs w:val="22"/>
      </w:rPr>
    </w:pPr>
    <w:sdt>
      <w:sdtPr>
        <w:id w:val="25862803"/>
        <w:docPartObj>
          <w:docPartGallery w:val="Page Numbers (Bottom of Page)"/>
          <w:docPartUnique/>
        </w:docPartObj>
      </w:sdtPr>
      <w:sdtEndPr>
        <w:rPr>
          <w:szCs w:val="22"/>
        </w:rPr>
      </w:sdtEndPr>
      <w:sdtContent>
        <w:sdt>
          <w:sdtPr>
            <w:rPr>
              <w:szCs w:val="22"/>
            </w:rPr>
            <w:id w:val="565050477"/>
            <w:docPartObj>
              <w:docPartGallery w:val="Page Numbers (Top of Page)"/>
              <w:docPartUnique/>
            </w:docPartObj>
          </w:sdtPr>
          <w:sdtEndPr/>
          <w:sdtContent>
            <w:r w:rsidR="003B328F" w:rsidRPr="00E302DC">
              <w:rPr>
                <w:szCs w:val="22"/>
              </w:rPr>
              <w:fldChar w:fldCharType="begin"/>
            </w:r>
            <w:r w:rsidR="003B328F" w:rsidRPr="00E302DC">
              <w:rPr>
                <w:szCs w:val="22"/>
              </w:rPr>
              <w:instrText xml:space="preserve"> PAGE </w:instrText>
            </w:r>
            <w:r w:rsidR="003B328F" w:rsidRPr="00E302DC">
              <w:rPr>
                <w:szCs w:val="22"/>
              </w:rPr>
              <w:fldChar w:fldCharType="separate"/>
            </w:r>
            <w:r w:rsidR="003445F5">
              <w:rPr>
                <w:noProof/>
                <w:szCs w:val="22"/>
              </w:rPr>
              <w:t>45</w:t>
            </w:r>
            <w:r w:rsidR="003B328F" w:rsidRPr="00E302DC">
              <w:rPr>
                <w:szCs w:val="22"/>
              </w:rPr>
              <w:fldChar w:fldCharType="end"/>
            </w:r>
            <w:r w:rsidR="003B328F" w:rsidRPr="00E302DC">
              <w:rPr>
                <w:szCs w:val="22"/>
              </w:rPr>
              <w:t xml:space="preserve"> </w:t>
            </w:r>
            <w:r w:rsidR="003B328F">
              <w:rPr>
                <w:szCs w:val="22"/>
              </w:rPr>
              <w:t>/</w:t>
            </w:r>
            <w:r w:rsidR="003B328F" w:rsidRPr="00E302DC">
              <w:rPr>
                <w:szCs w:val="22"/>
              </w:rPr>
              <w:t xml:space="preserve"> </w:t>
            </w:r>
            <w:r w:rsidR="003B328F" w:rsidRPr="00E302DC">
              <w:rPr>
                <w:szCs w:val="22"/>
              </w:rPr>
              <w:fldChar w:fldCharType="begin"/>
            </w:r>
            <w:r w:rsidR="003B328F" w:rsidRPr="00E302DC">
              <w:rPr>
                <w:szCs w:val="22"/>
              </w:rPr>
              <w:instrText xml:space="preserve"> NUMPAGES  </w:instrText>
            </w:r>
            <w:r w:rsidR="003B328F" w:rsidRPr="00E302DC">
              <w:rPr>
                <w:szCs w:val="22"/>
              </w:rPr>
              <w:fldChar w:fldCharType="separate"/>
            </w:r>
            <w:r w:rsidR="003445F5">
              <w:rPr>
                <w:noProof/>
                <w:szCs w:val="22"/>
              </w:rPr>
              <w:t>46</w:t>
            </w:r>
            <w:r w:rsidR="003B328F" w:rsidRPr="00E302DC">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EB203" w14:textId="77777777" w:rsidR="00BF64DD" w:rsidRDefault="00BF64DD">
      <w:r>
        <w:separator/>
      </w:r>
    </w:p>
  </w:footnote>
  <w:footnote w:type="continuationSeparator" w:id="0">
    <w:p w14:paraId="0EAAE47B" w14:textId="77777777" w:rsidR="00BF64DD" w:rsidRDefault="00BF6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3.5pt;visibility:visible;mso-wrap-style:square" o:bullet="t">
        <v:imagedata r:id="rId1" o:title="BT_1000x858px"/>
      </v:shape>
    </w:pict>
  </w:numPicBullet>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2C42CC6"/>
    <w:multiLevelType w:val="hybridMultilevel"/>
    <w:tmpl w:val="F15E6788"/>
    <w:lvl w:ilvl="0" w:tplc="34AAE83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B045007"/>
    <w:multiLevelType w:val="hybridMultilevel"/>
    <w:tmpl w:val="43DA578A"/>
    <w:lvl w:ilvl="0" w:tplc="24E00F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763375"/>
    <w:multiLevelType w:val="hybridMultilevel"/>
    <w:tmpl w:val="BA781984"/>
    <w:lvl w:ilvl="0" w:tplc="01126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lvlOverride w:ilvl="0">
      <w:startOverride w:val="7"/>
    </w:lvlOverride>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2D1D"/>
    <w:rsid w:val="00007556"/>
    <w:rsid w:val="00011DDE"/>
    <w:rsid w:val="00014FB0"/>
    <w:rsid w:val="000165BD"/>
    <w:rsid w:val="00017801"/>
    <w:rsid w:val="000241BA"/>
    <w:rsid w:val="00024B8E"/>
    <w:rsid w:val="00026211"/>
    <w:rsid w:val="00026A69"/>
    <w:rsid w:val="00030589"/>
    <w:rsid w:val="00032218"/>
    <w:rsid w:val="000336D3"/>
    <w:rsid w:val="00037FEC"/>
    <w:rsid w:val="000441EF"/>
    <w:rsid w:val="0004661F"/>
    <w:rsid w:val="00046B1E"/>
    <w:rsid w:val="00047725"/>
    <w:rsid w:val="00047DD7"/>
    <w:rsid w:val="0005022E"/>
    <w:rsid w:val="00050491"/>
    <w:rsid w:val="00053166"/>
    <w:rsid w:val="0005341F"/>
    <w:rsid w:val="00054C42"/>
    <w:rsid w:val="0005798D"/>
    <w:rsid w:val="00064273"/>
    <w:rsid w:val="0006567C"/>
    <w:rsid w:val="00070B42"/>
    <w:rsid w:val="00077891"/>
    <w:rsid w:val="000839CB"/>
    <w:rsid w:val="00083BE0"/>
    <w:rsid w:val="0008608B"/>
    <w:rsid w:val="00087E1D"/>
    <w:rsid w:val="00093015"/>
    <w:rsid w:val="00093CF8"/>
    <w:rsid w:val="00093D57"/>
    <w:rsid w:val="00095D6C"/>
    <w:rsid w:val="00095FB6"/>
    <w:rsid w:val="0009758B"/>
    <w:rsid w:val="000A0F4A"/>
    <w:rsid w:val="000A3B36"/>
    <w:rsid w:val="000A6F8F"/>
    <w:rsid w:val="000B24A8"/>
    <w:rsid w:val="000B52CB"/>
    <w:rsid w:val="000C0DE7"/>
    <w:rsid w:val="000C1179"/>
    <w:rsid w:val="000C1CAD"/>
    <w:rsid w:val="000C2463"/>
    <w:rsid w:val="000C34FF"/>
    <w:rsid w:val="000C390E"/>
    <w:rsid w:val="000C5614"/>
    <w:rsid w:val="000C6830"/>
    <w:rsid w:val="000C6E54"/>
    <w:rsid w:val="000D287F"/>
    <w:rsid w:val="000D5631"/>
    <w:rsid w:val="000E3171"/>
    <w:rsid w:val="000E39A1"/>
    <w:rsid w:val="000E3CFB"/>
    <w:rsid w:val="000E62E0"/>
    <w:rsid w:val="000E75C0"/>
    <w:rsid w:val="000F004B"/>
    <w:rsid w:val="000F16C4"/>
    <w:rsid w:val="000F3C35"/>
    <w:rsid w:val="000F6669"/>
    <w:rsid w:val="000F74C9"/>
    <w:rsid w:val="00102194"/>
    <w:rsid w:val="00104248"/>
    <w:rsid w:val="0010477F"/>
    <w:rsid w:val="001053E5"/>
    <w:rsid w:val="001060A5"/>
    <w:rsid w:val="0010620B"/>
    <w:rsid w:val="0010698F"/>
    <w:rsid w:val="00107C04"/>
    <w:rsid w:val="001119C7"/>
    <w:rsid w:val="00115B6B"/>
    <w:rsid w:val="00122EDE"/>
    <w:rsid w:val="00125536"/>
    <w:rsid w:val="0012704F"/>
    <w:rsid w:val="00135265"/>
    <w:rsid w:val="00141639"/>
    <w:rsid w:val="0014180A"/>
    <w:rsid w:val="0014289C"/>
    <w:rsid w:val="001438A3"/>
    <w:rsid w:val="001471D8"/>
    <w:rsid w:val="00147692"/>
    <w:rsid w:val="00151340"/>
    <w:rsid w:val="001523A0"/>
    <w:rsid w:val="0015321F"/>
    <w:rsid w:val="001627CE"/>
    <w:rsid w:val="0016489B"/>
    <w:rsid w:val="00164F6B"/>
    <w:rsid w:val="001673B0"/>
    <w:rsid w:val="00171738"/>
    <w:rsid w:val="00172986"/>
    <w:rsid w:val="001734CA"/>
    <w:rsid w:val="00173AE7"/>
    <w:rsid w:val="00173D18"/>
    <w:rsid w:val="00174F41"/>
    <w:rsid w:val="00175772"/>
    <w:rsid w:val="00175A7E"/>
    <w:rsid w:val="00180D36"/>
    <w:rsid w:val="001810C7"/>
    <w:rsid w:val="00181397"/>
    <w:rsid w:val="001828C5"/>
    <w:rsid w:val="00184D7C"/>
    <w:rsid w:val="0018601D"/>
    <w:rsid w:val="001867E4"/>
    <w:rsid w:val="0019013F"/>
    <w:rsid w:val="00195373"/>
    <w:rsid w:val="00196A74"/>
    <w:rsid w:val="001A112F"/>
    <w:rsid w:val="001A1EA2"/>
    <w:rsid w:val="001B0235"/>
    <w:rsid w:val="001B0A2A"/>
    <w:rsid w:val="001B706A"/>
    <w:rsid w:val="001C41F2"/>
    <w:rsid w:val="001C5232"/>
    <w:rsid w:val="001C5FF6"/>
    <w:rsid w:val="001D10C9"/>
    <w:rsid w:val="001D2FD0"/>
    <w:rsid w:val="001D5248"/>
    <w:rsid w:val="001D53B4"/>
    <w:rsid w:val="001D7000"/>
    <w:rsid w:val="001D7017"/>
    <w:rsid w:val="001D7FC0"/>
    <w:rsid w:val="001E0A07"/>
    <w:rsid w:val="001E10E9"/>
    <w:rsid w:val="001E11F1"/>
    <w:rsid w:val="001E1859"/>
    <w:rsid w:val="001E324D"/>
    <w:rsid w:val="001E562B"/>
    <w:rsid w:val="001E6145"/>
    <w:rsid w:val="001E6ABB"/>
    <w:rsid w:val="001E6BA1"/>
    <w:rsid w:val="001F2D06"/>
    <w:rsid w:val="001F2D4E"/>
    <w:rsid w:val="001F39B6"/>
    <w:rsid w:val="001F46C6"/>
    <w:rsid w:val="001F67D6"/>
    <w:rsid w:val="001F6D1D"/>
    <w:rsid w:val="001F6D7B"/>
    <w:rsid w:val="00201E36"/>
    <w:rsid w:val="00202D7B"/>
    <w:rsid w:val="00212B73"/>
    <w:rsid w:val="00212EB4"/>
    <w:rsid w:val="00217C41"/>
    <w:rsid w:val="0022218E"/>
    <w:rsid w:val="0022223A"/>
    <w:rsid w:val="00222CDE"/>
    <w:rsid w:val="00224497"/>
    <w:rsid w:val="00224658"/>
    <w:rsid w:val="002249CF"/>
    <w:rsid w:val="00224FE4"/>
    <w:rsid w:val="00225748"/>
    <w:rsid w:val="002262E6"/>
    <w:rsid w:val="00233556"/>
    <w:rsid w:val="00233EC0"/>
    <w:rsid w:val="00235266"/>
    <w:rsid w:val="00237521"/>
    <w:rsid w:val="00240507"/>
    <w:rsid w:val="00240A4D"/>
    <w:rsid w:val="00241118"/>
    <w:rsid w:val="0024132F"/>
    <w:rsid w:val="00242DCD"/>
    <w:rsid w:val="002431A6"/>
    <w:rsid w:val="00243B26"/>
    <w:rsid w:val="0024532D"/>
    <w:rsid w:val="00245719"/>
    <w:rsid w:val="00247C5C"/>
    <w:rsid w:val="002509B0"/>
    <w:rsid w:val="002515B4"/>
    <w:rsid w:val="002535F4"/>
    <w:rsid w:val="00257C06"/>
    <w:rsid w:val="00262738"/>
    <w:rsid w:val="00262E69"/>
    <w:rsid w:val="0026369B"/>
    <w:rsid w:val="002643FC"/>
    <w:rsid w:val="00264C3F"/>
    <w:rsid w:val="00264D42"/>
    <w:rsid w:val="0026512B"/>
    <w:rsid w:val="00266779"/>
    <w:rsid w:val="00267C60"/>
    <w:rsid w:val="00273BE0"/>
    <w:rsid w:val="002750D9"/>
    <w:rsid w:val="00280273"/>
    <w:rsid w:val="00280E0E"/>
    <w:rsid w:val="0028309B"/>
    <w:rsid w:val="002831A2"/>
    <w:rsid w:val="00284F3D"/>
    <w:rsid w:val="0028588B"/>
    <w:rsid w:val="00286AD5"/>
    <w:rsid w:val="00286CD8"/>
    <w:rsid w:val="0028775B"/>
    <w:rsid w:val="00290460"/>
    <w:rsid w:val="00294A3B"/>
    <w:rsid w:val="002A07D4"/>
    <w:rsid w:val="002A2EA1"/>
    <w:rsid w:val="002A334E"/>
    <w:rsid w:val="002A4E0E"/>
    <w:rsid w:val="002A6DDE"/>
    <w:rsid w:val="002B0201"/>
    <w:rsid w:val="002B1C20"/>
    <w:rsid w:val="002B4701"/>
    <w:rsid w:val="002B4B86"/>
    <w:rsid w:val="002B65AB"/>
    <w:rsid w:val="002B6F6A"/>
    <w:rsid w:val="002B7D79"/>
    <w:rsid w:val="002C0C58"/>
    <w:rsid w:val="002C0FBF"/>
    <w:rsid w:val="002C0FDF"/>
    <w:rsid w:val="002C3D38"/>
    <w:rsid w:val="002C4CA3"/>
    <w:rsid w:val="002C752E"/>
    <w:rsid w:val="002C79EF"/>
    <w:rsid w:val="002D010D"/>
    <w:rsid w:val="002D0B8B"/>
    <w:rsid w:val="002D30A8"/>
    <w:rsid w:val="002D5C40"/>
    <w:rsid w:val="002D7D16"/>
    <w:rsid w:val="002E1627"/>
    <w:rsid w:val="002E7088"/>
    <w:rsid w:val="002F08D3"/>
    <w:rsid w:val="002F34AF"/>
    <w:rsid w:val="002F3837"/>
    <w:rsid w:val="002F4029"/>
    <w:rsid w:val="002F5E2F"/>
    <w:rsid w:val="00300564"/>
    <w:rsid w:val="0031079F"/>
    <w:rsid w:val="00311E44"/>
    <w:rsid w:val="00311F5C"/>
    <w:rsid w:val="00312800"/>
    <w:rsid w:val="00313B3D"/>
    <w:rsid w:val="00313BFC"/>
    <w:rsid w:val="00316D17"/>
    <w:rsid w:val="00316FC0"/>
    <w:rsid w:val="00322292"/>
    <w:rsid w:val="003259EA"/>
    <w:rsid w:val="00333F38"/>
    <w:rsid w:val="00337867"/>
    <w:rsid w:val="00340F3C"/>
    <w:rsid w:val="003445F5"/>
    <w:rsid w:val="0034520B"/>
    <w:rsid w:val="003452C0"/>
    <w:rsid w:val="00353AB9"/>
    <w:rsid w:val="003540C4"/>
    <w:rsid w:val="00355A61"/>
    <w:rsid w:val="00355DD0"/>
    <w:rsid w:val="0035671D"/>
    <w:rsid w:val="00356C0D"/>
    <w:rsid w:val="00362543"/>
    <w:rsid w:val="003632D4"/>
    <w:rsid w:val="00364985"/>
    <w:rsid w:val="00364B1D"/>
    <w:rsid w:val="003663BD"/>
    <w:rsid w:val="00371F66"/>
    <w:rsid w:val="00375BC3"/>
    <w:rsid w:val="00383195"/>
    <w:rsid w:val="00384924"/>
    <w:rsid w:val="00384BA0"/>
    <w:rsid w:val="00394B2D"/>
    <w:rsid w:val="00394E9F"/>
    <w:rsid w:val="003950DE"/>
    <w:rsid w:val="003A05BD"/>
    <w:rsid w:val="003A2DF8"/>
    <w:rsid w:val="003A637C"/>
    <w:rsid w:val="003A666B"/>
    <w:rsid w:val="003A78EB"/>
    <w:rsid w:val="003B02AA"/>
    <w:rsid w:val="003B1ECF"/>
    <w:rsid w:val="003B2082"/>
    <w:rsid w:val="003B328F"/>
    <w:rsid w:val="003B3F93"/>
    <w:rsid w:val="003B62F7"/>
    <w:rsid w:val="003B71C4"/>
    <w:rsid w:val="003C01FC"/>
    <w:rsid w:val="003C0C3C"/>
    <w:rsid w:val="003C18A4"/>
    <w:rsid w:val="003C3770"/>
    <w:rsid w:val="003C3C53"/>
    <w:rsid w:val="003C689B"/>
    <w:rsid w:val="003D1AD5"/>
    <w:rsid w:val="003D4BE0"/>
    <w:rsid w:val="003D4CD9"/>
    <w:rsid w:val="003E0100"/>
    <w:rsid w:val="003E02DC"/>
    <w:rsid w:val="003E2462"/>
    <w:rsid w:val="003E37F6"/>
    <w:rsid w:val="003E3EC7"/>
    <w:rsid w:val="003E5437"/>
    <w:rsid w:val="003E5816"/>
    <w:rsid w:val="003E698B"/>
    <w:rsid w:val="003E6A37"/>
    <w:rsid w:val="003F026E"/>
    <w:rsid w:val="003F2764"/>
    <w:rsid w:val="003F2C9B"/>
    <w:rsid w:val="003F3278"/>
    <w:rsid w:val="003F3D31"/>
    <w:rsid w:val="00401256"/>
    <w:rsid w:val="0040462B"/>
    <w:rsid w:val="00405C94"/>
    <w:rsid w:val="00406DFF"/>
    <w:rsid w:val="0041210F"/>
    <w:rsid w:val="004123CD"/>
    <w:rsid w:val="00415C78"/>
    <w:rsid w:val="0041600A"/>
    <w:rsid w:val="004171A5"/>
    <w:rsid w:val="004214EC"/>
    <w:rsid w:val="00422B9B"/>
    <w:rsid w:val="004234ED"/>
    <w:rsid w:val="00423A1A"/>
    <w:rsid w:val="00426C79"/>
    <w:rsid w:val="00427D41"/>
    <w:rsid w:val="004305EF"/>
    <w:rsid w:val="00432884"/>
    <w:rsid w:val="00432E56"/>
    <w:rsid w:val="00434D88"/>
    <w:rsid w:val="00440889"/>
    <w:rsid w:val="00441286"/>
    <w:rsid w:val="00442D8B"/>
    <w:rsid w:val="004473E9"/>
    <w:rsid w:val="00454719"/>
    <w:rsid w:val="00454ACA"/>
    <w:rsid w:val="00460E9D"/>
    <w:rsid w:val="00461900"/>
    <w:rsid w:val="00461DFD"/>
    <w:rsid w:val="004628C0"/>
    <w:rsid w:val="00462C33"/>
    <w:rsid w:val="0046775B"/>
    <w:rsid w:val="004704AF"/>
    <w:rsid w:val="0047711E"/>
    <w:rsid w:val="00484728"/>
    <w:rsid w:val="00486129"/>
    <w:rsid w:val="00486FF3"/>
    <w:rsid w:val="00492248"/>
    <w:rsid w:val="004924B6"/>
    <w:rsid w:val="00492CD8"/>
    <w:rsid w:val="0049458E"/>
    <w:rsid w:val="004967B5"/>
    <w:rsid w:val="00496CF6"/>
    <w:rsid w:val="00497648"/>
    <w:rsid w:val="004A00C8"/>
    <w:rsid w:val="004A0CF7"/>
    <w:rsid w:val="004A2095"/>
    <w:rsid w:val="004A4C26"/>
    <w:rsid w:val="004A5745"/>
    <w:rsid w:val="004A5B7F"/>
    <w:rsid w:val="004A7EBC"/>
    <w:rsid w:val="004B1BFD"/>
    <w:rsid w:val="004B26C8"/>
    <w:rsid w:val="004B2B0E"/>
    <w:rsid w:val="004B488F"/>
    <w:rsid w:val="004B4A97"/>
    <w:rsid w:val="004B5A11"/>
    <w:rsid w:val="004B7A50"/>
    <w:rsid w:val="004B7F73"/>
    <w:rsid w:val="004D077D"/>
    <w:rsid w:val="004D0BB8"/>
    <w:rsid w:val="004D230F"/>
    <w:rsid w:val="004D43AA"/>
    <w:rsid w:val="004D64E8"/>
    <w:rsid w:val="004D68BA"/>
    <w:rsid w:val="004E1278"/>
    <w:rsid w:val="004E17F0"/>
    <w:rsid w:val="004E2C05"/>
    <w:rsid w:val="004E3A12"/>
    <w:rsid w:val="004E4252"/>
    <w:rsid w:val="004E4979"/>
    <w:rsid w:val="004E49FF"/>
    <w:rsid w:val="004E5693"/>
    <w:rsid w:val="004E58D1"/>
    <w:rsid w:val="004E6F52"/>
    <w:rsid w:val="004F1450"/>
    <w:rsid w:val="004F1EED"/>
    <w:rsid w:val="004F3057"/>
    <w:rsid w:val="004F3783"/>
    <w:rsid w:val="004F4B8E"/>
    <w:rsid w:val="004F76BB"/>
    <w:rsid w:val="005002EB"/>
    <w:rsid w:val="00503176"/>
    <w:rsid w:val="00503974"/>
    <w:rsid w:val="0050591A"/>
    <w:rsid w:val="00505B90"/>
    <w:rsid w:val="005106CA"/>
    <w:rsid w:val="0051258F"/>
    <w:rsid w:val="0051260A"/>
    <w:rsid w:val="005162E0"/>
    <w:rsid w:val="00517D8E"/>
    <w:rsid w:val="00521466"/>
    <w:rsid w:val="00521AFA"/>
    <w:rsid w:val="0052230B"/>
    <w:rsid w:val="00523204"/>
    <w:rsid w:val="005236A4"/>
    <w:rsid w:val="00524FDF"/>
    <w:rsid w:val="00525A8A"/>
    <w:rsid w:val="00525F12"/>
    <w:rsid w:val="005276F0"/>
    <w:rsid w:val="00527EA5"/>
    <w:rsid w:val="00530909"/>
    <w:rsid w:val="005347B1"/>
    <w:rsid w:val="00534CEA"/>
    <w:rsid w:val="00537040"/>
    <w:rsid w:val="00537982"/>
    <w:rsid w:val="00541381"/>
    <w:rsid w:val="00544212"/>
    <w:rsid w:val="0054495F"/>
    <w:rsid w:val="00544FE7"/>
    <w:rsid w:val="005456BC"/>
    <w:rsid w:val="00550A85"/>
    <w:rsid w:val="00551F1D"/>
    <w:rsid w:val="0055414C"/>
    <w:rsid w:val="0055469E"/>
    <w:rsid w:val="00557275"/>
    <w:rsid w:val="0056198B"/>
    <w:rsid w:val="005626D3"/>
    <w:rsid w:val="00562858"/>
    <w:rsid w:val="00567637"/>
    <w:rsid w:val="00567A48"/>
    <w:rsid w:val="00570A68"/>
    <w:rsid w:val="005717C1"/>
    <w:rsid w:val="005855CB"/>
    <w:rsid w:val="00587744"/>
    <w:rsid w:val="005919F1"/>
    <w:rsid w:val="0059248A"/>
    <w:rsid w:val="00596048"/>
    <w:rsid w:val="005A1CDE"/>
    <w:rsid w:val="005A1D5C"/>
    <w:rsid w:val="005A1F21"/>
    <w:rsid w:val="005A298F"/>
    <w:rsid w:val="005A3435"/>
    <w:rsid w:val="005A54D2"/>
    <w:rsid w:val="005A68D2"/>
    <w:rsid w:val="005B149F"/>
    <w:rsid w:val="005B18CA"/>
    <w:rsid w:val="005B2148"/>
    <w:rsid w:val="005B3388"/>
    <w:rsid w:val="005B6391"/>
    <w:rsid w:val="005B6DBC"/>
    <w:rsid w:val="005C0D2D"/>
    <w:rsid w:val="005C0EBB"/>
    <w:rsid w:val="005C296B"/>
    <w:rsid w:val="005C3F73"/>
    <w:rsid w:val="005C5218"/>
    <w:rsid w:val="005C52DD"/>
    <w:rsid w:val="005C7891"/>
    <w:rsid w:val="005D1E5F"/>
    <w:rsid w:val="005D1FB8"/>
    <w:rsid w:val="005D26D0"/>
    <w:rsid w:val="005D3973"/>
    <w:rsid w:val="005D404B"/>
    <w:rsid w:val="005D7A79"/>
    <w:rsid w:val="005E020D"/>
    <w:rsid w:val="005E1352"/>
    <w:rsid w:val="005E1C8E"/>
    <w:rsid w:val="005E2D68"/>
    <w:rsid w:val="005E35DF"/>
    <w:rsid w:val="005E3BAE"/>
    <w:rsid w:val="005E4E0D"/>
    <w:rsid w:val="005E747E"/>
    <w:rsid w:val="005F5025"/>
    <w:rsid w:val="005F55CB"/>
    <w:rsid w:val="005F572A"/>
    <w:rsid w:val="005F5FCB"/>
    <w:rsid w:val="0060252C"/>
    <w:rsid w:val="006027E6"/>
    <w:rsid w:val="006030EE"/>
    <w:rsid w:val="00603302"/>
    <w:rsid w:val="00604E4F"/>
    <w:rsid w:val="006051AA"/>
    <w:rsid w:val="006054EE"/>
    <w:rsid w:val="006118B6"/>
    <w:rsid w:val="00612B7D"/>
    <w:rsid w:val="00613D17"/>
    <w:rsid w:val="00614A2A"/>
    <w:rsid w:val="00621897"/>
    <w:rsid w:val="00621E12"/>
    <w:rsid w:val="00621F0A"/>
    <w:rsid w:val="006225FD"/>
    <w:rsid w:val="00622B91"/>
    <w:rsid w:val="006270C0"/>
    <w:rsid w:val="00627230"/>
    <w:rsid w:val="00630195"/>
    <w:rsid w:val="0063026D"/>
    <w:rsid w:val="0063035F"/>
    <w:rsid w:val="00630465"/>
    <w:rsid w:val="00631C85"/>
    <w:rsid w:val="006330D4"/>
    <w:rsid w:val="00641378"/>
    <w:rsid w:val="00641860"/>
    <w:rsid w:val="00641D91"/>
    <w:rsid w:val="00642C55"/>
    <w:rsid w:val="00643527"/>
    <w:rsid w:val="00643C0C"/>
    <w:rsid w:val="00644BD7"/>
    <w:rsid w:val="00646619"/>
    <w:rsid w:val="00652907"/>
    <w:rsid w:val="0065444A"/>
    <w:rsid w:val="00654A76"/>
    <w:rsid w:val="006559AF"/>
    <w:rsid w:val="00660ED5"/>
    <w:rsid w:val="006617AB"/>
    <w:rsid w:val="00664642"/>
    <w:rsid w:val="00666CB8"/>
    <w:rsid w:val="00667838"/>
    <w:rsid w:val="00667FC1"/>
    <w:rsid w:val="00673CC1"/>
    <w:rsid w:val="00674C02"/>
    <w:rsid w:val="006769DE"/>
    <w:rsid w:val="00677643"/>
    <w:rsid w:val="00681CE3"/>
    <w:rsid w:val="006842D4"/>
    <w:rsid w:val="0068538E"/>
    <w:rsid w:val="00691BEF"/>
    <w:rsid w:val="00693874"/>
    <w:rsid w:val="00693F46"/>
    <w:rsid w:val="00697C95"/>
    <w:rsid w:val="006A094D"/>
    <w:rsid w:val="006A25E7"/>
    <w:rsid w:val="006A3BA6"/>
    <w:rsid w:val="006A5CE9"/>
    <w:rsid w:val="006B1D50"/>
    <w:rsid w:val="006B2381"/>
    <w:rsid w:val="006B4F3A"/>
    <w:rsid w:val="006B6F98"/>
    <w:rsid w:val="006C25C4"/>
    <w:rsid w:val="006C3EE7"/>
    <w:rsid w:val="006C49D8"/>
    <w:rsid w:val="006C7CE9"/>
    <w:rsid w:val="006D244E"/>
    <w:rsid w:val="006D33FD"/>
    <w:rsid w:val="006D4D26"/>
    <w:rsid w:val="006D5AEA"/>
    <w:rsid w:val="006D6D1B"/>
    <w:rsid w:val="006D7CE7"/>
    <w:rsid w:val="006E01AA"/>
    <w:rsid w:val="006E0D9B"/>
    <w:rsid w:val="006E1070"/>
    <w:rsid w:val="006E2236"/>
    <w:rsid w:val="006E2A0D"/>
    <w:rsid w:val="006E3E82"/>
    <w:rsid w:val="006E3EBA"/>
    <w:rsid w:val="006E58B6"/>
    <w:rsid w:val="006E727B"/>
    <w:rsid w:val="006F00BC"/>
    <w:rsid w:val="006F01F0"/>
    <w:rsid w:val="006F158F"/>
    <w:rsid w:val="006F3E35"/>
    <w:rsid w:val="006F3FA2"/>
    <w:rsid w:val="006F5DAB"/>
    <w:rsid w:val="006F5DB7"/>
    <w:rsid w:val="0070066E"/>
    <w:rsid w:val="00704956"/>
    <w:rsid w:val="00704AF5"/>
    <w:rsid w:val="00712FFB"/>
    <w:rsid w:val="0071344C"/>
    <w:rsid w:val="00713883"/>
    <w:rsid w:val="00714B51"/>
    <w:rsid w:val="007161B4"/>
    <w:rsid w:val="00731F2F"/>
    <w:rsid w:val="00732325"/>
    <w:rsid w:val="007329AC"/>
    <w:rsid w:val="00733387"/>
    <w:rsid w:val="00735CD3"/>
    <w:rsid w:val="00735F7C"/>
    <w:rsid w:val="00736420"/>
    <w:rsid w:val="00736876"/>
    <w:rsid w:val="00737303"/>
    <w:rsid w:val="007433B6"/>
    <w:rsid w:val="0074465E"/>
    <w:rsid w:val="007461F4"/>
    <w:rsid w:val="00746381"/>
    <w:rsid w:val="00747CF4"/>
    <w:rsid w:val="00751832"/>
    <w:rsid w:val="00752742"/>
    <w:rsid w:val="0075617B"/>
    <w:rsid w:val="00761A9D"/>
    <w:rsid w:val="00764648"/>
    <w:rsid w:val="00765DB4"/>
    <w:rsid w:val="00765DDC"/>
    <w:rsid w:val="00766E24"/>
    <w:rsid w:val="007672F3"/>
    <w:rsid w:val="007677A0"/>
    <w:rsid w:val="00771666"/>
    <w:rsid w:val="00777C80"/>
    <w:rsid w:val="00781B77"/>
    <w:rsid w:val="00781E23"/>
    <w:rsid w:val="00783303"/>
    <w:rsid w:val="00785ED7"/>
    <w:rsid w:val="00786534"/>
    <w:rsid w:val="00791214"/>
    <w:rsid w:val="00792F16"/>
    <w:rsid w:val="00793D82"/>
    <w:rsid w:val="00794D84"/>
    <w:rsid w:val="00796C23"/>
    <w:rsid w:val="00796EAF"/>
    <w:rsid w:val="007972EF"/>
    <w:rsid w:val="00797C87"/>
    <w:rsid w:val="007A1D70"/>
    <w:rsid w:val="007A6914"/>
    <w:rsid w:val="007A705E"/>
    <w:rsid w:val="007B16C4"/>
    <w:rsid w:val="007B3E2F"/>
    <w:rsid w:val="007B4FFF"/>
    <w:rsid w:val="007B5362"/>
    <w:rsid w:val="007B77D1"/>
    <w:rsid w:val="007C0AB6"/>
    <w:rsid w:val="007C1945"/>
    <w:rsid w:val="007C2D7E"/>
    <w:rsid w:val="007C2FFD"/>
    <w:rsid w:val="007C6E14"/>
    <w:rsid w:val="007D17FD"/>
    <w:rsid w:val="007D48C5"/>
    <w:rsid w:val="007D5012"/>
    <w:rsid w:val="007D67AE"/>
    <w:rsid w:val="007D740F"/>
    <w:rsid w:val="007E06F0"/>
    <w:rsid w:val="007E0E89"/>
    <w:rsid w:val="007E10B1"/>
    <w:rsid w:val="007E1743"/>
    <w:rsid w:val="007E1F86"/>
    <w:rsid w:val="007E56E3"/>
    <w:rsid w:val="007E5919"/>
    <w:rsid w:val="007E6122"/>
    <w:rsid w:val="007E647E"/>
    <w:rsid w:val="007F33CD"/>
    <w:rsid w:val="007F50CF"/>
    <w:rsid w:val="00802DFC"/>
    <w:rsid w:val="00803F7C"/>
    <w:rsid w:val="00805463"/>
    <w:rsid w:val="00805B8F"/>
    <w:rsid w:val="00806B06"/>
    <w:rsid w:val="008121D7"/>
    <w:rsid w:val="008132CA"/>
    <w:rsid w:val="0081333C"/>
    <w:rsid w:val="008142A2"/>
    <w:rsid w:val="00814781"/>
    <w:rsid w:val="00820408"/>
    <w:rsid w:val="00820978"/>
    <w:rsid w:val="00822C45"/>
    <w:rsid w:val="00825770"/>
    <w:rsid w:val="00826C34"/>
    <w:rsid w:val="008307D3"/>
    <w:rsid w:val="00834DBB"/>
    <w:rsid w:val="0083737F"/>
    <w:rsid w:val="00837A49"/>
    <w:rsid w:val="00842CBA"/>
    <w:rsid w:val="00842FFB"/>
    <w:rsid w:val="00844CF1"/>
    <w:rsid w:val="00847308"/>
    <w:rsid w:val="0085087D"/>
    <w:rsid w:val="008530D9"/>
    <w:rsid w:val="008533A1"/>
    <w:rsid w:val="008556D3"/>
    <w:rsid w:val="008564DD"/>
    <w:rsid w:val="0086086E"/>
    <w:rsid w:val="008616F1"/>
    <w:rsid w:val="00863458"/>
    <w:rsid w:val="0086351A"/>
    <w:rsid w:val="00870107"/>
    <w:rsid w:val="00874309"/>
    <w:rsid w:val="00874B61"/>
    <w:rsid w:val="00875BB8"/>
    <w:rsid w:val="008816DD"/>
    <w:rsid w:val="008817D3"/>
    <w:rsid w:val="008830EC"/>
    <w:rsid w:val="00883DB9"/>
    <w:rsid w:val="00886191"/>
    <w:rsid w:val="0088666B"/>
    <w:rsid w:val="008906DA"/>
    <w:rsid w:val="008919D7"/>
    <w:rsid w:val="00894E14"/>
    <w:rsid w:val="008A1467"/>
    <w:rsid w:val="008A48B7"/>
    <w:rsid w:val="008A4FA2"/>
    <w:rsid w:val="008A5258"/>
    <w:rsid w:val="008A53D1"/>
    <w:rsid w:val="008A5C56"/>
    <w:rsid w:val="008B158F"/>
    <w:rsid w:val="008B221E"/>
    <w:rsid w:val="008B3DBB"/>
    <w:rsid w:val="008B3EB5"/>
    <w:rsid w:val="008B4BBC"/>
    <w:rsid w:val="008B7801"/>
    <w:rsid w:val="008C26BF"/>
    <w:rsid w:val="008C2789"/>
    <w:rsid w:val="008C3ABE"/>
    <w:rsid w:val="008C5809"/>
    <w:rsid w:val="008C5A7D"/>
    <w:rsid w:val="008C7E6A"/>
    <w:rsid w:val="008D076F"/>
    <w:rsid w:val="008D0971"/>
    <w:rsid w:val="008D12D7"/>
    <w:rsid w:val="008D2604"/>
    <w:rsid w:val="008D264D"/>
    <w:rsid w:val="008D37E9"/>
    <w:rsid w:val="008D4FAA"/>
    <w:rsid w:val="008D60BA"/>
    <w:rsid w:val="008D78C9"/>
    <w:rsid w:val="008E0FC9"/>
    <w:rsid w:val="008E2AC6"/>
    <w:rsid w:val="008E3F96"/>
    <w:rsid w:val="008E4FC4"/>
    <w:rsid w:val="008E73E7"/>
    <w:rsid w:val="008F16D2"/>
    <w:rsid w:val="008F3ACF"/>
    <w:rsid w:val="008F793F"/>
    <w:rsid w:val="008F7E84"/>
    <w:rsid w:val="00901C60"/>
    <w:rsid w:val="00902C35"/>
    <w:rsid w:val="00907B55"/>
    <w:rsid w:val="00910194"/>
    <w:rsid w:val="00913684"/>
    <w:rsid w:val="009208BF"/>
    <w:rsid w:val="009222F1"/>
    <w:rsid w:val="009236E3"/>
    <w:rsid w:val="00923865"/>
    <w:rsid w:val="009256F1"/>
    <w:rsid w:val="009265FE"/>
    <w:rsid w:val="00926C25"/>
    <w:rsid w:val="0093016E"/>
    <w:rsid w:val="0093182F"/>
    <w:rsid w:val="00931F41"/>
    <w:rsid w:val="00932839"/>
    <w:rsid w:val="00932B5F"/>
    <w:rsid w:val="00934B4D"/>
    <w:rsid w:val="009359ED"/>
    <w:rsid w:val="00936C53"/>
    <w:rsid w:val="00953D74"/>
    <w:rsid w:val="00955C75"/>
    <w:rsid w:val="00960FD9"/>
    <w:rsid w:val="00961E69"/>
    <w:rsid w:val="009632BB"/>
    <w:rsid w:val="00965B15"/>
    <w:rsid w:val="009677DF"/>
    <w:rsid w:val="009705D8"/>
    <w:rsid w:val="009706F2"/>
    <w:rsid w:val="00973153"/>
    <w:rsid w:val="009736BE"/>
    <w:rsid w:val="009749E9"/>
    <w:rsid w:val="00975660"/>
    <w:rsid w:val="00975801"/>
    <w:rsid w:val="00977309"/>
    <w:rsid w:val="00982714"/>
    <w:rsid w:val="00983B87"/>
    <w:rsid w:val="00983E8E"/>
    <w:rsid w:val="00984F75"/>
    <w:rsid w:val="009935E2"/>
    <w:rsid w:val="009946F8"/>
    <w:rsid w:val="00994777"/>
    <w:rsid w:val="009953BA"/>
    <w:rsid w:val="0099649B"/>
    <w:rsid w:val="00996E6B"/>
    <w:rsid w:val="009A19B8"/>
    <w:rsid w:val="009A1D64"/>
    <w:rsid w:val="009A32A1"/>
    <w:rsid w:val="009A402A"/>
    <w:rsid w:val="009A5111"/>
    <w:rsid w:val="009A7F58"/>
    <w:rsid w:val="009B07D4"/>
    <w:rsid w:val="009B0ABD"/>
    <w:rsid w:val="009B1292"/>
    <w:rsid w:val="009B2430"/>
    <w:rsid w:val="009B24E6"/>
    <w:rsid w:val="009B2AA3"/>
    <w:rsid w:val="009B338B"/>
    <w:rsid w:val="009B58AD"/>
    <w:rsid w:val="009B7935"/>
    <w:rsid w:val="009C105C"/>
    <w:rsid w:val="009C26C2"/>
    <w:rsid w:val="009C42BA"/>
    <w:rsid w:val="009C499B"/>
    <w:rsid w:val="009C6B8A"/>
    <w:rsid w:val="009C7BA2"/>
    <w:rsid w:val="009D1161"/>
    <w:rsid w:val="009D17F0"/>
    <w:rsid w:val="009D2148"/>
    <w:rsid w:val="009D2672"/>
    <w:rsid w:val="009D4203"/>
    <w:rsid w:val="009D5FBC"/>
    <w:rsid w:val="009D645B"/>
    <w:rsid w:val="009D667B"/>
    <w:rsid w:val="009D699D"/>
    <w:rsid w:val="009E56E9"/>
    <w:rsid w:val="009F1262"/>
    <w:rsid w:val="009F1C75"/>
    <w:rsid w:val="009F26A9"/>
    <w:rsid w:val="009F4449"/>
    <w:rsid w:val="009F4A32"/>
    <w:rsid w:val="009F5871"/>
    <w:rsid w:val="009F6CA8"/>
    <w:rsid w:val="009F7168"/>
    <w:rsid w:val="00A01905"/>
    <w:rsid w:val="00A02252"/>
    <w:rsid w:val="00A032F1"/>
    <w:rsid w:val="00A0447D"/>
    <w:rsid w:val="00A0565D"/>
    <w:rsid w:val="00A0757B"/>
    <w:rsid w:val="00A10113"/>
    <w:rsid w:val="00A127F1"/>
    <w:rsid w:val="00A12A40"/>
    <w:rsid w:val="00A13B66"/>
    <w:rsid w:val="00A1677F"/>
    <w:rsid w:val="00A27130"/>
    <w:rsid w:val="00A27EDD"/>
    <w:rsid w:val="00A31BB7"/>
    <w:rsid w:val="00A35156"/>
    <w:rsid w:val="00A379A7"/>
    <w:rsid w:val="00A41CB4"/>
    <w:rsid w:val="00A46D0D"/>
    <w:rsid w:val="00A46DF2"/>
    <w:rsid w:val="00A5294A"/>
    <w:rsid w:val="00A54BB4"/>
    <w:rsid w:val="00A561D3"/>
    <w:rsid w:val="00A56881"/>
    <w:rsid w:val="00A628B3"/>
    <w:rsid w:val="00A62EAA"/>
    <w:rsid w:val="00A67FFE"/>
    <w:rsid w:val="00A70CD0"/>
    <w:rsid w:val="00A7147C"/>
    <w:rsid w:val="00A7164A"/>
    <w:rsid w:val="00A73037"/>
    <w:rsid w:val="00A73268"/>
    <w:rsid w:val="00A7660B"/>
    <w:rsid w:val="00A76CF2"/>
    <w:rsid w:val="00A8324F"/>
    <w:rsid w:val="00A837E9"/>
    <w:rsid w:val="00A83BE2"/>
    <w:rsid w:val="00A84ACC"/>
    <w:rsid w:val="00A86897"/>
    <w:rsid w:val="00A86BF3"/>
    <w:rsid w:val="00A90A66"/>
    <w:rsid w:val="00A946ED"/>
    <w:rsid w:val="00A95733"/>
    <w:rsid w:val="00AA251F"/>
    <w:rsid w:val="00AA2913"/>
    <w:rsid w:val="00AB25DA"/>
    <w:rsid w:val="00AB310C"/>
    <w:rsid w:val="00AB5465"/>
    <w:rsid w:val="00AB572F"/>
    <w:rsid w:val="00AB70B6"/>
    <w:rsid w:val="00AC03EB"/>
    <w:rsid w:val="00AC1691"/>
    <w:rsid w:val="00AC271A"/>
    <w:rsid w:val="00AC3E67"/>
    <w:rsid w:val="00AC5005"/>
    <w:rsid w:val="00AD1037"/>
    <w:rsid w:val="00AD168A"/>
    <w:rsid w:val="00AD464E"/>
    <w:rsid w:val="00AD5AFC"/>
    <w:rsid w:val="00AE39BC"/>
    <w:rsid w:val="00AE4B49"/>
    <w:rsid w:val="00AE644D"/>
    <w:rsid w:val="00AE7D63"/>
    <w:rsid w:val="00AF00CF"/>
    <w:rsid w:val="00AF4382"/>
    <w:rsid w:val="00AF54B4"/>
    <w:rsid w:val="00AF72FE"/>
    <w:rsid w:val="00B00335"/>
    <w:rsid w:val="00B0154F"/>
    <w:rsid w:val="00B076A7"/>
    <w:rsid w:val="00B11480"/>
    <w:rsid w:val="00B16325"/>
    <w:rsid w:val="00B17FEB"/>
    <w:rsid w:val="00B22F2A"/>
    <w:rsid w:val="00B23E3E"/>
    <w:rsid w:val="00B26FAC"/>
    <w:rsid w:val="00B2793D"/>
    <w:rsid w:val="00B30CCF"/>
    <w:rsid w:val="00B31060"/>
    <w:rsid w:val="00B31AA2"/>
    <w:rsid w:val="00B3293A"/>
    <w:rsid w:val="00B33289"/>
    <w:rsid w:val="00B40B76"/>
    <w:rsid w:val="00B44468"/>
    <w:rsid w:val="00B46989"/>
    <w:rsid w:val="00B4733C"/>
    <w:rsid w:val="00B52A41"/>
    <w:rsid w:val="00B54583"/>
    <w:rsid w:val="00B5567A"/>
    <w:rsid w:val="00B55E4F"/>
    <w:rsid w:val="00B6547D"/>
    <w:rsid w:val="00B657ED"/>
    <w:rsid w:val="00B67806"/>
    <w:rsid w:val="00B70E5F"/>
    <w:rsid w:val="00B74C0B"/>
    <w:rsid w:val="00B75F4D"/>
    <w:rsid w:val="00B82D18"/>
    <w:rsid w:val="00B833AA"/>
    <w:rsid w:val="00B83C38"/>
    <w:rsid w:val="00B8400D"/>
    <w:rsid w:val="00B917D0"/>
    <w:rsid w:val="00B9225F"/>
    <w:rsid w:val="00B93A37"/>
    <w:rsid w:val="00B93C66"/>
    <w:rsid w:val="00B97798"/>
    <w:rsid w:val="00B97BB7"/>
    <w:rsid w:val="00BA1174"/>
    <w:rsid w:val="00BA1819"/>
    <w:rsid w:val="00BA26A2"/>
    <w:rsid w:val="00BA2ED2"/>
    <w:rsid w:val="00BA5A22"/>
    <w:rsid w:val="00BA68D7"/>
    <w:rsid w:val="00BA715E"/>
    <w:rsid w:val="00BB0396"/>
    <w:rsid w:val="00BB55E5"/>
    <w:rsid w:val="00BB7D98"/>
    <w:rsid w:val="00BC030F"/>
    <w:rsid w:val="00BC3D17"/>
    <w:rsid w:val="00BC423E"/>
    <w:rsid w:val="00BC42D1"/>
    <w:rsid w:val="00BD5C44"/>
    <w:rsid w:val="00BD6431"/>
    <w:rsid w:val="00BD725A"/>
    <w:rsid w:val="00BE2ABD"/>
    <w:rsid w:val="00BE3C0D"/>
    <w:rsid w:val="00BE4671"/>
    <w:rsid w:val="00BE6DD8"/>
    <w:rsid w:val="00BF0C67"/>
    <w:rsid w:val="00BF1018"/>
    <w:rsid w:val="00BF2950"/>
    <w:rsid w:val="00BF2CFA"/>
    <w:rsid w:val="00BF3750"/>
    <w:rsid w:val="00BF3C07"/>
    <w:rsid w:val="00BF41C7"/>
    <w:rsid w:val="00BF5059"/>
    <w:rsid w:val="00BF52F5"/>
    <w:rsid w:val="00BF5A54"/>
    <w:rsid w:val="00BF64DD"/>
    <w:rsid w:val="00BF729F"/>
    <w:rsid w:val="00BF76CD"/>
    <w:rsid w:val="00C003FD"/>
    <w:rsid w:val="00C006BE"/>
    <w:rsid w:val="00C06035"/>
    <w:rsid w:val="00C06244"/>
    <w:rsid w:val="00C06710"/>
    <w:rsid w:val="00C12053"/>
    <w:rsid w:val="00C121C7"/>
    <w:rsid w:val="00C126CA"/>
    <w:rsid w:val="00C14EB6"/>
    <w:rsid w:val="00C168B4"/>
    <w:rsid w:val="00C16FF2"/>
    <w:rsid w:val="00C20340"/>
    <w:rsid w:val="00C21547"/>
    <w:rsid w:val="00C216E4"/>
    <w:rsid w:val="00C25ACC"/>
    <w:rsid w:val="00C27D55"/>
    <w:rsid w:val="00C302F4"/>
    <w:rsid w:val="00C30AF6"/>
    <w:rsid w:val="00C3277D"/>
    <w:rsid w:val="00C34985"/>
    <w:rsid w:val="00C34BBC"/>
    <w:rsid w:val="00C358AF"/>
    <w:rsid w:val="00C371A2"/>
    <w:rsid w:val="00C42664"/>
    <w:rsid w:val="00C4337C"/>
    <w:rsid w:val="00C461A9"/>
    <w:rsid w:val="00C5136B"/>
    <w:rsid w:val="00C526BC"/>
    <w:rsid w:val="00C536C2"/>
    <w:rsid w:val="00C55F47"/>
    <w:rsid w:val="00C56E2E"/>
    <w:rsid w:val="00C60A63"/>
    <w:rsid w:val="00C617C9"/>
    <w:rsid w:val="00C61C3E"/>
    <w:rsid w:val="00C621C2"/>
    <w:rsid w:val="00C63C05"/>
    <w:rsid w:val="00C63D45"/>
    <w:rsid w:val="00C63E38"/>
    <w:rsid w:val="00C64A31"/>
    <w:rsid w:val="00C710F8"/>
    <w:rsid w:val="00C76A1F"/>
    <w:rsid w:val="00C82CD2"/>
    <w:rsid w:val="00C82E8B"/>
    <w:rsid w:val="00C84023"/>
    <w:rsid w:val="00C84988"/>
    <w:rsid w:val="00C85495"/>
    <w:rsid w:val="00C854B9"/>
    <w:rsid w:val="00C871D3"/>
    <w:rsid w:val="00C903C4"/>
    <w:rsid w:val="00C90984"/>
    <w:rsid w:val="00C92341"/>
    <w:rsid w:val="00C930E1"/>
    <w:rsid w:val="00C9707A"/>
    <w:rsid w:val="00C97999"/>
    <w:rsid w:val="00CA2DE7"/>
    <w:rsid w:val="00CA43CD"/>
    <w:rsid w:val="00CA5EC3"/>
    <w:rsid w:val="00CB2D48"/>
    <w:rsid w:val="00CB6939"/>
    <w:rsid w:val="00CB7109"/>
    <w:rsid w:val="00CC09E2"/>
    <w:rsid w:val="00CC290C"/>
    <w:rsid w:val="00CC2AC4"/>
    <w:rsid w:val="00CC4C88"/>
    <w:rsid w:val="00CC58A2"/>
    <w:rsid w:val="00CC605C"/>
    <w:rsid w:val="00CC673E"/>
    <w:rsid w:val="00CC71C1"/>
    <w:rsid w:val="00CD0B1F"/>
    <w:rsid w:val="00CD1741"/>
    <w:rsid w:val="00CD273C"/>
    <w:rsid w:val="00CD3F96"/>
    <w:rsid w:val="00CE02B0"/>
    <w:rsid w:val="00CE041B"/>
    <w:rsid w:val="00CE09F3"/>
    <w:rsid w:val="00CE3EAE"/>
    <w:rsid w:val="00CE4715"/>
    <w:rsid w:val="00CE5838"/>
    <w:rsid w:val="00CE76DA"/>
    <w:rsid w:val="00CF351E"/>
    <w:rsid w:val="00CF489B"/>
    <w:rsid w:val="00CF6264"/>
    <w:rsid w:val="00D011D4"/>
    <w:rsid w:val="00D01AEA"/>
    <w:rsid w:val="00D01D20"/>
    <w:rsid w:val="00D0567B"/>
    <w:rsid w:val="00D06400"/>
    <w:rsid w:val="00D06B87"/>
    <w:rsid w:val="00D10DEA"/>
    <w:rsid w:val="00D11E94"/>
    <w:rsid w:val="00D15CD3"/>
    <w:rsid w:val="00D17D17"/>
    <w:rsid w:val="00D17E7C"/>
    <w:rsid w:val="00D26390"/>
    <w:rsid w:val="00D26A9D"/>
    <w:rsid w:val="00D30389"/>
    <w:rsid w:val="00D31486"/>
    <w:rsid w:val="00D337F6"/>
    <w:rsid w:val="00D34E21"/>
    <w:rsid w:val="00D4264F"/>
    <w:rsid w:val="00D42BCF"/>
    <w:rsid w:val="00D441E0"/>
    <w:rsid w:val="00D5046A"/>
    <w:rsid w:val="00D52CDB"/>
    <w:rsid w:val="00D534F4"/>
    <w:rsid w:val="00D54545"/>
    <w:rsid w:val="00D5473A"/>
    <w:rsid w:val="00D56413"/>
    <w:rsid w:val="00D57A51"/>
    <w:rsid w:val="00D57EC7"/>
    <w:rsid w:val="00D606D0"/>
    <w:rsid w:val="00D61710"/>
    <w:rsid w:val="00D617DC"/>
    <w:rsid w:val="00D6611E"/>
    <w:rsid w:val="00D663B7"/>
    <w:rsid w:val="00D669A5"/>
    <w:rsid w:val="00D67B4C"/>
    <w:rsid w:val="00D70734"/>
    <w:rsid w:val="00D71F53"/>
    <w:rsid w:val="00D72457"/>
    <w:rsid w:val="00D73526"/>
    <w:rsid w:val="00D77F90"/>
    <w:rsid w:val="00D80429"/>
    <w:rsid w:val="00D81165"/>
    <w:rsid w:val="00D82045"/>
    <w:rsid w:val="00D82C9C"/>
    <w:rsid w:val="00D85D2F"/>
    <w:rsid w:val="00D85F37"/>
    <w:rsid w:val="00D85FEF"/>
    <w:rsid w:val="00D87CD7"/>
    <w:rsid w:val="00D909E1"/>
    <w:rsid w:val="00D90B6C"/>
    <w:rsid w:val="00D93844"/>
    <w:rsid w:val="00D96186"/>
    <w:rsid w:val="00DA11E8"/>
    <w:rsid w:val="00DA1235"/>
    <w:rsid w:val="00DA1869"/>
    <w:rsid w:val="00DA25F2"/>
    <w:rsid w:val="00DA4A02"/>
    <w:rsid w:val="00DA4E0E"/>
    <w:rsid w:val="00DA4F6F"/>
    <w:rsid w:val="00DA56A9"/>
    <w:rsid w:val="00DA6501"/>
    <w:rsid w:val="00DA7746"/>
    <w:rsid w:val="00DB2264"/>
    <w:rsid w:val="00DB4534"/>
    <w:rsid w:val="00DB4784"/>
    <w:rsid w:val="00DB6179"/>
    <w:rsid w:val="00DB61C4"/>
    <w:rsid w:val="00DC02BF"/>
    <w:rsid w:val="00DC1C67"/>
    <w:rsid w:val="00DC1FBA"/>
    <w:rsid w:val="00DC341A"/>
    <w:rsid w:val="00DC47E0"/>
    <w:rsid w:val="00DC52CB"/>
    <w:rsid w:val="00DC548F"/>
    <w:rsid w:val="00DC6B71"/>
    <w:rsid w:val="00DC723F"/>
    <w:rsid w:val="00DC7FCE"/>
    <w:rsid w:val="00DD20BF"/>
    <w:rsid w:val="00DD2A82"/>
    <w:rsid w:val="00DD428B"/>
    <w:rsid w:val="00DD468B"/>
    <w:rsid w:val="00DD5863"/>
    <w:rsid w:val="00DD651F"/>
    <w:rsid w:val="00DD6845"/>
    <w:rsid w:val="00DD6937"/>
    <w:rsid w:val="00DE1FE8"/>
    <w:rsid w:val="00DE4000"/>
    <w:rsid w:val="00DE4292"/>
    <w:rsid w:val="00DE77FB"/>
    <w:rsid w:val="00DE7F44"/>
    <w:rsid w:val="00DF0758"/>
    <w:rsid w:val="00DF1174"/>
    <w:rsid w:val="00DF11CA"/>
    <w:rsid w:val="00DF1622"/>
    <w:rsid w:val="00DF25CA"/>
    <w:rsid w:val="00DF3352"/>
    <w:rsid w:val="00DF46E4"/>
    <w:rsid w:val="00E0199F"/>
    <w:rsid w:val="00E04856"/>
    <w:rsid w:val="00E124B2"/>
    <w:rsid w:val="00E24287"/>
    <w:rsid w:val="00E24C60"/>
    <w:rsid w:val="00E26654"/>
    <w:rsid w:val="00E26FD7"/>
    <w:rsid w:val="00E30178"/>
    <w:rsid w:val="00E302DC"/>
    <w:rsid w:val="00E3071C"/>
    <w:rsid w:val="00E316E0"/>
    <w:rsid w:val="00E3174D"/>
    <w:rsid w:val="00E368C8"/>
    <w:rsid w:val="00E4218C"/>
    <w:rsid w:val="00E4282F"/>
    <w:rsid w:val="00E44AE1"/>
    <w:rsid w:val="00E45335"/>
    <w:rsid w:val="00E46DBF"/>
    <w:rsid w:val="00E47508"/>
    <w:rsid w:val="00E50CD3"/>
    <w:rsid w:val="00E51565"/>
    <w:rsid w:val="00E518F2"/>
    <w:rsid w:val="00E52EA6"/>
    <w:rsid w:val="00E53731"/>
    <w:rsid w:val="00E55C51"/>
    <w:rsid w:val="00E5607F"/>
    <w:rsid w:val="00E56089"/>
    <w:rsid w:val="00E5730D"/>
    <w:rsid w:val="00E66D87"/>
    <w:rsid w:val="00E74BCE"/>
    <w:rsid w:val="00E76AB2"/>
    <w:rsid w:val="00E8103B"/>
    <w:rsid w:val="00E821C7"/>
    <w:rsid w:val="00E82232"/>
    <w:rsid w:val="00E82792"/>
    <w:rsid w:val="00E82950"/>
    <w:rsid w:val="00E86988"/>
    <w:rsid w:val="00E87BE1"/>
    <w:rsid w:val="00E920CA"/>
    <w:rsid w:val="00E92844"/>
    <w:rsid w:val="00E929E2"/>
    <w:rsid w:val="00E93744"/>
    <w:rsid w:val="00E9496F"/>
    <w:rsid w:val="00E966AA"/>
    <w:rsid w:val="00E96735"/>
    <w:rsid w:val="00E97675"/>
    <w:rsid w:val="00E97A9C"/>
    <w:rsid w:val="00EA013D"/>
    <w:rsid w:val="00EA020F"/>
    <w:rsid w:val="00EA0E77"/>
    <w:rsid w:val="00EA1F85"/>
    <w:rsid w:val="00EA2248"/>
    <w:rsid w:val="00EA320A"/>
    <w:rsid w:val="00EA35B5"/>
    <w:rsid w:val="00EA35BB"/>
    <w:rsid w:val="00EA5AD7"/>
    <w:rsid w:val="00EB1E93"/>
    <w:rsid w:val="00EB329B"/>
    <w:rsid w:val="00EB4633"/>
    <w:rsid w:val="00EB47A6"/>
    <w:rsid w:val="00EB5067"/>
    <w:rsid w:val="00EB695C"/>
    <w:rsid w:val="00EB7F71"/>
    <w:rsid w:val="00EC35AC"/>
    <w:rsid w:val="00EC361C"/>
    <w:rsid w:val="00EC3DEA"/>
    <w:rsid w:val="00EC7A8B"/>
    <w:rsid w:val="00ED04B5"/>
    <w:rsid w:val="00ED0D13"/>
    <w:rsid w:val="00ED1988"/>
    <w:rsid w:val="00ED4585"/>
    <w:rsid w:val="00ED735F"/>
    <w:rsid w:val="00EE40DA"/>
    <w:rsid w:val="00EE582C"/>
    <w:rsid w:val="00EF2904"/>
    <w:rsid w:val="00EF2BAC"/>
    <w:rsid w:val="00EF2D9C"/>
    <w:rsid w:val="00EF6FD8"/>
    <w:rsid w:val="00F0136F"/>
    <w:rsid w:val="00F014BF"/>
    <w:rsid w:val="00F02C38"/>
    <w:rsid w:val="00F02F02"/>
    <w:rsid w:val="00F02F73"/>
    <w:rsid w:val="00F14A91"/>
    <w:rsid w:val="00F15228"/>
    <w:rsid w:val="00F15EDF"/>
    <w:rsid w:val="00F177EA"/>
    <w:rsid w:val="00F22078"/>
    <w:rsid w:val="00F24896"/>
    <w:rsid w:val="00F30922"/>
    <w:rsid w:val="00F311D1"/>
    <w:rsid w:val="00F323BE"/>
    <w:rsid w:val="00F3537A"/>
    <w:rsid w:val="00F37B76"/>
    <w:rsid w:val="00F41365"/>
    <w:rsid w:val="00F42610"/>
    <w:rsid w:val="00F429DD"/>
    <w:rsid w:val="00F44F81"/>
    <w:rsid w:val="00F47B5D"/>
    <w:rsid w:val="00F47E0E"/>
    <w:rsid w:val="00F52510"/>
    <w:rsid w:val="00F539CD"/>
    <w:rsid w:val="00F5516A"/>
    <w:rsid w:val="00F56E3F"/>
    <w:rsid w:val="00F5775F"/>
    <w:rsid w:val="00F6041A"/>
    <w:rsid w:val="00F60D46"/>
    <w:rsid w:val="00F61E64"/>
    <w:rsid w:val="00F62A6A"/>
    <w:rsid w:val="00F6394A"/>
    <w:rsid w:val="00F63F24"/>
    <w:rsid w:val="00F64A59"/>
    <w:rsid w:val="00F651D5"/>
    <w:rsid w:val="00F707F2"/>
    <w:rsid w:val="00F74A89"/>
    <w:rsid w:val="00F75CC7"/>
    <w:rsid w:val="00F75CD1"/>
    <w:rsid w:val="00F75F75"/>
    <w:rsid w:val="00F77999"/>
    <w:rsid w:val="00F82C12"/>
    <w:rsid w:val="00F833F2"/>
    <w:rsid w:val="00F84816"/>
    <w:rsid w:val="00F8684A"/>
    <w:rsid w:val="00F90AC8"/>
    <w:rsid w:val="00F91D34"/>
    <w:rsid w:val="00F93D0E"/>
    <w:rsid w:val="00F95822"/>
    <w:rsid w:val="00FA57ED"/>
    <w:rsid w:val="00FB323D"/>
    <w:rsid w:val="00FB347D"/>
    <w:rsid w:val="00FB493D"/>
    <w:rsid w:val="00FB543A"/>
    <w:rsid w:val="00FB7D7C"/>
    <w:rsid w:val="00FC35CC"/>
    <w:rsid w:val="00FC77B8"/>
    <w:rsid w:val="00FD077A"/>
    <w:rsid w:val="00FD09B7"/>
    <w:rsid w:val="00FD2175"/>
    <w:rsid w:val="00FD2B83"/>
    <w:rsid w:val="00FD4CAB"/>
    <w:rsid w:val="00FD7A91"/>
    <w:rsid w:val="00FD7BB6"/>
    <w:rsid w:val="00FE0861"/>
    <w:rsid w:val="00FE1FD0"/>
    <w:rsid w:val="00FE4E80"/>
    <w:rsid w:val="00FE4FCA"/>
    <w:rsid w:val="00FE7330"/>
    <w:rsid w:val="00FF0D13"/>
    <w:rsid w:val="00FF0D75"/>
    <w:rsid w:val="00FF0E1D"/>
    <w:rsid w:val="00FF179E"/>
    <w:rsid w:val="00FF2260"/>
    <w:rsid w:val="00FF3377"/>
    <w:rsid w:val="00FF33EF"/>
    <w:rsid w:val="00FF4118"/>
    <w:rsid w:val="00FF4690"/>
    <w:rsid w:val="00FF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D43A1"/>
  <w15:docId w15:val="{C6CC7D22-9231-4536-938C-3BDBC7A8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table" w:styleId="TableGrid">
    <w:name w:val="Table Grid"/>
    <w:basedOn w:val="TableNormal"/>
    <w:rsid w:val="00537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6A7"/>
    <w:pPr>
      <w:ind w:left="720"/>
      <w:contextualSpacing/>
    </w:pPr>
  </w:style>
  <w:style w:type="character" w:styleId="Hyperlink">
    <w:name w:val="Hyperlink"/>
    <w:basedOn w:val="DefaultParagraphFont"/>
    <w:unhideWhenUsed/>
    <w:rsid w:val="00641378"/>
    <w:rPr>
      <w:color w:val="0000FF" w:themeColor="hyperlink"/>
      <w:u w:val="single"/>
    </w:rPr>
  </w:style>
  <w:style w:type="character" w:customStyle="1" w:styleId="UnresolvedMention1">
    <w:name w:val="Unresolved Mention1"/>
    <w:basedOn w:val="DefaultParagraphFont"/>
    <w:uiPriority w:val="99"/>
    <w:semiHidden/>
    <w:unhideWhenUsed/>
    <w:rsid w:val="00641378"/>
    <w:rPr>
      <w:color w:val="605E5C"/>
      <w:shd w:val="clear" w:color="auto" w:fill="E1DFDD"/>
    </w:rPr>
  </w:style>
  <w:style w:type="paragraph" w:styleId="Revision">
    <w:name w:val="Revision"/>
    <w:hidden/>
    <w:uiPriority w:val="99"/>
    <w:semiHidden/>
    <w:rsid w:val="00115B6B"/>
    <w:rPr>
      <w:sz w:val="22"/>
      <w:szCs w:val="24"/>
    </w:rPr>
  </w:style>
  <w:style w:type="character" w:customStyle="1" w:styleId="UnresolvedMention2">
    <w:name w:val="Unresolved Mention2"/>
    <w:basedOn w:val="DefaultParagraphFont"/>
    <w:uiPriority w:val="99"/>
    <w:semiHidden/>
    <w:unhideWhenUsed/>
    <w:rsid w:val="00DF1622"/>
    <w:rPr>
      <w:color w:val="605E5C"/>
      <w:shd w:val="clear" w:color="auto" w:fill="E1DFDD"/>
    </w:rPr>
  </w:style>
  <w:style w:type="paragraph" w:styleId="NoSpacing">
    <w:name w:val="No Spacing"/>
    <w:uiPriority w:val="1"/>
    <w:qFormat/>
    <w:rsid w:val="00BF3C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76413">
      <w:bodyDiv w:val="1"/>
      <w:marLeft w:val="0"/>
      <w:marRight w:val="0"/>
      <w:marTop w:val="0"/>
      <w:marBottom w:val="0"/>
      <w:divBdr>
        <w:top w:val="none" w:sz="0" w:space="0" w:color="auto"/>
        <w:left w:val="none" w:sz="0" w:space="0" w:color="auto"/>
        <w:bottom w:val="none" w:sz="0" w:space="0" w:color="auto"/>
        <w:right w:val="none" w:sz="0" w:space="0" w:color="auto"/>
      </w:divBdr>
    </w:div>
    <w:div w:id="693530997">
      <w:bodyDiv w:val="1"/>
      <w:marLeft w:val="0"/>
      <w:marRight w:val="0"/>
      <w:marTop w:val="0"/>
      <w:marBottom w:val="0"/>
      <w:divBdr>
        <w:top w:val="none" w:sz="0" w:space="0" w:color="auto"/>
        <w:left w:val="none" w:sz="0" w:space="0" w:color="auto"/>
        <w:bottom w:val="none" w:sz="0" w:space="0" w:color="auto"/>
        <w:right w:val="none" w:sz="0" w:space="0" w:color="auto"/>
      </w:divBdr>
      <w:divsChild>
        <w:div w:id="460655676">
          <w:marLeft w:val="0"/>
          <w:marRight w:val="0"/>
          <w:marTop w:val="0"/>
          <w:marBottom w:val="0"/>
          <w:divBdr>
            <w:top w:val="none" w:sz="0" w:space="0" w:color="auto"/>
            <w:left w:val="none" w:sz="0" w:space="0" w:color="auto"/>
            <w:bottom w:val="none" w:sz="0" w:space="0" w:color="auto"/>
            <w:right w:val="none" w:sz="0" w:space="0" w:color="auto"/>
          </w:divBdr>
          <w:divsChild>
            <w:div w:id="1881437420">
              <w:marLeft w:val="0"/>
              <w:marRight w:val="0"/>
              <w:marTop w:val="0"/>
              <w:marBottom w:val="0"/>
              <w:divBdr>
                <w:top w:val="none" w:sz="0" w:space="0" w:color="auto"/>
                <w:left w:val="none" w:sz="0" w:space="0" w:color="auto"/>
                <w:bottom w:val="none" w:sz="0" w:space="0" w:color="auto"/>
                <w:right w:val="none" w:sz="0" w:space="0" w:color="auto"/>
              </w:divBdr>
              <w:divsChild>
                <w:div w:id="872231856">
                  <w:marLeft w:val="0"/>
                  <w:marRight w:val="0"/>
                  <w:marTop w:val="0"/>
                  <w:marBottom w:val="0"/>
                  <w:divBdr>
                    <w:top w:val="none" w:sz="0" w:space="0" w:color="auto"/>
                    <w:left w:val="none" w:sz="0" w:space="0" w:color="auto"/>
                    <w:bottom w:val="none" w:sz="0" w:space="0" w:color="auto"/>
                    <w:right w:val="none" w:sz="0" w:space="0" w:color="auto"/>
                  </w:divBdr>
                  <w:divsChild>
                    <w:div w:id="1748187315">
                      <w:marLeft w:val="0"/>
                      <w:marRight w:val="0"/>
                      <w:marTop w:val="0"/>
                      <w:marBottom w:val="0"/>
                      <w:divBdr>
                        <w:top w:val="none" w:sz="0" w:space="0" w:color="auto"/>
                        <w:left w:val="none" w:sz="0" w:space="0" w:color="auto"/>
                        <w:bottom w:val="none" w:sz="0" w:space="0" w:color="auto"/>
                        <w:right w:val="none" w:sz="0" w:space="0" w:color="auto"/>
                      </w:divBdr>
                      <w:divsChild>
                        <w:div w:id="1413969107">
                          <w:marLeft w:val="0"/>
                          <w:marRight w:val="0"/>
                          <w:marTop w:val="0"/>
                          <w:marBottom w:val="0"/>
                          <w:divBdr>
                            <w:top w:val="none" w:sz="0" w:space="0" w:color="auto"/>
                            <w:left w:val="none" w:sz="0" w:space="0" w:color="auto"/>
                            <w:bottom w:val="none" w:sz="0" w:space="0" w:color="auto"/>
                            <w:right w:val="none" w:sz="0" w:space="0" w:color="auto"/>
                          </w:divBdr>
                          <w:divsChild>
                            <w:div w:id="1195197848">
                              <w:marLeft w:val="0"/>
                              <w:marRight w:val="0"/>
                              <w:marTop w:val="100"/>
                              <w:marBottom w:val="0"/>
                              <w:divBdr>
                                <w:top w:val="none" w:sz="0" w:space="0" w:color="auto"/>
                                <w:left w:val="none" w:sz="0" w:space="0" w:color="auto"/>
                                <w:bottom w:val="none" w:sz="0" w:space="0" w:color="auto"/>
                                <w:right w:val="none" w:sz="0" w:space="0" w:color="auto"/>
                              </w:divBdr>
                              <w:divsChild>
                                <w:div w:id="1509321617">
                                  <w:marLeft w:val="0"/>
                                  <w:marRight w:val="0"/>
                                  <w:marTop w:val="0"/>
                                  <w:marBottom w:val="0"/>
                                  <w:divBdr>
                                    <w:top w:val="none" w:sz="0" w:space="0" w:color="auto"/>
                                    <w:left w:val="none" w:sz="0" w:space="0" w:color="auto"/>
                                    <w:bottom w:val="none" w:sz="0" w:space="0" w:color="auto"/>
                                    <w:right w:val="none" w:sz="0" w:space="0" w:color="auto"/>
                                  </w:divBdr>
                                </w:div>
                              </w:divsChild>
                            </w:div>
                            <w:div w:id="338973744">
                              <w:marLeft w:val="0"/>
                              <w:marRight w:val="0"/>
                              <w:marTop w:val="0"/>
                              <w:marBottom w:val="0"/>
                              <w:divBdr>
                                <w:top w:val="none" w:sz="0" w:space="0" w:color="auto"/>
                                <w:left w:val="none" w:sz="0" w:space="0" w:color="auto"/>
                                <w:bottom w:val="none" w:sz="0" w:space="0" w:color="auto"/>
                                <w:right w:val="none" w:sz="0" w:space="0" w:color="auto"/>
                              </w:divBdr>
                              <w:divsChild>
                                <w:div w:id="343678066">
                                  <w:marLeft w:val="0"/>
                                  <w:marRight w:val="0"/>
                                  <w:marTop w:val="0"/>
                                  <w:marBottom w:val="0"/>
                                  <w:divBdr>
                                    <w:top w:val="none" w:sz="0" w:space="0" w:color="auto"/>
                                    <w:left w:val="none" w:sz="0" w:space="0" w:color="auto"/>
                                    <w:bottom w:val="none" w:sz="0" w:space="0" w:color="auto"/>
                                    <w:right w:val="none" w:sz="0" w:space="0" w:color="auto"/>
                                  </w:divBdr>
                                  <w:divsChild>
                                    <w:div w:id="1982075889">
                                      <w:marLeft w:val="0"/>
                                      <w:marRight w:val="0"/>
                                      <w:marTop w:val="0"/>
                                      <w:marBottom w:val="0"/>
                                      <w:divBdr>
                                        <w:top w:val="none" w:sz="0" w:space="0" w:color="auto"/>
                                        <w:left w:val="none" w:sz="0" w:space="0" w:color="auto"/>
                                        <w:bottom w:val="none" w:sz="0" w:space="0" w:color="auto"/>
                                        <w:right w:val="none" w:sz="0" w:space="0" w:color="auto"/>
                                      </w:divBdr>
                                    </w:div>
                                  </w:divsChild>
                                </w:div>
                                <w:div w:id="1059674392">
                                  <w:marLeft w:val="0"/>
                                  <w:marRight w:val="0"/>
                                  <w:marTop w:val="0"/>
                                  <w:marBottom w:val="0"/>
                                  <w:divBdr>
                                    <w:top w:val="none" w:sz="0" w:space="0" w:color="auto"/>
                                    <w:left w:val="none" w:sz="0" w:space="0" w:color="auto"/>
                                    <w:bottom w:val="none" w:sz="0" w:space="0" w:color="auto"/>
                                    <w:right w:val="none" w:sz="0" w:space="0" w:color="auto"/>
                                  </w:divBdr>
                                  <w:divsChild>
                                    <w:div w:id="13777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116079">
      <w:bodyDiv w:val="1"/>
      <w:marLeft w:val="0"/>
      <w:marRight w:val="0"/>
      <w:marTop w:val="0"/>
      <w:marBottom w:val="0"/>
      <w:divBdr>
        <w:top w:val="none" w:sz="0" w:space="0" w:color="auto"/>
        <w:left w:val="none" w:sz="0" w:space="0" w:color="auto"/>
        <w:bottom w:val="none" w:sz="0" w:space="0" w:color="auto"/>
        <w:right w:val="none" w:sz="0" w:space="0" w:color="auto"/>
      </w:divBdr>
    </w:div>
    <w:div w:id="1136677235">
      <w:bodyDiv w:val="1"/>
      <w:marLeft w:val="0"/>
      <w:marRight w:val="0"/>
      <w:marTop w:val="0"/>
      <w:marBottom w:val="0"/>
      <w:divBdr>
        <w:top w:val="none" w:sz="0" w:space="0" w:color="auto"/>
        <w:left w:val="none" w:sz="0" w:space="0" w:color="auto"/>
        <w:bottom w:val="none" w:sz="0" w:space="0" w:color="auto"/>
        <w:right w:val="none" w:sz="0" w:space="0" w:color="auto"/>
      </w:divBdr>
    </w:div>
    <w:div w:id="17861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zeljenadejstva@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nmed.me"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1BCEF3-1930-453F-849C-E434960E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60F47-EDF3-4CE4-8DE6-2B40C4A03CB4}">
  <ds:schemaRefs>
    <ds:schemaRef ds:uri="http://schemas.microsoft.com/sharepoint/v3/contenttype/forms"/>
  </ds:schemaRefs>
</ds:datastoreItem>
</file>

<file path=customXml/itemProps3.xml><?xml version="1.0" encoding="utf-8"?>
<ds:datastoreItem xmlns:ds="http://schemas.openxmlformats.org/officeDocument/2006/customXml" ds:itemID="{F556873D-5F6C-443A-8A3C-956596D2D6C3}">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21379</Words>
  <Characters>121862</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142956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7</cp:revision>
  <cp:lastPrinted>2019-04-15T08:23:00Z</cp:lastPrinted>
  <dcterms:created xsi:type="dcterms:W3CDTF">2024-12-03T15:28:00Z</dcterms:created>
  <dcterms:modified xsi:type="dcterms:W3CDTF">2024-12-09T13:40:00Z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y fmtid="{D5CDD505-2E9C-101B-9397-08002B2CF9AE}" pid="3" name="MediaServiceImageTags">
    <vt:lpwstr/>
  </property>
  <property fmtid="{D5CDD505-2E9C-101B-9397-08002B2CF9AE}" pid="4" name="_ExtendedDescription">
    <vt:lpwstr/>
  </property>
</Properties>
</file>