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887E76" w14:textId="77777777" w:rsidR="00E659A5" w:rsidRDefault="00E659A5">
      <w:pPr>
        <w:widowControl w:val="0"/>
        <w:jc w:val="both"/>
        <w:rPr>
          <w:b/>
        </w:rPr>
      </w:pPr>
    </w:p>
    <w:p w14:paraId="03683456" w14:textId="77777777" w:rsidR="00E659A5" w:rsidRDefault="00C21592">
      <w:pPr>
        <w:ind w:left="180" w:right="850"/>
        <w:jc w:val="center"/>
        <w:rPr>
          <w:b/>
          <w:u w:val="single"/>
          <w:lang w:val="sr-Latn-ME"/>
        </w:rPr>
      </w:pPr>
      <w:r>
        <w:rPr>
          <w:b/>
          <w:u w:val="single"/>
          <w:lang w:val="sr-Latn-ME"/>
        </w:rPr>
        <w:t>SAŽETAK KARAKTERISTIKA LIJEKA</w:t>
      </w:r>
    </w:p>
    <w:p w14:paraId="4FAC74F3" w14:textId="77777777" w:rsidR="00E659A5" w:rsidRDefault="00E659A5">
      <w:pPr>
        <w:widowControl w:val="0"/>
        <w:jc w:val="both"/>
        <w:rPr>
          <w:b/>
        </w:rPr>
      </w:pPr>
    </w:p>
    <w:p w14:paraId="260F607A" w14:textId="77777777" w:rsidR="00E659A5" w:rsidRDefault="00E659A5">
      <w:pPr>
        <w:widowControl w:val="0"/>
        <w:jc w:val="both"/>
        <w:rPr>
          <w:b/>
        </w:rPr>
      </w:pPr>
    </w:p>
    <w:p w14:paraId="36F4E5C3" w14:textId="77777777" w:rsidR="00E659A5" w:rsidRDefault="00C21592">
      <w:pPr>
        <w:widowControl w:val="0"/>
        <w:jc w:val="both"/>
      </w:pPr>
      <w:r>
        <w:rPr>
          <w:b/>
        </w:rPr>
        <w:t>1.</w:t>
      </w:r>
      <w:r>
        <w:rPr>
          <w:b/>
        </w:rPr>
        <w:tab/>
        <w:t>NAZIV LIJEKA</w:t>
      </w:r>
    </w:p>
    <w:p w14:paraId="6C1F4194" w14:textId="77777777" w:rsidR="00E659A5" w:rsidRDefault="00E659A5">
      <w:pPr>
        <w:widowControl w:val="0"/>
        <w:jc w:val="both"/>
        <w:rPr>
          <w:rFonts w:eastAsia="Calibri"/>
        </w:rPr>
      </w:pPr>
    </w:p>
    <w:p w14:paraId="0623BF82" w14:textId="77777777" w:rsidR="00E659A5" w:rsidRDefault="00C21592">
      <w:pPr>
        <w:widowControl w:val="0"/>
        <w:jc w:val="both"/>
      </w:pPr>
      <w:r>
        <w:rPr>
          <w:noProof/>
        </w:rPr>
        <w:t>Xerdoxo</w:t>
      </w:r>
      <w:r>
        <w:rPr>
          <w:b/>
          <w:noProof/>
        </w:rPr>
        <w:t>,</w:t>
      </w:r>
      <w:r>
        <w:rPr>
          <w:noProof/>
        </w:rPr>
        <w:t xml:space="preserve"> </w:t>
      </w:r>
      <w:r>
        <w:t>20 mg, film tableta</w:t>
      </w:r>
    </w:p>
    <w:p w14:paraId="247691B4" w14:textId="77777777" w:rsidR="00E659A5" w:rsidRDefault="00E659A5">
      <w:pPr>
        <w:widowControl w:val="0"/>
        <w:jc w:val="both"/>
        <w:rPr>
          <w:iCs/>
        </w:rPr>
      </w:pPr>
    </w:p>
    <w:p w14:paraId="73C0780F" w14:textId="77777777" w:rsidR="00E659A5" w:rsidRDefault="00C21592">
      <w:pPr>
        <w:widowControl w:val="0"/>
        <w:jc w:val="both"/>
        <w:rPr>
          <w:rFonts w:eastAsia="Calibri"/>
        </w:rPr>
      </w:pPr>
      <w:r>
        <w:rPr>
          <w:rFonts w:eastAsia="Calibri"/>
        </w:rPr>
        <w:t>INN: rivaroksaban</w:t>
      </w:r>
    </w:p>
    <w:p w14:paraId="39CAD734" w14:textId="77777777" w:rsidR="00E659A5" w:rsidRDefault="00E659A5">
      <w:pPr>
        <w:widowControl w:val="0"/>
        <w:jc w:val="both"/>
        <w:rPr>
          <w:rFonts w:eastAsia="Calibri"/>
        </w:rPr>
      </w:pPr>
    </w:p>
    <w:p w14:paraId="35AEB431" w14:textId="77777777" w:rsidR="00E659A5" w:rsidRDefault="00E659A5">
      <w:pPr>
        <w:widowControl w:val="0"/>
        <w:jc w:val="both"/>
        <w:rPr>
          <w:rFonts w:eastAsia="Calibri"/>
        </w:rPr>
      </w:pPr>
    </w:p>
    <w:p w14:paraId="0A438E86" w14:textId="77777777" w:rsidR="00E659A5" w:rsidRDefault="00C21592">
      <w:pPr>
        <w:widowControl w:val="0"/>
        <w:jc w:val="both"/>
        <w:rPr>
          <w:b/>
        </w:rPr>
      </w:pPr>
      <w:r>
        <w:rPr>
          <w:b/>
        </w:rPr>
        <w:t>2.</w:t>
      </w:r>
      <w:r>
        <w:rPr>
          <w:b/>
        </w:rPr>
        <w:tab/>
        <w:t>KVALITATIVNI I KVANTITATIVNI SASTAV</w:t>
      </w:r>
    </w:p>
    <w:p w14:paraId="5CBF7289" w14:textId="77777777" w:rsidR="00E659A5" w:rsidRDefault="00E659A5">
      <w:pPr>
        <w:widowControl w:val="0"/>
        <w:autoSpaceDE w:val="0"/>
        <w:autoSpaceDN w:val="0"/>
        <w:adjustRightInd w:val="0"/>
        <w:jc w:val="both"/>
      </w:pPr>
    </w:p>
    <w:p w14:paraId="3799D307" w14:textId="77777777" w:rsidR="00E659A5" w:rsidRDefault="00C21592">
      <w:pPr>
        <w:widowControl w:val="0"/>
        <w:autoSpaceDE w:val="0"/>
        <w:autoSpaceDN w:val="0"/>
        <w:adjustRightInd w:val="0"/>
        <w:jc w:val="both"/>
      </w:pPr>
      <w:r>
        <w:t>Svaka film tableta sadrži 20 mg rivaroksabana.</w:t>
      </w:r>
    </w:p>
    <w:p w14:paraId="2341848B" w14:textId="77777777" w:rsidR="00E659A5" w:rsidRDefault="00E659A5">
      <w:pPr>
        <w:widowControl w:val="0"/>
        <w:autoSpaceDE w:val="0"/>
        <w:autoSpaceDN w:val="0"/>
        <w:adjustRightInd w:val="0"/>
        <w:jc w:val="both"/>
        <w:rPr>
          <w:bCs/>
          <w:noProof/>
        </w:rPr>
      </w:pPr>
    </w:p>
    <w:p w14:paraId="23868989" w14:textId="77777777" w:rsidR="00E659A5" w:rsidRDefault="00C21592">
      <w:pPr>
        <w:widowControl w:val="0"/>
        <w:jc w:val="both"/>
      </w:pPr>
      <w:r>
        <w:t>Za spisak svih ekscipijenasa, pogledati dio 6.1.</w:t>
      </w:r>
    </w:p>
    <w:p w14:paraId="7B5719B8" w14:textId="77777777" w:rsidR="00E659A5" w:rsidRDefault="00E659A5">
      <w:pPr>
        <w:widowControl w:val="0"/>
        <w:jc w:val="both"/>
        <w:rPr>
          <w:rFonts w:eastAsia="Calibri"/>
        </w:rPr>
      </w:pPr>
    </w:p>
    <w:p w14:paraId="57829696" w14:textId="77777777" w:rsidR="00E659A5" w:rsidRDefault="00E659A5">
      <w:pPr>
        <w:widowControl w:val="0"/>
        <w:jc w:val="both"/>
        <w:rPr>
          <w:rFonts w:eastAsia="Calibri"/>
        </w:rPr>
      </w:pPr>
    </w:p>
    <w:p w14:paraId="47D7E450" w14:textId="77777777" w:rsidR="00E659A5" w:rsidRDefault="00C21592">
      <w:pPr>
        <w:widowControl w:val="0"/>
        <w:jc w:val="both"/>
        <w:rPr>
          <w:b/>
        </w:rPr>
      </w:pPr>
      <w:r>
        <w:rPr>
          <w:b/>
        </w:rPr>
        <w:t>3.</w:t>
      </w:r>
      <w:r>
        <w:rPr>
          <w:b/>
        </w:rPr>
        <w:tab/>
        <w:t>FARMACEUTSKI OBLIK</w:t>
      </w:r>
    </w:p>
    <w:p w14:paraId="405EB983" w14:textId="77777777" w:rsidR="00E659A5" w:rsidRDefault="00E659A5">
      <w:pPr>
        <w:widowControl w:val="0"/>
        <w:jc w:val="both"/>
      </w:pPr>
    </w:p>
    <w:p w14:paraId="0CFFB860" w14:textId="77777777" w:rsidR="00E659A5" w:rsidRDefault="00C21592">
      <w:pPr>
        <w:widowControl w:val="0"/>
        <w:jc w:val="both"/>
      </w:pPr>
      <w:r>
        <w:t xml:space="preserve">Film tableta. </w:t>
      </w:r>
    </w:p>
    <w:p w14:paraId="4950EFED" w14:textId="77777777" w:rsidR="00E659A5" w:rsidRDefault="00E659A5">
      <w:pPr>
        <w:widowControl w:val="0"/>
        <w:jc w:val="both"/>
        <w:rPr>
          <w:highlight w:val="yellow"/>
        </w:rPr>
      </w:pPr>
    </w:p>
    <w:p w14:paraId="411121A7" w14:textId="77777777" w:rsidR="00E659A5" w:rsidRDefault="00C21592">
      <w:pPr>
        <w:widowControl w:val="0"/>
        <w:jc w:val="both"/>
      </w:pPr>
      <w:r>
        <w:t xml:space="preserve">Ružičaste do tamno ružičaste, okrugle, blago bikonveksne, film tablete, sa urezanom oznakom </w:t>
      </w:r>
      <w:r>
        <w:rPr>
          <w:lang w:val="sr-Cyrl-RS"/>
        </w:rPr>
        <w:t>20</w:t>
      </w:r>
      <w:r>
        <w:t xml:space="preserve"> na jednoj strani tablete.</w:t>
      </w:r>
    </w:p>
    <w:p w14:paraId="4944D33E" w14:textId="77777777" w:rsidR="00E659A5" w:rsidRDefault="00C21592">
      <w:pPr>
        <w:widowControl w:val="0"/>
        <w:jc w:val="both"/>
      </w:pPr>
      <w:r>
        <w:t>Dimenzije: promjer oko 7 mm.</w:t>
      </w:r>
    </w:p>
    <w:p w14:paraId="7068C79D" w14:textId="77777777" w:rsidR="00E659A5" w:rsidRDefault="00E659A5">
      <w:pPr>
        <w:widowControl w:val="0"/>
        <w:jc w:val="both"/>
        <w:rPr>
          <w:rFonts w:eastAsia="Calibri"/>
        </w:rPr>
      </w:pPr>
    </w:p>
    <w:p w14:paraId="7EBEC6EB" w14:textId="77777777" w:rsidR="00E659A5" w:rsidRDefault="00E659A5">
      <w:pPr>
        <w:widowControl w:val="0"/>
        <w:jc w:val="both"/>
        <w:rPr>
          <w:rFonts w:eastAsia="Calibri"/>
        </w:rPr>
      </w:pPr>
    </w:p>
    <w:p w14:paraId="77E2335B" w14:textId="77777777" w:rsidR="00E659A5" w:rsidRDefault="00C21592">
      <w:pPr>
        <w:widowControl w:val="0"/>
        <w:ind w:left="567" w:hanging="567"/>
        <w:jc w:val="both"/>
        <w:rPr>
          <w:caps/>
        </w:rPr>
      </w:pPr>
      <w:r>
        <w:rPr>
          <w:b/>
          <w:caps/>
        </w:rPr>
        <w:t>4.</w:t>
      </w:r>
      <w:r>
        <w:rPr>
          <w:b/>
          <w:caps/>
        </w:rPr>
        <w:tab/>
        <w:t>KLINIČKI PODACI</w:t>
      </w:r>
    </w:p>
    <w:p w14:paraId="3BD9325B" w14:textId="77777777" w:rsidR="00E659A5" w:rsidRDefault="00E659A5">
      <w:pPr>
        <w:widowControl w:val="0"/>
        <w:jc w:val="both"/>
      </w:pPr>
    </w:p>
    <w:p w14:paraId="166D901F" w14:textId="77777777" w:rsidR="00E659A5" w:rsidRDefault="00C21592">
      <w:pPr>
        <w:widowControl w:val="0"/>
        <w:ind w:left="567" w:hanging="567"/>
        <w:jc w:val="both"/>
        <w:outlineLvl w:val="0"/>
      </w:pPr>
      <w:r>
        <w:rPr>
          <w:b/>
        </w:rPr>
        <w:t>4.1</w:t>
      </w:r>
      <w:r>
        <w:rPr>
          <w:b/>
        </w:rPr>
        <w:tab/>
        <w:t>Terapijske indikacije</w:t>
      </w:r>
    </w:p>
    <w:p w14:paraId="043EBE8C" w14:textId="77777777" w:rsidR="00E659A5" w:rsidRDefault="00E659A5">
      <w:pPr>
        <w:widowControl w:val="0"/>
        <w:jc w:val="both"/>
        <w:rPr>
          <w:rFonts w:eastAsia="Calibri"/>
        </w:rPr>
      </w:pPr>
    </w:p>
    <w:p w14:paraId="7620A6B2" w14:textId="77777777" w:rsidR="00E659A5" w:rsidRDefault="00C21592">
      <w:pPr>
        <w:widowControl w:val="0"/>
        <w:jc w:val="both"/>
        <w:rPr>
          <w:rFonts w:eastAsia="Calibri"/>
          <w:i/>
          <w:iCs/>
        </w:rPr>
      </w:pPr>
      <w:r>
        <w:rPr>
          <w:rFonts w:eastAsia="Calibri"/>
          <w:i/>
          <w:iCs/>
        </w:rPr>
        <w:t>Odrasli</w:t>
      </w:r>
    </w:p>
    <w:p w14:paraId="5DA7F073" w14:textId="77777777" w:rsidR="00E659A5" w:rsidRDefault="00C21592">
      <w:pPr>
        <w:widowControl w:val="0"/>
        <w:jc w:val="both"/>
      </w:pPr>
      <w:r>
        <w:t xml:space="preserve">Prevencija moždanog udara i sistemske embolije kod odraslih pacijenata sa nevalvularnom atrijalnom fibrilacijom koji imaju jedan ili više faktora rizika poput kongestivne srčane insuficijencije, hipertenzije, starosti ≥ 75 godina, </w:t>
      </w:r>
      <w:r>
        <w:rPr>
          <w:i/>
        </w:rPr>
        <w:t>diabetes mellitus</w:t>
      </w:r>
      <w:r>
        <w:t>-a, pretrpljenog moždanog udara ili tranzitornog ishemijskog ataka.</w:t>
      </w:r>
    </w:p>
    <w:p w14:paraId="0EC05A4D" w14:textId="77777777" w:rsidR="00E659A5" w:rsidRDefault="00E659A5">
      <w:pPr>
        <w:widowControl w:val="0"/>
        <w:jc w:val="both"/>
      </w:pPr>
    </w:p>
    <w:p w14:paraId="0454EC61" w14:textId="77777777" w:rsidR="00E659A5" w:rsidRDefault="00C21592">
      <w:pPr>
        <w:widowControl w:val="0"/>
        <w:jc w:val="both"/>
      </w:pPr>
      <w:r>
        <w:t>Liječenje tromboze dubokih vena (TDV) i plućne embolije (PE) i prevencija rekurentne TDV i PE kod odraslih pacijenata (vidjeti dio 4.4 za hemodinamski nestabilne pacijente sa PE).</w:t>
      </w:r>
    </w:p>
    <w:p w14:paraId="48FD05C0" w14:textId="77777777" w:rsidR="00E659A5" w:rsidRDefault="00E659A5">
      <w:pPr>
        <w:widowControl w:val="0"/>
        <w:jc w:val="both"/>
      </w:pPr>
    </w:p>
    <w:p w14:paraId="2DD27FA7" w14:textId="77777777" w:rsidR="00E659A5" w:rsidRDefault="00C21592">
      <w:pPr>
        <w:widowControl w:val="0"/>
        <w:jc w:val="both"/>
        <w:rPr>
          <w:rFonts w:eastAsia="Calibri"/>
          <w:i/>
          <w:iCs/>
        </w:rPr>
      </w:pPr>
      <w:r>
        <w:rPr>
          <w:rFonts w:eastAsia="Calibri"/>
          <w:i/>
          <w:iCs/>
        </w:rPr>
        <w:t xml:space="preserve">Pedijatrijska populacija </w:t>
      </w:r>
    </w:p>
    <w:p w14:paraId="7F77E887" w14:textId="3C49CAA1" w:rsidR="00E659A5" w:rsidRDefault="00C21592">
      <w:pPr>
        <w:widowControl w:val="0"/>
        <w:jc w:val="both"/>
        <w:rPr>
          <w:rFonts w:eastAsia="Calibri"/>
        </w:rPr>
      </w:pPr>
      <w:r>
        <w:rPr>
          <w:rFonts w:eastAsia="Calibri"/>
        </w:rPr>
        <w:t xml:space="preserve">Liječenje venske tromboembolije (VTE) i prevencija ponavljajućeg VTE-a kod djece i adolescenata uzrasta mlađeg od 18 godina i tjelesne </w:t>
      </w:r>
      <w:r w:rsidR="00585B9B">
        <w:rPr>
          <w:rFonts w:eastAsia="Calibri"/>
        </w:rPr>
        <w:t xml:space="preserve">mase </w:t>
      </w:r>
      <w:r>
        <w:rPr>
          <w:rFonts w:eastAsia="Calibri"/>
        </w:rPr>
        <w:t>od 30 kg do 50 kg nakon najmanje 5 dana početnog liječenja parenteralnim antikoagulansom.</w:t>
      </w:r>
    </w:p>
    <w:p w14:paraId="36209275" w14:textId="77777777" w:rsidR="00E659A5" w:rsidRDefault="00E659A5">
      <w:pPr>
        <w:widowControl w:val="0"/>
        <w:jc w:val="both"/>
        <w:rPr>
          <w:rFonts w:eastAsia="Calibri"/>
        </w:rPr>
      </w:pPr>
    </w:p>
    <w:p w14:paraId="1A9F5F75" w14:textId="77777777" w:rsidR="00E659A5" w:rsidRDefault="00C21592">
      <w:pPr>
        <w:widowControl w:val="0"/>
        <w:jc w:val="both"/>
        <w:rPr>
          <w:b/>
        </w:rPr>
      </w:pPr>
      <w:r>
        <w:rPr>
          <w:b/>
        </w:rPr>
        <w:t>4.2</w:t>
      </w:r>
      <w:r>
        <w:rPr>
          <w:b/>
        </w:rPr>
        <w:tab/>
        <w:t>Doziranje i način primjene</w:t>
      </w:r>
    </w:p>
    <w:p w14:paraId="6F1DD3E2" w14:textId="77777777" w:rsidR="00E659A5" w:rsidRDefault="00E659A5">
      <w:pPr>
        <w:widowControl w:val="0"/>
        <w:jc w:val="both"/>
        <w:rPr>
          <w:rFonts w:eastAsia="Calibri"/>
        </w:rPr>
      </w:pPr>
    </w:p>
    <w:p w14:paraId="665670C6" w14:textId="77777777" w:rsidR="00E659A5" w:rsidRDefault="00C21592">
      <w:pPr>
        <w:pStyle w:val="Default"/>
        <w:jc w:val="both"/>
        <w:rPr>
          <w:sz w:val="22"/>
          <w:szCs w:val="22"/>
          <w:u w:val="single"/>
          <w:lang w:val="hr-HR"/>
        </w:rPr>
      </w:pPr>
      <w:r>
        <w:rPr>
          <w:sz w:val="22"/>
          <w:szCs w:val="22"/>
          <w:u w:val="single"/>
          <w:lang w:val="hr-HR"/>
        </w:rPr>
        <w:t>Doziranje</w:t>
      </w:r>
    </w:p>
    <w:p w14:paraId="1D313685" w14:textId="77777777" w:rsidR="00E659A5" w:rsidRDefault="00C21592">
      <w:pPr>
        <w:widowControl w:val="0"/>
        <w:jc w:val="both"/>
        <w:rPr>
          <w:i/>
          <w:iCs/>
        </w:rPr>
      </w:pPr>
      <w:r>
        <w:rPr>
          <w:i/>
          <w:iCs/>
        </w:rPr>
        <w:t>Prevencija moždanog udara i sistemske embolije</w:t>
      </w:r>
    </w:p>
    <w:p w14:paraId="040556F3" w14:textId="77777777" w:rsidR="00E659A5" w:rsidRDefault="00C21592">
      <w:pPr>
        <w:widowControl w:val="0"/>
        <w:jc w:val="both"/>
        <w:rPr>
          <w:rFonts w:eastAsia="Calibri"/>
        </w:rPr>
      </w:pPr>
      <w:r>
        <w:t>Preporučena doza je 20 mg jednom dnevno, što je takođe i maksimalna preporučena doza.</w:t>
      </w:r>
    </w:p>
    <w:p w14:paraId="5BE55874" w14:textId="77777777" w:rsidR="00E659A5" w:rsidRDefault="00E659A5">
      <w:pPr>
        <w:widowControl w:val="0"/>
        <w:jc w:val="both"/>
        <w:rPr>
          <w:rFonts w:eastAsia="Calibri"/>
        </w:rPr>
      </w:pPr>
    </w:p>
    <w:p w14:paraId="087F527B" w14:textId="77777777" w:rsidR="00E659A5" w:rsidRDefault="00C21592">
      <w:pPr>
        <w:widowControl w:val="0"/>
        <w:jc w:val="both"/>
      </w:pPr>
      <w:r>
        <w:t>Liječenje lijekom Xerdoxo mora da se nastavi dugotrajno, ako je korist od prevencije moždanog udara i sistemske embolije veća od rizika od krvarenja (vidjeti dio 4.4).</w:t>
      </w:r>
    </w:p>
    <w:p w14:paraId="178BE139" w14:textId="77777777" w:rsidR="00E659A5" w:rsidRDefault="00E659A5">
      <w:pPr>
        <w:widowControl w:val="0"/>
        <w:jc w:val="both"/>
      </w:pPr>
    </w:p>
    <w:p w14:paraId="6C4C0572" w14:textId="77777777" w:rsidR="00E659A5" w:rsidRDefault="00C21592">
      <w:pPr>
        <w:widowControl w:val="0"/>
        <w:jc w:val="both"/>
        <w:rPr>
          <w:rFonts w:eastAsia="Calibri"/>
        </w:rPr>
      </w:pPr>
      <w:r>
        <w:t xml:space="preserve">Ukoliko pacijent propusti dozu, mora odmah da uzme lijek Xerdoxo, a potom od narednog dana da nastavi da uzima lijek jednom dnevno kao što mu je preporučeno. U istom danu ne smiju se uzeti 2 doze </w:t>
      </w:r>
      <w:r>
        <w:lastRenderedPageBreak/>
        <w:t>kako bi se nadoknadila propuštena doza.</w:t>
      </w:r>
    </w:p>
    <w:p w14:paraId="3B79DA07" w14:textId="77777777" w:rsidR="00E659A5" w:rsidRDefault="00E659A5">
      <w:pPr>
        <w:widowControl w:val="0"/>
        <w:jc w:val="both"/>
        <w:rPr>
          <w:rFonts w:eastAsia="Calibri"/>
        </w:rPr>
      </w:pPr>
    </w:p>
    <w:p w14:paraId="4CAE22DF" w14:textId="77777777" w:rsidR="00E659A5" w:rsidRDefault="00C21592">
      <w:pPr>
        <w:pStyle w:val="Default"/>
        <w:jc w:val="both"/>
        <w:rPr>
          <w:sz w:val="22"/>
          <w:szCs w:val="22"/>
          <w:lang w:val="hr-HR"/>
        </w:rPr>
      </w:pPr>
      <w:r>
        <w:rPr>
          <w:i/>
          <w:iCs/>
          <w:sz w:val="22"/>
          <w:szCs w:val="22"/>
          <w:lang w:val="hr-HR"/>
        </w:rPr>
        <w:t>Liječenje TDV, liječenje PE i prevencija rekurentne TDV i PE</w:t>
      </w:r>
    </w:p>
    <w:p w14:paraId="4F7CA72B" w14:textId="77777777" w:rsidR="00E659A5" w:rsidRDefault="00C21592">
      <w:pPr>
        <w:widowControl w:val="0"/>
        <w:ind w:right="219"/>
        <w:jc w:val="both"/>
      </w:pPr>
      <w:r>
        <w:t>Preporučena doza za inicijalno liječenje akutne TDV ili PE je 15 mg dva puta na dan tokom prve tri nedjelje. Zatim se za nastavak liječenja i prevenciju rekurentne TDV i PE uzima 20 mg jednom dnevno.</w:t>
      </w:r>
    </w:p>
    <w:p w14:paraId="7C25F482" w14:textId="77777777" w:rsidR="00E659A5" w:rsidRDefault="00E659A5">
      <w:pPr>
        <w:widowControl w:val="0"/>
        <w:ind w:right="219"/>
        <w:jc w:val="both"/>
      </w:pPr>
    </w:p>
    <w:p w14:paraId="572221E7" w14:textId="77777777" w:rsidR="00E659A5" w:rsidRDefault="00C21592">
      <w:pPr>
        <w:widowControl w:val="0"/>
        <w:jc w:val="both"/>
        <w:rPr>
          <w:rFonts w:eastAsia="Calibri"/>
        </w:rPr>
      </w:pPr>
      <w:r>
        <w:t>Potrebno je razmotriti kratkotrajnu terapiju (najmanje 3 mjeseca) kod pacijenata sa TDV i PE provociranim glavnim prolaznim faktorima rizika (tj. nedavnim velikim hirurškim zahvatom ili traumom). Duže trajanje liječenja potrebno je razmotriti kod pacijenata sa provociranom TDV ili PE koje nisu povezane sa glavnim prolaznim faktorima rizika, neprovociranom TDV ili PE ili rekurentnom TDV ili PE u anamnezi.</w:t>
      </w:r>
    </w:p>
    <w:p w14:paraId="537B6C5D" w14:textId="77777777" w:rsidR="00E659A5" w:rsidRDefault="00E659A5">
      <w:pPr>
        <w:widowControl w:val="0"/>
        <w:jc w:val="both"/>
        <w:rPr>
          <w:rFonts w:eastAsia="Calibri"/>
        </w:rPr>
      </w:pPr>
    </w:p>
    <w:p w14:paraId="40F916A2" w14:textId="77777777" w:rsidR="00E659A5" w:rsidRDefault="00C21592">
      <w:pPr>
        <w:pStyle w:val="Default"/>
        <w:jc w:val="both"/>
        <w:rPr>
          <w:sz w:val="22"/>
          <w:szCs w:val="22"/>
          <w:lang w:val="hr-HR"/>
        </w:rPr>
      </w:pPr>
      <w:r>
        <w:rPr>
          <w:sz w:val="22"/>
          <w:szCs w:val="22"/>
          <w:lang w:val="hr-HR"/>
        </w:rPr>
        <w:t>Kada je indikovana produžena prevencija rekurentne TDV ili PE (nakon završetka liječenja u trajanju od najmanje 6 mjeseci zbog TDV ili PE), preporučena doza je 10 mg jednom dnevno. Kod pacijenata kod kojih se smatra da je rizik od rekurentne TDV ili PE visok, kao što su oni sa komplikovanim komorbiditetima ili kod kojih je rekurentna TDV ili PE nastala tokom produžene prevencije lijekom Xerdoxo 10 mg jednom dnevno, potrebno je razmotriti primjenu lijeka Xerdoxo u dozi od 20 mg jednom dnevno.</w:t>
      </w:r>
    </w:p>
    <w:p w14:paraId="2EE61F71" w14:textId="77777777" w:rsidR="00E659A5" w:rsidRDefault="00E659A5">
      <w:pPr>
        <w:pStyle w:val="Default"/>
        <w:jc w:val="both"/>
        <w:rPr>
          <w:sz w:val="22"/>
          <w:szCs w:val="22"/>
          <w:lang w:val="hr-HR"/>
        </w:rPr>
      </w:pPr>
    </w:p>
    <w:p w14:paraId="4D50FCAE" w14:textId="77777777" w:rsidR="00E659A5" w:rsidRDefault="00C21592">
      <w:pPr>
        <w:shd w:val="clear" w:color="auto" w:fill="FFFFFF"/>
        <w:jc w:val="both"/>
        <w:rPr>
          <w:color w:val="000000"/>
        </w:rPr>
      </w:pPr>
      <w:r>
        <w:t>Trajanje liječenja i odabir doze treba da budu individualni, nakon pažljive procjene koristi od liječenja u odnosu na rizik od krvarenja (vidjeti dio 4.4).</w:t>
      </w:r>
    </w:p>
    <w:p w14:paraId="36FA75C1" w14:textId="77777777" w:rsidR="00E659A5" w:rsidRDefault="00E659A5">
      <w:pPr>
        <w:shd w:val="clear" w:color="auto" w:fill="FFFFFF"/>
        <w:jc w:val="both"/>
        <w:rPr>
          <w:color w:val="000000"/>
        </w:rPr>
      </w:pPr>
    </w:p>
    <w:tbl>
      <w:tblPr>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552"/>
        <w:gridCol w:w="2409"/>
        <w:gridCol w:w="2332"/>
      </w:tblGrid>
      <w:tr w:rsidR="00E659A5" w14:paraId="56661228" w14:textId="77777777">
        <w:tc>
          <w:tcPr>
            <w:tcW w:w="1173" w:type="pct"/>
            <w:shd w:val="clear" w:color="auto" w:fill="auto"/>
            <w:hideMark/>
          </w:tcPr>
          <w:p w14:paraId="41843F16" w14:textId="77777777" w:rsidR="00E659A5" w:rsidRDefault="00E659A5">
            <w:pPr>
              <w:jc w:val="both"/>
            </w:pPr>
          </w:p>
        </w:tc>
        <w:tc>
          <w:tcPr>
            <w:tcW w:w="1339" w:type="pct"/>
            <w:shd w:val="clear" w:color="auto" w:fill="auto"/>
            <w:hideMark/>
          </w:tcPr>
          <w:p w14:paraId="0974FDE5" w14:textId="77777777" w:rsidR="00E659A5" w:rsidRDefault="00C21592">
            <w:pPr>
              <w:jc w:val="both"/>
            </w:pPr>
            <w:r>
              <w:rPr>
                <w:b/>
                <w:bCs/>
              </w:rPr>
              <w:t>Vremenski period</w:t>
            </w:r>
          </w:p>
        </w:tc>
        <w:tc>
          <w:tcPr>
            <w:tcW w:w="1264" w:type="pct"/>
            <w:shd w:val="clear" w:color="auto" w:fill="auto"/>
            <w:hideMark/>
          </w:tcPr>
          <w:p w14:paraId="683CF7EE" w14:textId="77777777" w:rsidR="00E659A5" w:rsidRDefault="00C21592">
            <w:pPr>
              <w:jc w:val="both"/>
            </w:pPr>
            <w:r>
              <w:rPr>
                <w:b/>
                <w:bCs/>
              </w:rPr>
              <w:t>Doziranje</w:t>
            </w:r>
          </w:p>
        </w:tc>
        <w:tc>
          <w:tcPr>
            <w:tcW w:w="1224" w:type="pct"/>
            <w:shd w:val="clear" w:color="auto" w:fill="auto"/>
            <w:hideMark/>
          </w:tcPr>
          <w:p w14:paraId="06005914" w14:textId="77777777" w:rsidR="00E659A5" w:rsidRDefault="00C21592">
            <w:pPr>
              <w:jc w:val="both"/>
            </w:pPr>
            <w:r>
              <w:rPr>
                <w:b/>
                <w:bCs/>
              </w:rPr>
              <w:t>Ukupna dnevna doza</w:t>
            </w:r>
          </w:p>
        </w:tc>
      </w:tr>
      <w:tr w:rsidR="00E659A5" w14:paraId="182AFBE7" w14:textId="77777777">
        <w:tc>
          <w:tcPr>
            <w:tcW w:w="1173" w:type="pct"/>
            <w:vMerge w:val="restart"/>
            <w:shd w:val="clear" w:color="auto" w:fill="auto"/>
            <w:hideMark/>
          </w:tcPr>
          <w:p w14:paraId="24D363B9" w14:textId="77777777" w:rsidR="00E659A5" w:rsidRDefault="00C21592">
            <w:pPr>
              <w:pStyle w:val="Default"/>
              <w:jc w:val="both"/>
              <w:rPr>
                <w:sz w:val="22"/>
                <w:szCs w:val="22"/>
                <w:lang w:val="hr-HR"/>
              </w:rPr>
            </w:pPr>
            <w:r>
              <w:rPr>
                <w:sz w:val="22"/>
                <w:szCs w:val="22"/>
                <w:lang w:val="hr-HR"/>
              </w:rPr>
              <w:t>Liječenje i prevencija rekurentne TDV i PE</w:t>
            </w:r>
          </w:p>
        </w:tc>
        <w:tc>
          <w:tcPr>
            <w:tcW w:w="1339" w:type="pct"/>
            <w:shd w:val="clear" w:color="auto" w:fill="auto"/>
            <w:hideMark/>
          </w:tcPr>
          <w:p w14:paraId="5CA565DB" w14:textId="77777777" w:rsidR="00E659A5" w:rsidRDefault="00C21592">
            <w:pPr>
              <w:jc w:val="both"/>
            </w:pPr>
            <w:r>
              <w:t>1.–21. dan</w:t>
            </w:r>
          </w:p>
        </w:tc>
        <w:tc>
          <w:tcPr>
            <w:tcW w:w="1264" w:type="pct"/>
            <w:shd w:val="clear" w:color="auto" w:fill="auto"/>
            <w:hideMark/>
          </w:tcPr>
          <w:p w14:paraId="50415E7F" w14:textId="77777777" w:rsidR="00E659A5" w:rsidRDefault="00C21592">
            <w:pPr>
              <w:jc w:val="both"/>
            </w:pPr>
            <w:r>
              <w:t>15 mg dva puta na dan</w:t>
            </w:r>
          </w:p>
        </w:tc>
        <w:tc>
          <w:tcPr>
            <w:tcW w:w="1224" w:type="pct"/>
            <w:shd w:val="clear" w:color="auto" w:fill="auto"/>
            <w:hideMark/>
          </w:tcPr>
          <w:p w14:paraId="76D3031A" w14:textId="77777777" w:rsidR="00E659A5" w:rsidRDefault="00C21592">
            <w:pPr>
              <w:jc w:val="both"/>
            </w:pPr>
            <w:r>
              <w:t>30 mg</w:t>
            </w:r>
          </w:p>
        </w:tc>
      </w:tr>
      <w:tr w:rsidR="00E659A5" w14:paraId="602ADCDC" w14:textId="77777777">
        <w:tc>
          <w:tcPr>
            <w:tcW w:w="1173" w:type="pct"/>
            <w:vMerge/>
            <w:shd w:val="clear" w:color="auto" w:fill="auto"/>
            <w:hideMark/>
          </w:tcPr>
          <w:p w14:paraId="440E7F58" w14:textId="77777777" w:rsidR="00E659A5" w:rsidRDefault="00E659A5">
            <w:pPr>
              <w:jc w:val="both"/>
            </w:pPr>
          </w:p>
        </w:tc>
        <w:tc>
          <w:tcPr>
            <w:tcW w:w="1339" w:type="pct"/>
            <w:shd w:val="clear" w:color="auto" w:fill="auto"/>
            <w:hideMark/>
          </w:tcPr>
          <w:p w14:paraId="7B38362C" w14:textId="77777777" w:rsidR="00E659A5" w:rsidRDefault="00C21592">
            <w:pPr>
              <w:jc w:val="both"/>
            </w:pPr>
            <w:r>
              <w:t>Od 22. dana nadalje</w:t>
            </w:r>
          </w:p>
        </w:tc>
        <w:tc>
          <w:tcPr>
            <w:tcW w:w="1264" w:type="pct"/>
            <w:shd w:val="clear" w:color="auto" w:fill="auto"/>
            <w:hideMark/>
          </w:tcPr>
          <w:p w14:paraId="368322B5" w14:textId="77777777" w:rsidR="00E659A5" w:rsidRDefault="00C21592">
            <w:pPr>
              <w:jc w:val="both"/>
            </w:pPr>
            <w:r>
              <w:t>20 mg jednom dnevno</w:t>
            </w:r>
          </w:p>
        </w:tc>
        <w:tc>
          <w:tcPr>
            <w:tcW w:w="1224" w:type="pct"/>
            <w:shd w:val="clear" w:color="auto" w:fill="auto"/>
            <w:hideMark/>
          </w:tcPr>
          <w:p w14:paraId="5FD742CF" w14:textId="77777777" w:rsidR="00E659A5" w:rsidRDefault="00C21592">
            <w:pPr>
              <w:jc w:val="both"/>
            </w:pPr>
            <w:r>
              <w:t>20 mg</w:t>
            </w:r>
          </w:p>
        </w:tc>
      </w:tr>
      <w:tr w:rsidR="00E659A5" w14:paraId="098D844F" w14:textId="77777777">
        <w:tc>
          <w:tcPr>
            <w:tcW w:w="1173" w:type="pct"/>
            <w:shd w:val="clear" w:color="auto" w:fill="auto"/>
            <w:hideMark/>
          </w:tcPr>
          <w:p w14:paraId="6767BFB5" w14:textId="77777777" w:rsidR="00E659A5" w:rsidRDefault="00C21592">
            <w:pPr>
              <w:pStyle w:val="Default"/>
              <w:jc w:val="both"/>
              <w:rPr>
                <w:sz w:val="22"/>
                <w:szCs w:val="22"/>
                <w:lang w:val="hr-HR"/>
              </w:rPr>
            </w:pPr>
            <w:r>
              <w:rPr>
                <w:sz w:val="22"/>
                <w:szCs w:val="22"/>
                <w:lang w:val="hr-HR"/>
              </w:rPr>
              <w:t>Prevencija rekurentne TDV i PE</w:t>
            </w:r>
          </w:p>
        </w:tc>
        <w:tc>
          <w:tcPr>
            <w:tcW w:w="1339" w:type="pct"/>
            <w:shd w:val="clear" w:color="auto" w:fill="auto"/>
            <w:hideMark/>
          </w:tcPr>
          <w:p w14:paraId="12327027" w14:textId="77777777" w:rsidR="00E659A5" w:rsidRDefault="00C21592">
            <w:pPr>
              <w:pStyle w:val="Default"/>
              <w:jc w:val="both"/>
              <w:rPr>
                <w:sz w:val="22"/>
                <w:szCs w:val="22"/>
                <w:lang w:val="hr-HR"/>
              </w:rPr>
            </w:pPr>
            <w:r>
              <w:rPr>
                <w:sz w:val="22"/>
                <w:szCs w:val="22"/>
                <w:lang w:val="hr-HR"/>
              </w:rPr>
              <w:t>Nakon završetka najmanje 6 mjeseci liječenja zbog TDV i PE</w:t>
            </w:r>
          </w:p>
        </w:tc>
        <w:tc>
          <w:tcPr>
            <w:tcW w:w="1264" w:type="pct"/>
            <w:shd w:val="clear" w:color="auto" w:fill="auto"/>
            <w:hideMark/>
          </w:tcPr>
          <w:p w14:paraId="34054323" w14:textId="77777777" w:rsidR="00E659A5" w:rsidRDefault="00C21592">
            <w:pPr>
              <w:jc w:val="both"/>
            </w:pPr>
            <w:r>
              <w:t>10 mg jednom dnevno</w:t>
            </w:r>
          </w:p>
          <w:p w14:paraId="48ED6DAE" w14:textId="77777777" w:rsidR="00E659A5" w:rsidRDefault="00C21592">
            <w:pPr>
              <w:jc w:val="both"/>
            </w:pPr>
            <w:r>
              <w:t>ili 20 mg jednom dnevno</w:t>
            </w:r>
          </w:p>
        </w:tc>
        <w:tc>
          <w:tcPr>
            <w:tcW w:w="1224" w:type="pct"/>
            <w:shd w:val="clear" w:color="auto" w:fill="auto"/>
            <w:hideMark/>
          </w:tcPr>
          <w:p w14:paraId="57958F7D" w14:textId="77777777" w:rsidR="00E659A5" w:rsidRDefault="00C21592">
            <w:pPr>
              <w:jc w:val="both"/>
            </w:pPr>
            <w:r>
              <w:t>10 mg</w:t>
            </w:r>
          </w:p>
          <w:p w14:paraId="1FAEA21A" w14:textId="77777777" w:rsidR="00E659A5" w:rsidRDefault="00C21592">
            <w:pPr>
              <w:jc w:val="both"/>
            </w:pPr>
            <w:r>
              <w:t>ili 20 mg</w:t>
            </w:r>
          </w:p>
        </w:tc>
      </w:tr>
    </w:tbl>
    <w:p w14:paraId="15197B68" w14:textId="77777777" w:rsidR="00E659A5" w:rsidRDefault="00E659A5">
      <w:pPr>
        <w:widowControl w:val="0"/>
        <w:jc w:val="both"/>
        <w:rPr>
          <w:rFonts w:eastAsia="Calibri"/>
        </w:rPr>
      </w:pPr>
    </w:p>
    <w:p w14:paraId="0D9FFACF" w14:textId="77777777" w:rsidR="00E659A5" w:rsidRDefault="00C21592">
      <w:pPr>
        <w:widowControl w:val="0"/>
        <w:jc w:val="both"/>
        <w:rPr>
          <w:rFonts w:eastAsia="Calibri"/>
        </w:rPr>
      </w:pPr>
      <w:r>
        <w:t>Ukoliko pacijent propusti dozu u periodu uzimanja lijeka u dozi od 15 mg dva puta na dan (od 1. do 21. dana), mora uzeti lijek Xerdoxo odmah kako bi osigurao unos od 30 mg lijeka Xerdoxo u tom danu. U tom slučaju mogu se odjednom uzeti dvije tablete od 15 mg. Sljedećeg dana pacijent mora da nastavi da redovno uzima 15 mg dva puta na dan, kao što je preporučeno.</w:t>
      </w:r>
    </w:p>
    <w:p w14:paraId="4D658940" w14:textId="77777777" w:rsidR="00E659A5" w:rsidRDefault="00E659A5">
      <w:pPr>
        <w:widowControl w:val="0"/>
        <w:jc w:val="both"/>
        <w:rPr>
          <w:rFonts w:eastAsia="Calibri"/>
        </w:rPr>
      </w:pPr>
    </w:p>
    <w:p w14:paraId="4B4F42FA" w14:textId="77777777" w:rsidR="00E659A5" w:rsidRDefault="00C21592">
      <w:pPr>
        <w:widowControl w:val="0"/>
        <w:jc w:val="both"/>
        <w:rPr>
          <w:rFonts w:eastAsia="Calibri"/>
        </w:rPr>
      </w:pPr>
      <w:r>
        <w:t>Ukoliko pacijent propusti da uzme dozu u periodu uzimanja lijeka jednom dnevno, mora da uzme lijek Xerdoxo odmah i sljedećeg dana da nastavi sa uzimanjem doze jednom dnevno, kao što je preporučeno. U istom danu ne smiju se uzeti 2 doze kako bi se nadoknadila propuštena doza.</w:t>
      </w:r>
    </w:p>
    <w:p w14:paraId="3AC94BC9" w14:textId="77777777" w:rsidR="00E659A5" w:rsidRDefault="00E659A5">
      <w:pPr>
        <w:widowControl w:val="0"/>
        <w:jc w:val="both"/>
        <w:rPr>
          <w:rFonts w:eastAsia="Calibri"/>
        </w:rPr>
      </w:pPr>
    </w:p>
    <w:p w14:paraId="576D2520" w14:textId="77777777" w:rsidR="00E659A5" w:rsidRDefault="00C21592" w:rsidP="00585B9B">
      <w:pPr>
        <w:widowControl w:val="0"/>
        <w:jc w:val="both"/>
        <w:rPr>
          <w:rFonts w:eastAsia="Calibri"/>
          <w:i/>
          <w:iCs/>
        </w:rPr>
      </w:pPr>
      <w:r>
        <w:rPr>
          <w:rFonts w:eastAsia="Calibri"/>
          <w:i/>
          <w:iCs/>
        </w:rPr>
        <w:t xml:space="preserve">Liječenje VTE-a i prevencija ponavljajućeg VTE-a kod djece i adolescenata </w:t>
      </w:r>
    </w:p>
    <w:p w14:paraId="113624EE" w14:textId="77777777" w:rsidR="00E659A5" w:rsidRDefault="00C21592" w:rsidP="00BC6CEA">
      <w:pPr>
        <w:widowControl w:val="0"/>
        <w:jc w:val="both"/>
        <w:rPr>
          <w:rFonts w:eastAsia="Calibri"/>
        </w:rPr>
      </w:pPr>
      <w:r>
        <w:rPr>
          <w:rFonts w:eastAsia="Calibri"/>
        </w:rPr>
        <w:t>Terapiju lijekom Xerdoxo kod djece i adolescenata uzrasta mlađeg od 18 godina potrebno je započeti nakon najmanje 5 dana početnog liječenja parenteralnim antikoagulansom (vidjeti dio 5.1).</w:t>
      </w:r>
    </w:p>
    <w:p w14:paraId="65336BF1" w14:textId="77777777" w:rsidR="00E659A5" w:rsidRDefault="00E659A5">
      <w:pPr>
        <w:widowControl w:val="0"/>
        <w:jc w:val="both"/>
        <w:rPr>
          <w:rFonts w:eastAsia="Calibri"/>
        </w:rPr>
      </w:pPr>
    </w:p>
    <w:p w14:paraId="00C0E036" w14:textId="75EF4CBD" w:rsidR="00E659A5" w:rsidRDefault="00C21592">
      <w:pPr>
        <w:widowControl w:val="0"/>
        <w:jc w:val="both"/>
        <w:rPr>
          <w:rFonts w:eastAsia="Calibri"/>
        </w:rPr>
      </w:pPr>
      <w:r>
        <w:rPr>
          <w:rFonts w:eastAsia="Calibri"/>
        </w:rPr>
        <w:t xml:space="preserve">Doza za djecu i adolescente izračunava se na osnovu tjelesne </w:t>
      </w:r>
      <w:r w:rsidR="00585B9B">
        <w:rPr>
          <w:rFonts w:eastAsia="Calibri"/>
        </w:rPr>
        <w:t>mase</w:t>
      </w:r>
      <w:r>
        <w:rPr>
          <w:rFonts w:eastAsia="Calibri"/>
        </w:rPr>
        <w:t xml:space="preserve">. </w:t>
      </w:r>
    </w:p>
    <w:p w14:paraId="02661B10" w14:textId="785FEF16" w:rsidR="00E659A5" w:rsidRDefault="00C21592" w:rsidP="00C168EA">
      <w:pPr>
        <w:widowControl w:val="0"/>
        <w:numPr>
          <w:ilvl w:val="0"/>
          <w:numId w:val="3"/>
        </w:numPr>
        <w:tabs>
          <w:tab w:val="clear" w:pos="567"/>
          <w:tab w:val="left" w:pos="804"/>
          <w:tab w:val="left" w:pos="805"/>
        </w:tabs>
        <w:autoSpaceDE w:val="0"/>
        <w:autoSpaceDN w:val="0"/>
        <w:spacing w:line="240" w:lineRule="auto"/>
        <w:ind w:left="804"/>
        <w:jc w:val="both"/>
        <w:rPr>
          <w:szCs w:val="24"/>
          <w:lang w:val="en-US"/>
        </w:rPr>
      </w:pPr>
      <w:r>
        <w:rPr>
          <w:szCs w:val="24"/>
        </w:rPr>
        <w:t xml:space="preserve">Tjelesna </w:t>
      </w:r>
      <w:r w:rsidR="00585B9B">
        <w:rPr>
          <w:szCs w:val="24"/>
        </w:rPr>
        <w:t xml:space="preserve">masa </w:t>
      </w:r>
      <w:r>
        <w:rPr>
          <w:szCs w:val="24"/>
        </w:rPr>
        <w:t>od 50 kg ili više:</w:t>
      </w:r>
    </w:p>
    <w:p w14:paraId="2228E512" w14:textId="77777777" w:rsidR="00E659A5" w:rsidRDefault="00C21592" w:rsidP="00C168EA">
      <w:pPr>
        <w:widowControl w:val="0"/>
        <w:tabs>
          <w:tab w:val="clear" w:pos="567"/>
          <w:tab w:val="left" w:pos="804"/>
          <w:tab w:val="left" w:pos="805"/>
        </w:tabs>
        <w:autoSpaceDE w:val="0"/>
        <w:autoSpaceDN w:val="0"/>
        <w:spacing w:line="240" w:lineRule="auto"/>
        <w:ind w:left="804"/>
        <w:jc w:val="both"/>
        <w:rPr>
          <w:szCs w:val="24"/>
          <w:lang w:val="en-US"/>
        </w:rPr>
      </w:pPr>
      <w:r>
        <w:rPr>
          <w:szCs w:val="24"/>
          <w:lang w:val="en-US"/>
        </w:rPr>
        <w:t>preporučuje se doza od 20 mg rivaroksabana jednom dnevno. To je maksimalna dnevna doza.</w:t>
      </w:r>
    </w:p>
    <w:p w14:paraId="15E8A19E" w14:textId="136405B9" w:rsidR="00E659A5" w:rsidRDefault="00C21592" w:rsidP="00C168EA">
      <w:pPr>
        <w:widowControl w:val="0"/>
        <w:numPr>
          <w:ilvl w:val="0"/>
          <w:numId w:val="3"/>
        </w:numPr>
        <w:tabs>
          <w:tab w:val="clear" w:pos="567"/>
          <w:tab w:val="left" w:pos="804"/>
          <w:tab w:val="left" w:pos="805"/>
        </w:tabs>
        <w:autoSpaceDE w:val="0"/>
        <w:autoSpaceDN w:val="0"/>
        <w:spacing w:line="240" w:lineRule="auto"/>
        <w:ind w:left="804" w:hanging="569"/>
        <w:jc w:val="both"/>
        <w:rPr>
          <w:szCs w:val="24"/>
          <w:lang w:val="en-US"/>
        </w:rPr>
      </w:pPr>
      <w:r>
        <w:rPr>
          <w:szCs w:val="24"/>
          <w:lang w:val="en-US"/>
        </w:rPr>
        <w:t xml:space="preserve">Tjelesna </w:t>
      </w:r>
      <w:r w:rsidR="00585B9B">
        <w:rPr>
          <w:szCs w:val="24"/>
          <w:lang w:val="en-US"/>
        </w:rPr>
        <w:t xml:space="preserve">masa </w:t>
      </w:r>
      <w:r>
        <w:rPr>
          <w:szCs w:val="24"/>
          <w:lang w:val="en-US"/>
        </w:rPr>
        <w:t>od 30 do 50</w:t>
      </w:r>
      <w:r>
        <w:rPr>
          <w:spacing w:val="-5"/>
          <w:szCs w:val="24"/>
          <w:lang w:val="en-US"/>
        </w:rPr>
        <w:t> kg</w:t>
      </w:r>
      <w:r>
        <w:rPr>
          <w:szCs w:val="24"/>
          <w:lang w:val="en-US"/>
        </w:rPr>
        <w:t>:</w:t>
      </w:r>
    </w:p>
    <w:p w14:paraId="188CECD3" w14:textId="77777777" w:rsidR="00E659A5" w:rsidRDefault="00C21592" w:rsidP="00C168EA">
      <w:pPr>
        <w:widowControl w:val="0"/>
        <w:tabs>
          <w:tab w:val="clear" w:pos="567"/>
          <w:tab w:val="left" w:pos="804"/>
          <w:tab w:val="left" w:pos="805"/>
        </w:tabs>
        <w:autoSpaceDE w:val="0"/>
        <w:autoSpaceDN w:val="0"/>
        <w:spacing w:before="1" w:line="253" w:lineRule="exact"/>
        <w:ind w:left="851"/>
        <w:jc w:val="both"/>
        <w:rPr>
          <w:szCs w:val="24"/>
          <w:lang w:val="en-US"/>
        </w:rPr>
      </w:pPr>
      <w:r>
        <w:rPr>
          <w:szCs w:val="24"/>
        </w:rPr>
        <w:t>preporučuje se doza od 15 mg rivaroksabana jednom dnevno. To je maksimalna dnevna doza.</w:t>
      </w:r>
    </w:p>
    <w:p w14:paraId="7166223E" w14:textId="0AA2CCAE" w:rsidR="00E659A5" w:rsidRDefault="00C21592" w:rsidP="00C168EA">
      <w:pPr>
        <w:widowControl w:val="0"/>
        <w:numPr>
          <w:ilvl w:val="0"/>
          <w:numId w:val="3"/>
        </w:numPr>
        <w:tabs>
          <w:tab w:val="clear" w:pos="567"/>
          <w:tab w:val="left" w:pos="804"/>
          <w:tab w:val="left" w:pos="805"/>
        </w:tabs>
        <w:autoSpaceDE w:val="0"/>
        <w:autoSpaceDN w:val="0"/>
        <w:spacing w:line="240" w:lineRule="auto"/>
        <w:ind w:left="804"/>
        <w:jc w:val="both"/>
        <w:rPr>
          <w:szCs w:val="24"/>
          <w:lang w:val="en-US"/>
        </w:rPr>
      </w:pPr>
      <w:r>
        <w:rPr>
          <w:szCs w:val="24"/>
          <w:lang w:val="en-US"/>
        </w:rPr>
        <w:t xml:space="preserve">Za pacijente tjelesne </w:t>
      </w:r>
      <w:r w:rsidR="00585B9B">
        <w:rPr>
          <w:szCs w:val="24"/>
          <w:lang w:val="en-US"/>
        </w:rPr>
        <w:t xml:space="preserve">mase </w:t>
      </w:r>
      <w:r>
        <w:rPr>
          <w:szCs w:val="24"/>
          <w:lang w:val="en-US"/>
        </w:rPr>
        <w:t xml:space="preserve">manje od 30 kg vidjeti </w:t>
      </w:r>
      <w:r w:rsidR="00585B9B">
        <w:rPr>
          <w:szCs w:val="24"/>
          <w:lang w:val="en-US"/>
        </w:rPr>
        <w:t>S</w:t>
      </w:r>
      <w:r>
        <w:rPr>
          <w:szCs w:val="24"/>
          <w:lang w:val="en-US"/>
        </w:rPr>
        <w:t xml:space="preserve">ažetak </w:t>
      </w:r>
      <w:r w:rsidR="00585B9B">
        <w:rPr>
          <w:szCs w:val="24"/>
          <w:lang w:val="en-US"/>
        </w:rPr>
        <w:t>karakteristika</w:t>
      </w:r>
      <w:r>
        <w:rPr>
          <w:szCs w:val="24"/>
          <w:lang w:val="en-US"/>
        </w:rPr>
        <w:t xml:space="preserve"> lijeka za rivaroksaban granule za oralnu suspenziju.</w:t>
      </w:r>
    </w:p>
    <w:p w14:paraId="763CA6EF" w14:textId="77777777" w:rsidR="00E659A5" w:rsidRDefault="00E659A5" w:rsidP="00C168EA">
      <w:pPr>
        <w:widowControl w:val="0"/>
        <w:tabs>
          <w:tab w:val="left" w:pos="804"/>
          <w:tab w:val="left" w:pos="805"/>
        </w:tabs>
        <w:autoSpaceDE w:val="0"/>
        <w:autoSpaceDN w:val="0"/>
        <w:ind w:left="236"/>
        <w:jc w:val="both"/>
        <w:rPr>
          <w:szCs w:val="24"/>
          <w:lang w:val="en-US"/>
        </w:rPr>
      </w:pPr>
    </w:p>
    <w:p w14:paraId="0FDD118B" w14:textId="4E5C62ED" w:rsidR="00E659A5" w:rsidRDefault="00C21592" w:rsidP="00585B9B">
      <w:pPr>
        <w:widowControl w:val="0"/>
        <w:jc w:val="both"/>
        <w:rPr>
          <w:rFonts w:eastAsia="Calibri"/>
        </w:rPr>
      </w:pPr>
      <w:r>
        <w:rPr>
          <w:rFonts w:eastAsia="Calibri"/>
        </w:rPr>
        <w:t xml:space="preserve">Potrebno je redovno pratiti tjelesnu </w:t>
      </w:r>
      <w:r w:rsidR="00585B9B">
        <w:rPr>
          <w:rFonts w:eastAsia="Calibri"/>
        </w:rPr>
        <w:t xml:space="preserve">masu </w:t>
      </w:r>
      <w:r>
        <w:rPr>
          <w:rFonts w:eastAsia="Calibri"/>
        </w:rPr>
        <w:t xml:space="preserve">djeteta i revidirati dozu. Tako će se </w:t>
      </w:r>
      <w:r w:rsidR="00585B9B">
        <w:rPr>
          <w:rFonts w:eastAsia="Calibri"/>
        </w:rPr>
        <w:t xml:space="preserve">obezbjediti </w:t>
      </w:r>
      <w:r>
        <w:rPr>
          <w:rFonts w:eastAsia="Calibri"/>
        </w:rPr>
        <w:t xml:space="preserve">održavanje terapijske doze. Doza se smije prilagoditi samo na osnovu promjene tjelesne </w:t>
      </w:r>
      <w:r w:rsidR="00585B9B">
        <w:rPr>
          <w:rFonts w:eastAsia="Calibri"/>
        </w:rPr>
        <w:t>mase</w:t>
      </w:r>
      <w:r>
        <w:rPr>
          <w:rFonts w:eastAsia="Calibri"/>
        </w:rPr>
        <w:t>.</w:t>
      </w:r>
    </w:p>
    <w:p w14:paraId="2EF6B892" w14:textId="65C8148E" w:rsidR="00E659A5" w:rsidRDefault="00C21592" w:rsidP="00BC6CEA">
      <w:pPr>
        <w:widowControl w:val="0"/>
        <w:jc w:val="both"/>
        <w:rPr>
          <w:rFonts w:eastAsia="Calibri"/>
        </w:rPr>
      </w:pPr>
      <w:r>
        <w:rPr>
          <w:rFonts w:eastAsia="Calibri"/>
        </w:rPr>
        <w:t xml:space="preserve">Kod djece i adolescenata potrebno je nastaviti liječenje najmanje 3 mjeseca. Liječenje se može produžiti do najviše 12 mjeseci kada je to klinički potrebno. Kod primjene kod djece, nema dostupnih podataka o smanjenju doze nakon 6 mjeseci liječenja. Kod svakog pacijenta pojedinačno, potrebno je procijeniti </w:t>
      </w:r>
      <w:r>
        <w:rPr>
          <w:rFonts w:eastAsia="Calibri"/>
        </w:rPr>
        <w:lastRenderedPageBreak/>
        <w:t xml:space="preserve">odnos koristi i rizika kontinuirane terapije nakon 3 mjeseca, uzimajući u obzir rizik od ponavljajuće tromboze </w:t>
      </w:r>
      <w:r w:rsidR="00E849E5">
        <w:rPr>
          <w:rFonts w:eastAsia="Calibri"/>
        </w:rPr>
        <w:t xml:space="preserve">u odnosu na </w:t>
      </w:r>
      <w:r>
        <w:rPr>
          <w:rFonts w:eastAsia="Calibri"/>
        </w:rPr>
        <w:t>potencijaln</w:t>
      </w:r>
      <w:r w:rsidR="00E849E5">
        <w:rPr>
          <w:rFonts w:eastAsia="Calibri"/>
        </w:rPr>
        <w:t>i</w:t>
      </w:r>
      <w:r>
        <w:rPr>
          <w:rFonts w:eastAsia="Calibri"/>
        </w:rPr>
        <w:t xml:space="preserve"> rizik od krvarenja.</w:t>
      </w:r>
    </w:p>
    <w:p w14:paraId="4A137FEC" w14:textId="77777777" w:rsidR="00E659A5" w:rsidRDefault="00E659A5" w:rsidP="00BC6CEA">
      <w:pPr>
        <w:widowControl w:val="0"/>
        <w:jc w:val="both"/>
        <w:rPr>
          <w:rFonts w:eastAsia="Calibri"/>
        </w:rPr>
      </w:pPr>
    </w:p>
    <w:p w14:paraId="691F5421" w14:textId="77777777" w:rsidR="00E659A5" w:rsidRDefault="00C21592">
      <w:pPr>
        <w:widowControl w:val="0"/>
        <w:jc w:val="both"/>
        <w:rPr>
          <w:rFonts w:eastAsia="Calibri"/>
        </w:rPr>
      </w:pPr>
      <w:r>
        <w:rPr>
          <w:rFonts w:eastAsia="Calibri"/>
        </w:rPr>
        <w:t>Ako se propusti doza, potrebno je uzeti propuštenu dozu što je prije moguće nakon što se to primijeti, ali samo u toku istog dana. Ako to nije moguće, potrebno je da pacijent preskoči dozu i nastavi sa uzimanjem sljedeće doze kako je propisano. Pacijent ne smije uzeti dvije doze kako bi nadoknadio propuštenu dozu.</w:t>
      </w:r>
    </w:p>
    <w:p w14:paraId="71EB5632" w14:textId="77777777" w:rsidR="00E659A5" w:rsidRDefault="00E659A5">
      <w:pPr>
        <w:widowControl w:val="0"/>
        <w:jc w:val="both"/>
        <w:rPr>
          <w:rFonts w:eastAsia="Calibri"/>
        </w:rPr>
      </w:pPr>
    </w:p>
    <w:p w14:paraId="6C569EB1" w14:textId="77777777" w:rsidR="00E659A5" w:rsidRDefault="00C21592">
      <w:pPr>
        <w:pStyle w:val="Default"/>
        <w:jc w:val="both"/>
        <w:rPr>
          <w:sz w:val="22"/>
          <w:szCs w:val="22"/>
          <w:lang w:val="hr-HR"/>
        </w:rPr>
      </w:pPr>
      <w:r>
        <w:rPr>
          <w:i/>
          <w:iCs/>
          <w:sz w:val="22"/>
          <w:szCs w:val="22"/>
          <w:lang w:val="hr-HR"/>
        </w:rPr>
        <w:t>Prelazak sa antagonista vitamina K (VKA) na lijek Xerdoxo</w:t>
      </w:r>
    </w:p>
    <w:p w14:paraId="5212E71C" w14:textId="77777777" w:rsidR="00E659A5" w:rsidRDefault="00C21592">
      <w:pPr>
        <w:pStyle w:val="Default"/>
        <w:jc w:val="both"/>
        <w:rPr>
          <w:sz w:val="22"/>
          <w:szCs w:val="22"/>
          <w:lang w:val="hr-HR"/>
        </w:rPr>
      </w:pPr>
      <w:r>
        <w:rPr>
          <w:sz w:val="22"/>
          <w:szCs w:val="22"/>
          <w:lang w:val="hr-HR"/>
        </w:rPr>
        <w:t>Pacijenti koji uzimaju ljekove za prevenciju moždanog udara i sistemske embolije, terapiju VKA treba da prekinu, a terapiju lijekom Xerdoxo treba da započnu kada je</w:t>
      </w:r>
      <w:r>
        <w:rPr>
          <w:i/>
          <w:iCs/>
          <w:sz w:val="22"/>
          <w:szCs w:val="22"/>
          <w:lang w:val="hr-HR"/>
        </w:rPr>
        <w:t xml:space="preserve"> </w:t>
      </w:r>
      <w:r>
        <w:rPr>
          <w:sz w:val="22"/>
          <w:szCs w:val="22"/>
          <w:lang w:val="hr-HR"/>
        </w:rPr>
        <w:t>INR ≤ 3,0.</w:t>
      </w:r>
    </w:p>
    <w:p w14:paraId="3A38EBEC" w14:textId="77777777" w:rsidR="00E659A5" w:rsidRDefault="00C21592">
      <w:pPr>
        <w:widowControl w:val="0"/>
        <w:jc w:val="both"/>
      </w:pPr>
      <w:r>
        <w:t>Pacijenti koji se liječe zbog TDV, PE ili uzimaju ljekove za prevenciju recidiva kod odraslih i terapiju VTE i prevenciju ponavljajućeg VTE kod pedijatrijskih pacijenata, terapiju VKA treba da prekinu, a terapiju lijekom Xerdoxo treba da započnu kada je INR ≤ 2,5.</w:t>
      </w:r>
    </w:p>
    <w:p w14:paraId="34BF92E7" w14:textId="77777777" w:rsidR="00E659A5" w:rsidRDefault="00C21592">
      <w:pPr>
        <w:widowControl w:val="0"/>
        <w:jc w:val="both"/>
        <w:rPr>
          <w:rFonts w:eastAsia="Calibri"/>
        </w:rPr>
      </w:pPr>
      <w:r>
        <w:t>Kada pacijenti prelaze sa terapije VKA na lijek Xerdoxo, vrijednosti INR lažno će se povećati nakon uzimanja lijeka Xerdoxo. INR nije odgovarajuća mjera antikoagulantne aktivnosti lijeka Xerdoxo i stoga se ne smije koristiti (vidjeti dio 4.5).</w:t>
      </w:r>
    </w:p>
    <w:p w14:paraId="34737D6A" w14:textId="77777777" w:rsidR="00E659A5" w:rsidRDefault="00E659A5">
      <w:pPr>
        <w:widowControl w:val="0"/>
        <w:jc w:val="both"/>
        <w:rPr>
          <w:rFonts w:eastAsia="Calibri"/>
        </w:rPr>
      </w:pPr>
    </w:p>
    <w:p w14:paraId="4D9F08A6" w14:textId="77777777" w:rsidR="00E659A5" w:rsidRDefault="00C21592">
      <w:pPr>
        <w:pStyle w:val="Default"/>
        <w:jc w:val="both"/>
        <w:rPr>
          <w:sz w:val="22"/>
          <w:szCs w:val="22"/>
          <w:lang w:val="hr-HR"/>
        </w:rPr>
      </w:pPr>
      <w:r>
        <w:rPr>
          <w:i/>
          <w:iCs/>
          <w:sz w:val="22"/>
          <w:szCs w:val="22"/>
          <w:lang w:val="hr-HR"/>
        </w:rPr>
        <w:t>Prelazak sa lijeka Xerdoxo na antagoniste vitamina K (VKA)</w:t>
      </w:r>
    </w:p>
    <w:p w14:paraId="691BAA89" w14:textId="77777777" w:rsidR="00E659A5" w:rsidRDefault="00C21592">
      <w:pPr>
        <w:pStyle w:val="Default"/>
        <w:jc w:val="both"/>
        <w:rPr>
          <w:sz w:val="22"/>
          <w:szCs w:val="22"/>
          <w:lang w:val="hr-HR"/>
        </w:rPr>
      </w:pPr>
      <w:r>
        <w:rPr>
          <w:sz w:val="22"/>
          <w:szCs w:val="22"/>
          <w:lang w:val="hr-HR"/>
        </w:rPr>
        <w:t>Postoji mogućnost za neadekvatnu antikoagulaciju tokom prelaska sa lijeka Xerdoxo na VKA. Tokom prelaska na zamjenski antikoagulans potrebno je osigurati neprekidnu adekvatnu antikoagulaciju. Mora se uzeti u obzir da lijek Xerdoxo može doprinijeti povišenom INR-u.</w:t>
      </w:r>
    </w:p>
    <w:p w14:paraId="656A28A0" w14:textId="77777777" w:rsidR="00E659A5" w:rsidRDefault="00C21592">
      <w:pPr>
        <w:pStyle w:val="Default"/>
        <w:jc w:val="both"/>
        <w:rPr>
          <w:sz w:val="22"/>
          <w:szCs w:val="22"/>
          <w:lang w:val="hr-HR"/>
        </w:rPr>
      </w:pPr>
      <w:r>
        <w:rPr>
          <w:sz w:val="22"/>
          <w:szCs w:val="22"/>
          <w:lang w:val="hr-HR"/>
        </w:rPr>
        <w:t>Ako pacijent prelazi sa lijeka Xerdoxo na VKA, oba lijeka se moraju davati istovremeno dok vrijednost INR ne bude ≥ 2,0. Tokom prva dva dana perioda prelaska mora se koristiti standardno početno doziranje VKA, nakon čega slijedi doziranje VKA prema rezultatima mjerenja INR. Dok pacijenti istovremeno uzimaju lijek Xerdoxo i VKA, INR se ne smije određivati ako je prošlo manje od 24 sata od prethodne doze, nego se mora odrediti prije sljedeće doze lijeka Xerdoxo. Nakon što se lijek Xerdoxo ukine, INR se može pouzdano izmjeriti najmanje 24 sata nakon posljednje doze (vidjeti djelove 4.5 i 5.2).</w:t>
      </w:r>
    </w:p>
    <w:p w14:paraId="34A580AE" w14:textId="77777777" w:rsidR="00E659A5" w:rsidRDefault="00E659A5">
      <w:pPr>
        <w:pStyle w:val="Default"/>
        <w:jc w:val="both"/>
        <w:rPr>
          <w:sz w:val="22"/>
          <w:szCs w:val="22"/>
          <w:lang w:val="hr-HR"/>
        </w:rPr>
      </w:pPr>
    </w:p>
    <w:p w14:paraId="4C466508" w14:textId="77777777" w:rsidR="00E659A5" w:rsidRDefault="00C21592">
      <w:pPr>
        <w:widowControl w:val="0"/>
        <w:ind w:right="-20"/>
        <w:jc w:val="both"/>
      </w:pPr>
      <w:r>
        <w:t xml:space="preserve">Pedijatrijski pacijenti: </w:t>
      </w:r>
    </w:p>
    <w:p w14:paraId="439ECB3C" w14:textId="77777777" w:rsidR="00E659A5" w:rsidRDefault="00C21592">
      <w:pPr>
        <w:widowControl w:val="0"/>
        <w:ind w:right="-20"/>
        <w:jc w:val="both"/>
      </w:pPr>
      <w:r>
        <w:t xml:space="preserve">Djeca koja prelaze sa lijeka Xerdoxo na terapiju antagonistom vitamina K, treba da nastave sa primjenom lijeka Xerdoxo još 48 sati nakon prve doze antagonista vitamina K. Nakon 2 dana istovremene primjene potrebno je odrediti INR prije uzimanja sljedeće planirane doze lijeka Xerdoxo. Savjetuje se nastavak istovremene primjene lijeka Xerdoxo i antagoniste vitamina K sve dok INR ne bude </w:t>
      </w:r>
      <w:r w:rsidR="00585B9B">
        <w:t xml:space="preserve"> </w:t>
      </w:r>
      <w:r>
        <w:t xml:space="preserve">≥ </w:t>
      </w:r>
      <w:r w:rsidR="00585B9B">
        <w:t xml:space="preserve"> </w:t>
      </w:r>
      <w:r>
        <w:t>2,0. Nakon što se prekine primjena lijeka Xerdoxo, INR se može pouzdano odrediti 24 sata nakon posl</w:t>
      </w:r>
      <w:r w:rsidR="00585B9B">
        <w:t>e</w:t>
      </w:r>
      <w:r>
        <w:t>denje doze (vidjeti prethodni tekst i dio 4.5).</w:t>
      </w:r>
    </w:p>
    <w:p w14:paraId="3DE782C8" w14:textId="77777777" w:rsidR="00E659A5" w:rsidRDefault="00E659A5">
      <w:pPr>
        <w:widowControl w:val="0"/>
        <w:ind w:right="-20"/>
        <w:jc w:val="both"/>
      </w:pPr>
    </w:p>
    <w:p w14:paraId="7590FF28" w14:textId="77777777" w:rsidR="00E659A5" w:rsidRDefault="00C21592">
      <w:pPr>
        <w:pStyle w:val="Default"/>
        <w:jc w:val="both"/>
        <w:rPr>
          <w:sz w:val="22"/>
          <w:szCs w:val="22"/>
          <w:lang w:val="hr-HR"/>
        </w:rPr>
      </w:pPr>
      <w:r>
        <w:rPr>
          <w:i/>
          <w:iCs/>
          <w:sz w:val="22"/>
          <w:szCs w:val="22"/>
          <w:lang w:val="hr-HR"/>
        </w:rPr>
        <w:t>Prelazak sa parenteralnih antikoagulansa na lijek Xerdoxo</w:t>
      </w:r>
    </w:p>
    <w:p w14:paraId="56998CD4" w14:textId="77777777" w:rsidR="00E659A5" w:rsidRDefault="00C21592">
      <w:pPr>
        <w:widowControl w:val="0"/>
        <w:jc w:val="both"/>
        <w:rPr>
          <w:rFonts w:eastAsia="Calibri"/>
        </w:rPr>
      </w:pPr>
      <w:r>
        <w:t xml:space="preserve">Kod odraslih i pedijatrijskih pacijenata pacijenata koji trenutno primaju parenteralni antikoagulans, mora se prekinuti sa primjenom parenteralnog antikoagulansa i započeti sa primjenom lijeka Xerdoxo od 0 do 2 sata prije nego </w:t>
      </w:r>
      <w:r>
        <w:rPr>
          <w:lang w:val="sr-Latn-RS"/>
        </w:rPr>
        <w:t>što</w:t>
      </w:r>
      <w:r>
        <w:t xml:space="preserve"> bi bila sljedeća planirana primjena parenteralnog lijeka (npr. niskomolekularni heparini) ili u vrijeme ukidanja kontinuirano primjenjivanog parenteralnog lijeka (npr. intravenski nefrakcionisani heparin).</w:t>
      </w:r>
    </w:p>
    <w:p w14:paraId="5BBC7F0D" w14:textId="77777777" w:rsidR="00E659A5" w:rsidRDefault="00E659A5">
      <w:pPr>
        <w:widowControl w:val="0"/>
        <w:jc w:val="both"/>
        <w:rPr>
          <w:rFonts w:eastAsia="Calibri"/>
        </w:rPr>
      </w:pPr>
    </w:p>
    <w:p w14:paraId="6962EDFC" w14:textId="77777777" w:rsidR="00E659A5" w:rsidRDefault="00C21592">
      <w:pPr>
        <w:pStyle w:val="Default"/>
        <w:jc w:val="both"/>
        <w:rPr>
          <w:i/>
          <w:iCs/>
          <w:sz w:val="22"/>
          <w:szCs w:val="22"/>
          <w:lang w:val="hr-HR"/>
        </w:rPr>
      </w:pPr>
      <w:r>
        <w:rPr>
          <w:i/>
          <w:iCs/>
          <w:sz w:val="22"/>
          <w:szCs w:val="22"/>
          <w:lang w:val="hr-HR"/>
        </w:rPr>
        <w:t>Prelazak sa lijeka Xerdoxo na parenteralne antikoagulanse</w:t>
      </w:r>
    </w:p>
    <w:p w14:paraId="1350DBB4" w14:textId="77777777" w:rsidR="00E659A5" w:rsidRDefault="00C21592">
      <w:pPr>
        <w:pStyle w:val="Default"/>
        <w:rPr>
          <w:sz w:val="22"/>
          <w:szCs w:val="22"/>
        </w:rPr>
      </w:pPr>
      <w:r>
        <w:rPr>
          <w:sz w:val="22"/>
          <w:szCs w:val="22"/>
        </w:rPr>
        <w:t xml:space="preserve">Potrebno je prekinuti primjenu lijeka Xerdoxo i dati prvu dozu parenteralnog antikoagulansa u vrijeme kada bi se uzela sljedeća doza lijeka Xerdoxo. </w:t>
      </w:r>
    </w:p>
    <w:p w14:paraId="2009453C" w14:textId="77777777" w:rsidR="00E659A5" w:rsidRDefault="00E659A5">
      <w:pPr>
        <w:widowControl w:val="0"/>
        <w:jc w:val="both"/>
        <w:rPr>
          <w:rFonts w:eastAsia="Calibri"/>
        </w:rPr>
      </w:pPr>
    </w:p>
    <w:p w14:paraId="1EB1D528" w14:textId="77777777" w:rsidR="00E659A5" w:rsidRDefault="00C21592">
      <w:pPr>
        <w:pStyle w:val="Default"/>
        <w:jc w:val="both"/>
        <w:rPr>
          <w:sz w:val="22"/>
          <w:szCs w:val="22"/>
          <w:u w:val="single"/>
          <w:lang w:val="hr-HR"/>
        </w:rPr>
      </w:pPr>
      <w:r>
        <w:rPr>
          <w:iCs/>
          <w:sz w:val="22"/>
          <w:szCs w:val="22"/>
          <w:u w:val="single"/>
          <w:lang w:val="hr-HR"/>
        </w:rPr>
        <w:t>Posebne grupe pacijenata</w:t>
      </w:r>
    </w:p>
    <w:p w14:paraId="274B2883" w14:textId="77777777" w:rsidR="00E659A5" w:rsidRDefault="00C21592">
      <w:pPr>
        <w:pStyle w:val="Default"/>
        <w:jc w:val="both"/>
        <w:rPr>
          <w:color w:val="auto"/>
          <w:sz w:val="22"/>
          <w:szCs w:val="22"/>
          <w:lang w:val="hr-HR" w:eastAsia="en-US"/>
        </w:rPr>
      </w:pPr>
      <w:r>
        <w:rPr>
          <w:i/>
          <w:iCs/>
          <w:sz w:val="22"/>
          <w:szCs w:val="22"/>
          <w:lang w:val="hr-HR"/>
        </w:rPr>
        <w:t>Oštećenje funkcije bubrega</w:t>
      </w:r>
      <w:r>
        <w:rPr>
          <w:color w:val="auto"/>
          <w:sz w:val="22"/>
          <w:szCs w:val="22"/>
          <w:lang w:val="hr-HR" w:eastAsia="en-US"/>
        </w:rPr>
        <w:t xml:space="preserve"> </w:t>
      </w:r>
    </w:p>
    <w:p w14:paraId="095E0049" w14:textId="77777777" w:rsidR="00E659A5" w:rsidRDefault="00C21592">
      <w:pPr>
        <w:pStyle w:val="Default"/>
        <w:jc w:val="both"/>
        <w:rPr>
          <w:sz w:val="22"/>
          <w:szCs w:val="22"/>
          <w:lang w:val="hr-HR"/>
        </w:rPr>
      </w:pPr>
      <w:r>
        <w:rPr>
          <w:sz w:val="22"/>
          <w:szCs w:val="22"/>
          <w:lang w:val="hr-HR"/>
        </w:rPr>
        <w:t>Odrasli</w:t>
      </w:r>
    </w:p>
    <w:p w14:paraId="763DAA10" w14:textId="77777777" w:rsidR="00E659A5" w:rsidRDefault="00C21592">
      <w:pPr>
        <w:pStyle w:val="Default"/>
        <w:jc w:val="both"/>
        <w:rPr>
          <w:sz w:val="22"/>
          <w:szCs w:val="22"/>
          <w:lang w:val="hr-HR"/>
        </w:rPr>
      </w:pPr>
      <w:r>
        <w:rPr>
          <w:sz w:val="22"/>
          <w:szCs w:val="22"/>
          <w:lang w:val="hr-HR"/>
        </w:rPr>
        <w:t>Ograničeni klinički podaci za pacijente sa teškim oštećenjem funkcije bubrega (klirens kreatinina 15 - 29 ml/min) ukazuju na to da su koncentracije rivaroksabana u plazmi kod te populacije pacijenata značajno povišene. Stoga se lijek Xerdoxo kod tih pacijenata mora primjenjivati sa oprezom. Ne preporučuje se primjena kod pacijenata sa klirensom kreatinina &lt; 15 ml/min (vidjeti djelove 4.4 i 5.2).</w:t>
      </w:r>
    </w:p>
    <w:p w14:paraId="36B214D6" w14:textId="77777777" w:rsidR="00E659A5" w:rsidRDefault="00E659A5">
      <w:pPr>
        <w:pStyle w:val="Default"/>
        <w:jc w:val="both"/>
        <w:rPr>
          <w:sz w:val="22"/>
          <w:szCs w:val="22"/>
          <w:lang w:val="hr-HR"/>
        </w:rPr>
      </w:pPr>
    </w:p>
    <w:p w14:paraId="68D6144E" w14:textId="77777777" w:rsidR="00E659A5" w:rsidRDefault="00C21592">
      <w:pPr>
        <w:widowControl w:val="0"/>
        <w:jc w:val="both"/>
        <w:rPr>
          <w:rFonts w:eastAsia="Calibri"/>
        </w:rPr>
      </w:pPr>
      <w:r>
        <w:t>Kod pacijenata sa umjerenim (klirens kreatinina 30 – 49 ml/min) i teškim (klirens kreatinina 15 – 29 ml/min) oštećenjem funkcije bubrega primjenjuju se sljedeće preporuke za doziranje:</w:t>
      </w:r>
    </w:p>
    <w:p w14:paraId="77D5E7DF" w14:textId="77777777" w:rsidR="00E659A5" w:rsidRDefault="00E659A5">
      <w:pPr>
        <w:widowControl w:val="0"/>
        <w:jc w:val="both"/>
        <w:rPr>
          <w:rFonts w:eastAsia="Calibri"/>
        </w:rPr>
      </w:pPr>
    </w:p>
    <w:p w14:paraId="642D59A9" w14:textId="77777777" w:rsidR="00E659A5" w:rsidRDefault="00C21592">
      <w:pPr>
        <w:numPr>
          <w:ilvl w:val="0"/>
          <w:numId w:val="1"/>
        </w:numPr>
        <w:tabs>
          <w:tab w:val="clear" w:pos="567"/>
        </w:tabs>
        <w:autoSpaceDE w:val="0"/>
        <w:autoSpaceDN w:val="0"/>
        <w:adjustRightInd w:val="0"/>
        <w:spacing w:line="240" w:lineRule="auto"/>
        <w:ind w:left="567" w:hanging="567"/>
        <w:jc w:val="both"/>
        <w:rPr>
          <w:color w:val="000000"/>
          <w:lang w:eastAsia="hr-HR"/>
        </w:rPr>
      </w:pPr>
      <w:r>
        <w:rPr>
          <w:color w:val="000000"/>
          <w:lang w:eastAsia="hr-HR"/>
        </w:rPr>
        <w:t>Za prevenciju moždanog udara i sistemske embolije kod pacijenata sa nevalvularnom atrijalnom fibrilacijom, preporučena doza je 15 mg jednom dnevno (vidjeti dio 5.2).</w:t>
      </w:r>
    </w:p>
    <w:p w14:paraId="3AD587C7" w14:textId="77777777" w:rsidR="00E659A5" w:rsidRDefault="00E659A5">
      <w:pPr>
        <w:autoSpaceDE w:val="0"/>
        <w:autoSpaceDN w:val="0"/>
        <w:adjustRightInd w:val="0"/>
        <w:ind w:left="567" w:hanging="567"/>
        <w:jc w:val="both"/>
        <w:rPr>
          <w:color w:val="000000"/>
          <w:lang w:eastAsia="hr-HR"/>
        </w:rPr>
      </w:pPr>
    </w:p>
    <w:p w14:paraId="2CC6BFE6" w14:textId="77777777" w:rsidR="00E659A5" w:rsidRDefault="00C21592">
      <w:pPr>
        <w:numPr>
          <w:ilvl w:val="0"/>
          <w:numId w:val="1"/>
        </w:numPr>
        <w:tabs>
          <w:tab w:val="clear" w:pos="567"/>
        </w:tabs>
        <w:autoSpaceDE w:val="0"/>
        <w:autoSpaceDN w:val="0"/>
        <w:adjustRightInd w:val="0"/>
        <w:spacing w:line="240" w:lineRule="auto"/>
        <w:ind w:left="567" w:hanging="567"/>
        <w:jc w:val="both"/>
        <w:rPr>
          <w:color w:val="000000"/>
          <w:lang w:eastAsia="hr-HR"/>
        </w:rPr>
      </w:pPr>
      <w:r>
        <w:rPr>
          <w:color w:val="000000"/>
          <w:lang w:eastAsia="hr-HR"/>
        </w:rPr>
        <w:t>Za liječenje TDV, liječenje PE i prevenciju rekurentne TDV i PE: pacijent se mora liječiti dozom od 15 mg dva puta na dan prve 3 nedjelje. Nakon toga, kada je preporučena doza 20 mg jednom dnevno, treba razmotriti smanjenje doze sa 20 mg jednom dnevno na 15 mg jednom dnevno ako za pacijente procijenjen rizik od krvarenja premašuje rizik od rekurentne TDV i PE. Preporuka za uzimanje 15 mg zasniva se na farmakokinetičkom modelu i nije ispitivana u ovim kliničkim uslovima (vidjeti djelove 4.4, 5.1 i 5.2).</w:t>
      </w:r>
    </w:p>
    <w:p w14:paraId="5FBCB5E4" w14:textId="77777777" w:rsidR="00E659A5" w:rsidRDefault="00C21592">
      <w:pPr>
        <w:widowControl w:val="0"/>
        <w:ind w:left="567"/>
        <w:jc w:val="both"/>
        <w:rPr>
          <w:rFonts w:eastAsia="Calibri"/>
        </w:rPr>
      </w:pPr>
      <w:r>
        <w:rPr>
          <w:color w:val="000000"/>
          <w:lang w:eastAsia="hr-HR"/>
        </w:rPr>
        <w:t>Kada je preporučena doza 10 mg jednom dnevno, nije potrebno prilagođavanje preporučene doze.</w:t>
      </w:r>
    </w:p>
    <w:p w14:paraId="659AD5C6" w14:textId="77777777" w:rsidR="00E659A5" w:rsidRDefault="00E659A5">
      <w:pPr>
        <w:widowControl w:val="0"/>
        <w:jc w:val="both"/>
        <w:rPr>
          <w:rFonts w:eastAsia="Calibri"/>
        </w:rPr>
      </w:pPr>
    </w:p>
    <w:p w14:paraId="000806FE" w14:textId="77777777" w:rsidR="00E659A5" w:rsidRDefault="00C21592">
      <w:pPr>
        <w:widowControl w:val="0"/>
        <w:jc w:val="both"/>
        <w:rPr>
          <w:rFonts w:eastAsia="Calibri"/>
        </w:rPr>
      </w:pPr>
      <w:r>
        <w:t>Kod pacijenata sa blagim oštećenjem funkcije bubrega (klirens kreatinina 50 – 80 ml/min) dozu ne treba prilagođavati (vidjeti dio 5.2).</w:t>
      </w:r>
    </w:p>
    <w:p w14:paraId="4F00EDA1" w14:textId="77777777" w:rsidR="00E659A5" w:rsidRDefault="00E659A5">
      <w:pPr>
        <w:widowControl w:val="0"/>
        <w:jc w:val="both"/>
        <w:rPr>
          <w:rFonts w:eastAsia="Calibri"/>
          <w:i/>
          <w:iCs/>
        </w:rPr>
      </w:pPr>
    </w:p>
    <w:p w14:paraId="71A90B89" w14:textId="77777777" w:rsidR="00E659A5" w:rsidRDefault="00C21592">
      <w:pPr>
        <w:widowControl w:val="0"/>
        <w:jc w:val="both"/>
        <w:rPr>
          <w:rFonts w:eastAsia="Calibri"/>
        </w:rPr>
      </w:pPr>
      <w:r>
        <w:rPr>
          <w:rFonts w:eastAsia="Calibri"/>
          <w:i/>
          <w:iCs/>
        </w:rPr>
        <w:t>Pedijatrijska</w:t>
      </w:r>
      <w:r>
        <w:rPr>
          <w:rFonts w:eastAsia="Calibri"/>
        </w:rPr>
        <w:t xml:space="preserve"> </w:t>
      </w:r>
      <w:r>
        <w:rPr>
          <w:rFonts w:eastAsia="Calibri"/>
          <w:i/>
          <w:iCs/>
        </w:rPr>
        <w:t>populacija</w:t>
      </w:r>
      <w:r>
        <w:rPr>
          <w:rFonts w:eastAsia="Calibri"/>
        </w:rPr>
        <w:t xml:space="preserve">: </w:t>
      </w:r>
    </w:p>
    <w:p w14:paraId="7D2C6A45" w14:textId="77777777" w:rsidR="00E659A5" w:rsidRDefault="00E659A5">
      <w:pPr>
        <w:widowControl w:val="0"/>
        <w:jc w:val="both"/>
        <w:rPr>
          <w:rFonts w:eastAsia="Calibri"/>
        </w:rPr>
      </w:pPr>
    </w:p>
    <w:p w14:paraId="2BF5E1AA" w14:textId="77777777" w:rsidR="00E659A5" w:rsidRDefault="00C21592">
      <w:pPr>
        <w:widowControl w:val="0"/>
        <w:numPr>
          <w:ilvl w:val="0"/>
          <w:numId w:val="4"/>
        </w:numPr>
        <w:ind w:left="567"/>
        <w:jc w:val="both"/>
        <w:rPr>
          <w:rFonts w:eastAsia="Calibri"/>
        </w:rPr>
      </w:pPr>
      <w:r>
        <w:rPr>
          <w:rFonts w:eastAsia="Calibri"/>
        </w:rPr>
        <w:t>Djeca i adolescenti sa blago oštećenom funkcijom bubrega (brzina glomerularne filtracije 50 – 80 ml/min/1,73 m</w:t>
      </w:r>
      <w:r>
        <w:rPr>
          <w:rFonts w:eastAsia="Calibri"/>
          <w:vertAlign w:val="superscript"/>
        </w:rPr>
        <w:t xml:space="preserve">2 </w:t>
      </w:r>
      <w:r>
        <w:rPr>
          <w:rFonts w:eastAsia="Calibri"/>
        </w:rPr>
        <w:t xml:space="preserve">): nije potrebno prilagođavanje doze, na osnovu podataka kod odraslih i ograničenih podataka kod pedijatrijskih pacijenata (vidjeti dio 5.2). </w:t>
      </w:r>
    </w:p>
    <w:p w14:paraId="12DEEF55" w14:textId="77777777" w:rsidR="00E659A5" w:rsidRDefault="00C21592">
      <w:pPr>
        <w:widowControl w:val="0"/>
        <w:numPr>
          <w:ilvl w:val="0"/>
          <w:numId w:val="4"/>
        </w:numPr>
        <w:ind w:left="567"/>
        <w:jc w:val="both"/>
        <w:rPr>
          <w:rFonts w:eastAsia="Calibri"/>
        </w:rPr>
      </w:pPr>
      <w:r>
        <w:rPr>
          <w:rFonts w:eastAsia="Calibri"/>
        </w:rPr>
        <w:t>Djeca i adolescenti sa umjereno ili teško oštećenom funkcijom bubrega (brzina glomerularne filtracije &lt; 50 ml/min/1,73 m</w:t>
      </w:r>
      <w:r>
        <w:rPr>
          <w:rFonts w:eastAsia="Calibri"/>
          <w:vertAlign w:val="superscript"/>
        </w:rPr>
        <w:t>2</w:t>
      </w:r>
      <w:r>
        <w:rPr>
          <w:rFonts w:eastAsia="Calibri"/>
        </w:rPr>
        <w:t xml:space="preserve"> ): Prijena lijeka Xerdoxo se ne preporučuje jer nema dostupnih kliničkih podataka (vidjeti dio 4.4).</w:t>
      </w:r>
    </w:p>
    <w:p w14:paraId="0D9048AE" w14:textId="77777777" w:rsidR="00E659A5" w:rsidRDefault="00E659A5">
      <w:pPr>
        <w:widowControl w:val="0"/>
        <w:jc w:val="both"/>
        <w:rPr>
          <w:rFonts w:eastAsia="Calibri"/>
        </w:rPr>
      </w:pPr>
    </w:p>
    <w:p w14:paraId="7340E28C" w14:textId="77777777" w:rsidR="00E659A5" w:rsidRDefault="00C21592">
      <w:pPr>
        <w:widowControl w:val="0"/>
        <w:ind w:right="-20"/>
        <w:jc w:val="both"/>
      </w:pPr>
      <w:r>
        <w:rPr>
          <w:i/>
        </w:rPr>
        <w:t>Oštećenje funkcije jetre</w:t>
      </w:r>
    </w:p>
    <w:p w14:paraId="1B3FFC90" w14:textId="77777777" w:rsidR="00E659A5" w:rsidRDefault="00C21592">
      <w:pPr>
        <w:widowControl w:val="0"/>
        <w:jc w:val="both"/>
        <w:rPr>
          <w:rFonts w:eastAsia="Calibri"/>
        </w:rPr>
      </w:pPr>
      <w:r>
        <w:t xml:space="preserve">Lijek Xerdoxo je kontraindikovan kod pacijenata sa bolešću jetre povezanom sa koagulopatijom i sa klinički značajnim rizikom od krvarenja, uključujući pacijnete sa cirozom jetre </w:t>
      </w:r>
      <w:r>
        <w:rPr>
          <w:i/>
        </w:rPr>
        <w:t>Child-Pugh</w:t>
      </w:r>
      <w:r>
        <w:t xml:space="preserve"> stadijuma B i C (vidjeti djelove 4.3 i 5.2).</w:t>
      </w:r>
    </w:p>
    <w:p w14:paraId="00C8E2C7" w14:textId="77777777" w:rsidR="00E659A5" w:rsidRDefault="00C21592">
      <w:pPr>
        <w:widowControl w:val="0"/>
        <w:jc w:val="both"/>
        <w:rPr>
          <w:rFonts w:eastAsia="Calibri"/>
        </w:rPr>
      </w:pPr>
      <w:r>
        <w:rPr>
          <w:rFonts w:eastAsia="Calibri"/>
        </w:rPr>
        <w:t xml:space="preserve">Nema dostupnih kliničkih podataka kod djece sa oštećenjem funkcije jetre. </w:t>
      </w:r>
    </w:p>
    <w:p w14:paraId="35B0A431" w14:textId="77777777" w:rsidR="00E659A5" w:rsidRDefault="00E659A5">
      <w:pPr>
        <w:widowControl w:val="0"/>
        <w:jc w:val="both"/>
        <w:rPr>
          <w:rFonts w:eastAsia="Calibri"/>
        </w:rPr>
      </w:pPr>
    </w:p>
    <w:p w14:paraId="5497B29C" w14:textId="77777777" w:rsidR="00E659A5" w:rsidRDefault="00C21592">
      <w:pPr>
        <w:pStyle w:val="Default"/>
        <w:jc w:val="both"/>
        <w:rPr>
          <w:sz w:val="22"/>
          <w:szCs w:val="22"/>
          <w:lang w:val="hr-HR"/>
        </w:rPr>
      </w:pPr>
      <w:r>
        <w:rPr>
          <w:i/>
          <w:iCs/>
          <w:sz w:val="22"/>
          <w:szCs w:val="22"/>
          <w:lang w:val="hr-HR"/>
        </w:rPr>
        <w:t>Starija populacija</w:t>
      </w:r>
    </w:p>
    <w:p w14:paraId="5AABE290" w14:textId="77777777" w:rsidR="00E659A5" w:rsidRDefault="00C21592">
      <w:pPr>
        <w:pStyle w:val="Default"/>
        <w:jc w:val="both"/>
        <w:rPr>
          <w:sz w:val="22"/>
          <w:szCs w:val="22"/>
          <w:lang w:val="hr-HR"/>
        </w:rPr>
      </w:pPr>
      <w:r>
        <w:rPr>
          <w:sz w:val="22"/>
          <w:szCs w:val="22"/>
          <w:lang w:val="hr-HR"/>
        </w:rPr>
        <w:t>Dozu ne treba prilagođavati (vidjeti dio 5.2).</w:t>
      </w:r>
    </w:p>
    <w:p w14:paraId="0F1F8AA1" w14:textId="77777777" w:rsidR="00E659A5" w:rsidRDefault="00E659A5">
      <w:pPr>
        <w:pStyle w:val="Default"/>
        <w:jc w:val="both"/>
        <w:rPr>
          <w:sz w:val="22"/>
          <w:szCs w:val="22"/>
          <w:lang w:val="hr-HR"/>
        </w:rPr>
      </w:pPr>
    </w:p>
    <w:p w14:paraId="4815ED92" w14:textId="77777777" w:rsidR="00E659A5" w:rsidRDefault="00C21592">
      <w:pPr>
        <w:pStyle w:val="Default"/>
        <w:jc w:val="both"/>
        <w:rPr>
          <w:sz w:val="22"/>
          <w:szCs w:val="22"/>
          <w:lang w:val="hr-HR"/>
        </w:rPr>
      </w:pPr>
      <w:r>
        <w:rPr>
          <w:i/>
          <w:iCs/>
          <w:sz w:val="22"/>
          <w:szCs w:val="22"/>
          <w:lang w:val="hr-HR"/>
        </w:rPr>
        <w:t>Tjelesna masa</w:t>
      </w:r>
    </w:p>
    <w:p w14:paraId="0C47E4E4" w14:textId="77777777" w:rsidR="00E659A5" w:rsidRDefault="00C21592">
      <w:pPr>
        <w:widowControl w:val="0"/>
        <w:jc w:val="both"/>
      </w:pPr>
      <w:r>
        <w:t xml:space="preserve">Dozu za odrasle ne treba prilagođavati (vidjeti </w:t>
      </w:r>
      <w:r>
        <w:rPr>
          <w:lang w:val="hr-HR"/>
        </w:rPr>
        <w:t>dio</w:t>
      </w:r>
      <w:r>
        <w:t xml:space="preserve"> 5.2).</w:t>
      </w:r>
    </w:p>
    <w:p w14:paraId="3D24B30E" w14:textId="47C97C94" w:rsidR="00E659A5" w:rsidRDefault="00C21592">
      <w:pPr>
        <w:widowControl w:val="0"/>
        <w:jc w:val="both"/>
        <w:rPr>
          <w:rFonts w:eastAsia="Calibri"/>
        </w:rPr>
      </w:pPr>
      <w:r>
        <w:rPr>
          <w:rFonts w:eastAsia="Calibri"/>
        </w:rPr>
        <w:t xml:space="preserve">Kod pedijatrijskih pacijenata doza se određuje na osnovu tjelesne </w:t>
      </w:r>
      <w:r w:rsidR="00E849E5">
        <w:rPr>
          <w:rFonts w:eastAsia="Calibri"/>
        </w:rPr>
        <w:t>mase</w:t>
      </w:r>
      <w:r>
        <w:rPr>
          <w:rFonts w:eastAsia="Calibri"/>
        </w:rPr>
        <w:t xml:space="preserve">. </w:t>
      </w:r>
    </w:p>
    <w:p w14:paraId="43F5EAB7" w14:textId="77777777" w:rsidR="00E659A5" w:rsidRDefault="00E659A5">
      <w:pPr>
        <w:widowControl w:val="0"/>
        <w:jc w:val="both"/>
        <w:rPr>
          <w:rFonts w:eastAsia="Calibri"/>
        </w:rPr>
      </w:pPr>
    </w:p>
    <w:p w14:paraId="4C3A4506" w14:textId="77777777" w:rsidR="00E659A5" w:rsidRDefault="00C21592">
      <w:pPr>
        <w:pStyle w:val="Default"/>
        <w:jc w:val="both"/>
        <w:rPr>
          <w:sz w:val="22"/>
          <w:szCs w:val="22"/>
          <w:lang w:val="hr-HR"/>
        </w:rPr>
      </w:pPr>
      <w:r>
        <w:rPr>
          <w:i/>
          <w:iCs/>
          <w:sz w:val="22"/>
          <w:szCs w:val="22"/>
          <w:lang w:val="hr-HR"/>
        </w:rPr>
        <w:t>Pol</w:t>
      </w:r>
    </w:p>
    <w:p w14:paraId="7276C926" w14:textId="17BD1BC6" w:rsidR="00E659A5" w:rsidRDefault="00C21592">
      <w:pPr>
        <w:pStyle w:val="Default"/>
        <w:jc w:val="both"/>
        <w:rPr>
          <w:sz w:val="22"/>
          <w:szCs w:val="22"/>
          <w:lang w:val="hr-HR"/>
        </w:rPr>
      </w:pPr>
      <w:r>
        <w:rPr>
          <w:sz w:val="22"/>
          <w:szCs w:val="22"/>
          <w:lang w:val="hr-HR"/>
        </w:rPr>
        <w:t xml:space="preserve">Dozu ne treba prilagođavati (vidjeti </w:t>
      </w:r>
      <w:r w:rsidR="00E849E5">
        <w:rPr>
          <w:sz w:val="22"/>
          <w:szCs w:val="22"/>
          <w:lang w:val="hr-HR"/>
        </w:rPr>
        <w:t xml:space="preserve">dio </w:t>
      </w:r>
      <w:r>
        <w:rPr>
          <w:sz w:val="22"/>
          <w:szCs w:val="22"/>
          <w:lang w:val="hr-HR"/>
        </w:rPr>
        <w:t>5.2).</w:t>
      </w:r>
    </w:p>
    <w:p w14:paraId="520FAC11" w14:textId="77777777" w:rsidR="00E659A5" w:rsidRDefault="00E659A5">
      <w:pPr>
        <w:widowControl w:val="0"/>
        <w:jc w:val="both"/>
        <w:rPr>
          <w:rFonts w:eastAsia="Calibri"/>
        </w:rPr>
      </w:pPr>
    </w:p>
    <w:p w14:paraId="3E48EC5B" w14:textId="77777777" w:rsidR="00E659A5" w:rsidRDefault="00C21592">
      <w:pPr>
        <w:pStyle w:val="Default"/>
        <w:jc w:val="both"/>
        <w:rPr>
          <w:sz w:val="22"/>
          <w:szCs w:val="22"/>
          <w:lang w:val="hr-HR"/>
        </w:rPr>
      </w:pPr>
      <w:r>
        <w:rPr>
          <w:i/>
          <w:iCs/>
          <w:sz w:val="22"/>
          <w:szCs w:val="22"/>
          <w:lang w:val="hr-HR"/>
        </w:rPr>
        <w:t>Pacijenti koji se podvrgavaju kardioverziji</w:t>
      </w:r>
    </w:p>
    <w:p w14:paraId="0EA03348" w14:textId="77777777" w:rsidR="00E659A5" w:rsidRDefault="00C21592">
      <w:pPr>
        <w:pStyle w:val="Default"/>
        <w:jc w:val="both"/>
        <w:rPr>
          <w:sz w:val="22"/>
          <w:szCs w:val="22"/>
          <w:lang w:val="hr-HR"/>
        </w:rPr>
      </w:pPr>
      <w:r>
        <w:rPr>
          <w:sz w:val="22"/>
          <w:szCs w:val="22"/>
          <w:lang w:val="hr-HR"/>
        </w:rPr>
        <w:t>Primijena lijeka Xerdoxo može da se započne ili da se nastavi kod pacijenata čije stanje može da zahtijeva kardioverziju.</w:t>
      </w:r>
    </w:p>
    <w:p w14:paraId="32DC0AED" w14:textId="77777777" w:rsidR="00E659A5" w:rsidRDefault="00C21592">
      <w:pPr>
        <w:widowControl w:val="0"/>
        <w:jc w:val="both"/>
        <w:rPr>
          <w:rFonts w:eastAsia="Calibri"/>
        </w:rPr>
      </w:pPr>
      <w:r>
        <w:t xml:space="preserve">Kod kardioverzije vođene transezofagealnim ehokardiogramom (TEE) kod pacijenata koji prethodno nisu bili liječeni antikoagulansima, liječenje lijekom Xerdoxo treba započeti najmanje 4 sata prije kardioverzije da bi se osigurala odgovarajuća antikoagulacija (vidjeti </w:t>
      </w:r>
      <w:r>
        <w:rPr>
          <w:lang w:val="hr-HR"/>
        </w:rPr>
        <w:t>djelove</w:t>
      </w:r>
      <w:r>
        <w:t xml:space="preserve"> 5.1 i 5.2). </w:t>
      </w:r>
      <w:r>
        <w:rPr>
          <w:bCs/>
        </w:rPr>
        <w:t>Za sve pacijente</w:t>
      </w:r>
      <w:r>
        <w:t xml:space="preserve"> prije kardioverzije mora se zatražiti potvrda da je pacijent uzimao lijek Xerdoxo kako mu je bilo propisano. Odluku o započinjanju i trajanju liječenja treba donijeti u skladu sa preporukama za antikoagulantnu terapiju pacijenata koji se podvrgavaju kardioverziji.</w:t>
      </w:r>
    </w:p>
    <w:p w14:paraId="3E9C01A9" w14:textId="77777777" w:rsidR="00E659A5" w:rsidRDefault="00E659A5">
      <w:pPr>
        <w:widowControl w:val="0"/>
        <w:jc w:val="both"/>
        <w:rPr>
          <w:rFonts w:eastAsia="Calibri"/>
        </w:rPr>
      </w:pPr>
    </w:p>
    <w:p w14:paraId="01F888E4" w14:textId="77777777" w:rsidR="00E659A5" w:rsidRDefault="00C21592">
      <w:pPr>
        <w:pStyle w:val="Default"/>
        <w:jc w:val="both"/>
        <w:rPr>
          <w:i/>
          <w:sz w:val="22"/>
          <w:szCs w:val="22"/>
          <w:lang w:val="hr-HR"/>
        </w:rPr>
      </w:pPr>
      <w:r>
        <w:rPr>
          <w:i/>
          <w:iCs/>
          <w:sz w:val="22"/>
          <w:szCs w:val="22"/>
          <w:lang w:val="hr-HR"/>
        </w:rPr>
        <w:t xml:space="preserve">Pacijenti sa nevalvularnom atrijalnom fibrilacijom koji se podvrgavaju perkutanoj koronarnoj intervenciji </w:t>
      </w:r>
      <w:r>
        <w:rPr>
          <w:i/>
          <w:sz w:val="22"/>
          <w:szCs w:val="22"/>
          <w:lang w:val="hr-HR"/>
        </w:rPr>
        <w:t xml:space="preserve">(engl. </w:t>
      </w:r>
      <w:r>
        <w:rPr>
          <w:i/>
          <w:iCs/>
          <w:sz w:val="22"/>
          <w:szCs w:val="22"/>
          <w:lang w:val="hr-HR"/>
        </w:rPr>
        <w:t xml:space="preserve">percutaneous coronary intervention – </w:t>
      </w:r>
      <w:r>
        <w:rPr>
          <w:i/>
          <w:sz w:val="22"/>
          <w:szCs w:val="22"/>
          <w:lang w:val="hr-HR"/>
        </w:rPr>
        <w:t xml:space="preserve">PCI) </w:t>
      </w:r>
      <w:r>
        <w:rPr>
          <w:i/>
          <w:iCs/>
          <w:sz w:val="22"/>
          <w:szCs w:val="22"/>
          <w:lang w:val="hr-HR"/>
        </w:rPr>
        <w:t xml:space="preserve">sa postavljanjem stenta </w:t>
      </w:r>
    </w:p>
    <w:p w14:paraId="36A833CC" w14:textId="77777777" w:rsidR="00E659A5" w:rsidRDefault="00C21592">
      <w:pPr>
        <w:widowControl w:val="0"/>
        <w:jc w:val="both"/>
      </w:pPr>
      <w:r>
        <w:t xml:space="preserve">Postoji ograničeno iskustvo kod upotrebe niže doze rivaroksabana, 15 mg jednom dnevno (odnosno </w:t>
      </w:r>
      <w:r>
        <w:lastRenderedPageBreak/>
        <w:t>10 mg rivaroksabana jednom dnevno kod pacijenata sa umjerenim oštećenjem funkcije bubrega [klirens kreatinina 30 – 49 ml/min]), dodatno uz inhibitor receptora P2Y12 tokom najduže 12 mjeseci kod pacijenata sa nevalvularnom atrijalnom fibrilacijom kojima je potrebna terapija oralnim antikoagulansom i koji se podvrgavaju PCI sa postavljanjem stenta (vidjeti djelove 4.4 i 5.1).</w:t>
      </w:r>
    </w:p>
    <w:p w14:paraId="6DD7EFF3" w14:textId="77777777" w:rsidR="00E659A5" w:rsidRDefault="00E659A5">
      <w:pPr>
        <w:widowControl w:val="0"/>
        <w:jc w:val="both"/>
        <w:rPr>
          <w:rFonts w:eastAsia="Calibri"/>
        </w:rPr>
      </w:pPr>
    </w:p>
    <w:p w14:paraId="101D4221" w14:textId="77777777" w:rsidR="00E659A5" w:rsidRDefault="00C21592">
      <w:pPr>
        <w:widowControl w:val="0"/>
        <w:jc w:val="both"/>
        <w:rPr>
          <w:rFonts w:eastAsia="Calibri"/>
          <w:i/>
          <w:iCs/>
        </w:rPr>
      </w:pPr>
      <w:r>
        <w:rPr>
          <w:rFonts w:eastAsia="Calibri"/>
          <w:i/>
          <w:iCs/>
        </w:rPr>
        <w:t>Pedijatrijska populacija</w:t>
      </w:r>
    </w:p>
    <w:p w14:paraId="4D7EA169" w14:textId="77777777" w:rsidR="00E659A5" w:rsidRDefault="00C21592">
      <w:pPr>
        <w:widowControl w:val="0"/>
        <w:jc w:val="both"/>
        <w:rPr>
          <w:rFonts w:eastAsia="Calibri"/>
        </w:rPr>
      </w:pPr>
      <w:r>
        <w:rPr>
          <w:rFonts w:eastAsia="Calibri"/>
        </w:rPr>
        <w:t>Bezbjednost i efikasnost lijeka Xerdoxo kod djece uzrasta od 0</w:t>
      </w:r>
      <w:r w:rsidR="00585B9B">
        <w:rPr>
          <w:rFonts w:eastAsia="Calibri"/>
        </w:rPr>
        <w:t xml:space="preserve"> </w:t>
      </w:r>
      <w:r>
        <w:rPr>
          <w:rFonts w:eastAsia="Calibri"/>
        </w:rPr>
        <w:t>&lt;</w:t>
      </w:r>
      <w:r w:rsidR="00585B9B">
        <w:rPr>
          <w:rFonts w:eastAsia="Calibri"/>
        </w:rPr>
        <w:t xml:space="preserve"> </w:t>
      </w:r>
      <w:r>
        <w:rPr>
          <w:rFonts w:eastAsia="Calibri"/>
        </w:rPr>
        <w:t>18 godina ni</w:t>
      </w:r>
      <w:r w:rsidR="00585B9B">
        <w:rPr>
          <w:rFonts w:eastAsia="Calibri"/>
        </w:rPr>
        <w:t>je</w:t>
      </w:r>
      <w:r>
        <w:rPr>
          <w:rFonts w:eastAsia="Calibri"/>
        </w:rPr>
        <w:t>su ustanovljene u indikaciji prevencije moždanog udara i sistemske embolije kod pacijenata sa nevalvularnom fibrilacijom atrija. Nema dostupnih podataka. Stoga se ne preporučuje primjena kod djece mlađe od 18 godina u drugim indikacijama, osim liječenja VTE-a i prevencije ponavljajućeg VTE-a.</w:t>
      </w:r>
    </w:p>
    <w:p w14:paraId="0E03268B" w14:textId="77777777" w:rsidR="00E659A5" w:rsidRDefault="00E659A5">
      <w:pPr>
        <w:widowControl w:val="0"/>
        <w:jc w:val="both"/>
        <w:rPr>
          <w:rFonts w:eastAsia="Calibri"/>
        </w:rPr>
      </w:pPr>
    </w:p>
    <w:p w14:paraId="29EA5D77" w14:textId="77777777" w:rsidR="00E659A5" w:rsidRDefault="00C21592">
      <w:pPr>
        <w:pStyle w:val="Default"/>
        <w:jc w:val="both"/>
        <w:rPr>
          <w:i/>
          <w:iCs/>
          <w:sz w:val="22"/>
          <w:szCs w:val="22"/>
          <w:lang w:val="hr-HR"/>
        </w:rPr>
      </w:pPr>
      <w:r>
        <w:rPr>
          <w:sz w:val="22"/>
          <w:szCs w:val="22"/>
          <w:u w:val="single"/>
          <w:lang w:val="hr-HR"/>
        </w:rPr>
        <w:t>Način primjene</w:t>
      </w:r>
    </w:p>
    <w:p w14:paraId="1F107633" w14:textId="77777777" w:rsidR="00E659A5" w:rsidRDefault="00C21592">
      <w:pPr>
        <w:pStyle w:val="Default"/>
        <w:jc w:val="both"/>
        <w:rPr>
          <w:i/>
          <w:iCs/>
          <w:sz w:val="22"/>
          <w:szCs w:val="22"/>
          <w:lang w:val="hr-HR"/>
        </w:rPr>
      </w:pPr>
      <w:r>
        <w:rPr>
          <w:i/>
          <w:iCs/>
          <w:sz w:val="22"/>
          <w:szCs w:val="22"/>
          <w:lang w:val="hr-HR"/>
        </w:rPr>
        <w:t>Odrasli</w:t>
      </w:r>
    </w:p>
    <w:p w14:paraId="55933F71" w14:textId="77777777" w:rsidR="00E659A5" w:rsidRDefault="00C21592">
      <w:pPr>
        <w:pStyle w:val="Default"/>
        <w:jc w:val="both"/>
        <w:rPr>
          <w:sz w:val="22"/>
          <w:szCs w:val="22"/>
          <w:lang w:val="hr-HR"/>
        </w:rPr>
      </w:pPr>
      <w:r>
        <w:rPr>
          <w:sz w:val="22"/>
          <w:szCs w:val="22"/>
          <w:lang w:val="hr-HR"/>
        </w:rPr>
        <w:t>Lijek Xerdoxo je namijenjen za oralnu primjenu.</w:t>
      </w:r>
    </w:p>
    <w:p w14:paraId="0CF5C5BE" w14:textId="77777777" w:rsidR="00E659A5" w:rsidRDefault="00C21592">
      <w:pPr>
        <w:pStyle w:val="Default"/>
        <w:jc w:val="both"/>
        <w:rPr>
          <w:sz w:val="22"/>
          <w:szCs w:val="22"/>
          <w:lang w:val="hr-HR"/>
        </w:rPr>
      </w:pPr>
      <w:r>
        <w:rPr>
          <w:sz w:val="22"/>
          <w:szCs w:val="22"/>
          <w:lang w:val="hr-HR"/>
        </w:rPr>
        <w:t>Tablete lijeka Xerdoxo treba uzimati sa hranom (vidjeti dio 5.2.).</w:t>
      </w:r>
    </w:p>
    <w:p w14:paraId="4BAFCEE2" w14:textId="77777777" w:rsidR="00E659A5" w:rsidRDefault="00E659A5">
      <w:pPr>
        <w:pStyle w:val="Default"/>
        <w:jc w:val="both"/>
        <w:rPr>
          <w:sz w:val="22"/>
          <w:szCs w:val="22"/>
          <w:lang w:val="hr-HR"/>
        </w:rPr>
      </w:pPr>
    </w:p>
    <w:p w14:paraId="32A08B2B" w14:textId="77777777" w:rsidR="00E659A5" w:rsidRDefault="00C21592">
      <w:pPr>
        <w:pStyle w:val="Default"/>
        <w:jc w:val="both"/>
        <w:rPr>
          <w:i/>
          <w:iCs/>
          <w:sz w:val="22"/>
          <w:szCs w:val="22"/>
          <w:u w:val="single"/>
          <w:lang w:val="hr-HR"/>
        </w:rPr>
      </w:pPr>
      <w:r>
        <w:rPr>
          <w:i/>
          <w:iCs/>
          <w:sz w:val="22"/>
          <w:szCs w:val="22"/>
          <w:u w:val="single"/>
          <w:lang w:val="hr-HR"/>
        </w:rPr>
        <w:t>Usitnjavanje tableta</w:t>
      </w:r>
    </w:p>
    <w:p w14:paraId="5407CD02" w14:textId="77777777" w:rsidR="00E659A5" w:rsidRDefault="00C21592">
      <w:pPr>
        <w:pStyle w:val="Default"/>
        <w:jc w:val="both"/>
        <w:rPr>
          <w:sz w:val="22"/>
          <w:szCs w:val="22"/>
          <w:lang w:val="hr-HR"/>
        </w:rPr>
      </w:pPr>
      <w:r>
        <w:rPr>
          <w:sz w:val="22"/>
          <w:szCs w:val="22"/>
          <w:lang w:val="hr-HR"/>
        </w:rPr>
        <w:t>Kod pacijenata koji ne mogu da progutaju cijelu tabletu, tableta lijeka Xerdoxo može da se usitni i pomiješa sa vodom ili kašom od jabuke neposredno prije uzimanja. Nakon primjene usitnjene film tablete lijeka Xerdoxo od 15 mg ili 20 mg odmah treba da uslijedi hrana.</w:t>
      </w:r>
    </w:p>
    <w:p w14:paraId="4A509E24" w14:textId="77777777" w:rsidR="00E659A5" w:rsidRDefault="00C21592">
      <w:pPr>
        <w:widowControl w:val="0"/>
        <w:jc w:val="both"/>
        <w:rPr>
          <w:rFonts w:eastAsia="Calibri"/>
        </w:rPr>
      </w:pPr>
      <w:r>
        <w:t>Usitnjena tableta lijeka Xerdoxo takođe se može dati kroz gastričnu sondu (vidjeti djelove 5.2 i 6.6).</w:t>
      </w:r>
    </w:p>
    <w:p w14:paraId="11CFB1CF" w14:textId="77777777" w:rsidR="00E659A5" w:rsidRDefault="00E659A5">
      <w:pPr>
        <w:widowControl w:val="0"/>
        <w:jc w:val="both"/>
        <w:rPr>
          <w:rFonts w:eastAsia="Calibri"/>
        </w:rPr>
      </w:pPr>
    </w:p>
    <w:p w14:paraId="67E506CC" w14:textId="4CDF44E2" w:rsidR="00E659A5" w:rsidRDefault="00C21592">
      <w:pPr>
        <w:widowControl w:val="0"/>
        <w:jc w:val="both"/>
        <w:rPr>
          <w:rFonts w:eastAsia="Calibri"/>
          <w:i/>
          <w:iCs/>
        </w:rPr>
      </w:pPr>
      <w:r>
        <w:rPr>
          <w:rFonts w:eastAsia="Calibri"/>
          <w:i/>
          <w:iCs/>
        </w:rPr>
        <w:t xml:space="preserve">Deca i adolescenti tjelesne </w:t>
      </w:r>
      <w:r w:rsidR="00585B9B">
        <w:rPr>
          <w:rFonts w:eastAsia="Calibri"/>
          <w:i/>
          <w:iCs/>
        </w:rPr>
        <w:t xml:space="preserve">mase </w:t>
      </w:r>
      <w:r>
        <w:rPr>
          <w:rFonts w:eastAsia="Calibri"/>
          <w:i/>
          <w:iCs/>
        </w:rPr>
        <w:t xml:space="preserve">veće od 50 kg </w:t>
      </w:r>
    </w:p>
    <w:p w14:paraId="5842AD94" w14:textId="77777777" w:rsidR="00E659A5" w:rsidRDefault="00C21592">
      <w:pPr>
        <w:widowControl w:val="0"/>
        <w:jc w:val="both"/>
        <w:rPr>
          <w:rFonts w:eastAsia="Calibri"/>
        </w:rPr>
      </w:pPr>
      <w:r>
        <w:rPr>
          <w:rFonts w:eastAsia="Calibri"/>
        </w:rPr>
        <w:t>Lijek Xerdoxo je namijenjen za oralnu upotrebu.</w:t>
      </w:r>
    </w:p>
    <w:p w14:paraId="1109EF12" w14:textId="77777777" w:rsidR="00E659A5" w:rsidRDefault="00C21592">
      <w:pPr>
        <w:widowControl w:val="0"/>
        <w:jc w:val="both"/>
        <w:rPr>
          <w:rFonts w:eastAsia="Calibri"/>
        </w:rPr>
      </w:pPr>
      <w:r>
        <w:rPr>
          <w:rFonts w:eastAsia="Calibri"/>
        </w:rPr>
        <w:t>Pacijenta treba savjetovati da popije tabletu sa tečnošću. Takođe, lijek treba uzimati uz obrok (vidjeti dio 5.2). Tablete treba uzimati u razmaku od približno 24 sata.</w:t>
      </w:r>
      <w:r>
        <w:rPr>
          <w:rFonts w:eastAsia="Calibri"/>
        </w:rPr>
        <w:cr/>
      </w:r>
    </w:p>
    <w:p w14:paraId="45253305" w14:textId="77777777" w:rsidR="00E659A5" w:rsidRDefault="00C21592">
      <w:pPr>
        <w:widowControl w:val="0"/>
        <w:jc w:val="both"/>
        <w:rPr>
          <w:rFonts w:eastAsia="Calibri"/>
        </w:rPr>
      </w:pPr>
      <w:r>
        <w:rPr>
          <w:rFonts w:eastAsia="Calibri"/>
        </w:rPr>
        <w:t>U slučaju da pacijent ispljune dozu ili povrati tokom perioda do 30 minuta nakon uzimanja lijeka, neophodno je dati novu dozu. Međutim, ukoliko pacijent povrati nakon više od 30 minuta od primjene lijeka, nije neophodno prim</w:t>
      </w:r>
      <w:r w:rsidR="00585B9B">
        <w:rPr>
          <w:rFonts w:eastAsia="Calibri"/>
        </w:rPr>
        <w:t>ij</w:t>
      </w:r>
      <w:r>
        <w:rPr>
          <w:rFonts w:eastAsia="Calibri"/>
        </w:rPr>
        <w:t>eniti novu dozu. Sl</w:t>
      </w:r>
      <w:r w:rsidR="00585B9B">
        <w:rPr>
          <w:rFonts w:eastAsia="Calibri"/>
        </w:rPr>
        <w:t>j</w:t>
      </w:r>
      <w:r>
        <w:rPr>
          <w:rFonts w:eastAsia="Calibri"/>
        </w:rPr>
        <w:t>edeću dozu uzeti kako je propisano.</w:t>
      </w:r>
    </w:p>
    <w:p w14:paraId="3F232A79" w14:textId="77777777" w:rsidR="00E659A5" w:rsidRDefault="00E659A5">
      <w:pPr>
        <w:widowControl w:val="0"/>
        <w:jc w:val="both"/>
        <w:rPr>
          <w:rFonts w:eastAsia="Calibri"/>
        </w:rPr>
      </w:pPr>
    </w:p>
    <w:p w14:paraId="43212DC3" w14:textId="77777777" w:rsidR="00E659A5" w:rsidRDefault="00C21592">
      <w:pPr>
        <w:widowControl w:val="0"/>
        <w:jc w:val="both"/>
        <w:rPr>
          <w:rFonts w:eastAsia="Calibri"/>
        </w:rPr>
      </w:pPr>
      <w:r>
        <w:rPr>
          <w:rFonts w:eastAsia="Calibri"/>
        </w:rPr>
        <w:t xml:space="preserve">Tablete se ne smiju dijeliti kako bi se obezbijedila manja doza lijeka. </w:t>
      </w:r>
    </w:p>
    <w:p w14:paraId="6AE56874" w14:textId="77777777" w:rsidR="00E659A5" w:rsidRDefault="00E659A5">
      <w:pPr>
        <w:widowControl w:val="0"/>
        <w:jc w:val="both"/>
        <w:rPr>
          <w:rFonts w:eastAsia="Calibri"/>
        </w:rPr>
      </w:pPr>
    </w:p>
    <w:p w14:paraId="7DE52971" w14:textId="77777777" w:rsidR="00E659A5" w:rsidRDefault="00C21592">
      <w:pPr>
        <w:widowControl w:val="0"/>
        <w:jc w:val="both"/>
        <w:rPr>
          <w:rFonts w:eastAsia="Calibri"/>
          <w:i/>
          <w:iCs/>
        </w:rPr>
      </w:pPr>
      <w:r>
        <w:rPr>
          <w:rFonts w:eastAsia="Calibri"/>
          <w:i/>
          <w:iCs/>
        </w:rPr>
        <w:t xml:space="preserve">Usitnjavanje tablete </w:t>
      </w:r>
    </w:p>
    <w:p w14:paraId="5B73C544" w14:textId="77777777" w:rsidR="00E659A5" w:rsidRDefault="00C21592">
      <w:pPr>
        <w:widowControl w:val="0"/>
        <w:jc w:val="both"/>
        <w:rPr>
          <w:rFonts w:eastAsia="Calibri"/>
        </w:rPr>
      </w:pPr>
      <w:r>
        <w:rPr>
          <w:rFonts w:eastAsia="Calibri"/>
        </w:rPr>
        <w:t>Pacijenti koji ne mogu progutati cijelu tabletu treba da koriste rivaroksaban u obliku granula za oralnu suspenziju. Ukoliko oralna suspenzija nije dostupna, kada su propisane doze lijeka rivaroksaban od 15 mg ili 20 mg, one se mogu obezbijediti usitnjavanjem tablete od 15 mg ili 20 mg i miješanjem sa vodom ili kašom od jabuke neposredno prije upotrebe i oralnom primjenom.</w:t>
      </w:r>
    </w:p>
    <w:p w14:paraId="0363AD3B" w14:textId="2C6276A8" w:rsidR="00E659A5" w:rsidRDefault="00C21592">
      <w:pPr>
        <w:widowControl w:val="0"/>
        <w:jc w:val="both"/>
        <w:rPr>
          <w:rFonts w:eastAsia="Calibri"/>
        </w:rPr>
      </w:pPr>
      <w:r>
        <w:rPr>
          <w:rFonts w:eastAsia="Calibri"/>
        </w:rPr>
        <w:t>Usitnjena tableta može se pacijentu dati kroz nazogastričnu ili želudačnu sondu za hranjenje (vidjeti djelove 5.2 i 6.6)</w:t>
      </w:r>
    </w:p>
    <w:p w14:paraId="21F956A6" w14:textId="77777777" w:rsidR="00E659A5" w:rsidRDefault="00E659A5">
      <w:pPr>
        <w:widowControl w:val="0"/>
        <w:jc w:val="both"/>
        <w:rPr>
          <w:rFonts w:eastAsia="Calibri"/>
        </w:rPr>
      </w:pPr>
    </w:p>
    <w:p w14:paraId="757DEA34" w14:textId="77777777" w:rsidR="00E659A5" w:rsidRDefault="00C21592">
      <w:pPr>
        <w:widowControl w:val="0"/>
        <w:jc w:val="both"/>
        <w:rPr>
          <w:b/>
        </w:rPr>
      </w:pPr>
      <w:r>
        <w:rPr>
          <w:b/>
        </w:rPr>
        <w:t>4.3</w:t>
      </w:r>
      <w:r>
        <w:rPr>
          <w:b/>
        </w:rPr>
        <w:tab/>
        <w:t>Kontraindikacije</w:t>
      </w:r>
    </w:p>
    <w:p w14:paraId="7A8ECD2A" w14:textId="77777777" w:rsidR="00E659A5" w:rsidRDefault="00E659A5">
      <w:pPr>
        <w:widowControl w:val="0"/>
        <w:jc w:val="both"/>
        <w:rPr>
          <w:rFonts w:eastAsia="Calibri"/>
        </w:rPr>
      </w:pPr>
    </w:p>
    <w:p w14:paraId="5361C343" w14:textId="77777777" w:rsidR="00E659A5" w:rsidRDefault="00C21592">
      <w:pPr>
        <w:pStyle w:val="Default"/>
        <w:jc w:val="both"/>
        <w:rPr>
          <w:sz w:val="22"/>
          <w:szCs w:val="22"/>
          <w:lang w:val="hr-HR"/>
        </w:rPr>
      </w:pPr>
      <w:r>
        <w:rPr>
          <w:sz w:val="22"/>
          <w:szCs w:val="22"/>
          <w:lang w:val="hr-HR"/>
        </w:rPr>
        <w:t>Preosjetljivost na aktivnu supstancu ili na neku od pomoćnih supstanci navedenih u dijelu 6.1.</w:t>
      </w:r>
    </w:p>
    <w:p w14:paraId="688CB6AE" w14:textId="77777777" w:rsidR="00E659A5" w:rsidRDefault="00E659A5">
      <w:pPr>
        <w:pStyle w:val="Default"/>
        <w:jc w:val="both"/>
        <w:rPr>
          <w:sz w:val="22"/>
          <w:szCs w:val="22"/>
          <w:lang w:val="hr-HR"/>
        </w:rPr>
      </w:pPr>
    </w:p>
    <w:p w14:paraId="79492D24" w14:textId="77777777" w:rsidR="00E659A5" w:rsidRDefault="00C21592">
      <w:pPr>
        <w:widowControl w:val="0"/>
        <w:ind w:right="1427"/>
        <w:jc w:val="both"/>
      </w:pPr>
      <w:r>
        <w:t>Klinički značajno aktivno krvarenje.</w:t>
      </w:r>
    </w:p>
    <w:p w14:paraId="0755A88E" w14:textId="77777777" w:rsidR="00E659A5" w:rsidRDefault="00E659A5">
      <w:pPr>
        <w:widowControl w:val="0"/>
        <w:ind w:right="1427"/>
        <w:jc w:val="both"/>
      </w:pPr>
    </w:p>
    <w:p w14:paraId="7C300767" w14:textId="77777777" w:rsidR="00E659A5" w:rsidRDefault="00C21592">
      <w:pPr>
        <w:pStyle w:val="Default"/>
        <w:jc w:val="both"/>
        <w:rPr>
          <w:rFonts w:ascii="Arial" w:hAnsi="Arial" w:cs="Arial"/>
          <w:sz w:val="22"/>
          <w:szCs w:val="22"/>
          <w:lang w:val="hr-HR"/>
        </w:rPr>
      </w:pPr>
      <w:r>
        <w:rPr>
          <w:sz w:val="22"/>
          <w:szCs w:val="22"/>
          <w:lang w:val="hr-HR"/>
        </w:rPr>
        <w:t>Lezije ili stanja sa značajnim rizikom za pojavu ozbiljnih krvarenja, kao što su postojeći ili nedavni gastrointestinalni ulkus, prisutnost malignih neoplazmi sa visokim rizikom od krvarenja, nedavna povreda mozga ili kičmene moždine, nedavni hirurški zahvat na mozgu, kičmenoj moždini ili oku, nedavno intrakranijalno krvarenje, potvrđeni ili suspektni ezofagelani variksi, arterio-venske malformacije, aneurizme krvnih sudova ili velike intraspinalne ili intracerebralne vaskularne anomalije.</w:t>
      </w:r>
    </w:p>
    <w:p w14:paraId="599906FB" w14:textId="77777777" w:rsidR="00E659A5" w:rsidRDefault="00E659A5">
      <w:pPr>
        <w:widowControl w:val="0"/>
        <w:jc w:val="both"/>
        <w:rPr>
          <w:rFonts w:eastAsia="Calibri"/>
        </w:rPr>
      </w:pPr>
    </w:p>
    <w:p w14:paraId="5EADC218" w14:textId="77777777" w:rsidR="00E659A5" w:rsidRDefault="00C21592">
      <w:pPr>
        <w:pStyle w:val="Default"/>
        <w:jc w:val="both"/>
        <w:rPr>
          <w:sz w:val="22"/>
          <w:szCs w:val="22"/>
          <w:lang w:val="hr-HR"/>
        </w:rPr>
      </w:pPr>
      <w:r>
        <w:rPr>
          <w:sz w:val="22"/>
          <w:szCs w:val="22"/>
          <w:lang w:val="hr-HR"/>
        </w:rPr>
        <w:t xml:space="preserve">Istovremeno liječenje sa nekim od antikoagulantnih ljekova, npr. nefrakcionisanim heparinom, niskomolekularnim heparinima (enoksaparin, dalteparin i drugi), derivatima heparina (fondaparinuks i drugi), oralnim antikoagulansima (varfarin, dabigatran eteksilat, apiksaban i drugi) osim u specifičnim </w:t>
      </w:r>
      <w:r>
        <w:rPr>
          <w:sz w:val="22"/>
          <w:szCs w:val="22"/>
          <w:lang w:val="hr-HR"/>
        </w:rPr>
        <w:lastRenderedPageBreak/>
        <w:t>situacijama kada se mijenja antikoagulantna terapija (vidjeti dio 4.2) ili kada se nefrakcionisani heparin daje u dozama potrebnim za održavanje otvorenog centralnog venskog ili arterijskog katetera (vidjeti dio 4.5).</w:t>
      </w:r>
    </w:p>
    <w:p w14:paraId="4AFBF6AC" w14:textId="77777777" w:rsidR="00E659A5" w:rsidRDefault="00E659A5">
      <w:pPr>
        <w:pStyle w:val="Default"/>
        <w:jc w:val="both"/>
        <w:rPr>
          <w:sz w:val="22"/>
          <w:szCs w:val="22"/>
          <w:lang w:val="hr-HR"/>
        </w:rPr>
      </w:pPr>
    </w:p>
    <w:p w14:paraId="3F330A2A" w14:textId="77777777" w:rsidR="00E659A5" w:rsidRDefault="00C21592">
      <w:pPr>
        <w:pStyle w:val="Default"/>
        <w:jc w:val="both"/>
        <w:rPr>
          <w:sz w:val="22"/>
          <w:szCs w:val="22"/>
          <w:lang w:val="hr-HR"/>
        </w:rPr>
      </w:pPr>
      <w:r>
        <w:rPr>
          <w:sz w:val="22"/>
          <w:szCs w:val="22"/>
          <w:lang w:val="hr-HR"/>
        </w:rPr>
        <w:t xml:space="preserve">Bolest jetre udružena sa koagulopatijom i klinički značajnim rizikom od krvarenja, uključujući pacijente sa cirozom jetre </w:t>
      </w:r>
      <w:r>
        <w:rPr>
          <w:i/>
          <w:sz w:val="22"/>
          <w:szCs w:val="22"/>
          <w:lang w:val="hr-HR"/>
        </w:rPr>
        <w:t>Child-Pugh</w:t>
      </w:r>
      <w:r>
        <w:rPr>
          <w:sz w:val="22"/>
          <w:szCs w:val="22"/>
          <w:lang w:val="hr-HR"/>
        </w:rPr>
        <w:t xml:space="preserve"> stadijuma B i C (vidjeti dio 5.2).</w:t>
      </w:r>
    </w:p>
    <w:p w14:paraId="2419B365" w14:textId="77777777" w:rsidR="00E659A5" w:rsidRDefault="00E659A5">
      <w:pPr>
        <w:pStyle w:val="Default"/>
        <w:jc w:val="both"/>
        <w:rPr>
          <w:sz w:val="22"/>
          <w:szCs w:val="22"/>
          <w:lang w:val="hr-HR"/>
        </w:rPr>
      </w:pPr>
    </w:p>
    <w:p w14:paraId="0903DDC5" w14:textId="77777777" w:rsidR="00E659A5" w:rsidRDefault="00C21592">
      <w:pPr>
        <w:widowControl w:val="0"/>
        <w:jc w:val="both"/>
        <w:rPr>
          <w:rFonts w:eastAsia="Calibri"/>
        </w:rPr>
      </w:pPr>
      <w:r>
        <w:t xml:space="preserve">Trudnoća i dojenje (vidjeti </w:t>
      </w:r>
      <w:r>
        <w:rPr>
          <w:lang w:val="hr-HR"/>
        </w:rPr>
        <w:t xml:space="preserve">dio </w:t>
      </w:r>
      <w:r>
        <w:t>4.6).</w:t>
      </w:r>
    </w:p>
    <w:p w14:paraId="745F8B41" w14:textId="77777777" w:rsidR="00E659A5" w:rsidRDefault="00E659A5">
      <w:pPr>
        <w:widowControl w:val="0"/>
        <w:jc w:val="both"/>
        <w:rPr>
          <w:rFonts w:eastAsia="Calibri"/>
        </w:rPr>
      </w:pPr>
    </w:p>
    <w:p w14:paraId="106E41C4" w14:textId="77777777" w:rsidR="00E659A5" w:rsidRDefault="00C21592">
      <w:pPr>
        <w:widowControl w:val="0"/>
        <w:jc w:val="both"/>
        <w:rPr>
          <w:b/>
        </w:rPr>
      </w:pPr>
      <w:r>
        <w:rPr>
          <w:b/>
        </w:rPr>
        <w:t>4.4</w:t>
      </w:r>
      <w:r>
        <w:rPr>
          <w:b/>
        </w:rPr>
        <w:tab/>
        <w:t>Posebna upozorenja i mjere opreza pri upotrebi lijeka</w:t>
      </w:r>
    </w:p>
    <w:p w14:paraId="70DDA722" w14:textId="77777777" w:rsidR="00E659A5" w:rsidRDefault="00E659A5">
      <w:pPr>
        <w:widowControl w:val="0"/>
        <w:jc w:val="both"/>
        <w:rPr>
          <w:rFonts w:eastAsia="Calibri"/>
        </w:rPr>
      </w:pPr>
    </w:p>
    <w:p w14:paraId="0261C6A1" w14:textId="77777777" w:rsidR="00E659A5" w:rsidRDefault="00C21592">
      <w:pPr>
        <w:widowControl w:val="0"/>
        <w:jc w:val="both"/>
      </w:pPr>
      <w:r>
        <w:t>Preporučuje se klinički nadzor u skladu sa antikoagulacionom praksom tokom trajanja čitave terapije.</w:t>
      </w:r>
    </w:p>
    <w:p w14:paraId="7C0DCAF4" w14:textId="77777777" w:rsidR="00E659A5" w:rsidRDefault="00E659A5">
      <w:pPr>
        <w:widowControl w:val="0"/>
        <w:jc w:val="both"/>
      </w:pPr>
    </w:p>
    <w:p w14:paraId="382FE2E3" w14:textId="77777777" w:rsidR="00E659A5" w:rsidRDefault="00E659A5">
      <w:pPr>
        <w:widowControl w:val="0"/>
        <w:jc w:val="both"/>
      </w:pPr>
    </w:p>
    <w:p w14:paraId="201FECC4" w14:textId="77777777" w:rsidR="00E659A5" w:rsidRDefault="00C21592">
      <w:pPr>
        <w:pStyle w:val="Default"/>
        <w:jc w:val="both"/>
        <w:rPr>
          <w:sz w:val="22"/>
          <w:szCs w:val="22"/>
          <w:u w:val="single"/>
          <w:lang w:val="hr-HR"/>
        </w:rPr>
      </w:pPr>
      <w:r>
        <w:rPr>
          <w:sz w:val="22"/>
          <w:szCs w:val="22"/>
          <w:u w:val="single"/>
          <w:lang w:val="hr-HR"/>
        </w:rPr>
        <w:t>Rizik od krvarenja</w:t>
      </w:r>
    </w:p>
    <w:p w14:paraId="03CAEDEE" w14:textId="77777777" w:rsidR="00E659A5" w:rsidRDefault="00C21592">
      <w:pPr>
        <w:pStyle w:val="Default"/>
        <w:jc w:val="both"/>
        <w:rPr>
          <w:sz w:val="22"/>
          <w:szCs w:val="22"/>
          <w:lang w:val="hr-HR"/>
        </w:rPr>
      </w:pPr>
      <w:r>
        <w:rPr>
          <w:sz w:val="22"/>
          <w:szCs w:val="22"/>
          <w:lang w:val="hr-HR"/>
        </w:rPr>
        <w:t>Kao i sa drugim antikoagulansima, kod pacijenata koji uzimaju lijek Xerdoxo mora se paziti na znakove krvarenja. Preporučuje se njegova pažljiva primjena u stanjima sa povišenim rizikom od krvarenja. Primjena lijeka Xerdoxo mora se prekinuti ako se pojavi teško krvarenje (vidjeti dio 4.9</w:t>
      </w:r>
      <w:r>
        <w:rPr>
          <w:sz w:val="22"/>
          <w:szCs w:val="22"/>
          <w:lang w:val="sr-Latn-RS"/>
        </w:rPr>
        <w:t>)</w:t>
      </w:r>
      <w:r>
        <w:rPr>
          <w:sz w:val="22"/>
          <w:szCs w:val="22"/>
          <w:lang w:val="hr-HR"/>
        </w:rPr>
        <w:t xml:space="preserve">. </w:t>
      </w:r>
    </w:p>
    <w:p w14:paraId="1B1664F5" w14:textId="77777777" w:rsidR="00E659A5" w:rsidRDefault="00E659A5">
      <w:pPr>
        <w:pStyle w:val="Default"/>
        <w:jc w:val="both"/>
        <w:rPr>
          <w:sz w:val="22"/>
          <w:szCs w:val="22"/>
          <w:lang w:val="hr-HR"/>
        </w:rPr>
      </w:pPr>
    </w:p>
    <w:p w14:paraId="452BC5E6" w14:textId="77777777" w:rsidR="00E659A5" w:rsidRDefault="00C21592">
      <w:pPr>
        <w:pStyle w:val="Default"/>
        <w:jc w:val="both"/>
        <w:rPr>
          <w:sz w:val="22"/>
          <w:szCs w:val="22"/>
          <w:lang w:val="hr-HR"/>
        </w:rPr>
      </w:pPr>
      <w:r>
        <w:rPr>
          <w:sz w:val="22"/>
          <w:szCs w:val="22"/>
          <w:lang w:val="hr-HR"/>
        </w:rPr>
        <w:t>U kliničkim ispitivanjima krvarenje iz mukoza (tj. epistaksa, krvarenje desni, gastrointestinalno krvarenje i genitourinarno krvarenje uključujući abnormalno vaginalno ili pojačano menstrualno krvarenje) i anemija zabilježeni su češće tokom dugotrajnog liječenja rivaroksabanom u poređenju sa liječenjem VKA. Stoga, osim adekvatnog kliničkog praćenja, laboratorijsko određivanje hemoglobina/hematokrita može biti značajno za otkrivanje okultnog krvarenja i određivanje kliničkog značaja vidljivog krvarenja, kada se to procijeni odgovarajućim.</w:t>
      </w:r>
    </w:p>
    <w:p w14:paraId="3B53D98E" w14:textId="77777777" w:rsidR="00E659A5" w:rsidRDefault="00E659A5">
      <w:pPr>
        <w:pStyle w:val="Default"/>
        <w:jc w:val="both"/>
        <w:rPr>
          <w:sz w:val="22"/>
          <w:szCs w:val="22"/>
          <w:lang w:val="hr-HR"/>
        </w:rPr>
      </w:pPr>
    </w:p>
    <w:p w14:paraId="1ACDDDA0" w14:textId="77777777" w:rsidR="00E659A5" w:rsidRDefault="00C21592">
      <w:pPr>
        <w:pStyle w:val="Default"/>
        <w:jc w:val="both"/>
        <w:rPr>
          <w:sz w:val="22"/>
          <w:szCs w:val="22"/>
          <w:lang w:val="hr-HR"/>
        </w:rPr>
      </w:pPr>
      <w:r>
        <w:rPr>
          <w:sz w:val="22"/>
          <w:szCs w:val="22"/>
          <w:lang w:val="hr-HR"/>
        </w:rPr>
        <w:t>Kako je detaljnije prikazano u daljem tekstu, kod više podgrupa pacijenata postoji povećan rizik od krvarenja. Kod tih pacijenata treba pažljivo pratiti pratiti pojavu znakova i simptoma komplikacija zbog krvarenja i anemije nakon započinjanja terapije (vidjeti dio 4.8).</w:t>
      </w:r>
    </w:p>
    <w:p w14:paraId="66BC1013" w14:textId="77777777" w:rsidR="00E659A5" w:rsidRDefault="00C21592">
      <w:pPr>
        <w:pStyle w:val="Default"/>
        <w:jc w:val="both"/>
        <w:rPr>
          <w:sz w:val="22"/>
          <w:szCs w:val="22"/>
          <w:lang w:val="hr-HR"/>
        </w:rPr>
      </w:pPr>
      <w:r>
        <w:rPr>
          <w:sz w:val="22"/>
          <w:szCs w:val="22"/>
          <w:lang w:val="hr-HR"/>
        </w:rPr>
        <w:t>Kod svakog neobjašnjivog pada vrijednosti hemoglobina ili krvnog pritiska potrebno je potražiti mjesto krvarenja.</w:t>
      </w:r>
    </w:p>
    <w:p w14:paraId="57C197A5" w14:textId="77777777" w:rsidR="00E659A5" w:rsidRDefault="00E659A5">
      <w:pPr>
        <w:pStyle w:val="Default"/>
        <w:jc w:val="both"/>
        <w:rPr>
          <w:sz w:val="22"/>
          <w:szCs w:val="22"/>
          <w:lang w:val="hr-HR"/>
        </w:rPr>
      </w:pPr>
    </w:p>
    <w:p w14:paraId="38E3809D" w14:textId="77777777" w:rsidR="00E659A5" w:rsidRDefault="00C21592">
      <w:pPr>
        <w:widowControl w:val="0"/>
        <w:jc w:val="both"/>
      </w:pPr>
      <w:r>
        <w:t xml:space="preserve">Iako liječenje rivaroksabanom ne zahtijeva rutinski monitoring ekspozicije lijeku, mjerenje koncentracije rivaroksabana kalibrisanom kvantitativnom metodom za anti-faktor Xa može biti od koristi u izuzetnim situacijama gdje znanje o izloženosti rivaroksabanu može pomoći kao informacija u kliničkim odlukama, npr. kod predoziranja ili stanja koja zahtijevaju hitnu hiruršku intervenciju (vidjeti </w:t>
      </w:r>
      <w:r>
        <w:rPr>
          <w:lang w:val="hr-HR"/>
        </w:rPr>
        <w:t xml:space="preserve">djelove </w:t>
      </w:r>
      <w:r>
        <w:t>5.1 i 5.2).</w:t>
      </w:r>
    </w:p>
    <w:p w14:paraId="0AC9E18D" w14:textId="77777777" w:rsidR="00E659A5" w:rsidRDefault="00E659A5">
      <w:pPr>
        <w:widowControl w:val="0"/>
        <w:jc w:val="both"/>
        <w:rPr>
          <w:rFonts w:eastAsia="Calibri"/>
        </w:rPr>
      </w:pPr>
    </w:p>
    <w:p w14:paraId="7DDEA1E1" w14:textId="77777777" w:rsidR="00E659A5" w:rsidRDefault="00C21592">
      <w:pPr>
        <w:widowControl w:val="0"/>
        <w:jc w:val="both"/>
        <w:rPr>
          <w:rFonts w:eastAsia="Calibri"/>
          <w:i/>
          <w:iCs/>
        </w:rPr>
      </w:pPr>
      <w:r>
        <w:rPr>
          <w:rFonts w:eastAsia="Calibri"/>
          <w:i/>
          <w:iCs/>
        </w:rPr>
        <w:t xml:space="preserve">Pedijatrijska populacija </w:t>
      </w:r>
    </w:p>
    <w:p w14:paraId="60F535C3" w14:textId="77777777" w:rsidR="00E659A5" w:rsidRDefault="00C21592">
      <w:pPr>
        <w:widowControl w:val="0"/>
        <w:jc w:val="both"/>
        <w:rPr>
          <w:rFonts w:eastAsia="Calibri"/>
        </w:rPr>
      </w:pPr>
      <w:r>
        <w:rPr>
          <w:rFonts w:eastAsia="Calibri"/>
        </w:rPr>
        <w:t>Ograničeni su podaci o primjeni lijeka kod djece sa trombozom cerebralne vene i sinusa koja imaju infekciju CNS-a (vidjeti dio 5.1). Prije i tokom terapije rivaroksabanom potrebno je pažljivo procijeniti rizik od krvarenja.</w:t>
      </w:r>
    </w:p>
    <w:p w14:paraId="3A1C71F3" w14:textId="77777777" w:rsidR="00E659A5" w:rsidRDefault="00E659A5">
      <w:pPr>
        <w:widowControl w:val="0"/>
        <w:jc w:val="both"/>
        <w:rPr>
          <w:rFonts w:eastAsia="Calibri"/>
        </w:rPr>
      </w:pPr>
    </w:p>
    <w:p w14:paraId="704C57A2" w14:textId="77777777" w:rsidR="00E659A5" w:rsidRDefault="00C21592">
      <w:pPr>
        <w:pStyle w:val="Default"/>
        <w:jc w:val="both"/>
        <w:rPr>
          <w:sz w:val="22"/>
          <w:szCs w:val="22"/>
          <w:u w:val="single"/>
          <w:lang w:val="hr-HR"/>
        </w:rPr>
      </w:pPr>
      <w:r>
        <w:rPr>
          <w:sz w:val="22"/>
          <w:szCs w:val="22"/>
          <w:u w:val="single"/>
          <w:lang w:val="hr-HR"/>
        </w:rPr>
        <w:t>Oštećenje funkcije bubrega</w:t>
      </w:r>
    </w:p>
    <w:p w14:paraId="3BCAD252" w14:textId="77777777" w:rsidR="00E659A5" w:rsidRDefault="00C21592">
      <w:pPr>
        <w:widowControl w:val="0"/>
        <w:jc w:val="both"/>
        <w:rPr>
          <w:rFonts w:eastAsia="Calibri"/>
        </w:rPr>
      </w:pPr>
      <w:r>
        <w:t xml:space="preserve">Kod pacijenata sa teškim oštećenjem funkcije bubrega (klirens kreatinina &lt; 30 ml/min) mogu se značajno povećati koncentracije rivaroksabana u plazmi (prosječno 1,6 puta), što može dovesti do povećanog rizika od krvarenja. Lijek Xerdoxo se mora primjenjivati sa oprezom kod pacijenata sa klirensom kreatinina 15 – 29 ml/min. Primjena lijeka se ne preporučuje kod pacijenata sa klirensom kreatinina &lt; 15 ml/min (vidjeti djelove 4.2 i 5.2). Lijek Xerdoxo se mora primjenjivati sa oprezom kod pacijenata sa oštećenom funkcijom bubrega koji istovremeno primaju druge ljekove koji povećavaju koncentracije rivaroksabana u plazmi (vidjeti </w:t>
      </w:r>
      <w:r>
        <w:rPr>
          <w:lang w:val="hr-HR"/>
        </w:rPr>
        <w:t xml:space="preserve">dio </w:t>
      </w:r>
      <w:r>
        <w:t>4.5).</w:t>
      </w:r>
    </w:p>
    <w:p w14:paraId="6EF35FFD" w14:textId="586EDBBA" w:rsidR="00E659A5" w:rsidRDefault="00C21592">
      <w:pPr>
        <w:widowControl w:val="0"/>
        <w:jc w:val="both"/>
        <w:rPr>
          <w:rFonts w:eastAsia="Calibri"/>
        </w:rPr>
      </w:pPr>
      <w:r>
        <w:rPr>
          <w:rFonts w:eastAsia="Calibri"/>
        </w:rPr>
        <w:t>Primjena lijeka Xerdoxo se ne preporučuje kod djece i adolescenata sa umjerenim ili teškim oštećenjem funkcije bubrega (brzina glomerularne filtracije &lt; 50 m</w:t>
      </w:r>
      <w:r w:rsidR="00BC6CEA">
        <w:rPr>
          <w:rFonts w:eastAsia="Calibri"/>
        </w:rPr>
        <w:t>l</w:t>
      </w:r>
      <w:r>
        <w:rPr>
          <w:rFonts w:eastAsia="Calibri"/>
        </w:rPr>
        <w:t>/min/1.73 m</w:t>
      </w:r>
      <w:r>
        <w:rPr>
          <w:rFonts w:eastAsia="Calibri"/>
          <w:vertAlign w:val="superscript"/>
        </w:rPr>
        <w:t>2</w:t>
      </w:r>
      <w:r>
        <w:rPr>
          <w:rFonts w:eastAsia="Calibri"/>
        </w:rPr>
        <w:t>) jer nema dostupnih kliničkih podataka</w:t>
      </w:r>
    </w:p>
    <w:p w14:paraId="09B662B3" w14:textId="77777777" w:rsidR="00E659A5" w:rsidRDefault="00E659A5">
      <w:pPr>
        <w:widowControl w:val="0"/>
        <w:jc w:val="both"/>
        <w:rPr>
          <w:rFonts w:eastAsia="Calibri"/>
        </w:rPr>
      </w:pPr>
    </w:p>
    <w:p w14:paraId="34F5352F" w14:textId="77777777" w:rsidR="00E659A5" w:rsidRDefault="00C21592">
      <w:pPr>
        <w:pStyle w:val="Default"/>
        <w:jc w:val="both"/>
        <w:rPr>
          <w:sz w:val="22"/>
          <w:szCs w:val="22"/>
          <w:u w:val="single"/>
          <w:lang w:val="hr-HR"/>
        </w:rPr>
      </w:pPr>
      <w:r>
        <w:rPr>
          <w:sz w:val="22"/>
          <w:szCs w:val="22"/>
          <w:u w:val="single"/>
          <w:lang w:val="hr-HR"/>
        </w:rPr>
        <w:t>Interakcije sa drugim ljekovima</w:t>
      </w:r>
    </w:p>
    <w:p w14:paraId="3E0622D7" w14:textId="77777777" w:rsidR="00E659A5" w:rsidRDefault="00C21592">
      <w:pPr>
        <w:widowControl w:val="0"/>
        <w:jc w:val="both"/>
      </w:pPr>
      <w:r>
        <w:lastRenderedPageBreak/>
        <w:t xml:space="preserve">Primjena lijeka Xerdoxo se ne preporučuje kod pacijenata koji istovremeno primaju azolne antimikotike za sistemsku primjenu (kao što su ketokonazol, itrakonazol, vorikonazol i posakonazol) ili inhibitore HIV proteaze (npr. ritonavir). Te aktivne supstance su snažni inhibitori CYP3A4 i P-gp, pa stoga mogu klinički značajno povećati koncentraciju rivaroksabana u plazmi (prosječno 2,6 puta), što može dovesti do povećanog rizika od krvarenja. </w:t>
      </w:r>
    </w:p>
    <w:p w14:paraId="0C7378FC" w14:textId="77777777" w:rsidR="00E659A5" w:rsidRDefault="00C21592">
      <w:pPr>
        <w:widowControl w:val="0"/>
        <w:jc w:val="both"/>
      </w:pPr>
      <w:r>
        <w:t xml:space="preserve">Nema dostupnih kliničkih podataka kod djece koja primaju istovremenu sistemsku terapiju jakim inhibitorima CYP3A4 i P-gp (vidjeti </w:t>
      </w:r>
      <w:r>
        <w:rPr>
          <w:lang w:val="hr-HR"/>
        </w:rPr>
        <w:t xml:space="preserve">dio </w:t>
      </w:r>
      <w:r>
        <w:t>4.5).</w:t>
      </w:r>
    </w:p>
    <w:p w14:paraId="44F51E15" w14:textId="77777777" w:rsidR="00E659A5" w:rsidRDefault="00E659A5">
      <w:pPr>
        <w:widowControl w:val="0"/>
        <w:jc w:val="both"/>
        <w:rPr>
          <w:rFonts w:eastAsia="Calibri"/>
        </w:rPr>
      </w:pPr>
    </w:p>
    <w:p w14:paraId="0A8FF0DC" w14:textId="77777777" w:rsidR="00E659A5" w:rsidRDefault="00C21592">
      <w:pPr>
        <w:widowControl w:val="0"/>
        <w:jc w:val="both"/>
        <w:rPr>
          <w:rFonts w:eastAsia="Calibri"/>
        </w:rPr>
      </w:pPr>
      <w:r>
        <w:t xml:space="preserve">Neophodan je oprez ako su pacijenti istovremeno liječeni ljekovima koji utiču na hemostazu, kao što su nesteroidni antiinflamatorni ljekovi (NSAIL), acetilsalicilna kiselina i inhibitori agregacije trombocita ili selektivni inhibitori ponovnog preuzimanja serotonina (SSRI) i inhibitori ponovnog preuzimanja serotonina i noradrenalina (SNRI). Kod pacijenata koji imaju rizik od razvoja ulcerozne gastrointestinalne bolesti potrebno je razmotriti uvođenje odgovarajuće profilaktičke terapije </w:t>
      </w:r>
      <w:r>
        <w:rPr>
          <w:lang w:val="hr-HR"/>
        </w:rPr>
        <w:t>(vidjeti dio 4.5</w:t>
      </w:r>
      <w:r>
        <w:rPr>
          <w:lang w:val="sr-Latn-RS"/>
        </w:rPr>
        <w:t>)</w:t>
      </w:r>
      <w:r>
        <w:rPr>
          <w:lang w:val="hr-HR"/>
        </w:rPr>
        <w:t>.</w:t>
      </w:r>
      <w:r>
        <w:t xml:space="preserve"> </w:t>
      </w:r>
    </w:p>
    <w:p w14:paraId="4F17EA9C" w14:textId="77777777" w:rsidR="00E659A5" w:rsidRDefault="00E659A5">
      <w:pPr>
        <w:widowControl w:val="0"/>
        <w:jc w:val="both"/>
        <w:rPr>
          <w:rFonts w:eastAsia="Calibri"/>
        </w:rPr>
      </w:pPr>
    </w:p>
    <w:p w14:paraId="63902F79" w14:textId="77777777" w:rsidR="00E659A5" w:rsidRDefault="00C21592">
      <w:pPr>
        <w:pStyle w:val="Default"/>
        <w:jc w:val="both"/>
        <w:rPr>
          <w:sz w:val="22"/>
          <w:szCs w:val="22"/>
          <w:u w:val="single"/>
          <w:lang w:val="hr-HR"/>
        </w:rPr>
      </w:pPr>
      <w:r>
        <w:rPr>
          <w:sz w:val="22"/>
          <w:szCs w:val="22"/>
          <w:u w:val="single"/>
          <w:lang w:val="hr-HR"/>
        </w:rPr>
        <w:t>Ostali faktori rizika za pojavu krvarenja</w:t>
      </w:r>
    </w:p>
    <w:p w14:paraId="2D7A15C4" w14:textId="77777777" w:rsidR="00E659A5" w:rsidRDefault="00C21592">
      <w:pPr>
        <w:pStyle w:val="Default"/>
        <w:jc w:val="both"/>
        <w:rPr>
          <w:sz w:val="22"/>
          <w:szCs w:val="22"/>
          <w:lang w:val="hr-HR"/>
        </w:rPr>
      </w:pPr>
      <w:r>
        <w:rPr>
          <w:sz w:val="22"/>
          <w:szCs w:val="22"/>
          <w:lang w:val="hr-HR"/>
        </w:rPr>
        <w:t>Kao i druga antikoagulantna sredstva, rivaroksaban se ne preporučuje kod pacijenata sa povećanim rizikom od krvarenja, kao što su pacijenti sa:</w:t>
      </w:r>
    </w:p>
    <w:p w14:paraId="3FA1CDC1" w14:textId="77777777" w:rsidR="00E659A5" w:rsidRDefault="00C21592">
      <w:pPr>
        <w:pStyle w:val="Default"/>
        <w:numPr>
          <w:ilvl w:val="1"/>
          <w:numId w:val="2"/>
        </w:numPr>
        <w:ind w:left="567" w:hanging="567"/>
        <w:jc w:val="both"/>
        <w:rPr>
          <w:sz w:val="22"/>
          <w:szCs w:val="22"/>
          <w:lang w:val="hr-HR"/>
        </w:rPr>
      </w:pPr>
      <w:r>
        <w:rPr>
          <w:sz w:val="22"/>
          <w:szCs w:val="22"/>
          <w:lang w:val="hr-HR"/>
        </w:rPr>
        <w:t>urođenim ili stečenim poremećajima krvarenja,</w:t>
      </w:r>
    </w:p>
    <w:p w14:paraId="3D5F3EE1" w14:textId="77777777" w:rsidR="00E659A5" w:rsidRDefault="00C21592">
      <w:pPr>
        <w:pStyle w:val="Default"/>
        <w:numPr>
          <w:ilvl w:val="1"/>
          <w:numId w:val="2"/>
        </w:numPr>
        <w:ind w:left="567" w:hanging="567"/>
        <w:jc w:val="both"/>
        <w:rPr>
          <w:sz w:val="22"/>
          <w:szCs w:val="22"/>
          <w:lang w:val="hr-HR"/>
        </w:rPr>
      </w:pPr>
      <w:r>
        <w:rPr>
          <w:sz w:val="22"/>
          <w:szCs w:val="22"/>
          <w:lang w:val="hr-HR"/>
        </w:rPr>
        <w:t>nekontrolisanom teškom arterijskom hipertenzijom,</w:t>
      </w:r>
    </w:p>
    <w:p w14:paraId="09FC0872" w14:textId="77777777" w:rsidR="00E659A5" w:rsidRDefault="00C21592">
      <w:pPr>
        <w:pStyle w:val="Default"/>
        <w:numPr>
          <w:ilvl w:val="1"/>
          <w:numId w:val="2"/>
        </w:numPr>
        <w:ind w:left="567" w:hanging="567"/>
        <w:jc w:val="both"/>
        <w:rPr>
          <w:sz w:val="22"/>
          <w:szCs w:val="22"/>
          <w:lang w:val="hr-HR"/>
        </w:rPr>
      </w:pPr>
      <w:r>
        <w:rPr>
          <w:sz w:val="22"/>
          <w:szCs w:val="22"/>
          <w:lang w:val="hr-HR"/>
        </w:rPr>
        <w:t>drugom gastrointestinalnom bolešću bez aktivnog ulkusa koja može dovesti do komplikacija sa krvarenjem (npr. zapaljenska bolest crijeva, ezofagitis, gastritis i gastroezofagealna refluksna bolest),</w:t>
      </w:r>
    </w:p>
    <w:p w14:paraId="24DCB490" w14:textId="77777777" w:rsidR="00E659A5" w:rsidRDefault="00C21592">
      <w:pPr>
        <w:pStyle w:val="Default"/>
        <w:numPr>
          <w:ilvl w:val="1"/>
          <w:numId w:val="2"/>
        </w:numPr>
        <w:ind w:left="567" w:hanging="567"/>
        <w:jc w:val="both"/>
        <w:rPr>
          <w:sz w:val="22"/>
          <w:szCs w:val="22"/>
          <w:lang w:val="hr-HR"/>
        </w:rPr>
      </w:pPr>
      <w:r>
        <w:rPr>
          <w:sz w:val="22"/>
          <w:szCs w:val="22"/>
          <w:lang w:val="hr-HR"/>
        </w:rPr>
        <w:t>vaskularnom retinopatijom,</w:t>
      </w:r>
    </w:p>
    <w:p w14:paraId="4207C62A" w14:textId="77777777" w:rsidR="00E659A5" w:rsidRDefault="00C21592">
      <w:pPr>
        <w:pStyle w:val="Default"/>
        <w:numPr>
          <w:ilvl w:val="1"/>
          <w:numId w:val="2"/>
        </w:numPr>
        <w:ind w:left="567" w:hanging="567"/>
        <w:jc w:val="both"/>
        <w:rPr>
          <w:sz w:val="22"/>
          <w:szCs w:val="22"/>
          <w:lang w:val="hr-HR"/>
        </w:rPr>
      </w:pPr>
      <w:r>
        <w:rPr>
          <w:sz w:val="22"/>
          <w:szCs w:val="22"/>
          <w:lang w:val="hr-HR"/>
        </w:rPr>
        <w:t>bronhiektazijama ili anamnezom plućnog krvarenja.</w:t>
      </w:r>
    </w:p>
    <w:p w14:paraId="3F4A0888" w14:textId="77777777" w:rsidR="00E659A5" w:rsidRDefault="00E659A5">
      <w:pPr>
        <w:widowControl w:val="0"/>
        <w:jc w:val="both"/>
      </w:pPr>
    </w:p>
    <w:p w14:paraId="163629FE" w14:textId="77777777" w:rsidR="00E659A5" w:rsidRDefault="00C21592">
      <w:pPr>
        <w:widowControl w:val="0"/>
        <w:jc w:val="both"/>
        <w:rPr>
          <w:u w:val="single"/>
        </w:rPr>
      </w:pPr>
      <w:r>
        <w:rPr>
          <w:u w:val="single"/>
        </w:rPr>
        <w:t>Pacijenti sa karcinomom</w:t>
      </w:r>
    </w:p>
    <w:p w14:paraId="36F5ADEC" w14:textId="77777777" w:rsidR="00E659A5" w:rsidRDefault="00C21592">
      <w:pPr>
        <w:widowControl w:val="0"/>
        <w:jc w:val="both"/>
      </w:pPr>
      <w:r>
        <w:t>Pacijenti sa malignim oboljenjima mogu istovremeno imati povišen rizik i od krvarenja i od tromboze. Procjenu nadilazi li korist antitrombotske terapije rizik od krvarenja potrebno je sprovesti zasebno za svakog pacijenta s aktivnom malignom bolešću, a zavisno od lokacije tumora, antineoplastične terapije i stadijuma bolesti. Tumori locirani u gastrointestinalnom ili genitourinarnom traktu bili su povezani s povišenim rizikom od krvarenja tokom terapije rivaroksabanom. Kod pacijenata sa malignim neoplazmama s visokim rizikom od krvarenja, primjena rivaroksabana je kontraindikovana (vidjeti dio 4.3)</w:t>
      </w:r>
    </w:p>
    <w:p w14:paraId="0A1DF681" w14:textId="77777777" w:rsidR="00E659A5" w:rsidRDefault="00E659A5">
      <w:pPr>
        <w:widowControl w:val="0"/>
        <w:ind w:right="-20"/>
        <w:jc w:val="both"/>
        <w:rPr>
          <w:u w:val="single" w:color="000000"/>
        </w:rPr>
      </w:pPr>
    </w:p>
    <w:p w14:paraId="3A865615" w14:textId="77777777" w:rsidR="00E659A5" w:rsidRDefault="00C21592">
      <w:pPr>
        <w:pStyle w:val="Default"/>
        <w:jc w:val="both"/>
        <w:rPr>
          <w:sz w:val="22"/>
          <w:szCs w:val="22"/>
          <w:u w:val="single"/>
          <w:lang w:val="hr-HR"/>
        </w:rPr>
      </w:pPr>
      <w:r>
        <w:rPr>
          <w:sz w:val="22"/>
          <w:szCs w:val="22"/>
          <w:u w:val="single"/>
          <w:lang w:val="hr-HR"/>
        </w:rPr>
        <w:t>Pacijenti sa vještačkim srčanim zaliscima</w:t>
      </w:r>
    </w:p>
    <w:p w14:paraId="4EA12557" w14:textId="77777777" w:rsidR="00E659A5" w:rsidRDefault="00C21592">
      <w:pPr>
        <w:widowControl w:val="0"/>
        <w:jc w:val="both"/>
        <w:rPr>
          <w:rFonts w:eastAsia="Calibri"/>
        </w:rPr>
      </w:pPr>
      <w:r>
        <w:t xml:space="preserve">Rivaroksaban se ne smije primjenjivati za tromboprofilaksu kod pacijenata koji su nedavno podvrgnuti transkateterskoj zamjeni aortnog zaliska (engl. </w:t>
      </w:r>
      <w:r>
        <w:rPr>
          <w:i/>
          <w:iCs/>
        </w:rPr>
        <w:t>transcatheter aortic valve replacement</w:t>
      </w:r>
      <w:r>
        <w:t xml:space="preserve"> – TAVR). Bezbjednost i efikasnost rivaroksabana nisu ispitivane kod pacijenata sa vještačkim srčanim zaliscima, stoga nema podataka u prilog tome da rivaroksaban osigurava adekvatnu antikoagulaciju kod ove populacije pacijenata. Liječenje rivaroksabanom se ne preporučuje kod tih pacijenata.</w:t>
      </w:r>
    </w:p>
    <w:p w14:paraId="17225FE9" w14:textId="77777777" w:rsidR="00E659A5" w:rsidRDefault="00E659A5">
      <w:pPr>
        <w:widowControl w:val="0"/>
        <w:jc w:val="both"/>
        <w:rPr>
          <w:rFonts w:eastAsia="Calibri"/>
        </w:rPr>
      </w:pPr>
    </w:p>
    <w:p w14:paraId="1CC6374D" w14:textId="77777777" w:rsidR="00E659A5" w:rsidRDefault="00C21592">
      <w:pPr>
        <w:pStyle w:val="Default"/>
        <w:jc w:val="both"/>
        <w:rPr>
          <w:sz w:val="22"/>
          <w:szCs w:val="22"/>
          <w:u w:val="single"/>
          <w:lang w:val="hr-HR"/>
        </w:rPr>
      </w:pPr>
      <w:r>
        <w:rPr>
          <w:sz w:val="22"/>
          <w:szCs w:val="22"/>
          <w:u w:val="single"/>
          <w:lang w:val="hr-HR"/>
        </w:rPr>
        <w:t>Pacijenti sa antifosfolipidnim sindromom</w:t>
      </w:r>
    </w:p>
    <w:p w14:paraId="7B444DA6" w14:textId="77777777" w:rsidR="00E659A5" w:rsidRDefault="00C21592">
      <w:pPr>
        <w:widowControl w:val="0"/>
        <w:jc w:val="both"/>
      </w:pPr>
      <w:r>
        <w:t xml:space="preserve">Direktno djelujući oralni antikoagulansi (engl. </w:t>
      </w:r>
      <w:r>
        <w:rPr>
          <w:i/>
          <w:iCs/>
        </w:rPr>
        <w:t>direct acting oral anticoagulants</w:t>
      </w:r>
      <w:r>
        <w:t xml:space="preserve"> – DOAC), uključujući rivaroksaban, ne preporučuju se pacijentima koji u anamnezi imaju trombozu, a postavljena im je dijagnoza antifosfolipidnog sindroma. Posebno se ne preporučuju kod pacijenata koji su trostruko pozitivni (na lupus antikoagulans, antikardiolipinska antitijela i anti-beta2-glikoprotein-I antitijela), kod kojih bi liječenje direktno djelujućim oralnim antikoagulansima moglo biti povezano sa povećanom stopom rekurentnih trombotičkih događaja u poređenju sa terapijom VKA.</w:t>
      </w:r>
    </w:p>
    <w:p w14:paraId="0663E0DB" w14:textId="77777777" w:rsidR="00E659A5" w:rsidRDefault="00E659A5">
      <w:pPr>
        <w:widowControl w:val="0"/>
        <w:jc w:val="both"/>
      </w:pPr>
    </w:p>
    <w:p w14:paraId="40B5D54D" w14:textId="77777777" w:rsidR="00E659A5" w:rsidRDefault="00C21592">
      <w:pPr>
        <w:pStyle w:val="Default"/>
        <w:jc w:val="both"/>
        <w:rPr>
          <w:sz w:val="22"/>
          <w:szCs w:val="22"/>
          <w:u w:val="single"/>
          <w:lang w:val="hr-HR"/>
        </w:rPr>
      </w:pPr>
      <w:r>
        <w:rPr>
          <w:sz w:val="22"/>
          <w:szCs w:val="22"/>
          <w:u w:val="single"/>
          <w:lang w:val="hr-HR"/>
        </w:rPr>
        <w:t>Pacijenti sa nevalvularnom atrijalnom fibrilacijom koji se podvrgavaju PCI sa postavljanjem stenta</w:t>
      </w:r>
    </w:p>
    <w:p w14:paraId="1AC4B71A" w14:textId="77777777" w:rsidR="00E659A5" w:rsidRDefault="00C21592">
      <w:pPr>
        <w:widowControl w:val="0"/>
        <w:jc w:val="both"/>
        <w:rPr>
          <w:rFonts w:eastAsia="Calibri"/>
        </w:rPr>
      </w:pPr>
      <w:r>
        <w:t xml:space="preserve">Dostupni su klinički podaci iz intervencijske studije čiji je primarni cilj bio utvrđivanje bezbjednosti primjene kod pacijenata sa nevalvularnom atrijalnom fibrilacijom koji se podvrgavaju PCI sa postavljanjem stenta. Podaci o efikasnosti kod ove populacije su ograničeni (vidjeti </w:t>
      </w:r>
      <w:r>
        <w:rPr>
          <w:lang w:val="hr-HR"/>
        </w:rPr>
        <w:t xml:space="preserve">djelove </w:t>
      </w:r>
      <w:r>
        <w:t>4.2 i 5.1). Nisu dostupni podaci za takve pacijente sa moždanim udarom/tranzitornim ishemijskim atakom (TIA) u anamnezi.</w:t>
      </w:r>
    </w:p>
    <w:p w14:paraId="07B128E8" w14:textId="77777777" w:rsidR="00E659A5" w:rsidRDefault="00E659A5">
      <w:pPr>
        <w:widowControl w:val="0"/>
        <w:jc w:val="both"/>
        <w:rPr>
          <w:rFonts w:eastAsia="Calibri"/>
        </w:rPr>
      </w:pPr>
    </w:p>
    <w:p w14:paraId="327AF232" w14:textId="77777777" w:rsidR="00E659A5" w:rsidRDefault="00C21592">
      <w:pPr>
        <w:pStyle w:val="Default"/>
        <w:jc w:val="both"/>
        <w:rPr>
          <w:sz w:val="22"/>
          <w:szCs w:val="22"/>
          <w:u w:val="single"/>
          <w:lang w:val="hr-HR"/>
        </w:rPr>
      </w:pPr>
      <w:r>
        <w:rPr>
          <w:sz w:val="22"/>
          <w:szCs w:val="22"/>
          <w:u w:val="single"/>
          <w:lang w:val="hr-HR"/>
        </w:rPr>
        <w:t>Hemodinamski nestabilni pacijenti sa PE ili pacijenti čije stanje zahtijeva trombolizu ili pulmonalnu embolektomiju</w:t>
      </w:r>
    </w:p>
    <w:p w14:paraId="31AA3E8F" w14:textId="77777777" w:rsidR="00E659A5" w:rsidRDefault="00C21592">
      <w:pPr>
        <w:widowControl w:val="0"/>
        <w:jc w:val="both"/>
        <w:rPr>
          <w:rFonts w:eastAsia="Calibri"/>
        </w:rPr>
      </w:pPr>
      <w:r>
        <w:t>Lijek Xerdoxo se ne preporučuje kao alternativa nefrakcionisanom heparinu kod pacijenata sa PE koji su hemodinamiski nestabilni ili bi mogli dobiti trombolizu ili pulmonalnu embolektomiju jer bezbjednost i efikasnost rivaroksabana u tim kliničkim situacijama nisu potvrđene.</w:t>
      </w:r>
    </w:p>
    <w:p w14:paraId="6B2EB7FB" w14:textId="77777777" w:rsidR="00E659A5" w:rsidRDefault="00E659A5">
      <w:pPr>
        <w:widowControl w:val="0"/>
        <w:jc w:val="both"/>
        <w:rPr>
          <w:rFonts w:eastAsia="Calibri"/>
        </w:rPr>
      </w:pPr>
    </w:p>
    <w:p w14:paraId="7A5515AF" w14:textId="77777777" w:rsidR="00E659A5" w:rsidRDefault="00C21592">
      <w:pPr>
        <w:pStyle w:val="Default"/>
        <w:jc w:val="both"/>
        <w:rPr>
          <w:sz w:val="22"/>
          <w:szCs w:val="22"/>
          <w:u w:val="single"/>
          <w:lang w:val="hr-HR"/>
        </w:rPr>
      </w:pPr>
      <w:r>
        <w:rPr>
          <w:sz w:val="22"/>
          <w:szCs w:val="22"/>
          <w:u w:val="single"/>
          <w:lang w:val="hr-HR"/>
        </w:rPr>
        <w:t>Spinalna/epiduralna anestezija ili punkcija</w:t>
      </w:r>
    </w:p>
    <w:p w14:paraId="2D2DE45E" w14:textId="77777777" w:rsidR="00E659A5" w:rsidRDefault="00C21592">
      <w:pPr>
        <w:pStyle w:val="Default"/>
        <w:jc w:val="both"/>
        <w:rPr>
          <w:sz w:val="22"/>
          <w:szCs w:val="22"/>
          <w:lang w:val="hr-HR"/>
        </w:rPr>
      </w:pPr>
      <w:r>
        <w:rPr>
          <w:sz w:val="22"/>
          <w:szCs w:val="22"/>
          <w:lang w:val="hr-HR"/>
        </w:rPr>
        <w:t>Pri izvođenju neuroaksijalne anestezije (spinalna/epiduralna anestezija) ili spinalne/epiduralne punkcije, pacijenti koji primaju antitrombotike za prevenciju tromboembolijskih komplikacija izloženi su riziku od pojave epiduralnog ili spinalnog hematoma, koji mogu dovesti do dugotrajne ili trajne paralize. Rizik od tih događaja može se povećati postoperativnim korišćenjem trajnih epiduralnih katetera ili istovremenom primjenom ljekova koji utiču na hemostazu. Rizik se može povećati i zbog traumatske ili ponavljane epiduralne ili spinalne punkcije. Kod pacijenata treba često pratiti pojavu znakova i simptoma neurološkog oštećenja (npr. utrnulost ili slabost u nogama, disfunkcija crijeva ili mokraćne bešike). Ukoliko se uoči neurološki poremećaj, potrebna je hitna dijagnostička obrada i liječenje. Kod pacijenata koji primaju antikoagulanse ili koji će ih primati za tromboprofilaksu, ljekar mora prije neuroaksijalne intervencije da razmotri potencijalnu korist u odnosu na rizik. Nema kliničkog iskustva sa primjenom 20 mg rivaroksabana u ovakvim situacijama.</w:t>
      </w:r>
    </w:p>
    <w:p w14:paraId="549EC57C" w14:textId="77777777" w:rsidR="00E659A5" w:rsidRDefault="00C21592">
      <w:pPr>
        <w:pStyle w:val="Default"/>
        <w:jc w:val="both"/>
        <w:rPr>
          <w:sz w:val="22"/>
          <w:szCs w:val="22"/>
          <w:lang w:val="hr-HR"/>
        </w:rPr>
      </w:pPr>
      <w:r>
        <w:rPr>
          <w:sz w:val="22"/>
          <w:szCs w:val="22"/>
          <w:lang w:val="hr-HR"/>
        </w:rPr>
        <w:t>Da bi se smanjio potencijalni rizik od krvarenja povezan sa istovremenom primjenom rivaroksabana i neuroaksijalne (epiduralne/spinalne) anestezije ili spinalne punkcije, mora se uzeti u obzir farmakokinetički profil rivaroksabana. Postavljanje ili vađenje epiduralnog katetera ili lumbalna punkcija najbolje se sprovode kad je antikoagulantni efekat rivaroksabana procijenjen kao nizak. Ipak, tačno vrijeme potrebno za postizanje dovoljno niskog antikoagulantnog efekta kod svakog pacijenta nije poznato.</w:t>
      </w:r>
    </w:p>
    <w:p w14:paraId="6A0B0FFE" w14:textId="77777777" w:rsidR="00E659A5" w:rsidRDefault="00C21592">
      <w:pPr>
        <w:pStyle w:val="Default"/>
        <w:jc w:val="both"/>
        <w:rPr>
          <w:sz w:val="22"/>
          <w:szCs w:val="22"/>
          <w:lang w:val="hr-HR"/>
        </w:rPr>
      </w:pPr>
      <w:r>
        <w:rPr>
          <w:sz w:val="22"/>
          <w:szCs w:val="22"/>
          <w:lang w:val="hr-HR"/>
        </w:rPr>
        <w:t>Za vađenje epiduralnog katetera, bazirano na temelju opštih farmakokinetičkih karakteristika, mora proći najmanje dvostruko poluvrijeme, odnosno najmanje 18 sati kod mlađih pacijenata, odnosno 26 sati kod starijih pacijenata od posljednje primjene rivaroksabana (vidjeti dio 5.2). Nakon vađenja katetera, mora proći najmanje 6 sati prije primjene sljedeće doze rivaroksabana.</w:t>
      </w:r>
    </w:p>
    <w:p w14:paraId="45717D55" w14:textId="77777777" w:rsidR="00E659A5" w:rsidRDefault="00C21592">
      <w:pPr>
        <w:widowControl w:val="0"/>
        <w:jc w:val="both"/>
      </w:pPr>
      <w:r>
        <w:t>Ukoliko dođe do traumatske punkcije, primjenu rivaroksabana treba odložiti za 24 sata.</w:t>
      </w:r>
    </w:p>
    <w:p w14:paraId="2DE1FB99" w14:textId="77777777" w:rsidR="00E659A5" w:rsidRDefault="00C21592">
      <w:pPr>
        <w:widowControl w:val="0"/>
        <w:jc w:val="both"/>
        <w:rPr>
          <w:rFonts w:eastAsia="Calibri"/>
        </w:rPr>
      </w:pPr>
      <w:r>
        <w:rPr>
          <w:rFonts w:eastAsia="Calibri"/>
        </w:rPr>
        <w:t>Nema dostupnih podataka o periodu za stavljanje ili vađenje neuraksijalnog katetera kod dejce koja su na terapiji rivaroksabanom. U tom slučaju, treba prekinuti primjenu rivaroksabana i razmotriti uvođenje kratkod</w:t>
      </w:r>
      <w:r w:rsidR="00BC6CEA">
        <w:rPr>
          <w:rFonts w:eastAsia="Calibri"/>
        </w:rPr>
        <w:t>j</w:t>
      </w:r>
      <w:r>
        <w:rPr>
          <w:rFonts w:eastAsia="Calibri"/>
        </w:rPr>
        <w:t>elujućeg parenteralnog antikoagulansa.</w:t>
      </w:r>
    </w:p>
    <w:p w14:paraId="517DEEA1" w14:textId="77777777" w:rsidR="00E659A5" w:rsidRDefault="00E659A5">
      <w:pPr>
        <w:widowControl w:val="0"/>
        <w:jc w:val="both"/>
        <w:rPr>
          <w:rFonts w:eastAsia="Calibri"/>
        </w:rPr>
      </w:pPr>
    </w:p>
    <w:p w14:paraId="67386C5B" w14:textId="77777777" w:rsidR="00E659A5" w:rsidRDefault="00C21592">
      <w:pPr>
        <w:pStyle w:val="Default"/>
        <w:jc w:val="both"/>
        <w:rPr>
          <w:sz w:val="22"/>
          <w:szCs w:val="22"/>
          <w:u w:val="single"/>
          <w:lang w:val="hr-HR"/>
        </w:rPr>
      </w:pPr>
      <w:r>
        <w:rPr>
          <w:sz w:val="22"/>
          <w:szCs w:val="22"/>
          <w:u w:val="single"/>
          <w:lang w:val="hr-HR"/>
        </w:rPr>
        <w:t>Preporuke za doziranje prije i nakon invazivnih procedura i hirurške intervencije</w:t>
      </w:r>
    </w:p>
    <w:p w14:paraId="7AA1BF0A" w14:textId="77777777" w:rsidR="00E659A5" w:rsidRDefault="00C21592">
      <w:pPr>
        <w:pStyle w:val="Default"/>
        <w:jc w:val="both"/>
        <w:rPr>
          <w:sz w:val="22"/>
          <w:szCs w:val="22"/>
          <w:lang w:val="hr-HR"/>
        </w:rPr>
      </w:pPr>
      <w:r>
        <w:rPr>
          <w:sz w:val="22"/>
          <w:szCs w:val="22"/>
          <w:lang w:val="hr-HR"/>
        </w:rPr>
        <w:t>Ukoliko je potrebno sprovesti invazivnu proceduru ili hiruršku intervenciju, terapiju lijekom Xerdoxo 20 mg treba prekinuti najmanje 24 sata prije intervencije, ako je to moguće, što mora biti zasnovano na kliničkoj procjeni ljekara. Ako se procedura ne može odložiti, mora se procijeniti povećani rizik od krvarenja u odnosu na hitnost intervencije.</w:t>
      </w:r>
    </w:p>
    <w:p w14:paraId="2A2AD6A0" w14:textId="77777777" w:rsidR="00E659A5" w:rsidRDefault="00C21592">
      <w:pPr>
        <w:widowControl w:val="0"/>
        <w:jc w:val="both"/>
        <w:rPr>
          <w:rFonts w:eastAsia="Calibri"/>
        </w:rPr>
      </w:pPr>
      <w:r>
        <w:t xml:space="preserve">Terapiju lijekom Xerdoxo treba ponovo započeti što prije nakon invazivne procedure ili hirurške intervencije, pod uslovom da to dopušta klinička situacija i da je uspostavljena odgovarajuća hemostaza prema ocjeni ljekara (vidjeti </w:t>
      </w:r>
      <w:r>
        <w:rPr>
          <w:lang w:val="hr-HR"/>
        </w:rPr>
        <w:t xml:space="preserve">dio </w:t>
      </w:r>
      <w:r>
        <w:t>5.2).</w:t>
      </w:r>
    </w:p>
    <w:p w14:paraId="4878727E" w14:textId="77777777" w:rsidR="00E659A5" w:rsidRDefault="00E659A5">
      <w:pPr>
        <w:widowControl w:val="0"/>
        <w:jc w:val="both"/>
        <w:rPr>
          <w:rFonts w:eastAsia="Calibri"/>
        </w:rPr>
      </w:pPr>
    </w:p>
    <w:p w14:paraId="4FCD38B8" w14:textId="77777777" w:rsidR="00E659A5" w:rsidRDefault="00C21592">
      <w:pPr>
        <w:pStyle w:val="Default"/>
        <w:jc w:val="both"/>
        <w:rPr>
          <w:sz w:val="22"/>
          <w:szCs w:val="22"/>
          <w:u w:val="single"/>
          <w:lang w:val="hr-HR"/>
        </w:rPr>
      </w:pPr>
      <w:r>
        <w:rPr>
          <w:sz w:val="22"/>
          <w:szCs w:val="22"/>
          <w:u w:val="single"/>
          <w:lang w:val="hr-HR"/>
        </w:rPr>
        <w:t>Starija populacija</w:t>
      </w:r>
    </w:p>
    <w:p w14:paraId="0F05C8BB" w14:textId="77777777" w:rsidR="00E659A5" w:rsidRDefault="00C21592">
      <w:pPr>
        <w:pStyle w:val="Default"/>
        <w:jc w:val="both"/>
        <w:rPr>
          <w:sz w:val="22"/>
          <w:szCs w:val="22"/>
          <w:lang w:val="hr-HR"/>
        </w:rPr>
      </w:pPr>
      <w:r>
        <w:rPr>
          <w:sz w:val="22"/>
          <w:szCs w:val="22"/>
          <w:lang w:val="hr-HR"/>
        </w:rPr>
        <w:t>Sa starošču može biti povećan rizik od krvarenja (vidjeti dio 5.2).</w:t>
      </w:r>
    </w:p>
    <w:p w14:paraId="6BF27843" w14:textId="77777777" w:rsidR="00E659A5" w:rsidRDefault="00E659A5">
      <w:pPr>
        <w:pStyle w:val="Default"/>
        <w:jc w:val="both"/>
        <w:rPr>
          <w:sz w:val="22"/>
          <w:szCs w:val="22"/>
          <w:lang w:val="hr-HR"/>
        </w:rPr>
      </w:pPr>
    </w:p>
    <w:p w14:paraId="4FFC835F" w14:textId="77777777" w:rsidR="00E659A5" w:rsidRDefault="00C21592">
      <w:pPr>
        <w:pStyle w:val="Default"/>
        <w:jc w:val="both"/>
        <w:rPr>
          <w:sz w:val="22"/>
          <w:szCs w:val="22"/>
          <w:u w:val="single"/>
          <w:lang w:val="hr-HR"/>
        </w:rPr>
      </w:pPr>
      <w:r>
        <w:rPr>
          <w:sz w:val="22"/>
          <w:szCs w:val="22"/>
          <w:u w:val="single"/>
          <w:lang w:val="hr-HR"/>
        </w:rPr>
        <w:t>Dermatološke reakcije</w:t>
      </w:r>
    </w:p>
    <w:p w14:paraId="2548B60B" w14:textId="77777777" w:rsidR="00E659A5" w:rsidRDefault="00C21592">
      <w:pPr>
        <w:pStyle w:val="Default"/>
        <w:jc w:val="both"/>
        <w:rPr>
          <w:sz w:val="22"/>
          <w:szCs w:val="22"/>
          <w:lang w:val="hr-HR"/>
        </w:rPr>
      </w:pPr>
      <w:r>
        <w:rPr>
          <w:sz w:val="22"/>
          <w:szCs w:val="22"/>
          <w:lang w:val="hr-HR"/>
        </w:rPr>
        <w:t xml:space="preserve">U toku postmarketinškog praćenja lijeka, prijavljene su ozbiljne kožne reakcije povezane sa primjenom rivaroksabana, uključujući </w:t>
      </w:r>
      <w:r>
        <w:rPr>
          <w:i/>
          <w:sz w:val="22"/>
          <w:szCs w:val="22"/>
          <w:lang w:val="hr-HR"/>
        </w:rPr>
        <w:t>Stevens-Johnson</w:t>
      </w:r>
      <w:r>
        <w:rPr>
          <w:sz w:val="22"/>
          <w:szCs w:val="22"/>
          <w:lang w:val="hr-HR"/>
        </w:rPr>
        <w:t xml:space="preserve">-ov sindrom/toksičnu epidermalnu nekrolizu i reakciju na lijek sa eozinofilijom i sistemskim simptomima, DRESS (engl. </w:t>
      </w:r>
      <w:r>
        <w:rPr>
          <w:i/>
          <w:iCs/>
          <w:sz w:val="22"/>
          <w:szCs w:val="22"/>
          <w:lang w:val="hr-HR"/>
        </w:rPr>
        <w:t>drug reaction with eosinophilia and systemic symptoms</w:t>
      </w:r>
      <w:r>
        <w:rPr>
          <w:sz w:val="22"/>
          <w:szCs w:val="22"/>
          <w:lang w:val="hr-HR"/>
        </w:rPr>
        <w:t>) sindrom (vidjeti dio 4.8). Pacijenti su izgleda pod najvišim rizikom od ovih reakcija na početku terapije: reakcije nastupaju u većini slučajeva tokom prvih nedjelja liječenja. Potrebno je prekinuti primjenu rivaroksabana pri prvoj pojavi teškog kožnog osipa (npr. koji se širi, intenzivan je i/ili praćen stvaranjem mjehurića) ili na bilo koji drugi znak preosjetljivosti povezan sa mukoznim lezijama.</w:t>
      </w:r>
    </w:p>
    <w:p w14:paraId="717C985D" w14:textId="77777777" w:rsidR="00E659A5" w:rsidRDefault="00E659A5">
      <w:pPr>
        <w:pStyle w:val="Default"/>
        <w:jc w:val="both"/>
        <w:rPr>
          <w:sz w:val="22"/>
          <w:szCs w:val="22"/>
          <w:lang w:val="hr-HR"/>
        </w:rPr>
      </w:pPr>
    </w:p>
    <w:p w14:paraId="53EE15DB" w14:textId="77777777" w:rsidR="00E659A5" w:rsidRDefault="00C21592">
      <w:pPr>
        <w:widowControl w:val="0"/>
        <w:jc w:val="both"/>
        <w:rPr>
          <w:rFonts w:eastAsia="Calibri"/>
          <w:u w:val="single"/>
        </w:rPr>
      </w:pPr>
      <w:r>
        <w:rPr>
          <w:u w:val="single"/>
        </w:rPr>
        <w:t>Informacije o pomoćnim supstancama sa potvrđenim dejstvom</w:t>
      </w:r>
    </w:p>
    <w:p w14:paraId="6FC945F4" w14:textId="77777777" w:rsidR="00E659A5" w:rsidRDefault="00C21592">
      <w:pPr>
        <w:widowControl w:val="0"/>
        <w:jc w:val="both"/>
      </w:pPr>
      <w:r>
        <w:lastRenderedPageBreak/>
        <w:t>Ovaj lijek sadrži manje od 1 mmol natrijuma (23 mg) po film tableti, odnosno suštinski je „bez natrijuma“.</w:t>
      </w:r>
    </w:p>
    <w:p w14:paraId="178D81DA" w14:textId="77777777" w:rsidR="00E659A5" w:rsidRDefault="00E659A5">
      <w:pPr>
        <w:widowControl w:val="0"/>
        <w:jc w:val="both"/>
        <w:rPr>
          <w:rFonts w:eastAsia="Calibri"/>
        </w:rPr>
      </w:pPr>
    </w:p>
    <w:p w14:paraId="2ABB445D" w14:textId="77777777" w:rsidR="00E659A5" w:rsidRDefault="00C21592">
      <w:pPr>
        <w:widowControl w:val="0"/>
        <w:jc w:val="both"/>
        <w:rPr>
          <w:b/>
        </w:rPr>
      </w:pPr>
      <w:r>
        <w:rPr>
          <w:b/>
        </w:rPr>
        <w:t>4.5</w:t>
      </w:r>
      <w:r>
        <w:rPr>
          <w:b/>
        </w:rPr>
        <w:tab/>
        <w:t>Interakcije sa drugim ljekovima i druge vrste interakcija</w:t>
      </w:r>
    </w:p>
    <w:p w14:paraId="6D3A7827" w14:textId="77777777" w:rsidR="00E659A5" w:rsidRDefault="00E659A5">
      <w:pPr>
        <w:widowControl w:val="0"/>
        <w:jc w:val="both"/>
      </w:pPr>
    </w:p>
    <w:p w14:paraId="77205E3C" w14:textId="77777777" w:rsidR="00E659A5" w:rsidRDefault="00C21592">
      <w:pPr>
        <w:widowControl w:val="0"/>
        <w:jc w:val="both"/>
        <w:rPr>
          <w:rFonts w:eastAsia="Calibri"/>
        </w:rPr>
      </w:pPr>
      <w:r>
        <w:rPr>
          <w:rFonts w:eastAsia="Calibri"/>
        </w:rPr>
        <w:t>Nema podataka o obimu interakcija u pedijatrijskoj populaciji. Podaci o interakcijama navedeni u nastavku teksta, dobijeni su kod odraslih. Za primjenu kod pedijatrijske populacije treba uzeti u obzir upozorenja u dijelu 4.4.</w:t>
      </w:r>
    </w:p>
    <w:p w14:paraId="2FCC1D8F" w14:textId="77777777" w:rsidR="00E659A5" w:rsidRDefault="00E659A5">
      <w:pPr>
        <w:widowControl w:val="0"/>
        <w:jc w:val="both"/>
        <w:rPr>
          <w:rFonts w:eastAsia="Calibri"/>
        </w:rPr>
      </w:pPr>
    </w:p>
    <w:p w14:paraId="4496B0DE" w14:textId="77777777" w:rsidR="00E659A5" w:rsidRDefault="00C21592">
      <w:pPr>
        <w:pStyle w:val="Default"/>
        <w:jc w:val="both"/>
        <w:rPr>
          <w:sz w:val="22"/>
          <w:szCs w:val="22"/>
          <w:u w:val="single"/>
          <w:lang w:val="hr-HR"/>
        </w:rPr>
      </w:pPr>
      <w:r>
        <w:rPr>
          <w:sz w:val="22"/>
          <w:szCs w:val="22"/>
          <w:u w:val="single"/>
          <w:lang w:val="hr-HR"/>
        </w:rPr>
        <w:t>Inhibitori CYP3A4 i P-gp transportera</w:t>
      </w:r>
    </w:p>
    <w:p w14:paraId="640C1E25" w14:textId="77777777" w:rsidR="00E659A5" w:rsidRDefault="00C21592">
      <w:pPr>
        <w:pStyle w:val="Default"/>
        <w:jc w:val="both"/>
        <w:rPr>
          <w:rFonts w:ascii="Arial" w:hAnsi="Arial" w:cs="Arial"/>
          <w:sz w:val="22"/>
          <w:szCs w:val="22"/>
          <w:lang w:val="hr-HR"/>
        </w:rPr>
      </w:pPr>
      <w:r>
        <w:rPr>
          <w:sz w:val="22"/>
          <w:szCs w:val="22"/>
          <w:lang w:val="hr-HR"/>
        </w:rPr>
        <w:t>Istovremena primjena rivaroksabana sa ketokonazolom (400 mg jednom dnevno) ili ritonavirom (600 mg dva puta na dan) dovela je do porasta srednje PIK vrijednosti rivaroksabana za 2,6 puta/2,5 puta, kao i do porasta srednje C</w:t>
      </w:r>
      <w:r>
        <w:rPr>
          <w:sz w:val="22"/>
          <w:szCs w:val="22"/>
          <w:vertAlign w:val="subscript"/>
          <w:lang w:val="hr-HR"/>
        </w:rPr>
        <w:t>max</w:t>
      </w:r>
      <w:r>
        <w:rPr>
          <w:sz w:val="22"/>
          <w:szCs w:val="22"/>
          <w:lang w:val="hr-HR"/>
        </w:rPr>
        <w:t xml:space="preserve"> vrijednosti rivaroksabana za 1,7 puta/1,6 puta, uz značajno povećanje farmakodinamskih efekata, što može dovesti do povećanog rizika od krvarenja. Stoga se primjena lijeka Xerdoxo ne preporučuje kod pacijenata koji istvremeno primaju azolne antimikotike za sistemsku primjenu poput ketokonazola, itrakonazola, vorikonazola i posakonazola, ili inhibitore HIV proteaza. Ove aktivne supstance su snažni inhibitori CYP3A4 i P-gp transportera (vidjeti dio 4.4).</w:t>
      </w:r>
    </w:p>
    <w:p w14:paraId="3FED680E" w14:textId="77777777" w:rsidR="00E659A5" w:rsidRDefault="00E659A5">
      <w:pPr>
        <w:widowControl w:val="0"/>
        <w:jc w:val="both"/>
        <w:rPr>
          <w:rFonts w:eastAsia="Calibri"/>
        </w:rPr>
      </w:pPr>
    </w:p>
    <w:p w14:paraId="11BDA92C" w14:textId="77777777" w:rsidR="00E659A5" w:rsidRDefault="00C21592">
      <w:pPr>
        <w:widowControl w:val="0"/>
        <w:jc w:val="both"/>
        <w:rPr>
          <w:rFonts w:eastAsia="Calibri"/>
        </w:rPr>
      </w:pPr>
      <w:r>
        <w:t>Očekuje se da aktivne supstance koje snažno inhibiraju samo jedan od puteva eliminacije rivaroksabana, bilo CYP3A4 ili P-gp transporter, u manjoj mjeri povećavaju koncentraciju rivaroksabana u plazmi. Na primjer, klaritromicin (500 mg dva puta na dan), koji se smatra jakim inhibitorom CYP3A4 i umjerenim inhibitorom P-gp transportera, doveo je do povećanja srednje PIK vrijednosti rivaroksabana 1,5 puta, a C</w:t>
      </w:r>
      <w:r>
        <w:rPr>
          <w:vertAlign w:val="subscript"/>
        </w:rPr>
        <w:t>max</w:t>
      </w:r>
      <w:r>
        <w:t xml:space="preserve"> 1,4 puta. Interakcija sa klaritromicinom vjerovatno nije klinički značajna kod većine pacijenata, ali može biti potencijalno značajna kod visoko rizičnih pacijenata (za pacijente sa oštećenjem funkcije bubrega: vidjeti </w:t>
      </w:r>
      <w:r>
        <w:rPr>
          <w:lang w:val="hr-HR"/>
        </w:rPr>
        <w:t>dio</w:t>
      </w:r>
      <w:r>
        <w:t xml:space="preserve"> 4.4).</w:t>
      </w:r>
    </w:p>
    <w:p w14:paraId="340FA66C" w14:textId="77777777" w:rsidR="00E659A5" w:rsidRDefault="00E659A5">
      <w:pPr>
        <w:widowControl w:val="0"/>
        <w:jc w:val="both"/>
        <w:rPr>
          <w:rFonts w:eastAsia="Calibri"/>
        </w:rPr>
      </w:pPr>
    </w:p>
    <w:p w14:paraId="577041DE" w14:textId="77777777" w:rsidR="00E659A5" w:rsidRDefault="00C21592">
      <w:pPr>
        <w:pStyle w:val="Default"/>
        <w:jc w:val="both"/>
        <w:rPr>
          <w:sz w:val="22"/>
          <w:szCs w:val="22"/>
          <w:lang w:val="hr-HR"/>
        </w:rPr>
      </w:pPr>
      <w:r>
        <w:rPr>
          <w:sz w:val="22"/>
          <w:szCs w:val="22"/>
          <w:lang w:val="hr-HR"/>
        </w:rPr>
        <w:t>Eritromicin (500 mg tri puta na dan), koji umjereno inhibira CYP3A4 i P-gp transporter, doveo je do povećanja srednje PIK i C</w:t>
      </w:r>
      <w:r>
        <w:rPr>
          <w:sz w:val="22"/>
          <w:szCs w:val="22"/>
          <w:vertAlign w:val="subscript"/>
          <w:lang w:val="hr-HR"/>
        </w:rPr>
        <w:t>max</w:t>
      </w:r>
      <w:r>
        <w:rPr>
          <w:sz w:val="22"/>
          <w:szCs w:val="22"/>
          <w:lang w:val="hr-HR"/>
        </w:rPr>
        <w:t xml:space="preserve"> vrijednosti rivaroksabana 1,3 puta. Interakcija sa eritromicinom vjerovatno nije klinički značajna kod većine pacijenata, ali može biti potencijalno značajna kod visoko rizičnih pacijenata. Kod ispitanika sa blagim oštećenjem funkcije bubrega, eritromicin (500 mg tri puta na dan) je doveo do povećanja srednje PIK vrijednosti rivaroksabana 1,8 puta i do povećanja C</w:t>
      </w:r>
      <w:r>
        <w:rPr>
          <w:sz w:val="22"/>
          <w:szCs w:val="22"/>
          <w:vertAlign w:val="subscript"/>
          <w:lang w:val="hr-HR"/>
        </w:rPr>
        <w:t>max</w:t>
      </w:r>
      <w:r>
        <w:rPr>
          <w:sz w:val="22"/>
          <w:szCs w:val="22"/>
          <w:lang w:val="hr-HR"/>
        </w:rPr>
        <w:t xml:space="preserve"> 1,6 puta u poređenju sa ispitanicima sa normalnom funkcijom bubrega. Kod ispitanika sa umjerenim oštećenjem funkcije bubrega, eritromicin je doveo do povećanja srednje PIK vrijednosti rivaroksabana 2,0 puta i do povećanja C</w:t>
      </w:r>
      <w:r>
        <w:rPr>
          <w:sz w:val="22"/>
          <w:szCs w:val="22"/>
          <w:vertAlign w:val="subscript"/>
          <w:lang w:val="hr-HR"/>
        </w:rPr>
        <w:t>max</w:t>
      </w:r>
      <w:r>
        <w:rPr>
          <w:sz w:val="22"/>
          <w:szCs w:val="22"/>
          <w:lang w:val="hr-HR"/>
        </w:rPr>
        <w:t xml:space="preserve"> 1,6 puta u poređenju sa ispitanicima sa normalnom funkcijom bubrega. Efekat eritromicina je aditivan efektu oštećenja funkcije bubrega (vidjeti dio 4.4).</w:t>
      </w:r>
    </w:p>
    <w:p w14:paraId="089BCA2D" w14:textId="77777777" w:rsidR="00E659A5" w:rsidRDefault="00E659A5">
      <w:pPr>
        <w:widowControl w:val="0"/>
        <w:jc w:val="both"/>
        <w:rPr>
          <w:rFonts w:eastAsia="Calibri"/>
        </w:rPr>
      </w:pPr>
    </w:p>
    <w:p w14:paraId="5BA7E2BC" w14:textId="77777777" w:rsidR="00E659A5" w:rsidRDefault="00C21592">
      <w:pPr>
        <w:widowControl w:val="0"/>
        <w:jc w:val="both"/>
        <w:rPr>
          <w:rFonts w:eastAsia="Calibri"/>
        </w:rPr>
      </w:pPr>
      <w:r>
        <w:t>Flukonazol (400 mg jednom dnevno), koji se smatra umjerenim inhibitorom CYP3A4, doveo je do povećanja srednje PIK vrijednosti rivaroksabana 1,4 puta i srednje C</w:t>
      </w:r>
      <w:r>
        <w:rPr>
          <w:vertAlign w:val="subscript"/>
        </w:rPr>
        <w:t>max</w:t>
      </w:r>
      <w:r>
        <w:t xml:space="preserve"> vrijednosti 1,3 puta. Interakcija sa flukonazolom vjerovatno nije klinički značajna kod većine pacijenata, ali može biti potencijalno značajna kod visoko rizičnih pacijenata (za pacijente sa oštećenjem funkcije bubrega: vidjeti </w:t>
      </w:r>
      <w:r>
        <w:rPr>
          <w:lang w:val="hr-HR"/>
        </w:rPr>
        <w:t>dio</w:t>
      </w:r>
      <w:r>
        <w:t xml:space="preserve"> 4.4).</w:t>
      </w:r>
    </w:p>
    <w:p w14:paraId="52B21D96" w14:textId="77777777" w:rsidR="00E659A5" w:rsidRDefault="00E659A5">
      <w:pPr>
        <w:widowControl w:val="0"/>
        <w:jc w:val="both"/>
        <w:rPr>
          <w:rFonts w:eastAsia="Calibri"/>
        </w:rPr>
      </w:pPr>
    </w:p>
    <w:p w14:paraId="1625F4C9" w14:textId="77777777" w:rsidR="00E659A5" w:rsidRDefault="00C21592">
      <w:pPr>
        <w:widowControl w:val="0"/>
        <w:jc w:val="both"/>
        <w:rPr>
          <w:rFonts w:eastAsia="Calibri"/>
        </w:rPr>
      </w:pPr>
      <w:r>
        <w:t>S obzirom na to da su dostupni klinički podaci sa dronedaronom ograničeni, istovremena primjena sa rivaroksabanom mora se izbjegavati.</w:t>
      </w:r>
    </w:p>
    <w:p w14:paraId="492C8F12" w14:textId="77777777" w:rsidR="00E659A5" w:rsidRDefault="00E659A5">
      <w:pPr>
        <w:widowControl w:val="0"/>
        <w:jc w:val="both"/>
        <w:rPr>
          <w:rFonts w:eastAsia="Calibri"/>
        </w:rPr>
      </w:pPr>
    </w:p>
    <w:p w14:paraId="4D798D64" w14:textId="77777777" w:rsidR="00E659A5" w:rsidRDefault="00C21592">
      <w:pPr>
        <w:pStyle w:val="Default"/>
        <w:jc w:val="both"/>
        <w:rPr>
          <w:sz w:val="22"/>
          <w:szCs w:val="22"/>
          <w:u w:val="single"/>
          <w:lang w:val="hr-HR"/>
        </w:rPr>
      </w:pPr>
      <w:r>
        <w:rPr>
          <w:sz w:val="22"/>
          <w:szCs w:val="22"/>
          <w:u w:val="single"/>
          <w:lang w:val="hr-HR"/>
        </w:rPr>
        <w:t>Antikoagulansi</w:t>
      </w:r>
    </w:p>
    <w:p w14:paraId="4B3205BA" w14:textId="77777777" w:rsidR="00E659A5" w:rsidRDefault="00C21592">
      <w:pPr>
        <w:pStyle w:val="Default"/>
        <w:jc w:val="both"/>
        <w:rPr>
          <w:sz w:val="22"/>
          <w:szCs w:val="22"/>
          <w:lang w:val="hr-HR"/>
        </w:rPr>
      </w:pPr>
      <w:r>
        <w:rPr>
          <w:sz w:val="22"/>
          <w:szCs w:val="22"/>
          <w:lang w:val="hr-HR"/>
        </w:rPr>
        <w:t>Nakon kombinovane primjene enoksaparina (40 mg, jedna doza) i rivaroksabana (10 mg, jedna doza) uočen je aditivni efekat na potiskivanje aktivnosti faktora Xa, bez ikakvih dodatnih efekata na rezultate testova koagulacije (PT, aPTT). Enoksaparin nije uticao na farmakokinetiku rivaroksabana.</w:t>
      </w:r>
    </w:p>
    <w:p w14:paraId="59128696" w14:textId="77777777" w:rsidR="00E659A5" w:rsidRDefault="00C21592">
      <w:pPr>
        <w:widowControl w:val="0"/>
        <w:ind w:right="-20"/>
        <w:jc w:val="both"/>
        <w:rPr>
          <w:u w:val="single" w:color="000000"/>
        </w:rPr>
      </w:pPr>
      <w:r>
        <w:t>Zbog povećanog rizika od krvarenja, neophodan je oprez ako su pacijenti istovremeno liječeni bilo kojim drugim antikoagulansom (vidjeti djelove 4.3 i 4.4).</w:t>
      </w:r>
    </w:p>
    <w:p w14:paraId="36C2166A" w14:textId="77777777" w:rsidR="00E659A5" w:rsidRDefault="00E659A5">
      <w:pPr>
        <w:widowControl w:val="0"/>
        <w:ind w:right="-20"/>
        <w:jc w:val="both"/>
        <w:rPr>
          <w:u w:val="single" w:color="000000"/>
        </w:rPr>
      </w:pPr>
    </w:p>
    <w:p w14:paraId="4EE2A5E4" w14:textId="77777777" w:rsidR="00E659A5" w:rsidRDefault="00C21592">
      <w:pPr>
        <w:pStyle w:val="Default"/>
        <w:jc w:val="both"/>
        <w:rPr>
          <w:sz w:val="22"/>
          <w:szCs w:val="22"/>
          <w:u w:val="single"/>
          <w:lang w:val="hr-HR"/>
        </w:rPr>
      </w:pPr>
      <w:r>
        <w:rPr>
          <w:sz w:val="22"/>
          <w:szCs w:val="22"/>
          <w:u w:val="single"/>
          <w:lang w:val="hr-HR"/>
        </w:rPr>
        <w:t>NSAIL/inhibitori agregacije trombocita</w:t>
      </w:r>
    </w:p>
    <w:p w14:paraId="6802FD4F" w14:textId="77777777" w:rsidR="00E659A5" w:rsidRDefault="00C21592">
      <w:pPr>
        <w:pStyle w:val="Default"/>
        <w:jc w:val="both"/>
        <w:rPr>
          <w:sz w:val="22"/>
          <w:szCs w:val="22"/>
          <w:lang w:val="hr-HR"/>
        </w:rPr>
      </w:pPr>
      <w:r>
        <w:rPr>
          <w:sz w:val="22"/>
          <w:szCs w:val="22"/>
          <w:lang w:val="hr-HR"/>
        </w:rPr>
        <w:t>Nakon istovremene primjene rivaroksabana (15 mg) sa naproksenom u dozi od 500 mg nije uočeno klinički značajno produženje vremena krvarenja. Ipak, moguće je da ima osoba kod kojih će farmakodinamski odgovor biti izraženiji.</w:t>
      </w:r>
    </w:p>
    <w:p w14:paraId="55BCA59A" w14:textId="77777777" w:rsidR="00E659A5" w:rsidRDefault="00C21592">
      <w:pPr>
        <w:pStyle w:val="Default"/>
        <w:jc w:val="both"/>
        <w:rPr>
          <w:sz w:val="22"/>
          <w:szCs w:val="22"/>
          <w:lang w:val="hr-HR"/>
        </w:rPr>
      </w:pPr>
      <w:r>
        <w:rPr>
          <w:sz w:val="22"/>
          <w:szCs w:val="22"/>
          <w:lang w:val="hr-HR"/>
        </w:rPr>
        <w:lastRenderedPageBreak/>
        <w:t>Kad se rivaroksaban primijenio istovremeno sa 500 mg acetilsalicilne kiseline, nisu bile uočene klinički značajne farmakokinetičke ni farmakodinamske interakcije.</w:t>
      </w:r>
    </w:p>
    <w:p w14:paraId="4129DFFC" w14:textId="77777777" w:rsidR="00E659A5" w:rsidRDefault="00C21592">
      <w:pPr>
        <w:pStyle w:val="Default"/>
        <w:jc w:val="both"/>
        <w:rPr>
          <w:sz w:val="22"/>
          <w:szCs w:val="22"/>
          <w:lang w:val="hr-HR"/>
        </w:rPr>
      </w:pPr>
      <w:r>
        <w:rPr>
          <w:sz w:val="22"/>
          <w:szCs w:val="22"/>
          <w:lang w:val="hr-HR"/>
        </w:rPr>
        <w:t>Klopidogrel (početna doza od 300 mg, a zatim doza održavanja od 75 mg) nije pokazao farmakokinetičku interakciju sa rivaroksabanom (15 mg), ali je uočeno značajno produženje vremena krvarenja u podgrupi pacijenata, koje nije bilo u korelaciji sa agregacijom trombocita, sa nivoima P-selektina ili GPIIb/IIIa-receptora.</w:t>
      </w:r>
    </w:p>
    <w:p w14:paraId="7E82949E" w14:textId="77777777" w:rsidR="00E659A5" w:rsidRDefault="00C21592">
      <w:pPr>
        <w:widowControl w:val="0"/>
        <w:jc w:val="both"/>
        <w:rPr>
          <w:rFonts w:eastAsia="Calibri"/>
        </w:rPr>
      </w:pPr>
      <w:r>
        <w:t xml:space="preserve">Neophodan je oprez ako su pacijenti istovremeno liječeni NSAIL (uključujući acetilsalicilnu kiselinu) i inhibitorima agregacije trombocita, jer je za ove ljekove karakteristično da povećavaju rizik od krvarenja (vidjeti </w:t>
      </w:r>
      <w:r>
        <w:rPr>
          <w:lang w:val="hr-HR"/>
        </w:rPr>
        <w:t>dio</w:t>
      </w:r>
      <w:r>
        <w:t xml:space="preserve"> 4.4).</w:t>
      </w:r>
    </w:p>
    <w:p w14:paraId="728C7BF0" w14:textId="77777777" w:rsidR="00E659A5" w:rsidRDefault="00E659A5">
      <w:pPr>
        <w:widowControl w:val="0"/>
        <w:jc w:val="both"/>
        <w:rPr>
          <w:rFonts w:eastAsia="Calibri"/>
        </w:rPr>
      </w:pPr>
    </w:p>
    <w:p w14:paraId="127BA0D9" w14:textId="77777777" w:rsidR="00E659A5" w:rsidRDefault="00C21592">
      <w:pPr>
        <w:pStyle w:val="Default"/>
        <w:jc w:val="both"/>
        <w:rPr>
          <w:sz w:val="22"/>
          <w:szCs w:val="22"/>
          <w:u w:val="single"/>
          <w:lang w:val="hr-HR"/>
        </w:rPr>
      </w:pPr>
      <w:r>
        <w:rPr>
          <w:sz w:val="22"/>
          <w:szCs w:val="22"/>
          <w:u w:val="single"/>
          <w:lang w:val="hr-HR"/>
        </w:rPr>
        <w:t>SSRI/SNRI</w:t>
      </w:r>
    </w:p>
    <w:p w14:paraId="2BD665A6" w14:textId="77777777" w:rsidR="00E659A5" w:rsidRDefault="00C21592">
      <w:pPr>
        <w:pStyle w:val="Default"/>
        <w:jc w:val="both"/>
        <w:rPr>
          <w:rFonts w:ascii="Arial" w:hAnsi="Arial" w:cs="Arial"/>
          <w:sz w:val="22"/>
          <w:szCs w:val="22"/>
          <w:lang w:val="hr-HR"/>
        </w:rPr>
      </w:pPr>
      <w:r>
        <w:rPr>
          <w:sz w:val="22"/>
          <w:szCs w:val="22"/>
          <w:lang w:val="hr-HR"/>
        </w:rPr>
        <w:t>Kao i kod drugih antikoagulanasa, može postojati mogućnost povećanog rizika od krvarenja kod pacijenata u slučaju istovremene primjene sa SSRI i SNRI zbog njihovog zabilježenog efekta na trombocite. Kada su se istovremeno primjenjivali u kliničkom ispitivanju rivaroksabana, bile su primijećene brojčano više stope većih i manjih klinički značajnih krvarenja u svim terapijskim grupama.</w:t>
      </w:r>
    </w:p>
    <w:p w14:paraId="5B06495A" w14:textId="77777777" w:rsidR="00E659A5" w:rsidRDefault="00E659A5">
      <w:pPr>
        <w:widowControl w:val="0"/>
        <w:jc w:val="both"/>
        <w:rPr>
          <w:rFonts w:eastAsia="Calibri"/>
        </w:rPr>
      </w:pPr>
    </w:p>
    <w:p w14:paraId="1B38D671" w14:textId="77777777" w:rsidR="00E659A5" w:rsidRDefault="00C21592">
      <w:pPr>
        <w:pStyle w:val="Default"/>
        <w:keepNext/>
        <w:jc w:val="both"/>
        <w:rPr>
          <w:sz w:val="22"/>
          <w:szCs w:val="22"/>
          <w:u w:val="single"/>
          <w:lang w:val="hr-HR"/>
        </w:rPr>
      </w:pPr>
      <w:r>
        <w:rPr>
          <w:sz w:val="22"/>
          <w:szCs w:val="22"/>
          <w:u w:val="single"/>
          <w:lang w:val="hr-HR"/>
        </w:rPr>
        <w:t>Varfarin</w:t>
      </w:r>
    </w:p>
    <w:p w14:paraId="6E87713C" w14:textId="77777777" w:rsidR="00E659A5" w:rsidRDefault="00C21592">
      <w:pPr>
        <w:pStyle w:val="Default"/>
        <w:jc w:val="both"/>
        <w:rPr>
          <w:sz w:val="22"/>
          <w:szCs w:val="22"/>
          <w:lang w:val="hr-HR"/>
        </w:rPr>
      </w:pPr>
      <w:r>
        <w:rPr>
          <w:sz w:val="22"/>
          <w:szCs w:val="22"/>
          <w:lang w:val="hr-HR"/>
        </w:rPr>
        <w:t>Prelaskom pacijenata sa antagonista vitamina K, varfarina (INR 2,0 do 3,0) na rivaroksaban (20 mg) ili sa rivaroksabana (20 mg) na varfarin (INR 2,0 do 3,0) produženo je protrombinsko vrijeme/INR (Neoplastin) više nego aditivno (mogu se uočiti pojedinačne vrijednosti INR do 12), dok su efekti na aPTT, inhibiciju aktivnosti faktora Xa i endogeni trombin potencijal bili aditivni.</w:t>
      </w:r>
    </w:p>
    <w:p w14:paraId="5D0FEFE0" w14:textId="77777777" w:rsidR="00E659A5" w:rsidRDefault="00C21592">
      <w:pPr>
        <w:pStyle w:val="Default"/>
        <w:jc w:val="both"/>
        <w:rPr>
          <w:sz w:val="22"/>
          <w:szCs w:val="22"/>
          <w:lang w:val="hr-HR"/>
        </w:rPr>
      </w:pPr>
      <w:r>
        <w:rPr>
          <w:sz w:val="22"/>
          <w:szCs w:val="22"/>
          <w:lang w:val="hr-HR"/>
        </w:rPr>
        <w:t>Ako se žele ispitati farmakodinamički efekti rivaroksabana tokom prelaznog perioda, mogu se koristiti mjerenja aktivnosti anti-faktora Xa, PCT i Heptest jer na njih varfarin ne utiče. Četvrtog dana nakon posljednje doze varfarina svi testovi (uključujući PT, aPTT, inhibiciju aktivnosti faktora Xa i ETP) su odražavali samo efekat rivaroksabana.</w:t>
      </w:r>
    </w:p>
    <w:p w14:paraId="47723F90" w14:textId="77777777" w:rsidR="00E659A5" w:rsidRDefault="00C21592">
      <w:pPr>
        <w:pStyle w:val="Default"/>
        <w:jc w:val="both"/>
        <w:rPr>
          <w:sz w:val="22"/>
          <w:szCs w:val="22"/>
          <w:lang w:val="hr-HR"/>
        </w:rPr>
      </w:pPr>
      <w:r>
        <w:rPr>
          <w:sz w:val="22"/>
          <w:szCs w:val="22"/>
          <w:lang w:val="hr-HR"/>
        </w:rPr>
        <w:t>Ako se žele ispitati farmakodinamski efekti varfarina tokom prelaznog perioda, može se koristiti mjerenje INR kod C</w:t>
      </w:r>
      <w:r>
        <w:rPr>
          <w:sz w:val="22"/>
          <w:szCs w:val="22"/>
          <w:vertAlign w:val="subscript"/>
          <w:lang w:val="hr-HR"/>
        </w:rPr>
        <w:t>min</w:t>
      </w:r>
      <w:r>
        <w:rPr>
          <w:sz w:val="22"/>
          <w:szCs w:val="22"/>
          <w:lang w:val="hr-HR"/>
        </w:rPr>
        <w:t xml:space="preserve"> rivaroksabana (24 sata nakon prethodnog uzimanja rivaroksabana) jer rivaroksaban minimalno utiče na ovaj test u to vrijeme.</w:t>
      </w:r>
    </w:p>
    <w:p w14:paraId="04FD5354" w14:textId="77777777" w:rsidR="00E659A5" w:rsidRDefault="00C21592">
      <w:pPr>
        <w:widowControl w:val="0"/>
        <w:jc w:val="both"/>
        <w:rPr>
          <w:rFonts w:eastAsia="Calibri"/>
        </w:rPr>
      </w:pPr>
      <w:r>
        <w:t>Nije uočena farmakokinetička interakcija između varfarina i rivaroksabana.</w:t>
      </w:r>
    </w:p>
    <w:p w14:paraId="05727318" w14:textId="77777777" w:rsidR="00E659A5" w:rsidRDefault="00E659A5">
      <w:pPr>
        <w:pStyle w:val="Default"/>
        <w:jc w:val="both"/>
        <w:rPr>
          <w:sz w:val="22"/>
          <w:szCs w:val="22"/>
          <w:u w:val="single"/>
          <w:lang w:val="hr-HR"/>
        </w:rPr>
      </w:pPr>
    </w:p>
    <w:p w14:paraId="12B60E54" w14:textId="77777777" w:rsidR="00E659A5" w:rsidRDefault="00C21592">
      <w:pPr>
        <w:pStyle w:val="Default"/>
        <w:jc w:val="both"/>
        <w:rPr>
          <w:sz w:val="22"/>
          <w:szCs w:val="22"/>
          <w:u w:val="single"/>
          <w:lang w:val="hr-HR"/>
        </w:rPr>
      </w:pPr>
      <w:r>
        <w:rPr>
          <w:sz w:val="22"/>
          <w:szCs w:val="22"/>
          <w:u w:val="single"/>
          <w:lang w:val="hr-HR"/>
        </w:rPr>
        <w:t>Induktori CYP3A4</w:t>
      </w:r>
    </w:p>
    <w:p w14:paraId="6D505F3D" w14:textId="77777777" w:rsidR="00E659A5" w:rsidRDefault="00C21592">
      <w:pPr>
        <w:widowControl w:val="0"/>
        <w:jc w:val="both"/>
        <w:rPr>
          <w:rFonts w:eastAsia="Calibri"/>
        </w:rPr>
      </w:pPr>
      <w:r>
        <w:t xml:space="preserve">Istovremena primjena rivaroksabana sa jakim induktorom CYP3A4, rifampicinom, dovela je do smanjenja srednje PIK vrijednosti rivaroksabana za oko 50%, uz istovremeno slabljenje njegovih farmakodinamskih efekata. Istovremena primjena rivaroksabana sa drugim jakim induktorima CYP3A4 (npr. fenitoinom, karbamazepinom, fenobarbitonom ili kantarionom </w:t>
      </w:r>
      <w:r>
        <w:rPr>
          <w:iCs/>
        </w:rPr>
        <w:t>(</w:t>
      </w:r>
      <w:r>
        <w:rPr>
          <w:i/>
          <w:iCs/>
        </w:rPr>
        <w:t>Hypericum perforatum</w:t>
      </w:r>
      <w:r>
        <w:rPr>
          <w:iCs/>
        </w:rPr>
        <w:t>)</w:t>
      </w:r>
      <w:r>
        <w:t>) takođe može dovesti do smanjene koncentracije rivaroksabana u plazmi. Stoga se istovremena primjena jakih induktora CYP3A4 mora izbjegavati osim ako pacijent nije pod stalnim praćenjem zbog moguće pojave znakova i simptoma tromboze.</w:t>
      </w:r>
    </w:p>
    <w:p w14:paraId="3F62A63D" w14:textId="77777777" w:rsidR="00E659A5" w:rsidRDefault="00E659A5">
      <w:pPr>
        <w:widowControl w:val="0"/>
        <w:jc w:val="both"/>
        <w:rPr>
          <w:rFonts w:eastAsia="Calibri"/>
        </w:rPr>
      </w:pPr>
    </w:p>
    <w:p w14:paraId="46904E66" w14:textId="77777777" w:rsidR="00E659A5" w:rsidRDefault="00C21592">
      <w:pPr>
        <w:pStyle w:val="Default"/>
        <w:jc w:val="both"/>
        <w:rPr>
          <w:sz w:val="22"/>
          <w:szCs w:val="22"/>
          <w:u w:val="single"/>
          <w:lang w:val="hr-HR"/>
        </w:rPr>
      </w:pPr>
      <w:r>
        <w:rPr>
          <w:sz w:val="22"/>
          <w:szCs w:val="22"/>
          <w:u w:val="single"/>
          <w:lang w:val="hr-HR"/>
        </w:rPr>
        <w:t>Interakcije sa ostalim ljekovima</w:t>
      </w:r>
    </w:p>
    <w:p w14:paraId="291C6989" w14:textId="77777777" w:rsidR="00E659A5" w:rsidRDefault="00C21592">
      <w:pPr>
        <w:pStyle w:val="Default"/>
        <w:jc w:val="both"/>
        <w:rPr>
          <w:sz w:val="22"/>
          <w:szCs w:val="22"/>
          <w:lang w:val="hr-HR"/>
        </w:rPr>
      </w:pPr>
      <w:r>
        <w:rPr>
          <w:sz w:val="22"/>
          <w:szCs w:val="22"/>
          <w:lang w:val="hr-HR"/>
        </w:rPr>
        <w:t>Pri istovremenoj primjeni rivaroksabana sa midazolamom (supstrat za CYP3A4), digoksinom (supstrat za P-gp transporter), atorvastatinom (supstrat za CYP3A4 i P-gp transporter) ili omeprazolom (inhibitor protonske pumpe) nisu uočene klinički značajne farmakokinetičke ni farmakodinamske interakcije. Rivaroksaban ne dovodi do inhibicije niti do indukcije bilo kog važnijeg izoenzima CYP, poput CYP3A4.</w:t>
      </w:r>
    </w:p>
    <w:p w14:paraId="42097560" w14:textId="77777777" w:rsidR="00E659A5" w:rsidRDefault="00E659A5">
      <w:pPr>
        <w:pStyle w:val="Default"/>
        <w:jc w:val="both"/>
        <w:rPr>
          <w:sz w:val="22"/>
          <w:szCs w:val="22"/>
          <w:u w:val="single"/>
          <w:lang w:val="hr-HR"/>
        </w:rPr>
      </w:pPr>
    </w:p>
    <w:p w14:paraId="7FE8BE16" w14:textId="77777777" w:rsidR="00E659A5" w:rsidRDefault="00C21592">
      <w:pPr>
        <w:pStyle w:val="Default"/>
        <w:jc w:val="both"/>
        <w:rPr>
          <w:sz w:val="22"/>
          <w:szCs w:val="22"/>
          <w:u w:val="single"/>
          <w:lang w:val="hr-HR"/>
        </w:rPr>
      </w:pPr>
      <w:r>
        <w:rPr>
          <w:sz w:val="22"/>
          <w:szCs w:val="22"/>
          <w:u w:val="single"/>
          <w:lang w:val="hr-HR"/>
        </w:rPr>
        <w:t>Laboratorijski parametri</w:t>
      </w:r>
    </w:p>
    <w:p w14:paraId="1ED14682" w14:textId="77777777" w:rsidR="00E659A5" w:rsidRDefault="00C21592">
      <w:pPr>
        <w:widowControl w:val="0"/>
        <w:jc w:val="both"/>
      </w:pPr>
      <w:r>
        <w:t xml:space="preserve">Uočen je efeakt na parametre koagulacije (npr. na PT, aPTT, Heptest), kao što se i očekivalo s obzirom na način djelovanja rivaroksabana (vidjeti </w:t>
      </w:r>
      <w:r>
        <w:rPr>
          <w:lang w:val="hr-HR"/>
        </w:rPr>
        <w:t>dio</w:t>
      </w:r>
      <w:r>
        <w:t xml:space="preserve"> 5.1).</w:t>
      </w:r>
    </w:p>
    <w:p w14:paraId="5D8AAE16" w14:textId="77777777" w:rsidR="00E659A5" w:rsidRDefault="00E659A5">
      <w:pPr>
        <w:widowControl w:val="0"/>
        <w:ind w:right="687"/>
        <w:jc w:val="both"/>
      </w:pPr>
    </w:p>
    <w:p w14:paraId="2C45590F" w14:textId="77777777" w:rsidR="00E659A5" w:rsidRDefault="00C21592">
      <w:pPr>
        <w:widowControl w:val="0"/>
        <w:ind w:left="567" w:hanging="567"/>
        <w:jc w:val="both"/>
        <w:outlineLvl w:val="0"/>
        <w:rPr>
          <w:b/>
        </w:rPr>
      </w:pPr>
      <w:r>
        <w:rPr>
          <w:b/>
        </w:rPr>
        <w:t>4.6</w:t>
      </w:r>
      <w:r>
        <w:rPr>
          <w:b/>
        </w:rPr>
        <w:tab/>
        <w:t>Plodnost, trudnoća i dojenje</w:t>
      </w:r>
    </w:p>
    <w:p w14:paraId="7B7670D5" w14:textId="77777777" w:rsidR="00E659A5" w:rsidRDefault="00E659A5">
      <w:pPr>
        <w:widowControl w:val="0"/>
        <w:jc w:val="both"/>
        <w:rPr>
          <w:rFonts w:eastAsia="Calibri"/>
        </w:rPr>
      </w:pPr>
    </w:p>
    <w:p w14:paraId="09D39A29" w14:textId="77777777" w:rsidR="00E659A5" w:rsidRDefault="00C21592">
      <w:pPr>
        <w:pStyle w:val="NormalWeb"/>
        <w:widowControl w:val="0"/>
        <w:shd w:val="clear" w:color="auto" w:fill="FFFFFF"/>
        <w:spacing w:before="0" w:beforeAutospacing="0" w:after="0"/>
        <w:jc w:val="both"/>
        <w:rPr>
          <w:sz w:val="22"/>
          <w:szCs w:val="22"/>
          <w:u w:val="single"/>
          <w:lang w:val="hr-HR"/>
        </w:rPr>
      </w:pPr>
      <w:r>
        <w:rPr>
          <w:sz w:val="22"/>
          <w:szCs w:val="22"/>
          <w:u w:val="single"/>
          <w:lang w:val="hr-HR"/>
        </w:rPr>
        <w:t>Trudnoća</w:t>
      </w:r>
    </w:p>
    <w:p w14:paraId="15CDD743" w14:textId="77777777" w:rsidR="00E659A5" w:rsidRDefault="00C21592">
      <w:pPr>
        <w:pStyle w:val="Default"/>
        <w:jc w:val="both"/>
        <w:rPr>
          <w:sz w:val="22"/>
          <w:szCs w:val="22"/>
          <w:lang w:val="hr-HR"/>
        </w:rPr>
      </w:pPr>
      <w:r>
        <w:rPr>
          <w:sz w:val="22"/>
          <w:szCs w:val="22"/>
          <w:lang w:val="hr-HR"/>
        </w:rPr>
        <w:t>Bezbjednost i efikasnost rivaroksabana kod trudnica nisu ustanovljeni. Studije na životinjama pokazale su reproduktivnu toksičnost (vidjeti dio 5.3). Zbog potencijalne reproduktivne toksičnosti, intrinzičnog rizika od krvarenja i dokaza da rivaroksaban prolazi kroz placentu, lijek Xerdoxo je kontraindikovan tokom trudnoće (vidjeti dio 4.3).</w:t>
      </w:r>
    </w:p>
    <w:p w14:paraId="14C7D9F1" w14:textId="77777777" w:rsidR="00E659A5" w:rsidRDefault="00C21592">
      <w:pPr>
        <w:widowControl w:val="0"/>
        <w:jc w:val="both"/>
      </w:pPr>
      <w:r>
        <w:lastRenderedPageBreak/>
        <w:t>Žene u reproduktivnom periodu moraju izbjegavati trudnoću tokom liječenja rivaroksabanom.</w:t>
      </w:r>
    </w:p>
    <w:p w14:paraId="5200B9A8" w14:textId="77777777" w:rsidR="00E659A5" w:rsidRDefault="00E659A5">
      <w:pPr>
        <w:widowControl w:val="0"/>
        <w:jc w:val="both"/>
        <w:rPr>
          <w:rFonts w:eastAsia="Calibri"/>
        </w:rPr>
      </w:pPr>
    </w:p>
    <w:p w14:paraId="00DF4A56" w14:textId="77777777" w:rsidR="00E659A5" w:rsidRDefault="00C21592">
      <w:pPr>
        <w:pStyle w:val="NormalWeb"/>
        <w:widowControl w:val="0"/>
        <w:shd w:val="clear" w:color="auto" w:fill="FFFFFF"/>
        <w:spacing w:before="0" w:beforeAutospacing="0" w:after="0"/>
        <w:jc w:val="both"/>
        <w:rPr>
          <w:sz w:val="22"/>
          <w:szCs w:val="22"/>
          <w:u w:val="single"/>
          <w:lang w:val="hr-HR"/>
        </w:rPr>
      </w:pPr>
      <w:r>
        <w:rPr>
          <w:sz w:val="22"/>
          <w:szCs w:val="22"/>
          <w:u w:val="single"/>
          <w:lang w:val="hr-HR"/>
        </w:rPr>
        <w:t>Dojenje</w:t>
      </w:r>
    </w:p>
    <w:p w14:paraId="113372BA" w14:textId="77777777" w:rsidR="00E659A5" w:rsidRDefault="00C21592">
      <w:pPr>
        <w:widowControl w:val="0"/>
        <w:jc w:val="both"/>
        <w:rPr>
          <w:rFonts w:eastAsia="Calibri"/>
        </w:rPr>
      </w:pPr>
      <w:r>
        <w:t xml:space="preserve">Bezbjednost i efikasnost rivaroksabana kod dojilja nisu ustanovljeni. Podaci na životinjama ukazuju da se rivaroksaban izlučuje u mlijeko. Stoga je lijek Xerdoxo kontraindikovan tokom dojenja (vidjeti </w:t>
      </w:r>
      <w:r>
        <w:rPr>
          <w:lang w:val="hr-HR"/>
        </w:rPr>
        <w:t>dio</w:t>
      </w:r>
      <w:r>
        <w:t xml:space="preserve"> 4.3). Potrebno je da se donese odluka da li će se prekinuti dojenje ili napraviti prekid/pauza u terapiji.</w:t>
      </w:r>
    </w:p>
    <w:p w14:paraId="7DC506DC" w14:textId="77777777" w:rsidR="00E659A5" w:rsidRDefault="00E659A5">
      <w:pPr>
        <w:widowControl w:val="0"/>
        <w:jc w:val="both"/>
        <w:rPr>
          <w:rFonts w:eastAsia="Calibri"/>
        </w:rPr>
      </w:pPr>
    </w:p>
    <w:p w14:paraId="0AA52198" w14:textId="77777777" w:rsidR="00E659A5" w:rsidRDefault="00C21592">
      <w:pPr>
        <w:pStyle w:val="NormalWeb"/>
        <w:widowControl w:val="0"/>
        <w:shd w:val="clear" w:color="auto" w:fill="FFFFFF"/>
        <w:spacing w:before="0" w:beforeAutospacing="0" w:after="0"/>
        <w:jc w:val="both"/>
        <w:rPr>
          <w:sz w:val="22"/>
          <w:szCs w:val="22"/>
          <w:u w:val="single"/>
          <w:lang w:val="hr-HR"/>
        </w:rPr>
      </w:pPr>
      <w:r>
        <w:rPr>
          <w:sz w:val="22"/>
          <w:szCs w:val="22"/>
          <w:u w:val="single"/>
          <w:lang w:val="hr-HR"/>
        </w:rPr>
        <w:t>Plodnost</w:t>
      </w:r>
    </w:p>
    <w:p w14:paraId="7C06833B" w14:textId="77777777" w:rsidR="00E659A5" w:rsidRDefault="00C21592">
      <w:pPr>
        <w:widowControl w:val="0"/>
        <w:jc w:val="both"/>
        <w:rPr>
          <w:rFonts w:eastAsia="Calibri"/>
        </w:rPr>
      </w:pPr>
      <w:r>
        <w:t xml:space="preserve">Specifične studije sa rivaroksabanom kod ljudi u cilju procjene efekata na plodnost nisu rađene. U studijama efekata na plodnost mužjaka i ženki pacova nije uočen nikakav efekat (vidjeti </w:t>
      </w:r>
      <w:r>
        <w:rPr>
          <w:lang w:val="hr-HR"/>
        </w:rPr>
        <w:t>dio</w:t>
      </w:r>
      <w:r>
        <w:t xml:space="preserve"> 5.3).</w:t>
      </w:r>
    </w:p>
    <w:p w14:paraId="20E5656C" w14:textId="77777777" w:rsidR="00E659A5" w:rsidRDefault="00E659A5">
      <w:pPr>
        <w:widowControl w:val="0"/>
        <w:jc w:val="both"/>
        <w:rPr>
          <w:rFonts w:eastAsia="Calibri"/>
        </w:rPr>
      </w:pPr>
    </w:p>
    <w:p w14:paraId="1B70A4CC" w14:textId="77777777" w:rsidR="00E659A5" w:rsidRDefault="00C21592">
      <w:pPr>
        <w:widowControl w:val="0"/>
        <w:jc w:val="both"/>
        <w:rPr>
          <w:b/>
        </w:rPr>
      </w:pPr>
      <w:r>
        <w:rPr>
          <w:b/>
        </w:rPr>
        <w:t>4.7</w:t>
      </w:r>
      <w:r>
        <w:rPr>
          <w:b/>
        </w:rPr>
        <w:tab/>
        <w:t>Uticaj na sposobnost upravljanja vozilima i rukovanje mašinama</w:t>
      </w:r>
    </w:p>
    <w:p w14:paraId="4B6EE14D" w14:textId="77777777" w:rsidR="00E659A5" w:rsidRDefault="00E659A5">
      <w:pPr>
        <w:widowControl w:val="0"/>
        <w:jc w:val="both"/>
        <w:rPr>
          <w:rFonts w:eastAsia="Calibri"/>
        </w:rPr>
      </w:pPr>
    </w:p>
    <w:p w14:paraId="77C633D7" w14:textId="77777777" w:rsidR="00E659A5" w:rsidRDefault="00C21592">
      <w:pPr>
        <w:widowControl w:val="0"/>
        <w:jc w:val="both"/>
        <w:rPr>
          <w:rFonts w:eastAsia="Calibri"/>
        </w:rPr>
      </w:pPr>
      <w:r>
        <w:t xml:space="preserve">Rivaroksaban ima mali uticaj na sposobnost upravljanja vozilima i rukovanja mašinama. Prijavljena su neželjena dejstva poput sinkope (učestalost: povremeno) i vrtoglavice (učestalost: često) (vidjeti </w:t>
      </w:r>
      <w:r>
        <w:rPr>
          <w:lang w:val="hr-HR"/>
        </w:rPr>
        <w:t>dio</w:t>
      </w:r>
      <w:r>
        <w:t xml:space="preserve"> 4.8). Pacijenti kod kojih se jave ta neželjena dejstva ne smiju upravljati vozilima niti rukovati mašinama.</w:t>
      </w:r>
    </w:p>
    <w:p w14:paraId="09BFBC64" w14:textId="77777777" w:rsidR="00E659A5" w:rsidRDefault="00E659A5">
      <w:pPr>
        <w:widowControl w:val="0"/>
        <w:jc w:val="both"/>
        <w:rPr>
          <w:rFonts w:eastAsia="Calibri"/>
        </w:rPr>
      </w:pPr>
    </w:p>
    <w:p w14:paraId="1BAAF06B" w14:textId="77777777" w:rsidR="00E659A5" w:rsidRDefault="00C21592">
      <w:pPr>
        <w:widowControl w:val="0"/>
        <w:jc w:val="both"/>
        <w:rPr>
          <w:b/>
          <w:bCs/>
        </w:rPr>
      </w:pPr>
      <w:r>
        <w:rPr>
          <w:b/>
          <w:bCs/>
        </w:rPr>
        <w:t>4.8</w:t>
      </w:r>
      <w:r>
        <w:rPr>
          <w:b/>
          <w:bCs/>
        </w:rPr>
        <w:tab/>
        <w:t>Neželjena dejstva</w:t>
      </w:r>
    </w:p>
    <w:p w14:paraId="07D5F32B" w14:textId="77777777" w:rsidR="00E659A5" w:rsidRDefault="00E659A5">
      <w:pPr>
        <w:widowControl w:val="0"/>
        <w:jc w:val="both"/>
        <w:rPr>
          <w:rFonts w:eastAsia="Calibri"/>
        </w:rPr>
      </w:pPr>
    </w:p>
    <w:p w14:paraId="35DE783C" w14:textId="77777777" w:rsidR="00E659A5" w:rsidRDefault="00C21592" w:rsidP="00BC6CEA">
      <w:pPr>
        <w:pStyle w:val="Default"/>
        <w:jc w:val="both"/>
        <w:rPr>
          <w:sz w:val="22"/>
          <w:szCs w:val="22"/>
          <w:u w:val="single"/>
          <w:lang w:val="hr-HR"/>
        </w:rPr>
      </w:pPr>
      <w:r>
        <w:rPr>
          <w:sz w:val="22"/>
          <w:szCs w:val="22"/>
          <w:u w:val="single"/>
          <w:lang w:val="hr-HR"/>
        </w:rPr>
        <w:t>Sažetak bezbjednosnog profila</w:t>
      </w:r>
    </w:p>
    <w:p w14:paraId="32B777CE" w14:textId="77777777" w:rsidR="00E659A5" w:rsidRDefault="00C21592">
      <w:pPr>
        <w:widowControl w:val="0"/>
        <w:ind w:right="368"/>
        <w:jc w:val="both"/>
      </w:pPr>
      <w:r>
        <w:t>Bezbjednost rivaroksabana procjenjivana je u trinaest pivotalnih studija faze III (vidjeti Tabelu 1).</w:t>
      </w:r>
    </w:p>
    <w:p w14:paraId="437BE3CA" w14:textId="77777777" w:rsidR="00E659A5" w:rsidRDefault="00E659A5" w:rsidP="00C168EA">
      <w:pPr>
        <w:widowControl w:val="0"/>
        <w:jc w:val="both"/>
      </w:pPr>
    </w:p>
    <w:p w14:paraId="02DEA0F1" w14:textId="2FF06076" w:rsidR="00E659A5" w:rsidRDefault="00C21592" w:rsidP="00BC6CEA">
      <w:pPr>
        <w:widowControl w:val="0"/>
        <w:ind w:right="368"/>
        <w:jc w:val="both"/>
        <w:rPr>
          <w:lang w:val="sr-Latn-RS"/>
        </w:rPr>
      </w:pPr>
      <w:r>
        <w:rPr>
          <w:lang w:val="sr-Latn-ME"/>
        </w:rPr>
        <w:t>Ukupno 69</w:t>
      </w:r>
      <w:r w:rsidR="00BC6CEA">
        <w:rPr>
          <w:lang w:val="sr-Latn-ME"/>
        </w:rPr>
        <w:t xml:space="preserve"> </w:t>
      </w:r>
      <w:r>
        <w:rPr>
          <w:lang w:val="sr-Latn-ME"/>
        </w:rPr>
        <w:t>608 odraslih pacijenata u devetnaest studija faze III i 488 pedijatrijskih pacijenata u</w:t>
      </w:r>
      <w:r w:rsidR="00BC6CEA">
        <w:rPr>
          <w:lang w:val="sr-Latn-ME"/>
        </w:rPr>
        <w:t xml:space="preserve"> </w:t>
      </w:r>
      <w:r>
        <w:rPr>
          <w:lang w:val="sr-Latn-ME"/>
        </w:rPr>
        <w:t>dvije studije faze II i dvije studije faze III bilo je izloženo rivaroksabanu.</w:t>
      </w:r>
    </w:p>
    <w:p w14:paraId="31D0E7E3" w14:textId="77777777" w:rsidR="00E659A5" w:rsidRDefault="00E659A5">
      <w:pPr>
        <w:widowControl w:val="0"/>
        <w:ind w:right="368"/>
        <w:jc w:val="both"/>
      </w:pPr>
    </w:p>
    <w:p w14:paraId="365CBAFF" w14:textId="77777777" w:rsidR="00E659A5" w:rsidRDefault="00C21592" w:rsidP="00C168EA">
      <w:pPr>
        <w:widowControl w:val="0"/>
        <w:jc w:val="center"/>
        <w:rPr>
          <w:b/>
          <w:bCs/>
        </w:rPr>
      </w:pPr>
      <w:r>
        <w:rPr>
          <w:b/>
          <w:bCs/>
        </w:rPr>
        <w:t>Tabela 1: Broj pacijenata, ukupna dnevna doza i maksimalno trajanje terapije u studijama Faze III kod odraslih i pedijatrijskih pacijenata</w:t>
      </w:r>
    </w:p>
    <w:tbl>
      <w:tblPr>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1"/>
        <w:gridCol w:w="1304"/>
        <w:gridCol w:w="2998"/>
        <w:gridCol w:w="1765"/>
      </w:tblGrid>
      <w:tr w:rsidR="00E659A5" w14:paraId="64B1F55D" w14:textId="77777777">
        <w:trPr>
          <w:trHeight w:val="530"/>
        </w:trPr>
        <w:tc>
          <w:tcPr>
            <w:tcW w:w="1816" w:type="pct"/>
            <w:shd w:val="clear" w:color="auto" w:fill="auto"/>
            <w:hideMark/>
          </w:tcPr>
          <w:p w14:paraId="1E7E96B7" w14:textId="77777777" w:rsidR="00E659A5" w:rsidRDefault="00C21592" w:rsidP="00C168EA">
            <w:pPr>
              <w:jc w:val="center"/>
            </w:pPr>
            <w:r>
              <w:rPr>
                <w:b/>
                <w:bCs/>
              </w:rPr>
              <w:t>Indikacija</w:t>
            </w:r>
          </w:p>
        </w:tc>
        <w:tc>
          <w:tcPr>
            <w:tcW w:w="684" w:type="pct"/>
            <w:shd w:val="clear" w:color="auto" w:fill="auto"/>
            <w:hideMark/>
          </w:tcPr>
          <w:p w14:paraId="7968A84B" w14:textId="77777777" w:rsidR="00E659A5" w:rsidRDefault="00C21592" w:rsidP="00C168EA">
            <w:pPr>
              <w:jc w:val="center"/>
            </w:pPr>
            <w:r>
              <w:rPr>
                <w:b/>
                <w:bCs/>
              </w:rPr>
              <w:t>Broj pacijenata*</w:t>
            </w:r>
          </w:p>
        </w:tc>
        <w:tc>
          <w:tcPr>
            <w:tcW w:w="1573" w:type="pct"/>
            <w:shd w:val="clear" w:color="auto" w:fill="auto"/>
            <w:hideMark/>
          </w:tcPr>
          <w:p w14:paraId="3F0D3FD4" w14:textId="77777777" w:rsidR="00E659A5" w:rsidRDefault="00C21592" w:rsidP="00C168EA">
            <w:pPr>
              <w:jc w:val="center"/>
            </w:pPr>
            <w:r>
              <w:rPr>
                <w:b/>
                <w:bCs/>
              </w:rPr>
              <w:t>Ukupna dnevna doza</w:t>
            </w:r>
          </w:p>
        </w:tc>
        <w:tc>
          <w:tcPr>
            <w:tcW w:w="926" w:type="pct"/>
            <w:shd w:val="clear" w:color="auto" w:fill="auto"/>
            <w:hideMark/>
          </w:tcPr>
          <w:p w14:paraId="7A568825" w14:textId="77777777" w:rsidR="00E659A5" w:rsidRDefault="00C21592" w:rsidP="00C168EA">
            <w:pPr>
              <w:jc w:val="center"/>
            </w:pPr>
            <w:r>
              <w:rPr>
                <w:b/>
                <w:bCs/>
              </w:rPr>
              <w:t>Maksimalno trajanje terapije</w:t>
            </w:r>
          </w:p>
        </w:tc>
      </w:tr>
      <w:tr w:rsidR="00E659A5" w14:paraId="529F6258" w14:textId="77777777">
        <w:tc>
          <w:tcPr>
            <w:tcW w:w="1816" w:type="pct"/>
            <w:shd w:val="clear" w:color="auto" w:fill="auto"/>
            <w:hideMark/>
          </w:tcPr>
          <w:p w14:paraId="1A1EEFCB" w14:textId="77777777" w:rsidR="00E659A5" w:rsidRDefault="00C21592" w:rsidP="00C168EA">
            <w:pPr>
              <w:pStyle w:val="Default"/>
              <w:rPr>
                <w:sz w:val="22"/>
                <w:szCs w:val="22"/>
                <w:lang w:val="hr-HR"/>
              </w:rPr>
            </w:pPr>
            <w:r>
              <w:rPr>
                <w:sz w:val="22"/>
                <w:szCs w:val="22"/>
                <w:lang w:val="hr-HR"/>
              </w:rPr>
              <w:t>Prevencija venske tromboembolije (VTE) kod odraslih pacijenata koji su podvrgnuti elektivnom hirurškom zahvatu zamjene kuka ili koljena</w:t>
            </w:r>
          </w:p>
        </w:tc>
        <w:tc>
          <w:tcPr>
            <w:tcW w:w="684" w:type="pct"/>
            <w:shd w:val="clear" w:color="auto" w:fill="auto"/>
            <w:hideMark/>
          </w:tcPr>
          <w:p w14:paraId="2FE1EDA7" w14:textId="77777777" w:rsidR="00E659A5" w:rsidRDefault="00C21592" w:rsidP="00C168EA">
            <w:r>
              <w:t>6097</w:t>
            </w:r>
          </w:p>
        </w:tc>
        <w:tc>
          <w:tcPr>
            <w:tcW w:w="1573" w:type="pct"/>
            <w:shd w:val="clear" w:color="auto" w:fill="auto"/>
            <w:hideMark/>
          </w:tcPr>
          <w:p w14:paraId="0966EE45" w14:textId="77777777" w:rsidR="00E659A5" w:rsidRDefault="00C21592" w:rsidP="00C168EA">
            <w:r>
              <w:t>10 mg</w:t>
            </w:r>
          </w:p>
        </w:tc>
        <w:tc>
          <w:tcPr>
            <w:tcW w:w="926" w:type="pct"/>
            <w:shd w:val="clear" w:color="auto" w:fill="auto"/>
            <w:hideMark/>
          </w:tcPr>
          <w:p w14:paraId="4CCF954C" w14:textId="77777777" w:rsidR="00E659A5" w:rsidRDefault="00C21592" w:rsidP="00C168EA">
            <w:r>
              <w:t>39 dana</w:t>
            </w:r>
          </w:p>
        </w:tc>
      </w:tr>
      <w:tr w:rsidR="00E659A5" w14:paraId="7E32709A" w14:textId="77777777">
        <w:tc>
          <w:tcPr>
            <w:tcW w:w="1816" w:type="pct"/>
            <w:shd w:val="clear" w:color="auto" w:fill="auto"/>
            <w:hideMark/>
          </w:tcPr>
          <w:p w14:paraId="478CACB9" w14:textId="77777777" w:rsidR="00E659A5" w:rsidRDefault="00C21592" w:rsidP="00C168EA">
            <w:pPr>
              <w:pStyle w:val="Default"/>
              <w:rPr>
                <w:sz w:val="22"/>
                <w:szCs w:val="22"/>
                <w:lang w:val="hr-HR"/>
              </w:rPr>
            </w:pPr>
            <w:r>
              <w:rPr>
                <w:sz w:val="22"/>
                <w:szCs w:val="22"/>
                <w:lang w:val="hr-HR"/>
              </w:rPr>
              <w:t>Prevencija venske tromboembolije (VTE) kod hospitalizovanih nehirurških pacijenata</w:t>
            </w:r>
          </w:p>
        </w:tc>
        <w:tc>
          <w:tcPr>
            <w:tcW w:w="684" w:type="pct"/>
            <w:shd w:val="clear" w:color="auto" w:fill="auto"/>
            <w:hideMark/>
          </w:tcPr>
          <w:p w14:paraId="7ACB1E7A" w14:textId="77777777" w:rsidR="00E659A5" w:rsidRDefault="00C21592" w:rsidP="00C168EA">
            <w:r>
              <w:t>3997</w:t>
            </w:r>
          </w:p>
        </w:tc>
        <w:tc>
          <w:tcPr>
            <w:tcW w:w="1573" w:type="pct"/>
            <w:shd w:val="clear" w:color="auto" w:fill="auto"/>
            <w:hideMark/>
          </w:tcPr>
          <w:p w14:paraId="5D5D3663" w14:textId="77777777" w:rsidR="00E659A5" w:rsidRDefault="00C21592" w:rsidP="00C168EA">
            <w:r>
              <w:t>10 mg</w:t>
            </w:r>
          </w:p>
        </w:tc>
        <w:tc>
          <w:tcPr>
            <w:tcW w:w="926" w:type="pct"/>
            <w:shd w:val="clear" w:color="auto" w:fill="auto"/>
            <w:hideMark/>
          </w:tcPr>
          <w:p w14:paraId="5BFC6EC5" w14:textId="77777777" w:rsidR="00E659A5" w:rsidRDefault="00C21592" w:rsidP="00C168EA">
            <w:r>
              <w:t>39 dana</w:t>
            </w:r>
          </w:p>
        </w:tc>
      </w:tr>
      <w:tr w:rsidR="00E659A5" w14:paraId="56AD944C" w14:textId="77777777">
        <w:tc>
          <w:tcPr>
            <w:tcW w:w="1816" w:type="pct"/>
            <w:shd w:val="clear" w:color="auto" w:fill="auto"/>
            <w:hideMark/>
          </w:tcPr>
          <w:p w14:paraId="7016B981" w14:textId="77777777" w:rsidR="00E659A5" w:rsidRDefault="00C21592" w:rsidP="00C168EA">
            <w:pPr>
              <w:pStyle w:val="Default"/>
              <w:rPr>
                <w:sz w:val="22"/>
                <w:szCs w:val="22"/>
                <w:lang w:val="hr-HR"/>
              </w:rPr>
            </w:pPr>
            <w:r>
              <w:rPr>
                <w:sz w:val="22"/>
                <w:szCs w:val="22"/>
                <w:lang w:val="hr-HR"/>
              </w:rPr>
              <w:t>Terapija TDV, PE i prevencija njihovih recidiva</w:t>
            </w:r>
          </w:p>
        </w:tc>
        <w:tc>
          <w:tcPr>
            <w:tcW w:w="684" w:type="pct"/>
            <w:shd w:val="clear" w:color="auto" w:fill="auto"/>
            <w:hideMark/>
          </w:tcPr>
          <w:p w14:paraId="32D789EB" w14:textId="77777777" w:rsidR="00E659A5" w:rsidRDefault="00C21592" w:rsidP="00C168EA">
            <w:r>
              <w:t>6790</w:t>
            </w:r>
          </w:p>
        </w:tc>
        <w:tc>
          <w:tcPr>
            <w:tcW w:w="1573" w:type="pct"/>
            <w:shd w:val="clear" w:color="auto" w:fill="auto"/>
            <w:hideMark/>
          </w:tcPr>
          <w:p w14:paraId="11D2C02F" w14:textId="77777777" w:rsidR="00E659A5" w:rsidRDefault="00C21592" w:rsidP="00C168EA">
            <w:r>
              <w:t>Od 1. do 21. dana: 30 mg</w:t>
            </w:r>
          </w:p>
          <w:p w14:paraId="5D238D4F" w14:textId="77777777" w:rsidR="00E659A5" w:rsidRDefault="00C21592" w:rsidP="00C168EA">
            <w:r>
              <w:t>Od 22. dana nadalje: 20 mg</w:t>
            </w:r>
          </w:p>
          <w:p w14:paraId="37F0FF6B" w14:textId="77777777" w:rsidR="00E659A5" w:rsidRDefault="00C21592" w:rsidP="00C168EA">
            <w:r>
              <w:t>Nakon najmanje 6 mjeseci: 10 mg ili 20 mg</w:t>
            </w:r>
          </w:p>
        </w:tc>
        <w:tc>
          <w:tcPr>
            <w:tcW w:w="926" w:type="pct"/>
            <w:shd w:val="clear" w:color="auto" w:fill="auto"/>
            <w:hideMark/>
          </w:tcPr>
          <w:p w14:paraId="33837F0B" w14:textId="77777777" w:rsidR="00E659A5" w:rsidRDefault="00C21592" w:rsidP="00C168EA">
            <w:r>
              <w:t>21 mjesec</w:t>
            </w:r>
          </w:p>
        </w:tc>
      </w:tr>
      <w:tr w:rsidR="00E659A5" w14:paraId="45A62959" w14:textId="77777777">
        <w:tc>
          <w:tcPr>
            <w:tcW w:w="1816" w:type="pct"/>
            <w:shd w:val="clear" w:color="auto" w:fill="auto"/>
          </w:tcPr>
          <w:p w14:paraId="5C1F1680" w14:textId="77777777" w:rsidR="00E659A5" w:rsidRDefault="00C21592" w:rsidP="00C168EA">
            <w:pPr>
              <w:pStyle w:val="Default"/>
              <w:rPr>
                <w:sz w:val="22"/>
                <w:szCs w:val="22"/>
                <w:lang w:val="hr-HR"/>
              </w:rPr>
            </w:pPr>
            <w:r>
              <w:rPr>
                <w:sz w:val="22"/>
                <w:szCs w:val="22"/>
                <w:lang w:val="en-GB"/>
              </w:rPr>
              <w:t>Terapija VTE i prevencija ponovne pojave VTE kod novorođenčadi i djece mlađe od 18 godina nakon uvođenja standardne antikoagulantne terapije</w:t>
            </w:r>
          </w:p>
        </w:tc>
        <w:tc>
          <w:tcPr>
            <w:tcW w:w="684" w:type="pct"/>
            <w:shd w:val="clear" w:color="auto" w:fill="auto"/>
          </w:tcPr>
          <w:p w14:paraId="2FAF261C" w14:textId="77777777" w:rsidR="00E659A5" w:rsidRDefault="00C21592" w:rsidP="00C168EA">
            <w:r>
              <w:t>329</w:t>
            </w:r>
          </w:p>
        </w:tc>
        <w:tc>
          <w:tcPr>
            <w:tcW w:w="1573" w:type="pct"/>
            <w:shd w:val="clear" w:color="auto" w:fill="auto"/>
          </w:tcPr>
          <w:p w14:paraId="6D55D271" w14:textId="33B16C4E" w:rsidR="00E659A5" w:rsidRDefault="00C21592" w:rsidP="00C168EA">
            <w:r>
              <w:t xml:space="preserve">Doza određena prema tjelesnoj </w:t>
            </w:r>
            <w:r w:rsidR="00E30508">
              <w:t>masi</w:t>
            </w:r>
            <w:r>
              <w:t>, kako bi se postigla izloženost kao kod odraslih osoba koji su u liječenju TDV primali 20 mg rivaroksabana jednom dnevno</w:t>
            </w:r>
          </w:p>
        </w:tc>
        <w:tc>
          <w:tcPr>
            <w:tcW w:w="926" w:type="pct"/>
            <w:shd w:val="clear" w:color="auto" w:fill="auto"/>
          </w:tcPr>
          <w:p w14:paraId="107723D4" w14:textId="77777777" w:rsidR="00E659A5" w:rsidRDefault="00C21592" w:rsidP="00C168EA">
            <w:r>
              <w:t>12 mjeseci</w:t>
            </w:r>
          </w:p>
        </w:tc>
      </w:tr>
      <w:tr w:rsidR="00E659A5" w14:paraId="77F90652" w14:textId="77777777">
        <w:tc>
          <w:tcPr>
            <w:tcW w:w="1816" w:type="pct"/>
            <w:shd w:val="clear" w:color="auto" w:fill="auto"/>
            <w:hideMark/>
          </w:tcPr>
          <w:p w14:paraId="128D110E" w14:textId="77777777" w:rsidR="00E659A5" w:rsidRDefault="00C21592" w:rsidP="00C168EA">
            <w:pPr>
              <w:pStyle w:val="Default"/>
              <w:rPr>
                <w:sz w:val="22"/>
                <w:szCs w:val="22"/>
                <w:lang w:val="hr-HR"/>
              </w:rPr>
            </w:pPr>
            <w:r>
              <w:rPr>
                <w:sz w:val="22"/>
                <w:szCs w:val="22"/>
                <w:lang w:val="hr-HR"/>
              </w:rPr>
              <w:t>Prevencija moždanog udara i sistemske embolije kod pacijenata sa nevalvularnom atrijalnom fibrilacijom</w:t>
            </w:r>
          </w:p>
        </w:tc>
        <w:tc>
          <w:tcPr>
            <w:tcW w:w="684" w:type="pct"/>
            <w:shd w:val="clear" w:color="auto" w:fill="auto"/>
            <w:hideMark/>
          </w:tcPr>
          <w:p w14:paraId="48D3F1C5" w14:textId="77777777" w:rsidR="00E659A5" w:rsidRDefault="00C21592" w:rsidP="00C168EA">
            <w:r>
              <w:t>7750</w:t>
            </w:r>
          </w:p>
        </w:tc>
        <w:tc>
          <w:tcPr>
            <w:tcW w:w="1573" w:type="pct"/>
            <w:shd w:val="clear" w:color="auto" w:fill="auto"/>
            <w:hideMark/>
          </w:tcPr>
          <w:p w14:paraId="05EEE870" w14:textId="77777777" w:rsidR="00E659A5" w:rsidRDefault="00C21592" w:rsidP="00C168EA">
            <w:r>
              <w:t>20 mg</w:t>
            </w:r>
          </w:p>
        </w:tc>
        <w:tc>
          <w:tcPr>
            <w:tcW w:w="926" w:type="pct"/>
            <w:shd w:val="clear" w:color="auto" w:fill="auto"/>
            <w:hideMark/>
          </w:tcPr>
          <w:p w14:paraId="3957CA4F" w14:textId="77777777" w:rsidR="00E659A5" w:rsidRDefault="00C21592" w:rsidP="00C168EA">
            <w:r>
              <w:t>41 mjesec</w:t>
            </w:r>
          </w:p>
        </w:tc>
      </w:tr>
      <w:tr w:rsidR="00E659A5" w14:paraId="668B2D37" w14:textId="77777777">
        <w:tc>
          <w:tcPr>
            <w:tcW w:w="1816" w:type="pct"/>
            <w:shd w:val="clear" w:color="auto" w:fill="auto"/>
            <w:hideMark/>
          </w:tcPr>
          <w:p w14:paraId="27747EE3" w14:textId="77777777" w:rsidR="00E659A5" w:rsidRDefault="00C21592" w:rsidP="00C168EA">
            <w:pPr>
              <w:pStyle w:val="Default"/>
              <w:rPr>
                <w:sz w:val="22"/>
                <w:szCs w:val="22"/>
                <w:lang w:val="hr-HR"/>
              </w:rPr>
            </w:pPr>
            <w:r>
              <w:rPr>
                <w:sz w:val="22"/>
                <w:szCs w:val="22"/>
                <w:lang w:val="hr-HR"/>
              </w:rPr>
              <w:t>Prevencija aterotrombotičnih događaja kod pacijenata nakon akutnog koronarnog sindroma (AKS)</w:t>
            </w:r>
          </w:p>
        </w:tc>
        <w:tc>
          <w:tcPr>
            <w:tcW w:w="684" w:type="pct"/>
            <w:shd w:val="clear" w:color="auto" w:fill="auto"/>
            <w:hideMark/>
          </w:tcPr>
          <w:p w14:paraId="3B34911F" w14:textId="77777777" w:rsidR="00E659A5" w:rsidRDefault="00C21592" w:rsidP="00C168EA">
            <w:r>
              <w:t>10 225</w:t>
            </w:r>
          </w:p>
        </w:tc>
        <w:tc>
          <w:tcPr>
            <w:tcW w:w="1573" w:type="pct"/>
            <w:shd w:val="clear" w:color="auto" w:fill="auto"/>
            <w:hideMark/>
          </w:tcPr>
          <w:p w14:paraId="6AB0371D" w14:textId="77777777" w:rsidR="00E659A5" w:rsidRDefault="00C21592" w:rsidP="00C168EA">
            <w:r>
              <w:t>5 mg ili 10 mg primijenjenih istovremeno uz acetilsalicilnu kiselinu ili acetilsalicilnu kiselinu i klopidogrel ili tiklopidin</w:t>
            </w:r>
          </w:p>
        </w:tc>
        <w:tc>
          <w:tcPr>
            <w:tcW w:w="926" w:type="pct"/>
            <w:shd w:val="clear" w:color="auto" w:fill="auto"/>
            <w:hideMark/>
          </w:tcPr>
          <w:p w14:paraId="053F401C" w14:textId="77777777" w:rsidR="00E659A5" w:rsidRDefault="00C21592" w:rsidP="00C168EA">
            <w:r>
              <w:t>31 mjesec</w:t>
            </w:r>
          </w:p>
        </w:tc>
      </w:tr>
      <w:tr w:rsidR="00E659A5" w14:paraId="49001D3C" w14:textId="77777777">
        <w:tc>
          <w:tcPr>
            <w:tcW w:w="1816" w:type="pct"/>
            <w:vMerge w:val="restart"/>
            <w:shd w:val="clear" w:color="auto" w:fill="auto"/>
            <w:hideMark/>
          </w:tcPr>
          <w:p w14:paraId="045275EB" w14:textId="77777777" w:rsidR="00E659A5" w:rsidRDefault="00C21592" w:rsidP="00C168EA">
            <w:pPr>
              <w:pStyle w:val="Default"/>
              <w:rPr>
                <w:sz w:val="22"/>
                <w:szCs w:val="22"/>
                <w:lang w:val="hr-HR"/>
              </w:rPr>
            </w:pPr>
            <w:r>
              <w:rPr>
                <w:sz w:val="22"/>
                <w:szCs w:val="22"/>
                <w:lang w:val="hr-HR"/>
              </w:rPr>
              <w:lastRenderedPageBreak/>
              <w:t>Prevencija aterotrombotičnih događaja kod pacijenata sa BKA/BPA</w:t>
            </w:r>
          </w:p>
        </w:tc>
        <w:tc>
          <w:tcPr>
            <w:tcW w:w="684" w:type="pct"/>
            <w:shd w:val="clear" w:color="auto" w:fill="auto"/>
            <w:hideMark/>
          </w:tcPr>
          <w:p w14:paraId="6A82712A" w14:textId="77777777" w:rsidR="00E659A5" w:rsidRDefault="00C21592" w:rsidP="00C168EA">
            <w:r>
              <w:t>18 244</w:t>
            </w:r>
          </w:p>
        </w:tc>
        <w:tc>
          <w:tcPr>
            <w:tcW w:w="1573" w:type="pct"/>
            <w:shd w:val="clear" w:color="auto" w:fill="auto"/>
            <w:hideMark/>
          </w:tcPr>
          <w:p w14:paraId="293C4C53" w14:textId="77777777" w:rsidR="00E659A5" w:rsidRDefault="00C21592" w:rsidP="00C168EA">
            <w:r>
              <w:t>5 mg primijenjenih istovremeno uz acetilsalicilnu kiselinu ili 10 mg u monoterapiji</w:t>
            </w:r>
          </w:p>
        </w:tc>
        <w:tc>
          <w:tcPr>
            <w:tcW w:w="926" w:type="pct"/>
            <w:shd w:val="clear" w:color="auto" w:fill="auto"/>
            <w:hideMark/>
          </w:tcPr>
          <w:p w14:paraId="0948CD7E" w14:textId="77777777" w:rsidR="00E659A5" w:rsidRDefault="00C21592" w:rsidP="00C168EA">
            <w:r>
              <w:t>47 mjeseci</w:t>
            </w:r>
          </w:p>
        </w:tc>
      </w:tr>
      <w:tr w:rsidR="00E659A5" w14:paraId="7C446B8A" w14:textId="77777777">
        <w:tc>
          <w:tcPr>
            <w:tcW w:w="1816" w:type="pct"/>
            <w:vMerge/>
            <w:shd w:val="clear" w:color="auto" w:fill="auto"/>
          </w:tcPr>
          <w:p w14:paraId="246E650F" w14:textId="77777777" w:rsidR="00E659A5" w:rsidRDefault="00E659A5" w:rsidP="00C168EA">
            <w:pPr>
              <w:pStyle w:val="Default"/>
              <w:rPr>
                <w:sz w:val="22"/>
                <w:szCs w:val="22"/>
                <w:lang w:val="hr-HR"/>
              </w:rPr>
            </w:pPr>
          </w:p>
        </w:tc>
        <w:tc>
          <w:tcPr>
            <w:tcW w:w="684" w:type="pct"/>
            <w:shd w:val="clear" w:color="auto" w:fill="auto"/>
          </w:tcPr>
          <w:p w14:paraId="3A27B742" w14:textId="77777777" w:rsidR="00E659A5" w:rsidRDefault="00C21592" w:rsidP="00C168EA">
            <w:r>
              <w:t>3,256**</w:t>
            </w:r>
          </w:p>
        </w:tc>
        <w:tc>
          <w:tcPr>
            <w:tcW w:w="1573" w:type="pct"/>
            <w:shd w:val="clear" w:color="auto" w:fill="auto"/>
          </w:tcPr>
          <w:p w14:paraId="20AE2B68" w14:textId="77777777" w:rsidR="00E659A5" w:rsidRDefault="00C21592" w:rsidP="00C168EA">
            <w:r>
              <w:rPr>
                <w:lang w:val="en-US"/>
              </w:rPr>
              <w:t>5 mg primijenjenih istovremeno sa ASK</w:t>
            </w:r>
          </w:p>
        </w:tc>
        <w:tc>
          <w:tcPr>
            <w:tcW w:w="926" w:type="pct"/>
            <w:shd w:val="clear" w:color="auto" w:fill="auto"/>
          </w:tcPr>
          <w:p w14:paraId="54C3F2BF" w14:textId="77777777" w:rsidR="00E659A5" w:rsidRDefault="00C21592" w:rsidP="00C168EA">
            <w:r>
              <w:t>42 mjeseca</w:t>
            </w:r>
          </w:p>
        </w:tc>
      </w:tr>
    </w:tbl>
    <w:p w14:paraId="67DE8B63" w14:textId="77777777" w:rsidR="00E659A5" w:rsidRDefault="00C21592">
      <w:pPr>
        <w:widowControl w:val="0"/>
        <w:jc w:val="both"/>
      </w:pPr>
      <w:r>
        <w:rPr>
          <w:rFonts w:eastAsia="Calibri"/>
        </w:rPr>
        <w:t xml:space="preserve">* </w:t>
      </w:r>
      <w:r>
        <w:t>Pacijenti koji su primili najmanje jednu dozu rivaroksabana</w:t>
      </w:r>
    </w:p>
    <w:p w14:paraId="5F96315A" w14:textId="77777777" w:rsidR="00E659A5" w:rsidRDefault="00C21592">
      <w:pPr>
        <w:widowControl w:val="0"/>
        <w:jc w:val="both"/>
      </w:pPr>
      <w:r>
        <w:t xml:space="preserve">** </w:t>
      </w:r>
      <w:r>
        <w:rPr>
          <w:lang w:val="sr-Latn-ME"/>
        </w:rPr>
        <w:t>Iz VOYAGER PAD studije</w:t>
      </w:r>
    </w:p>
    <w:p w14:paraId="1FF0221D" w14:textId="77777777" w:rsidR="00E659A5" w:rsidRDefault="00E659A5">
      <w:pPr>
        <w:widowControl w:val="0"/>
        <w:jc w:val="both"/>
      </w:pPr>
    </w:p>
    <w:p w14:paraId="5A5972E6" w14:textId="3894B338" w:rsidR="00E659A5" w:rsidRDefault="00C21592" w:rsidP="00E30508">
      <w:pPr>
        <w:widowControl w:val="0"/>
        <w:ind w:right="-427"/>
        <w:jc w:val="both"/>
      </w:pPr>
      <w:r>
        <w:t>Najčešće prijavljena neželjena dejstva kod pacijenta koji su primali rivaroksaban bila su krvarenja</w:t>
      </w:r>
      <w:r w:rsidR="00E30508">
        <w:t xml:space="preserve"> </w:t>
      </w:r>
      <w:r>
        <w:t>(vidjeti dio 4.4 i „Opis odabranih neželjenih dejstava“) (Tabela 2). Najčešće prijavljena krvarenja bila su epistaksa (4,5%) i krvarenje iz gastrointestinalnog trakta (3,8%).</w:t>
      </w:r>
    </w:p>
    <w:p w14:paraId="3499BC85" w14:textId="77777777" w:rsidR="00E659A5" w:rsidRDefault="00E659A5">
      <w:pPr>
        <w:widowControl w:val="0"/>
        <w:ind w:right="485"/>
        <w:jc w:val="both"/>
      </w:pPr>
    </w:p>
    <w:p w14:paraId="08E2016D" w14:textId="77777777" w:rsidR="00E659A5" w:rsidRDefault="00C21592" w:rsidP="00C168EA">
      <w:pPr>
        <w:shd w:val="clear" w:color="auto" w:fill="FFFFFF"/>
        <w:jc w:val="center"/>
        <w:rPr>
          <w:b/>
          <w:bCs/>
          <w:color w:val="000000"/>
        </w:rPr>
      </w:pPr>
      <w:r>
        <w:rPr>
          <w:b/>
          <w:bCs/>
          <w:color w:val="000000"/>
        </w:rPr>
        <w:t>Tabela 2: Stope krvarenja* i anemija kod odraslih i pedijatrijskih pacijenata pacijenata koji su primali rivaroksaban u završenim studijama Faze III</w:t>
      </w:r>
    </w:p>
    <w:tbl>
      <w:tblPr>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3"/>
        <w:gridCol w:w="2346"/>
        <w:gridCol w:w="2049"/>
      </w:tblGrid>
      <w:tr w:rsidR="00E659A5" w14:paraId="36F0891B" w14:textId="77777777">
        <w:tc>
          <w:tcPr>
            <w:tcW w:w="2694" w:type="pct"/>
            <w:shd w:val="clear" w:color="auto" w:fill="auto"/>
            <w:hideMark/>
          </w:tcPr>
          <w:p w14:paraId="615D7488" w14:textId="77777777" w:rsidR="00E659A5" w:rsidRDefault="00C21592" w:rsidP="00C168EA">
            <w:pPr>
              <w:jc w:val="center"/>
            </w:pPr>
            <w:r>
              <w:rPr>
                <w:b/>
                <w:bCs/>
              </w:rPr>
              <w:t>Indikacija</w:t>
            </w:r>
          </w:p>
        </w:tc>
        <w:tc>
          <w:tcPr>
            <w:tcW w:w="1231" w:type="pct"/>
            <w:shd w:val="clear" w:color="auto" w:fill="auto"/>
            <w:hideMark/>
          </w:tcPr>
          <w:p w14:paraId="594C7F9D" w14:textId="77777777" w:rsidR="00E659A5" w:rsidRDefault="00C21592" w:rsidP="00C168EA">
            <w:pPr>
              <w:jc w:val="center"/>
            </w:pPr>
            <w:r>
              <w:rPr>
                <w:b/>
                <w:bCs/>
              </w:rPr>
              <w:t>Krvarenje</w:t>
            </w:r>
          </w:p>
        </w:tc>
        <w:tc>
          <w:tcPr>
            <w:tcW w:w="1075" w:type="pct"/>
            <w:shd w:val="clear" w:color="auto" w:fill="auto"/>
            <w:hideMark/>
          </w:tcPr>
          <w:p w14:paraId="66C88DB0" w14:textId="77777777" w:rsidR="00E659A5" w:rsidRDefault="00C21592" w:rsidP="00C168EA">
            <w:pPr>
              <w:jc w:val="center"/>
            </w:pPr>
            <w:r>
              <w:rPr>
                <w:b/>
                <w:bCs/>
              </w:rPr>
              <w:t>Anemija</w:t>
            </w:r>
          </w:p>
        </w:tc>
      </w:tr>
      <w:tr w:rsidR="00E659A5" w14:paraId="546AC81F" w14:textId="77777777">
        <w:tc>
          <w:tcPr>
            <w:tcW w:w="2694" w:type="pct"/>
            <w:shd w:val="clear" w:color="auto" w:fill="auto"/>
            <w:hideMark/>
          </w:tcPr>
          <w:p w14:paraId="44C8A76D" w14:textId="77777777" w:rsidR="00E659A5" w:rsidRDefault="00C21592" w:rsidP="00C168EA">
            <w:pPr>
              <w:pStyle w:val="Default"/>
              <w:rPr>
                <w:sz w:val="22"/>
                <w:szCs w:val="22"/>
                <w:lang w:val="hr-HR"/>
              </w:rPr>
            </w:pPr>
            <w:r>
              <w:rPr>
                <w:sz w:val="22"/>
                <w:szCs w:val="22"/>
                <w:lang w:val="hr-HR"/>
              </w:rPr>
              <w:t xml:space="preserve">Prevencija VTE kod odraslih </w:t>
            </w:r>
            <w:r>
              <w:t xml:space="preserve">pacijenata </w:t>
            </w:r>
            <w:r>
              <w:rPr>
                <w:sz w:val="22"/>
                <w:szCs w:val="22"/>
                <w:lang w:val="hr-HR"/>
              </w:rPr>
              <w:t>podvrgnutih elektivnom hirurškom zahvatu zamjene kuka ili koljena</w:t>
            </w:r>
          </w:p>
        </w:tc>
        <w:tc>
          <w:tcPr>
            <w:tcW w:w="1231" w:type="pct"/>
            <w:shd w:val="clear" w:color="auto" w:fill="auto"/>
            <w:hideMark/>
          </w:tcPr>
          <w:p w14:paraId="60CBD989" w14:textId="77777777" w:rsidR="00E659A5" w:rsidRDefault="00C21592" w:rsidP="00C168EA">
            <w:r>
              <w:t>6,8% pacijenata</w:t>
            </w:r>
          </w:p>
        </w:tc>
        <w:tc>
          <w:tcPr>
            <w:tcW w:w="1075" w:type="pct"/>
            <w:shd w:val="clear" w:color="auto" w:fill="auto"/>
            <w:hideMark/>
          </w:tcPr>
          <w:p w14:paraId="07654DEA" w14:textId="77777777" w:rsidR="00E659A5" w:rsidRDefault="00C21592" w:rsidP="00C168EA">
            <w:r>
              <w:t>5,9% pacijenata</w:t>
            </w:r>
          </w:p>
        </w:tc>
      </w:tr>
      <w:tr w:rsidR="00E659A5" w14:paraId="386D5B55" w14:textId="77777777">
        <w:tc>
          <w:tcPr>
            <w:tcW w:w="2694" w:type="pct"/>
            <w:shd w:val="clear" w:color="auto" w:fill="auto"/>
            <w:hideMark/>
          </w:tcPr>
          <w:p w14:paraId="1F8C3D5B" w14:textId="77777777" w:rsidR="00E659A5" w:rsidRDefault="00C21592" w:rsidP="00C168EA">
            <w:pPr>
              <w:pStyle w:val="Default"/>
              <w:rPr>
                <w:sz w:val="22"/>
                <w:szCs w:val="22"/>
                <w:lang w:val="hr-HR"/>
              </w:rPr>
            </w:pPr>
            <w:r>
              <w:rPr>
                <w:sz w:val="22"/>
                <w:szCs w:val="22"/>
                <w:lang w:val="hr-HR"/>
              </w:rPr>
              <w:t>Prevencija VTE kod hospitalizovanih nehirurških pacijenata</w:t>
            </w:r>
          </w:p>
        </w:tc>
        <w:tc>
          <w:tcPr>
            <w:tcW w:w="1231" w:type="pct"/>
            <w:shd w:val="clear" w:color="auto" w:fill="auto"/>
            <w:hideMark/>
          </w:tcPr>
          <w:p w14:paraId="621A9BB5" w14:textId="77777777" w:rsidR="00E659A5" w:rsidRDefault="00C21592" w:rsidP="00C168EA">
            <w:r>
              <w:t>12,6% pacijenata</w:t>
            </w:r>
          </w:p>
        </w:tc>
        <w:tc>
          <w:tcPr>
            <w:tcW w:w="1075" w:type="pct"/>
            <w:shd w:val="clear" w:color="auto" w:fill="auto"/>
            <w:hideMark/>
          </w:tcPr>
          <w:p w14:paraId="31D44BD1" w14:textId="77777777" w:rsidR="00E659A5" w:rsidRDefault="00C21592" w:rsidP="00C168EA">
            <w:r>
              <w:t>2,1% pacijenata</w:t>
            </w:r>
          </w:p>
        </w:tc>
      </w:tr>
      <w:tr w:rsidR="00E659A5" w14:paraId="7CB006B2" w14:textId="77777777">
        <w:tc>
          <w:tcPr>
            <w:tcW w:w="2694" w:type="pct"/>
            <w:shd w:val="clear" w:color="auto" w:fill="auto"/>
            <w:hideMark/>
          </w:tcPr>
          <w:p w14:paraId="56558D84" w14:textId="77777777" w:rsidR="00E659A5" w:rsidRDefault="00C21592" w:rsidP="00C168EA">
            <w:pPr>
              <w:pStyle w:val="Default"/>
              <w:rPr>
                <w:sz w:val="22"/>
                <w:szCs w:val="22"/>
                <w:lang w:val="hr-HR"/>
              </w:rPr>
            </w:pPr>
            <w:r>
              <w:rPr>
                <w:sz w:val="22"/>
                <w:szCs w:val="22"/>
                <w:lang w:val="hr-HR"/>
              </w:rPr>
              <w:t>Terapija TDV, PE i prevencija njihovih recidiva</w:t>
            </w:r>
          </w:p>
        </w:tc>
        <w:tc>
          <w:tcPr>
            <w:tcW w:w="1231" w:type="pct"/>
            <w:shd w:val="clear" w:color="auto" w:fill="auto"/>
            <w:hideMark/>
          </w:tcPr>
          <w:p w14:paraId="2B22DF4A" w14:textId="77777777" w:rsidR="00E659A5" w:rsidRDefault="00C21592" w:rsidP="00C168EA">
            <w:r>
              <w:t>23% pacijenata</w:t>
            </w:r>
          </w:p>
        </w:tc>
        <w:tc>
          <w:tcPr>
            <w:tcW w:w="1075" w:type="pct"/>
            <w:shd w:val="clear" w:color="auto" w:fill="auto"/>
            <w:hideMark/>
          </w:tcPr>
          <w:p w14:paraId="73DCE7A8" w14:textId="77777777" w:rsidR="00E659A5" w:rsidRDefault="00C21592" w:rsidP="00C168EA">
            <w:r>
              <w:t>1,6% pacijenata</w:t>
            </w:r>
          </w:p>
        </w:tc>
      </w:tr>
      <w:tr w:rsidR="00E659A5" w14:paraId="6DE6196E" w14:textId="77777777">
        <w:tc>
          <w:tcPr>
            <w:tcW w:w="2694" w:type="pct"/>
            <w:shd w:val="clear" w:color="auto" w:fill="auto"/>
          </w:tcPr>
          <w:p w14:paraId="07FDE5CF" w14:textId="77777777" w:rsidR="00E659A5" w:rsidRDefault="00C21592" w:rsidP="00C168EA">
            <w:pPr>
              <w:pStyle w:val="Default"/>
              <w:rPr>
                <w:sz w:val="22"/>
                <w:szCs w:val="22"/>
                <w:lang w:val="hr-HR"/>
              </w:rPr>
            </w:pPr>
            <w:r>
              <w:rPr>
                <w:sz w:val="22"/>
                <w:szCs w:val="22"/>
                <w:lang w:val="en-GB"/>
              </w:rPr>
              <w:t>Terapija VTE i prevencija ponovne pojave VTE kod novorođenčadi i djece mlađe od 18 godina nakon uvođenja standardne antikoagulantne terapije</w:t>
            </w:r>
          </w:p>
        </w:tc>
        <w:tc>
          <w:tcPr>
            <w:tcW w:w="1231" w:type="pct"/>
            <w:shd w:val="clear" w:color="auto" w:fill="auto"/>
          </w:tcPr>
          <w:p w14:paraId="3265F584" w14:textId="77777777" w:rsidR="00E659A5" w:rsidRDefault="00C21592" w:rsidP="00C168EA">
            <w:r>
              <w:t>39.5% pacijenata</w:t>
            </w:r>
          </w:p>
        </w:tc>
        <w:tc>
          <w:tcPr>
            <w:tcW w:w="1075" w:type="pct"/>
            <w:shd w:val="clear" w:color="auto" w:fill="auto"/>
          </w:tcPr>
          <w:p w14:paraId="0C888F17" w14:textId="77777777" w:rsidR="00E659A5" w:rsidRDefault="00C21592" w:rsidP="00C168EA">
            <w:r>
              <w:t>4.6% pacijenata</w:t>
            </w:r>
          </w:p>
        </w:tc>
      </w:tr>
      <w:tr w:rsidR="00E659A5" w14:paraId="7BDFD653" w14:textId="77777777">
        <w:tc>
          <w:tcPr>
            <w:tcW w:w="2694" w:type="pct"/>
            <w:shd w:val="clear" w:color="auto" w:fill="auto"/>
            <w:hideMark/>
          </w:tcPr>
          <w:p w14:paraId="2F6A7404" w14:textId="77777777" w:rsidR="00E659A5" w:rsidRDefault="00C21592" w:rsidP="00C168EA">
            <w:pPr>
              <w:pStyle w:val="Default"/>
              <w:rPr>
                <w:sz w:val="22"/>
                <w:szCs w:val="22"/>
                <w:lang w:val="hr-HR"/>
              </w:rPr>
            </w:pPr>
            <w:r>
              <w:rPr>
                <w:sz w:val="22"/>
                <w:szCs w:val="22"/>
                <w:lang w:val="hr-HR"/>
              </w:rPr>
              <w:t xml:space="preserve">Prevencija moždanog udara i sistemske embolije kod pacijenata sa nevalvularnom atrijalnom fibrilacijom </w:t>
            </w:r>
          </w:p>
        </w:tc>
        <w:tc>
          <w:tcPr>
            <w:tcW w:w="1231" w:type="pct"/>
            <w:shd w:val="clear" w:color="auto" w:fill="auto"/>
            <w:hideMark/>
          </w:tcPr>
          <w:p w14:paraId="21F19C64" w14:textId="77777777" w:rsidR="00E659A5" w:rsidRDefault="00C21592" w:rsidP="00C168EA">
            <w:r>
              <w:t>28 na 100 pacijent-godina</w:t>
            </w:r>
          </w:p>
        </w:tc>
        <w:tc>
          <w:tcPr>
            <w:tcW w:w="1075" w:type="pct"/>
            <w:shd w:val="clear" w:color="auto" w:fill="auto"/>
            <w:hideMark/>
          </w:tcPr>
          <w:p w14:paraId="4D096120" w14:textId="77777777" w:rsidR="00E659A5" w:rsidRDefault="00C21592" w:rsidP="00C168EA">
            <w:r>
              <w:t>2,5 na 100 pacijent-godina</w:t>
            </w:r>
          </w:p>
        </w:tc>
      </w:tr>
      <w:tr w:rsidR="00E659A5" w14:paraId="56D1C912" w14:textId="77777777">
        <w:tc>
          <w:tcPr>
            <w:tcW w:w="2694" w:type="pct"/>
            <w:shd w:val="clear" w:color="auto" w:fill="auto"/>
            <w:hideMark/>
          </w:tcPr>
          <w:p w14:paraId="552E15DA" w14:textId="77777777" w:rsidR="00E659A5" w:rsidRDefault="00C21592" w:rsidP="00C168EA">
            <w:pPr>
              <w:pStyle w:val="Default"/>
              <w:rPr>
                <w:sz w:val="22"/>
                <w:szCs w:val="22"/>
                <w:lang w:val="hr-HR"/>
              </w:rPr>
            </w:pPr>
            <w:r>
              <w:rPr>
                <w:sz w:val="22"/>
                <w:szCs w:val="22"/>
                <w:lang w:val="hr-HR"/>
              </w:rPr>
              <w:t>Prevencija aterotrombotičnih događaja kod pacijenata nakon akutnog koronarnog sindroma (AKS)</w:t>
            </w:r>
          </w:p>
        </w:tc>
        <w:tc>
          <w:tcPr>
            <w:tcW w:w="1231" w:type="pct"/>
            <w:shd w:val="clear" w:color="auto" w:fill="auto"/>
            <w:hideMark/>
          </w:tcPr>
          <w:p w14:paraId="64093505" w14:textId="77777777" w:rsidR="00E659A5" w:rsidRDefault="00C21592" w:rsidP="00C168EA">
            <w:r>
              <w:t>22 na 100 pacijent-godina</w:t>
            </w:r>
          </w:p>
        </w:tc>
        <w:tc>
          <w:tcPr>
            <w:tcW w:w="1075" w:type="pct"/>
            <w:shd w:val="clear" w:color="auto" w:fill="auto"/>
            <w:hideMark/>
          </w:tcPr>
          <w:p w14:paraId="5043DF13" w14:textId="77777777" w:rsidR="00E659A5" w:rsidRDefault="00C21592" w:rsidP="00C168EA">
            <w:r>
              <w:t>1,4 na 100 pacijent-godina</w:t>
            </w:r>
          </w:p>
        </w:tc>
      </w:tr>
      <w:tr w:rsidR="00E659A5" w14:paraId="76822E03" w14:textId="77777777">
        <w:tc>
          <w:tcPr>
            <w:tcW w:w="2694" w:type="pct"/>
            <w:vMerge w:val="restart"/>
            <w:shd w:val="clear" w:color="auto" w:fill="auto"/>
            <w:hideMark/>
          </w:tcPr>
          <w:p w14:paraId="491BAA54" w14:textId="77777777" w:rsidR="00E659A5" w:rsidRDefault="00C21592" w:rsidP="00C168EA">
            <w:pPr>
              <w:pStyle w:val="Default"/>
              <w:rPr>
                <w:sz w:val="22"/>
                <w:szCs w:val="22"/>
                <w:lang w:val="hr-HR"/>
              </w:rPr>
            </w:pPr>
            <w:r>
              <w:rPr>
                <w:sz w:val="22"/>
                <w:szCs w:val="22"/>
                <w:lang w:val="hr-HR"/>
              </w:rPr>
              <w:t>Prevencija aterotrombotičnih događaja kod pacijenata sa BKA/BPA</w:t>
            </w:r>
          </w:p>
        </w:tc>
        <w:tc>
          <w:tcPr>
            <w:tcW w:w="1231" w:type="pct"/>
            <w:shd w:val="clear" w:color="auto" w:fill="auto"/>
            <w:hideMark/>
          </w:tcPr>
          <w:p w14:paraId="45623CD8" w14:textId="77777777" w:rsidR="00E659A5" w:rsidRDefault="00C21592" w:rsidP="00C168EA">
            <w:r>
              <w:t>6,7 na 100 pacijent-godina</w:t>
            </w:r>
          </w:p>
        </w:tc>
        <w:tc>
          <w:tcPr>
            <w:tcW w:w="1075" w:type="pct"/>
            <w:shd w:val="clear" w:color="auto" w:fill="auto"/>
            <w:hideMark/>
          </w:tcPr>
          <w:p w14:paraId="64C50C9F" w14:textId="77777777" w:rsidR="00E659A5" w:rsidRDefault="00C21592" w:rsidP="00C168EA">
            <w:r>
              <w:t>0,15 na 100 pacijent-godina**</w:t>
            </w:r>
          </w:p>
        </w:tc>
      </w:tr>
      <w:tr w:rsidR="00E659A5" w14:paraId="37F6D8A1" w14:textId="77777777">
        <w:tc>
          <w:tcPr>
            <w:tcW w:w="2694" w:type="pct"/>
            <w:vMerge/>
            <w:shd w:val="clear" w:color="auto" w:fill="auto"/>
          </w:tcPr>
          <w:p w14:paraId="7B2C2BC3" w14:textId="77777777" w:rsidR="00E659A5" w:rsidRDefault="00E659A5" w:rsidP="00C168EA">
            <w:pPr>
              <w:pStyle w:val="Default"/>
              <w:rPr>
                <w:sz w:val="22"/>
                <w:szCs w:val="22"/>
                <w:lang w:val="hr-HR"/>
              </w:rPr>
            </w:pPr>
          </w:p>
        </w:tc>
        <w:tc>
          <w:tcPr>
            <w:tcW w:w="1231" w:type="pct"/>
            <w:shd w:val="clear" w:color="auto" w:fill="auto"/>
          </w:tcPr>
          <w:p w14:paraId="6897CFA6" w14:textId="77777777" w:rsidR="00E659A5" w:rsidRDefault="00C21592" w:rsidP="00C168EA">
            <w:r>
              <w:t>8.38 na 100 pacijent - godina #</w:t>
            </w:r>
          </w:p>
        </w:tc>
        <w:tc>
          <w:tcPr>
            <w:tcW w:w="1075" w:type="pct"/>
            <w:shd w:val="clear" w:color="auto" w:fill="auto"/>
          </w:tcPr>
          <w:p w14:paraId="2305FE3B" w14:textId="77777777" w:rsidR="00E659A5" w:rsidRDefault="00C21592" w:rsidP="00C168EA">
            <w:r>
              <w:t>0.74 na 100 pacijent- godina *** #</w:t>
            </w:r>
          </w:p>
        </w:tc>
      </w:tr>
    </w:tbl>
    <w:p w14:paraId="13E15F00" w14:textId="77777777" w:rsidR="00E659A5" w:rsidRDefault="00C21592">
      <w:pPr>
        <w:pStyle w:val="Default"/>
        <w:jc w:val="both"/>
        <w:rPr>
          <w:sz w:val="22"/>
          <w:szCs w:val="22"/>
          <w:lang w:val="hr-HR"/>
        </w:rPr>
      </w:pPr>
      <w:r>
        <w:rPr>
          <w:sz w:val="22"/>
          <w:szCs w:val="22"/>
          <w:lang w:val="hr-HR"/>
        </w:rPr>
        <w:t>* Prikupljena su, zabilježena i procijenjena sva krvarenja u svim studijama rivaroksabana.</w:t>
      </w:r>
    </w:p>
    <w:p w14:paraId="4806338E" w14:textId="3BAC3EBD" w:rsidR="00E659A5" w:rsidRDefault="00C21592" w:rsidP="00482493">
      <w:pPr>
        <w:pStyle w:val="Default"/>
        <w:ind w:right="-427"/>
        <w:jc w:val="both"/>
        <w:rPr>
          <w:sz w:val="22"/>
          <w:szCs w:val="22"/>
          <w:lang w:val="hr-HR"/>
        </w:rPr>
      </w:pPr>
      <w:r>
        <w:rPr>
          <w:sz w:val="22"/>
          <w:szCs w:val="22"/>
          <w:lang w:val="hr-HR"/>
        </w:rPr>
        <w:t>** U ispitivanju COMPASS, incidencija anemije je niska jer je primijenjen selektivni pristup u</w:t>
      </w:r>
      <w:r w:rsidR="00482493">
        <w:rPr>
          <w:sz w:val="22"/>
          <w:szCs w:val="22"/>
          <w:lang w:val="hr-HR"/>
        </w:rPr>
        <w:t xml:space="preserve"> </w:t>
      </w:r>
      <w:r>
        <w:rPr>
          <w:sz w:val="22"/>
          <w:szCs w:val="22"/>
          <w:lang w:val="hr-HR"/>
        </w:rPr>
        <w:t>prikupljanju prijava neželjenih događaja.</w:t>
      </w:r>
    </w:p>
    <w:p w14:paraId="30F49D09" w14:textId="77777777" w:rsidR="00E659A5" w:rsidRDefault="00C21592">
      <w:pPr>
        <w:widowControl w:val="0"/>
        <w:jc w:val="both"/>
        <w:rPr>
          <w:color w:val="000000"/>
          <w:lang w:val="hr-HR"/>
        </w:rPr>
      </w:pPr>
      <w:r>
        <w:rPr>
          <w:color w:val="000000"/>
          <w:lang w:val="hr-HR"/>
        </w:rPr>
        <w:t xml:space="preserve">*** </w:t>
      </w:r>
      <w:r>
        <w:rPr>
          <w:color w:val="000000"/>
          <w:lang w:val="en-US"/>
        </w:rPr>
        <w:t>U prikupljanju prijava neželjenih događaja primijenjen je selektivan pristup.</w:t>
      </w:r>
    </w:p>
    <w:p w14:paraId="333942EE" w14:textId="77777777" w:rsidR="00E659A5" w:rsidRDefault="00C21592">
      <w:pPr>
        <w:widowControl w:val="0"/>
        <w:jc w:val="both"/>
        <w:rPr>
          <w:color w:val="000000"/>
          <w:lang w:val="hr-HR"/>
        </w:rPr>
      </w:pPr>
      <w:r>
        <w:rPr>
          <w:color w:val="000000"/>
          <w:lang w:val="hr-HR"/>
        </w:rPr>
        <w:t xml:space="preserve"># </w:t>
      </w:r>
      <w:r>
        <w:rPr>
          <w:color w:val="000000"/>
          <w:lang w:val="sr-Latn-ME"/>
        </w:rPr>
        <w:t>Iz VOYAGER PAD studije</w:t>
      </w:r>
    </w:p>
    <w:p w14:paraId="36C96413" w14:textId="77777777" w:rsidR="00E659A5" w:rsidRDefault="00E659A5">
      <w:pPr>
        <w:widowControl w:val="0"/>
        <w:jc w:val="both"/>
        <w:rPr>
          <w:rFonts w:eastAsia="Calibri"/>
        </w:rPr>
      </w:pPr>
    </w:p>
    <w:p w14:paraId="67110EE8" w14:textId="77777777" w:rsidR="00E659A5" w:rsidRDefault="00C21592">
      <w:pPr>
        <w:pStyle w:val="Default"/>
        <w:jc w:val="both"/>
        <w:rPr>
          <w:b/>
          <w:sz w:val="22"/>
          <w:szCs w:val="22"/>
          <w:u w:val="single"/>
          <w:lang w:val="hr-HR"/>
        </w:rPr>
      </w:pPr>
      <w:r>
        <w:rPr>
          <w:b/>
          <w:sz w:val="22"/>
          <w:szCs w:val="22"/>
          <w:u w:val="single"/>
          <w:lang w:val="hr-HR"/>
        </w:rPr>
        <w:t>Tabelarni prikaz neželjenih reakcija</w:t>
      </w:r>
    </w:p>
    <w:p w14:paraId="1475CA9A" w14:textId="77777777" w:rsidR="00E659A5" w:rsidRDefault="00E659A5">
      <w:pPr>
        <w:pStyle w:val="Default"/>
        <w:jc w:val="both"/>
        <w:rPr>
          <w:b/>
          <w:sz w:val="22"/>
          <w:szCs w:val="22"/>
          <w:u w:val="single"/>
          <w:lang w:val="hr-HR"/>
        </w:rPr>
      </w:pPr>
    </w:p>
    <w:p w14:paraId="05EA3424" w14:textId="77777777" w:rsidR="00E659A5" w:rsidRDefault="00C21592" w:rsidP="00482493">
      <w:pPr>
        <w:widowControl w:val="0"/>
        <w:ind w:right="-568"/>
        <w:jc w:val="both"/>
        <w:rPr>
          <w:rFonts w:eastAsia="Calibri"/>
        </w:rPr>
      </w:pPr>
      <w:r>
        <w:t>Učestalost neželjenih reakcija za rivaroksaban kod odraslih i pedijatrijskih pacijenata je prikazana u Tabeli 3, prema klasi sistema organa (MedDRA), kao i prema učestalosti.</w:t>
      </w:r>
    </w:p>
    <w:p w14:paraId="04DEF36B" w14:textId="77777777" w:rsidR="00E659A5" w:rsidRDefault="00E659A5">
      <w:pPr>
        <w:widowControl w:val="0"/>
        <w:jc w:val="both"/>
        <w:rPr>
          <w:rFonts w:eastAsia="Calibri"/>
        </w:rPr>
      </w:pPr>
    </w:p>
    <w:p w14:paraId="782CF508" w14:textId="77777777" w:rsidR="00E659A5" w:rsidRDefault="00C21592">
      <w:pPr>
        <w:widowControl w:val="0"/>
        <w:jc w:val="both"/>
      </w:pPr>
      <w:r>
        <w:t>Učestalost je definisana na sljedeći način:</w:t>
      </w:r>
    </w:p>
    <w:p w14:paraId="6FC137B4" w14:textId="77777777" w:rsidR="00E659A5" w:rsidRDefault="00C21592">
      <w:pPr>
        <w:widowControl w:val="0"/>
        <w:jc w:val="both"/>
      </w:pPr>
      <w:r>
        <w:t>veoma često (≥ 1/10)</w:t>
      </w:r>
    </w:p>
    <w:p w14:paraId="6282E1B6" w14:textId="77777777" w:rsidR="00E659A5" w:rsidRDefault="00C21592">
      <w:pPr>
        <w:widowControl w:val="0"/>
        <w:jc w:val="both"/>
      </w:pPr>
      <w:r>
        <w:t>često (≥ 1/100 do &lt; 1/10)</w:t>
      </w:r>
    </w:p>
    <w:p w14:paraId="5219DD8E" w14:textId="77777777" w:rsidR="00E659A5" w:rsidRDefault="00C21592">
      <w:pPr>
        <w:widowControl w:val="0"/>
        <w:jc w:val="both"/>
      </w:pPr>
      <w:r>
        <w:t>povremeno (≥ 1/1000 do &lt; 1/100)</w:t>
      </w:r>
    </w:p>
    <w:p w14:paraId="455573A4" w14:textId="59EFB8DE" w:rsidR="00E659A5" w:rsidRDefault="00C21592">
      <w:pPr>
        <w:widowControl w:val="0"/>
        <w:jc w:val="both"/>
      </w:pPr>
      <w:r>
        <w:t>rijetko (≥ 1/10</w:t>
      </w:r>
      <w:r w:rsidR="00482493">
        <w:t xml:space="preserve"> </w:t>
      </w:r>
      <w:r>
        <w:t>000 do &lt; 1/1000)</w:t>
      </w:r>
    </w:p>
    <w:p w14:paraId="7A42395C" w14:textId="77777777" w:rsidR="00E659A5" w:rsidRDefault="00C21592">
      <w:pPr>
        <w:widowControl w:val="0"/>
        <w:jc w:val="both"/>
      </w:pPr>
      <w:r>
        <w:t>veoma rijetko (&lt; 1/10</w:t>
      </w:r>
      <w:r w:rsidR="00482493">
        <w:t xml:space="preserve"> </w:t>
      </w:r>
      <w:r>
        <w:t>000)</w:t>
      </w:r>
    </w:p>
    <w:p w14:paraId="599F7602" w14:textId="77777777" w:rsidR="00E659A5" w:rsidRDefault="00C21592">
      <w:pPr>
        <w:widowControl w:val="0"/>
        <w:jc w:val="both"/>
      </w:pPr>
      <w:r>
        <w:t>nepoznato (ne može se procijeniti na osnovu dostupnih podataka).</w:t>
      </w:r>
    </w:p>
    <w:p w14:paraId="557F00AB" w14:textId="77777777" w:rsidR="00E659A5" w:rsidRDefault="00E659A5">
      <w:pPr>
        <w:widowControl w:val="0"/>
        <w:jc w:val="both"/>
        <w:rPr>
          <w:rFonts w:eastAsia="Calibri"/>
        </w:rPr>
      </w:pPr>
    </w:p>
    <w:p w14:paraId="04498714" w14:textId="77777777" w:rsidR="00E659A5" w:rsidRDefault="00C21592" w:rsidP="00C168EA">
      <w:pPr>
        <w:shd w:val="clear" w:color="auto" w:fill="FFFFFF"/>
        <w:jc w:val="center"/>
        <w:rPr>
          <w:b/>
          <w:bCs/>
          <w:color w:val="000000"/>
          <w:lang w:val="en-US"/>
        </w:rPr>
      </w:pPr>
      <w:r>
        <w:rPr>
          <w:b/>
          <w:bCs/>
          <w:color w:val="000000"/>
        </w:rPr>
        <w:t>Tabela 3: Sve neželjene reakcije prijavljene kod pacijenata uključenih u studije Faze III ili tokom postmarketinškog praćenja*</w:t>
      </w:r>
      <w:r>
        <w:rPr>
          <w:b/>
          <w:bCs/>
          <w:color w:val="000000"/>
          <w:lang w:val="en-US"/>
        </w:rPr>
        <w:t xml:space="preserve"> i u dvije studije Faze II i u dvije studije Faze III kod pedijatrijskih pacijenata</w:t>
      </w:r>
    </w:p>
    <w:p w14:paraId="13CFAD69" w14:textId="77777777" w:rsidR="00E659A5" w:rsidRDefault="00E659A5">
      <w:pPr>
        <w:shd w:val="clear" w:color="auto" w:fill="FFFFFF"/>
        <w:jc w:val="both"/>
        <w:rPr>
          <w:b/>
          <w:bCs/>
          <w:color w:val="000000"/>
        </w:rPr>
      </w:pPr>
    </w:p>
    <w:tbl>
      <w:tblPr>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2"/>
        <w:gridCol w:w="2210"/>
        <w:gridCol w:w="1934"/>
        <w:gridCol w:w="1467"/>
        <w:gridCol w:w="1845"/>
      </w:tblGrid>
      <w:tr w:rsidR="00E659A5" w14:paraId="11516522" w14:textId="77777777">
        <w:trPr>
          <w:tblHeader/>
        </w:trPr>
        <w:tc>
          <w:tcPr>
            <w:tcW w:w="1087" w:type="pct"/>
            <w:shd w:val="clear" w:color="auto" w:fill="auto"/>
            <w:hideMark/>
          </w:tcPr>
          <w:p w14:paraId="213C4FE4" w14:textId="77777777" w:rsidR="00E659A5" w:rsidRDefault="00C21592" w:rsidP="00C168EA">
            <w:pPr>
              <w:jc w:val="center"/>
            </w:pPr>
            <w:r>
              <w:rPr>
                <w:b/>
                <w:bCs/>
              </w:rPr>
              <w:t>Često</w:t>
            </w:r>
          </w:p>
        </w:tc>
        <w:tc>
          <w:tcPr>
            <w:tcW w:w="1160" w:type="pct"/>
            <w:shd w:val="clear" w:color="auto" w:fill="auto"/>
            <w:hideMark/>
          </w:tcPr>
          <w:p w14:paraId="21D1A0E4" w14:textId="77777777" w:rsidR="00E659A5" w:rsidRDefault="00C21592" w:rsidP="00C168EA">
            <w:pPr>
              <w:jc w:val="center"/>
            </w:pPr>
            <w:r>
              <w:rPr>
                <w:b/>
                <w:bCs/>
              </w:rPr>
              <w:t>Povremeno</w:t>
            </w:r>
          </w:p>
        </w:tc>
        <w:tc>
          <w:tcPr>
            <w:tcW w:w="1015" w:type="pct"/>
            <w:shd w:val="clear" w:color="auto" w:fill="auto"/>
            <w:hideMark/>
          </w:tcPr>
          <w:p w14:paraId="0216141D" w14:textId="77777777" w:rsidR="00E659A5" w:rsidRDefault="00C21592" w:rsidP="00C168EA">
            <w:pPr>
              <w:jc w:val="center"/>
            </w:pPr>
            <w:r>
              <w:rPr>
                <w:b/>
                <w:bCs/>
              </w:rPr>
              <w:t>Rijetko</w:t>
            </w:r>
          </w:p>
        </w:tc>
        <w:tc>
          <w:tcPr>
            <w:tcW w:w="770" w:type="pct"/>
            <w:shd w:val="clear" w:color="auto" w:fill="auto"/>
            <w:hideMark/>
          </w:tcPr>
          <w:p w14:paraId="240E4260" w14:textId="77777777" w:rsidR="00E659A5" w:rsidRDefault="00C21592" w:rsidP="00C168EA">
            <w:pPr>
              <w:jc w:val="center"/>
            </w:pPr>
            <w:r>
              <w:rPr>
                <w:b/>
                <w:bCs/>
              </w:rPr>
              <w:t>Veoma rijetko</w:t>
            </w:r>
          </w:p>
        </w:tc>
        <w:tc>
          <w:tcPr>
            <w:tcW w:w="968" w:type="pct"/>
            <w:shd w:val="clear" w:color="auto" w:fill="auto"/>
            <w:hideMark/>
          </w:tcPr>
          <w:p w14:paraId="52152C4D" w14:textId="77777777" w:rsidR="00E659A5" w:rsidRDefault="00C21592" w:rsidP="00C168EA">
            <w:pPr>
              <w:jc w:val="center"/>
            </w:pPr>
            <w:r>
              <w:rPr>
                <w:b/>
                <w:bCs/>
              </w:rPr>
              <w:t>Nepoznato</w:t>
            </w:r>
          </w:p>
        </w:tc>
      </w:tr>
      <w:tr w:rsidR="00E659A5" w14:paraId="242CB56D" w14:textId="77777777">
        <w:tc>
          <w:tcPr>
            <w:tcW w:w="5000" w:type="pct"/>
            <w:gridSpan w:val="5"/>
            <w:shd w:val="clear" w:color="auto" w:fill="auto"/>
            <w:hideMark/>
          </w:tcPr>
          <w:p w14:paraId="7AA1970D" w14:textId="77777777" w:rsidR="00E659A5" w:rsidRDefault="00C21592">
            <w:pPr>
              <w:pStyle w:val="Default"/>
              <w:jc w:val="both"/>
              <w:rPr>
                <w:sz w:val="22"/>
                <w:szCs w:val="22"/>
                <w:lang w:val="hr-HR"/>
              </w:rPr>
            </w:pPr>
            <w:r>
              <w:rPr>
                <w:b/>
                <w:bCs/>
                <w:sz w:val="22"/>
                <w:szCs w:val="22"/>
                <w:lang w:val="hr-HR"/>
              </w:rPr>
              <w:t>Poremećaji krvi i limfnog sistema</w:t>
            </w:r>
          </w:p>
        </w:tc>
      </w:tr>
      <w:tr w:rsidR="00E659A5" w14:paraId="3C2341E2" w14:textId="77777777">
        <w:tc>
          <w:tcPr>
            <w:tcW w:w="1087" w:type="pct"/>
            <w:shd w:val="clear" w:color="auto" w:fill="auto"/>
            <w:hideMark/>
          </w:tcPr>
          <w:p w14:paraId="6238D90F" w14:textId="77777777" w:rsidR="00E659A5" w:rsidRDefault="00C21592" w:rsidP="00C168EA">
            <w:pPr>
              <w:pStyle w:val="Default"/>
              <w:rPr>
                <w:sz w:val="22"/>
                <w:szCs w:val="22"/>
                <w:lang w:val="hr-HR"/>
              </w:rPr>
            </w:pPr>
            <w:r>
              <w:rPr>
                <w:sz w:val="22"/>
                <w:szCs w:val="22"/>
                <w:lang w:val="hr-HR"/>
              </w:rPr>
              <w:t>Anemija (uključujući odgovarajuće laboratorijske parametre)</w:t>
            </w:r>
          </w:p>
        </w:tc>
        <w:tc>
          <w:tcPr>
            <w:tcW w:w="1160" w:type="pct"/>
            <w:shd w:val="clear" w:color="auto" w:fill="auto"/>
            <w:hideMark/>
          </w:tcPr>
          <w:p w14:paraId="39EBF2B6" w14:textId="77777777" w:rsidR="00E659A5" w:rsidRDefault="00C21592" w:rsidP="00C168EA">
            <w:r>
              <w:t>Trombocitoza (uključujući povećan broj trombocita)</w:t>
            </w:r>
            <w:r>
              <w:rPr>
                <w:vertAlign w:val="superscript"/>
              </w:rPr>
              <w:t>A</w:t>
            </w:r>
            <w:r>
              <w:t>, trombocitopenija</w:t>
            </w:r>
          </w:p>
        </w:tc>
        <w:tc>
          <w:tcPr>
            <w:tcW w:w="1015" w:type="pct"/>
            <w:shd w:val="clear" w:color="auto" w:fill="auto"/>
            <w:hideMark/>
          </w:tcPr>
          <w:p w14:paraId="2BCAF6ED" w14:textId="77777777" w:rsidR="00E659A5" w:rsidRDefault="00E659A5" w:rsidP="00C168EA"/>
        </w:tc>
        <w:tc>
          <w:tcPr>
            <w:tcW w:w="770" w:type="pct"/>
            <w:shd w:val="clear" w:color="auto" w:fill="auto"/>
            <w:hideMark/>
          </w:tcPr>
          <w:p w14:paraId="246FAE87" w14:textId="77777777" w:rsidR="00E659A5" w:rsidRDefault="00E659A5" w:rsidP="00C168EA"/>
        </w:tc>
        <w:tc>
          <w:tcPr>
            <w:tcW w:w="968" w:type="pct"/>
            <w:shd w:val="clear" w:color="auto" w:fill="auto"/>
            <w:hideMark/>
          </w:tcPr>
          <w:p w14:paraId="6B872F02" w14:textId="77777777" w:rsidR="00E659A5" w:rsidRDefault="00E659A5" w:rsidP="00C168EA"/>
        </w:tc>
      </w:tr>
      <w:tr w:rsidR="00E659A5" w14:paraId="27B97654" w14:textId="77777777">
        <w:tc>
          <w:tcPr>
            <w:tcW w:w="5000" w:type="pct"/>
            <w:gridSpan w:val="5"/>
            <w:shd w:val="clear" w:color="auto" w:fill="auto"/>
            <w:hideMark/>
          </w:tcPr>
          <w:p w14:paraId="2FA35325" w14:textId="77777777" w:rsidR="00E659A5" w:rsidRDefault="00C21592" w:rsidP="00C168EA">
            <w:pPr>
              <w:pStyle w:val="Default"/>
              <w:rPr>
                <w:sz w:val="22"/>
                <w:szCs w:val="22"/>
                <w:lang w:val="hr-HR"/>
              </w:rPr>
            </w:pPr>
            <w:r>
              <w:rPr>
                <w:b/>
                <w:bCs/>
                <w:sz w:val="22"/>
                <w:szCs w:val="22"/>
                <w:lang w:val="hr-HR"/>
              </w:rPr>
              <w:t>Poremećaji imunog sistema</w:t>
            </w:r>
          </w:p>
        </w:tc>
      </w:tr>
      <w:tr w:rsidR="00E659A5" w14:paraId="31944E06" w14:textId="77777777">
        <w:tc>
          <w:tcPr>
            <w:tcW w:w="1087" w:type="pct"/>
            <w:shd w:val="clear" w:color="auto" w:fill="auto"/>
            <w:hideMark/>
          </w:tcPr>
          <w:p w14:paraId="10FD3DB9" w14:textId="77777777" w:rsidR="00E659A5" w:rsidRDefault="00E659A5" w:rsidP="00C168EA"/>
        </w:tc>
        <w:tc>
          <w:tcPr>
            <w:tcW w:w="1160" w:type="pct"/>
            <w:shd w:val="clear" w:color="auto" w:fill="auto"/>
            <w:hideMark/>
          </w:tcPr>
          <w:p w14:paraId="5E35A770" w14:textId="77777777" w:rsidR="00E659A5" w:rsidRDefault="00C21592" w:rsidP="00C168EA">
            <w:r>
              <w:t>Alergijska reakcija, alergijski dermatitis, angioedem i alergijski edem</w:t>
            </w:r>
          </w:p>
        </w:tc>
        <w:tc>
          <w:tcPr>
            <w:tcW w:w="1015" w:type="pct"/>
            <w:shd w:val="clear" w:color="auto" w:fill="auto"/>
            <w:hideMark/>
          </w:tcPr>
          <w:p w14:paraId="4B656D98" w14:textId="77777777" w:rsidR="00E659A5" w:rsidRDefault="00E659A5" w:rsidP="00C168EA"/>
        </w:tc>
        <w:tc>
          <w:tcPr>
            <w:tcW w:w="770" w:type="pct"/>
            <w:shd w:val="clear" w:color="auto" w:fill="auto"/>
            <w:hideMark/>
          </w:tcPr>
          <w:p w14:paraId="0D2A4E5E" w14:textId="77777777" w:rsidR="00E659A5" w:rsidRDefault="00C21592" w:rsidP="00C168EA">
            <w:r>
              <w:t>Anafilaktička reakcija, uključujući anafilaktički šok</w:t>
            </w:r>
          </w:p>
        </w:tc>
        <w:tc>
          <w:tcPr>
            <w:tcW w:w="968" w:type="pct"/>
            <w:shd w:val="clear" w:color="auto" w:fill="auto"/>
            <w:hideMark/>
          </w:tcPr>
          <w:p w14:paraId="2B0D2013" w14:textId="77777777" w:rsidR="00E659A5" w:rsidRDefault="00E659A5" w:rsidP="00C168EA"/>
        </w:tc>
      </w:tr>
      <w:tr w:rsidR="00E659A5" w14:paraId="12CDBAF2" w14:textId="77777777">
        <w:tc>
          <w:tcPr>
            <w:tcW w:w="5000" w:type="pct"/>
            <w:gridSpan w:val="5"/>
            <w:shd w:val="clear" w:color="auto" w:fill="auto"/>
            <w:hideMark/>
          </w:tcPr>
          <w:p w14:paraId="2181FCD8" w14:textId="77777777" w:rsidR="00E659A5" w:rsidRDefault="00C21592" w:rsidP="00C168EA">
            <w:pPr>
              <w:pStyle w:val="Default"/>
              <w:rPr>
                <w:sz w:val="22"/>
                <w:szCs w:val="22"/>
                <w:lang w:val="hr-HR"/>
              </w:rPr>
            </w:pPr>
            <w:r>
              <w:rPr>
                <w:b/>
                <w:bCs/>
                <w:sz w:val="22"/>
                <w:szCs w:val="22"/>
                <w:lang w:val="hr-HR"/>
              </w:rPr>
              <w:t>Poremećaji nervnog sistema</w:t>
            </w:r>
          </w:p>
        </w:tc>
      </w:tr>
      <w:tr w:rsidR="00E659A5" w14:paraId="095490A8" w14:textId="77777777">
        <w:trPr>
          <w:trHeight w:val="839"/>
        </w:trPr>
        <w:tc>
          <w:tcPr>
            <w:tcW w:w="1087" w:type="pct"/>
            <w:shd w:val="clear" w:color="auto" w:fill="auto"/>
            <w:hideMark/>
          </w:tcPr>
          <w:p w14:paraId="79898C89" w14:textId="77777777" w:rsidR="00E659A5" w:rsidRDefault="00C21592" w:rsidP="00C168EA">
            <w:r>
              <w:t>Vrtoglavica, glavobolja</w:t>
            </w:r>
          </w:p>
        </w:tc>
        <w:tc>
          <w:tcPr>
            <w:tcW w:w="1160" w:type="pct"/>
            <w:shd w:val="clear" w:color="auto" w:fill="auto"/>
            <w:hideMark/>
          </w:tcPr>
          <w:p w14:paraId="2CE14D92" w14:textId="77777777" w:rsidR="00E659A5" w:rsidRDefault="00C21592" w:rsidP="00C168EA">
            <w:r>
              <w:t>Cerebralno i intrakranijalno krvarenje, sinkopa</w:t>
            </w:r>
          </w:p>
        </w:tc>
        <w:tc>
          <w:tcPr>
            <w:tcW w:w="1015" w:type="pct"/>
            <w:shd w:val="clear" w:color="auto" w:fill="auto"/>
            <w:hideMark/>
          </w:tcPr>
          <w:p w14:paraId="5A699FCC" w14:textId="77777777" w:rsidR="00E659A5" w:rsidRDefault="00E659A5" w:rsidP="00C168EA"/>
        </w:tc>
        <w:tc>
          <w:tcPr>
            <w:tcW w:w="770" w:type="pct"/>
            <w:shd w:val="clear" w:color="auto" w:fill="auto"/>
            <w:hideMark/>
          </w:tcPr>
          <w:p w14:paraId="21243312" w14:textId="77777777" w:rsidR="00E659A5" w:rsidRDefault="00E659A5" w:rsidP="00C168EA"/>
        </w:tc>
        <w:tc>
          <w:tcPr>
            <w:tcW w:w="968" w:type="pct"/>
            <w:shd w:val="clear" w:color="auto" w:fill="auto"/>
            <w:hideMark/>
          </w:tcPr>
          <w:p w14:paraId="04C80AD7" w14:textId="77777777" w:rsidR="00E659A5" w:rsidRDefault="00E659A5" w:rsidP="00C168EA"/>
        </w:tc>
      </w:tr>
      <w:tr w:rsidR="00E659A5" w14:paraId="4A30AD61" w14:textId="77777777">
        <w:tc>
          <w:tcPr>
            <w:tcW w:w="5000" w:type="pct"/>
            <w:gridSpan w:val="5"/>
            <w:shd w:val="clear" w:color="auto" w:fill="auto"/>
            <w:hideMark/>
          </w:tcPr>
          <w:p w14:paraId="0C3E3980" w14:textId="77777777" w:rsidR="00E659A5" w:rsidRDefault="00C21592" w:rsidP="00C168EA">
            <w:r>
              <w:rPr>
                <w:b/>
                <w:bCs/>
              </w:rPr>
              <w:t>Poremećaji oka</w:t>
            </w:r>
          </w:p>
        </w:tc>
      </w:tr>
      <w:tr w:rsidR="00E659A5" w14:paraId="4E5B54D7" w14:textId="77777777">
        <w:tc>
          <w:tcPr>
            <w:tcW w:w="1087" w:type="pct"/>
            <w:shd w:val="clear" w:color="auto" w:fill="auto"/>
            <w:hideMark/>
          </w:tcPr>
          <w:p w14:paraId="48783FD3" w14:textId="77777777" w:rsidR="00E659A5" w:rsidRDefault="00C21592" w:rsidP="00C168EA">
            <w:r>
              <w:t>Krvarenje oka (uključujući krvarenje konjunktive)</w:t>
            </w:r>
          </w:p>
        </w:tc>
        <w:tc>
          <w:tcPr>
            <w:tcW w:w="1160" w:type="pct"/>
            <w:shd w:val="clear" w:color="auto" w:fill="auto"/>
            <w:hideMark/>
          </w:tcPr>
          <w:p w14:paraId="48355679" w14:textId="77777777" w:rsidR="00E659A5" w:rsidRDefault="00E659A5" w:rsidP="00C168EA"/>
        </w:tc>
        <w:tc>
          <w:tcPr>
            <w:tcW w:w="1015" w:type="pct"/>
            <w:shd w:val="clear" w:color="auto" w:fill="auto"/>
            <w:hideMark/>
          </w:tcPr>
          <w:p w14:paraId="41432B1C" w14:textId="77777777" w:rsidR="00E659A5" w:rsidRDefault="00E659A5" w:rsidP="00C168EA"/>
        </w:tc>
        <w:tc>
          <w:tcPr>
            <w:tcW w:w="770" w:type="pct"/>
            <w:shd w:val="clear" w:color="auto" w:fill="auto"/>
            <w:hideMark/>
          </w:tcPr>
          <w:p w14:paraId="48D9B221" w14:textId="77777777" w:rsidR="00E659A5" w:rsidRDefault="00E659A5" w:rsidP="00C168EA"/>
        </w:tc>
        <w:tc>
          <w:tcPr>
            <w:tcW w:w="968" w:type="pct"/>
            <w:shd w:val="clear" w:color="auto" w:fill="auto"/>
            <w:hideMark/>
          </w:tcPr>
          <w:p w14:paraId="62937779" w14:textId="77777777" w:rsidR="00E659A5" w:rsidRDefault="00E659A5" w:rsidP="00C168EA"/>
        </w:tc>
      </w:tr>
      <w:tr w:rsidR="00E659A5" w14:paraId="4D670D33" w14:textId="77777777">
        <w:tc>
          <w:tcPr>
            <w:tcW w:w="5000" w:type="pct"/>
            <w:gridSpan w:val="5"/>
            <w:shd w:val="clear" w:color="auto" w:fill="auto"/>
            <w:hideMark/>
          </w:tcPr>
          <w:p w14:paraId="20D2ADEC" w14:textId="77777777" w:rsidR="00E659A5" w:rsidRDefault="00C21592" w:rsidP="00C168EA">
            <w:r>
              <w:rPr>
                <w:b/>
                <w:bCs/>
              </w:rPr>
              <w:t>Kardiološki poremećaji</w:t>
            </w:r>
          </w:p>
        </w:tc>
      </w:tr>
      <w:tr w:rsidR="00E659A5" w14:paraId="16144FA7" w14:textId="77777777">
        <w:tc>
          <w:tcPr>
            <w:tcW w:w="1087" w:type="pct"/>
            <w:shd w:val="clear" w:color="auto" w:fill="auto"/>
            <w:hideMark/>
          </w:tcPr>
          <w:p w14:paraId="05724EE6" w14:textId="77777777" w:rsidR="00E659A5" w:rsidRDefault="00E659A5" w:rsidP="00C168EA"/>
        </w:tc>
        <w:tc>
          <w:tcPr>
            <w:tcW w:w="1160" w:type="pct"/>
            <w:shd w:val="clear" w:color="auto" w:fill="auto"/>
            <w:hideMark/>
          </w:tcPr>
          <w:p w14:paraId="0D497A37" w14:textId="77777777" w:rsidR="00E659A5" w:rsidRDefault="00C21592" w:rsidP="00C168EA">
            <w:r>
              <w:t>Tahikardija</w:t>
            </w:r>
          </w:p>
        </w:tc>
        <w:tc>
          <w:tcPr>
            <w:tcW w:w="1015" w:type="pct"/>
            <w:shd w:val="clear" w:color="auto" w:fill="auto"/>
            <w:hideMark/>
          </w:tcPr>
          <w:p w14:paraId="56E24D58" w14:textId="77777777" w:rsidR="00E659A5" w:rsidRDefault="00E659A5" w:rsidP="00C168EA"/>
        </w:tc>
        <w:tc>
          <w:tcPr>
            <w:tcW w:w="770" w:type="pct"/>
            <w:shd w:val="clear" w:color="auto" w:fill="auto"/>
            <w:hideMark/>
          </w:tcPr>
          <w:p w14:paraId="42BE201B" w14:textId="77777777" w:rsidR="00E659A5" w:rsidRDefault="00E659A5" w:rsidP="00C168EA"/>
        </w:tc>
        <w:tc>
          <w:tcPr>
            <w:tcW w:w="968" w:type="pct"/>
            <w:shd w:val="clear" w:color="auto" w:fill="auto"/>
            <w:hideMark/>
          </w:tcPr>
          <w:p w14:paraId="12E27E4F" w14:textId="77777777" w:rsidR="00E659A5" w:rsidRDefault="00E659A5" w:rsidP="00C168EA"/>
        </w:tc>
      </w:tr>
      <w:tr w:rsidR="00E659A5" w14:paraId="599ED3F8" w14:textId="77777777">
        <w:tc>
          <w:tcPr>
            <w:tcW w:w="5000" w:type="pct"/>
            <w:gridSpan w:val="5"/>
            <w:shd w:val="clear" w:color="auto" w:fill="auto"/>
            <w:hideMark/>
          </w:tcPr>
          <w:p w14:paraId="244080ED" w14:textId="77777777" w:rsidR="00E659A5" w:rsidRDefault="00C21592" w:rsidP="00C168EA">
            <w:r>
              <w:rPr>
                <w:b/>
                <w:bCs/>
              </w:rPr>
              <w:t>Vaskularni poremećaji</w:t>
            </w:r>
          </w:p>
        </w:tc>
      </w:tr>
      <w:tr w:rsidR="00E659A5" w14:paraId="0AD84A2F" w14:textId="77777777">
        <w:tc>
          <w:tcPr>
            <w:tcW w:w="1087" w:type="pct"/>
            <w:shd w:val="clear" w:color="auto" w:fill="auto"/>
            <w:hideMark/>
          </w:tcPr>
          <w:p w14:paraId="3D36C30F" w14:textId="77777777" w:rsidR="00E659A5" w:rsidRDefault="00C21592" w:rsidP="00C168EA">
            <w:r>
              <w:t>Hipotenzija, hematom</w:t>
            </w:r>
          </w:p>
        </w:tc>
        <w:tc>
          <w:tcPr>
            <w:tcW w:w="1160" w:type="pct"/>
            <w:shd w:val="clear" w:color="auto" w:fill="auto"/>
            <w:hideMark/>
          </w:tcPr>
          <w:p w14:paraId="78E5FADA" w14:textId="77777777" w:rsidR="00E659A5" w:rsidRDefault="00E659A5" w:rsidP="00C168EA"/>
        </w:tc>
        <w:tc>
          <w:tcPr>
            <w:tcW w:w="1015" w:type="pct"/>
            <w:shd w:val="clear" w:color="auto" w:fill="auto"/>
            <w:hideMark/>
          </w:tcPr>
          <w:p w14:paraId="29D56652" w14:textId="77777777" w:rsidR="00E659A5" w:rsidRDefault="00E659A5" w:rsidP="00C168EA"/>
        </w:tc>
        <w:tc>
          <w:tcPr>
            <w:tcW w:w="770" w:type="pct"/>
            <w:shd w:val="clear" w:color="auto" w:fill="auto"/>
            <w:hideMark/>
          </w:tcPr>
          <w:p w14:paraId="7AC32BA1" w14:textId="77777777" w:rsidR="00E659A5" w:rsidRDefault="00E659A5" w:rsidP="00C168EA"/>
        </w:tc>
        <w:tc>
          <w:tcPr>
            <w:tcW w:w="968" w:type="pct"/>
            <w:shd w:val="clear" w:color="auto" w:fill="auto"/>
            <w:hideMark/>
          </w:tcPr>
          <w:p w14:paraId="2C6DC982" w14:textId="77777777" w:rsidR="00E659A5" w:rsidRDefault="00E659A5" w:rsidP="00C168EA"/>
        </w:tc>
      </w:tr>
      <w:tr w:rsidR="00E659A5" w14:paraId="49912067" w14:textId="77777777">
        <w:tc>
          <w:tcPr>
            <w:tcW w:w="5000" w:type="pct"/>
            <w:gridSpan w:val="5"/>
            <w:shd w:val="clear" w:color="auto" w:fill="auto"/>
            <w:hideMark/>
          </w:tcPr>
          <w:p w14:paraId="26A2AB44" w14:textId="77777777" w:rsidR="00E659A5" w:rsidRDefault="00C21592" w:rsidP="00C168EA">
            <w:pPr>
              <w:pStyle w:val="Default"/>
              <w:rPr>
                <w:sz w:val="22"/>
                <w:szCs w:val="22"/>
                <w:lang w:val="hr-HR"/>
              </w:rPr>
            </w:pPr>
            <w:r>
              <w:rPr>
                <w:b/>
                <w:bCs/>
                <w:sz w:val="22"/>
                <w:szCs w:val="22"/>
                <w:lang w:val="hr-HR"/>
              </w:rPr>
              <w:t>Respiratorni, torakalni i mediastinalni poremećaji</w:t>
            </w:r>
          </w:p>
        </w:tc>
      </w:tr>
      <w:tr w:rsidR="00E659A5" w14:paraId="5AA147E8" w14:textId="77777777">
        <w:tc>
          <w:tcPr>
            <w:tcW w:w="1087" w:type="pct"/>
            <w:shd w:val="clear" w:color="auto" w:fill="auto"/>
            <w:hideMark/>
          </w:tcPr>
          <w:p w14:paraId="5F94DAF2" w14:textId="77777777" w:rsidR="00E659A5" w:rsidRDefault="00C21592" w:rsidP="00C168EA">
            <w:r>
              <w:t>Epistaksa, hemoptiza</w:t>
            </w:r>
          </w:p>
        </w:tc>
        <w:tc>
          <w:tcPr>
            <w:tcW w:w="1160" w:type="pct"/>
            <w:shd w:val="clear" w:color="auto" w:fill="auto"/>
            <w:hideMark/>
          </w:tcPr>
          <w:p w14:paraId="6CA05359" w14:textId="77777777" w:rsidR="00E659A5" w:rsidRDefault="00E659A5" w:rsidP="00C168EA"/>
        </w:tc>
        <w:tc>
          <w:tcPr>
            <w:tcW w:w="1015" w:type="pct"/>
            <w:shd w:val="clear" w:color="auto" w:fill="auto"/>
            <w:hideMark/>
          </w:tcPr>
          <w:p w14:paraId="5DAA6A93" w14:textId="77777777" w:rsidR="00E659A5" w:rsidRDefault="00E659A5" w:rsidP="00C168EA"/>
        </w:tc>
        <w:tc>
          <w:tcPr>
            <w:tcW w:w="770" w:type="pct"/>
            <w:shd w:val="clear" w:color="auto" w:fill="auto"/>
            <w:hideMark/>
          </w:tcPr>
          <w:p w14:paraId="6DC7834F" w14:textId="77777777" w:rsidR="00E659A5" w:rsidRDefault="00C21592" w:rsidP="00C168EA">
            <w:r>
              <w:t>Eozinofilna pneumonija</w:t>
            </w:r>
          </w:p>
        </w:tc>
        <w:tc>
          <w:tcPr>
            <w:tcW w:w="968" w:type="pct"/>
            <w:shd w:val="clear" w:color="auto" w:fill="auto"/>
            <w:hideMark/>
          </w:tcPr>
          <w:p w14:paraId="1A055BD9" w14:textId="77777777" w:rsidR="00E659A5" w:rsidRDefault="00E659A5" w:rsidP="00C168EA"/>
        </w:tc>
      </w:tr>
      <w:tr w:rsidR="00E659A5" w14:paraId="413F2C07" w14:textId="77777777">
        <w:tc>
          <w:tcPr>
            <w:tcW w:w="5000" w:type="pct"/>
            <w:gridSpan w:val="5"/>
            <w:shd w:val="clear" w:color="auto" w:fill="auto"/>
            <w:hideMark/>
          </w:tcPr>
          <w:p w14:paraId="78507255" w14:textId="77777777" w:rsidR="00E659A5" w:rsidRDefault="00C21592" w:rsidP="00C168EA">
            <w:pPr>
              <w:pStyle w:val="Default"/>
              <w:rPr>
                <w:sz w:val="22"/>
                <w:szCs w:val="22"/>
                <w:lang w:val="hr-HR"/>
              </w:rPr>
            </w:pPr>
            <w:r>
              <w:rPr>
                <w:b/>
                <w:bCs/>
                <w:sz w:val="22"/>
                <w:szCs w:val="22"/>
                <w:lang w:val="hr-HR"/>
              </w:rPr>
              <w:t>Gastrointestinalni poremećaji</w:t>
            </w:r>
          </w:p>
        </w:tc>
      </w:tr>
      <w:tr w:rsidR="00E659A5" w14:paraId="686D7636" w14:textId="77777777">
        <w:tc>
          <w:tcPr>
            <w:tcW w:w="1087" w:type="pct"/>
            <w:shd w:val="clear" w:color="auto" w:fill="auto"/>
            <w:hideMark/>
          </w:tcPr>
          <w:p w14:paraId="2F88D9D7" w14:textId="77777777" w:rsidR="00E659A5" w:rsidRDefault="00C21592" w:rsidP="00C168EA">
            <w:r>
              <w:t>Krvarenje iz desni, krvarenje u gastrointestinalnom traktu (uključujući rektalno krvarenje), bolovi u gastrointestinalnom traktu i abdomenu, dispepsija, mučnina, konstipacija</w:t>
            </w:r>
            <w:r>
              <w:rPr>
                <w:vertAlign w:val="superscript"/>
              </w:rPr>
              <w:t>A</w:t>
            </w:r>
            <w:r>
              <w:t>, dijareja, povraćanje</w:t>
            </w:r>
            <w:r>
              <w:rPr>
                <w:vertAlign w:val="superscript"/>
              </w:rPr>
              <w:t>A</w:t>
            </w:r>
          </w:p>
        </w:tc>
        <w:tc>
          <w:tcPr>
            <w:tcW w:w="1160" w:type="pct"/>
            <w:shd w:val="clear" w:color="auto" w:fill="auto"/>
            <w:hideMark/>
          </w:tcPr>
          <w:p w14:paraId="3019EA05" w14:textId="77777777" w:rsidR="00E659A5" w:rsidRDefault="00C21592" w:rsidP="00C168EA">
            <w:r>
              <w:t>Suva usta</w:t>
            </w:r>
          </w:p>
        </w:tc>
        <w:tc>
          <w:tcPr>
            <w:tcW w:w="1015" w:type="pct"/>
            <w:shd w:val="clear" w:color="auto" w:fill="auto"/>
            <w:hideMark/>
          </w:tcPr>
          <w:p w14:paraId="6D337E48" w14:textId="77777777" w:rsidR="00E659A5" w:rsidRDefault="00E659A5" w:rsidP="00C168EA"/>
        </w:tc>
        <w:tc>
          <w:tcPr>
            <w:tcW w:w="770" w:type="pct"/>
            <w:shd w:val="clear" w:color="auto" w:fill="auto"/>
            <w:hideMark/>
          </w:tcPr>
          <w:p w14:paraId="6B808066" w14:textId="77777777" w:rsidR="00E659A5" w:rsidRDefault="00E659A5" w:rsidP="00C168EA"/>
        </w:tc>
        <w:tc>
          <w:tcPr>
            <w:tcW w:w="968" w:type="pct"/>
            <w:shd w:val="clear" w:color="auto" w:fill="auto"/>
            <w:hideMark/>
          </w:tcPr>
          <w:p w14:paraId="3BCAA6CA" w14:textId="77777777" w:rsidR="00E659A5" w:rsidRDefault="00E659A5" w:rsidP="00C168EA"/>
        </w:tc>
      </w:tr>
      <w:tr w:rsidR="00E659A5" w14:paraId="68EB0681" w14:textId="77777777">
        <w:tc>
          <w:tcPr>
            <w:tcW w:w="5000" w:type="pct"/>
            <w:gridSpan w:val="5"/>
            <w:shd w:val="clear" w:color="auto" w:fill="auto"/>
            <w:hideMark/>
          </w:tcPr>
          <w:p w14:paraId="4A5CE5DC" w14:textId="77777777" w:rsidR="00E659A5" w:rsidRDefault="00C21592" w:rsidP="00C168EA">
            <w:pPr>
              <w:pStyle w:val="Default"/>
              <w:rPr>
                <w:sz w:val="22"/>
                <w:szCs w:val="22"/>
                <w:lang w:val="hr-HR"/>
              </w:rPr>
            </w:pPr>
            <w:r>
              <w:rPr>
                <w:b/>
                <w:bCs/>
                <w:sz w:val="22"/>
                <w:szCs w:val="22"/>
                <w:lang w:val="hr-HR"/>
              </w:rPr>
              <w:t>Hepatobilijarni poremećaji</w:t>
            </w:r>
          </w:p>
        </w:tc>
      </w:tr>
      <w:tr w:rsidR="00E659A5" w14:paraId="3A614503" w14:textId="77777777">
        <w:tc>
          <w:tcPr>
            <w:tcW w:w="1087" w:type="pct"/>
            <w:shd w:val="clear" w:color="auto" w:fill="auto"/>
            <w:hideMark/>
          </w:tcPr>
          <w:p w14:paraId="1B657E0C" w14:textId="77777777" w:rsidR="00E659A5" w:rsidRDefault="00C21592" w:rsidP="00C168EA">
            <w:r>
              <w:t>Povišene transaminaze</w:t>
            </w:r>
          </w:p>
        </w:tc>
        <w:tc>
          <w:tcPr>
            <w:tcW w:w="1160" w:type="pct"/>
            <w:shd w:val="clear" w:color="auto" w:fill="auto"/>
            <w:hideMark/>
          </w:tcPr>
          <w:p w14:paraId="1FA15D84" w14:textId="77777777" w:rsidR="00E659A5" w:rsidRDefault="00C21592" w:rsidP="00C168EA">
            <w:r>
              <w:t>Oštećenje funkcije jetre, povećana koncentracija bilirubina, povišena vrijednost alkalne fosfataze u krvi</w:t>
            </w:r>
            <w:r>
              <w:rPr>
                <w:vertAlign w:val="superscript"/>
              </w:rPr>
              <w:t>A</w:t>
            </w:r>
            <w:r>
              <w:t>, povišena vrijednost GGT</w:t>
            </w:r>
            <w:r>
              <w:rPr>
                <w:vertAlign w:val="superscript"/>
              </w:rPr>
              <w:t>A</w:t>
            </w:r>
          </w:p>
        </w:tc>
        <w:tc>
          <w:tcPr>
            <w:tcW w:w="1015" w:type="pct"/>
            <w:shd w:val="clear" w:color="auto" w:fill="auto"/>
            <w:hideMark/>
          </w:tcPr>
          <w:p w14:paraId="0C8D4B8D" w14:textId="77777777" w:rsidR="00E659A5" w:rsidRDefault="00C21592" w:rsidP="00C168EA">
            <w:r>
              <w:t xml:space="preserve">Žutica, povećana koncentracija konjugovanog bilirubina (sa ili bez istovremenog povećanja vrijednosti ALT-a), holestaza, hepatitis (uključujući </w:t>
            </w:r>
            <w:r>
              <w:lastRenderedPageBreak/>
              <w:t>hepatocelularne povrede)</w:t>
            </w:r>
          </w:p>
        </w:tc>
        <w:tc>
          <w:tcPr>
            <w:tcW w:w="770" w:type="pct"/>
            <w:shd w:val="clear" w:color="auto" w:fill="auto"/>
            <w:hideMark/>
          </w:tcPr>
          <w:p w14:paraId="23981559" w14:textId="77777777" w:rsidR="00E659A5" w:rsidRDefault="00E659A5" w:rsidP="00C168EA"/>
        </w:tc>
        <w:tc>
          <w:tcPr>
            <w:tcW w:w="968" w:type="pct"/>
            <w:shd w:val="clear" w:color="auto" w:fill="auto"/>
            <w:hideMark/>
          </w:tcPr>
          <w:p w14:paraId="1C77C8DB" w14:textId="77777777" w:rsidR="00E659A5" w:rsidRDefault="00E659A5" w:rsidP="00C168EA"/>
        </w:tc>
      </w:tr>
      <w:tr w:rsidR="00E659A5" w14:paraId="091BEAF5" w14:textId="77777777">
        <w:tc>
          <w:tcPr>
            <w:tcW w:w="5000" w:type="pct"/>
            <w:gridSpan w:val="5"/>
            <w:shd w:val="clear" w:color="auto" w:fill="auto"/>
            <w:hideMark/>
          </w:tcPr>
          <w:p w14:paraId="40A15A8F" w14:textId="77777777" w:rsidR="00E659A5" w:rsidRDefault="00C21592" w:rsidP="00C168EA">
            <w:pPr>
              <w:pStyle w:val="Default"/>
              <w:rPr>
                <w:sz w:val="22"/>
                <w:szCs w:val="22"/>
                <w:lang w:val="hr-HR"/>
              </w:rPr>
            </w:pPr>
            <w:r>
              <w:rPr>
                <w:b/>
                <w:bCs/>
                <w:sz w:val="22"/>
                <w:szCs w:val="22"/>
                <w:lang w:val="hr-HR"/>
              </w:rPr>
              <w:lastRenderedPageBreak/>
              <w:t>Poremećaji kože i potkožnog tkiva</w:t>
            </w:r>
          </w:p>
        </w:tc>
      </w:tr>
      <w:tr w:rsidR="00E659A5" w14:paraId="5667EE63" w14:textId="77777777">
        <w:tc>
          <w:tcPr>
            <w:tcW w:w="1087" w:type="pct"/>
            <w:shd w:val="clear" w:color="auto" w:fill="auto"/>
            <w:hideMark/>
          </w:tcPr>
          <w:p w14:paraId="0F1165AA" w14:textId="77777777" w:rsidR="00E659A5" w:rsidRDefault="00C21592" w:rsidP="00C168EA">
            <w:r>
              <w:t>Pruritus (uključujući neuobičajene slučajeve generalizovanog pruritusa), osip, ekhimoza, kutano i subkutano krvarenje</w:t>
            </w:r>
          </w:p>
        </w:tc>
        <w:tc>
          <w:tcPr>
            <w:tcW w:w="1160" w:type="pct"/>
            <w:shd w:val="clear" w:color="auto" w:fill="auto"/>
            <w:hideMark/>
          </w:tcPr>
          <w:p w14:paraId="2975E820" w14:textId="77777777" w:rsidR="00E659A5" w:rsidRDefault="00C21592" w:rsidP="00C168EA">
            <w:r>
              <w:t>Urtikarija</w:t>
            </w:r>
          </w:p>
        </w:tc>
        <w:tc>
          <w:tcPr>
            <w:tcW w:w="1015" w:type="pct"/>
            <w:shd w:val="clear" w:color="auto" w:fill="auto"/>
            <w:hideMark/>
          </w:tcPr>
          <w:p w14:paraId="2B56E466" w14:textId="77777777" w:rsidR="00E659A5" w:rsidRDefault="00E659A5" w:rsidP="00C168EA"/>
        </w:tc>
        <w:tc>
          <w:tcPr>
            <w:tcW w:w="770" w:type="pct"/>
            <w:shd w:val="clear" w:color="auto" w:fill="auto"/>
            <w:hideMark/>
          </w:tcPr>
          <w:p w14:paraId="3F84EF8D" w14:textId="77777777" w:rsidR="00E659A5" w:rsidRDefault="00C21592" w:rsidP="00C168EA">
            <w:r>
              <w:rPr>
                <w:i/>
              </w:rPr>
              <w:t>Stevens-Johnson</w:t>
            </w:r>
            <w:r>
              <w:t xml:space="preserve"> sindrom/ toksična epidermalna nekroliza, DRESS sindrom</w:t>
            </w:r>
          </w:p>
        </w:tc>
        <w:tc>
          <w:tcPr>
            <w:tcW w:w="968" w:type="pct"/>
            <w:shd w:val="clear" w:color="auto" w:fill="auto"/>
            <w:hideMark/>
          </w:tcPr>
          <w:p w14:paraId="69E6CD89" w14:textId="77777777" w:rsidR="00E659A5" w:rsidRDefault="00E659A5" w:rsidP="00C168EA"/>
        </w:tc>
      </w:tr>
      <w:tr w:rsidR="00E659A5" w14:paraId="38C5907E" w14:textId="77777777">
        <w:tc>
          <w:tcPr>
            <w:tcW w:w="5000" w:type="pct"/>
            <w:gridSpan w:val="5"/>
            <w:shd w:val="clear" w:color="auto" w:fill="auto"/>
            <w:hideMark/>
          </w:tcPr>
          <w:p w14:paraId="6C314233" w14:textId="77777777" w:rsidR="00E659A5" w:rsidRDefault="00C21592" w:rsidP="00C168EA">
            <w:pPr>
              <w:pStyle w:val="Default"/>
              <w:rPr>
                <w:sz w:val="22"/>
                <w:szCs w:val="22"/>
                <w:lang w:val="hr-HR"/>
              </w:rPr>
            </w:pPr>
            <w:r>
              <w:rPr>
                <w:b/>
                <w:bCs/>
                <w:sz w:val="22"/>
                <w:szCs w:val="22"/>
                <w:lang w:val="hr-HR"/>
              </w:rPr>
              <w:t>Poremećaji mišićno-koštanog sistema i vezivnog tkiva</w:t>
            </w:r>
          </w:p>
        </w:tc>
      </w:tr>
      <w:tr w:rsidR="00E659A5" w14:paraId="323E1E11" w14:textId="77777777">
        <w:tc>
          <w:tcPr>
            <w:tcW w:w="1087" w:type="pct"/>
            <w:shd w:val="clear" w:color="auto" w:fill="auto"/>
            <w:hideMark/>
          </w:tcPr>
          <w:p w14:paraId="0E451641" w14:textId="77777777" w:rsidR="00E659A5" w:rsidRDefault="00C21592" w:rsidP="00C168EA">
            <w:r>
              <w:t>Bol u ekstremitetima</w:t>
            </w:r>
            <w:r>
              <w:rPr>
                <w:vertAlign w:val="superscript"/>
              </w:rPr>
              <w:t>A</w:t>
            </w:r>
          </w:p>
        </w:tc>
        <w:tc>
          <w:tcPr>
            <w:tcW w:w="1160" w:type="pct"/>
            <w:shd w:val="clear" w:color="auto" w:fill="auto"/>
            <w:hideMark/>
          </w:tcPr>
          <w:p w14:paraId="0B738559" w14:textId="77777777" w:rsidR="00E659A5" w:rsidRDefault="00C21592" w:rsidP="00C168EA">
            <w:r>
              <w:t>Hemartroza</w:t>
            </w:r>
          </w:p>
        </w:tc>
        <w:tc>
          <w:tcPr>
            <w:tcW w:w="1015" w:type="pct"/>
            <w:shd w:val="clear" w:color="auto" w:fill="auto"/>
            <w:hideMark/>
          </w:tcPr>
          <w:p w14:paraId="69CF509E" w14:textId="77777777" w:rsidR="00E659A5" w:rsidRDefault="00C21592" w:rsidP="00C168EA">
            <w:r>
              <w:t>Krvarenje iz mišića</w:t>
            </w:r>
          </w:p>
        </w:tc>
        <w:tc>
          <w:tcPr>
            <w:tcW w:w="770" w:type="pct"/>
            <w:shd w:val="clear" w:color="auto" w:fill="auto"/>
            <w:hideMark/>
          </w:tcPr>
          <w:p w14:paraId="51549A75" w14:textId="77777777" w:rsidR="00E659A5" w:rsidRDefault="00E659A5" w:rsidP="00C168EA"/>
        </w:tc>
        <w:tc>
          <w:tcPr>
            <w:tcW w:w="968" w:type="pct"/>
            <w:shd w:val="clear" w:color="auto" w:fill="auto"/>
            <w:hideMark/>
          </w:tcPr>
          <w:p w14:paraId="35B66B46" w14:textId="77777777" w:rsidR="00E659A5" w:rsidRDefault="00C21592" w:rsidP="00C168EA">
            <w:r>
              <w:t>Kompartment sndrom kao posljedica krvarenja</w:t>
            </w:r>
          </w:p>
        </w:tc>
      </w:tr>
      <w:tr w:rsidR="00E659A5" w14:paraId="6A617F5D" w14:textId="77777777">
        <w:tc>
          <w:tcPr>
            <w:tcW w:w="5000" w:type="pct"/>
            <w:gridSpan w:val="5"/>
            <w:shd w:val="clear" w:color="auto" w:fill="auto"/>
            <w:hideMark/>
          </w:tcPr>
          <w:p w14:paraId="14145083" w14:textId="77777777" w:rsidR="00E659A5" w:rsidRDefault="00C21592" w:rsidP="00C168EA">
            <w:pPr>
              <w:pStyle w:val="Default"/>
              <w:rPr>
                <w:sz w:val="22"/>
                <w:szCs w:val="22"/>
                <w:lang w:val="hr-HR"/>
              </w:rPr>
            </w:pPr>
            <w:r>
              <w:rPr>
                <w:b/>
                <w:bCs/>
                <w:sz w:val="22"/>
                <w:szCs w:val="22"/>
                <w:lang w:val="hr-HR"/>
              </w:rPr>
              <w:t>Poremećaji bubrega i urinarnog sistema</w:t>
            </w:r>
          </w:p>
        </w:tc>
      </w:tr>
      <w:tr w:rsidR="00E659A5" w14:paraId="00BC2D20" w14:textId="77777777">
        <w:tc>
          <w:tcPr>
            <w:tcW w:w="1087" w:type="pct"/>
            <w:shd w:val="clear" w:color="auto" w:fill="auto"/>
            <w:hideMark/>
          </w:tcPr>
          <w:p w14:paraId="39600174" w14:textId="77777777" w:rsidR="00E659A5" w:rsidRDefault="00C21592" w:rsidP="00C168EA">
            <w:r>
              <w:t>Krvarenje  urogenitalnog trakta (uključujući hematuriju i menoragiju</w:t>
            </w:r>
            <w:r>
              <w:rPr>
                <w:vertAlign w:val="superscript"/>
              </w:rPr>
              <w:t>B</w:t>
            </w:r>
            <w:r>
              <w:t>), oštećenje funkcije bubrega (uključujući povećanu koncentraciju kreatinina u krvi i uree u krvi)</w:t>
            </w:r>
          </w:p>
        </w:tc>
        <w:tc>
          <w:tcPr>
            <w:tcW w:w="1160" w:type="pct"/>
            <w:shd w:val="clear" w:color="auto" w:fill="auto"/>
            <w:hideMark/>
          </w:tcPr>
          <w:p w14:paraId="3324A3D8" w14:textId="77777777" w:rsidR="00E659A5" w:rsidRDefault="00E659A5" w:rsidP="00C168EA"/>
        </w:tc>
        <w:tc>
          <w:tcPr>
            <w:tcW w:w="1015" w:type="pct"/>
            <w:shd w:val="clear" w:color="auto" w:fill="auto"/>
            <w:hideMark/>
          </w:tcPr>
          <w:p w14:paraId="1FAE741B" w14:textId="77777777" w:rsidR="00E659A5" w:rsidRDefault="00E659A5" w:rsidP="00C168EA"/>
        </w:tc>
        <w:tc>
          <w:tcPr>
            <w:tcW w:w="770" w:type="pct"/>
            <w:shd w:val="clear" w:color="auto" w:fill="auto"/>
            <w:hideMark/>
          </w:tcPr>
          <w:p w14:paraId="02A8F319" w14:textId="77777777" w:rsidR="00E659A5" w:rsidRDefault="00E659A5" w:rsidP="00C168EA"/>
        </w:tc>
        <w:tc>
          <w:tcPr>
            <w:tcW w:w="968" w:type="pct"/>
            <w:shd w:val="clear" w:color="auto" w:fill="auto"/>
            <w:hideMark/>
          </w:tcPr>
          <w:p w14:paraId="2682BDE8" w14:textId="77777777" w:rsidR="00E659A5" w:rsidRDefault="00C21592" w:rsidP="00C168EA">
            <w:r>
              <w:t>Insuficijencija bubrega/akutna insuficijencija bubrega kao posljedica krvarenja koje je dovoljno da izazove hipoperfuziju, nefropatija povezana sa primjenom antikoagulanasa</w:t>
            </w:r>
          </w:p>
        </w:tc>
      </w:tr>
      <w:tr w:rsidR="00E659A5" w14:paraId="1F4C3774" w14:textId="77777777">
        <w:tc>
          <w:tcPr>
            <w:tcW w:w="5000" w:type="pct"/>
            <w:gridSpan w:val="5"/>
            <w:shd w:val="clear" w:color="auto" w:fill="auto"/>
            <w:hideMark/>
          </w:tcPr>
          <w:p w14:paraId="4E1BE5D0" w14:textId="77777777" w:rsidR="00E659A5" w:rsidRDefault="00C21592">
            <w:pPr>
              <w:pStyle w:val="Default"/>
              <w:jc w:val="both"/>
              <w:rPr>
                <w:sz w:val="22"/>
                <w:szCs w:val="22"/>
                <w:lang w:val="hr-HR"/>
              </w:rPr>
            </w:pPr>
            <w:r>
              <w:rPr>
                <w:b/>
                <w:bCs/>
                <w:sz w:val="22"/>
                <w:szCs w:val="22"/>
                <w:lang w:val="hr-HR"/>
              </w:rPr>
              <w:t>Opšti poremećaji i reakcije na mjestu primjene</w:t>
            </w:r>
          </w:p>
        </w:tc>
      </w:tr>
      <w:tr w:rsidR="00E659A5" w14:paraId="7E3B8726" w14:textId="77777777">
        <w:tc>
          <w:tcPr>
            <w:tcW w:w="1087" w:type="pct"/>
            <w:shd w:val="clear" w:color="auto" w:fill="auto"/>
            <w:hideMark/>
          </w:tcPr>
          <w:p w14:paraId="49F828BE" w14:textId="77777777" w:rsidR="00E659A5" w:rsidRDefault="00C21592" w:rsidP="00C168EA">
            <w:r>
              <w:t>Povišena tjelesna temperatura</w:t>
            </w:r>
            <w:r>
              <w:rPr>
                <w:vertAlign w:val="superscript"/>
              </w:rPr>
              <w:t>A</w:t>
            </w:r>
            <w:r>
              <w:t>, periferni edem, smanjena opšta snaga i energija (uključujući umor i asteniju)</w:t>
            </w:r>
          </w:p>
        </w:tc>
        <w:tc>
          <w:tcPr>
            <w:tcW w:w="1160" w:type="pct"/>
            <w:shd w:val="clear" w:color="auto" w:fill="auto"/>
            <w:hideMark/>
          </w:tcPr>
          <w:p w14:paraId="503FE56D" w14:textId="77777777" w:rsidR="00E659A5" w:rsidRDefault="00C21592" w:rsidP="00C168EA">
            <w:r>
              <w:t>Opšte loše stanje (uključujući malaksalost)</w:t>
            </w:r>
          </w:p>
        </w:tc>
        <w:tc>
          <w:tcPr>
            <w:tcW w:w="1015" w:type="pct"/>
            <w:shd w:val="clear" w:color="auto" w:fill="auto"/>
            <w:hideMark/>
          </w:tcPr>
          <w:p w14:paraId="3E516FB9" w14:textId="77777777" w:rsidR="00E659A5" w:rsidRDefault="00C21592">
            <w:pPr>
              <w:jc w:val="both"/>
            </w:pPr>
            <w:r>
              <w:t>Lokalizovan edem</w:t>
            </w:r>
            <w:r>
              <w:rPr>
                <w:vertAlign w:val="superscript"/>
              </w:rPr>
              <w:t>A</w:t>
            </w:r>
          </w:p>
        </w:tc>
        <w:tc>
          <w:tcPr>
            <w:tcW w:w="770" w:type="pct"/>
            <w:shd w:val="clear" w:color="auto" w:fill="auto"/>
            <w:hideMark/>
          </w:tcPr>
          <w:p w14:paraId="5537DFFA" w14:textId="77777777" w:rsidR="00E659A5" w:rsidRDefault="00E659A5">
            <w:pPr>
              <w:jc w:val="both"/>
            </w:pPr>
          </w:p>
        </w:tc>
        <w:tc>
          <w:tcPr>
            <w:tcW w:w="968" w:type="pct"/>
            <w:shd w:val="clear" w:color="auto" w:fill="auto"/>
            <w:hideMark/>
          </w:tcPr>
          <w:p w14:paraId="5B985681" w14:textId="77777777" w:rsidR="00E659A5" w:rsidRDefault="00E659A5">
            <w:pPr>
              <w:jc w:val="both"/>
            </w:pPr>
          </w:p>
        </w:tc>
      </w:tr>
      <w:tr w:rsidR="00E659A5" w14:paraId="7F21CDAD" w14:textId="77777777">
        <w:tc>
          <w:tcPr>
            <w:tcW w:w="5000" w:type="pct"/>
            <w:gridSpan w:val="5"/>
            <w:shd w:val="clear" w:color="auto" w:fill="auto"/>
            <w:hideMark/>
          </w:tcPr>
          <w:p w14:paraId="4CBCB969" w14:textId="77777777" w:rsidR="00E659A5" w:rsidRDefault="00C21592" w:rsidP="00C168EA">
            <w:r>
              <w:rPr>
                <w:b/>
                <w:bCs/>
              </w:rPr>
              <w:t>Ispitivanja</w:t>
            </w:r>
          </w:p>
        </w:tc>
      </w:tr>
      <w:tr w:rsidR="00E659A5" w14:paraId="08B222F0" w14:textId="77777777">
        <w:tc>
          <w:tcPr>
            <w:tcW w:w="1087" w:type="pct"/>
            <w:shd w:val="clear" w:color="auto" w:fill="auto"/>
            <w:hideMark/>
          </w:tcPr>
          <w:p w14:paraId="4EDC7290" w14:textId="77777777" w:rsidR="00E659A5" w:rsidRDefault="00E659A5" w:rsidP="00C168EA"/>
        </w:tc>
        <w:tc>
          <w:tcPr>
            <w:tcW w:w="1160" w:type="pct"/>
            <w:shd w:val="clear" w:color="auto" w:fill="auto"/>
            <w:hideMark/>
          </w:tcPr>
          <w:p w14:paraId="7A23DCF2" w14:textId="77777777" w:rsidR="00E659A5" w:rsidRDefault="00C21592" w:rsidP="00C168EA">
            <w:r>
              <w:t>Povišena vrijednost LDH</w:t>
            </w:r>
            <w:r>
              <w:rPr>
                <w:vertAlign w:val="superscript"/>
              </w:rPr>
              <w:t>A</w:t>
            </w:r>
            <w:r>
              <w:t>, povišena vrijednost lipaze</w:t>
            </w:r>
            <w:r>
              <w:rPr>
                <w:vertAlign w:val="superscript"/>
              </w:rPr>
              <w:t>A</w:t>
            </w:r>
            <w:r>
              <w:t>, povišena vrijednost amilaze</w:t>
            </w:r>
            <w:r>
              <w:rPr>
                <w:vertAlign w:val="superscript"/>
              </w:rPr>
              <w:t>A</w:t>
            </w:r>
          </w:p>
        </w:tc>
        <w:tc>
          <w:tcPr>
            <w:tcW w:w="1015" w:type="pct"/>
            <w:shd w:val="clear" w:color="auto" w:fill="auto"/>
            <w:hideMark/>
          </w:tcPr>
          <w:p w14:paraId="4CE01990" w14:textId="77777777" w:rsidR="00E659A5" w:rsidRDefault="00E659A5">
            <w:pPr>
              <w:jc w:val="both"/>
            </w:pPr>
          </w:p>
        </w:tc>
        <w:tc>
          <w:tcPr>
            <w:tcW w:w="770" w:type="pct"/>
            <w:shd w:val="clear" w:color="auto" w:fill="auto"/>
            <w:hideMark/>
          </w:tcPr>
          <w:p w14:paraId="4C4187A6" w14:textId="77777777" w:rsidR="00E659A5" w:rsidRDefault="00E659A5">
            <w:pPr>
              <w:jc w:val="both"/>
            </w:pPr>
          </w:p>
        </w:tc>
        <w:tc>
          <w:tcPr>
            <w:tcW w:w="968" w:type="pct"/>
            <w:shd w:val="clear" w:color="auto" w:fill="auto"/>
            <w:hideMark/>
          </w:tcPr>
          <w:p w14:paraId="08FDB915" w14:textId="77777777" w:rsidR="00E659A5" w:rsidRDefault="00E659A5">
            <w:pPr>
              <w:jc w:val="both"/>
            </w:pPr>
          </w:p>
        </w:tc>
      </w:tr>
      <w:tr w:rsidR="00E659A5" w14:paraId="6BA78CAD" w14:textId="77777777">
        <w:tc>
          <w:tcPr>
            <w:tcW w:w="5000" w:type="pct"/>
            <w:gridSpan w:val="5"/>
            <w:shd w:val="clear" w:color="auto" w:fill="auto"/>
            <w:hideMark/>
          </w:tcPr>
          <w:p w14:paraId="34F30F87" w14:textId="77777777" w:rsidR="00E659A5" w:rsidRDefault="00C21592" w:rsidP="00C168EA">
            <w:pPr>
              <w:pStyle w:val="Default"/>
              <w:rPr>
                <w:sz w:val="22"/>
                <w:szCs w:val="22"/>
                <w:lang w:val="hr-HR"/>
              </w:rPr>
            </w:pPr>
            <w:r>
              <w:rPr>
                <w:b/>
                <w:bCs/>
                <w:sz w:val="22"/>
                <w:szCs w:val="22"/>
                <w:lang w:val="hr-HR"/>
              </w:rPr>
              <w:t>Povrede, trovanja i proceduralne komplikacije</w:t>
            </w:r>
          </w:p>
        </w:tc>
      </w:tr>
      <w:tr w:rsidR="00E659A5" w14:paraId="5072A5F0" w14:textId="77777777">
        <w:tc>
          <w:tcPr>
            <w:tcW w:w="1087" w:type="pct"/>
            <w:shd w:val="clear" w:color="auto" w:fill="auto"/>
            <w:hideMark/>
          </w:tcPr>
          <w:p w14:paraId="15CCB280" w14:textId="77777777" w:rsidR="00E659A5" w:rsidRDefault="00C21592" w:rsidP="00C168EA">
            <w:r>
              <w:t>Postintervencijsko krvarenje (uključujući postoperativnu anemiju i krvarenje rana), kontuzija, sekrecija iz rane</w:t>
            </w:r>
            <w:r>
              <w:rPr>
                <w:vertAlign w:val="superscript"/>
              </w:rPr>
              <w:t>A</w:t>
            </w:r>
          </w:p>
        </w:tc>
        <w:tc>
          <w:tcPr>
            <w:tcW w:w="1160" w:type="pct"/>
            <w:shd w:val="clear" w:color="auto" w:fill="auto"/>
            <w:hideMark/>
          </w:tcPr>
          <w:p w14:paraId="68E89078" w14:textId="77777777" w:rsidR="00E659A5" w:rsidRDefault="00E659A5" w:rsidP="00C168EA"/>
        </w:tc>
        <w:tc>
          <w:tcPr>
            <w:tcW w:w="1015" w:type="pct"/>
            <w:shd w:val="clear" w:color="auto" w:fill="auto"/>
            <w:hideMark/>
          </w:tcPr>
          <w:p w14:paraId="3CFB3FBC" w14:textId="77777777" w:rsidR="00E659A5" w:rsidRDefault="00C21592">
            <w:pPr>
              <w:jc w:val="both"/>
            </w:pPr>
            <w:r>
              <w:t>Vaskularna pseudoaneurizma</w:t>
            </w:r>
            <w:r>
              <w:rPr>
                <w:vertAlign w:val="superscript"/>
              </w:rPr>
              <w:t>C</w:t>
            </w:r>
          </w:p>
        </w:tc>
        <w:tc>
          <w:tcPr>
            <w:tcW w:w="770" w:type="pct"/>
            <w:shd w:val="clear" w:color="auto" w:fill="auto"/>
            <w:hideMark/>
          </w:tcPr>
          <w:p w14:paraId="0DC8D79B" w14:textId="77777777" w:rsidR="00E659A5" w:rsidRDefault="00E659A5">
            <w:pPr>
              <w:jc w:val="both"/>
            </w:pPr>
          </w:p>
        </w:tc>
        <w:tc>
          <w:tcPr>
            <w:tcW w:w="968" w:type="pct"/>
            <w:shd w:val="clear" w:color="auto" w:fill="auto"/>
            <w:hideMark/>
          </w:tcPr>
          <w:p w14:paraId="6D0413A6" w14:textId="77777777" w:rsidR="00E659A5" w:rsidRDefault="00E659A5">
            <w:pPr>
              <w:jc w:val="both"/>
            </w:pPr>
          </w:p>
        </w:tc>
      </w:tr>
    </w:tbl>
    <w:p w14:paraId="5954D1E9" w14:textId="77777777" w:rsidR="00E659A5" w:rsidRDefault="00C21592">
      <w:pPr>
        <w:jc w:val="both"/>
      </w:pPr>
      <w:r>
        <w:lastRenderedPageBreak/>
        <w:t xml:space="preserve">A: Uočeno u prevenciji VTE kod odraslih </w:t>
      </w:r>
      <w:r>
        <w:rPr>
          <w:lang w:val="hr-HR"/>
        </w:rPr>
        <w:t>pacijenata</w:t>
      </w:r>
      <w:r>
        <w:t xml:space="preserve"> koji se podvrgavaju elektivnom hirurškom zahvatu zamjene kuka ili koljena.</w:t>
      </w:r>
    </w:p>
    <w:p w14:paraId="2605BCCD" w14:textId="77777777" w:rsidR="00E659A5" w:rsidRDefault="00C21592">
      <w:pPr>
        <w:jc w:val="both"/>
      </w:pPr>
      <w:r>
        <w:t>B: Uočeno u terapiji TDV, PE i prevencije njihovih recidiva kao veoma često kod žena &lt; 55 godina.</w:t>
      </w:r>
    </w:p>
    <w:p w14:paraId="4528C031" w14:textId="77777777" w:rsidR="00E659A5" w:rsidRDefault="00C21592">
      <w:pPr>
        <w:jc w:val="both"/>
      </w:pPr>
      <w:r>
        <w:t xml:space="preserve">C: Uočeno kao povremeno u prevenciji aterotrombotičkih događaja kod </w:t>
      </w:r>
      <w:r>
        <w:rPr>
          <w:lang w:val="hr-HR"/>
        </w:rPr>
        <w:t>pacijenata</w:t>
      </w:r>
      <w:r>
        <w:t xml:space="preserve"> nakon akutnog koronarnog sindroma (AKS) (nakon perkutane koronarne intervencije).</w:t>
      </w:r>
    </w:p>
    <w:p w14:paraId="4761E8B9" w14:textId="77777777" w:rsidR="00E659A5" w:rsidRDefault="00C21592">
      <w:pPr>
        <w:widowControl w:val="0"/>
        <w:jc w:val="both"/>
        <w:rPr>
          <w:u w:val="single" w:color="000000"/>
        </w:rPr>
      </w:pPr>
      <w:r>
        <w:t xml:space="preserve">* </w:t>
      </w:r>
      <w:r>
        <w:rPr>
          <w:rFonts w:eastAsia="Calibri"/>
        </w:rPr>
        <w:t>U odabranim ispitivanjima faze III primijenjen je unaprijed određen selektivni pristup u prikupljanju prijava neželjenih dejstava. Nakon analize tih ispitivanja učestalost neželjenih dejstava se nije povećala i nije utvrđeno nikakvo novo neželjeno dejstvo.</w:t>
      </w:r>
    </w:p>
    <w:p w14:paraId="1229E1A5" w14:textId="77777777" w:rsidR="00E659A5" w:rsidRDefault="00E659A5">
      <w:pPr>
        <w:widowControl w:val="0"/>
        <w:jc w:val="both"/>
        <w:rPr>
          <w:rFonts w:eastAsia="Calibri"/>
        </w:rPr>
      </w:pPr>
    </w:p>
    <w:p w14:paraId="6BC221A6" w14:textId="77777777" w:rsidR="00E659A5" w:rsidRDefault="00C21592">
      <w:pPr>
        <w:pStyle w:val="Default"/>
        <w:jc w:val="both"/>
        <w:rPr>
          <w:sz w:val="22"/>
          <w:szCs w:val="22"/>
          <w:u w:val="single"/>
          <w:lang w:val="hr-HR"/>
        </w:rPr>
      </w:pPr>
      <w:r>
        <w:rPr>
          <w:sz w:val="22"/>
          <w:szCs w:val="22"/>
          <w:u w:val="single"/>
          <w:lang w:val="hr-HR"/>
        </w:rPr>
        <w:t>Opis odabranih neželjenih reakcija</w:t>
      </w:r>
    </w:p>
    <w:p w14:paraId="1191CBAD" w14:textId="77777777" w:rsidR="00E659A5" w:rsidRDefault="00E659A5">
      <w:pPr>
        <w:pStyle w:val="Default"/>
        <w:jc w:val="both"/>
        <w:rPr>
          <w:sz w:val="22"/>
          <w:szCs w:val="22"/>
          <w:u w:val="single"/>
          <w:lang w:val="hr-HR"/>
        </w:rPr>
      </w:pPr>
    </w:p>
    <w:p w14:paraId="213F74C1" w14:textId="77777777" w:rsidR="00E659A5" w:rsidRDefault="00C21592">
      <w:pPr>
        <w:pStyle w:val="Default"/>
        <w:jc w:val="both"/>
        <w:rPr>
          <w:sz w:val="22"/>
          <w:szCs w:val="22"/>
          <w:lang w:val="hr-HR"/>
        </w:rPr>
      </w:pPr>
      <w:r>
        <w:rPr>
          <w:sz w:val="22"/>
          <w:szCs w:val="22"/>
          <w:lang w:val="hr-HR"/>
        </w:rPr>
        <w:t>Usljed farmakološkog mehanizma dejstva, primjena rivaroksabana može biti povezana sa povećanim rizikom od okultnog ili vidljivog krvarenja iz bilo kog tkiva ili organa, što može dovesti do posthemoragijske anemije. Znaci, simptomi i težina (uključujući smrtni ishod) će varirati u zavisnosti od lokalizacije i stepena ili obima krvarenja i/ili anemije (vidjeti dio 4.9 „Postupak u slučaju krvarenja“). U kliničkim ispitivanjima krvarenje mukoza (tj. epistaksa, krvarenje desni, gastrointestinalno krvarenje, genitourinarno krvarenje uključujući abnormalno vaginalno ili pojačano menstrualno krvarenje) i anemija su zabilježeni češće tokom dugotrajnog liječenja rivaroksabanom u poređenju sa liječenjem antagonistima vitamina K. Stoga, osim adekvatnog kliničkog praćenja, laboratorijsko određivanje hemoglobina/hematokrita može biti značajno za otkrivanje okultnog krvarenja i određivanje kliničkog značaja vidljivog krvarenja, ukoliko se procijeni adekvatnim. Rizik od krvarenja može biti povećan kod nekih grupa pacijenata, npr. kod pacijenata sa jakom, nekontrolisanom arterijskom hipertenzijom i/ili kod onih koji istovremeno uzimaju druge ljekove koji utiču na hemostazu (vidjeti dio 4.4 „Rizik od krvarenja“). Menstrualno krvarenje može biti pojačano i/ili produženo. Komplikacije zbog krvarenja mogu se manifestovati kao slabost, bljedilo, vrtoglavica, glavobolja ili neobjašnjivi otok, dispneja i neobjašnjivi šok. U nekim slučajevima, kao posljedica anemije, uočeni su simptomi srčane ishemije poput bola u grudima ili angine pektoris.</w:t>
      </w:r>
    </w:p>
    <w:p w14:paraId="1A6EDFD7" w14:textId="77777777" w:rsidR="00E659A5" w:rsidRDefault="00C21592">
      <w:pPr>
        <w:pStyle w:val="Default"/>
        <w:jc w:val="both"/>
        <w:rPr>
          <w:sz w:val="22"/>
          <w:szCs w:val="22"/>
          <w:lang w:val="hr-HR"/>
        </w:rPr>
      </w:pPr>
      <w:r>
        <w:rPr>
          <w:sz w:val="22"/>
          <w:szCs w:val="22"/>
          <w:lang w:val="hr-HR"/>
        </w:rPr>
        <w:t>Kod primjene rivaroksabana prijavljene su poznate komplikacije kao sekundarna posljedica teškog krvarenja, kao što su kompartment sindrom i insuficijencija bubrega zbog hipoperfuzije, ili nefropatija povezana sa primjenom antikoagulanasa. Prema tome, mora se uzeti u obzir mogućnost pojave krvarenja prilikom evaluacije stanja svakog pacijenta na antikoagulantnoj terapiji.</w:t>
      </w:r>
    </w:p>
    <w:p w14:paraId="2A8DF8C6" w14:textId="77777777" w:rsidR="00E659A5" w:rsidRDefault="00E659A5">
      <w:pPr>
        <w:pStyle w:val="Default"/>
        <w:jc w:val="both"/>
        <w:rPr>
          <w:sz w:val="22"/>
          <w:szCs w:val="22"/>
          <w:lang w:val="hr-HR"/>
        </w:rPr>
      </w:pPr>
    </w:p>
    <w:p w14:paraId="238D8A37" w14:textId="77777777" w:rsidR="00E659A5" w:rsidRDefault="00C21592">
      <w:pPr>
        <w:widowControl w:val="0"/>
        <w:jc w:val="both"/>
        <w:rPr>
          <w:rFonts w:eastAsia="Calibri"/>
          <w:u w:val="single"/>
        </w:rPr>
      </w:pPr>
      <w:r>
        <w:rPr>
          <w:rFonts w:eastAsia="Calibri"/>
          <w:u w:val="single"/>
        </w:rPr>
        <w:t xml:space="preserve">Pedijatrijska populacija </w:t>
      </w:r>
    </w:p>
    <w:p w14:paraId="07FC21FF" w14:textId="77777777" w:rsidR="00482493" w:rsidRDefault="00482493">
      <w:pPr>
        <w:widowControl w:val="0"/>
        <w:jc w:val="both"/>
        <w:rPr>
          <w:rFonts w:eastAsia="Calibri"/>
          <w:u w:val="single"/>
        </w:rPr>
      </w:pPr>
    </w:p>
    <w:p w14:paraId="6EB0E816" w14:textId="77777777" w:rsidR="00E659A5" w:rsidRDefault="00C21592">
      <w:pPr>
        <w:widowControl w:val="0"/>
        <w:jc w:val="both"/>
        <w:rPr>
          <w:rFonts w:eastAsia="Calibri"/>
          <w:i/>
          <w:iCs/>
        </w:rPr>
      </w:pPr>
      <w:r>
        <w:rPr>
          <w:rFonts w:eastAsia="Calibri"/>
          <w:i/>
          <w:iCs/>
        </w:rPr>
        <w:t xml:space="preserve">Terapija VTE i prevencija ponovnog javljanja VTE </w:t>
      </w:r>
    </w:p>
    <w:p w14:paraId="13C47387" w14:textId="77777777" w:rsidR="00E659A5" w:rsidRDefault="00C21592">
      <w:pPr>
        <w:widowControl w:val="0"/>
        <w:jc w:val="both"/>
        <w:rPr>
          <w:rFonts w:eastAsia="Calibri"/>
        </w:rPr>
      </w:pPr>
      <w:r>
        <w:rPr>
          <w:rFonts w:eastAsia="Calibri"/>
        </w:rPr>
        <w:t xml:space="preserve">Procjena bezbjednosti kod djece i adolescenata bazira se na bezbjednosnim podacima dobijenim iz dvije studije faze II i jedne studije faze III (otvorene studije sa aktivnom kontrolom) sprovedene kod pedijatrijskih pacijenata uzrasta od novorođenčeta do 18 godina starosti. Bezbjednosni podaci su uopšteno bili slični poređenjem rivaroksabana sa komparatorom, kod različitih uzrasnih grupa djece. Sveukupno, bezbjednosni profil lijeka uočen kod 412 djece i adolescenata koji su primali rivaroksaban bio je sličan bezbjednosnom profilu lijeka kod odraslih i konzistentan kod različitih uzrasnih podgrupa. Ipak, procjena je ograničena malim brojem pacijenata. </w:t>
      </w:r>
    </w:p>
    <w:p w14:paraId="7290CC4B" w14:textId="77777777" w:rsidR="00E659A5" w:rsidRDefault="00C21592">
      <w:pPr>
        <w:widowControl w:val="0"/>
        <w:jc w:val="both"/>
        <w:rPr>
          <w:rFonts w:eastAsia="Calibri"/>
        </w:rPr>
      </w:pPr>
      <w:r>
        <w:rPr>
          <w:rFonts w:eastAsia="Calibri"/>
        </w:rPr>
        <w:t>Kod pedijatrijskih pacijenata u poređenju sa odraslim, češće su prijavljene sl</w:t>
      </w:r>
      <w:r w:rsidR="00482493">
        <w:rPr>
          <w:rFonts w:eastAsia="Calibri"/>
        </w:rPr>
        <w:t>j</w:t>
      </w:r>
      <w:r>
        <w:rPr>
          <w:rFonts w:eastAsia="Calibri"/>
        </w:rPr>
        <w:t>edeće reakcije: glavobolja (veoma često 16,7%), povišena tjelesna temperatura (veoma često 11,7%), epistaksa (veoma često 11,2%), povraćanje (veoma često 10,7%), tahikardija (često 1,5%), povećane koncentracije bilirubina (1,5%) i povećanje koncentracije konjugovanog bilirubina (povremeno 0,7%). U skladu sa podacima iz populacije odraslih, menoragija se javila kod 6,6% (često) adolescentkinja nakon menarhe. Trombocitopenija se javljala često (4,6%) u pedijatrijskim kliničkim studijama kao što je prijavljeno i u postmarketinškom iskustvu kod odraslih. Neželjene reakcije kod pedijatrijskih pacijenata uglavnom su bile blage do umjerene.</w:t>
      </w:r>
    </w:p>
    <w:p w14:paraId="37FA59AD" w14:textId="77777777" w:rsidR="00E659A5" w:rsidRDefault="00E659A5">
      <w:pPr>
        <w:widowControl w:val="0"/>
        <w:jc w:val="both"/>
        <w:rPr>
          <w:rFonts w:eastAsia="Calibri"/>
        </w:rPr>
      </w:pPr>
    </w:p>
    <w:p w14:paraId="1A4F0237" w14:textId="77777777" w:rsidR="00E659A5" w:rsidRDefault="00C21592">
      <w:pPr>
        <w:spacing w:after="200" w:line="276" w:lineRule="auto"/>
        <w:jc w:val="both"/>
        <w:rPr>
          <w:rFonts w:eastAsia="Calibri"/>
          <w:u w:val="single"/>
          <w:lang w:val="sr-Latn-ME"/>
        </w:rPr>
      </w:pPr>
      <w:r>
        <w:rPr>
          <w:rFonts w:eastAsia="Calibri"/>
          <w:u w:val="single"/>
          <w:lang w:val="sr-Latn-ME"/>
        </w:rPr>
        <w:t>Prijavljivanje sumnji na neželjena dejstva</w:t>
      </w:r>
    </w:p>
    <w:p w14:paraId="6414AC94" w14:textId="77777777" w:rsidR="00E659A5" w:rsidRDefault="00C21592">
      <w:pPr>
        <w:tabs>
          <w:tab w:val="clear" w:pos="567"/>
        </w:tabs>
        <w:spacing w:after="200" w:line="240" w:lineRule="auto"/>
        <w:jc w:val="both"/>
        <w:rPr>
          <w:rFonts w:eastAsia="Calibri"/>
          <w:szCs w:val="22"/>
          <w:lang w:val="sr-Latn-RS"/>
        </w:rPr>
      </w:pPr>
      <w:r>
        <w:rPr>
          <w:rFonts w:eastAsia="Calibri"/>
          <w:szCs w:val="22"/>
          <w:lang w:val="sr-Latn-RS"/>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082D973D" w14:textId="77777777" w:rsidR="00E659A5" w:rsidRDefault="00C21592">
      <w:pPr>
        <w:tabs>
          <w:tab w:val="clear" w:pos="567"/>
        </w:tabs>
        <w:spacing w:line="240" w:lineRule="auto"/>
        <w:jc w:val="both"/>
        <w:rPr>
          <w:rFonts w:eastAsia="Calibri"/>
          <w:szCs w:val="22"/>
          <w:lang w:val="sr-Latn-RS"/>
        </w:rPr>
      </w:pPr>
      <w:r>
        <w:rPr>
          <w:rFonts w:eastAsia="Calibri"/>
          <w:szCs w:val="22"/>
          <w:lang w:val="sr-Latn-RS"/>
        </w:rPr>
        <w:lastRenderedPageBreak/>
        <w:t xml:space="preserve">Institut za ljekove i medicinska sredstva </w:t>
      </w:r>
    </w:p>
    <w:p w14:paraId="580FC119" w14:textId="77777777" w:rsidR="00E659A5" w:rsidRDefault="00C21592">
      <w:pPr>
        <w:tabs>
          <w:tab w:val="clear" w:pos="567"/>
        </w:tabs>
        <w:spacing w:line="240" w:lineRule="auto"/>
        <w:jc w:val="both"/>
        <w:rPr>
          <w:rFonts w:eastAsia="Calibri"/>
          <w:szCs w:val="22"/>
          <w:lang w:val="sr-Latn-RS"/>
        </w:rPr>
      </w:pPr>
      <w:r>
        <w:rPr>
          <w:rFonts w:eastAsia="Calibri"/>
          <w:szCs w:val="22"/>
          <w:lang w:val="sr-Latn-RS"/>
        </w:rPr>
        <w:t>Odjeljenje za farmakovigilancu</w:t>
      </w:r>
    </w:p>
    <w:p w14:paraId="6F6FAFED" w14:textId="77777777" w:rsidR="00E659A5" w:rsidRDefault="00C21592">
      <w:pPr>
        <w:tabs>
          <w:tab w:val="clear" w:pos="567"/>
        </w:tabs>
        <w:spacing w:line="240" w:lineRule="auto"/>
        <w:jc w:val="both"/>
        <w:rPr>
          <w:rFonts w:eastAsia="Calibri"/>
          <w:szCs w:val="22"/>
          <w:lang w:val="sr-Latn-RS"/>
        </w:rPr>
      </w:pPr>
      <w:r>
        <w:rPr>
          <w:rFonts w:eastAsia="Calibri"/>
          <w:szCs w:val="22"/>
          <w:lang w:val="sr-Latn-RS"/>
        </w:rPr>
        <w:t>Bulevar Ivana Crnojevića 64a, 81000 Podgorica</w:t>
      </w:r>
    </w:p>
    <w:p w14:paraId="2ABCFAC1" w14:textId="77777777" w:rsidR="00E659A5" w:rsidRDefault="00E659A5">
      <w:pPr>
        <w:tabs>
          <w:tab w:val="clear" w:pos="567"/>
        </w:tabs>
        <w:spacing w:line="240" w:lineRule="auto"/>
        <w:rPr>
          <w:rFonts w:eastAsia="Calibri"/>
          <w:szCs w:val="22"/>
          <w:lang w:val="sr-Latn-RS"/>
        </w:rPr>
      </w:pPr>
    </w:p>
    <w:p w14:paraId="2EEC8812" w14:textId="77777777" w:rsidR="00E659A5" w:rsidRDefault="00C21592">
      <w:pPr>
        <w:tabs>
          <w:tab w:val="clear" w:pos="567"/>
        </w:tabs>
        <w:spacing w:line="240" w:lineRule="auto"/>
        <w:jc w:val="both"/>
        <w:rPr>
          <w:rFonts w:eastAsia="Calibri"/>
          <w:szCs w:val="22"/>
          <w:lang w:val="sr-Latn-RS"/>
        </w:rPr>
      </w:pPr>
      <w:r>
        <w:rPr>
          <w:rFonts w:eastAsia="Calibri"/>
          <w:szCs w:val="22"/>
          <w:lang w:val="sr-Latn-RS"/>
        </w:rPr>
        <w:t>tel: +382 (0) 20 310 280</w:t>
      </w:r>
    </w:p>
    <w:p w14:paraId="432CD8BB" w14:textId="77777777" w:rsidR="00E659A5" w:rsidRDefault="00C21592">
      <w:pPr>
        <w:tabs>
          <w:tab w:val="clear" w:pos="567"/>
          <w:tab w:val="left" w:pos="6720"/>
        </w:tabs>
        <w:spacing w:line="240" w:lineRule="auto"/>
        <w:jc w:val="both"/>
        <w:rPr>
          <w:rFonts w:eastAsia="Calibri"/>
          <w:szCs w:val="22"/>
          <w:lang w:val="sr-Latn-RS"/>
        </w:rPr>
      </w:pPr>
      <w:r>
        <w:rPr>
          <w:rFonts w:eastAsia="Calibri"/>
          <w:szCs w:val="22"/>
          <w:lang w:val="sr-Latn-RS"/>
        </w:rPr>
        <w:t>fax: +382 (0) 20 310 581</w:t>
      </w:r>
      <w:r>
        <w:rPr>
          <w:rFonts w:eastAsia="Calibri"/>
          <w:szCs w:val="22"/>
          <w:lang w:val="sr-Latn-RS"/>
        </w:rPr>
        <w:tab/>
      </w:r>
    </w:p>
    <w:p w14:paraId="2A834EA2" w14:textId="77777777" w:rsidR="00E659A5" w:rsidRDefault="00D52155">
      <w:pPr>
        <w:tabs>
          <w:tab w:val="clear" w:pos="567"/>
        </w:tabs>
        <w:spacing w:line="240" w:lineRule="auto"/>
        <w:jc w:val="both"/>
        <w:rPr>
          <w:rFonts w:eastAsia="Calibri"/>
          <w:szCs w:val="22"/>
          <w:lang w:val="sr-Latn-RS"/>
        </w:rPr>
      </w:pPr>
      <w:hyperlink r:id="rId7" w:history="1">
        <w:r w:rsidR="00C21592">
          <w:rPr>
            <w:rFonts w:eastAsia="Calibri"/>
            <w:color w:val="0563C1"/>
            <w:szCs w:val="22"/>
            <w:u w:val="single"/>
            <w:lang w:val="sr-Latn-RS"/>
          </w:rPr>
          <w:t>www.cinmed.me</w:t>
        </w:r>
      </w:hyperlink>
    </w:p>
    <w:p w14:paraId="0A6C6862" w14:textId="77777777" w:rsidR="00E659A5" w:rsidRDefault="00D52155">
      <w:pPr>
        <w:tabs>
          <w:tab w:val="clear" w:pos="567"/>
        </w:tabs>
        <w:spacing w:line="240" w:lineRule="auto"/>
        <w:jc w:val="both"/>
        <w:rPr>
          <w:rFonts w:eastAsia="Calibri"/>
          <w:color w:val="0000FF"/>
          <w:szCs w:val="22"/>
          <w:u w:val="single"/>
          <w:lang w:val="sr-Latn-RS"/>
        </w:rPr>
      </w:pPr>
      <w:hyperlink r:id="rId8" w:history="1">
        <w:r w:rsidR="00C21592">
          <w:rPr>
            <w:rFonts w:eastAsia="Calibri"/>
            <w:color w:val="0563C1"/>
            <w:szCs w:val="22"/>
            <w:u w:val="single"/>
            <w:lang w:val="sr-Latn-RS"/>
          </w:rPr>
          <w:t>nezeljenadejstva@cinmed.me</w:t>
        </w:r>
      </w:hyperlink>
    </w:p>
    <w:p w14:paraId="7BED2EAC" w14:textId="77777777" w:rsidR="00E659A5" w:rsidRDefault="00C21592">
      <w:pPr>
        <w:tabs>
          <w:tab w:val="clear" w:pos="567"/>
        </w:tabs>
        <w:spacing w:line="240" w:lineRule="auto"/>
        <w:jc w:val="both"/>
        <w:rPr>
          <w:rFonts w:eastAsia="Calibri"/>
          <w:szCs w:val="22"/>
          <w:lang w:val="sr-Latn-RS"/>
        </w:rPr>
      </w:pPr>
      <w:r>
        <w:rPr>
          <w:rFonts w:eastAsia="Calibri"/>
          <w:szCs w:val="22"/>
          <w:lang w:val="sr-Latn-RS"/>
        </w:rPr>
        <w:t>putem IS zdravstvene zaštite</w:t>
      </w:r>
    </w:p>
    <w:p w14:paraId="552469BB" w14:textId="77777777" w:rsidR="00E659A5" w:rsidRDefault="00C21592">
      <w:pPr>
        <w:tabs>
          <w:tab w:val="clear" w:pos="567"/>
        </w:tabs>
        <w:spacing w:line="240" w:lineRule="auto"/>
        <w:jc w:val="both"/>
        <w:rPr>
          <w:rFonts w:eastAsia="Calibri"/>
          <w:szCs w:val="22"/>
          <w:lang w:val="sr-Latn-RS"/>
        </w:rPr>
      </w:pPr>
      <w:r>
        <w:rPr>
          <w:rFonts w:eastAsia="Calibri"/>
          <w:szCs w:val="22"/>
          <w:lang w:val="sr-Latn-RS"/>
        </w:rPr>
        <w:t>QR kod za online prijavu sumnje na neželjeno dejstvo lijeka:</w:t>
      </w:r>
    </w:p>
    <w:p w14:paraId="70F8FE7A" w14:textId="77777777" w:rsidR="00E659A5" w:rsidRDefault="00E659A5">
      <w:pPr>
        <w:tabs>
          <w:tab w:val="clear" w:pos="567"/>
        </w:tabs>
        <w:spacing w:line="240" w:lineRule="auto"/>
        <w:jc w:val="both"/>
        <w:rPr>
          <w:rFonts w:eastAsia="Calibri"/>
          <w:szCs w:val="22"/>
          <w:lang w:val="sr-Latn-RS"/>
        </w:rPr>
      </w:pPr>
    </w:p>
    <w:p w14:paraId="1B477C78" w14:textId="5C93FF2D" w:rsidR="00E659A5" w:rsidRDefault="00482493">
      <w:pPr>
        <w:tabs>
          <w:tab w:val="clear" w:pos="567"/>
        </w:tabs>
        <w:spacing w:line="240" w:lineRule="auto"/>
        <w:rPr>
          <w:rFonts w:eastAsia="Calibri"/>
          <w:szCs w:val="22"/>
          <w:lang w:val="sr-Latn-RS"/>
        </w:rPr>
      </w:pPr>
      <w:r w:rsidRPr="007F661E">
        <w:rPr>
          <w:b/>
          <w:bCs/>
          <w:noProof/>
          <w:szCs w:val="22"/>
          <w:lang w:val="en-US"/>
        </w:rPr>
        <w:drawing>
          <wp:inline distT="0" distB="0" distL="0" distR="0" wp14:anchorId="01DEF297" wp14:editId="610D49DE">
            <wp:extent cx="980796" cy="972000"/>
            <wp:effectExtent l="0" t="0" r="0" b="0"/>
            <wp:docPr id="10" name="Picture 9">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9"/>
                    </pic:cNvPr>
                    <pic:cNvPicPr>
                      <a:picLocks noChangeAspect="1"/>
                    </pic:cNvPicPr>
                  </pic:nvPicPr>
                  <pic:blipFill rotWithShape="1">
                    <a:blip r:embed="rId10"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38F2722D" w14:textId="77777777" w:rsidR="00E659A5" w:rsidRDefault="00E659A5">
      <w:pPr>
        <w:widowControl w:val="0"/>
        <w:jc w:val="both"/>
        <w:rPr>
          <w:rFonts w:eastAsia="Calibri"/>
        </w:rPr>
      </w:pPr>
    </w:p>
    <w:p w14:paraId="48130722" w14:textId="77777777" w:rsidR="00E659A5" w:rsidRDefault="00C21592">
      <w:pPr>
        <w:widowControl w:val="0"/>
        <w:jc w:val="both"/>
        <w:rPr>
          <w:b/>
        </w:rPr>
      </w:pPr>
      <w:r>
        <w:rPr>
          <w:b/>
        </w:rPr>
        <w:t>4.9</w:t>
      </w:r>
      <w:r>
        <w:rPr>
          <w:b/>
        </w:rPr>
        <w:tab/>
        <w:t>Predoziranje</w:t>
      </w:r>
    </w:p>
    <w:p w14:paraId="1D057494" w14:textId="77777777" w:rsidR="00E659A5" w:rsidRDefault="00E659A5">
      <w:pPr>
        <w:widowControl w:val="0"/>
        <w:jc w:val="both"/>
        <w:rPr>
          <w:rFonts w:eastAsia="Calibri"/>
        </w:rPr>
      </w:pPr>
    </w:p>
    <w:p w14:paraId="75560158" w14:textId="77777777" w:rsidR="00E659A5" w:rsidRDefault="00C21592">
      <w:pPr>
        <w:widowControl w:val="0"/>
        <w:ind w:right="-20"/>
        <w:jc w:val="both"/>
      </w:pPr>
      <w:r>
        <w:t>Prijavljeni su rijetki slučajevi predoziranja dozama do 1960 mg. U slučaju predoziranja, pacijenta treba pažljivo pratiti zbog komplikacije krvarenja ili drugog neželjenog dejstva (vidjeti dio „Postupak u slučaju krvarenja“).</w:t>
      </w:r>
      <w:r>
        <w:rPr>
          <w:lang w:val="sr-Latn-ME"/>
        </w:rPr>
        <w:t xml:space="preserve"> </w:t>
      </w:r>
      <w:r>
        <w:t>Podaci o predoziranju kod djece su ograničeni</w:t>
      </w:r>
      <w:r>
        <w:rPr>
          <w:lang w:val="sr-Latn-ME"/>
        </w:rPr>
        <w:t xml:space="preserve">. </w:t>
      </w:r>
      <w:r>
        <w:t>Zbog ograničene resorpcije očekuje se efekat plafona bez daljeg povećanja prosječne izloženosti u plazmi kod doza koje su veće od terapijskih, a to je 50 mg rivaroksabana ili više kod odraslih. Međutim, nema dostupnih podataka o primjeni supraterapijskih doza kod djece.</w:t>
      </w:r>
    </w:p>
    <w:p w14:paraId="7F7E73EB" w14:textId="77777777" w:rsidR="00E659A5" w:rsidRDefault="00E659A5">
      <w:pPr>
        <w:widowControl w:val="0"/>
        <w:tabs>
          <w:tab w:val="clear" w:pos="567"/>
          <w:tab w:val="left" w:pos="1116"/>
        </w:tabs>
        <w:ind w:right="-20"/>
        <w:jc w:val="both"/>
      </w:pPr>
    </w:p>
    <w:p w14:paraId="3131EE64" w14:textId="5D9F6196" w:rsidR="00E659A5" w:rsidRDefault="00C21592">
      <w:pPr>
        <w:widowControl w:val="0"/>
        <w:ind w:right="-20"/>
        <w:jc w:val="both"/>
      </w:pPr>
      <w:r>
        <w:t xml:space="preserve">Dostupan je specifični agens za reverziju (andeksanet alfa) koji djeluje antagonistički na farmakodinamski efekat rivaroksabana </w:t>
      </w:r>
      <w:r>
        <w:rPr>
          <w:lang w:val="en-US"/>
        </w:rPr>
        <w:t>za odrasle, ali nije utvrđeno kod djece</w:t>
      </w:r>
      <w:r>
        <w:t xml:space="preserve"> (vidjeti </w:t>
      </w:r>
      <w:r w:rsidR="004F6139">
        <w:t>S</w:t>
      </w:r>
      <w:r>
        <w:t>ažetak karakteristika lijeka za andeksanet alfa).</w:t>
      </w:r>
    </w:p>
    <w:p w14:paraId="63933B15" w14:textId="77777777" w:rsidR="00E659A5" w:rsidRDefault="00C21592">
      <w:pPr>
        <w:widowControl w:val="0"/>
        <w:ind w:right="-20"/>
        <w:jc w:val="both"/>
        <w:rPr>
          <w:u w:val="single" w:color="000000"/>
        </w:rPr>
      </w:pPr>
      <w:r>
        <w:t>U slučaju predoziranja rivaroksabanom može se razmotriti upotreba aktivnog (medicinskog) uglja kako bi se smanjila resorpcija.</w:t>
      </w:r>
    </w:p>
    <w:p w14:paraId="224E7CC8" w14:textId="77777777" w:rsidR="00E659A5" w:rsidRDefault="00E659A5">
      <w:pPr>
        <w:widowControl w:val="0"/>
        <w:jc w:val="both"/>
        <w:rPr>
          <w:rFonts w:eastAsia="Calibri"/>
        </w:rPr>
      </w:pPr>
    </w:p>
    <w:p w14:paraId="3815CA91" w14:textId="77777777" w:rsidR="00E659A5" w:rsidRDefault="00C21592">
      <w:pPr>
        <w:pStyle w:val="Default"/>
        <w:jc w:val="both"/>
        <w:rPr>
          <w:sz w:val="22"/>
          <w:szCs w:val="22"/>
          <w:u w:val="single"/>
          <w:lang w:val="hr-HR"/>
        </w:rPr>
      </w:pPr>
      <w:r>
        <w:rPr>
          <w:sz w:val="22"/>
          <w:szCs w:val="22"/>
          <w:u w:val="single"/>
          <w:lang w:val="hr-HR"/>
        </w:rPr>
        <w:t>Postupak u slučaju krvarenja</w:t>
      </w:r>
    </w:p>
    <w:p w14:paraId="3708E236" w14:textId="77777777" w:rsidR="00E659A5" w:rsidRDefault="00C21592">
      <w:pPr>
        <w:pStyle w:val="Default"/>
        <w:jc w:val="both"/>
        <w:rPr>
          <w:sz w:val="22"/>
          <w:szCs w:val="22"/>
          <w:lang w:val="hr-HR"/>
        </w:rPr>
      </w:pPr>
      <w:r>
        <w:rPr>
          <w:sz w:val="22"/>
          <w:szCs w:val="22"/>
          <w:lang w:val="hr-HR"/>
        </w:rPr>
        <w:t xml:space="preserve">Ukoliko dođe do komplikacija sa krvarenjem kod pacijenata koji uzimaju rivaroksaban, sljedeća primjena rivaroksabana se mora odložiti ili se terapija mora prekinuti na odgovarajući način. Rivaroksaban ima poluvrijeme eliminacije od približno 5 do 13 sati. </w:t>
      </w:r>
      <w:r>
        <w:rPr>
          <w:sz w:val="22"/>
          <w:szCs w:val="22"/>
          <w:lang w:val="en-GB"/>
        </w:rPr>
        <w:t>Primjenom modela populacione farmakokinetike (popPK) procijenjeno je da je poluvrijeme eliminacije kod djece kraće</w:t>
      </w:r>
      <w:r>
        <w:rPr>
          <w:sz w:val="22"/>
          <w:szCs w:val="22"/>
          <w:lang w:val="hr-HR"/>
        </w:rPr>
        <w:t xml:space="preserve"> (vidjeti dio 5.2). Postupak treba prilagoditi svakom pacijentu pojedinačno, prema ozbiljnosti i mjestu krvarenja. Po potrebi se može primijeniti primjereno simptomatsko liječenje, poput mehaničke kompresije (npr. za tešku epistaksu), hirurške hemostaze sa procedurama kontrole krvarenja, nadoknade tečnosti i hemodinamske suportivne terapije, primjene derivata krvi (koncentrovani eritrociti ili svježe zamrznuta plazma, u zavisnosti od pridružene anemije ili koagulopatije) ili trombocita.</w:t>
      </w:r>
    </w:p>
    <w:p w14:paraId="6ADAFAAC" w14:textId="77777777" w:rsidR="00E659A5" w:rsidRDefault="00C21592">
      <w:pPr>
        <w:pStyle w:val="Default"/>
        <w:jc w:val="both"/>
        <w:rPr>
          <w:sz w:val="22"/>
          <w:szCs w:val="22"/>
          <w:lang w:val="hr-HR"/>
        </w:rPr>
      </w:pPr>
      <w:r>
        <w:rPr>
          <w:sz w:val="22"/>
          <w:szCs w:val="22"/>
          <w:lang w:val="hr-HR"/>
        </w:rPr>
        <w:t>Ako se krvarenje ne može kontrolisati navedenim mjerama, mora se razmotriti primjena ili specifičnog agensa za reverziju inhibitora faktora Xa (andeksanet alfa), koji djeluje antagonistički na farmakodinamski efekat rivaroksabana, ili specifičnog prokoagulantnog sredstva poput koncentrata protrombinskog kompleksa (PCC), aktiviranog protrombin kompleksa (APCC) ili rekombinantnog faktora VIIa (r-FVIIa). Međutim, trenutno je vrlo ograničeno kliničko iskustvo primjene ovih ljekova kod odraslih i pedijatrijskih pacijenata koji primaju rivaroksaban. Preporuka se takođe zasniva i na ograničenim pretkliničkim podacima. Ponovno doziranje rekombinantnog faktora VIIa se mora razmotriti i titririrati u zavisnosti od poboljšanja stanja krvarenja. U zavisnosti od lokalne dostupnosti, u slučaju većih krvarenja potrebno je razmotriti savjetovanje sa hematologom (vidjeti dio 5.1).</w:t>
      </w:r>
    </w:p>
    <w:p w14:paraId="6DCF7624" w14:textId="77777777" w:rsidR="00E659A5" w:rsidRDefault="00E659A5">
      <w:pPr>
        <w:pStyle w:val="Default"/>
        <w:jc w:val="both"/>
        <w:rPr>
          <w:sz w:val="22"/>
          <w:szCs w:val="22"/>
          <w:lang w:val="hr-HR"/>
        </w:rPr>
      </w:pPr>
    </w:p>
    <w:p w14:paraId="4AF44561" w14:textId="466F8EDC" w:rsidR="00E659A5" w:rsidRDefault="00C21592">
      <w:pPr>
        <w:widowControl w:val="0"/>
        <w:jc w:val="both"/>
      </w:pPr>
      <w:r>
        <w:t xml:space="preserve">Ne očekuje se da bi protamin sulfat ni vitamin K uticali na antikoagulantnu aktivnost rivaroksabana. Iskustvo sa primjenom traneksamične kiseline je ograničeno, dok nema iskustva sa primjenom aminokaproinske kiseline i aprotinina kod pacijenata koji primaju rivaroksaban. Nema iskustva o </w:t>
      </w:r>
      <w:r>
        <w:lastRenderedPageBreak/>
        <w:t>upotrebi ovih agenasa kod djece koja primaju rivaroksaban. Nema ni naučnog osnova za korist, niti iskustva sa primjenom sistemskog hemostatika dezmopresina kod pacijenata koji primaju rivaroksaban. Zbog visokog stepena vezivanja za proteine plazme, ne očekuje se da bi se rivaroksaban mogao ukloniti dijalizom iz organizma.</w:t>
      </w:r>
    </w:p>
    <w:p w14:paraId="18166F49" w14:textId="77777777" w:rsidR="00E659A5" w:rsidRDefault="00E659A5">
      <w:pPr>
        <w:widowControl w:val="0"/>
        <w:jc w:val="both"/>
        <w:rPr>
          <w:rFonts w:eastAsia="Calibri"/>
        </w:rPr>
      </w:pPr>
    </w:p>
    <w:p w14:paraId="2FB7FD37" w14:textId="77777777" w:rsidR="00E659A5" w:rsidRDefault="00E659A5">
      <w:pPr>
        <w:widowControl w:val="0"/>
        <w:jc w:val="both"/>
        <w:rPr>
          <w:rFonts w:eastAsia="Calibri"/>
        </w:rPr>
      </w:pPr>
    </w:p>
    <w:p w14:paraId="4079FB93" w14:textId="77777777" w:rsidR="00E659A5" w:rsidRDefault="00C21592">
      <w:pPr>
        <w:widowControl w:val="0"/>
        <w:jc w:val="both"/>
        <w:rPr>
          <w:b/>
        </w:rPr>
      </w:pPr>
      <w:r>
        <w:rPr>
          <w:b/>
        </w:rPr>
        <w:t>5.</w:t>
      </w:r>
      <w:r>
        <w:rPr>
          <w:b/>
        </w:rPr>
        <w:tab/>
        <w:t>FARMAKOLOŠKI PODACI</w:t>
      </w:r>
    </w:p>
    <w:p w14:paraId="22B51304" w14:textId="77777777" w:rsidR="00E659A5" w:rsidRDefault="00E659A5">
      <w:pPr>
        <w:widowControl w:val="0"/>
        <w:jc w:val="both"/>
      </w:pPr>
    </w:p>
    <w:p w14:paraId="17A7476A" w14:textId="77777777" w:rsidR="00E659A5" w:rsidRDefault="00C21592">
      <w:pPr>
        <w:widowControl w:val="0"/>
        <w:jc w:val="both"/>
        <w:rPr>
          <w:b/>
        </w:rPr>
      </w:pPr>
      <w:r>
        <w:rPr>
          <w:b/>
        </w:rPr>
        <w:t>5.1</w:t>
      </w:r>
      <w:r>
        <w:rPr>
          <w:b/>
        </w:rPr>
        <w:tab/>
        <w:t>Farmakodinamski podaci</w:t>
      </w:r>
    </w:p>
    <w:p w14:paraId="076B6183" w14:textId="77777777" w:rsidR="00E659A5" w:rsidRDefault="00E659A5">
      <w:pPr>
        <w:widowControl w:val="0"/>
        <w:jc w:val="both"/>
        <w:rPr>
          <w:rFonts w:eastAsia="Calibri"/>
        </w:rPr>
      </w:pPr>
    </w:p>
    <w:p w14:paraId="3D889450" w14:textId="77777777" w:rsidR="00E659A5" w:rsidRDefault="00C21592">
      <w:pPr>
        <w:widowControl w:val="0"/>
        <w:ind w:right="-20"/>
        <w:jc w:val="both"/>
      </w:pPr>
      <w:r>
        <w:t xml:space="preserve">Farmakoterapijska grupa: antitrombotička sredstva </w:t>
      </w:r>
      <w:r>
        <w:rPr>
          <w:lang w:val="sr-Latn-RS"/>
        </w:rPr>
        <w:t>(antikoagulansi)</w:t>
      </w:r>
      <w:r>
        <w:t>; direktni inhibitori faktora Xa</w:t>
      </w:r>
    </w:p>
    <w:p w14:paraId="3BAEA3F8" w14:textId="77777777" w:rsidR="00E659A5" w:rsidRDefault="00E659A5">
      <w:pPr>
        <w:widowControl w:val="0"/>
        <w:ind w:right="-20"/>
        <w:jc w:val="both"/>
      </w:pPr>
    </w:p>
    <w:p w14:paraId="35D531F1" w14:textId="77777777" w:rsidR="00E659A5" w:rsidRDefault="00C21592">
      <w:pPr>
        <w:widowControl w:val="0"/>
        <w:ind w:right="-20"/>
        <w:jc w:val="both"/>
      </w:pPr>
      <w:r>
        <w:t>ATC kod: B01AF01</w:t>
      </w:r>
    </w:p>
    <w:p w14:paraId="4EE9C404" w14:textId="77777777" w:rsidR="00E659A5" w:rsidRDefault="00E659A5">
      <w:pPr>
        <w:widowControl w:val="0"/>
        <w:jc w:val="both"/>
        <w:rPr>
          <w:rFonts w:eastAsia="Calibri"/>
        </w:rPr>
      </w:pPr>
    </w:p>
    <w:p w14:paraId="7911A2A5" w14:textId="77777777" w:rsidR="00E659A5" w:rsidRDefault="00C21592">
      <w:pPr>
        <w:widowControl w:val="0"/>
        <w:autoSpaceDE w:val="0"/>
        <w:autoSpaceDN w:val="0"/>
        <w:adjustRightInd w:val="0"/>
        <w:jc w:val="both"/>
        <w:rPr>
          <w:color w:val="000000"/>
          <w:u w:val="single"/>
        </w:rPr>
      </w:pPr>
      <w:r>
        <w:rPr>
          <w:color w:val="000000"/>
          <w:u w:val="single"/>
        </w:rPr>
        <w:t>Mehanizam dejstva</w:t>
      </w:r>
    </w:p>
    <w:p w14:paraId="349981F0" w14:textId="77777777" w:rsidR="00E659A5" w:rsidRDefault="00C21592">
      <w:pPr>
        <w:widowControl w:val="0"/>
        <w:ind w:right="-20"/>
        <w:jc w:val="both"/>
      </w:pPr>
      <w:r>
        <w:t>Rivaroksaban je visokoselektivni, direktni inhibitor faktora Xa, bioraspoloživ nakon oralne primjene. Inhibicijom faktora Xa prekida se intrizički (unutrašnji) i ekstrinzički (spoljašnji) put kaskade zgrušavanja krvi, čime se inhibira stvaranje trombina i formiranje tromba. Rivaroksaban ne inhibira trombin (aktivirani faktor II), a nisu pokazani ni efekti na trombocite.</w:t>
      </w:r>
    </w:p>
    <w:p w14:paraId="001AA08B" w14:textId="77777777" w:rsidR="00E659A5" w:rsidRDefault="00E659A5">
      <w:pPr>
        <w:widowControl w:val="0"/>
        <w:ind w:right="-20"/>
        <w:jc w:val="both"/>
        <w:rPr>
          <w:u w:val="single" w:color="000000"/>
        </w:rPr>
      </w:pPr>
    </w:p>
    <w:p w14:paraId="188DAB7F" w14:textId="77777777" w:rsidR="00E659A5" w:rsidRDefault="00C21592">
      <w:pPr>
        <w:pStyle w:val="Default"/>
        <w:jc w:val="both"/>
        <w:rPr>
          <w:sz w:val="22"/>
          <w:szCs w:val="22"/>
          <w:u w:val="single"/>
          <w:lang w:val="hr-HR"/>
        </w:rPr>
      </w:pPr>
      <w:r>
        <w:rPr>
          <w:sz w:val="22"/>
          <w:szCs w:val="22"/>
          <w:u w:val="single"/>
          <w:lang w:val="hr-HR"/>
        </w:rPr>
        <w:t>Farmakodinamski efekti</w:t>
      </w:r>
    </w:p>
    <w:p w14:paraId="0DF8E70E" w14:textId="77777777" w:rsidR="00E659A5" w:rsidRDefault="00C21592">
      <w:pPr>
        <w:pStyle w:val="Default"/>
        <w:jc w:val="both"/>
        <w:rPr>
          <w:sz w:val="22"/>
          <w:szCs w:val="22"/>
          <w:lang w:val="hr-HR"/>
        </w:rPr>
      </w:pPr>
      <w:r>
        <w:rPr>
          <w:sz w:val="22"/>
          <w:szCs w:val="22"/>
          <w:lang w:val="hr-HR"/>
        </w:rPr>
        <w:t xml:space="preserve">Kod ljudi je uočena dozno-zavisna inhibicija aktivnosti faktora Xa. Rivaroksaban utiče na protrombinsko vrijeme (engl. </w:t>
      </w:r>
      <w:r>
        <w:rPr>
          <w:i/>
          <w:sz w:val="22"/>
          <w:szCs w:val="22"/>
          <w:lang w:val="hr-HR"/>
        </w:rPr>
        <w:t>Prothromin time</w:t>
      </w:r>
      <w:r>
        <w:rPr>
          <w:sz w:val="22"/>
          <w:szCs w:val="22"/>
          <w:lang w:val="hr-HR"/>
        </w:rPr>
        <w:t xml:space="preserve"> - PT) u zavisnosti od doze, pri čemu postoji bliska korelacija sa njegovom koncentracijom u plazmi (r = 0,98) ako se u testu koristi Neoplastin. Drugi reagensi mogu dati drugačije rezultate. PT treba očitavati u sekundama jer je INR (engl. </w:t>
      </w:r>
      <w:r>
        <w:rPr>
          <w:i/>
          <w:sz w:val="22"/>
          <w:szCs w:val="22"/>
          <w:lang w:val="hr-HR"/>
        </w:rPr>
        <w:t>International Normalized Ratio</w:t>
      </w:r>
      <w:r>
        <w:rPr>
          <w:sz w:val="22"/>
          <w:szCs w:val="22"/>
          <w:lang w:val="hr-HR"/>
        </w:rPr>
        <w:t>) kalibrisan i validiran samo za kumarine i ne može se koristiti za druge antikoagulanse.</w:t>
      </w:r>
    </w:p>
    <w:p w14:paraId="20C4C39C" w14:textId="77777777" w:rsidR="00E659A5" w:rsidRDefault="00C21592">
      <w:pPr>
        <w:pStyle w:val="Default"/>
        <w:jc w:val="both"/>
        <w:rPr>
          <w:sz w:val="22"/>
          <w:szCs w:val="22"/>
          <w:lang w:val="hr-HR"/>
        </w:rPr>
      </w:pPr>
      <w:r>
        <w:rPr>
          <w:sz w:val="22"/>
          <w:szCs w:val="22"/>
          <w:lang w:val="hr-HR"/>
        </w:rPr>
        <w:t>Kod pacijenata koji su primali rivaroksaban za liječenje TDV i PE i prevenciju njihovih recidiva, protrombinsko vrijeme (Neoplastin) 2-4 sata nakon uzimanja tablete (tj. u vrijeme postizanja maksimalnog efekta) za 15 mg rivaroksabana uzetog dva puta na dan u 5% slučajeva bilo je manje od 17 s, a u 5% slučajeva duže od 32 s, a za 20 mg rivaroksabana uzetog jednom dnevno u 5% slučajeva bilo je manje od 15 s, a u 5% slučajeva duže od 30 s. Kod C</w:t>
      </w:r>
      <w:r>
        <w:rPr>
          <w:sz w:val="22"/>
          <w:szCs w:val="22"/>
          <w:vertAlign w:val="subscript"/>
          <w:lang w:val="hr-HR"/>
        </w:rPr>
        <w:t>min</w:t>
      </w:r>
      <w:r>
        <w:rPr>
          <w:sz w:val="22"/>
          <w:szCs w:val="22"/>
          <w:lang w:val="hr-HR"/>
        </w:rPr>
        <w:t xml:space="preserve"> (8-16 h nakon uzimanja tablete) protrombinsko vrijeme za 15 mg rivaroksabana uzetog dva puta na dan u 5% slučajeva bilo je manje od 14 s, a u 5% slučajeva duže od 24 s, a kod doze od 20 mg jednom dnevno (18-30 h nakon uzimanja tablete) u 5% slučajeva protrombinsko vrijeme bilo je manje od 13 s, a u 5% slučajeva duže od 20 s.</w:t>
      </w:r>
    </w:p>
    <w:p w14:paraId="3790F432" w14:textId="77777777" w:rsidR="00E659A5" w:rsidRDefault="00C21592">
      <w:pPr>
        <w:pStyle w:val="Default"/>
        <w:jc w:val="both"/>
        <w:rPr>
          <w:sz w:val="22"/>
          <w:szCs w:val="22"/>
          <w:lang w:val="hr-HR"/>
        </w:rPr>
      </w:pPr>
      <w:r>
        <w:rPr>
          <w:sz w:val="22"/>
          <w:szCs w:val="22"/>
          <w:lang w:val="hr-HR"/>
        </w:rPr>
        <w:t>Kod pacijenata koji boluju od nevalvularne atrijalne fibrilacije i koji rivaroksaban dobijaju za prevenciju moždanog udara i sistemske embolije, trajanje PT (Neoplastin) 1-4 sati nakon uzimanja tablete (tj. u vrijeme postizanja maksimalnog efekta) kod pacijenata koji dobijaju 20 mg lijeka jednom dnevno u 5% slučajeva bilo je manje od 14 s, a u 5% slučajeva duže od 40 s, a kod pacijenata sa umjerenim oštećenjem funkcije bubrega koji su dobijali 15 mg lijeka na dan u 5% slučajeva bilo je manje od 10 s, a u 5% slučajeva duže od 50 s. Kod najnižih koncentracija (16-36 h nakon uzimanja tablete) trajanje PT je bilo u 5% slučajeva manje od 12 s, a u 5% slučajeva duže od 26 s kod pacijenata koji su dobijali 20 mg lijeka jednom dnevno, a kod pacijenata sa umjerenim oštećenjem bubrega koji su dobijali 15 mg lijeka jednom dnevno je bilo u 5% slučajeva manje od 12 s, a u 5% slučajeva duže od 26 s.</w:t>
      </w:r>
    </w:p>
    <w:p w14:paraId="4EF4FAE1" w14:textId="77777777" w:rsidR="00E659A5" w:rsidRDefault="00C21592">
      <w:pPr>
        <w:pStyle w:val="Default"/>
        <w:jc w:val="both"/>
        <w:rPr>
          <w:sz w:val="22"/>
          <w:szCs w:val="22"/>
          <w:lang w:val="hr-HR"/>
        </w:rPr>
      </w:pPr>
      <w:r>
        <w:rPr>
          <w:sz w:val="22"/>
          <w:szCs w:val="22"/>
          <w:lang w:val="hr-HR"/>
        </w:rPr>
        <w:t>U kliničkoj farmakološkoj studiji reverzije farmakodinamike rivaroksabana kod zdravih odraslih ispitanika (n=22), procjenjivani su efekti pojedinačne doze (50 IU/kg) dva različita tipa koncentrata protrombinskog kompleksa (PCC), PCC-a koji sadrži 3 faktora (faktor II, IX i X) i PCC-a koji sadrži 4 faktora (faktor II, VII, IX i X). PCC koji sadrži 3 faktora smanjio je srednju vrijednost PT, koristeći Neoplastin reagens, za otprilike 1,0 sekundu unutar 30 minuta u poređenju sa smanjenjem od otprilike 3,5 sekunde zabilježeno PCC-om koji sadrži 4 faktora. Suprotno tome, PCC koji sadrži 3 faktora imao je veći i brži ukupni efekat na poništavanje promjena u endogenom stvaranju trombina nego PCC koji sadrži 4 faktora (vidjeti dio 4.9).</w:t>
      </w:r>
    </w:p>
    <w:p w14:paraId="274965FA" w14:textId="77777777" w:rsidR="00E659A5" w:rsidRDefault="00C21592">
      <w:pPr>
        <w:widowControl w:val="0"/>
        <w:jc w:val="both"/>
        <w:rPr>
          <w:rFonts w:eastAsia="Calibri"/>
        </w:rPr>
      </w:pPr>
      <w:r>
        <w:t xml:space="preserve">Aktivirano parcijalno tromboplastinsko vrijeme (engl. </w:t>
      </w:r>
      <w:r>
        <w:rPr>
          <w:i/>
        </w:rPr>
        <w:t>Activated Partial Thromboplastin Time</w:t>
      </w:r>
      <w:r>
        <w:t xml:space="preserve"> - PTT) i vrijeme izmjereno Heptestom takođe su dozno-zavisno produženi; međutim, ne preporučuje se da se oni koriste za procjenu farmakodinamskih efekata rivaroksabana. Tokom liječenja rivaroksabanom nema potrebe da se sprovodi rutinska klinička kontrola parametara koagulacije. Međutim, ako je klinički </w:t>
      </w:r>
      <w:r>
        <w:lastRenderedPageBreak/>
        <w:t>indikovano, koncentracija rivaroksabana se može mjeriti kalibrisanim kvantitativnim anti-faktor Xa testovima (vidjeti dio 5.2).</w:t>
      </w:r>
    </w:p>
    <w:p w14:paraId="45D9F24D" w14:textId="77777777" w:rsidR="00E659A5" w:rsidRDefault="00E659A5">
      <w:pPr>
        <w:widowControl w:val="0"/>
        <w:jc w:val="both"/>
        <w:rPr>
          <w:rFonts w:eastAsia="Calibri"/>
        </w:rPr>
      </w:pPr>
    </w:p>
    <w:p w14:paraId="55313C94" w14:textId="77777777" w:rsidR="00E659A5" w:rsidRDefault="00C21592">
      <w:pPr>
        <w:widowControl w:val="0"/>
        <w:jc w:val="both"/>
        <w:rPr>
          <w:rFonts w:eastAsia="Calibri"/>
        </w:rPr>
      </w:pPr>
      <w:r>
        <w:rPr>
          <w:rFonts w:eastAsia="Calibri"/>
        </w:rPr>
        <w:t xml:space="preserve">Pedijatrijska populacija </w:t>
      </w:r>
    </w:p>
    <w:p w14:paraId="5CEDD3FA" w14:textId="40C85FD2" w:rsidR="00E659A5" w:rsidRDefault="00C21592">
      <w:pPr>
        <w:widowControl w:val="0"/>
        <w:jc w:val="both"/>
        <w:rPr>
          <w:rFonts w:eastAsia="Calibri"/>
          <w:lang w:val="mk-MK"/>
        </w:rPr>
      </w:pPr>
      <w:r>
        <w:rPr>
          <w:rFonts w:eastAsia="Calibri"/>
          <w:lang w:val="mk-MK"/>
        </w:rPr>
        <w:t>Proc</w:t>
      </w:r>
      <w:r>
        <w:rPr>
          <w:rFonts w:eastAsia="Calibri"/>
          <w:lang w:val="sr-Latn-ME"/>
        </w:rPr>
        <w:t>ij</w:t>
      </w:r>
      <w:r>
        <w:rPr>
          <w:rFonts w:eastAsia="Calibri"/>
          <w:lang w:val="mk-MK"/>
        </w:rPr>
        <w:t>enjene vr</w:t>
      </w:r>
      <w:r>
        <w:rPr>
          <w:rFonts w:eastAsia="Calibri"/>
          <w:lang w:val="sr-Latn-ME"/>
        </w:rPr>
        <w:t>ij</w:t>
      </w:r>
      <w:r>
        <w:rPr>
          <w:rFonts w:eastAsia="Calibri"/>
          <w:lang w:val="mk-MK"/>
        </w:rPr>
        <w:t>ednosti PT (neoplastin reagens), aPTT i anti-Xa (kalibrisanim kvantitativnim testom) su u bliskoj</w:t>
      </w:r>
      <w:r>
        <w:rPr>
          <w:rFonts w:eastAsia="Calibri"/>
          <w:lang w:val="sr-Latn-ME"/>
        </w:rPr>
        <w:t xml:space="preserve"> </w:t>
      </w:r>
      <w:r>
        <w:rPr>
          <w:rFonts w:eastAsia="Calibri"/>
          <w:lang w:val="mk-MK"/>
        </w:rPr>
        <w:t>korelaciji sa koncentracijama u plazmi kod d</w:t>
      </w:r>
      <w:r>
        <w:rPr>
          <w:rFonts w:eastAsia="Calibri"/>
          <w:lang w:val="sr-Latn-ME"/>
        </w:rPr>
        <w:t>j</w:t>
      </w:r>
      <w:r>
        <w:rPr>
          <w:rFonts w:eastAsia="Calibri"/>
          <w:lang w:val="mk-MK"/>
        </w:rPr>
        <w:t>ece. Korelacija izme</w:t>
      </w:r>
      <w:r>
        <w:rPr>
          <w:rFonts w:eastAsia="Calibri" w:hint="eastAsia"/>
          <w:lang w:val="mk-MK"/>
        </w:rPr>
        <w:t>đ</w:t>
      </w:r>
      <w:r>
        <w:rPr>
          <w:rFonts w:eastAsia="Calibri"/>
          <w:lang w:val="mk-MK"/>
        </w:rPr>
        <w:t>u anti-Xa i koncentracije u plazmi je linearna</w:t>
      </w:r>
      <w:r>
        <w:rPr>
          <w:rFonts w:eastAsia="Calibri"/>
          <w:lang w:val="sr-Latn-ME"/>
        </w:rPr>
        <w:t xml:space="preserve"> </w:t>
      </w:r>
      <w:r>
        <w:rPr>
          <w:rFonts w:eastAsia="Calibri"/>
          <w:lang w:val="mk-MK"/>
        </w:rPr>
        <w:t>sa nagibom blizu 1. Mogu se javiti individualna odstupanja sa vr</w:t>
      </w:r>
      <w:r>
        <w:rPr>
          <w:rFonts w:eastAsia="Calibri"/>
          <w:lang w:val="sr-Latn-ME"/>
        </w:rPr>
        <w:t>ij</w:t>
      </w:r>
      <w:r>
        <w:rPr>
          <w:rFonts w:eastAsia="Calibri"/>
          <w:lang w:val="mk-MK"/>
        </w:rPr>
        <w:t>ednostima anti-Xa ve</w:t>
      </w:r>
      <w:r>
        <w:rPr>
          <w:rFonts w:eastAsia="Calibri" w:hint="eastAsia"/>
          <w:lang w:val="mk-MK"/>
        </w:rPr>
        <w:t>ć</w:t>
      </w:r>
      <w:r>
        <w:rPr>
          <w:rFonts w:eastAsia="Calibri"/>
          <w:lang w:val="mk-MK"/>
        </w:rPr>
        <w:t>im ili manjim u odnosu</w:t>
      </w:r>
      <w:r>
        <w:rPr>
          <w:rFonts w:eastAsia="Calibri"/>
          <w:lang w:val="sr-Latn-ME"/>
        </w:rPr>
        <w:t xml:space="preserve"> </w:t>
      </w:r>
      <w:r>
        <w:rPr>
          <w:rFonts w:eastAsia="Calibri"/>
          <w:lang w:val="mk-MK"/>
        </w:rPr>
        <w:t>na odgovaraju</w:t>
      </w:r>
      <w:r>
        <w:rPr>
          <w:rFonts w:eastAsia="Calibri" w:hint="eastAsia"/>
          <w:lang w:val="mk-MK"/>
        </w:rPr>
        <w:t>ć</w:t>
      </w:r>
      <w:r>
        <w:rPr>
          <w:rFonts w:eastAsia="Calibri"/>
          <w:lang w:val="mk-MK"/>
        </w:rPr>
        <w:t>e koncentracije u plazmi. Tokom terapije rivaroksabanom nema potrebe za rutinskim pra</w:t>
      </w:r>
      <w:r>
        <w:rPr>
          <w:rFonts w:eastAsia="Calibri" w:hint="eastAsia"/>
          <w:lang w:val="mk-MK"/>
        </w:rPr>
        <w:t>ć</w:t>
      </w:r>
      <w:r>
        <w:rPr>
          <w:rFonts w:eastAsia="Calibri"/>
          <w:lang w:val="mk-MK"/>
        </w:rPr>
        <w:t>enjem</w:t>
      </w:r>
      <w:r>
        <w:rPr>
          <w:rFonts w:eastAsia="Calibri"/>
          <w:lang w:val="sr-Latn-ME"/>
        </w:rPr>
        <w:t xml:space="preserve"> </w:t>
      </w:r>
      <w:r>
        <w:rPr>
          <w:rFonts w:eastAsia="Calibri"/>
          <w:lang w:val="mk-MK"/>
        </w:rPr>
        <w:t>parametara koagulacije. Ipak, ukoliko je klini</w:t>
      </w:r>
      <w:r>
        <w:rPr>
          <w:rFonts w:eastAsia="Calibri" w:hint="eastAsia"/>
          <w:lang w:val="mk-MK"/>
        </w:rPr>
        <w:t>č</w:t>
      </w:r>
      <w:r>
        <w:rPr>
          <w:rFonts w:eastAsia="Calibri"/>
          <w:lang w:val="mk-MK"/>
        </w:rPr>
        <w:t>ki indikovano, koncentracije rivaroksabana se mogu m</w:t>
      </w:r>
      <w:r>
        <w:rPr>
          <w:rFonts w:eastAsia="Calibri"/>
          <w:lang w:val="sr-Latn-ME"/>
        </w:rPr>
        <w:t>j</w:t>
      </w:r>
      <w:r>
        <w:rPr>
          <w:rFonts w:eastAsia="Calibri"/>
          <w:lang w:val="mk-MK"/>
        </w:rPr>
        <w:t>eriti</w:t>
      </w:r>
      <w:r>
        <w:rPr>
          <w:rFonts w:eastAsia="Calibri"/>
          <w:lang w:val="sr-Latn-ME"/>
        </w:rPr>
        <w:t xml:space="preserve"> </w:t>
      </w:r>
      <w:r>
        <w:rPr>
          <w:rFonts w:eastAsia="Calibri"/>
          <w:lang w:val="mk-MK"/>
        </w:rPr>
        <w:t>kalibrisanim kvantitativnim anti faktor Xa testom u mikrogram/</w:t>
      </w:r>
      <w:r w:rsidR="004F6139">
        <w:rPr>
          <w:rFonts w:eastAsia="Calibri"/>
          <w:lang w:val="sr-Latn-ME"/>
        </w:rPr>
        <w:t>l</w:t>
      </w:r>
      <w:r>
        <w:rPr>
          <w:rFonts w:eastAsia="Calibri"/>
          <w:lang w:val="mk-MK"/>
        </w:rPr>
        <w:t xml:space="preserve"> (vid</w:t>
      </w:r>
      <w:r>
        <w:rPr>
          <w:rFonts w:eastAsia="Calibri"/>
          <w:lang w:val="sr-Latn-ME"/>
        </w:rPr>
        <w:t>j</w:t>
      </w:r>
      <w:r>
        <w:rPr>
          <w:rFonts w:eastAsia="Calibri"/>
          <w:lang w:val="mk-MK"/>
        </w:rPr>
        <w:t xml:space="preserve">eti tabelu 13 u </w:t>
      </w:r>
      <w:r>
        <w:rPr>
          <w:rFonts w:eastAsia="Calibri"/>
          <w:lang w:val="sr-Latn-ME"/>
        </w:rPr>
        <w:t>dijelu</w:t>
      </w:r>
      <w:r>
        <w:rPr>
          <w:rFonts w:eastAsia="Calibri"/>
          <w:lang w:val="mk-MK"/>
        </w:rPr>
        <w:t xml:space="preserve"> 5.2 za opseg</w:t>
      </w:r>
      <w:r>
        <w:rPr>
          <w:rFonts w:eastAsia="Calibri"/>
          <w:lang w:val="sr-Latn-ME"/>
        </w:rPr>
        <w:t xml:space="preserve"> </w:t>
      </w:r>
      <w:r>
        <w:rPr>
          <w:rFonts w:eastAsia="Calibri"/>
          <w:lang w:val="mk-MK"/>
        </w:rPr>
        <w:t>uo</w:t>
      </w:r>
      <w:r>
        <w:rPr>
          <w:rFonts w:eastAsia="Calibri" w:hint="eastAsia"/>
          <w:lang w:val="mk-MK"/>
        </w:rPr>
        <w:t>č</w:t>
      </w:r>
      <w:r>
        <w:rPr>
          <w:rFonts w:eastAsia="Calibri"/>
          <w:lang w:val="mk-MK"/>
        </w:rPr>
        <w:t>enih koncentracija rivaroksabana u plazmi kod d</w:t>
      </w:r>
      <w:r>
        <w:rPr>
          <w:rFonts w:eastAsia="Calibri"/>
          <w:lang w:val="sr-Latn-ME"/>
        </w:rPr>
        <w:t>j</w:t>
      </w:r>
      <w:r>
        <w:rPr>
          <w:rFonts w:eastAsia="Calibri"/>
          <w:lang w:val="mk-MK"/>
        </w:rPr>
        <w:t>ece). Kada se anti-Xa test koristi za kvantifikaciju</w:t>
      </w:r>
      <w:r>
        <w:rPr>
          <w:rFonts w:eastAsia="Calibri"/>
          <w:lang w:val="sr-Latn-ME"/>
        </w:rPr>
        <w:t xml:space="preserve"> </w:t>
      </w:r>
      <w:r>
        <w:rPr>
          <w:rFonts w:eastAsia="Calibri"/>
          <w:lang w:val="mk-MK"/>
        </w:rPr>
        <w:t>koncentracija rivaroksabana u plazmi kod d</w:t>
      </w:r>
      <w:r>
        <w:rPr>
          <w:rFonts w:eastAsia="Calibri"/>
          <w:lang w:val="sr-Latn-ME"/>
        </w:rPr>
        <w:t>j</w:t>
      </w:r>
      <w:r>
        <w:rPr>
          <w:rFonts w:eastAsia="Calibri"/>
          <w:lang w:val="mk-MK"/>
        </w:rPr>
        <w:t>ece mora se uzeti u obzir donji limit kvantifikacije. Nije utvr</w:t>
      </w:r>
      <w:r>
        <w:rPr>
          <w:rFonts w:eastAsia="Calibri" w:hint="eastAsia"/>
          <w:lang w:val="mk-MK"/>
        </w:rPr>
        <w:t>đ</w:t>
      </w:r>
      <w:r>
        <w:rPr>
          <w:rFonts w:eastAsia="Calibri"/>
          <w:lang w:val="mk-MK"/>
        </w:rPr>
        <w:t>en prag</w:t>
      </w:r>
      <w:r>
        <w:rPr>
          <w:rFonts w:eastAsia="Calibri"/>
          <w:lang w:val="sr-Latn-ME"/>
        </w:rPr>
        <w:t xml:space="preserve"> </w:t>
      </w:r>
      <w:r>
        <w:rPr>
          <w:rFonts w:eastAsia="Calibri"/>
          <w:lang w:val="mk-MK"/>
        </w:rPr>
        <w:t>za efikasnost ili bezb</w:t>
      </w:r>
      <w:r>
        <w:rPr>
          <w:rFonts w:eastAsia="Calibri"/>
          <w:lang w:val="sr-Latn-ME"/>
        </w:rPr>
        <w:t>j</w:t>
      </w:r>
      <w:r>
        <w:rPr>
          <w:rFonts w:eastAsia="Calibri"/>
          <w:lang w:val="mk-MK"/>
        </w:rPr>
        <w:t>ednost.</w:t>
      </w:r>
    </w:p>
    <w:p w14:paraId="2AEA1256" w14:textId="77777777" w:rsidR="00E659A5" w:rsidRDefault="00E659A5">
      <w:pPr>
        <w:widowControl w:val="0"/>
        <w:jc w:val="both"/>
        <w:rPr>
          <w:rFonts w:eastAsia="Calibri"/>
        </w:rPr>
      </w:pPr>
    </w:p>
    <w:p w14:paraId="70CE3206" w14:textId="77777777" w:rsidR="00E659A5" w:rsidRDefault="00C21592">
      <w:pPr>
        <w:pStyle w:val="Default"/>
        <w:jc w:val="both"/>
        <w:rPr>
          <w:sz w:val="22"/>
          <w:szCs w:val="22"/>
          <w:u w:val="single"/>
          <w:lang w:val="hr-HR"/>
        </w:rPr>
      </w:pPr>
      <w:r>
        <w:rPr>
          <w:sz w:val="22"/>
          <w:szCs w:val="22"/>
          <w:u w:val="single"/>
          <w:lang w:val="hr-HR"/>
        </w:rPr>
        <w:t>Klinička efikasnost i bezbjednost</w:t>
      </w:r>
    </w:p>
    <w:p w14:paraId="316206A4" w14:textId="77777777" w:rsidR="00E659A5" w:rsidRDefault="00C21592">
      <w:pPr>
        <w:pStyle w:val="Default"/>
        <w:jc w:val="both"/>
        <w:rPr>
          <w:sz w:val="22"/>
          <w:szCs w:val="22"/>
          <w:lang w:val="hr-HR"/>
        </w:rPr>
      </w:pPr>
      <w:r>
        <w:rPr>
          <w:i/>
          <w:iCs/>
          <w:sz w:val="22"/>
          <w:szCs w:val="22"/>
          <w:lang w:val="hr-HR"/>
        </w:rPr>
        <w:t>Prevencija moždanog udara i sistemske embolije kod pacijenata koji boluju od nevalvularne atrijalne fibrilacije</w:t>
      </w:r>
    </w:p>
    <w:p w14:paraId="18A5A22A" w14:textId="77777777" w:rsidR="00E659A5" w:rsidRDefault="00C21592">
      <w:pPr>
        <w:pStyle w:val="Default"/>
        <w:jc w:val="both"/>
        <w:rPr>
          <w:sz w:val="22"/>
          <w:szCs w:val="22"/>
          <w:lang w:val="hr-HR"/>
        </w:rPr>
      </w:pPr>
      <w:r>
        <w:rPr>
          <w:sz w:val="22"/>
          <w:szCs w:val="22"/>
          <w:lang w:val="hr-HR"/>
        </w:rPr>
        <w:t>Klinički program za rivaroksaban osmišljen je kako bi pokazao efikasnost rivaroksabana u prevenciji moždanog udara i sistemske embolije kod pacijenata sa nevalvularnom atrijalnom fibrilacijom.</w:t>
      </w:r>
    </w:p>
    <w:p w14:paraId="254ADDE8" w14:textId="77777777" w:rsidR="00E659A5" w:rsidRDefault="00C21592">
      <w:pPr>
        <w:pStyle w:val="Default"/>
        <w:jc w:val="both"/>
        <w:rPr>
          <w:sz w:val="22"/>
          <w:szCs w:val="22"/>
          <w:lang w:val="hr-HR"/>
        </w:rPr>
      </w:pPr>
      <w:r>
        <w:rPr>
          <w:sz w:val="22"/>
          <w:szCs w:val="22"/>
          <w:lang w:val="hr-HR"/>
        </w:rPr>
        <w:t>U pivotalnoj dvostruko slijepoj studiji ROCKET AF bilo je uključeno 14264 pacijenata koji su primali 20 mg rivaroksabana jednom dnevno (15 mg jednom dnevno kod pacijenata sa klirensom kreatinina 30-49 ml/min) ili varfarin titriran do ciljne vrijednosti INR od 2,5 (terapijski raspon od 2,0 do 3,0). Medijana vremena liječenja iznosila je 19 mjeseci, a ukupno trajanje liječenja iznosilo je najviše 41 mjesec.</w:t>
      </w:r>
    </w:p>
    <w:p w14:paraId="442FCD0C" w14:textId="77777777" w:rsidR="00E659A5" w:rsidRDefault="00C21592">
      <w:pPr>
        <w:widowControl w:val="0"/>
        <w:jc w:val="both"/>
        <w:rPr>
          <w:rFonts w:eastAsia="Calibri"/>
        </w:rPr>
      </w:pPr>
      <w:r>
        <w:t>34,9% pacijenata uzimalo je acetilsalicilnu kiselinu, a 11,4% uzimalo je antiaritmike klase III, uključujući amjodaron.</w:t>
      </w:r>
    </w:p>
    <w:p w14:paraId="78DA0EF0" w14:textId="77777777" w:rsidR="00E659A5" w:rsidRDefault="00E659A5">
      <w:pPr>
        <w:widowControl w:val="0"/>
        <w:jc w:val="both"/>
        <w:rPr>
          <w:rFonts w:eastAsia="Calibri"/>
        </w:rPr>
      </w:pPr>
    </w:p>
    <w:p w14:paraId="607BF543" w14:textId="77777777" w:rsidR="00E659A5" w:rsidRDefault="00C21592">
      <w:pPr>
        <w:pStyle w:val="Default"/>
        <w:jc w:val="both"/>
        <w:rPr>
          <w:rFonts w:ascii="Arial" w:hAnsi="Arial" w:cs="Arial"/>
          <w:sz w:val="22"/>
          <w:szCs w:val="22"/>
          <w:lang w:val="hr-HR"/>
        </w:rPr>
      </w:pPr>
      <w:r>
        <w:rPr>
          <w:sz w:val="22"/>
          <w:szCs w:val="22"/>
          <w:lang w:val="hr-HR"/>
        </w:rPr>
        <w:t>Rivaroksaban se nije pokazao inferiornim u odnosu na varfarin u primarnom zbirnom ishodu efikasnosti kod moždanog udara i ne-CNS sistemske embolije. Kod ispitanika uključenih prema protokolu ispitivanja, moždani udar ili sistemska embolija dogodila se kod 188 pacijenata na rivaroksabanu (1,71% godišnje) i 241 na varfarinu (2,16% godišnje) (HR 0,79; 95% CI, 0,66</w:t>
      </w:r>
      <w:r>
        <w:rPr>
          <w:sz w:val="22"/>
          <w:szCs w:val="22"/>
          <w:lang w:val="hr-HR" w:eastAsia="en-US"/>
        </w:rPr>
        <w:t>-</w:t>
      </w:r>
      <w:r>
        <w:rPr>
          <w:sz w:val="22"/>
          <w:szCs w:val="22"/>
          <w:lang w:val="hr-HR"/>
        </w:rPr>
        <w:t xml:space="preserve">0,96; p&lt;0,001 za neinferiornost). Među svim nasumično odabranim pacijentima koji su analizirani u skladu sa ITT (engl. </w:t>
      </w:r>
      <w:r>
        <w:rPr>
          <w:i/>
          <w:sz w:val="22"/>
          <w:szCs w:val="22"/>
          <w:lang w:val="hr-HR"/>
        </w:rPr>
        <w:t>Intention to treat</w:t>
      </w:r>
      <w:r>
        <w:rPr>
          <w:sz w:val="22"/>
          <w:szCs w:val="22"/>
          <w:lang w:val="hr-HR"/>
        </w:rPr>
        <w:t>), primarni događaji dogodili su se kod 269 pacijenata na rivaroksabanu (2,12% godišnje) i 306 na varfarinom (2,42% godišnje) (HR 0,88; 95% CI, 0,74</w:t>
      </w:r>
      <w:r>
        <w:rPr>
          <w:sz w:val="22"/>
          <w:szCs w:val="22"/>
          <w:lang w:val="hr-HR" w:eastAsia="en-US"/>
        </w:rPr>
        <w:t>-</w:t>
      </w:r>
      <w:r>
        <w:rPr>
          <w:sz w:val="22"/>
          <w:szCs w:val="22"/>
          <w:lang w:val="hr-HR"/>
        </w:rPr>
        <w:t>1,03; p&lt;0,001 za neinferiornost; p=0,117 za superiornost). Rezultati za sekundarni ishod, hijerarhijski poređani u ITT analizi, prikazani su u Tabeli 4.</w:t>
      </w:r>
    </w:p>
    <w:p w14:paraId="0E7CF0B9" w14:textId="77777777" w:rsidR="00E659A5" w:rsidRDefault="00C21592">
      <w:pPr>
        <w:pStyle w:val="Default"/>
        <w:jc w:val="both"/>
        <w:rPr>
          <w:rFonts w:ascii="Arial" w:hAnsi="Arial" w:cs="Arial"/>
          <w:sz w:val="22"/>
          <w:szCs w:val="22"/>
          <w:lang w:val="hr-HR"/>
        </w:rPr>
      </w:pPr>
      <w:r>
        <w:rPr>
          <w:sz w:val="22"/>
          <w:szCs w:val="22"/>
          <w:lang w:val="hr-HR"/>
        </w:rPr>
        <w:t xml:space="preserve">Među pacijentima u varfarinskoj grupi, INR vrijednosti su bile u terapijskom rasponu (2,0 do 3,0) </w:t>
      </w:r>
      <w:r>
        <w:rPr>
          <w:sz w:val="22"/>
          <w:szCs w:val="22"/>
          <w:lang w:val="hr-HR" w:eastAsia="en-US"/>
        </w:rPr>
        <w:t>-</w:t>
      </w:r>
      <w:r>
        <w:rPr>
          <w:sz w:val="22"/>
          <w:szCs w:val="22"/>
          <w:lang w:val="hr-HR"/>
        </w:rPr>
        <w:t xml:space="preserve"> srednja vrijednost od 55% vremena (medijana, 58%; interkvartilni raspon, 43 do 71). Efekat rivaroksabana nije se razlikovao u odnosu na nivo centra TTR (engl. </w:t>
      </w:r>
      <w:r>
        <w:rPr>
          <w:i/>
          <w:sz w:val="22"/>
          <w:szCs w:val="22"/>
          <w:lang w:val="hr-HR"/>
        </w:rPr>
        <w:t>Time in Target INR Range</w:t>
      </w:r>
      <w:r>
        <w:rPr>
          <w:sz w:val="22"/>
          <w:szCs w:val="22"/>
          <w:lang w:val="hr-HR"/>
        </w:rPr>
        <w:t xml:space="preserve">) od 2,0-3,0 u kvartilima podjednake veličine (p=0,74 za interakciju). Unutar najvišeg kvartila prema centru, odnos rizika (engl. </w:t>
      </w:r>
      <w:r>
        <w:rPr>
          <w:i/>
          <w:sz w:val="22"/>
          <w:szCs w:val="22"/>
          <w:lang w:val="hr-HR"/>
        </w:rPr>
        <w:t>hazard ratio</w:t>
      </w:r>
      <w:r>
        <w:rPr>
          <w:sz w:val="22"/>
          <w:szCs w:val="22"/>
          <w:lang w:val="hr-HR"/>
        </w:rPr>
        <w:t>) sa rivaroksabanom u odnosu na varfarin iznosio je 0,74 (95% CI, 0,49 do 1,12).</w:t>
      </w:r>
    </w:p>
    <w:p w14:paraId="6A2B9377" w14:textId="77777777" w:rsidR="00E659A5" w:rsidRDefault="00C21592">
      <w:pPr>
        <w:widowControl w:val="0"/>
        <w:jc w:val="both"/>
        <w:rPr>
          <w:rFonts w:eastAsia="Calibri"/>
        </w:rPr>
      </w:pPr>
      <w:r>
        <w:t>Stope učestalosti za glavni bezbjednosni ishod (velika krvarenja ili klinički relevantni krvarenja koja nisu klasifikovana kao velika) su bile slične za obje terapijske grupe (vidjeti Tabelu 5).</w:t>
      </w:r>
    </w:p>
    <w:p w14:paraId="24C52728" w14:textId="77777777" w:rsidR="00E659A5" w:rsidRDefault="00E659A5">
      <w:pPr>
        <w:widowControl w:val="0"/>
        <w:jc w:val="both"/>
        <w:rPr>
          <w:rFonts w:eastAsia="Calibri"/>
        </w:rPr>
      </w:pPr>
    </w:p>
    <w:p w14:paraId="3A7BE4BA" w14:textId="77777777" w:rsidR="00E659A5" w:rsidRDefault="00C21592">
      <w:pPr>
        <w:widowControl w:val="0"/>
        <w:ind w:right="-20"/>
        <w:jc w:val="both"/>
      </w:pPr>
      <w:r>
        <w:rPr>
          <w:b/>
          <w:bCs/>
        </w:rPr>
        <w:t>Tabela 4: Rezultati efikasnosti iz ispitivanja faze III ROCKET AF</w:t>
      </w:r>
    </w:p>
    <w:tbl>
      <w:tblPr>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693"/>
        <w:gridCol w:w="2409"/>
        <w:gridCol w:w="2191"/>
      </w:tblGrid>
      <w:tr w:rsidR="00E659A5" w14:paraId="539C6186" w14:textId="77777777">
        <w:tc>
          <w:tcPr>
            <w:tcW w:w="1173" w:type="pct"/>
            <w:shd w:val="clear" w:color="auto" w:fill="auto"/>
            <w:hideMark/>
          </w:tcPr>
          <w:p w14:paraId="3E027A14" w14:textId="77777777" w:rsidR="00E659A5" w:rsidRDefault="00C21592">
            <w:pPr>
              <w:pStyle w:val="Default"/>
              <w:jc w:val="both"/>
              <w:rPr>
                <w:b/>
                <w:sz w:val="22"/>
                <w:szCs w:val="22"/>
                <w:lang w:val="hr-HR"/>
              </w:rPr>
            </w:pPr>
            <w:r>
              <w:rPr>
                <w:b/>
                <w:sz w:val="22"/>
                <w:szCs w:val="22"/>
                <w:lang w:val="hr-HR"/>
              </w:rPr>
              <w:t>Populacija u studiji</w:t>
            </w:r>
          </w:p>
        </w:tc>
        <w:tc>
          <w:tcPr>
            <w:tcW w:w="3827" w:type="pct"/>
            <w:gridSpan w:val="3"/>
            <w:shd w:val="clear" w:color="auto" w:fill="auto"/>
            <w:hideMark/>
          </w:tcPr>
          <w:p w14:paraId="00122830" w14:textId="77777777" w:rsidR="00E659A5" w:rsidRDefault="00C21592">
            <w:pPr>
              <w:pStyle w:val="Default"/>
              <w:jc w:val="both"/>
              <w:rPr>
                <w:b/>
                <w:sz w:val="22"/>
                <w:szCs w:val="22"/>
                <w:lang w:val="hr-HR"/>
              </w:rPr>
            </w:pPr>
            <w:r>
              <w:rPr>
                <w:b/>
                <w:sz w:val="22"/>
                <w:szCs w:val="22"/>
                <w:lang w:val="hr-HR"/>
              </w:rPr>
              <w:t>ITT analize efikasnosti kod pacijenata sa nevalvularnom atrijalnom fibrilacijom</w:t>
            </w:r>
          </w:p>
        </w:tc>
      </w:tr>
      <w:tr w:rsidR="00E659A5" w14:paraId="103F487D" w14:textId="77777777">
        <w:tc>
          <w:tcPr>
            <w:tcW w:w="1173" w:type="pct"/>
            <w:shd w:val="clear" w:color="auto" w:fill="auto"/>
            <w:hideMark/>
          </w:tcPr>
          <w:p w14:paraId="31563257" w14:textId="77777777" w:rsidR="00E659A5" w:rsidRDefault="00C21592">
            <w:pPr>
              <w:jc w:val="both"/>
              <w:rPr>
                <w:color w:val="000000"/>
              </w:rPr>
            </w:pPr>
            <w:r>
              <w:rPr>
                <w:b/>
                <w:bCs/>
                <w:color w:val="000000"/>
              </w:rPr>
              <w:t>Terapijska doza</w:t>
            </w:r>
          </w:p>
        </w:tc>
        <w:tc>
          <w:tcPr>
            <w:tcW w:w="1413" w:type="pct"/>
            <w:shd w:val="clear" w:color="auto" w:fill="auto"/>
            <w:hideMark/>
          </w:tcPr>
          <w:p w14:paraId="52D600DB" w14:textId="77777777" w:rsidR="00E659A5" w:rsidRDefault="00C21592">
            <w:pPr>
              <w:jc w:val="both"/>
              <w:rPr>
                <w:color w:val="000000"/>
              </w:rPr>
            </w:pPr>
            <w:r>
              <w:rPr>
                <w:b/>
                <w:bCs/>
                <w:color w:val="000000"/>
              </w:rPr>
              <w:t>Rivaroksaban</w:t>
            </w:r>
          </w:p>
          <w:p w14:paraId="76EBB5CF" w14:textId="77777777" w:rsidR="00E659A5" w:rsidRDefault="00C21592">
            <w:pPr>
              <w:jc w:val="both"/>
              <w:rPr>
                <w:color w:val="000000"/>
              </w:rPr>
            </w:pPr>
            <w:r>
              <w:rPr>
                <w:b/>
                <w:bCs/>
                <w:color w:val="000000"/>
              </w:rPr>
              <w:t>20 mg jednom dnevno</w:t>
            </w:r>
          </w:p>
          <w:p w14:paraId="4BAAC7C0" w14:textId="77777777" w:rsidR="00E659A5" w:rsidRDefault="00C21592">
            <w:pPr>
              <w:jc w:val="both"/>
              <w:rPr>
                <w:color w:val="000000"/>
              </w:rPr>
            </w:pPr>
            <w:r>
              <w:rPr>
                <w:b/>
                <w:bCs/>
                <w:color w:val="000000"/>
              </w:rPr>
              <w:t>(15 mg jednom dnevno kod pacijenata sa umjerenim oštećenjem funkcije bubrega)</w:t>
            </w:r>
          </w:p>
          <w:p w14:paraId="71BDECD6" w14:textId="77777777" w:rsidR="00E659A5" w:rsidRDefault="00C21592">
            <w:pPr>
              <w:jc w:val="both"/>
              <w:rPr>
                <w:color w:val="000000"/>
              </w:rPr>
            </w:pPr>
            <w:r>
              <w:rPr>
                <w:b/>
                <w:bCs/>
                <w:color w:val="000000"/>
              </w:rPr>
              <w:t>Stopa događaja (100 pacijent-godina)</w:t>
            </w:r>
          </w:p>
        </w:tc>
        <w:tc>
          <w:tcPr>
            <w:tcW w:w="1264" w:type="pct"/>
            <w:shd w:val="clear" w:color="auto" w:fill="auto"/>
            <w:hideMark/>
          </w:tcPr>
          <w:p w14:paraId="1E33B0A6" w14:textId="77777777" w:rsidR="00E659A5" w:rsidRDefault="00C21592">
            <w:pPr>
              <w:jc w:val="both"/>
              <w:rPr>
                <w:color w:val="000000"/>
              </w:rPr>
            </w:pPr>
            <w:r>
              <w:rPr>
                <w:b/>
                <w:bCs/>
                <w:color w:val="000000"/>
              </w:rPr>
              <w:t>Varfarin</w:t>
            </w:r>
          </w:p>
          <w:p w14:paraId="400CA127" w14:textId="77777777" w:rsidR="00E659A5" w:rsidRDefault="00C21592">
            <w:pPr>
              <w:jc w:val="both"/>
              <w:rPr>
                <w:color w:val="000000"/>
              </w:rPr>
            </w:pPr>
            <w:r>
              <w:rPr>
                <w:b/>
                <w:bCs/>
                <w:color w:val="000000"/>
              </w:rPr>
              <w:t>titriran do ciljnog INR od 2,5 (terapijski raspon od 2,0 do 3,0)</w:t>
            </w:r>
          </w:p>
          <w:p w14:paraId="3F8F2EA2" w14:textId="77777777" w:rsidR="00E659A5" w:rsidRDefault="00E659A5">
            <w:pPr>
              <w:jc w:val="both"/>
              <w:rPr>
                <w:b/>
                <w:bCs/>
                <w:color w:val="000000"/>
              </w:rPr>
            </w:pPr>
          </w:p>
          <w:p w14:paraId="72FCD20B" w14:textId="77777777" w:rsidR="00E659A5" w:rsidRDefault="00C21592">
            <w:pPr>
              <w:jc w:val="both"/>
              <w:rPr>
                <w:color w:val="000000"/>
              </w:rPr>
            </w:pPr>
            <w:r>
              <w:rPr>
                <w:b/>
                <w:bCs/>
                <w:color w:val="000000"/>
              </w:rPr>
              <w:t>Stopa događaja (100 pacijent-godina)</w:t>
            </w:r>
          </w:p>
        </w:tc>
        <w:tc>
          <w:tcPr>
            <w:tcW w:w="1150" w:type="pct"/>
            <w:shd w:val="clear" w:color="auto" w:fill="auto"/>
            <w:hideMark/>
          </w:tcPr>
          <w:p w14:paraId="6812DDFD" w14:textId="77777777" w:rsidR="00E659A5" w:rsidRDefault="00C21592">
            <w:pPr>
              <w:jc w:val="both"/>
              <w:rPr>
                <w:color w:val="000000"/>
              </w:rPr>
            </w:pPr>
            <w:r>
              <w:rPr>
                <w:b/>
                <w:bCs/>
                <w:color w:val="000000"/>
              </w:rPr>
              <w:t>Odnos rizika (95% CI)</w:t>
            </w:r>
          </w:p>
          <w:p w14:paraId="36DB25A0" w14:textId="77777777" w:rsidR="00E659A5" w:rsidRDefault="00C21592">
            <w:pPr>
              <w:jc w:val="both"/>
              <w:rPr>
                <w:color w:val="000000"/>
              </w:rPr>
            </w:pPr>
            <w:r>
              <w:rPr>
                <w:b/>
                <w:bCs/>
                <w:color w:val="000000"/>
              </w:rPr>
              <w:t>p-vrijednost, test superiornosti</w:t>
            </w:r>
          </w:p>
        </w:tc>
      </w:tr>
      <w:tr w:rsidR="00E659A5" w14:paraId="7230137E" w14:textId="77777777">
        <w:tc>
          <w:tcPr>
            <w:tcW w:w="1173" w:type="pct"/>
            <w:shd w:val="clear" w:color="auto" w:fill="auto"/>
            <w:hideMark/>
          </w:tcPr>
          <w:p w14:paraId="66CCA352" w14:textId="77777777" w:rsidR="00E659A5" w:rsidRDefault="00C21592">
            <w:pPr>
              <w:pStyle w:val="Default"/>
              <w:jc w:val="both"/>
              <w:rPr>
                <w:sz w:val="22"/>
                <w:szCs w:val="22"/>
                <w:lang w:val="hr-HR"/>
              </w:rPr>
            </w:pPr>
            <w:r>
              <w:rPr>
                <w:sz w:val="22"/>
                <w:szCs w:val="22"/>
                <w:lang w:val="hr-HR"/>
              </w:rPr>
              <w:lastRenderedPageBreak/>
              <w:t xml:space="preserve">Moždani udar i ne-CNS sistemska embolija </w:t>
            </w:r>
          </w:p>
        </w:tc>
        <w:tc>
          <w:tcPr>
            <w:tcW w:w="1413" w:type="pct"/>
            <w:shd w:val="clear" w:color="auto" w:fill="auto"/>
            <w:hideMark/>
          </w:tcPr>
          <w:p w14:paraId="53A27EAB" w14:textId="77777777" w:rsidR="00E659A5" w:rsidRDefault="00C21592">
            <w:pPr>
              <w:jc w:val="both"/>
              <w:rPr>
                <w:color w:val="000000"/>
              </w:rPr>
            </w:pPr>
            <w:r>
              <w:rPr>
                <w:color w:val="000000"/>
              </w:rPr>
              <w:t>269</w:t>
            </w:r>
          </w:p>
          <w:p w14:paraId="1BE245F5" w14:textId="77777777" w:rsidR="00E659A5" w:rsidRDefault="00C21592">
            <w:pPr>
              <w:jc w:val="both"/>
              <w:rPr>
                <w:color w:val="000000"/>
              </w:rPr>
            </w:pPr>
            <w:r>
              <w:rPr>
                <w:color w:val="000000"/>
              </w:rPr>
              <w:t>(2,12)</w:t>
            </w:r>
          </w:p>
        </w:tc>
        <w:tc>
          <w:tcPr>
            <w:tcW w:w="1264" w:type="pct"/>
            <w:shd w:val="clear" w:color="auto" w:fill="auto"/>
            <w:hideMark/>
          </w:tcPr>
          <w:p w14:paraId="52A287B1" w14:textId="77777777" w:rsidR="00E659A5" w:rsidRDefault="00C21592">
            <w:pPr>
              <w:jc w:val="both"/>
              <w:rPr>
                <w:color w:val="000000"/>
              </w:rPr>
            </w:pPr>
            <w:r>
              <w:rPr>
                <w:color w:val="000000"/>
              </w:rPr>
              <w:t>306</w:t>
            </w:r>
          </w:p>
          <w:p w14:paraId="403C7A47" w14:textId="77777777" w:rsidR="00E659A5" w:rsidRDefault="00C21592">
            <w:pPr>
              <w:jc w:val="both"/>
              <w:rPr>
                <w:color w:val="000000"/>
              </w:rPr>
            </w:pPr>
            <w:r>
              <w:rPr>
                <w:color w:val="000000"/>
              </w:rPr>
              <w:t>(2,42)</w:t>
            </w:r>
          </w:p>
        </w:tc>
        <w:tc>
          <w:tcPr>
            <w:tcW w:w="1150" w:type="pct"/>
            <w:shd w:val="clear" w:color="auto" w:fill="auto"/>
            <w:hideMark/>
          </w:tcPr>
          <w:p w14:paraId="6B2BBBA0" w14:textId="77777777" w:rsidR="00E659A5" w:rsidRDefault="00C21592">
            <w:pPr>
              <w:jc w:val="both"/>
              <w:rPr>
                <w:color w:val="000000"/>
              </w:rPr>
            </w:pPr>
            <w:r>
              <w:rPr>
                <w:color w:val="000000"/>
              </w:rPr>
              <w:t>0.88</w:t>
            </w:r>
          </w:p>
          <w:p w14:paraId="07C9CE0F" w14:textId="77777777" w:rsidR="00E659A5" w:rsidRDefault="00C21592">
            <w:pPr>
              <w:jc w:val="both"/>
              <w:rPr>
                <w:color w:val="000000"/>
              </w:rPr>
            </w:pPr>
            <w:r>
              <w:rPr>
                <w:color w:val="000000"/>
              </w:rPr>
              <w:t>(0,74 – 1,03)</w:t>
            </w:r>
          </w:p>
          <w:p w14:paraId="63F2BC56" w14:textId="77777777" w:rsidR="00E659A5" w:rsidRDefault="00C21592">
            <w:pPr>
              <w:jc w:val="both"/>
              <w:rPr>
                <w:color w:val="000000"/>
              </w:rPr>
            </w:pPr>
            <w:r>
              <w:rPr>
                <w:color w:val="000000"/>
              </w:rPr>
              <w:t>0,117</w:t>
            </w:r>
          </w:p>
        </w:tc>
      </w:tr>
      <w:tr w:rsidR="00E659A5" w14:paraId="1905EF03" w14:textId="77777777">
        <w:tc>
          <w:tcPr>
            <w:tcW w:w="1173" w:type="pct"/>
            <w:shd w:val="clear" w:color="auto" w:fill="auto"/>
            <w:hideMark/>
          </w:tcPr>
          <w:p w14:paraId="3968CA53" w14:textId="77777777" w:rsidR="00E659A5" w:rsidRDefault="00C21592">
            <w:pPr>
              <w:pStyle w:val="Default"/>
              <w:jc w:val="both"/>
              <w:rPr>
                <w:sz w:val="22"/>
                <w:szCs w:val="22"/>
                <w:lang w:val="hr-HR"/>
              </w:rPr>
            </w:pPr>
            <w:r>
              <w:rPr>
                <w:sz w:val="22"/>
                <w:szCs w:val="22"/>
                <w:lang w:val="hr-HR"/>
              </w:rPr>
              <w:t>Moždani udar, ne-CNS sistemska embolija i smrt uzrokovana vaskularnim komplikacijama</w:t>
            </w:r>
          </w:p>
        </w:tc>
        <w:tc>
          <w:tcPr>
            <w:tcW w:w="1413" w:type="pct"/>
            <w:shd w:val="clear" w:color="auto" w:fill="auto"/>
            <w:hideMark/>
          </w:tcPr>
          <w:p w14:paraId="0426AE3E" w14:textId="77777777" w:rsidR="00E659A5" w:rsidRDefault="00C21592">
            <w:pPr>
              <w:jc w:val="both"/>
              <w:rPr>
                <w:color w:val="000000"/>
              </w:rPr>
            </w:pPr>
            <w:r>
              <w:rPr>
                <w:color w:val="000000"/>
              </w:rPr>
              <w:t>572</w:t>
            </w:r>
          </w:p>
          <w:p w14:paraId="5AF73D10" w14:textId="77777777" w:rsidR="00E659A5" w:rsidRDefault="00C21592">
            <w:pPr>
              <w:jc w:val="both"/>
              <w:rPr>
                <w:color w:val="000000"/>
              </w:rPr>
            </w:pPr>
            <w:r>
              <w:rPr>
                <w:color w:val="000000"/>
              </w:rPr>
              <w:t>(4,51)</w:t>
            </w:r>
          </w:p>
        </w:tc>
        <w:tc>
          <w:tcPr>
            <w:tcW w:w="1264" w:type="pct"/>
            <w:shd w:val="clear" w:color="auto" w:fill="auto"/>
            <w:hideMark/>
          </w:tcPr>
          <w:p w14:paraId="59EE8606" w14:textId="77777777" w:rsidR="00E659A5" w:rsidRDefault="00C21592">
            <w:pPr>
              <w:jc w:val="both"/>
              <w:rPr>
                <w:color w:val="000000"/>
              </w:rPr>
            </w:pPr>
            <w:r>
              <w:rPr>
                <w:color w:val="000000"/>
              </w:rPr>
              <w:t>609</w:t>
            </w:r>
          </w:p>
          <w:p w14:paraId="2E986DA5" w14:textId="77777777" w:rsidR="00E659A5" w:rsidRDefault="00C21592">
            <w:pPr>
              <w:jc w:val="both"/>
              <w:rPr>
                <w:color w:val="000000"/>
              </w:rPr>
            </w:pPr>
            <w:r>
              <w:rPr>
                <w:color w:val="000000"/>
              </w:rPr>
              <w:t>(4,81)</w:t>
            </w:r>
          </w:p>
        </w:tc>
        <w:tc>
          <w:tcPr>
            <w:tcW w:w="1150" w:type="pct"/>
            <w:shd w:val="clear" w:color="auto" w:fill="auto"/>
            <w:hideMark/>
          </w:tcPr>
          <w:p w14:paraId="28B32823" w14:textId="77777777" w:rsidR="00E659A5" w:rsidRDefault="00C21592">
            <w:pPr>
              <w:jc w:val="both"/>
              <w:rPr>
                <w:color w:val="000000"/>
              </w:rPr>
            </w:pPr>
            <w:r>
              <w:rPr>
                <w:color w:val="000000"/>
              </w:rPr>
              <w:t>0.94</w:t>
            </w:r>
          </w:p>
          <w:p w14:paraId="7C178E58" w14:textId="77777777" w:rsidR="00E659A5" w:rsidRDefault="00C21592">
            <w:pPr>
              <w:jc w:val="both"/>
              <w:rPr>
                <w:color w:val="000000"/>
              </w:rPr>
            </w:pPr>
            <w:r>
              <w:rPr>
                <w:color w:val="000000"/>
              </w:rPr>
              <w:t>(0,84 – 1,05)</w:t>
            </w:r>
          </w:p>
          <w:p w14:paraId="2EBCB8AF" w14:textId="77777777" w:rsidR="00E659A5" w:rsidRDefault="00C21592">
            <w:pPr>
              <w:jc w:val="both"/>
              <w:rPr>
                <w:color w:val="000000"/>
              </w:rPr>
            </w:pPr>
            <w:r>
              <w:rPr>
                <w:color w:val="000000"/>
              </w:rPr>
              <w:t>0,265</w:t>
            </w:r>
          </w:p>
        </w:tc>
      </w:tr>
      <w:tr w:rsidR="00E659A5" w14:paraId="6A0D8E53" w14:textId="77777777">
        <w:tc>
          <w:tcPr>
            <w:tcW w:w="1173" w:type="pct"/>
            <w:shd w:val="clear" w:color="auto" w:fill="auto"/>
            <w:hideMark/>
          </w:tcPr>
          <w:p w14:paraId="13AF0CFA" w14:textId="77777777" w:rsidR="00E659A5" w:rsidRDefault="00C21592">
            <w:pPr>
              <w:pStyle w:val="Default"/>
              <w:jc w:val="both"/>
              <w:rPr>
                <w:sz w:val="22"/>
                <w:szCs w:val="22"/>
                <w:lang w:val="hr-HR"/>
              </w:rPr>
            </w:pPr>
            <w:r>
              <w:rPr>
                <w:sz w:val="22"/>
                <w:szCs w:val="22"/>
                <w:lang w:val="hr-HR"/>
              </w:rPr>
              <w:t>Moždani udar, ne-CNS sistemska embolija, smrt uzrokovana vaskularnim komplikacijama i infarkt miokarda</w:t>
            </w:r>
          </w:p>
        </w:tc>
        <w:tc>
          <w:tcPr>
            <w:tcW w:w="1413" w:type="pct"/>
            <w:shd w:val="clear" w:color="auto" w:fill="auto"/>
            <w:hideMark/>
          </w:tcPr>
          <w:p w14:paraId="3D917FDA" w14:textId="77777777" w:rsidR="00E659A5" w:rsidRDefault="00C21592">
            <w:pPr>
              <w:jc w:val="both"/>
              <w:rPr>
                <w:color w:val="000000"/>
              </w:rPr>
            </w:pPr>
            <w:r>
              <w:rPr>
                <w:color w:val="000000"/>
              </w:rPr>
              <w:t>659</w:t>
            </w:r>
          </w:p>
          <w:p w14:paraId="11E2AE68" w14:textId="77777777" w:rsidR="00E659A5" w:rsidRDefault="00C21592">
            <w:pPr>
              <w:jc w:val="both"/>
              <w:rPr>
                <w:color w:val="000000"/>
              </w:rPr>
            </w:pPr>
            <w:r>
              <w:rPr>
                <w:color w:val="000000"/>
              </w:rPr>
              <w:t>(5,24)</w:t>
            </w:r>
          </w:p>
        </w:tc>
        <w:tc>
          <w:tcPr>
            <w:tcW w:w="1264" w:type="pct"/>
            <w:shd w:val="clear" w:color="auto" w:fill="auto"/>
            <w:hideMark/>
          </w:tcPr>
          <w:p w14:paraId="404987F3" w14:textId="77777777" w:rsidR="00E659A5" w:rsidRDefault="00C21592">
            <w:pPr>
              <w:jc w:val="both"/>
              <w:rPr>
                <w:color w:val="000000"/>
              </w:rPr>
            </w:pPr>
            <w:r>
              <w:rPr>
                <w:color w:val="000000"/>
              </w:rPr>
              <w:t>709</w:t>
            </w:r>
          </w:p>
          <w:p w14:paraId="5FF149A5" w14:textId="77777777" w:rsidR="00E659A5" w:rsidRDefault="00C21592">
            <w:pPr>
              <w:jc w:val="both"/>
              <w:rPr>
                <w:color w:val="000000"/>
              </w:rPr>
            </w:pPr>
            <w:r>
              <w:rPr>
                <w:color w:val="000000"/>
              </w:rPr>
              <w:t>(5,65)</w:t>
            </w:r>
          </w:p>
        </w:tc>
        <w:tc>
          <w:tcPr>
            <w:tcW w:w="1150" w:type="pct"/>
            <w:shd w:val="clear" w:color="auto" w:fill="auto"/>
            <w:hideMark/>
          </w:tcPr>
          <w:p w14:paraId="46A32D03" w14:textId="77777777" w:rsidR="00E659A5" w:rsidRDefault="00C21592">
            <w:pPr>
              <w:jc w:val="both"/>
              <w:rPr>
                <w:color w:val="000000"/>
              </w:rPr>
            </w:pPr>
            <w:r>
              <w:rPr>
                <w:color w:val="000000"/>
              </w:rPr>
              <w:t>0.93</w:t>
            </w:r>
          </w:p>
          <w:p w14:paraId="7D029F68" w14:textId="77777777" w:rsidR="00E659A5" w:rsidRDefault="00C21592">
            <w:pPr>
              <w:jc w:val="both"/>
              <w:rPr>
                <w:color w:val="000000"/>
              </w:rPr>
            </w:pPr>
            <w:r>
              <w:rPr>
                <w:color w:val="000000"/>
              </w:rPr>
              <w:t>(0,83 – 1,03)</w:t>
            </w:r>
          </w:p>
          <w:p w14:paraId="68AA5862" w14:textId="77777777" w:rsidR="00E659A5" w:rsidRDefault="00C21592">
            <w:pPr>
              <w:jc w:val="both"/>
              <w:rPr>
                <w:color w:val="000000"/>
              </w:rPr>
            </w:pPr>
            <w:r>
              <w:rPr>
                <w:color w:val="000000"/>
              </w:rPr>
              <w:t>0,158</w:t>
            </w:r>
          </w:p>
        </w:tc>
      </w:tr>
      <w:tr w:rsidR="00E659A5" w14:paraId="60DA02B2" w14:textId="77777777">
        <w:tc>
          <w:tcPr>
            <w:tcW w:w="1173" w:type="pct"/>
            <w:shd w:val="clear" w:color="auto" w:fill="auto"/>
            <w:hideMark/>
          </w:tcPr>
          <w:p w14:paraId="251A077B" w14:textId="77777777" w:rsidR="00E659A5" w:rsidRDefault="00C21592">
            <w:pPr>
              <w:ind w:left="567"/>
              <w:jc w:val="both"/>
              <w:rPr>
                <w:color w:val="000000"/>
                <w:lang w:val="en-US"/>
              </w:rPr>
            </w:pPr>
            <w:r>
              <w:rPr>
                <w:color w:val="000000"/>
                <w:lang w:val="en-US"/>
              </w:rPr>
              <w:t>Moždani udar</w:t>
            </w:r>
          </w:p>
        </w:tc>
        <w:tc>
          <w:tcPr>
            <w:tcW w:w="1413" w:type="pct"/>
            <w:shd w:val="clear" w:color="auto" w:fill="auto"/>
            <w:hideMark/>
          </w:tcPr>
          <w:p w14:paraId="729DC0CA" w14:textId="77777777" w:rsidR="00E659A5" w:rsidRDefault="00C21592">
            <w:pPr>
              <w:jc w:val="both"/>
              <w:rPr>
                <w:color w:val="000000"/>
              </w:rPr>
            </w:pPr>
            <w:r>
              <w:rPr>
                <w:color w:val="000000"/>
              </w:rPr>
              <w:t>253</w:t>
            </w:r>
          </w:p>
          <w:p w14:paraId="28F9EDAF" w14:textId="77777777" w:rsidR="00E659A5" w:rsidRDefault="00C21592">
            <w:pPr>
              <w:jc w:val="both"/>
              <w:rPr>
                <w:color w:val="000000"/>
              </w:rPr>
            </w:pPr>
            <w:r>
              <w:rPr>
                <w:color w:val="000000"/>
              </w:rPr>
              <w:t>(1,99)</w:t>
            </w:r>
          </w:p>
        </w:tc>
        <w:tc>
          <w:tcPr>
            <w:tcW w:w="1264" w:type="pct"/>
            <w:shd w:val="clear" w:color="auto" w:fill="auto"/>
            <w:hideMark/>
          </w:tcPr>
          <w:p w14:paraId="1720266C" w14:textId="77777777" w:rsidR="00E659A5" w:rsidRDefault="00C21592">
            <w:pPr>
              <w:jc w:val="both"/>
              <w:rPr>
                <w:color w:val="000000"/>
              </w:rPr>
            </w:pPr>
            <w:r>
              <w:rPr>
                <w:color w:val="000000"/>
              </w:rPr>
              <w:t>281</w:t>
            </w:r>
          </w:p>
          <w:p w14:paraId="476EBA87" w14:textId="77777777" w:rsidR="00E659A5" w:rsidRDefault="00C21592">
            <w:pPr>
              <w:jc w:val="both"/>
              <w:rPr>
                <w:color w:val="000000"/>
              </w:rPr>
            </w:pPr>
            <w:r>
              <w:rPr>
                <w:color w:val="000000"/>
              </w:rPr>
              <w:t>(2,22)</w:t>
            </w:r>
          </w:p>
        </w:tc>
        <w:tc>
          <w:tcPr>
            <w:tcW w:w="1150" w:type="pct"/>
            <w:shd w:val="clear" w:color="auto" w:fill="auto"/>
            <w:hideMark/>
          </w:tcPr>
          <w:p w14:paraId="7DF696D8" w14:textId="77777777" w:rsidR="00E659A5" w:rsidRDefault="00C21592">
            <w:pPr>
              <w:jc w:val="both"/>
              <w:rPr>
                <w:color w:val="000000"/>
              </w:rPr>
            </w:pPr>
            <w:r>
              <w:rPr>
                <w:color w:val="000000"/>
              </w:rPr>
              <w:t>0.90</w:t>
            </w:r>
          </w:p>
          <w:p w14:paraId="7805D972" w14:textId="77777777" w:rsidR="00E659A5" w:rsidRDefault="00C21592">
            <w:pPr>
              <w:jc w:val="both"/>
              <w:rPr>
                <w:color w:val="000000"/>
              </w:rPr>
            </w:pPr>
            <w:r>
              <w:rPr>
                <w:color w:val="000000"/>
              </w:rPr>
              <w:t>(0,76 – 1,07)</w:t>
            </w:r>
          </w:p>
          <w:p w14:paraId="1373E9B8" w14:textId="77777777" w:rsidR="00E659A5" w:rsidRDefault="00C21592">
            <w:pPr>
              <w:jc w:val="both"/>
              <w:rPr>
                <w:color w:val="000000"/>
              </w:rPr>
            </w:pPr>
            <w:r>
              <w:rPr>
                <w:color w:val="000000"/>
              </w:rPr>
              <w:t>0,221</w:t>
            </w:r>
          </w:p>
        </w:tc>
      </w:tr>
      <w:tr w:rsidR="00E659A5" w14:paraId="6C26200A" w14:textId="77777777">
        <w:tc>
          <w:tcPr>
            <w:tcW w:w="1173" w:type="pct"/>
            <w:shd w:val="clear" w:color="auto" w:fill="auto"/>
            <w:hideMark/>
          </w:tcPr>
          <w:p w14:paraId="26A6521D" w14:textId="77777777" w:rsidR="00E659A5" w:rsidRDefault="00C21592">
            <w:pPr>
              <w:ind w:left="567"/>
              <w:jc w:val="both"/>
              <w:rPr>
                <w:color w:val="000000"/>
              </w:rPr>
            </w:pPr>
            <w:r>
              <w:t xml:space="preserve">Ne-CNS sistemska embolija </w:t>
            </w:r>
          </w:p>
        </w:tc>
        <w:tc>
          <w:tcPr>
            <w:tcW w:w="1413" w:type="pct"/>
            <w:shd w:val="clear" w:color="auto" w:fill="auto"/>
            <w:hideMark/>
          </w:tcPr>
          <w:p w14:paraId="55A8E824" w14:textId="77777777" w:rsidR="00E659A5" w:rsidRDefault="00C21592">
            <w:pPr>
              <w:jc w:val="both"/>
              <w:rPr>
                <w:color w:val="000000"/>
              </w:rPr>
            </w:pPr>
            <w:r>
              <w:rPr>
                <w:color w:val="000000"/>
              </w:rPr>
              <w:t>20</w:t>
            </w:r>
          </w:p>
          <w:p w14:paraId="4BDEA377" w14:textId="77777777" w:rsidR="00E659A5" w:rsidRDefault="00C21592">
            <w:pPr>
              <w:jc w:val="both"/>
              <w:rPr>
                <w:color w:val="000000"/>
              </w:rPr>
            </w:pPr>
            <w:r>
              <w:rPr>
                <w:color w:val="000000"/>
              </w:rPr>
              <w:t>(0,16)</w:t>
            </w:r>
          </w:p>
        </w:tc>
        <w:tc>
          <w:tcPr>
            <w:tcW w:w="1264" w:type="pct"/>
            <w:shd w:val="clear" w:color="auto" w:fill="auto"/>
            <w:hideMark/>
          </w:tcPr>
          <w:p w14:paraId="3731E5C5" w14:textId="77777777" w:rsidR="00E659A5" w:rsidRDefault="00C21592">
            <w:pPr>
              <w:jc w:val="both"/>
              <w:rPr>
                <w:color w:val="000000"/>
              </w:rPr>
            </w:pPr>
            <w:r>
              <w:rPr>
                <w:color w:val="000000"/>
              </w:rPr>
              <w:t>27</w:t>
            </w:r>
          </w:p>
          <w:p w14:paraId="104892BB" w14:textId="77777777" w:rsidR="00E659A5" w:rsidRDefault="00C21592">
            <w:pPr>
              <w:jc w:val="both"/>
              <w:rPr>
                <w:color w:val="000000"/>
              </w:rPr>
            </w:pPr>
            <w:r>
              <w:rPr>
                <w:color w:val="000000"/>
              </w:rPr>
              <w:t>(0,21)</w:t>
            </w:r>
          </w:p>
        </w:tc>
        <w:tc>
          <w:tcPr>
            <w:tcW w:w="1150" w:type="pct"/>
            <w:shd w:val="clear" w:color="auto" w:fill="auto"/>
            <w:hideMark/>
          </w:tcPr>
          <w:p w14:paraId="4B31D372" w14:textId="77777777" w:rsidR="00E659A5" w:rsidRDefault="00C21592">
            <w:pPr>
              <w:jc w:val="both"/>
              <w:rPr>
                <w:color w:val="000000"/>
              </w:rPr>
            </w:pPr>
            <w:r>
              <w:rPr>
                <w:color w:val="000000"/>
              </w:rPr>
              <w:t>0.74</w:t>
            </w:r>
          </w:p>
          <w:p w14:paraId="51898924" w14:textId="77777777" w:rsidR="00E659A5" w:rsidRDefault="00C21592">
            <w:pPr>
              <w:jc w:val="both"/>
              <w:rPr>
                <w:color w:val="000000"/>
              </w:rPr>
            </w:pPr>
            <w:r>
              <w:rPr>
                <w:color w:val="000000"/>
              </w:rPr>
              <w:t>(0,42 – 1,32)</w:t>
            </w:r>
          </w:p>
          <w:p w14:paraId="245F03EB" w14:textId="77777777" w:rsidR="00E659A5" w:rsidRDefault="00C21592">
            <w:pPr>
              <w:jc w:val="both"/>
              <w:rPr>
                <w:color w:val="000000"/>
              </w:rPr>
            </w:pPr>
            <w:r>
              <w:rPr>
                <w:color w:val="000000"/>
              </w:rPr>
              <w:t>0,308</w:t>
            </w:r>
          </w:p>
        </w:tc>
      </w:tr>
      <w:tr w:rsidR="00E659A5" w14:paraId="13EBA426" w14:textId="77777777">
        <w:tc>
          <w:tcPr>
            <w:tcW w:w="1173" w:type="pct"/>
            <w:shd w:val="clear" w:color="auto" w:fill="auto"/>
            <w:hideMark/>
          </w:tcPr>
          <w:p w14:paraId="0DA81F64" w14:textId="77777777" w:rsidR="00E659A5" w:rsidRDefault="00C21592">
            <w:pPr>
              <w:pStyle w:val="Default"/>
              <w:jc w:val="both"/>
              <w:rPr>
                <w:sz w:val="22"/>
                <w:szCs w:val="22"/>
                <w:lang w:val="hr-HR"/>
              </w:rPr>
            </w:pPr>
            <w:r>
              <w:rPr>
                <w:sz w:val="22"/>
                <w:szCs w:val="22"/>
                <w:lang w:val="hr-HR"/>
              </w:rPr>
              <w:t>Infarkt miokarda</w:t>
            </w:r>
          </w:p>
        </w:tc>
        <w:tc>
          <w:tcPr>
            <w:tcW w:w="1413" w:type="pct"/>
            <w:shd w:val="clear" w:color="auto" w:fill="auto"/>
            <w:hideMark/>
          </w:tcPr>
          <w:p w14:paraId="05C8E745" w14:textId="77777777" w:rsidR="00E659A5" w:rsidRDefault="00C21592">
            <w:pPr>
              <w:jc w:val="both"/>
              <w:rPr>
                <w:color w:val="000000"/>
              </w:rPr>
            </w:pPr>
            <w:r>
              <w:rPr>
                <w:color w:val="000000"/>
              </w:rPr>
              <w:t>130</w:t>
            </w:r>
          </w:p>
          <w:p w14:paraId="075CEE6E" w14:textId="77777777" w:rsidR="00E659A5" w:rsidRDefault="00C21592">
            <w:pPr>
              <w:jc w:val="both"/>
              <w:rPr>
                <w:color w:val="000000"/>
              </w:rPr>
            </w:pPr>
            <w:r>
              <w:rPr>
                <w:color w:val="000000"/>
              </w:rPr>
              <w:t>(1,02)</w:t>
            </w:r>
          </w:p>
        </w:tc>
        <w:tc>
          <w:tcPr>
            <w:tcW w:w="1264" w:type="pct"/>
            <w:shd w:val="clear" w:color="auto" w:fill="auto"/>
            <w:hideMark/>
          </w:tcPr>
          <w:p w14:paraId="13339375" w14:textId="77777777" w:rsidR="00E659A5" w:rsidRDefault="00C21592">
            <w:pPr>
              <w:jc w:val="both"/>
              <w:rPr>
                <w:color w:val="000000"/>
              </w:rPr>
            </w:pPr>
            <w:r>
              <w:rPr>
                <w:color w:val="000000"/>
              </w:rPr>
              <w:t>142</w:t>
            </w:r>
          </w:p>
          <w:p w14:paraId="3CACAA66" w14:textId="77777777" w:rsidR="00E659A5" w:rsidRDefault="00C21592">
            <w:pPr>
              <w:jc w:val="both"/>
              <w:rPr>
                <w:color w:val="000000"/>
              </w:rPr>
            </w:pPr>
            <w:r>
              <w:rPr>
                <w:color w:val="000000"/>
              </w:rPr>
              <w:t>(1,11)</w:t>
            </w:r>
          </w:p>
        </w:tc>
        <w:tc>
          <w:tcPr>
            <w:tcW w:w="1150" w:type="pct"/>
            <w:shd w:val="clear" w:color="auto" w:fill="auto"/>
            <w:hideMark/>
          </w:tcPr>
          <w:p w14:paraId="4711DC0D" w14:textId="77777777" w:rsidR="00E659A5" w:rsidRDefault="00C21592">
            <w:pPr>
              <w:jc w:val="both"/>
              <w:rPr>
                <w:color w:val="000000"/>
              </w:rPr>
            </w:pPr>
            <w:r>
              <w:rPr>
                <w:color w:val="000000"/>
              </w:rPr>
              <w:t>0.91</w:t>
            </w:r>
          </w:p>
          <w:p w14:paraId="1333C620" w14:textId="77777777" w:rsidR="00E659A5" w:rsidRDefault="00C21592">
            <w:pPr>
              <w:jc w:val="both"/>
              <w:rPr>
                <w:color w:val="000000"/>
              </w:rPr>
            </w:pPr>
            <w:r>
              <w:rPr>
                <w:color w:val="000000"/>
              </w:rPr>
              <w:t>(0,72 – 1,16)</w:t>
            </w:r>
          </w:p>
          <w:p w14:paraId="44448694" w14:textId="77777777" w:rsidR="00E659A5" w:rsidRDefault="00C21592">
            <w:pPr>
              <w:jc w:val="both"/>
              <w:rPr>
                <w:color w:val="000000"/>
              </w:rPr>
            </w:pPr>
            <w:r>
              <w:rPr>
                <w:color w:val="000000"/>
              </w:rPr>
              <w:t>0,464</w:t>
            </w:r>
          </w:p>
        </w:tc>
      </w:tr>
    </w:tbl>
    <w:p w14:paraId="52050B1D" w14:textId="77777777" w:rsidR="00E659A5" w:rsidRDefault="00E659A5">
      <w:pPr>
        <w:widowControl w:val="0"/>
        <w:ind w:right="-20"/>
        <w:jc w:val="both"/>
        <w:rPr>
          <w:bCs/>
        </w:rPr>
      </w:pPr>
    </w:p>
    <w:p w14:paraId="2688320D" w14:textId="77777777" w:rsidR="00E659A5" w:rsidRDefault="00C21592">
      <w:pPr>
        <w:widowControl w:val="0"/>
        <w:ind w:right="-20"/>
        <w:jc w:val="both"/>
      </w:pPr>
      <w:r>
        <w:rPr>
          <w:bCs/>
        </w:rPr>
        <w:br w:type="page"/>
      </w:r>
      <w:r>
        <w:rPr>
          <w:b/>
          <w:bCs/>
        </w:rPr>
        <w:lastRenderedPageBreak/>
        <w:t>Tabela 5: Rezultati bezbjednosti iz ispitivanja faze III ROCKET AF</w:t>
      </w:r>
    </w:p>
    <w:tbl>
      <w:tblPr>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0"/>
        <w:gridCol w:w="2554"/>
        <w:gridCol w:w="2836"/>
        <w:gridCol w:w="1848"/>
      </w:tblGrid>
      <w:tr w:rsidR="00E659A5" w14:paraId="4D38044D" w14:textId="77777777">
        <w:tc>
          <w:tcPr>
            <w:tcW w:w="1202" w:type="pct"/>
            <w:shd w:val="clear" w:color="auto" w:fill="auto"/>
            <w:hideMark/>
          </w:tcPr>
          <w:p w14:paraId="51F4E062" w14:textId="77777777" w:rsidR="00E659A5" w:rsidRDefault="00C21592">
            <w:pPr>
              <w:pStyle w:val="Default"/>
              <w:jc w:val="both"/>
              <w:rPr>
                <w:b/>
                <w:sz w:val="22"/>
                <w:szCs w:val="22"/>
                <w:lang w:val="hr-HR"/>
              </w:rPr>
            </w:pPr>
            <w:r>
              <w:rPr>
                <w:b/>
                <w:sz w:val="22"/>
                <w:szCs w:val="22"/>
                <w:lang w:val="hr-HR"/>
              </w:rPr>
              <w:t>Populacija u studiji</w:t>
            </w:r>
          </w:p>
        </w:tc>
        <w:tc>
          <w:tcPr>
            <w:tcW w:w="3798" w:type="pct"/>
            <w:gridSpan w:val="3"/>
            <w:shd w:val="clear" w:color="auto" w:fill="auto"/>
            <w:hideMark/>
          </w:tcPr>
          <w:p w14:paraId="3A50EA44" w14:textId="77777777" w:rsidR="00E659A5" w:rsidRDefault="00C21592">
            <w:pPr>
              <w:pStyle w:val="Default"/>
              <w:jc w:val="both"/>
              <w:rPr>
                <w:sz w:val="22"/>
                <w:szCs w:val="22"/>
                <w:lang w:val="hr-HR"/>
              </w:rPr>
            </w:pPr>
            <w:r>
              <w:rPr>
                <w:b/>
                <w:sz w:val="22"/>
                <w:szCs w:val="22"/>
                <w:lang w:val="hr-HR"/>
              </w:rPr>
              <w:t>Pacijenti sa nevalvularnom atrijalnom fibrilacijom</w:t>
            </w:r>
            <w:r>
              <w:rPr>
                <w:b/>
                <w:bCs/>
                <w:sz w:val="22"/>
                <w:szCs w:val="22"/>
                <w:vertAlign w:val="superscript"/>
                <w:lang w:val="hr-HR"/>
              </w:rPr>
              <w:t>a)</w:t>
            </w:r>
          </w:p>
        </w:tc>
      </w:tr>
      <w:tr w:rsidR="00E659A5" w14:paraId="28AA3029" w14:textId="77777777">
        <w:tc>
          <w:tcPr>
            <w:tcW w:w="1202" w:type="pct"/>
            <w:shd w:val="clear" w:color="auto" w:fill="auto"/>
            <w:hideMark/>
          </w:tcPr>
          <w:p w14:paraId="7909D064" w14:textId="77777777" w:rsidR="00E659A5" w:rsidRDefault="00C21592">
            <w:pPr>
              <w:jc w:val="both"/>
              <w:rPr>
                <w:color w:val="000000"/>
              </w:rPr>
            </w:pPr>
            <w:r>
              <w:rPr>
                <w:b/>
                <w:bCs/>
                <w:color w:val="000000"/>
              </w:rPr>
              <w:t>Terapijska doza</w:t>
            </w:r>
          </w:p>
        </w:tc>
        <w:tc>
          <w:tcPr>
            <w:tcW w:w="1340" w:type="pct"/>
            <w:shd w:val="clear" w:color="auto" w:fill="auto"/>
            <w:hideMark/>
          </w:tcPr>
          <w:p w14:paraId="088C850B" w14:textId="77777777" w:rsidR="00E659A5" w:rsidRDefault="00C21592">
            <w:pPr>
              <w:jc w:val="both"/>
              <w:rPr>
                <w:color w:val="000000"/>
              </w:rPr>
            </w:pPr>
            <w:r>
              <w:rPr>
                <w:b/>
                <w:bCs/>
                <w:color w:val="000000"/>
              </w:rPr>
              <w:t>Rivaroksaban</w:t>
            </w:r>
          </w:p>
          <w:p w14:paraId="11D89C17" w14:textId="77777777" w:rsidR="00E659A5" w:rsidRDefault="00C21592">
            <w:pPr>
              <w:jc w:val="both"/>
              <w:rPr>
                <w:color w:val="000000"/>
              </w:rPr>
            </w:pPr>
            <w:r>
              <w:rPr>
                <w:b/>
                <w:bCs/>
                <w:color w:val="000000"/>
              </w:rPr>
              <w:t>20 mg jednom dnevno</w:t>
            </w:r>
          </w:p>
          <w:p w14:paraId="3DE8CE76" w14:textId="77777777" w:rsidR="00E659A5" w:rsidRDefault="00C21592">
            <w:pPr>
              <w:jc w:val="both"/>
              <w:rPr>
                <w:color w:val="000000"/>
              </w:rPr>
            </w:pPr>
            <w:r>
              <w:rPr>
                <w:b/>
                <w:bCs/>
                <w:color w:val="000000"/>
              </w:rPr>
              <w:t>(15 mg jednom dnevno kod pacijenata sa umjerenim oštećenjem funkcije bubrega)</w:t>
            </w:r>
          </w:p>
          <w:p w14:paraId="27454FDF" w14:textId="77777777" w:rsidR="00E659A5" w:rsidRDefault="00C21592">
            <w:pPr>
              <w:jc w:val="both"/>
              <w:rPr>
                <w:color w:val="000000"/>
              </w:rPr>
            </w:pPr>
            <w:r>
              <w:rPr>
                <w:b/>
                <w:bCs/>
                <w:color w:val="000000"/>
              </w:rPr>
              <w:t>Stopa događaja (100 pacijent-godina)</w:t>
            </w:r>
          </w:p>
        </w:tc>
        <w:tc>
          <w:tcPr>
            <w:tcW w:w="1488" w:type="pct"/>
            <w:shd w:val="clear" w:color="auto" w:fill="auto"/>
            <w:hideMark/>
          </w:tcPr>
          <w:p w14:paraId="2915F109" w14:textId="77777777" w:rsidR="00E659A5" w:rsidRDefault="00C21592">
            <w:pPr>
              <w:jc w:val="both"/>
              <w:rPr>
                <w:color w:val="000000"/>
              </w:rPr>
            </w:pPr>
            <w:r>
              <w:rPr>
                <w:b/>
                <w:bCs/>
                <w:color w:val="000000"/>
              </w:rPr>
              <w:t>Varfarin</w:t>
            </w:r>
          </w:p>
          <w:p w14:paraId="49CCA3A3" w14:textId="77777777" w:rsidR="00E659A5" w:rsidRDefault="00C21592">
            <w:pPr>
              <w:jc w:val="both"/>
              <w:rPr>
                <w:b/>
                <w:bCs/>
                <w:color w:val="000000"/>
              </w:rPr>
            </w:pPr>
            <w:r>
              <w:rPr>
                <w:b/>
                <w:bCs/>
                <w:color w:val="000000"/>
              </w:rPr>
              <w:t>Titriran do ciljnog INR od 2,5 (terapijski raspon od 2,0 do 3,0)</w:t>
            </w:r>
          </w:p>
          <w:p w14:paraId="4AAE74FD" w14:textId="77777777" w:rsidR="00E659A5" w:rsidRDefault="00E659A5">
            <w:pPr>
              <w:jc w:val="both"/>
              <w:rPr>
                <w:b/>
                <w:bCs/>
                <w:color w:val="000000"/>
              </w:rPr>
            </w:pPr>
          </w:p>
          <w:p w14:paraId="21CAE069" w14:textId="77777777" w:rsidR="00E659A5" w:rsidRDefault="00E659A5">
            <w:pPr>
              <w:jc w:val="both"/>
              <w:rPr>
                <w:color w:val="000000"/>
              </w:rPr>
            </w:pPr>
          </w:p>
          <w:p w14:paraId="7F0FCF18" w14:textId="77777777" w:rsidR="00E659A5" w:rsidRDefault="00C21592">
            <w:pPr>
              <w:jc w:val="both"/>
              <w:rPr>
                <w:color w:val="000000"/>
              </w:rPr>
            </w:pPr>
            <w:r>
              <w:rPr>
                <w:b/>
                <w:bCs/>
                <w:color w:val="000000"/>
              </w:rPr>
              <w:t>Stopa događaja (100 pacijent-godina)</w:t>
            </w:r>
          </w:p>
        </w:tc>
        <w:tc>
          <w:tcPr>
            <w:tcW w:w="969" w:type="pct"/>
            <w:shd w:val="clear" w:color="auto" w:fill="auto"/>
            <w:hideMark/>
          </w:tcPr>
          <w:p w14:paraId="1C88B957" w14:textId="77777777" w:rsidR="00E659A5" w:rsidRDefault="00C21592">
            <w:pPr>
              <w:jc w:val="both"/>
              <w:rPr>
                <w:color w:val="000000"/>
              </w:rPr>
            </w:pPr>
            <w:r>
              <w:rPr>
                <w:b/>
                <w:bCs/>
                <w:color w:val="000000"/>
              </w:rPr>
              <w:t>Odnos rizika (95% CI)</w:t>
            </w:r>
          </w:p>
          <w:p w14:paraId="443B0E8E" w14:textId="77777777" w:rsidR="00E659A5" w:rsidRDefault="00C21592">
            <w:pPr>
              <w:jc w:val="both"/>
              <w:rPr>
                <w:color w:val="000000"/>
              </w:rPr>
            </w:pPr>
            <w:r>
              <w:rPr>
                <w:b/>
                <w:bCs/>
                <w:color w:val="000000"/>
              </w:rPr>
              <w:t>p-vrijednost</w:t>
            </w:r>
          </w:p>
        </w:tc>
      </w:tr>
      <w:tr w:rsidR="00E659A5" w14:paraId="5C8D85A9" w14:textId="77777777">
        <w:tc>
          <w:tcPr>
            <w:tcW w:w="1202" w:type="pct"/>
            <w:shd w:val="clear" w:color="auto" w:fill="auto"/>
            <w:hideMark/>
          </w:tcPr>
          <w:p w14:paraId="24064ED1" w14:textId="77777777" w:rsidR="00E659A5" w:rsidRDefault="00C21592">
            <w:pPr>
              <w:jc w:val="both"/>
              <w:rPr>
                <w:color w:val="000000"/>
              </w:rPr>
            </w:pPr>
            <w:r>
              <w:rPr>
                <w:color w:val="000000"/>
              </w:rPr>
              <w:t>Velika krvarenja ili klinički relevantna krvarenja koja nisu klasifikovana kao velika</w:t>
            </w:r>
          </w:p>
        </w:tc>
        <w:tc>
          <w:tcPr>
            <w:tcW w:w="1340" w:type="pct"/>
            <w:shd w:val="clear" w:color="auto" w:fill="auto"/>
            <w:hideMark/>
          </w:tcPr>
          <w:p w14:paraId="210A6B10" w14:textId="77777777" w:rsidR="00E659A5" w:rsidRDefault="00C21592">
            <w:pPr>
              <w:jc w:val="both"/>
              <w:rPr>
                <w:color w:val="000000"/>
              </w:rPr>
            </w:pPr>
            <w:r>
              <w:rPr>
                <w:color w:val="000000"/>
              </w:rPr>
              <w:t>1475</w:t>
            </w:r>
          </w:p>
          <w:p w14:paraId="27BA1510" w14:textId="77777777" w:rsidR="00E659A5" w:rsidRDefault="00C21592">
            <w:pPr>
              <w:jc w:val="both"/>
              <w:rPr>
                <w:color w:val="000000"/>
              </w:rPr>
            </w:pPr>
            <w:r>
              <w:rPr>
                <w:color w:val="000000"/>
              </w:rPr>
              <w:t>(14,91)</w:t>
            </w:r>
          </w:p>
        </w:tc>
        <w:tc>
          <w:tcPr>
            <w:tcW w:w="1488" w:type="pct"/>
            <w:shd w:val="clear" w:color="auto" w:fill="auto"/>
            <w:hideMark/>
          </w:tcPr>
          <w:p w14:paraId="28C6CEE5" w14:textId="77777777" w:rsidR="00E659A5" w:rsidRDefault="00C21592">
            <w:pPr>
              <w:jc w:val="both"/>
              <w:rPr>
                <w:color w:val="000000"/>
              </w:rPr>
            </w:pPr>
            <w:r>
              <w:rPr>
                <w:color w:val="000000"/>
              </w:rPr>
              <w:t>1449</w:t>
            </w:r>
          </w:p>
          <w:p w14:paraId="6DFBF6FD" w14:textId="77777777" w:rsidR="00E659A5" w:rsidRDefault="00C21592">
            <w:pPr>
              <w:jc w:val="both"/>
              <w:rPr>
                <w:color w:val="000000"/>
              </w:rPr>
            </w:pPr>
            <w:r>
              <w:rPr>
                <w:color w:val="000000"/>
              </w:rPr>
              <w:t>(14,52)</w:t>
            </w:r>
          </w:p>
        </w:tc>
        <w:tc>
          <w:tcPr>
            <w:tcW w:w="969" w:type="pct"/>
            <w:shd w:val="clear" w:color="auto" w:fill="auto"/>
            <w:hideMark/>
          </w:tcPr>
          <w:p w14:paraId="763F32E8" w14:textId="77777777" w:rsidR="00E659A5" w:rsidRDefault="00C21592">
            <w:pPr>
              <w:jc w:val="both"/>
              <w:rPr>
                <w:color w:val="000000"/>
              </w:rPr>
            </w:pPr>
            <w:r>
              <w:rPr>
                <w:color w:val="000000"/>
              </w:rPr>
              <w:t>1,03 (0,96 – 1,11)</w:t>
            </w:r>
          </w:p>
          <w:p w14:paraId="7190D6CE" w14:textId="77777777" w:rsidR="00E659A5" w:rsidRDefault="00C21592">
            <w:pPr>
              <w:jc w:val="both"/>
              <w:rPr>
                <w:color w:val="000000"/>
              </w:rPr>
            </w:pPr>
            <w:r>
              <w:rPr>
                <w:color w:val="000000"/>
              </w:rPr>
              <w:t>0,442</w:t>
            </w:r>
          </w:p>
        </w:tc>
      </w:tr>
      <w:tr w:rsidR="00E659A5" w14:paraId="07EC93B8" w14:textId="77777777">
        <w:tc>
          <w:tcPr>
            <w:tcW w:w="1202" w:type="pct"/>
            <w:shd w:val="clear" w:color="auto" w:fill="auto"/>
            <w:hideMark/>
          </w:tcPr>
          <w:p w14:paraId="3C4D82BB" w14:textId="77777777" w:rsidR="00E659A5" w:rsidRDefault="00C21592">
            <w:pPr>
              <w:ind w:left="170"/>
              <w:jc w:val="both"/>
              <w:rPr>
                <w:color w:val="000000"/>
              </w:rPr>
            </w:pPr>
            <w:r>
              <w:rPr>
                <w:color w:val="000000"/>
              </w:rPr>
              <w:t>Velika krvarenja</w:t>
            </w:r>
          </w:p>
        </w:tc>
        <w:tc>
          <w:tcPr>
            <w:tcW w:w="1340" w:type="pct"/>
            <w:shd w:val="clear" w:color="auto" w:fill="auto"/>
            <w:hideMark/>
          </w:tcPr>
          <w:p w14:paraId="049D0DB7" w14:textId="77777777" w:rsidR="00E659A5" w:rsidRDefault="00C21592">
            <w:pPr>
              <w:jc w:val="both"/>
              <w:rPr>
                <w:color w:val="000000"/>
              </w:rPr>
            </w:pPr>
            <w:r>
              <w:rPr>
                <w:color w:val="000000"/>
              </w:rPr>
              <w:t>395</w:t>
            </w:r>
          </w:p>
          <w:p w14:paraId="1823C76D" w14:textId="77777777" w:rsidR="00E659A5" w:rsidRDefault="00C21592">
            <w:pPr>
              <w:jc w:val="both"/>
              <w:rPr>
                <w:color w:val="000000"/>
              </w:rPr>
            </w:pPr>
            <w:r>
              <w:rPr>
                <w:color w:val="000000"/>
              </w:rPr>
              <w:t>(3,60)</w:t>
            </w:r>
          </w:p>
        </w:tc>
        <w:tc>
          <w:tcPr>
            <w:tcW w:w="1488" w:type="pct"/>
            <w:shd w:val="clear" w:color="auto" w:fill="auto"/>
            <w:hideMark/>
          </w:tcPr>
          <w:p w14:paraId="2FA65EF0" w14:textId="77777777" w:rsidR="00E659A5" w:rsidRDefault="00C21592">
            <w:pPr>
              <w:jc w:val="both"/>
              <w:rPr>
                <w:color w:val="000000"/>
              </w:rPr>
            </w:pPr>
            <w:r>
              <w:rPr>
                <w:color w:val="000000"/>
              </w:rPr>
              <w:t>386</w:t>
            </w:r>
          </w:p>
          <w:p w14:paraId="1C94FBD3" w14:textId="77777777" w:rsidR="00E659A5" w:rsidRDefault="00C21592">
            <w:pPr>
              <w:jc w:val="both"/>
              <w:rPr>
                <w:color w:val="000000"/>
              </w:rPr>
            </w:pPr>
            <w:r>
              <w:rPr>
                <w:color w:val="000000"/>
              </w:rPr>
              <w:t>(3,45)</w:t>
            </w:r>
          </w:p>
        </w:tc>
        <w:tc>
          <w:tcPr>
            <w:tcW w:w="969" w:type="pct"/>
            <w:shd w:val="clear" w:color="auto" w:fill="auto"/>
            <w:hideMark/>
          </w:tcPr>
          <w:p w14:paraId="1A8D90F1" w14:textId="77777777" w:rsidR="00E659A5" w:rsidRDefault="00C21592">
            <w:pPr>
              <w:jc w:val="both"/>
              <w:rPr>
                <w:color w:val="000000"/>
              </w:rPr>
            </w:pPr>
            <w:r>
              <w:rPr>
                <w:color w:val="000000"/>
              </w:rPr>
              <w:t>1,04 (0,90 - 1,20)</w:t>
            </w:r>
          </w:p>
          <w:p w14:paraId="43FE255F" w14:textId="77777777" w:rsidR="00E659A5" w:rsidRDefault="00C21592">
            <w:pPr>
              <w:jc w:val="both"/>
              <w:rPr>
                <w:color w:val="000000"/>
              </w:rPr>
            </w:pPr>
            <w:r>
              <w:rPr>
                <w:color w:val="000000"/>
              </w:rPr>
              <w:t>0,576</w:t>
            </w:r>
          </w:p>
        </w:tc>
      </w:tr>
      <w:tr w:rsidR="00E659A5" w14:paraId="030395FB" w14:textId="77777777">
        <w:tc>
          <w:tcPr>
            <w:tcW w:w="1202" w:type="pct"/>
            <w:shd w:val="clear" w:color="auto" w:fill="auto"/>
            <w:hideMark/>
          </w:tcPr>
          <w:p w14:paraId="19EBA408" w14:textId="77777777" w:rsidR="00E659A5" w:rsidRDefault="00C21592">
            <w:pPr>
              <w:ind w:left="567"/>
              <w:jc w:val="both"/>
              <w:rPr>
                <w:color w:val="000000"/>
              </w:rPr>
            </w:pPr>
            <w:r>
              <w:rPr>
                <w:color w:val="000000"/>
              </w:rPr>
              <w:t>Smrtnost usljed krvarenja*</w:t>
            </w:r>
          </w:p>
        </w:tc>
        <w:tc>
          <w:tcPr>
            <w:tcW w:w="1340" w:type="pct"/>
            <w:shd w:val="clear" w:color="auto" w:fill="auto"/>
            <w:hideMark/>
          </w:tcPr>
          <w:p w14:paraId="00008480" w14:textId="77777777" w:rsidR="00E659A5" w:rsidRDefault="00C21592">
            <w:pPr>
              <w:jc w:val="both"/>
              <w:rPr>
                <w:color w:val="000000"/>
              </w:rPr>
            </w:pPr>
            <w:r>
              <w:rPr>
                <w:color w:val="000000"/>
              </w:rPr>
              <w:t>27</w:t>
            </w:r>
          </w:p>
          <w:p w14:paraId="2EE7E1D1" w14:textId="77777777" w:rsidR="00E659A5" w:rsidRDefault="00C21592">
            <w:pPr>
              <w:jc w:val="both"/>
              <w:rPr>
                <w:color w:val="000000"/>
              </w:rPr>
            </w:pPr>
            <w:r>
              <w:rPr>
                <w:color w:val="000000"/>
              </w:rPr>
              <w:t>(0,24)</w:t>
            </w:r>
          </w:p>
        </w:tc>
        <w:tc>
          <w:tcPr>
            <w:tcW w:w="1488" w:type="pct"/>
            <w:shd w:val="clear" w:color="auto" w:fill="auto"/>
            <w:hideMark/>
          </w:tcPr>
          <w:p w14:paraId="10CED510" w14:textId="77777777" w:rsidR="00E659A5" w:rsidRDefault="00C21592">
            <w:pPr>
              <w:jc w:val="both"/>
              <w:rPr>
                <w:color w:val="000000"/>
              </w:rPr>
            </w:pPr>
            <w:r>
              <w:rPr>
                <w:color w:val="000000"/>
              </w:rPr>
              <w:t>55</w:t>
            </w:r>
          </w:p>
          <w:p w14:paraId="69D088AC" w14:textId="77777777" w:rsidR="00E659A5" w:rsidRDefault="00C21592">
            <w:pPr>
              <w:jc w:val="both"/>
              <w:rPr>
                <w:color w:val="000000"/>
              </w:rPr>
            </w:pPr>
            <w:r>
              <w:rPr>
                <w:color w:val="000000"/>
              </w:rPr>
              <w:t>(0,48)</w:t>
            </w:r>
          </w:p>
        </w:tc>
        <w:tc>
          <w:tcPr>
            <w:tcW w:w="969" w:type="pct"/>
            <w:shd w:val="clear" w:color="auto" w:fill="auto"/>
            <w:hideMark/>
          </w:tcPr>
          <w:p w14:paraId="001821BA" w14:textId="77777777" w:rsidR="00E659A5" w:rsidRDefault="00C21592">
            <w:pPr>
              <w:jc w:val="both"/>
              <w:rPr>
                <w:color w:val="000000"/>
              </w:rPr>
            </w:pPr>
            <w:r>
              <w:rPr>
                <w:color w:val="000000"/>
              </w:rPr>
              <w:t>0,50 (0,31 - 0,79)</w:t>
            </w:r>
          </w:p>
          <w:p w14:paraId="38D29DFC" w14:textId="77777777" w:rsidR="00E659A5" w:rsidRDefault="00C21592">
            <w:pPr>
              <w:jc w:val="both"/>
              <w:rPr>
                <w:color w:val="000000"/>
              </w:rPr>
            </w:pPr>
            <w:r>
              <w:rPr>
                <w:color w:val="000000"/>
              </w:rPr>
              <w:t>0,003</w:t>
            </w:r>
          </w:p>
        </w:tc>
      </w:tr>
      <w:tr w:rsidR="00E659A5" w14:paraId="1573873F" w14:textId="77777777">
        <w:tc>
          <w:tcPr>
            <w:tcW w:w="1202" w:type="pct"/>
            <w:shd w:val="clear" w:color="auto" w:fill="auto"/>
            <w:hideMark/>
          </w:tcPr>
          <w:p w14:paraId="3B9D7F99" w14:textId="77777777" w:rsidR="00E659A5" w:rsidRDefault="00C21592">
            <w:pPr>
              <w:ind w:left="567"/>
              <w:jc w:val="both"/>
              <w:rPr>
                <w:color w:val="000000"/>
              </w:rPr>
            </w:pPr>
            <w:r>
              <w:rPr>
                <w:color w:val="000000"/>
              </w:rPr>
              <w:t>Kritično krvarenje organa*</w:t>
            </w:r>
          </w:p>
        </w:tc>
        <w:tc>
          <w:tcPr>
            <w:tcW w:w="1340" w:type="pct"/>
            <w:shd w:val="clear" w:color="auto" w:fill="auto"/>
            <w:hideMark/>
          </w:tcPr>
          <w:p w14:paraId="2434DA04" w14:textId="77777777" w:rsidR="00E659A5" w:rsidRDefault="00C21592">
            <w:pPr>
              <w:jc w:val="both"/>
              <w:rPr>
                <w:color w:val="000000"/>
              </w:rPr>
            </w:pPr>
            <w:r>
              <w:rPr>
                <w:color w:val="000000"/>
              </w:rPr>
              <w:t>91</w:t>
            </w:r>
          </w:p>
          <w:p w14:paraId="1A9C963C" w14:textId="77777777" w:rsidR="00E659A5" w:rsidRDefault="00C21592">
            <w:pPr>
              <w:jc w:val="both"/>
              <w:rPr>
                <w:color w:val="000000"/>
              </w:rPr>
            </w:pPr>
            <w:r>
              <w:rPr>
                <w:color w:val="000000"/>
              </w:rPr>
              <w:t>(0,82)</w:t>
            </w:r>
          </w:p>
        </w:tc>
        <w:tc>
          <w:tcPr>
            <w:tcW w:w="1488" w:type="pct"/>
            <w:shd w:val="clear" w:color="auto" w:fill="auto"/>
            <w:hideMark/>
          </w:tcPr>
          <w:p w14:paraId="043C39EB" w14:textId="77777777" w:rsidR="00E659A5" w:rsidRDefault="00C21592">
            <w:pPr>
              <w:jc w:val="both"/>
              <w:rPr>
                <w:color w:val="000000"/>
              </w:rPr>
            </w:pPr>
            <w:r>
              <w:rPr>
                <w:color w:val="000000"/>
              </w:rPr>
              <w:t>133</w:t>
            </w:r>
          </w:p>
          <w:p w14:paraId="15868FBD" w14:textId="77777777" w:rsidR="00E659A5" w:rsidRDefault="00C21592">
            <w:pPr>
              <w:jc w:val="both"/>
              <w:rPr>
                <w:color w:val="000000"/>
              </w:rPr>
            </w:pPr>
            <w:r>
              <w:rPr>
                <w:color w:val="000000"/>
              </w:rPr>
              <w:t>(1,18)</w:t>
            </w:r>
          </w:p>
        </w:tc>
        <w:tc>
          <w:tcPr>
            <w:tcW w:w="969" w:type="pct"/>
            <w:shd w:val="clear" w:color="auto" w:fill="auto"/>
            <w:hideMark/>
          </w:tcPr>
          <w:p w14:paraId="6645154F" w14:textId="77777777" w:rsidR="00E659A5" w:rsidRDefault="00C21592">
            <w:pPr>
              <w:jc w:val="both"/>
              <w:rPr>
                <w:color w:val="000000"/>
              </w:rPr>
            </w:pPr>
            <w:r>
              <w:rPr>
                <w:color w:val="000000"/>
              </w:rPr>
              <w:t>0,69 (0,53 – 0,91)</w:t>
            </w:r>
          </w:p>
          <w:p w14:paraId="034F54C4" w14:textId="77777777" w:rsidR="00E659A5" w:rsidRDefault="00C21592">
            <w:pPr>
              <w:jc w:val="both"/>
              <w:rPr>
                <w:color w:val="000000"/>
              </w:rPr>
            </w:pPr>
            <w:r>
              <w:rPr>
                <w:color w:val="000000"/>
              </w:rPr>
              <w:t>0,007</w:t>
            </w:r>
          </w:p>
        </w:tc>
      </w:tr>
      <w:tr w:rsidR="00E659A5" w14:paraId="667EDCEB" w14:textId="77777777">
        <w:tc>
          <w:tcPr>
            <w:tcW w:w="1202" w:type="pct"/>
            <w:shd w:val="clear" w:color="auto" w:fill="auto"/>
            <w:hideMark/>
          </w:tcPr>
          <w:p w14:paraId="0C183D88" w14:textId="77777777" w:rsidR="00E659A5" w:rsidRDefault="00C21592">
            <w:pPr>
              <w:ind w:left="567"/>
              <w:jc w:val="both"/>
              <w:rPr>
                <w:color w:val="000000"/>
              </w:rPr>
            </w:pPr>
            <w:r>
              <w:rPr>
                <w:color w:val="000000"/>
              </w:rPr>
              <w:t>Intrakranijalno krvarenje*</w:t>
            </w:r>
          </w:p>
        </w:tc>
        <w:tc>
          <w:tcPr>
            <w:tcW w:w="1340" w:type="pct"/>
            <w:shd w:val="clear" w:color="auto" w:fill="auto"/>
            <w:hideMark/>
          </w:tcPr>
          <w:p w14:paraId="18FD3305" w14:textId="77777777" w:rsidR="00E659A5" w:rsidRDefault="00C21592">
            <w:pPr>
              <w:jc w:val="both"/>
              <w:rPr>
                <w:color w:val="000000"/>
              </w:rPr>
            </w:pPr>
            <w:r>
              <w:rPr>
                <w:color w:val="000000"/>
              </w:rPr>
              <w:t>55</w:t>
            </w:r>
          </w:p>
          <w:p w14:paraId="449B0B87" w14:textId="77777777" w:rsidR="00E659A5" w:rsidRDefault="00C21592">
            <w:pPr>
              <w:jc w:val="both"/>
              <w:rPr>
                <w:color w:val="000000"/>
              </w:rPr>
            </w:pPr>
            <w:r>
              <w:rPr>
                <w:color w:val="000000"/>
              </w:rPr>
              <w:t>(0,49)</w:t>
            </w:r>
          </w:p>
        </w:tc>
        <w:tc>
          <w:tcPr>
            <w:tcW w:w="1488" w:type="pct"/>
            <w:shd w:val="clear" w:color="auto" w:fill="auto"/>
            <w:hideMark/>
          </w:tcPr>
          <w:p w14:paraId="0B16032D" w14:textId="77777777" w:rsidR="00E659A5" w:rsidRDefault="00C21592">
            <w:pPr>
              <w:jc w:val="both"/>
              <w:rPr>
                <w:color w:val="000000"/>
              </w:rPr>
            </w:pPr>
            <w:r>
              <w:rPr>
                <w:color w:val="000000"/>
              </w:rPr>
              <w:t>84</w:t>
            </w:r>
          </w:p>
          <w:p w14:paraId="6684939C" w14:textId="77777777" w:rsidR="00E659A5" w:rsidRDefault="00C21592">
            <w:pPr>
              <w:jc w:val="both"/>
              <w:rPr>
                <w:color w:val="000000"/>
              </w:rPr>
            </w:pPr>
            <w:r>
              <w:rPr>
                <w:color w:val="000000"/>
              </w:rPr>
              <w:t>(0,74)</w:t>
            </w:r>
          </w:p>
        </w:tc>
        <w:tc>
          <w:tcPr>
            <w:tcW w:w="969" w:type="pct"/>
            <w:shd w:val="clear" w:color="auto" w:fill="auto"/>
            <w:hideMark/>
          </w:tcPr>
          <w:p w14:paraId="071FC5B4" w14:textId="77777777" w:rsidR="00E659A5" w:rsidRDefault="00C21592">
            <w:pPr>
              <w:jc w:val="both"/>
              <w:rPr>
                <w:color w:val="000000"/>
              </w:rPr>
            </w:pPr>
            <w:r>
              <w:rPr>
                <w:color w:val="000000"/>
              </w:rPr>
              <w:t>0,67 (0,47 – 0,93)</w:t>
            </w:r>
          </w:p>
          <w:p w14:paraId="68F051CC" w14:textId="77777777" w:rsidR="00E659A5" w:rsidRDefault="00C21592">
            <w:pPr>
              <w:jc w:val="both"/>
              <w:rPr>
                <w:color w:val="000000"/>
              </w:rPr>
            </w:pPr>
            <w:r>
              <w:rPr>
                <w:color w:val="000000"/>
              </w:rPr>
              <w:t>0,019</w:t>
            </w:r>
          </w:p>
        </w:tc>
      </w:tr>
      <w:tr w:rsidR="00E659A5" w14:paraId="4F94D088" w14:textId="77777777">
        <w:tc>
          <w:tcPr>
            <w:tcW w:w="1202" w:type="pct"/>
            <w:shd w:val="clear" w:color="auto" w:fill="auto"/>
            <w:hideMark/>
          </w:tcPr>
          <w:p w14:paraId="2BEE0D19" w14:textId="77777777" w:rsidR="00E659A5" w:rsidRDefault="00C21592">
            <w:pPr>
              <w:ind w:left="567"/>
              <w:jc w:val="both"/>
              <w:rPr>
                <w:color w:val="000000"/>
              </w:rPr>
            </w:pPr>
            <w:r>
              <w:rPr>
                <w:color w:val="000000"/>
              </w:rPr>
              <w:t>Pad hemoglobina*</w:t>
            </w:r>
          </w:p>
        </w:tc>
        <w:tc>
          <w:tcPr>
            <w:tcW w:w="1340" w:type="pct"/>
            <w:shd w:val="clear" w:color="auto" w:fill="auto"/>
            <w:hideMark/>
          </w:tcPr>
          <w:p w14:paraId="667936DF" w14:textId="77777777" w:rsidR="00E659A5" w:rsidRDefault="00C21592">
            <w:pPr>
              <w:jc w:val="both"/>
              <w:rPr>
                <w:color w:val="000000"/>
              </w:rPr>
            </w:pPr>
            <w:r>
              <w:rPr>
                <w:color w:val="000000"/>
              </w:rPr>
              <w:t>305</w:t>
            </w:r>
          </w:p>
          <w:p w14:paraId="533AEB18" w14:textId="77777777" w:rsidR="00E659A5" w:rsidRDefault="00C21592">
            <w:pPr>
              <w:jc w:val="both"/>
              <w:rPr>
                <w:color w:val="000000"/>
              </w:rPr>
            </w:pPr>
            <w:r>
              <w:rPr>
                <w:color w:val="000000"/>
              </w:rPr>
              <w:t>(2,77)</w:t>
            </w:r>
          </w:p>
        </w:tc>
        <w:tc>
          <w:tcPr>
            <w:tcW w:w="1488" w:type="pct"/>
            <w:shd w:val="clear" w:color="auto" w:fill="auto"/>
            <w:hideMark/>
          </w:tcPr>
          <w:p w14:paraId="1659C8A5" w14:textId="77777777" w:rsidR="00E659A5" w:rsidRDefault="00C21592">
            <w:pPr>
              <w:jc w:val="both"/>
              <w:rPr>
                <w:color w:val="000000"/>
              </w:rPr>
            </w:pPr>
            <w:r>
              <w:rPr>
                <w:color w:val="000000"/>
              </w:rPr>
              <w:t>254</w:t>
            </w:r>
          </w:p>
          <w:p w14:paraId="0D731C04" w14:textId="77777777" w:rsidR="00E659A5" w:rsidRDefault="00C21592">
            <w:pPr>
              <w:jc w:val="both"/>
              <w:rPr>
                <w:color w:val="000000"/>
              </w:rPr>
            </w:pPr>
            <w:r>
              <w:rPr>
                <w:color w:val="000000"/>
              </w:rPr>
              <w:t>(2,26)</w:t>
            </w:r>
          </w:p>
        </w:tc>
        <w:tc>
          <w:tcPr>
            <w:tcW w:w="969" w:type="pct"/>
            <w:shd w:val="clear" w:color="auto" w:fill="auto"/>
            <w:hideMark/>
          </w:tcPr>
          <w:p w14:paraId="1406702A" w14:textId="77777777" w:rsidR="00E659A5" w:rsidRDefault="00C21592">
            <w:pPr>
              <w:jc w:val="both"/>
              <w:rPr>
                <w:color w:val="000000"/>
              </w:rPr>
            </w:pPr>
            <w:r>
              <w:rPr>
                <w:color w:val="000000"/>
              </w:rPr>
              <w:t>1,22 (1,03 – 1,44)</w:t>
            </w:r>
          </w:p>
          <w:p w14:paraId="5609C343" w14:textId="77777777" w:rsidR="00E659A5" w:rsidRDefault="00C21592">
            <w:pPr>
              <w:jc w:val="both"/>
              <w:rPr>
                <w:color w:val="000000"/>
              </w:rPr>
            </w:pPr>
            <w:r>
              <w:rPr>
                <w:color w:val="000000"/>
              </w:rPr>
              <w:t>0,019</w:t>
            </w:r>
          </w:p>
        </w:tc>
      </w:tr>
      <w:tr w:rsidR="00E659A5" w14:paraId="438DF81B" w14:textId="77777777">
        <w:tc>
          <w:tcPr>
            <w:tcW w:w="1202" w:type="pct"/>
            <w:shd w:val="clear" w:color="auto" w:fill="auto"/>
            <w:hideMark/>
          </w:tcPr>
          <w:p w14:paraId="1B10E087" w14:textId="77777777" w:rsidR="00E659A5" w:rsidRDefault="00C21592">
            <w:pPr>
              <w:ind w:left="567"/>
              <w:jc w:val="both"/>
              <w:rPr>
                <w:color w:val="000000"/>
              </w:rPr>
            </w:pPr>
            <w:r>
              <w:rPr>
                <w:color w:val="000000"/>
              </w:rPr>
              <w:t>Transfuzija 2 ili više jedinica koncentrovanih eritrocita ili pune krvi*</w:t>
            </w:r>
          </w:p>
        </w:tc>
        <w:tc>
          <w:tcPr>
            <w:tcW w:w="1340" w:type="pct"/>
            <w:shd w:val="clear" w:color="auto" w:fill="auto"/>
            <w:hideMark/>
          </w:tcPr>
          <w:p w14:paraId="71825CD4" w14:textId="77777777" w:rsidR="00E659A5" w:rsidRDefault="00C21592">
            <w:pPr>
              <w:jc w:val="both"/>
              <w:rPr>
                <w:color w:val="000000"/>
              </w:rPr>
            </w:pPr>
            <w:r>
              <w:rPr>
                <w:color w:val="000000"/>
              </w:rPr>
              <w:t>183</w:t>
            </w:r>
          </w:p>
          <w:p w14:paraId="31301D4A" w14:textId="77777777" w:rsidR="00E659A5" w:rsidRDefault="00C21592">
            <w:pPr>
              <w:jc w:val="both"/>
              <w:rPr>
                <w:color w:val="000000"/>
              </w:rPr>
            </w:pPr>
            <w:r>
              <w:rPr>
                <w:color w:val="000000"/>
              </w:rPr>
              <w:t>(1,65)</w:t>
            </w:r>
          </w:p>
        </w:tc>
        <w:tc>
          <w:tcPr>
            <w:tcW w:w="1488" w:type="pct"/>
            <w:shd w:val="clear" w:color="auto" w:fill="auto"/>
            <w:hideMark/>
          </w:tcPr>
          <w:p w14:paraId="1DE0657E" w14:textId="77777777" w:rsidR="00E659A5" w:rsidRDefault="00C21592">
            <w:pPr>
              <w:jc w:val="both"/>
              <w:rPr>
                <w:color w:val="000000"/>
              </w:rPr>
            </w:pPr>
            <w:r>
              <w:rPr>
                <w:color w:val="000000"/>
              </w:rPr>
              <w:t>149</w:t>
            </w:r>
          </w:p>
          <w:p w14:paraId="44A262CC" w14:textId="77777777" w:rsidR="00E659A5" w:rsidRDefault="00C21592">
            <w:pPr>
              <w:jc w:val="both"/>
              <w:rPr>
                <w:color w:val="000000"/>
              </w:rPr>
            </w:pPr>
            <w:r>
              <w:rPr>
                <w:color w:val="000000"/>
              </w:rPr>
              <w:t>(1,32)</w:t>
            </w:r>
          </w:p>
        </w:tc>
        <w:tc>
          <w:tcPr>
            <w:tcW w:w="969" w:type="pct"/>
            <w:shd w:val="clear" w:color="auto" w:fill="auto"/>
            <w:hideMark/>
          </w:tcPr>
          <w:p w14:paraId="24B505A7" w14:textId="77777777" w:rsidR="00E659A5" w:rsidRDefault="00C21592">
            <w:pPr>
              <w:jc w:val="both"/>
              <w:rPr>
                <w:color w:val="000000"/>
              </w:rPr>
            </w:pPr>
            <w:r>
              <w:rPr>
                <w:color w:val="000000"/>
              </w:rPr>
              <w:t>1,25 (1,01 – 1,55)</w:t>
            </w:r>
          </w:p>
          <w:p w14:paraId="4FA68D77" w14:textId="77777777" w:rsidR="00E659A5" w:rsidRDefault="00C21592">
            <w:pPr>
              <w:jc w:val="both"/>
              <w:rPr>
                <w:color w:val="000000"/>
              </w:rPr>
            </w:pPr>
            <w:r>
              <w:rPr>
                <w:color w:val="000000"/>
              </w:rPr>
              <w:t>0,044</w:t>
            </w:r>
          </w:p>
        </w:tc>
      </w:tr>
      <w:tr w:rsidR="00E659A5" w14:paraId="6005E059" w14:textId="77777777">
        <w:tc>
          <w:tcPr>
            <w:tcW w:w="1202" w:type="pct"/>
            <w:shd w:val="clear" w:color="auto" w:fill="auto"/>
            <w:hideMark/>
          </w:tcPr>
          <w:p w14:paraId="3873F089" w14:textId="77777777" w:rsidR="00E659A5" w:rsidRDefault="00C21592">
            <w:pPr>
              <w:ind w:left="170"/>
              <w:jc w:val="both"/>
              <w:rPr>
                <w:color w:val="000000"/>
              </w:rPr>
            </w:pPr>
            <w:r>
              <w:rPr>
                <w:color w:val="000000"/>
              </w:rPr>
              <w:t>Klinički relevantna krvarenja koja nisu klasifikovana kao velika</w:t>
            </w:r>
          </w:p>
        </w:tc>
        <w:tc>
          <w:tcPr>
            <w:tcW w:w="1340" w:type="pct"/>
            <w:shd w:val="clear" w:color="auto" w:fill="auto"/>
            <w:hideMark/>
          </w:tcPr>
          <w:p w14:paraId="52DF919C" w14:textId="77777777" w:rsidR="00E659A5" w:rsidRDefault="00C21592">
            <w:pPr>
              <w:jc w:val="both"/>
              <w:rPr>
                <w:color w:val="000000"/>
              </w:rPr>
            </w:pPr>
            <w:r>
              <w:rPr>
                <w:color w:val="000000"/>
              </w:rPr>
              <w:t>1185</w:t>
            </w:r>
          </w:p>
          <w:p w14:paraId="65E1DF57" w14:textId="77777777" w:rsidR="00E659A5" w:rsidRDefault="00C21592">
            <w:pPr>
              <w:jc w:val="both"/>
              <w:rPr>
                <w:color w:val="000000"/>
              </w:rPr>
            </w:pPr>
            <w:r>
              <w:rPr>
                <w:color w:val="000000"/>
              </w:rPr>
              <w:t>(11,80)</w:t>
            </w:r>
          </w:p>
        </w:tc>
        <w:tc>
          <w:tcPr>
            <w:tcW w:w="1488" w:type="pct"/>
            <w:shd w:val="clear" w:color="auto" w:fill="auto"/>
            <w:hideMark/>
          </w:tcPr>
          <w:p w14:paraId="25420C5C" w14:textId="77777777" w:rsidR="00E659A5" w:rsidRDefault="00C21592">
            <w:pPr>
              <w:jc w:val="both"/>
              <w:rPr>
                <w:color w:val="000000"/>
              </w:rPr>
            </w:pPr>
            <w:r>
              <w:rPr>
                <w:color w:val="000000"/>
              </w:rPr>
              <w:t>1151</w:t>
            </w:r>
          </w:p>
          <w:p w14:paraId="71E0F3A5" w14:textId="77777777" w:rsidR="00E659A5" w:rsidRDefault="00C21592">
            <w:pPr>
              <w:jc w:val="both"/>
              <w:rPr>
                <w:color w:val="000000"/>
              </w:rPr>
            </w:pPr>
            <w:r>
              <w:rPr>
                <w:color w:val="000000"/>
              </w:rPr>
              <w:t>(11,37)</w:t>
            </w:r>
          </w:p>
        </w:tc>
        <w:tc>
          <w:tcPr>
            <w:tcW w:w="969" w:type="pct"/>
            <w:shd w:val="clear" w:color="auto" w:fill="auto"/>
            <w:hideMark/>
          </w:tcPr>
          <w:p w14:paraId="5DEFF30E" w14:textId="77777777" w:rsidR="00E659A5" w:rsidRDefault="00C21592">
            <w:pPr>
              <w:jc w:val="both"/>
              <w:rPr>
                <w:color w:val="000000"/>
              </w:rPr>
            </w:pPr>
            <w:r>
              <w:rPr>
                <w:color w:val="000000"/>
              </w:rPr>
              <w:t>1,04 (0,96 – 1,13)</w:t>
            </w:r>
          </w:p>
          <w:p w14:paraId="594C5280" w14:textId="77777777" w:rsidR="00E659A5" w:rsidRDefault="00C21592">
            <w:pPr>
              <w:jc w:val="both"/>
              <w:rPr>
                <w:color w:val="000000"/>
              </w:rPr>
            </w:pPr>
            <w:r>
              <w:rPr>
                <w:color w:val="000000"/>
              </w:rPr>
              <w:t>0,345</w:t>
            </w:r>
          </w:p>
        </w:tc>
      </w:tr>
      <w:tr w:rsidR="00E659A5" w14:paraId="30485156" w14:textId="77777777">
        <w:tc>
          <w:tcPr>
            <w:tcW w:w="1202" w:type="pct"/>
            <w:shd w:val="clear" w:color="auto" w:fill="auto"/>
            <w:hideMark/>
          </w:tcPr>
          <w:p w14:paraId="5C7CAD18" w14:textId="77777777" w:rsidR="00E659A5" w:rsidRDefault="00C21592">
            <w:pPr>
              <w:jc w:val="both"/>
              <w:rPr>
                <w:color w:val="000000"/>
              </w:rPr>
            </w:pPr>
            <w:r>
              <w:rPr>
                <w:color w:val="000000"/>
              </w:rPr>
              <w:t>Mortalitet usljed svih uzroka</w:t>
            </w:r>
          </w:p>
        </w:tc>
        <w:tc>
          <w:tcPr>
            <w:tcW w:w="1340" w:type="pct"/>
            <w:shd w:val="clear" w:color="auto" w:fill="auto"/>
            <w:hideMark/>
          </w:tcPr>
          <w:p w14:paraId="360947BD" w14:textId="77777777" w:rsidR="00E659A5" w:rsidRDefault="00C21592">
            <w:pPr>
              <w:jc w:val="both"/>
              <w:rPr>
                <w:color w:val="000000"/>
              </w:rPr>
            </w:pPr>
            <w:r>
              <w:rPr>
                <w:color w:val="000000"/>
              </w:rPr>
              <w:t>208</w:t>
            </w:r>
          </w:p>
          <w:p w14:paraId="1D11E538" w14:textId="77777777" w:rsidR="00E659A5" w:rsidRDefault="00C21592">
            <w:pPr>
              <w:jc w:val="both"/>
              <w:rPr>
                <w:color w:val="000000"/>
              </w:rPr>
            </w:pPr>
            <w:r>
              <w:rPr>
                <w:color w:val="000000"/>
              </w:rPr>
              <w:t>(1,87)</w:t>
            </w:r>
          </w:p>
        </w:tc>
        <w:tc>
          <w:tcPr>
            <w:tcW w:w="1488" w:type="pct"/>
            <w:shd w:val="clear" w:color="auto" w:fill="auto"/>
            <w:hideMark/>
          </w:tcPr>
          <w:p w14:paraId="52935ABA" w14:textId="77777777" w:rsidR="00E659A5" w:rsidRDefault="00C21592">
            <w:pPr>
              <w:jc w:val="both"/>
              <w:rPr>
                <w:color w:val="000000"/>
              </w:rPr>
            </w:pPr>
            <w:r>
              <w:rPr>
                <w:color w:val="000000"/>
              </w:rPr>
              <w:t>250</w:t>
            </w:r>
          </w:p>
          <w:p w14:paraId="7A0C730C" w14:textId="77777777" w:rsidR="00E659A5" w:rsidRDefault="00C21592">
            <w:pPr>
              <w:jc w:val="both"/>
              <w:rPr>
                <w:color w:val="000000"/>
              </w:rPr>
            </w:pPr>
            <w:r>
              <w:rPr>
                <w:color w:val="000000"/>
              </w:rPr>
              <w:t>(2,21)</w:t>
            </w:r>
          </w:p>
        </w:tc>
        <w:tc>
          <w:tcPr>
            <w:tcW w:w="969" w:type="pct"/>
            <w:shd w:val="clear" w:color="auto" w:fill="auto"/>
            <w:hideMark/>
          </w:tcPr>
          <w:p w14:paraId="4AA69FA0" w14:textId="77777777" w:rsidR="00E659A5" w:rsidRDefault="00C21592">
            <w:pPr>
              <w:jc w:val="both"/>
              <w:rPr>
                <w:color w:val="000000"/>
              </w:rPr>
            </w:pPr>
            <w:r>
              <w:rPr>
                <w:color w:val="000000"/>
              </w:rPr>
              <w:t>0,85 (0,70 – 1,02)</w:t>
            </w:r>
          </w:p>
          <w:p w14:paraId="75469829" w14:textId="77777777" w:rsidR="00E659A5" w:rsidRDefault="00C21592">
            <w:pPr>
              <w:jc w:val="both"/>
              <w:rPr>
                <w:color w:val="000000"/>
              </w:rPr>
            </w:pPr>
            <w:r>
              <w:rPr>
                <w:color w:val="000000"/>
              </w:rPr>
              <w:t>0,073</w:t>
            </w:r>
          </w:p>
        </w:tc>
      </w:tr>
    </w:tbl>
    <w:p w14:paraId="61650E35" w14:textId="77777777" w:rsidR="00E659A5" w:rsidRDefault="00C21592">
      <w:pPr>
        <w:jc w:val="both"/>
        <w:rPr>
          <w:color w:val="000000"/>
        </w:rPr>
      </w:pPr>
      <w:r>
        <w:rPr>
          <w:color w:val="000000"/>
        </w:rPr>
        <w:t>a) Populacija na kojoj se ocjenjuje bezbjednost, na terapiji</w:t>
      </w:r>
    </w:p>
    <w:p w14:paraId="7CDEE968" w14:textId="77777777" w:rsidR="00E659A5" w:rsidRDefault="00C21592">
      <w:pPr>
        <w:widowControl w:val="0"/>
        <w:jc w:val="both"/>
        <w:rPr>
          <w:color w:val="000000"/>
        </w:rPr>
      </w:pPr>
      <w:r>
        <w:rPr>
          <w:color w:val="000000"/>
        </w:rPr>
        <w:t>* Nominalno značajno</w:t>
      </w:r>
    </w:p>
    <w:p w14:paraId="0EAD390A" w14:textId="77777777" w:rsidR="00E659A5" w:rsidRDefault="00E659A5">
      <w:pPr>
        <w:widowControl w:val="0"/>
        <w:jc w:val="both"/>
        <w:rPr>
          <w:color w:val="000000"/>
        </w:rPr>
      </w:pPr>
    </w:p>
    <w:p w14:paraId="2671EAA8" w14:textId="77777777" w:rsidR="00E659A5" w:rsidRDefault="00C21592">
      <w:pPr>
        <w:pStyle w:val="Default"/>
        <w:jc w:val="both"/>
        <w:rPr>
          <w:sz w:val="22"/>
          <w:szCs w:val="22"/>
          <w:lang w:val="hr-HR"/>
        </w:rPr>
      </w:pPr>
      <w:r>
        <w:rPr>
          <w:sz w:val="22"/>
          <w:szCs w:val="22"/>
          <w:lang w:val="hr-HR"/>
        </w:rPr>
        <w:t>Dodatno, uz ispitivanje faze III ROCKET AF, sprovedeno je prospektivno, neintervencijsko, otvoreno ispitivanje kohorte sa jednom grupom (XANTUS), nakon stavljanja lijeka u promet, sa centralnom ocjenom ishoda koji su uključivali tromboembolijske događaje i velika krvarenja. Bilo je uključeno 6704 pacijenata sa nevalvularnom atrijalnom fibrilacijom u cilju prevencije moždanog udara i ne-CNS sistemske embolije u kliničkoj praksi. U ispitivanju XANTUS srednja vrijednost CHADS</w:t>
      </w:r>
      <w:r>
        <w:rPr>
          <w:sz w:val="22"/>
          <w:szCs w:val="22"/>
          <w:vertAlign w:val="subscript"/>
          <w:lang w:val="hr-HR"/>
        </w:rPr>
        <w:t>2</w:t>
      </w:r>
      <w:r>
        <w:rPr>
          <w:sz w:val="22"/>
          <w:szCs w:val="22"/>
          <w:lang w:val="hr-HR"/>
        </w:rPr>
        <w:t xml:space="preserve"> skora je bila 1.9 i HAS-BLED skora je bila 2,0, u odnosu na ispitivanje ROCKET AF, gdje je srednja vrijednost za CHADS</w:t>
      </w:r>
      <w:r>
        <w:rPr>
          <w:sz w:val="22"/>
          <w:szCs w:val="22"/>
          <w:vertAlign w:val="subscript"/>
          <w:lang w:val="hr-HR"/>
        </w:rPr>
        <w:t>2</w:t>
      </w:r>
      <w:r>
        <w:rPr>
          <w:sz w:val="22"/>
          <w:szCs w:val="22"/>
          <w:lang w:val="hr-HR"/>
        </w:rPr>
        <w:t xml:space="preserve"> skor bila 3,5, a srednja vrijednost za HAS-BLED skor 2,8. Velika krvarenja javila su se kod 2,1 na 100 pacijent-godina. Smrtonosno krvarenje prijavljeno je kod 0,2 na 100 pacijent-godina, a intrakranijalno krvarenje kod 0,4 na 100 pacijent-godina. Moždani udar ili ne-CNS  sistemska embolija zabilježeni su kod 0,8 na 100 pacijent-godina. </w:t>
      </w:r>
    </w:p>
    <w:p w14:paraId="7B440771" w14:textId="77777777" w:rsidR="00E659A5" w:rsidRDefault="00C21592">
      <w:pPr>
        <w:widowControl w:val="0"/>
        <w:jc w:val="both"/>
        <w:rPr>
          <w:rFonts w:eastAsia="Calibri"/>
        </w:rPr>
      </w:pPr>
      <w:r>
        <w:t>Ova opažanja u kliničkoj praksi su u skladu sa ustanovljenim bezbjednosnim profilom za ovu indikaciju.</w:t>
      </w:r>
    </w:p>
    <w:p w14:paraId="7BDE8723" w14:textId="77777777" w:rsidR="00E659A5" w:rsidRDefault="00E659A5">
      <w:pPr>
        <w:widowControl w:val="0"/>
        <w:jc w:val="both"/>
        <w:rPr>
          <w:rFonts w:eastAsia="Calibri"/>
        </w:rPr>
      </w:pPr>
    </w:p>
    <w:p w14:paraId="22F34B1E" w14:textId="77777777" w:rsidR="00E659A5" w:rsidRDefault="00C21592">
      <w:pPr>
        <w:widowControl w:val="0"/>
        <w:jc w:val="both"/>
        <w:rPr>
          <w:rFonts w:eastAsia="Calibri"/>
        </w:rPr>
      </w:pPr>
      <w:r>
        <w:rPr>
          <w:rFonts w:eastAsia="Calibri"/>
          <w:lang w:val="mk-MK"/>
        </w:rPr>
        <w:t>U neintervencijskoj studiji, sprovedenoj nakon stavljanja l</w:t>
      </w:r>
      <w:r>
        <w:rPr>
          <w:rFonts w:eastAsia="Calibri"/>
          <w:lang w:val="sr-Latn-ME"/>
        </w:rPr>
        <w:t>ij</w:t>
      </w:r>
      <w:r>
        <w:rPr>
          <w:rFonts w:eastAsia="Calibri"/>
          <w:lang w:val="mk-MK"/>
        </w:rPr>
        <w:t>eka u promet, kod vi</w:t>
      </w:r>
      <w:r>
        <w:rPr>
          <w:rFonts w:eastAsia="Calibri" w:hint="eastAsia"/>
          <w:lang w:val="mk-MK"/>
        </w:rPr>
        <w:t>š</w:t>
      </w:r>
      <w:r>
        <w:rPr>
          <w:rFonts w:eastAsia="Calibri"/>
          <w:lang w:val="mk-MK"/>
        </w:rPr>
        <w:t>e od 162</w:t>
      </w:r>
      <w:r w:rsidR="004F6139">
        <w:rPr>
          <w:rFonts w:eastAsia="Calibri"/>
          <w:lang w:val="sr-Latn-ME"/>
        </w:rPr>
        <w:t xml:space="preserve"> </w:t>
      </w:r>
      <w:r>
        <w:rPr>
          <w:rFonts w:eastAsia="Calibri"/>
          <w:lang w:val="mk-MK"/>
        </w:rPr>
        <w:t xml:space="preserve">000 pacijenata iz </w:t>
      </w:r>
      <w:r>
        <w:rPr>
          <w:rFonts w:eastAsia="Calibri" w:hint="eastAsia"/>
          <w:lang w:val="mk-MK"/>
        </w:rPr>
        <w:t>č</w:t>
      </w:r>
      <w:r>
        <w:rPr>
          <w:rFonts w:eastAsia="Calibri"/>
          <w:lang w:val="mk-MK"/>
        </w:rPr>
        <w:t>etiri</w:t>
      </w:r>
      <w:r>
        <w:rPr>
          <w:rFonts w:eastAsia="Calibri"/>
          <w:lang w:val="sr-Latn-ME"/>
        </w:rPr>
        <w:t xml:space="preserve"> </w:t>
      </w:r>
      <w:r>
        <w:rPr>
          <w:rFonts w:eastAsia="Calibri"/>
          <w:lang w:val="mk-MK"/>
        </w:rPr>
        <w:t>zemlje, rivaroksaban je propisan za prevenciju mo</w:t>
      </w:r>
      <w:r>
        <w:rPr>
          <w:rFonts w:eastAsia="Calibri" w:hint="eastAsia"/>
          <w:lang w:val="mk-MK"/>
        </w:rPr>
        <w:t>ž</w:t>
      </w:r>
      <w:r>
        <w:rPr>
          <w:rFonts w:eastAsia="Calibri"/>
          <w:lang w:val="mk-MK"/>
        </w:rPr>
        <w:t>danog udara i sistemske embolije kod pacijenata sa</w:t>
      </w:r>
      <w:r>
        <w:rPr>
          <w:rFonts w:eastAsia="Calibri"/>
          <w:lang w:val="sr-Latn-ME"/>
        </w:rPr>
        <w:t xml:space="preserve"> </w:t>
      </w:r>
      <w:r>
        <w:rPr>
          <w:rFonts w:eastAsia="Calibri"/>
          <w:lang w:val="mk-MK"/>
        </w:rPr>
        <w:t>nevalvularnom atrijalnom fibrilacijom. Stopa doga</w:t>
      </w:r>
      <w:r>
        <w:rPr>
          <w:rFonts w:eastAsia="Calibri" w:hint="eastAsia"/>
          <w:lang w:val="mk-MK"/>
        </w:rPr>
        <w:t>đ</w:t>
      </w:r>
      <w:r>
        <w:rPr>
          <w:rFonts w:eastAsia="Calibri"/>
          <w:lang w:val="mk-MK"/>
        </w:rPr>
        <w:t>aja za ishemijski mo</w:t>
      </w:r>
      <w:r>
        <w:rPr>
          <w:rFonts w:eastAsia="Calibri" w:hint="eastAsia"/>
          <w:lang w:val="mk-MK"/>
        </w:rPr>
        <w:t>ž</w:t>
      </w:r>
      <w:r>
        <w:rPr>
          <w:rFonts w:eastAsia="Calibri"/>
          <w:lang w:val="mk-MK"/>
        </w:rPr>
        <w:t xml:space="preserve">dani udar bila je </w:t>
      </w:r>
      <w:r>
        <w:rPr>
          <w:rFonts w:eastAsia="Calibri"/>
          <w:lang w:val="mk-MK"/>
        </w:rPr>
        <w:lastRenderedPageBreak/>
        <w:t>0,70 (95% CI 0,44 -</w:t>
      </w:r>
      <w:r>
        <w:rPr>
          <w:rFonts w:eastAsia="Calibri"/>
          <w:lang w:val="sr-Latn-ME"/>
        </w:rPr>
        <w:t xml:space="preserve"> </w:t>
      </w:r>
      <w:r>
        <w:rPr>
          <w:rFonts w:eastAsia="Calibri"/>
          <w:lang w:val="mk-MK"/>
        </w:rPr>
        <w:t>1,13) na 100 pacijent-godina. Krvarenje koje je zaht</w:t>
      </w:r>
      <w:r>
        <w:rPr>
          <w:rFonts w:eastAsia="Calibri"/>
          <w:lang w:val="sr-Latn-ME"/>
        </w:rPr>
        <w:t>ij</w:t>
      </w:r>
      <w:r>
        <w:rPr>
          <w:rFonts w:eastAsia="Calibri"/>
          <w:lang w:val="mk-MK"/>
        </w:rPr>
        <w:t xml:space="preserve">evalo </w:t>
      </w:r>
      <w:r>
        <w:rPr>
          <w:rFonts w:eastAsia="Calibri"/>
          <w:lang w:val="sr-Latn-ME"/>
        </w:rPr>
        <w:t>hospitalizaciju</w:t>
      </w:r>
      <w:r>
        <w:rPr>
          <w:rFonts w:eastAsia="Calibri"/>
          <w:lang w:val="mk-MK"/>
        </w:rPr>
        <w:t xml:space="preserve"> de</w:t>
      </w:r>
      <w:r>
        <w:rPr>
          <w:rFonts w:eastAsia="Calibri" w:hint="eastAsia"/>
          <w:lang w:val="mk-MK"/>
        </w:rPr>
        <w:t>š</w:t>
      </w:r>
      <w:r>
        <w:rPr>
          <w:rFonts w:eastAsia="Calibri"/>
          <w:lang w:val="mk-MK"/>
        </w:rPr>
        <w:t>avalo se pri stopama doga</w:t>
      </w:r>
      <w:r>
        <w:rPr>
          <w:rFonts w:eastAsia="Calibri" w:hint="eastAsia"/>
          <w:lang w:val="mk-MK"/>
        </w:rPr>
        <w:t>đ</w:t>
      </w:r>
      <w:r>
        <w:rPr>
          <w:rFonts w:eastAsia="Calibri"/>
          <w:lang w:val="mk-MK"/>
        </w:rPr>
        <w:t>aja na 100</w:t>
      </w:r>
      <w:r>
        <w:rPr>
          <w:rFonts w:eastAsia="Calibri"/>
          <w:lang w:val="sr-Latn-ME"/>
        </w:rPr>
        <w:t xml:space="preserve"> </w:t>
      </w:r>
      <w:r>
        <w:rPr>
          <w:rFonts w:eastAsia="Calibri"/>
          <w:lang w:val="mk-MK"/>
        </w:rPr>
        <w:t>pacijent-godina od 0,43 (95% CI 0,31 - 0,59) za intrakranijalno krvarenje, 1,04 (95% CI 0,65 - 1,66) za</w:t>
      </w:r>
      <w:r>
        <w:rPr>
          <w:rFonts w:eastAsia="Calibri"/>
          <w:lang w:val="sr-Latn-ME"/>
        </w:rPr>
        <w:t xml:space="preserve"> </w:t>
      </w:r>
      <w:r>
        <w:rPr>
          <w:rFonts w:eastAsia="Calibri"/>
          <w:lang w:val="mk-MK"/>
        </w:rPr>
        <w:t>gastrointestinalno krvarenje, 0,41% (95% CI 0.31 - 0.53) za urogenitalno krvarenje i 0,40 (95% CI 0,25 - 0,65)</w:t>
      </w:r>
      <w:r>
        <w:rPr>
          <w:rFonts w:eastAsia="Calibri"/>
          <w:lang w:val="sr-Latn-ME"/>
        </w:rPr>
        <w:t xml:space="preserve"> </w:t>
      </w:r>
      <w:r>
        <w:rPr>
          <w:rFonts w:eastAsia="Calibri"/>
          <w:lang w:val="mk-MK"/>
        </w:rPr>
        <w:t>za druga krvarenja.</w:t>
      </w:r>
    </w:p>
    <w:p w14:paraId="6A958C0C" w14:textId="77777777" w:rsidR="00E659A5" w:rsidRDefault="00E659A5">
      <w:pPr>
        <w:widowControl w:val="0"/>
        <w:jc w:val="both"/>
        <w:rPr>
          <w:rFonts w:eastAsia="Calibri"/>
        </w:rPr>
      </w:pPr>
    </w:p>
    <w:p w14:paraId="062A9383" w14:textId="77777777" w:rsidR="00E659A5" w:rsidRDefault="00C21592">
      <w:pPr>
        <w:pStyle w:val="Default"/>
        <w:jc w:val="both"/>
        <w:rPr>
          <w:sz w:val="22"/>
          <w:szCs w:val="22"/>
          <w:u w:val="single"/>
          <w:lang w:val="hr-HR"/>
        </w:rPr>
      </w:pPr>
      <w:r>
        <w:rPr>
          <w:sz w:val="22"/>
          <w:szCs w:val="22"/>
          <w:u w:val="single"/>
          <w:lang w:val="hr-HR"/>
        </w:rPr>
        <w:t>Paijcenti koji se podvrgavaju kardioverziji</w:t>
      </w:r>
    </w:p>
    <w:p w14:paraId="2A69B254" w14:textId="77777777" w:rsidR="00E659A5" w:rsidRDefault="00C21592">
      <w:pPr>
        <w:widowControl w:val="0"/>
        <w:jc w:val="both"/>
      </w:pPr>
      <w:r>
        <w:t>Sprovedena je prospektivna, randomizovana, otvorena, multicentrična, eksplorativna studija sa slijepom završnom evaluacijom (X-VERT) kod 1504 pacijenata (sa ili bez prethodne terapije oralnim antikoagulansima) sa nevalvularnom atrijalnom fibrilacijom kod kojih je bila zakazana kardioverzija, da bi se uporedili rivaroksaban i dozno-prilagođeni VKA (randomizacija 2:1) u prevenciji kardiovaskularnih događaja. Korišćene su metode kardioverzije vođene transezofagealnim ehokardiogramom (s prethodnim liječenjem u trajanju od 1 – 5 dana) ili konvencionalne kardioverzije (s prethodnim liječenjem najmanje 3 nedjelje). Primarni ishod efikasnosti (moždani udar, tranzitorni ishemijski atak, ne-CNS sistemska embolija, infarkt miokarda i kardiovaskularna smrt) pojavio se kod 5 (0,5%) pacijenata u rivaroksaban grupi (n=978), odnosno kod 5 (1,0%) pacijenata u VKA grupi (n=492; RR 0,50; 95 % CI 0,15-1,73; modifikovana ITT populacija). Glavni bezbjednosni ishod (veliko krvarenje) pojavio se, redom, kod 6 (0,6%) i 4 (0,8%) pacijenta na rivaroksabanu (n=988), odnosno VKA (n=499) grupi (RR 0,76; 95% CI 0,21-2,67; bezbjednosna populacija). Ova eksplorativna studija je pokazala uporedivu efikasnost i bezbjednost između terapijskih grupa rivaroksabana i VKA u slučaju kardioverzije.</w:t>
      </w:r>
    </w:p>
    <w:p w14:paraId="33EAFAA9" w14:textId="77777777" w:rsidR="00E659A5" w:rsidRDefault="00E659A5">
      <w:pPr>
        <w:widowControl w:val="0"/>
        <w:jc w:val="both"/>
      </w:pPr>
    </w:p>
    <w:p w14:paraId="589EFD6F" w14:textId="77777777" w:rsidR="00E659A5" w:rsidRDefault="00C21592">
      <w:pPr>
        <w:pStyle w:val="Default"/>
        <w:jc w:val="both"/>
        <w:rPr>
          <w:sz w:val="22"/>
          <w:szCs w:val="22"/>
          <w:u w:val="single"/>
          <w:lang w:val="hr-HR"/>
        </w:rPr>
      </w:pPr>
      <w:r>
        <w:rPr>
          <w:sz w:val="22"/>
          <w:szCs w:val="22"/>
          <w:u w:val="single"/>
          <w:lang w:val="hr-HR"/>
        </w:rPr>
        <w:t>Pacijenti sa nevalvularnom atrijalnom fibrilacijom koji se podvrgavaju PCI sa postavljanjem stenta</w:t>
      </w:r>
    </w:p>
    <w:p w14:paraId="666D7592" w14:textId="77777777" w:rsidR="00E659A5" w:rsidRDefault="00C21592">
      <w:pPr>
        <w:pStyle w:val="Default"/>
        <w:jc w:val="both"/>
        <w:rPr>
          <w:sz w:val="22"/>
          <w:szCs w:val="22"/>
          <w:lang w:val="hr-HR"/>
        </w:rPr>
      </w:pPr>
      <w:r>
        <w:rPr>
          <w:sz w:val="22"/>
          <w:szCs w:val="22"/>
          <w:lang w:val="hr-HR"/>
        </w:rPr>
        <w:t>Randomizovana, otvorena, multicentrična studija (</w:t>
      </w:r>
      <w:r>
        <w:rPr>
          <w:sz w:val="22"/>
          <w:szCs w:val="22"/>
          <w:lang w:val="hr-HR" w:eastAsia="en-US"/>
        </w:rPr>
        <w:t>PIONEER AF-PCI</w:t>
      </w:r>
      <w:r>
        <w:rPr>
          <w:sz w:val="22"/>
          <w:szCs w:val="22"/>
          <w:lang w:val="hr-HR"/>
        </w:rPr>
        <w:t>) je sprovedena kod 2124 pacijenata sa nevalvularnom atrijalnom fibrilacijom koji su bili podvrgnuti PCI sa postavljanjem stenta kod primarne ateroskleroze, u cilju poređenja bezbjednosti primjene dva terapijska režima sa rivaroksabanom i jednog terapijskog režima sa antagonistom vitamina K (VKA). Pacijenti su bili nasumično raspoređivani u odnosu 1:1:1 za cjelokupno trajanje 12-mjesečne terapije. Pacijenti sa moždanim udarom ili TIA u anamnezi su bili izuzeti iz studije.</w:t>
      </w:r>
    </w:p>
    <w:p w14:paraId="1044519C" w14:textId="77777777" w:rsidR="00E659A5" w:rsidRDefault="00C21592">
      <w:pPr>
        <w:pStyle w:val="Default"/>
        <w:jc w:val="both"/>
        <w:rPr>
          <w:sz w:val="22"/>
          <w:szCs w:val="22"/>
          <w:lang w:val="hr-HR"/>
        </w:rPr>
      </w:pPr>
      <w:r>
        <w:rPr>
          <w:sz w:val="22"/>
          <w:szCs w:val="22"/>
          <w:lang w:val="hr-HR"/>
        </w:rPr>
        <w:t xml:space="preserve">Grupa 1 je primala 15 mg rivaroksabana jednom dnevno (10 mg jednom dnevno kod pacijenata sa klirensom kreatinina 30 </w:t>
      </w:r>
      <w:r>
        <w:rPr>
          <w:sz w:val="22"/>
          <w:szCs w:val="22"/>
          <w:lang w:val="hr-HR" w:eastAsia="en-US"/>
        </w:rPr>
        <w:t>–</w:t>
      </w:r>
      <w:r>
        <w:rPr>
          <w:sz w:val="22"/>
          <w:szCs w:val="22"/>
          <w:lang w:val="hr-HR"/>
        </w:rPr>
        <w:t xml:space="preserve"> 49 ml/min) uz P2Y12 inhibitor. Grupa 2 je primala 2,5 mg rivaroksabana dva puta na dan uz dvojnu antitrombocitnu terapiju (tj. klopidogrel u dozi od 75 mg [ili drugi P2Y12 inhibitor] uz nisku dozu acetilsalicilne kiseline [ASK]) tokom 1, 6 ili 12 mjeseci nakon čega je uvođen rivaroksaban u dozi od 15 mg (ili 10 mg za ispitanike sa klirensom kreatinina 30 – 49 ml/min) jednom dnevno uz nisku dozu ASK. Grupa 3 je primala prilagođenu dozu antagonista vitamina K (VKA) uz dvojnu antitrombocitnu terapiju tokom 1, 6 ili 12 mjeseci nakon čega su pacijenti prevođeni na terapiju antagonistima vitamina K (VKA) uz nisku dozu ASK.</w:t>
      </w:r>
    </w:p>
    <w:p w14:paraId="27FB92E8" w14:textId="77777777" w:rsidR="00E659A5" w:rsidRDefault="00C21592">
      <w:pPr>
        <w:pStyle w:val="Default"/>
        <w:jc w:val="both"/>
        <w:rPr>
          <w:sz w:val="22"/>
          <w:szCs w:val="22"/>
          <w:lang w:val="hr-HR"/>
        </w:rPr>
      </w:pPr>
      <w:r>
        <w:rPr>
          <w:sz w:val="22"/>
          <w:szCs w:val="22"/>
          <w:lang w:val="hr-HR"/>
        </w:rPr>
        <w:t>Primarni parametar praćenja bezbjednosti, klinički značajna krvarenja, javila su se kod 109 (15,7%) ispitanika u prvoj grupi, kod 117 (16,6%) u drugoj grupi, odnosno kod 167 (24,0%) ispitanika u trećoj grupi (prva grupa u odnosu na treću grupuu HR 0,59; 95% CI 0,47-0,76; p&lt; 0,001; druga grupa u odnosu na treću grupu HR 0,63; 95% CI 0,50-0,80; p&lt; 0,001). Sekundarni parametar praćenja (zbir kardiovaslularnih događaja – kardiovaskularna smrt, infarkt miokard ili moždani udar) javio se kod 41 (5,9%) ispitanika u prvoj grupi, kod 36 (5,1%) u drugoj grupi, odnosno kod 36 (5,2%) u trećoj grupi. Svaki od režima sa rivaroksabanom pokazao je značajno smanjenje klinički značajnih krvarenja u poređenju sa VKA režimom kod pacijenata sa nevalvularnom atrijalnom fibrilacijom koji su se podvrgnuli PCI sa postavljanjem stenta.</w:t>
      </w:r>
    </w:p>
    <w:p w14:paraId="793FA1D3" w14:textId="77777777" w:rsidR="00E659A5" w:rsidRDefault="00C21592">
      <w:pPr>
        <w:widowControl w:val="0"/>
        <w:jc w:val="both"/>
        <w:rPr>
          <w:rFonts w:eastAsia="Calibri"/>
        </w:rPr>
      </w:pPr>
      <w:r>
        <w:t>Osnovni cilj PIONEER AF-PCI studije bio je procjena bezjednosti primjene. Podaci o efikasnosti (uključujući tromboembolijske događaje) u ovoj populaciji su ograničeni.</w:t>
      </w:r>
    </w:p>
    <w:p w14:paraId="193009CD" w14:textId="77777777" w:rsidR="00E659A5" w:rsidRDefault="00E659A5">
      <w:pPr>
        <w:widowControl w:val="0"/>
        <w:jc w:val="both"/>
        <w:rPr>
          <w:rFonts w:eastAsia="Calibri"/>
        </w:rPr>
      </w:pPr>
    </w:p>
    <w:p w14:paraId="62F4B18C" w14:textId="77777777" w:rsidR="00E659A5" w:rsidRDefault="00C21592">
      <w:pPr>
        <w:pStyle w:val="Default"/>
        <w:jc w:val="both"/>
        <w:rPr>
          <w:sz w:val="22"/>
          <w:szCs w:val="22"/>
          <w:lang w:val="hr-HR"/>
        </w:rPr>
      </w:pPr>
      <w:r>
        <w:rPr>
          <w:i/>
          <w:iCs/>
          <w:sz w:val="22"/>
          <w:szCs w:val="22"/>
          <w:lang w:val="hr-HR"/>
        </w:rPr>
        <w:t>Liječenje TDV, PE i prevencija rekurentnte TDV i PE</w:t>
      </w:r>
    </w:p>
    <w:p w14:paraId="604C2AEA" w14:textId="77777777" w:rsidR="00E659A5" w:rsidRDefault="00C21592">
      <w:pPr>
        <w:pStyle w:val="Default"/>
        <w:jc w:val="both"/>
        <w:rPr>
          <w:sz w:val="22"/>
          <w:szCs w:val="22"/>
          <w:lang w:val="hr-HR"/>
        </w:rPr>
      </w:pPr>
      <w:r>
        <w:rPr>
          <w:sz w:val="22"/>
          <w:szCs w:val="22"/>
          <w:lang w:val="hr-HR"/>
        </w:rPr>
        <w:t>Klinički program za rivaroksaban dizajniran je tako da pokaže efikasnost rivaroksabana u inicijalnom i kontinuiranom liječenju akutne TDV i PE, kao i njihovih recidiva.</w:t>
      </w:r>
    </w:p>
    <w:p w14:paraId="651731CA" w14:textId="77777777" w:rsidR="00E659A5" w:rsidRDefault="00C21592">
      <w:pPr>
        <w:widowControl w:val="0"/>
        <w:jc w:val="both"/>
        <w:rPr>
          <w:rFonts w:eastAsia="Calibri"/>
        </w:rPr>
      </w:pPr>
      <w:r>
        <w:t>Ispitano je preko 12800 pacijenata u četiri randomizovane kontrolisane kliničke studije faze III (</w:t>
      </w:r>
      <w:r>
        <w:rPr>
          <w:i/>
        </w:rPr>
        <w:t>Einstein</w:t>
      </w:r>
      <w:r>
        <w:t xml:space="preserve"> DVT, </w:t>
      </w:r>
      <w:r>
        <w:rPr>
          <w:i/>
        </w:rPr>
        <w:t>Einstein</w:t>
      </w:r>
      <w:r>
        <w:t xml:space="preserve"> PE, </w:t>
      </w:r>
      <w:r>
        <w:rPr>
          <w:i/>
        </w:rPr>
        <w:t>Einstein Extension</w:t>
      </w:r>
      <w:r>
        <w:t xml:space="preserve"> i </w:t>
      </w:r>
      <w:r>
        <w:rPr>
          <w:i/>
        </w:rPr>
        <w:t>Einstein Choice</w:t>
      </w:r>
      <w:r>
        <w:t xml:space="preserve">), a dodatno je sprovedena i unaprijed definisana zbirna analiza </w:t>
      </w:r>
      <w:r>
        <w:rPr>
          <w:i/>
        </w:rPr>
        <w:t>Einstein</w:t>
      </w:r>
      <w:r>
        <w:t xml:space="preserve"> DVT i </w:t>
      </w:r>
      <w:r>
        <w:rPr>
          <w:i/>
        </w:rPr>
        <w:t>Einstein</w:t>
      </w:r>
      <w:r>
        <w:t xml:space="preserve"> PE studija. Ukupno zbirno trajanje liječenja u svim studijama bilo je do 21 mjesec.</w:t>
      </w:r>
    </w:p>
    <w:p w14:paraId="45DE09F8" w14:textId="77777777" w:rsidR="00E659A5" w:rsidRDefault="00E659A5">
      <w:pPr>
        <w:widowControl w:val="0"/>
        <w:jc w:val="both"/>
        <w:rPr>
          <w:rFonts w:eastAsia="Calibri"/>
        </w:rPr>
      </w:pPr>
    </w:p>
    <w:p w14:paraId="72314509" w14:textId="77777777" w:rsidR="00E659A5" w:rsidRDefault="00C21592">
      <w:pPr>
        <w:widowControl w:val="0"/>
        <w:jc w:val="both"/>
        <w:rPr>
          <w:rFonts w:eastAsia="Calibri"/>
        </w:rPr>
      </w:pPr>
      <w:r>
        <w:lastRenderedPageBreak/>
        <w:t xml:space="preserve">U </w:t>
      </w:r>
      <w:r>
        <w:rPr>
          <w:i/>
        </w:rPr>
        <w:t>Einstein</w:t>
      </w:r>
      <w:r>
        <w:t xml:space="preserve"> DVT studiji ispitivano je liječenje TDV i prevencija rekurentne TDV i PE (pacijenti sa simptomatskom PE nisu bili uključeni u ovu studiju) kod 3449 pacijenata sa akutnom TDV. Liječenje je trajalo 3, 6 ili 12 mjeseci u zavisnosti od kliničke procjene ispitivača.</w:t>
      </w:r>
    </w:p>
    <w:p w14:paraId="67325138" w14:textId="77777777" w:rsidR="00E659A5" w:rsidRDefault="00C21592">
      <w:pPr>
        <w:widowControl w:val="0"/>
        <w:jc w:val="both"/>
        <w:rPr>
          <w:rFonts w:eastAsia="Calibri"/>
        </w:rPr>
      </w:pPr>
      <w:r>
        <w:t>Tokom prve 3 nedjelje liječenja akutne TDV primjenjivao se rivaroksaban od 15 mg dva puta na dan, a nakon toga rivaroksaban od 20 mg jednom dnevno.</w:t>
      </w:r>
    </w:p>
    <w:p w14:paraId="1062C15D" w14:textId="77777777" w:rsidR="00E659A5" w:rsidRDefault="00E659A5">
      <w:pPr>
        <w:widowControl w:val="0"/>
        <w:jc w:val="both"/>
        <w:rPr>
          <w:rFonts w:eastAsia="Calibri"/>
        </w:rPr>
      </w:pPr>
    </w:p>
    <w:p w14:paraId="37A0D577" w14:textId="77777777" w:rsidR="00E659A5" w:rsidRDefault="00C21592">
      <w:pPr>
        <w:pStyle w:val="Default"/>
        <w:jc w:val="both"/>
        <w:rPr>
          <w:sz w:val="22"/>
          <w:szCs w:val="22"/>
          <w:lang w:val="hr-HR"/>
        </w:rPr>
      </w:pPr>
      <w:r>
        <w:rPr>
          <w:sz w:val="22"/>
          <w:szCs w:val="22"/>
          <w:lang w:val="hr-HR"/>
        </w:rPr>
        <w:t xml:space="preserve">U </w:t>
      </w:r>
      <w:r>
        <w:rPr>
          <w:i/>
          <w:sz w:val="22"/>
          <w:szCs w:val="22"/>
          <w:lang w:val="hr-HR"/>
        </w:rPr>
        <w:t>Einstein</w:t>
      </w:r>
      <w:r>
        <w:rPr>
          <w:sz w:val="22"/>
          <w:szCs w:val="22"/>
          <w:lang w:val="hr-HR"/>
        </w:rPr>
        <w:t xml:space="preserve"> PE studiji ispitivano je liječenje PE i prevencija rekurentne TDV i PE kod 4832 pacijenata sa akutnom PE. Liječenje je trajalo 3, 6 ili 12 mjeseci u zavisnosti od kliničke procjene ispitivača.</w:t>
      </w:r>
    </w:p>
    <w:p w14:paraId="302A176A" w14:textId="77777777" w:rsidR="00E659A5" w:rsidRDefault="00C21592">
      <w:pPr>
        <w:widowControl w:val="0"/>
        <w:jc w:val="both"/>
        <w:rPr>
          <w:rFonts w:eastAsia="Calibri"/>
        </w:rPr>
      </w:pPr>
      <w:r>
        <w:t>Za početno liječenje akutne PE primjenjivao se rivaroksaban od 15 mg dva puta na dan tokom tri nedjelje, a nakon toga rivaroksaban od 20 mg jednom dnevno.</w:t>
      </w:r>
    </w:p>
    <w:p w14:paraId="59D10789" w14:textId="77777777" w:rsidR="00E659A5" w:rsidRDefault="00E659A5">
      <w:pPr>
        <w:widowControl w:val="0"/>
        <w:jc w:val="both"/>
        <w:rPr>
          <w:rFonts w:eastAsia="Calibri"/>
        </w:rPr>
      </w:pPr>
    </w:p>
    <w:p w14:paraId="431AFE4B" w14:textId="77777777" w:rsidR="00E659A5" w:rsidRDefault="00C21592">
      <w:pPr>
        <w:widowControl w:val="0"/>
        <w:jc w:val="both"/>
      </w:pPr>
      <w:r>
        <w:t xml:space="preserve">U obje studije, </w:t>
      </w:r>
      <w:r>
        <w:rPr>
          <w:i/>
        </w:rPr>
        <w:t>Einstein</w:t>
      </w:r>
      <w:r>
        <w:t xml:space="preserve"> DVT i </w:t>
      </w:r>
      <w:r>
        <w:rPr>
          <w:i/>
        </w:rPr>
        <w:t>Einstein</w:t>
      </w:r>
      <w:r>
        <w:t xml:space="preserve"> PE, terapija u kontrolnoj grupi sastojala se od enoksaparina primjenjivanog najmanje 5 dana u kombinaciji sa liječenjem antagonistom vitamina K sve dok PT/INR nije bio u terapijskom rasponu (≥ 2,0). Liječenje je nastavljeno prilagođenom dozom antagonista vitamina K kako bi se vrijednosti PT/INR održale unutar terapijskog raspona od 2,0 do 3,0.</w:t>
      </w:r>
    </w:p>
    <w:p w14:paraId="7D9A4FD2" w14:textId="77777777" w:rsidR="00E659A5" w:rsidRDefault="00E659A5">
      <w:pPr>
        <w:widowControl w:val="0"/>
        <w:jc w:val="both"/>
      </w:pPr>
    </w:p>
    <w:p w14:paraId="23F51D8F" w14:textId="77777777" w:rsidR="00E659A5" w:rsidRDefault="00C21592">
      <w:pPr>
        <w:widowControl w:val="0"/>
        <w:jc w:val="both"/>
        <w:rPr>
          <w:rFonts w:eastAsia="Calibri"/>
        </w:rPr>
      </w:pPr>
      <w:r>
        <w:t xml:space="preserve">U </w:t>
      </w:r>
      <w:r>
        <w:rPr>
          <w:i/>
        </w:rPr>
        <w:t>Einstein Extension</w:t>
      </w:r>
      <w:r>
        <w:t xml:space="preserve"> studiji proučavana je prevencija rekurentne TDV i PE kod 1197 pacijenata sa TDV ili PE. Liječenje je trajalo dodatnih 6 ili 12 mjeseci, kod pacijenata koji su završili 6 do 12 mjeseci liječenja zbog venske tromboembolije, u zavisnosti od kliničke procjene ispitivača. Terapija rivaroksabanom od 20 mg jednom dnevno poređena je sa placebom.</w:t>
      </w:r>
    </w:p>
    <w:p w14:paraId="0D7BAA94" w14:textId="77777777" w:rsidR="00E659A5" w:rsidRDefault="00E659A5">
      <w:pPr>
        <w:widowControl w:val="0"/>
        <w:jc w:val="both"/>
        <w:rPr>
          <w:rFonts w:eastAsia="Calibri"/>
        </w:rPr>
      </w:pPr>
    </w:p>
    <w:p w14:paraId="5C4BA902" w14:textId="77777777" w:rsidR="00E659A5" w:rsidRDefault="00C21592">
      <w:pPr>
        <w:widowControl w:val="0"/>
        <w:jc w:val="both"/>
        <w:rPr>
          <w:rFonts w:eastAsia="Calibri"/>
        </w:rPr>
      </w:pPr>
      <w:r>
        <w:t xml:space="preserve">U </w:t>
      </w:r>
      <w:r>
        <w:rPr>
          <w:i/>
        </w:rPr>
        <w:t>Einstein</w:t>
      </w:r>
      <w:r>
        <w:t xml:space="preserve"> DVT, PE i </w:t>
      </w:r>
      <w:r>
        <w:rPr>
          <w:i/>
        </w:rPr>
        <w:t>Extension</w:t>
      </w:r>
      <w:r>
        <w:t xml:space="preserve"> studijama koristili su se isti unaprijed definisani primarni i sekundarni ishodi efikasnosti. Primarni ishod efikasnosti bila je simptomatska rekurentna venska tromboembolija definisana kao zbir rekurentnih TDV ili fatalnih ili nefatalnih PE. Sekundarni ishod efikasnosti bio je definisan kao zbir rekurentne TDV, nefatalne PE i mortaliteta usljed svih uzroka.</w:t>
      </w:r>
    </w:p>
    <w:p w14:paraId="5D9FA93C" w14:textId="77777777" w:rsidR="00E659A5" w:rsidRDefault="00E659A5">
      <w:pPr>
        <w:widowControl w:val="0"/>
        <w:jc w:val="both"/>
        <w:rPr>
          <w:rFonts w:eastAsia="Calibri"/>
        </w:rPr>
      </w:pPr>
    </w:p>
    <w:p w14:paraId="512C5822" w14:textId="77777777" w:rsidR="00E659A5" w:rsidRDefault="00C21592">
      <w:pPr>
        <w:widowControl w:val="0"/>
        <w:jc w:val="both"/>
        <w:rPr>
          <w:rFonts w:eastAsia="Calibri"/>
        </w:rPr>
      </w:pPr>
      <w:r>
        <w:t xml:space="preserve">U </w:t>
      </w:r>
      <w:r>
        <w:rPr>
          <w:i/>
        </w:rPr>
        <w:t>Einstein Choice</w:t>
      </w:r>
      <w:r>
        <w:t xml:space="preserve"> studiji ispitivana je prevencija fatalne PE ili nefatalne simptomatske rekurentne TDV ili PE kod 3396 pacijenata sa potvrđenom simptomatskom TDV i/ili PE koji su završili 6 do 12 mjeseci antikoagulantne terapije. Pacijenti sa indikacijom za kontinuiranom terapijski doziranom antikoagulacijom bili su izuzeti iz studije. Liječenje je trajalo do 12 mjeseci, u zavisnosti od individualnog datuma randomizacije (medijana: 351 dan). Rivaroksaban od 20 mg jednom dnevno i rivaroksaban od 10 mg jednom dnevno poređeni su sa 100 mg acetilsalicilne kiseline jednom dnevno.</w:t>
      </w:r>
    </w:p>
    <w:p w14:paraId="2D3DFB6D" w14:textId="77777777" w:rsidR="00E659A5" w:rsidRDefault="00C21592">
      <w:pPr>
        <w:widowControl w:val="0"/>
        <w:jc w:val="both"/>
        <w:rPr>
          <w:rFonts w:eastAsia="Calibri"/>
        </w:rPr>
      </w:pPr>
      <w:r>
        <w:t>Primarni ishod efikasnosti je bila simptomatska rekurentna venska tromboembolija (VTE) definisana kao zbir rekurentnih TDV ili fatalnih PE ili nefatalnih PE.</w:t>
      </w:r>
    </w:p>
    <w:p w14:paraId="3DE34DBA" w14:textId="77777777" w:rsidR="00E659A5" w:rsidRDefault="00E659A5">
      <w:pPr>
        <w:widowControl w:val="0"/>
        <w:jc w:val="both"/>
        <w:rPr>
          <w:rFonts w:eastAsia="Calibri"/>
        </w:rPr>
      </w:pPr>
    </w:p>
    <w:p w14:paraId="5429BD33" w14:textId="77777777" w:rsidR="00E659A5" w:rsidRDefault="00C21592">
      <w:pPr>
        <w:widowControl w:val="0"/>
        <w:jc w:val="both"/>
        <w:rPr>
          <w:rFonts w:eastAsia="Calibri"/>
        </w:rPr>
      </w:pPr>
      <w:r>
        <w:t xml:space="preserve">U </w:t>
      </w:r>
      <w:r>
        <w:rPr>
          <w:i/>
        </w:rPr>
        <w:t>Einstein</w:t>
      </w:r>
      <w:r>
        <w:t xml:space="preserve"> DVT studiji (vidjeti Tabelu 6), pokazano je da rivaroksaban nije inferioran u odnosu na enoksaparin/antagonist vitamina K za primarni ishod efikasnosti (p &lt; 0,0001 (test neinferiornosti); odnos rizika: 0,680 (0,443 – 1,042), p=0,076 (test superiornosti)). Unaprijed specifikovana ukupna klinička korist (primarni ishod efikasnosti plus ozbiljna krvarenja) prijavljena je uz odnos rizika od 0,67 ((95% CI: 0,47- 0,95), nominalna p vrijednost p=0,027) u korist rivaroksabana. INR vrijednosti su bile unutar terapijskog raspona – srednja vrijednost od 60,3% vremena u slučaju srednjeg trajanja liječenja od 189 dana, odnosno 55,4% vremena u grupi sa planiranim trajanjem liječenja od 3 mjeseca, 60,1% u grupi sa planiranim trajanjem liječenja od 6 mjeseci i 62,8% vremena u grupi sa planiranim trajanjem liječenja od 12 mjeseci. U grupi sa enoksaparinom/antagonistom vitamina K nije bilo jasnog odnosa između nivoa prosječnog centra TTR-a (engl. </w:t>
      </w:r>
      <w:r>
        <w:rPr>
          <w:i/>
        </w:rPr>
        <w:t>Time in Target INR Range</w:t>
      </w:r>
      <w:r>
        <w:t xml:space="preserve"> od 2,0-3,0) u tercilima podjednake veličine i sa učestalošću rekurentne venske tromboembolije (p=0,932 za interakciju). Unutar najvišeg tercila prema centru, odnos rizika sa rivaroksabanom u odnosu na varfarin bio je 0,69 (95% CI: 0,35-1,35).</w:t>
      </w:r>
    </w:p>
    <w:p w14:paraId="604C2531" w14:textId="77777777" w:rsidR="00E659A5" w:rsidRDefault="00C21592">
      <w:pPr>
        <w:widowControl w:val="0"/>
        <w:ind w:right="316"/>
        <w:jc w:val="both"/>
      </w:pPr>
      <w:r>
        <w:t>Stope učestalosti za primarni ishod bezbjednosti (velika krvarenja ili klinički relevantna krvarenja koja nisu klasifikovana kao velika), kao i za sekundarni ishod bezbjednosti (velika krvarenja) bile su slične u obje terapijske grupe.</w:t>
      </w:r>
    </w:p>
    <w:p w14:paraId="643BB692" w14:textId="77777777" w:rsidR="00E659A5" w:rsidRDefault="00E659A5">
      <w:pPr>
        <w:widowControl w:val="0"/>
        <w:ind w:right="316"/>
        <w:jc w:val="both"/>
      </w:pPr>
    </w:p>
    <w:p w14:paraId="61D7DCD9" w14:textId="77777777" w:rsidR="00E659A5" w:rsidRDefault="00C21592">
      <w:pPr>
        <w:widowControl w:val="0"/>
        <w:ind w:right="316"/>
        <w:jc w:val="both"/>
      </w:pPr>
      <w:r>
        <w:rPr>
          <w:b/>
          <w:bCs/>
        </w:rPr>
        <w:t xml:space="preserve">Tabela 6: Rezultati efikasnosti i bezbjednosti iz ispitivanja </w:t>
      </w:r>
      <w:r>
        <w:rPr>
          <w:b/>
          <w:bCs/>
          <w:i/>
        </w:rPr>
        <w:t>Einstein</w:t>
      </w:r>
      <w:r>
        <w:rPr>
          <w:b/>
          <w:bCs/>
        </w:rPr>
        <w:t xml:space="preserve"> DVT faze III</w:t>
      </w:r>
    </w:p>
    <w:tbl>
      <w:tblPr>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2"/>
        <w:gridCol w:w="2552"/>
        <w:gridCol w:w="2614"/>
      </w:tblGrid>
      <w:tr w:rsidR="00E659A5" w14:paraId="5D13DABD" w14:textId="77777777">
        <w:tc>
          <w:tcPr>
            <w:tcW w:w="2289" w:type="pct"/>
            <w:shd w:val="clear" w:color="auto" w:fill="auto"/>
            <w:hideMark/>
          </w:tcPr>
          <w:p w14:paraId="31405A8F" w14:textId="77777777" w:rsidR="00E659A5" w:rsidRDefault="00C21592">
            <w:pPr>
              <w:pStyle w:val="Default"/>
              <w:jc w:val="both"/>
              <w:rPr>
                <w:b/>
                <w:sz w:val="22"/>
                <w:szCs w:val="22"/>
                <w:lang w:val="hr-HR"/>
              </w:rPr>
            </w:pPr>
            <w:r>
              <w:rPr>
                <w:b/>
                <w:sz w:val="22"/>
                <w:szCs w:val="22"/>
                <w:lang w:val="hr-HR"/>
              </w:rPr>
              <w:t>Populacija u studiji</w:t>
            </w:r>
          </w:p>
        </w:tc>
        <w:tc>
          <w:tcPr>
            <w:tcW w:w="2711" w:type="pct"/>
            <w:gridSpan w:val="2"/>
            <w:shd w:val="clear" w:color="auto" w:fill="auto"/>
            <w:hideMark/>
          </w:tcPr>
          <w:p w14:paraId="0CDEDEBE" w14:textId="77777777" w:rsidR="00E659A5" w:rsidRDefault="00C21592">
            <w:pPr>
              <w:jc w:val="both"/>
              <w:rPr>
                <w:color w:val="000000"/>
              </w:rPr>
            </w:pPr>
            <w:r>
              <w:rPr>
                <w:b/>
                <w:bCs/>
                <w:color w:val="000000"/>
              </w:rPr>
              <w:t>3449 pacijenata sa simptomatskom akutnom TDV</w:t>
            </w:r>
          </w:p>
        </w:tc>
      </w:tr>
      <w:tr w:rsidR="00E659A5" w14:paraId="66F27A97" w14:textId="77777777">
        <w:tc>
          <w:tcPr>
            <w:tcW w:w="2289" w:type="pct"/>
            <w:shd w:val="clear" w:color="auto" w:fill="auto"/>
            <w:hideMark/>
          </w:tcPr>
          <w:p w14:paraId="5DBB7BF2" w14:textId="77777777" w:rsidR="00E659A5" w:rsidRDefault="00C21592">
            <w:pPr>
              <w:pStyle w:val="Default"/>
              <w:jc w:val="both"/>
              <w:rPr>
                <w:b/>
                <w:sz w:val="22"/>
                <w:szCs w:val="22"/>
                <w:lang w:val="hr-HR"/>
              </w:rPr>
            </w:pPr>
            <w:r>
              <w:rPr>
                <w:b/>
                <w:sz w:val="22"/>
                <w:szCs w:val="22"/>
                <w:lang w:val="hr-HR"/>
              </w:rPr>
              <w:t>Terapijska doza i trajanje liječenja</w:t>
            </w:r>
          </w:p>
        </w:tc>
        <w:tc>
          <w:tcPr>
            <w:tcW w:w="1339" w:type="pct"/>
            <w:shd w:val="clear" w:color="auto" w:fill="auto"/>
            <w:hideMark/>
          </w:tcPr>
          <w:p w14:paraId="7C8ED358" w14:textId="77777777" w:rsidR="00E659A5" w:rsidRDefault="00C21592">
            <w:pPr>
              <w:jc w:val="both"/>
              <w:rPr>
                <w:b/>
                <w:color w:val="000000"/>
              </w:rPr>
            </w:pPr>
            <w:r>
              <w:rPr>
                <w:b/>
              </w:rPr>
              <w:t>Rivaroksaban</w:t>
            </w:r>
            <w:r>
              <w:rPr>
                <w:b/>
                <w:bCs/>
                <w:color w:val="000000"/>
                <w:vertAlign w:val="superscript"/>
              </w:rPr>
              <w:t>a)</w:t>
            </w:r>
          </w:p>
          <w:p w14:paraId="0E4ECE68" w14:textId="77777777" w:rsidR="00E659A5" w:rsidRDefault="00C21592">
            <w:pPr>
              <w:jc w:val="both"/>
              <w:rPr>
                <w:b/>
                <w:color w:val="000000"/>
              </w:rPr>
            </w:pPr>
            <w:r>
              <w:rPr>
                <w:b/>
                <w:bCs/>
                <w:color w:val="000000"/>
              </w:rPr>
              <w:lastRenderedPageBreak/>
              <w:t>3, 6 ili 12 mjeseci</w:t>
            </w:r>
          </w:p>
          <w:p w14:paraId="005133F1" w14:textId="77777777" w:rsidR="00E659A5" w:rsidRDefault="00C21592">
            <w:pPr>
              <w:jc w:val="both"/>
              <w:rPr>
                <w:b/>
                <w:color w:val="000000"/>
              </w:rPr>
            </w:pPr>
            <w:r>
              <w:rPr>
                <w:b/>
                <w:bCs/>
                <w:color w:val="000000"/>
              </w:rPr>
              <w:t>N=1731</w:t>
            </w:r>
          </w:p>
        </w:tc>
        <w:tc>
          <w:tcPr>
            <w:tcW w:w="1373" w:type="pct"/>
            <w:shd w:val="clear" w:color="auto" w:fill="auto"/>
            <w:hideMark/>
          </w:tcPr>
          <w:p w14:paraId="464254F4" w14:textId="77777777" w:rsidR="00E659A5" w:rsidRDefault="00C21592">
            <w:pPr>
              <w:jc w:val="both"/>
              <w:rPr>
                <w:color w:val="000000"/>
              </w:rPr>
            </w:pPr>
            <w:r>
              <w:rPr>
                <w:b/>
                <w:bCs/>
                <w:color w:val="000000"/>
              </w:rPr>
              <w:lastRenderedPageBreak/>
              <w:t>Enoksaparin/VKA</w:t>
            </w:r>
            <w:r>
              <w:rPr>
                <w:b/>
                <w:bCs/>
                <w:color w:val="000000"/>
                <w:vertAlign w:val="superscript"/>
              </w:rPr>
              <w:t>b)</w:t>
            </w:r>
          </w:p>
          <w:p w14:paraId="79C1FB84" w14:textId="77777777" w:rsidR="00E659A5" w:rsidRDefault="00C21592">
            <w:pPr>
              <w:jc w:val="both"/>
              <w:rPr>
                <w:color w:val="000000"/>
              </w:rPr>
            </w:pPr>
            <w:r>
              <w:rPr>
                <w:b/>
                <w:bCs/>
                <w:color w:val="000000"/>
              </w:rPr>
              <w:lastRenderedPageBreak/>
              <w:t>3, 6 ili 12 mjeseci</w:t>
            </w:r>
          </w:p>
          <w:p w14:paraId="21DAEE3E" w14:textId="77777777" w:rsidR="00E659A5" w:rsidRDefault="00C21592">
            <w:pPr>
              <w:jc w:val="both"/>
              <w:rPr>
                <w:color w:val="000000"/>
              </w:rPr>
            </w:pPr>
            <w:r>
              <w:rPr>
                <w:b/>
                <w:bCs/>
                <w:color w:val="000000"/>
              </w:rPr>
              <w:t>N=1718</w:t>
            </w:r>
          </w:p>
        </w:tc>
      </w:tr>
      <w:tr w:rsidR="00E659A5" w14:paraId="4E2ED10A" w14:textId="77777777">
        <w:tc>
          <w:tcPr>
            <w:tcW w:w="2289" w:type="pct"/>
            <w:shd w:val="clear" w:color="auto" w:fill="auto"/>
            <w:hideMark/>
          </w:tcPr>
          <w:p w14:paraId="7F55EA4A" w14:textId="77777777" w:rsidR="00E659A5" w:rsidRDefault="00C21592">
            <w:pPr>
              <w:pStyle w:val="Default"/>
              <w:jc w:val="both"/>
              <w:rPr>
                <w:sz w:val="22"/>
                <w:szCs w:val="22"/>
                <w:lang w:val="hr-HR"/>
              </w:rPr>
            </w:pPr>
            <w:r>
              <w:rPr>
                <w:sz w:val="22"/>
                <w:szCs w:val="22"/>
                <w:lang w:val="hr-HR"/>
              </w:rPr>
              <w:lastRenderedPageBreak/>
              <w:t>Simptomatska rekurentna VTE*</w:t>
            </w:r>
          </w:p>
        </w:tc>
        <w:tc>
          <w:tcPr>
            <w:tcW w:w="1339" w:type="pct"/>
            <w:shd w:val="clear" w:color="auto" w:fill="auto"/>
            <w:hideMark/>
          </w:tcPr>
          <w:p w14:paraId="1E0A0741" w14:textId="77777777" w:rsidR="00E659A5" w:rsidRDefault="00C21592">
            <w:pPr>
              <w:jc w:val="both"/>
              <w:rPr>
                <w:color w:val="000000"/>
              </w:rPr>
            </w:pPr>
            <w:r>
              <w:rPr>
                <w:color w:val="000000"/>
              </w:rPr>
              <w:t>36</w:t>
            </w:r>
          </w:p>
          <w:p w14:paraId="01C51186" w14:textId="77777777" w:rsidR="00E659A5" w:rsidRDefault="00C21592">
            <w:pPr>
              <w:jc w:val="both"/>
              <w:rPr>
                <w:color w:val="000000"/>
              </w:rPr>
            </w:pPr>
            <w:r>
              <w:rPr>
                <w:color w:val="000000"/>
              </w:rPr>
              <w:t>(2,1%)</w:t>
            </w:r>
          </w:p>
        </w:tc>
        <w:tc>
          <w:tcPr>
            <w:tcW w:w="1373" w:type="pct"/>
            <w:shd w:val="clear" w:color="auto" w:fill="auto"/>
            <w:hideMark/>
          </w:tcPr>
          <w:p w14:paraId="003DEB0B" w14:textId="77777777" w:rsidR="00E659A5" w:rsidRDefault="00C21592">
            <w:pPr>
              <w:jc w:val="both"/>
              <w:rPr>
                <w:color w:val="000000"/>
              </w:rPr>
            </w:pPr>
            <w:r>
              <w:rPr>
                <w:color w:val="000000"/>
              </w:rPr>
              <w:t>51</w:t>
            </w:r>
          </w:p>
          <w:p w14:paraId="626EC2AA" w14:textId="77777777" w:rsidR="00E659A5" w:rsidRDefault="00C21592">
            <w:pPr>
              <w:jc w:val="both"/>
              <w:rPr>
                <w:color w:val="000000"/>
              </w:rPr>
            </w:pPr>
            <w:r>
              <w:rPr>
                <w:color w:val="000000"/>
              </w:rPr>
              <w:t>(3,0%)</w:t>
            </w:r>
          </w:p>
        </w:tc>
      </w:tr>
      <w:tr w:rsidR="00E659A5" w14:paraId="795376F1" w14:textId="77777777">
        <w:tc>
          <w:tcPr>
            <w:tcW w:w="2289" w:type="pct"/>
            <w:shd w:val="clear" w:color="auto" w:fill="auto"/>
            <w:hideMark/>
          </w:tcPr>
          <w:p w14:paraId="75163BAE" w14:textId="77777777" w:rsidR="00E659A5" w:rsidRDefault="00C21592">
            <w:pPr>
              <w:ind w:left="720"/>
              <w:jc w:val="both"/>
              <w:rPr>
                <w:color w:val="000000"/>
              </w:rPr>
            </w:pPr>
            <w:r>
              <w:t xml:space="preserve">Simptomatska rekurentna </w:t>
            </w:r>
            <w:r>
              <w:rPr>
                <w:color w:val="000000"/>
              </w:rPr>
              <w:t>PE</w:t>
            </w:r>
          </w:p>
        </w:tc>
        <w:tc>
          <w:tcPr>
            <w:tcW w:w="1339" w:type="pct"/>
            <w:shd w:val="clear" w:color="auto" w:fill="auto"/>
            <w:hideMark/>
          </w:tcPr>
          <w:p w14:paraId="70FC7440" w14:textId="77777777" w:rsidR="00E659A5" w:rsidRDefault="00C21592">
            <w:pPr>
              <w:jc w:val="both"/>
              <w:rPr>
                <w:color w:val="000000"/>
              </w:rPr>
            </w:pPr>
            <w:r>
              <w:rPr>
                <w:color w:val="000000"/>
              </w:rPr>
              <w:t>20</w:t>
            </w:r>
          </w:p>
          <w:p w14:paraId="2004A6C6" w14:textId="77777777" w:rsidR="00E659A5" w:rsidRDefault="00C21592">
            <w:pPr>
              <w:jc w:val="both"/>
              <w:rPr>
                <w:color w:val="000000"/>
              </w:rPr>
            </w:pPr>
            <w:r>
              <w:rPr>
                <w:color w:val="000000"/>
              </w:rPr>
              <w:t>(1,2%)</w:t>
            </w:r>
          </w:p>
        </w:tc>
        <w:tc>
          <w:tcPr>
            <w:tcW w:w="1373" w:type="pct"/>
            <w:shd w:val="clear" w:color="auto" w:fill="auto"/>
            <w:hideMark/>
          </w:tcPr>
          <w:p w14:paraId="6D7EC694" w14:textId="77777777" w:rsidR="00E659A5" w:rsidRDefault="00C21592">
            <w:pPr>
              <w:jc w:val="both"/>
              <w:rPr>
                <w:color w:val="000000"/>
              </w:rPr>
            </w:pPr>
            <w:r>
              <w:rPr>
                <w:color w:val="000000"/>
              </w:rPr>
              <w:t>18</w:t>
            </w:r>
          </w:p>
          <w:p w14:paraId="33951500" w14:textId="77777777" w:rsidR="00E659A5" w:rsidRDefault="00C21592">
            <w:pPr>
              <w:jc w:val="both"/>
              <w:rPr>
                <w:color w:val="000000"/>
              </w:rPr>
            </w:pPr>
            <w:r>
              <w:rPr>
                <w:color w:val="000000"/>
              </w:rPr>
              <w:t>(1,0%)</w:t>
            </w:r>
          </w:p>
        </w:tc>
      </w:tr>
      <w:tr w:rsidR="00E659A5" w14:paraId="0B865DF4" w14:textId="77777777">
        <w:tc>
          <w:tcPr>
            <w:tcW w:w="2289" w:type="pct"/>
            <w:shd w:val="clear" w:color="auto" w:fill="auto"/>
            <w:hideMark/>
          </w:tcPr>
          <w:p w14:paraId="1206E281" w14:textId="77777777" w:rsidR="00E659A5" w:rsidRDefault="00C21592">
            <w:pPr>
              <w:ind w:left="720"/>
              <w:jc w:val="both"/>
              <w:rPr>
                <w:color w:val="000000"/>
              </w:rPr>
            </w:pPr>
            <w:r>
              <w:t>Simptomatska rekurentna TDV</w:t>
            </w:r>
          </w:p>
        </w:tc>
        <w:tc>
          <w:tcPr>
            <w:tcW w:w="1339" w:type="pct"/>
            <w:shd w:val="clear" w:color="auto" w:fill="auto"/>
            <w:hideMark/>
          </w:tcPr>
          <w:p w14:paraId="2D2C3885" w14:textId="77777777" w:rsidR="00E659A5" w:rsidRDefault="00C21592">
            <w:pPr>
              <w:jc w:val="both"/>
              <w:rPr>
                <w:color w:val="000000"/>
              </w:rPr>
            </w:pPr>
            <w:r>
              <w:rPr>
                <w:color w:val="000000"/>
              </w:rPr>
              <w:t>14</w:t>
            </w:r>
          </w:p>
          <w:p w14:paraId="14810F00" w14:textId="77777777" w:rsidR="00E659A5" w:rsidRDefault="00C21592">
            <w:pPr>
              <w:jc w:val="both"/>
              <w:rPr>
                <w:color w:val="000000"/>
              </w:rPr>
            </w:pPr>
            <w:r>
              <w:rPr>
                <w:color w:val="000000"/>
              </w:rPr>
              <w:t>(0,8%)</w:t>
            </w:r>
          </w:p>
        </w:tc>
        <w:tc>
          <w:tcPr>
            <w:tcW w:w="1373" w:type="pct"/>
            <w:shd w:val="clear" w:color="auto" w:fill="auto"/>
            <w:hideMark/>
          </w:tcPr>
          <w:p w14:paraId="36292DD2" w14:textId="77777777" w:rsidR="00E659A5" w:rsidRDefault="00C21592">
            <w:pPr>
              <w:jc w:val="both"/>
              <w:rPr>
                <w:color w:val="000000"/>
              </w:rPr>
            </w:pPr>
            <w:r>
              <w:rPr>
                <w:color w:val="000000"/>
              </w:rPr>
              <w:t>28</w:t>
            </w:r>
          </w:p>
          <w:p w14:paraId="64CF9B51" w14:textId="77777777" w:rsidR="00E659A5" w:rsidRDefault="00C21592">
            <w:pPr>
              <w:jc w:val="both"/>
              <w:rPr>
                <w:color w:val="000000"/>
              </w:rPr>
            </w:pPr>
            <w:r>
              <w:rPr>
                <w:color w:val="000000"/>
              </w:rPr>
              <w:t>(1,6%)</w:t>
            </w:r>
          </w:p>
        </w:tc>
      </w:tr>
      <w:tr w:rsidR="00E659A5" w14:paraId="01302DE2" w14:textId="77777777">
        <w:tc>
          <w:tcPr>
            <w:tcW w:w="2289" w:type="pct"/>
            <w:shd w:val="clear" w:color="auto" w:fill="auto"/>
            <w:hideMark/>
          </w:tcPr>
          <w:p w14:paraId="3CCEFFDB" w14:textId="77777777" w:rsidR="00E659A5" w:rsidRDefault="00C21592">
            <w:pPr>
              <w:ind w:left="720"/>
              <w:jc w:val="both"/>
              <w:rPr>
                <w:color w:val="000000"/>
              </w:rPr>
            </w:pPr>
            <w:r>
              <w:t xml:space="preserve">Simptomatska </w:t>
            </w:r>
            <w:r>
              <w:rPr>
                <w:color w:val="000000"/>
              </w:rPr>
              <w:t>PE i TDV</w:t>
            </w:r>
          </w:p>
        </w:tc>
        <w:tc>
          <w:tcPr>
            <w:tcW w:w="1339" w:type="pct"/>
            <w:shd w:val="clear" w:color="auto" w:fill="auto"/>
            <w:hideMark/>
          </w:tcPr>
          <w:p w14:paraId="6C3A4075" w14:textId="77777777" w:rsidR="00E659A5" w:rsidRDefault="00C21592">
            <w:pPr>
              <w:jc w:val="both"/>
              <w:rPr>
                <w:color w:val="000000"/>
              </w:rPr>
            </w:pPr>
            <w:r>
              <w:rPr>
                <w:color w:val="000000"/>
              </w:rPr>
              <w:t>1</w:t>
            </w:r>
          </w:p>
          <w:p w14:paraId="11C7C8C9" w14:textId="77777777" w:rsidR="00E659A5" w:rsidRDefault="00C21592">
            <w:pPr>
              <w:jc w:val="both"/>
              <w:rPr>
                <w:color w:val="000000"/>
              </w:rPr>
            </w:pPr>
            <w:r>
              <w:rPr>
                <w:color w:val="000000"/>
              </w:rPr>
              <w:t>(0,1%)</w:t>
            </w:r>
          </w:p>
        </w:tc>
        <w:tc>
          <w:tcPr>
            <w:tcW w:w="1373" w:type="pct"/>
            <w:shd w:val="clear" w:color="auto" w:fill="auto"/>
            <w:hideMark/>
          </w:tcPr>
          <w:p w14:paraId="386E794C" w14:textId="77777777" w:rsidR="00E659A5" w:rsidRDefault="00C21592">
            <w:pPr>
              <w:jc w:val="both"/>
              <w:rPr>
                <w:color w:val="000000"/>
              </w:rPr>
            </w:pPr>
            <w:r>
              <w:rPr>
                <w:color w:val="000000"/>
              </w:rPr>
              <w:t>0</w:t>
            </w:r>
          </w:p>
        </w:tc>
      </w:tr>
      <w:tr w:rsidR="00E659A5" w14:paraId="57FE5203" w14:textId="77777777">
        <w:tc>
          <w:tcPr>
            <w:tcW w:w="2289" w:type="pct"/>
            <w:shd w:val="clear" w:color="auto" w:fill="auto"/>
            <w:hideMark/>
          </w:tcPr>
          <w:p w14:paraId="305CDF57" w14:textId="77777777" w:rsidR="00E659A5" w:rsidRDefault="00C21592">
            <w:pPr>
              <w:ind w:left="720"/>
              <w:jc w:val="both"/>
              <w:rPr>
                <w:color w:val="000000"/>
              </w:rPr>
            </w:pPr>
            <w:r>
              <w:rPr>
                <w:color w:val="000000"/>
              </w:rPr>
              <w:t>Fatalna PE /smrt za koju se ne može isključiti PE</w:t>
            </w:r>
          </w:p>
        </w:tc>
        <w:tc>
          <w:tcPr>
            <w:tcW w:w="1339" w:type="pct"/>
            <w:shd w:val="clear" w:color="auto" w:fill="auto"/>
            <w:hideMark/>
          </w:tcPr>
          <w:p w14:paraId="75F0D4D6" w14:textId="77777777" w:rsidR="00E659A5" w:rsidRDefault="00C21592">
            <w:pPr>
              <w:jc w:val="both"/>
              <w:rPr>
                <w:color w:val="000000"/>
              </w:rPr>
            </w:pPr>
            <w:r>
              <w:rPr>
                <w:color w:val="000000"/>
              </w:rPr>
              <w:t>4</w:t>
            </w:r>
          </w:p>
          <w:p w14:paraId="3321FEFB" w14:textId="77777777" w:rsidR="00E659A5" w:rsidRDefault="00C21592">
            <w:pPr>
              <w:jc w:val="both"/>
              <w:rPr>
                <w:color w:val="000000"/>
              </w:rPr>
            </w:pPr>
            <w:r>
              <w:rPr>
                <w:color w:val="000000"/>
              </w:rPr>
              <w:t>(0,2%)</w:t>
            </w:r>
          </w:p>
        </w:tc>
        <w:tc>
          <w:tcPr>
            <w:tcW w:w="1373" w:type="pct"/>
            <w:shd w:val="clear" w:color="auto" w:fill="auto"/>
            <w:hideMark/>
          </w:tcPr>
          <w:p w14:paraId="3A3FAE56" w14:textId="77777777" w:rsidR="00E659A5" w:rsidRDefault="00C21592">
            <w:pPr>
              <w:jc w:val="both"/>
              <w:rPr>
                <w:color w:val="000000"/>
              </w:rPr>
            </w:pPr>
            <w:r>
              <w:rPr>
                <w:color w:val="000000"/>
              </w:rPr>
              <w:t>6</w:t>
            </w:r>
          </w:p>
          <w:p w14:paraId="380FFA33" w14:textId="77777777" w:rsidR="00E659A5" w:rsidRDefault="00C21592">
            <w:pPr>
              <w:jc w:val="both"/>
              <w:rPr>
                <w:color w:val="000000"/>
              </w:rPr>
            </w:pPr>
            <w:r>
              <w:rPr>
                <w:color w:val="000000"/>
              </w:rPr>
              <w:t>(0,3%)</w:t>
            </w:r>
          </w:p>
        </w:tc>
      </w:tr>
      <w:tr w:rsidR="00E659A5" w14:paraId="7E20989A" w14:textId="77777777">
        <w:tc>
          <w:tcPr>
            <w:tcW w:w="2289" w:type="pct"/>
            <w:shd w:val="clear" w:color="auto" w:fill="auto"/>
            <w:hideMark/>
          </w:tcPr>
          <w:p w14:paraId="529D34F9" w14:textId="77777777" w:rsidR="00E659A5" w:rsidRDefault="00C21592">
            <w:pPr>
              <w:pStyle w:val="Default"/>
              <w:jc w:val="both"/>
              <w:rPr>
                <w:sz w:val="22"/>
                <w:szCs w:val="22"/>
                <w:lang w:val="hr-HR"/>
              </w:rPr>
            </w:pPr>
            <w:r>
              <w:rPr>
                <w:sz w:val="22"/>
                <w:szCs w:val="22"/>
                <w:lang w:val="hr-HR"/>
              </w:rPr>
              <w:t>Velika krvarenja ili klinički relevantna krvarenja koja nisu klasifikovana kao velika</w:t>
            </w:r>
          </w:p>
        </w:tc>
        <w:tc>
          <w:tcPr>
            <w:tcW w:w="1339" w:type="pct"/>
            <w:shd w:val="clear" w:color="auto" w:fill="auto"/>
            <w:hideMark/>
          </w:tcPr>
          <w:p w14:paraId="74062645" w14:textId="77777777" w:rsidR="00E659A5" w:rsidRDefault="00C21592">
            <w:pPr>
              <w:jc w:val="both"/>
              <w:rPr>
                <w:color w:val="000000"/>
              </w:rPr>
            </w:pPr>
            <w:r>
              <w:rPr>
                <w:color w:val="000000"/>
              </w:rPr>
              <w:t>139</w:t>
            </w:r>
          </w:p>
          <w:p w14:paraId="2AF721E6" w14:textId="77777777" w:rsidR="00E659A5" w:rsidRDefault="00C21592">
            <w:pPr>
              <w:jc w:val="both"/>
              <w:rPr>
                <w:color w:val="000000"/>
              </w:rPr>
            </w:pPr>
            <w:r>
              <w:rPr>
                <w:color w:val="000000"/>
              </w:rPr>
              <w:t>(8,1%)</w:t>
            </w:r>
          </w:p>
        </w:tc>
        <w:tc>
          <w:tcPr>
            <w:tcW w:w="1373" w:type="pct"/>
            <w:shd w:val="clear" w:color="auto" w:fill="auto"/>
            <w:hideMark/>
          </w:tcPr>
          <w:p w14:paraId="65DC3FB5" w14:textId="77777777" w:rsidR="00E659A5" w:rsidRDefault="00C21592">
            <w:pPr>
              <w:jc w:val="both"/>
              <w:rPr>
                <w:color w:val="000000"/>
              </w:rPr>
            </w:pPr>
            <w:r>
              <w:rPr>
                <w:color w:val="000000"/>
              </w:rPr>
              <w:t>138</w:t>
            </w:r>
          </w:p>
          <w:p w14:paraId="4D84E3B6" w14:textId="77777777" w:rsidR="00E659A5" w:rsidRDefault="00C21592">
            <w:pPr>
              <w:jc w:val="both"/>
              <w:rPr>
                <w:color w:val="000000"/>
              </w:rPr>
            </w:pPr>
            <w:r>
              <w:rPr>
                <w:color w:val="000000"/>
              </w:rPr>
              <w:t>(8,1%)</w:t>
            </w:r>
          </w:p>
        </w:tc>
      </w:tr>
      <w:tr w:rsidR="00E659A5" w14:paraId="34BD3971" w14:textId="77777777">
        <w:tc>
          <w:tcPr>
            <w:tcW w:w="2289" w:type="pct"/>
            <w:shd w:val="clear" w:color="auto" w:fill="auto"/>
            <w:hideMark/>
          </w:tcPr>
          <w:p w14:paraId="438B43D5" w14:textId="77777777" w:rsidR="00E659A5" w:rsidRDefault="00C21592">
            <w:pPr>
              <w:pStyle w:val="Default"/>
              <w:jc w:val="both"/>
              <w:rPr>
                <w:sz w:val="22"/>
                <w:szCs w:val="22"/>
                <w:lang w:val="hr-HR"/>
              </w:rPr>
            </w:pPr>
            <w:r>
              <w:rPr>
                <w:sz w:val="22"/>
                <w:szCs w:val="22"/>
                <w:lang w:val="hr-HR"/>
              </w:rPr>
              <w:t>Velika krvarenja</w:t>
            </w:r>
          </w:p>
        </w:tc>
        <w:tc>
          <w:tcPr>
            <w:tcW w:w="1339" w:type="pct"/>
            <w:shd w:val="clear" w:color="auto" w:fill="auto"/>
            <w:hideMark/>
          </w:tcPr>
          <w:p w14:paraId="50B60DD5" w14:textId="77777777" w:rsidR="00E659A5" w:rsidRDefault="00C21592">
            <w:pPr>
              <w:jc w:val="both"/>
              <w:rPr>
                <w:color w:val="000000"/>
              </w:rPr>
            </w:pPr>
            <w:r>
              <w:rPr>
                <w:color w:val="000000"/>
              </w:rPr>
              <w:t>14</w:t>
            </w:r>
          </w:p>
          <w:p w14:paraId="733D7AD8" w14:textId="77777777" w:rsidR="00E659A5" w:rsidRDefault="00C21592">
            <w:pPr>
              <w:jc w:val="both"/>
              <w:rPr>
                <w:color w:val="000000"/>
              </w:rPr>
            </w:pPr>
            <w:r>
              <w:rPr>
                <w:color w:val="000000"/>
              </w:rPr>
              <w:t>(0,8%)</w:t>
            </w:r>
          </w:p>
        </w:tc>
        <w:tc>
          <w:tcPr>
            <w:tcW w:w="1373" w:type="pct"/>
            <w:shd w:val="clear" w:color="auto" w:fill="auto"/>
            <w:hideMark/>
          </w:tcPr>
          <w:p w14:paraId="189EA1D7" w14:textId="77777777" w:rsidR="00E659A5" w:rsidRDefault="00C21592">
            <w:pPr>
              <w:jc w:val="both"/>
              <w:rPr>
                <w:color w:val="000000"/>
              </w:rPr>
            </w:pPr>
            <w:r>
              <w:rPr>
                <w:color w:val="000000"/>
              </w:rPr>
              <w:t>20</w:t>
            </w:r>
          </w:p>
          <w:p w14:paraId="18B361D7" w14:textId="77777777" w:rsidR="00E659A5" w:rsidRDefault="00C21592">
            <w:pPr>
              <w:jc w:val="both"/>
              <w:rPr>
                <w:color w:val="000000"/>
              </w:rPr>
            </w:pPr>
            <w:r>
              <w:rPr>
                <w:color w:val="000000"/>
              </w:rPr>
              <w:t>(1,2%)</w:t>
            </w:r>
          </w:p>
        </w:tc>
      </w:tr>
    </w:tbl>
    <w:p w14:paraId="5A5170B3" w14:textId="77777777" w:rsidR="00E659A5" w:rsidRDefault="00C21592">
      <w:pPr>
        <w:pStyle w:val="Default"/>
        <w:jc w:val="both"/>
        <w:rPr>
          <w:sz w:val="22"/>
          <w:szCs w:val="22"/>
          <w:lang w:val="hr-HR"/>
        </w:rPr>
      </w:pPr>
      <w:r>
        <w:rPr>
          <w:sz w:val="22"/>
          <w:szCs w:val="22"/>
          <w:lang w:val="hr-HR"/>
        </w:rPr>
        <w:t>a) Rivaroksaban 15 mg dva puta na dan tokom 3 nedjelje, nakon čega slijedi 20 mg jednom dnevno.</w:t>
      </w:r>
    </w:p>
    <w:p w14:paraId="015D7C44" w14:textId="77777777" w:rsidR="00E659A5" w:rsidRDefault="00C21592">
      <w:pPr>
        <w:pStyle w:val="Default"/>
        <w:jc w:val="both"/>
        <w:rPr>
          <w:sz w:val="22"/>
          <w:szCs w:val="22"/>
          <w:lang w:val="hr-HR"/>
        </w:rPr>
      </w:pPr>
      <w:r>
        <w:rPr>
          <w:sz w:val="22"/>
          <w:szCs w:val="22"/>
          <w:lang w:val="hr-HR"/>
        </w:rPr>
        <w:t>b) Enoksaparin tokom najmanje 5 dana, uz preklapanje i zatim nastavak sa antagonistom vitamina K.</w:t>
      </w:r>
    </w:p>
    <w:p w14:paraId="7A74EC21" w14:textId="77777777" w:rsidR="00E659A5" w:rsidRDefault="00C21592">
      <w:pPr>
        <w:widowControl w:val="0"/>
        <w:jc w:val="both"/>
      </w:pPr>
      <w:r>
        <w:rPr>
          <w:b/>
          <w:bCs/>
        </w:rPr>
        <w:t xml:space="preserve">* </w:t>
      </w:r>
      <w:r>
        <w:t>p &lt; 0,0001 (neinferiornost u odnosu na predefinisani odnos rizika od 2,0); odnos rizika: 0,680 (0,443-1,042), p=0,076 (superiornost)</w:t>
      </w:r>
    </w:p>
    <w:p w14:paraId="7293AD5D" w14:textId="77777777" w:rsidR="00E659A5" w:rsidRDefault="00E659A5">
      <w:pPr>
        <w:widowControl w:val="0"/>
        <w:jc w:val="both"/>
      </w:pPr>
    </w:p>
    <w:p w14:paraId="266ECC70" w14:textId="77777777" w:rsidR="00E659A5" w:rsidRDefault="00C21592">
      <w:pPr>
        <w:widowControl w:val="0"/>
        <w:jc w:val="both"/>
        <w:rPr>
          <w:rFonts w:eastAsia="Calibri"/>
        </w:rPr>
      </w:pPr>
      <w:r>
        <w:t xml:space="preserve">U </w:t>
      </w:r>
      <w:r>
        <w:rPr>
          <w:i/>
        </w:rPr>
        <w:t>Einstein</w:t>
      </w:r>
      <w:r>
        <w:t xml:space="preserve"> PE studiji (vidjeti Tabelu 7) pokazano je da rivaroksaban nije inferioran u odnosu na enoksaparin/antagonist vitamina K za primarni ishod efikasnosti (p=0,0026 (test neinferiornosti); odnos rizika: 1,123 (0,749 - 1,684)). Unaprijed definisana ukupna klinička korist (primarni ishod efikasnosti plus velika krvarenja) zabilježena je uz odnos rizika od 0,849 ((95% CI: 0,633 - 1,139), nominalna p vrijednost p=0,275). INR vrijednosti bile su unutar terapijskog raspona - srednja vrijednost od 63% vremena u slučaju prosječne dužine terapije od 215 dana, odnosno 57%, 62% i 65% vremena kod grupa sa planiranom dužinom terapije od 3, 6 i 12 mjeseci. U grupi sa enoksaparinom/antagonistom vitamina K nije bilo jasnog odnosa između nivoa prosječnog centra TTR (engl. </w:t>
      </w:r>
      <w:r>
        <w:rPr>
          <w:i/>
        </w:rPr>
        <w:t>Time in Target INR Range</w:t>
      </w:r>
      <w:r>
        <w:t xml:space="preserve"> od 2,0 - 3,0) u tercilima podjednake veličine i učestalosti rekurentne VTE (P=0,082 za interakciju). Unutar najvišeg tercila prema centru, ondos rizika sa rivaroksabanom u odnosu na varfarin bio je 0,642 (95% CI: 0,277 - 1,484).</w:t>
      </w:r>
    </w:p>
    <w:p w14:paraId="03A59DB6" w14:textId="77777777" w:rsidR="00E659A5" w:rsidRDefault="00E659A5">
      <w:pPr>
        <w:widowControl w:val="0"/>
        <w:jc w:val="both"/>
        <w:rPr>
          <w:rFonts w:eastAsia="Calibri"/>
        </w:rPr>
      </w:pPr>
    </w:p>
    <w:p w14:paraId="03A00B5D" w14:textId="77777777" w:rsidR="00E659A5" w:rsidRDefault="00C21592">
      <w:pPr>
        <w:widowControl w:val="0"/>
        <w:jc w:val="both"/>
      </w:pPr>
      <w:r>
        <w:t>Stope učestalosti za primarni ishod bezbjednosti (velika krvarenja ili klinički relevantna krvarenja koja nisu klasifikovana kao velika) bile su nešto niže u rivaroksaban grupi (10,3% (249/2412)) nego u enoksaparin/antagonista vitamina K terapijskoj grupi (11,4% (274/2405)). Učestalost sekundarnog ishoda bezbjednosti (velika krvarenja) bila je niža u rivaroksaban grupi (1,1% (26/2412) nego u enoksaparin/antagonista vitamina K terapijskoj grupi (2,2% (52/2405)), uz odnos rizika od 0,493 (95% CI: 0,308 – 0,789).</w:t>
      </w:r>
    </w:p>
    <w:p w14:paraId="2DE0A3C3" w14:textId="77777777" w:rsidR="00E659A5" w:rsidRDefault="00E659A5">
      <w:pPr>
        <w:shd w:val="clear" w:color="auto" w:fill="FFFFFF"/>
        <w:jc w:val="both"/>
        <w:rPr>
          <w:b/>
          <w:bCs/>
          <w:color w:val="000000"/>
        </w:rPr>
      </w:pPr>
    </w:p>
    <w:p w14:paraId="1DF7336D" w14:textId="77777777" w:rsidR="00E659A5" w:rsidRDefault="00C21592">
      <w:pPr>
        <w:shd w:val="clear" w:color="auto" w:fill="FFFFFF"/>
        <w:jc w:val="both"/>
        <w:rPr>
          <w:b/>
          <w:bCs/>
          <w:color w:val="000000"/>
        </w:rPr>
      </w:pPr>
      <w:r>
        <w:rPr>
          <w:b/>
          <w:bCs/>
          <w:color w:val="000000"/>
        </w:rPr>
        <w:t xml:space="preserve">Tabela 7: Rezultati efiksnosti i bezbjednosti iz ispitivanja </w:t>
      </w:r>
      <w:r>
        <w:rPr>
          <w:b/>
          <w:bCs/>
          <w:i/>
          <w:color w:val="000000"/>
        </w:rPr>
        <w:t>Einstein</w:t>
      </w:r>
      <w:r>
        <w:rPr>
          <w:b/>
          <w:bCs/>
          <w:color w:val="000000"/>
        </w:rPr>
        <w:t xml:space="preserve"> PE faze III</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3"/>
        <w:gridCol w:w="2551"/>
        <w:gridCol w:w="2550"/>
      </w:tblGrid>
      <w:tr w:rsidR="00E659A5" w14:paraId="2C728FC7" w14:textId="77777777">
        <w:tc>
          <w:tcPr>
            <w:tcW w:w="2305" w:type="pct"/>
            <w:shd w:val="clear" w:color="auto" w:fill="auto"/>
            <w:hideMark/>
          </w:tcPr>
          <w:p w14:paraId="2F7CB04B" w14:textId="77777777" w:rsidR="00E659A5" w:rsidRDefault="00C21592">
            <w:pPr>
              <w:pStyle w:val="Default"/>
              <w:jc w:val="both"/>
              <w:rPr>
                <w:b/>
                <w:sz w:val="22"/>
                <w:szCs w:val="22"/>
                <w:lang w:val="hr-HR"/>
              </w:rPr>
            </w:pPr>
            <w:r>
              <w:rPr>
                <w:b/>
                <w:sz w:val="22"/>
                <w:szCs w:val="22"/>
                <w:lang w:val="hr-HR"/>
              </w:rPr>
              <w:t>Populacija u studiji</w:t>
            </w:r>
          </w:p>
        </w:tc>
        <w:tc>
          <w:tcPr>
            <w:tcW w:w="2695" w:type="pct"/>
            <w:gridSpan w:val="2"/>
            <w:shd w:val="clear" w:color="auto" w:fill="auto"/>
            <w:hideMark/>
          </w:tcPr>
          <w:p w14:paraId="5D8402F6" w14:textId="77777777" w:rsidR="00E659A5" w:rsidRDefault="00C21592">
            <w:pPr>
              <w:jc w:val="both"/>
              <w:rPr>
                <w:b/>
                <w:bCs/>
              </w:rPr>
            </w:pPr>
            <w:r>
              <w:rPr>
                <w:b/>
                <w:bCs/>
              </w:rPr>
              <w:t xml:space="preserve">4832 </w:t>
            </w:r>
            <w:r>
              <w:rPr>
                <w:b/>
              </w:rPr>
              <w:t>pacijenata sa akutnom simptomatskom PE</w:t>
            </w:r>
          </w:p>
        </w:tc>
      </w:tr>
      <w:tr w:rsidR="00E659A5" w14:paraId="0C03EC46" w14:textId="77777777">
        <w:tc>
          <w:tcPr>
            <w:tcW w:w="2305" w:type="pct"/>
            <w:shd w:val="clear" w:color="auto" w:fill="auto"/>
            <w:hideMark/>
          </w:tcPr>
          <w:p w14:paraId="42029B29" w14:textId="77777777" w:rsidR="00E659A5" w:rsidRDefault="00C21592">
            <w:pPr>
              <w:pStyle w:val="Default"/>
              <w:jc w:val="both"/>
              <w:rPr>
                <w:b/>
                <w:sz w:val="22"/>
                <w:szCs w:val="22"/>
                <w:lang w:val="hr-HR"/>
              </w:rPr>
            </w:pPr>
            <w:r>
              <w:rPr>
                <w:b/>
                <w:sz w:val="22"/>
                <w:szCs w:val="22"/>
                <w:lang w:val="hr-HR"/>
              </w:rPr>
              <w:t>Terapijska doza i trajanje liječenja</w:t>
            </w:r>
          </w:p>
        </w:tc>
        <w:tc>
          <w:tcPr>
            <w:tcW w:w="1348" w:type="pct"/>
            <w:shd w:val="clear" w:color="auto" w:fill="auto"/>
            <w:hideMark/>
          </w:tcPr>
          <w:p w14:paraId="790753E0" w14:textId="77777777" w:rsidR="00E659A5" w:rsidRDefault="00C21592">
            <w:pPr>
              <w:jc w:val="both"/>
              <w:rPr>
                <w:b/>
              </w:rPr>
            </w:pPr>
            <w:r>
              <w:rPr>
                <w:b/>
              </w:rPr>
              <w:t>Rivaroksaban</w:t>
            </w:r>
            <w:r>
              <w:rPr>
                <w:b/>
                <w:bCs/>
                <w:vertAlign w:val="superscript"/>
              </w:rPr>
              <w:t>a)</w:t>
            </w:r>
          </w:p>
          <w:p w14:paraId="2929AC5E" w14:textId="77777777" w:rsidR="00E659A5" w:rsidRDefault="00C21592">
            <w:pPr>
              <w:jc w:val="both"/>
              <w:rPr>
                <w:b/>
              </w:rPr>
            </w:pPr>
            <w:r>
              <w:rPr>
                <w:b/>
                <w:bCs/>
              </w:rPr>
              <w:t>3, 6 ili 12 mjeseci</w:t>
            </w:r>
          </w:p>
          <w:p w14:paraId="3EC64C85" w14:textId="77777777" w:rsidR="00E659A5" w:rsidRDefault="00C21592">
            <w:pPr>
              <w:jc w:val="both"/>
              <w:rPr>
                <w:b/>
              </w:rPr>
            </w:pPr>
            <w:r>
              <w:rPr>
                <w:b/>
                <w:bCs/>
              </w:rPr>
              <w:t>N=2419</w:t>
            </w:r>
          </w:p>
        </w:tc>
        <w:tc>
          <w:tcPr>
            <w:tcW w:w="1347" w:type="pct"/>
            <w:shd w:val="clear" w:color="auto" w:fill="auto"/>
            <w:hideMark/>
          </w:tcPr>
          <w:p w14:paraId="587250E6" w14:textId="77777777" w:rsidR="00E659A5" w:rsidRDefault="00C21592">
            <w:pPr>
              <w:jc w:val="both"/>
            </w:pPr>
            <w:r>
              <w:rPr>
                <w:b/>
                <w:bCs/>
              </w:rPr>
              <w:t>Enoksaparin/VKA</w:t>
            </w:r>
            <w:r>
              <w:rPr>
                <w:b/>
                <w:bCs/>
                <w:vertAlign w:val="superscript"/>
              </w:rPr>
              <w:t>b)</w:t>
            </w:r>
          </w:p>
          <w:p w14:paraId="34966571" w14:textId="77777777" w:rsidR="00E659A5" w:rsidRDefault="00C21592">
            <w:pPr>
              <w:jc w:val="both"/>
            </w:pPr>
            <w:r>
              <w:rPr>
                <w:b/>
                <w:bCs/>
              </w:rPr>
              <w:t>3, 6 ili 12 mjeseci</w:t>
            </w:r>
          </w:p>
          <w:p w14:paraId="08BE6A62" w14:textId="77777777" w:rsidR="00E659A5" w:rsidRDefault="00C21592">
            <w:pPr>
              <w:jc w:val="both"/>
            </w:pPr>
            <w:r>
              <w:rPr>
                <w:b/>
                <w:bCs/>
              </w:rPr>
              <w:t>N=2413</w:t>
            </w:r>
          </w:p>
        </w:tc>
      </w:tr>
      <w:tr w:rsidR="00E659A5" w14:paraId="1D80B607" w14:textId="77777777">
        <w:tc>
          <w:tcPr>
            <w:tcW w:w="2305" w:type="pct"/>
            <w:shd w:val="clear" w:color="auto" w:fill="auto"/>
            <w:hideMark/>
          </w:tcPr>
          <w:p w14:paraId="0D8BF587" w14:textId="77777777" w:rsidR="00E659A5" w:rsidRDefault="00C21592">
            <w:pPr>
              <w:jc w:val="both"/>
            </w:pPr>
            <w:r>
              <w:t>Simptomatska rekurentna VTE*</w:t>
            </w:r>
          </w:p>
        </w:tc>
        <w:tc>
          <w:tcPr>
            <w:tcW w:w="1348" w:type="pct"/>
            <w:shd w:val="clear" w:color="auto" w:fill="auto"/>
            <w:hideMark/>
          </w:tcPr>
          <w:p w14:paraId="4D56E315" w14:textId="77777777" w:rsidR="00E659A5" w:rsidRDefault="00C21592">
            <w:pPr>
              <w:jc w:val="both"/>
            </w:pPr>
            <w:r>
              <w:t>50</w:t>
            </w:r>
          </w:p>
          <w:p w14:paraId="19526876" w14:textId="77777777" w:rsidR="00E659A5" w:rsidRDefault="00C21592">
            <w:pPr>
              <w:jc w:val="both"/>
            </w:pPr>
            <w:r>
              <w:t>(2,1%)</w:t>
            </w:r>
          </w:p>
        </w:tc>
        <w:tc>
          <w:tcPr>
            <w:tcW w:w="1347" w:type="pct"/>
            <w:shd w:val="clear" w:color="auto" w:fill="auto"/>
            <w:hideMark/>
          </w:tcPr>
          <w:p w14:paraId="097E2374" w14:textId="77777777" w:rsidR="00E659A5" w:rsidRDefault="00C21592">
            <w:pPr>
              <w:jc w:val="both"/>
            </w:pPr>
            <w:r>
              <w:t>44</w:t>
            </w:r>
          </w:p>
          <w:p w14:paraId="4722CF8A" w14:textId="77777777" w:rsidR="00E659A5" w:rsidRDefault="00C21592">
            <w:pPr>
              <w:jc w:val="both"/>
            </w:pPr>
            <w:r>
              <w:t>(1,8%)</w:t>
            </w:r>
          </w:p>
        </w:tc>
      </w:tr>
      <w:tr w:rsidR="00E659A5" w14:paraId="6AE5CA9C" w14:textId="77777777">
        <w:tc>
          <w:tcPr>
            <w:tcW w:w="2305" w:type="pct"/>
            <w:shd w:val="clear" w:color="auto" w:fill="auto"/>
            <w:hideMark/>
          </w:tcPr>
          <w:p w14:paraId="6DD3FCA9" w14:textId="77777777" w:rsidR="00E659A5" w:rsidRDefault="00C21592">
            <w:pPr>
              <w:ind w:left="567"/>
              <w:jc w:val="both"/>
            </w:pPr>
            <w:r>
              <w:t>Simptomatska rekurentna PE</w:t>
            </w:r>
          </w:p>
        </w:tc>
        <w:tc>
          <w:tcPr>
            <w:tcW w:w="1348" w:type="pct"/>
            <w:shd w:val="clear" w:color="auto" w:fill="auto"/>
            <w:hideMark/>
          </w:tcPr>
          <w:p w14:paraId="7890E297" w14:textId="77777777" w:rsidR="00E659A5" w:rsidRDefault="00C21592">
            <w:pPr>
              <w:jc w:val="both"/>
            </w:pPr>
            <w:r>
              <w:t>23</w:t>
            </w:r>
          </w:p>
          <w:p w14:paraId="6951BD27" w14:textId="77777777" w:rsidR="00E659A5" w:rsidRDefault="00C21592">
            <w:pPr>
              <w:jc w:val="both"/>
            </w:pPr>
            <w:r>
              <w:t>(1,0%)</w:t>
            </w:r>
          </w:p>
        </w:tc>
        <w:tc>
          <w:tcPr>
            <w:tcW w:w="1347" w:type="pct"/>
            <w:shd w:val="clear" w:color="auto" w:fill="auto"/>
            <w:hideMark/>
          </w:tcPr>
          <w:p w14:paraId="7FD27C92" w14:textId="77777777" w:rsidR="00E659A5" w:rsidRDefault="00C21592">
            <w:pPr>
              <w:jc w:val="both"/>
            </w:pPr>
            <w:r>
              <w:t>20</w:t>
            </w:r>
          </w:p>
          <w:p w14:paraId="4901F376" w14:textId="77777777" w:rsidR="00E659A5" w:rsidRDefault="00C21592">
            <w:pPr>
              <w:jc w:val="both"/>
            </w:pPr>
            <w:r>
              <w:t>(0,8%)</w:t>
            </w:r>
          </w:p>
        </w:tc>
      </w:tr>
      <w:tr w:rsidR="00E659A5" w14:paraId="55CF0528" w14:textId="77777777">
        <w:tc>
          <w:tcPr>
            <w:tcW w:w="2305" w:type="pct"/>
            <w:shd w:val="clear" w:color="auto" w:fill="auto"/>
            <w:hideMark/>
          </w:tcPr>
          <w:p w14:paraId="0C9AAD39" w14:textId="77777777" w:rsidR="00E659A5" w:rsidRDefault="00C21592">
            <w:pPr>
              <w:ind w:left="567"/>
              <w:jc w:val="both"/>
            </w:pPr>
            <w:r>
              <w:t>Simptomatska rekurentna TDV</w:t>
            </w:r>
          </w:p>
        </w:tc>
        <w:tc>
          <w:tcPr>
            <w:tcW w:w="1348" w:type="pct"/>
            <w:shd w:val="clear" w:color="auto" w:fill="auto"/>
            <w:hideMark/>
          </w:tcPr>
          <w:p w14:paraId="24F42293" w14:textId="77777777" w:rsidR="00E659A5" w:rsidRDefault="00C21592">
            <w:pPr>
              <w:jc w:val="both"/>
            </w:pPr>
            <w:r>
              <w:t>18</w:t>
            </w:r>
          </w:p>
          <w:p w14:paraId="44DF2417" w14:textId="77777777" w:rsidR="00E659A5" w:rsidRDefault="00C21592">
            <w:pPr>
              <w:jc w:val="both"/>
            </w:pPr>
            <w:r>
              <w:t>(0,7%)</w:t>
            </w:r>
          </w:p>
        </w:tc>
        <w:tc>
          <w:tcPr>
            <w:tcW w:w="1347" w:type="pct"/>
            <w:shd w:val="clear" w:color="auto" w:fill="auto"/>
            <w:hideMark/>
          </w:tcPr>
          <w:p w14:paraId="3F785328" w14:textId="77777777" w:rsidR="00E659A5" w:rsidRDefault="00C21592">
            <w:pPr>
              <w:jc w:val="both"/>
            </w:pPr>
            <w:r>
              <w:t>17</w:t>
            </w:r>
          </w:p>
          <w:p w14:paraId="061B0658" w14:textId="77777777" w:rsidR="00E659A5" w:rsidRDefault="00C21592">
            <w:pPr>
              <w:jc w:val="both"/>
            </w:pPr>
            <w:r>
              <w:t>(0,7%)</w:t>
            </w:r>
          </w:p>
        </w:tc>
      </w:tr>
      <w:tr w:rsidR="00E659A5" w14:paraId="4E4A6F2F" w14:textId="77777777">
        <w:tc>
          <w:tcPr>
            <w:tcW w:w="2305" w:type="pct"/>
            <w:shd w:val="clear" w:color="auto" w:fill="auto"/>
            <w:hideMark/>
          </w:tcPr>
          <w:p w14:paraId="0205A94D" w14:textId="77777777" w:rsidR="00E659A5" w:rsidRDefault="00C21592">
            <w:pPr>
              <w:ind w:left="567"/>
              <w:jc w:val="both"/>
            </w:pPr>
            <w:r>
              <w:t>Simptomatska PE i TDV</w:t>
            </w:r>
          </w:p>
        </w:tc>
        <w:tc>
          <w:tcPr>
            <w:tcW w:w="1348" w:type="pct"/>
            <w:shd w:val="clear" w:color="auto" w:fill="auto"/>
            <w:hideMark/>
          </w:tcPr>
          <w:p w14:paraId="2E3C9350" w14:textId="77777777" w:rsidR="00E659A5" w:rsidRDefault="00C21592">
            <w:pPr>
              <w:jc w:val="both"/>
            </w:pPr>
            <w:r>
              <w:t>0</w:t>
            </w:r>
          </w:p>
        </w:tc>
        <w:tc>
          <w:tcPr>
            <w:tcW w:w="1347" w:type="pct"/>
            <w:shd w:val="clear" w:color="auto" w:fill="auto"/>
            <w:hideMark/>
          </w:tcPr>
          <w:p w14:paraId="64EC4193" w14:textId="77777777" w:rsidR="00E659A5" w:rsidRDefault="00C21592">
            <w:pPr>
              <w:jc w:val="both"/>
            </w:pPr>
            <w:r>
              <w:t>2</w:t>
            </w:r>
          </w:p>
          <w:p w14:paraId="569C8941" w14:textId="77777777" w:rsidR="00E659A5" w:rsidRDefault="00C21592">
            <w:pPr>
              <w:jc w:val="both"/>
            </w:pPr>
            <w:r>
              <w:t>(&lt;0,1%)</w:t>
            </w:r>
          </w:p>
        </w:tc>
      </w:tr>
      <w:tr w:rsidR="00E659A5" w14:paraId="66BBF630" w14:textId="77777777">
        <w:tc>
          <w:tcPr>
            <w:tcW w:w="2305" w:type="pct"/>
            <w:shd w:val="clear" w:color="auto" w:fill="auto"/>
            <w:hideMark/>
          </w:tcPr>
          <w:p w14:paraId="18983F7C" w14:textId="77777777" w:rsidR="00E659A5" w:rsidRDefault="00C21592">
            <w:pPr>
              <w:ind w:left="567"/>
              <w:jc w:val="both"/>
            </w:pPr>
            <w:r>
              <w:t>Fatalna PE/smrt za koju se ne može isključiti PE</w:t>
            </w:r>
          </w:p>
        </w:tc>
        <w:tc>
          <w:tcPr>
            <w:tcW w:w="1348" w:type="pct"/>
            <w:shd w:val="clear" w:color="auto" w:fill="auto"/>
            <w:hideMark/>
          </w:tcPr>
          <w:p w14:paraId="23C8309F" w14:textId="77777777" w:rsidR="00E659A5" w:rsidRDefault="00C21592">
            <w:pPr>
              <w:jc w:val="both"/>
            </w:pPr>
            <w:r>
              <w:t>11</w:t>
            </w:r>
          </w:p>
          <w:p w14:paraId="51FDFC8E" w14:textId="77777777" w:rsidR="00E659A5" w:rsidRDefault="00C21592">
            <w:pPr>
              <w:jc w:val="both"/>
            </w:pPr>
            <w:r>
              <w:t>(0,5%)</w:t>
            </w:r>
          </w:p>
        </w:tc>
        <w:tc>
          <w:tcPr>
            <w:tcW w:w="1347" w:type="pct"/>
            <w:shd w:val="clear" w:color="auto" w:fill="auto"/>
            <w:hideMark/>
          </w:tcPr>
          <w:p w14:paraId="17CEC7A7" w14:textId="77777777" w:rsidR="00E659A5" w:rsidRDefault="00C21592">
            <w:pPr>
              <w:jc w:val="both"/>
            </w:pPr>
            <w:r>
              <w:t>7</w:t>
            </w:r>
          </w:p>
          <w:p w14:paraId="72CE1301" w14:textId="77777777" w:rsidR="00E659A5" w:rsidRDefault="00C21592">
            <w:pPr>
              <w:jc w:val="both"/>
            </w:pPr>
            <w:r>
              <w:t>(0,3%)</w:t>
            </w:r>
          </w:p>
        </w:tc>
      </w:tr>
      <w:tr w:rsidR="00E659A5" w14:paraId="5EA73E1F" w14:textId="77777777">
        <w:tc>
          <w:tcPr>
            <w:tcW w:w="2305" w:type="pct"/>
            <w:shd w:val="clear" w:color="auto" w:fill="auto"/>
            <w:hideMark/>
          </w:tcPr>
          <w:p w14:paraId="53E06DC5" w14:textId="77777777" w:rsidR="00E659A5" w:rsidRDefault="00C21592">
            <w:pPr>
              <w:pStyle w:val="Default"/>
              <w:jc w:val="both"/>
              <w:rPr>
                <w:sz w:val="22"/>
                <w:szCs w:val="22"/>
                <w:lang w:val="hr-HR"/>
              </w:rPr>
            </w:pPr>
            <w:r>
              <w:rPr>
                <w:sz w:val="22"/>
                <w:szCs w:val="22"/>
                <w:lang w:val="hr-HR"/>
              </w:rPr>
              <w:lastRenderedPageBreak/>
              <w:t xml:space="preserve">Velika krvarenja ili klinički relevantna krvarenja koja nisu klasifikovana kao ozbiljna </w:t>
            </w:r>
          </w:p>
        </w:tc>
        <w:tc>
          <w:tcPr>
            <w:tcW w:w="1348" w:type="pct"/>
            <w:shd w:val="clear" w:color="auto" w:fill="auto"/>
            <w:hideMark/>
          </w:tcPr>
          <w:p w14:paraId="63E012B4" w14:textId="77777777" w:rsidR="00E659A5" w:rsidRDefault="00C21592">
            <w:pPr>
              <w:jc w:val="both"/>
            </w:pPr>
            <w:r>
              <w:t>249</w:t>
            </w:r>
          </w:p>
          <w:p w14:paraId="263A7210" w14:textId="77777777" w:rsidR="00E659A5" w:rsidRDefault="00C21592">
            <w:pPr>
              <w:jc w:val="both"/>
            </w:pPr>
            <w:r>
              <w:t>(10,3%)</w:t>
            </w:r>
          </w:p>
        </w:tc>
        <w:tc>
          <w:tcPr>
            <w:tcW w:w="1347" w:type="pct"/>
            <w:shd w:val="clear" w:color="auto" w:fill="auto"/>
            <w:hideMark/>
          </w:tcPr>
          <w:p w14:paraId="2B368E28" w14:textId="77777777" w:rsidR="00E659A5" w:rsidRDefault="00C21592">
            <w:pPr>
              <w:jc w:val="both"/>
            </w:pPr>
            <w:r>
              <w:t>274</w:t>
            </w:r>
          </w:p>
          <w:p w14:paraId="66F84CCD" w14:textId="77777777" w:rsidR="00E659A5" w:rsidRDefault="00C21592">
            <w:pPr>
              <w:jc w:val="both"/>
            </w:pPr>
            <w:r>
              <w:t>(11,4%)</w:t>
            </w:r>
          </w:p>
        </w:tc>
      </w:tr>
      <w:tr w:rsidR="00E659A5" w14:paraId="0177AE65" w14:textId="77777777">
        <w:tc>
          <w:tcPr>
            <w:tcW w:w="2305" w:type="pct"/>
            <w:shd w:val="clear" w:color="auto" w:fill="auto"/>
            <w:hideMark/>
          </w:tcPr>
          <w:p w14:paraId="51070972" w14:textId="77777777" w:rsidR="00E659A5" w:rsidRDefault="00C21592">
            <w:pPr>
              <w:pStyle w:val="Default"/>
              <w:jc w:val="both"/>
              <w:rPr>
                <w:sz w:val="22"/>
                <w:szCs w:val="22"/>
                <w:lang w:val="hr-HR"/>
              </w:rPr>
            </w:pPr>
            <w:r>
              <w:rPr>
                <w:sz w:val="22"/>
                <w:szCs w:val="22"/>
                <w:lang w:val="hr-HR"/>
              </w:rPr>
              <w:t>Ozbiljna krvarenja</w:t>
            </w:r>
          </w:p>
        </w:tc>
        <w:tc>
          <w:tcPr>
            <w:tcW w:w="1348" w:type="pct"/>
            <w:shd w:val="clear" w:color="auto" w:fill="auto"/>
            <w:hideMark/>
          </w:tcPr>
          <w:p w14:paraId="1602409E" w14:textId="77777777" w:rsidR="00E659A5" w:rsidRDefault="00C21592">
            <w:pPr>
              <w:jc w:val="both"/>
            </w:pPr>
            <w:r>
              <w:t>26</w:t>
            </w:r>
          </w:p>
          <w:p w14:paraId="6F75BDF2" w14:textId="77777777" w:rsidR="00E659A5" w:rsidRDefault="00C21592">
            <w:pPr>
              <w:jc w:val="both"/>
            </w:pPr>
            <w:r>
              <w:t>(1,1%)</w:t>
            </w:r>
          </w:p>
        </w:tc>
        <w:tc>
          <w:tcPr>
            <w:tcW w:w="1347" w:type="pct"/>
            <w:shd w:val="clear" w:color="auto" w:fill="auto"/>
            <w:hideMark/>
          </w:tcPr>
          <w:p w14:paraId="1304D0DF" w14:textId="77777777" w:rsidR="00E659A5" w:rsidRDefault="00C21592">
            <w:pPr>
              <w:jc w:val="both"/>
            </w:pPr>
            <w:r>
              <w:t>52</w:t>
            </w:r>
          </w:p>
          <w:p w14:paraId="3ACDBA7A" w14:textId="77777777" w:rsidR="00E659A5" w:rsidRDefault="00C21592">
            <w:pPr>
              <w:jc w:val="both"/>
            </w:pPr>
            <w:r>
              <w:t>(2,2%)</w:t>
            </w:r>
          </w:p>
        </w:tc>
      </w:tr>
    </w:tbl>
    <w:p w14:paraId="676A0486" w14:textId="77777777" w:rsidR="00E659A5" w:rsidRDefault="00C21592">
      <w:pPr>
        <w:pStyle w:val="Default"/>
        <w:jc w:val="both"/>
        <w:rPr>
          <w:sz w:val="22"/>
          <w:szCs w:val="22"/>
          <w:lang w:val="hr-HR"/>
        </w:rPr>
      </w:pPr>
      <w:r>
        <w:rPr>
          <w:sz w:val="22"/>
          <w:szCs w:val="22"/>
          <w:lang w:val="hr-HR"/>
        </w:rPr>
        <w:t>a) Rivaroksaban 15 mg dva puta na dan tokom 3 nedjelje, potom 20 mg jednom dnevno.</w:t>
      </w:r>
    </w:p>
    <w:p w14:paraId="693C6C7C" w14:textId="77777777" w:rsidR="00E659A5" w:rsidRDefault="00C21592">
      <w:pPr>
        <w:shd w:val="clear" w:color="auto" w:fill="FFFFFF"/>
        <w:jc w:val="both"/>
      </w:pPr>
      <w:r>
        <w:t>b) Enoksaparin tokom najmanje 5 dana, uz preklapanje i nastavak sa antagonistom vitamina K.</w:t>
      </w:r>
    </w:p>
    <w:p w14:paraId="4E1AB440" w14:textId="77777777" w:rsidR="00E659A5" w:rsidRDefault="00C21592">
      <w:pPr>
        <w:shd w:val="clear" w:color="auto" w:fill="FFFFFF"/>
        <w:jc w:val="both"/>
        <w:rPr>
          <w:color w:val="000000"/>
        </w:rPr>
      </w:pPr>
      <w:r>
        <w:t xml:space="preserve">* p &lt; 0,0026 (neinferiornost u odnosu na predefinisani odnos rizika od 2,0); odnos rizika: 1,123 (0,749 </w:t>
      </w:r>
      <w:r>
        <w:rPr>
          <w:color w:val="000000"/>
        </w:rPr>
        <w:t xml:space="preserve">- </w:t>
      </w:r>
      <w:r>
        <w:t>1,684)</w:t>
      </w:r>
    </w:p>
    <w:p w14:paraId="7181E7F8" w14:textId="77777777" w:rsidR="00E659A5" w:rsidRDefault="00E659A5">
      <w:pPr>
        <w:shd w:val="clear" w:color="auto" w:fill="FFFFFF"/>
        <w:jc w:val="both"/>
        <w:rPr>
          <w:color w:val="000000"/>
        </w:rPr>
      </w:pPr>
    </w:p>
    <w:p w14:paraId="1FAD0471" w14:textId="77777777" w:rsidR="00E659A5" w:rsidRDefault="00C21592">
      <w:pPr>
        <w:shd w:val="clear" w:color="auto" w:fill="FFFFFF"/>
        <w:jc w:val="both"/>
        <w:rPr>
          <w:color w:val="000000"/>
        </w:rPr>
      </w:pPr>
      <w:r>
        <w:t xml:space="preserve">Sprovedena je unaprijed definisana objedinjena analiza ishoda </w:t>
      </w:r>
      <w:r>
        <w:rPr>
          <w:i/>
        </w:rPr>
        <w:t>Einstein</w:t>
      </w:r>
      <w:r>
        <w:t xml:space="preserve"> DVT i </w:t>
      </w:r>
      <w:r>
        <w:rPr>
          <w:i/>
        </w:rPr>
        <w:t>Einstein</w:t>
      </w:r>
      <w:r>
        <w:t xml:space="preserve"> PE studija (vidjeti Tabelu 8).</w:t>
      </w:r>
    </w:p>
    <w:p w14:paraId="4B901387" w14:textId="77777777" w:rsidR="00E659A5" w:rsidRDefault="00E659A5">
      <w:pPr>
        <w:shd w:val="clear" w:color="auto" w:fill="FFFFFF"/>
        <w:jc w:val="both"/>
        <w:rPr>
          <w:bCs/>
          <w:color w:val="000000"/>
        </w:rPr>
      </w:pPr>
    </w:p>
    <w:p w14:paraId="714A0FE3" w14:textId="77777777" w:rsidR="00E659A5" w:rsidRDefault="00C21592">
      <w:pPr>
        <w:pStyle w:val="Default"/>
        <w:jc w:val="both"/>
        <w:rPr>
          <w:sz w:val="22"/>
          <w:szCs w:val="22"/>
          <w:lang w:val="hr-HR"/>
        </w:rPr>
      </w:pPr>
      <w:r>
        <w:rPr>
          <w:b/>
          <w:bCs/>
          <w:sz w:val="22"/>
          <w:szCs w:val="22"/>
          <w:lang w:val="hr-HR"/>
        </w:rPr>
        <w:t xml:space="preserve">Tabela 8: Rezultati efikasnosti i bezbjednosti iz objedinjene analize </w:t>
      </w:r>
      <w:r>
        <w:rPr>
          <w:b/>
          <w:bCs/>
          <w:i/>
          <w:sz w:val="22"/>
          <w:szCs w:val="22"/>
          <w:lang w:val="hr-HR"/>
        </w:rPr>
        <w:t>Einstein</w:t>
      </w:r>
      <w:r>
        <w:rPr>
          <w:b/>
          <w:bCs/>
          <w:sz w:val="22"/>
          <w:szCs w:val="22"/>
          <w:lang w:val="hr-HR"/>
        </w:rPr>
        <w:t xml:space="preserve"> DVT i </w:t>
      </w:r>
      <w:r>
        <w:rPr>
          <w:b/>
          <w:bCs/>
          <w:i/>
          <w:sz w:val="22"/>
          <w:szCs w:val="22"/>
          <w:lang w:val="hr-HR"/>
        </w:rPr>
        <w:t>Einstein</w:t>
      </w:r>
      <w:r>
        <w:rPr>
          <w:b/>
          <w:bCs/>
          <w:sz w:val="22"/>
          <w:szCs w:val="22"/>
          <w:lang w:val="hr-HR"/>
        </w:rPr>
        <w:t xml:space="preserve"> PE studija faze III</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3"/>
        <w:gridCol w:w="2550"/>
        <w:gridCol w:w="2551"/>
      </w:tblGrid>
      <w:tr w:rsidR="00E659A5" w14:paraId="7D483D05" w14:textId="77777777">
        <w:tc>
          <w:tcPr>
            <w:tcW w:w="2305" w:type="pct"/>
            <w:shd w:val="clear" w:color="auto" w:fill="auto"/>
            <w:hideMark/>
          </w:tcPr>
          <w:p w14:paraId="41505C3E" w14:textId="77777777" w:rsidR="00E659A5" w:rsidRDefault="00C21592">
            <w:pPr>
              <w:jc w:val="both"/>
            </w:pPr>
            <w:r>
              <w:rPr>
                <w:b/>
              </w:rPr>
              <w:t>Populacija u studiji</w:t>
            </w:r>
          </w:p>
        </w:tc>
        <w:tc>
          <w:tcPr>
            <w:tcW w:w="2695" w:type="pct"/>
            <w:gridSpan w:val="2"/>
            <w:shd w:val="clear" w:color="auto" w:fill="auto"/>
            <w:hideMark/>
          </w:tcPr>
          <w:p w14:paraId="42EF9C34" w14:textId="77777777" w:rsidR="00E659A5" w:rsidRDefault="00C21592">
            <w:pPr>
              <w:pStyle w:val="Default"/>
              <w:jc w:val="both"/>
              <w:rPr>
                <w:b/>
                <w:sz w:val="22"/>
                <w:szCs w:val="22"/>
                <w:lang w:val="hr-HR"/>
              </w:rPr>
            </w:pPr>
            <w:r>
              <w:rPr>
                <w:b/>
                <w:sz w:val="22"/>
                <w:szCs w:val="22"/>
                <w:lang w:val="hr-HR"/>
              </w:rPr>
              <w:t>8281 pacijent sa akutnom simptomatskom TDV ili PE</w:t>
            </w:r>
          </w:p>
        </w:tc>
      </w:tr>
      <w:tr w:rsidR="00E659A5" w14:paraId="664DDD39" w14:textId="77777777">
        <w:tc>
          <w:tcPr>
            <w:tcW w:w="2305" w:type="pct"/>
            <w:shd w:val="clear" w:color="auto" w:fill="auto"/>
            <w:hideMark/>
          </w:tcPr>
          <w:p w14:paraId="5759E99E" w14:textId="77777777" w:rsidR="00E659A5" w:rsidRDefault="00C21592">
            <w:pPr>
              <w:jc w:val="both"/>
            </w:pPr>
            <w:r>
              <w:rPr>
                <w:b/>
              </w:rPr>
              <w:t>Terapijska doza i trajanje liječenja</w:t>
            </w:r>
          </w:p>
        </w:tc>
        <w:tc>
          <w:tcPr>
            <w:tcW w:w="1347" w:type="pct"/>
            <w:shd w:val="clear" w:color="auto" w:fill="auto"/>
            <w:hideMark/>
          </w:tcPr>
          <w:p w14:paraId="2F643588" w14:textId="77777777" w:rsidR="00E659A5" w:rsidRDefault="00C21592">
            <w:pPr>
              <w:jc w:val="both"/>
              <w:rPr>
                <w:b/>
              </w:rPr>
            </w:pPr>
            <w:r>
              <w:rPr>
                <w:b/>
              </w:rPr>
              <w:t>Rivaroksaban</w:t>
            </w:r>
            <w:r>
              <w:rPr>
                <w:b/>
                <w:bCs/>
                <w:vertAlign w:val="superscript"/>
              </w:rPr>
              <w:t>a)</w:t>
            </w:r>
          </w:p>
          <w:p w14:paraId="326661CC" w14:textId="77777777" w:rsidR="00E659A5" w:rsidRDefault="00C21592">
            <w:pPr>
              <w:jc w:val="both"/>
              <w:rPr>
                <w:b/>
              </w:rPr>
            </w:pPr>
            <w:r>
              <w:rPr>
                <w:b/>
                <w:bCs/>
              </w:rPr>
              <w:t>3, 6 ili 12 mjeseci</w:t>
            </w:r>
          </w:p>
          <w:p w14:paraId="1CC29C37" w14:textId="77777777" w:rsidR="00E659A5" w:rsidRDefault="00C21592">
            <w:pPr>
              <w:jc w:val="both"/>
              <w:rPr>
                <w:b/>
              </w:rPr>
            </w:pPr>
            <w:r>
              <w:rPr>
                <w:b/>
                <w:bCs/>
              </w:rPr>
              <w:t>N=4150</w:t>
            </w:r>
          </w:p>
        </w:tc>
        <w:tc>
          <w:tcPr>
            <w:tcW w:w="1348" w:type="pct"/>
            <w:shd w:val="clear" w:color="auto" w:fill="auto"/>
            <w:hideMark/>
          </w:tcPr>
          <w:p w14:paraId="70EF99EF" w14:textId="77777777" w:rsidR="00E659A5" w:rsidRDefault="00C21592">
            <w:pPr>
              <w:jc w:val="both"/>
            </w:pPr>
            <w:r>
              <w:rPr>
                <w:b/>
                <w:bCs/>
              </w:rPr>
              <w:t>Enoksaparin/VKA</w:t>
            </w:r>
            <w:r>
              <w:rPr>
                <w:b/>
                <w:bCs/>
                <w:vertAlign w:val="superscript"/>
              </w:rPr>
              <w:t>b)</w:t>
            </w:r>
          </w:p>
          <w:p w14:paraId="32F14941" w14:textId="77777777" w:rsidR="00E659A5" w:rsidRDefault="00C21592">
            <w:pPr>
              <w:jc w:val="both"/>
            </w:pPr>
            <w:r>
              <w:rPr>
                <w:b/>
                <w:bCs/>
              </w:rPr>
              <w:t>3, 6 ili 12 mjeseci</w:t>
            </w:r>
          </w:p>
          <w:p w14:paraId="6D941DF3" w14:textId="77777777" w:rsidR="00E659A5" w:rsidRDefault="00C21592">
            <w:pPr>
              <w:jc w:val="both"/>
            </w:pPr>
            <w:r>
              <w:rPr>
                <w:b/>
                <w:bCs/>
              </w:rPr>
              <w:t>N=4131</w:t>
            </w:r>
          </w:p>
        </w:tc>
      </w:tr>
      <w:tr w:rsidR="00E659A5" w14:paraId="47E45732" w14:textId="77777777">
        <w:tc>
          <w:tcPr>
            <w:tcW w:w="2305" w:type="pct"/>
            <w:shd w:val="clear" w:color="auto" w:fill="auto"/>
            <w:hideMark/>
          </w:tcPr>
          <w:p w14:paraId="542CCDEA" w14:textId="77777777" w:rsidR="00E659A5" w:rsidRDefault="00C21592">
            <w:pPr>
              <w:jc w:val="both"/>
            </w:pPr>
            <w:r>
              <w:t>Simptomatska rekurentna VTE*</w:t>
            </w:r>
          </w:p>
        </w:tc>
        <w:tc>
          <w:tcPr>
            <w:tcW w:w="1347" w:type="pct"/>
            <w:shd w:val="clear" w:color="auto" w:fill="auto"/>
            <w:hideMark/>
          </w:tcPr>
          <w:p w14:paraId="55E46DA9" w14:textId="77777777" w:rsidR="00E659A5" w:rsidRDefault="00C21592">
            <w:pPr>
              <w:jc w:val="both"/>
            </w:pPr>
            <w:r>
              <w:t>86</w:t>
            </w:r>
          </w:p>
          <w:p w14:paraId="374FDC90" w14:textId="77777777" w:rsidR="00E659A5" w:rsidRDefault="00C21592">
            <w:pPr>
              <w:jc w:val="both"/>
            </w:pPr>
            <w:r>
              <w:t>(2,1%)</w:t>
            </w:r>
          </w:p>
        </w:tc>
        <w:tc>
          <w:tcPr>
            <w:tcW w:w="1348" w:type="pct"/>
            <w:shd w:val="clear" w:color="auto" w:fill="auto"/>
            <w:hideMark/>
          </w:tcPr>
          <w:p w14:paraId="0DCD56EF" w14:textId="77777777" w:rsidR="00E659A5" w:rsidRDefault="00C21592">
            <w:pPr>
              <w:jc w:val="both"/>
            </w:pPr>
            <w:r>
              <w:t>95</w:t>
            </w:r>
          </w:p>
          <w:p w14:paraId="198CC167" w14:textId="77777777" w:rsidR="00E659A5" w:rsidRDefault="00C21592">
            <w:pPr>
              <w:jc w:val="both"/>
            </w:pPr>
            <w:r>
              <w:t>(2,3%)</w:t>
            </w:r>
          </w:p>
        </w:tc>
      </w:tr>
      <w:tr w:rsidR="00E659A5" w14:paraId="593B8563" w14:textId="77777777">
        <w:tc>
          <w:tcPr>
            <w:tcW w:w="2305" w:type="pct"/>
            <w:shd w:val="clear" w:color="auto" w:fill="auto"/>
            <w:hideMark/>
          </w:tcPr>
          <w:p w14:paraId="1DF1FDA5" w14:textId="77777777" w:rsidR="00E659A5" w:rsidRDefault="00C21592">
            <w:pPr>
              <w:ind w:left="567"/>
              <w:jc w:val="both"/>
            </w:pPr>
            <w:r>
              <w:t>Simptomatska rekurentna PE</w:t>
            </w:r>
          </w:p>
        </w:tc>
        <w:tc>
          <w:tcPr>
            <w:tcW w:w="1347" w:type="pct"/>
            <w:shd w:val="clear" w:color="auto" w:fill="auto"/>
            <w:hideMark/>
          </w:tcPr>
          <w:p w14:paraId="679C6CAB" w14:textId="77777777" w:rsidR="00E659A5" w:rsidRDefault="00C21592">
            <w:pPr>
              <w:jc w:val="both"/>
            </w:pPr>
            <w:r>
              <w:t>43</w:t>
            </w:r>
          </w:p>
          <w:p w14:paraId="7701D221" w14:textId="77777777" w:rsidR="00E659A5" w:rsidRDefault="00C21592">
            <w:pPr>
              <w:jc w:val="both"/>
            </w:pPr>
            <w:r>
              <w:t>(1,0%)</w:t>
            </w:r>
          </w:p>
        </w:tc>
        <w:tc>
          <w:tcPr>
            <w:tcW w:w="1348" w:type="pct"/>
            <w:shd w:val="clear" w:color="auto" w:fill="auto"/>
            <w:hideMark/>
          </w:tcPr>
          <w:p w14:paraId="1BE73F6A" w14:textId="77777777" w:rsidR="00E659A5" w:rsidRDefault="00C21592">
            <w:pPr>
              <w:jc w:val="both"/>
            </w:pPr>
            <w:r>
              <w:t>38</w:t>
            </w:r>
          </w:p>
          <w:p w14:paraId="11789011" w14:textId="77777777" w:rsidR="00E659A5" w:rsidRDefault="00C21592">
            <w:pPr>
              <w:jc w:val="both"/>
            </w:pPr>
            <w:r>
              <w:t>(0,9%)</w:t>
            </w:r>
          </w:p>
        </w:tc>
      </w:tr>
      <w:tr w:rsidR="00E659A5" w14:paraId="1F03EA65" w14:textId="77777777">
        <w:tc>
          <w:tcPr>
            <w:tcW w:w="2305" w:type="pct"/>
            <w:shd w:val="clear" w:color="auto" w:fill="auto"/>
            <w:hideMark/>
          </w:tcPr>
          <w:p w14:paraId="5B78FD0E" w14:textId="77777777" w:rsidR="00E659A5" w:rsidRDefault="00C21592">
            <w:pPr>
              <w:ind w:left="567"/>
              <w:jc w:val="both"/>
            </w:pPr>
            <w:r>
              <w:t>Simptomatska rekurentna TDV</w:t>
            </w:r>
          </w:p>
        </w:tc>
        <w:tc>
          <w:tcPr>
            <w:tcW w:w="1347" w:type="pct"/>
            <w:shd w:val="clear" w:color="auto" w:fill="auto"/>
            <w:hideMark/>
          </w:tcPr>
          <w:p w14:paraId="4B90F6F9" w14:textId="77777777" w:rsidR="00E659A5" w:rsidRDefault="00C21592">
            <w:pPr>
              <w:jc w:val="both"/>
            </w:pPr>
            <w:r>
              <w:t>32</w:t>
            </w:r>
          </w:p>
          <w:p w14:paraId="135F9616" w14:textId="77777777" w:rsidR="00E659A5" w:rsidRDefault="00C21592">
            <w:pPr>
              <w:jc w:val="both"/>
            </w:pPr>
            <w:r>
              <w:t>(0,8%)</w:t>
            </w:r>
          </w:p>
        </w:tc>
        <w:tc>
          <w:tcPr>
            <w:tcW w:w="1348" w:type="pct"/>
            <w:shd w:val="clear" w:color="auto" w:fill="auto"/>
            <w:hideMark/>
          </w:tcPr>
          <w:p w14:paraId="550D857C" w14:textId="77777777" w:rsidR="00E659A5" w:rsidRDefault="00C21592">
            <w:pPr>
              <w:jc w:val="both"/>
            </w:pPr>
            <w:r>
              <w:t>45</w:t>
            </w:r>
          </w:p>
          <w:p w14:paraId="02C6C86F" w14:textId="77777777" w:rsidR="00E659A5" w:rsidRDefault="00C21592">
            <w:pPr>
              <w:jc w:val="both"/>
            </w:pPr>
            <w:r>
              <w:t>(1,1%)</w:t>
            </w:r>
          </w:p>
        </w:tc>
      </w:tr>
      <w:tr w:rsidR="00E659A5" w14:paraId="0764F9A4" w14:textId="77777777">
        <w:tc>
          <w:tcPr>
            <w:tcW w:w="2305" w:type="pct"/>
            <w:shd w:val="clear" w:color="auto" w:fill="auto"/>
            <w:hideMark/>
          </w:tcPr>
          <w:p w14:paraId="7443F4A4" w14:textId="77777777" w:rsidR="00E659A5" w:rsidRDefault="00C21592">
            <w:pPr>
              <w:ind w:left="567"/>
              <w:jc w:val="both"/>
            </w:pPr>
            <w:r>
              <w:t>Simptomatska PE i TDV</w:t>
            </w:r>
          </w:p>
        </w:tc>
        <w:tc>
          <w:tcPr>
            <w:tcW w:w="1347" w:type="pct"/>
            <w:shd w:val="clear" w:color="auto" w:fill="auto"/>
            <w:hideMark/>
          </w:tcPr>
          <w:p w14:paraId="6E0D2126" w14:textId="77777777" w:rsidR="00E659A5" w:rsidRDefault="00C21592">
            <w:pPr>
              <w:jc w:val="both"/>
            </w:pPr>
            <w:r>
              <w:t>1</w:t>
            </w:r>
          </w:p>
          <w:p w14:paraId="08BDAC77" w14:textId="77777777" w:rsidR="00E659A5" w:rsidRDefault="00C21592">
            <w:pPr>
              <w:jc w:val="both"/>
            </w:pPr>
            <w:r>
              <w:t>(&lt;0,1%)</w:t>
            </w:r>
          </w:p>
        </w:tc>
        <w:tc>
          <w:tcPr>
            <w:tcW w:w="1348" w:type="pct"/>
            <w:shd w:val="clear" w:color="auto" w:fill="auto"/>
            <w:hideMark/>
          </w:tcPr>
          <w:p w14:paraId="6F8DF5DE" w14:textId="77777777" w:rsidR="00E659A5" w:rsidRDefault="00C21592">
            <w:pPr>
              <w:jc w:val="both"/>
            </w:pPr>
            <w:r>
              <w:t>2</w:t>
            </w:r>
          </w:p>
          <w:p w14:paraId="341E3F09" w14:textId="77777777" w:rsidR="00E659A5" w:rsidRDefault="00C21592">
            <w:pPr>
              <w:jc w:val="both"/>
            </w:pPr>
            <w:r>
              <w:t>(&lt;0,1%)</w:t>
            </w:r>
          </w:p>
        </w:tc>
      </w:tr>
      <w:tr w:rsidR="00E659A5" w14:paraId="2067B670" w14:textId="77777777">
        <w:tc>
          <w:tcPr>
            <w:tcW w:w="2305" w:type="pct"/>
            <w:shd w:val="clear" w:color="auto" w:fill="auto"/>
            <w:hideMark/>
          </w:tcPr>
          <w:p w14:paraId="47C9B2FD" w14:textId="77777777" w:rsidR="00E659A5" w:rsidRDefault="00C21592">
            <w:pPr>
              <w:ind w:left="567"/>
              <w:jc w:val="both"/>
            </w:pPr>
            <w:r>
              <w:t>Fatalna PE / smrt za koju se ne može isključiti PE</w:t>
            </w:r>
          </w:p>
        </w:tc>
        <w:tc>
          <w:tcPr>
            <w:tcW w:w="1347" w:type="pct"/>
            <w:shd w:val="clear" w:color="auto" w:fill="auto"/>
            <w:hideMark/>
          </w:tcPr>
          <w:p w14:paraId="1FE46669" w14:textId="77777777" w:rsidR="00E659A5" w:rsidRDefault="00C21592">
            <w:pPr>
              <w:jc w:val="both"/>
            </w:pPr>
            <w:r>
              <w:t>15</w:t>
            </w:r>
          </w:p>
          <w:p w14:paraId="18397D19" w14:textId="77777777" w:rsidR="00E659A5" w:rsidRDefault="00C21592">
            <w:pPr>
              <w:jc w:val="both"/>
            </w:pPr>
            <w:r>
              <w:t>(0,4%)</w:t>
            </w:r>
          </w:p>
        </w:tc>
        <w:tc>
          <w:tcPr>
            <w:tcW w:w="1348" w:type="pct"/>
            <w:shd w:val="clear" w:color="auto" w:fill="auto"/>
            <w:hideMark/>
          </w:tcPr>
          <w:p w14:paraId="7080EF56" w14:textId="77777777" w:rsidR="00E659A5" w:rsidRDefault="00C21592">
            <w:pPr>
              <w:jc w:val="both"/>
            </w:pPr>
            <w:r>
              <w:t>13</w:t>
            </w:r>
          </w:p>
          <w:p w14:paraId="1D6AAC7B" w14:textId="77777777" w:rsidR="00E659A5" w:rsidRDefault="00C21592">
            <w:pPr>
              <w:jc w:val="both"/>
            </w:pPr>
            <w:r>
              <w:t>(0,3%)</w:t>
            </w:r>
          </w:p>
        </w:tc>
      </w:tr>
      <w:tr w:rsidR="00E659A5" w14:paraId="2402FC4C" w14:textId="77777777">
        <w:tc>
          <w:tcPr>
            <w:tcW w:w="2305" w:type="pct"/>
            <w:shd w:val="clear" w:color="auto" w:fill="auto"/>
            <w:hideMark/>
          </w:tcPr>
          <w:p w14:paraId="45CEB2AA" w14:textId="77777777" w:rsidR="00E659A5" w:rsidRDefault="00C21592">
            <w:pPr>
              <w:pStyle w:val="Default"/>
              <w:jc w:val="both"/>
              <w:rPr>
                <w:sz w:val="22"/>
                <w:szCs w:val="22"/>
                <w:lang w:val="hr-HR"/>
              </w:rPr>
            </w:pPr>
            <w:r>
              <w:rPr>
                <w:sz w:val="22"/>
                <w:szCs w:val="22"/>
                <w:lang w:val="hr-HR"/>
              </w:rPr>
              <w:t>Velika krvarenja ili klinički relevantna krvarenja koja nisu klasifikovana kao velika</w:t>
            </w:r>
          </w:p>
        </w:tc>
        <w:tc>
          <w:tcPr>
            <w:tcW w:w="1347" w:type="pct"/>
            <w:shd w:val="clear" w:color="auto" w:fill="auto"/>
            <w:hideMark/>
          </w:tcPr>
          <w:p w14:paraId="25A904A4" w14:textId="77777777" w:rsidR="00E659A5" w:rsidRDefault="00C21592">
            <w:pPr>
              <w:jc w:val="both"/>
            </w:pPr>
            <w:r>
              <w:t>388</w:t>
            </w:r>
          </w:p>
          <w:p w14:paraId="6023DC18" w14:textId="77777777" w:rsidR="00E659A5" w:rsidRDefault="00C21592">
            <w:pPr>
              <w:jc w:val="both"/>
            </w:pPr>
            <w:r>
              <w:t>(9,4%)</w:t>
            </w:r>
          </w:p>
        </w:tc>
        <w:tc>
          <w:tcPr>
            <w:tcW w:w="1348" w:type="pct"/>
            <w:shd w:val="clear" w:color="auto" w:fill="auto"/>
            <w:hideMark/>
          </w:tcPr>
          <w:p w14:paraId="5ABF80B9" w14:textId="77777777" w:rsidR="00E659A5" w:rsidRDefault="00C21592">
            <w:pPr>
              <w:jc w:val="both"/>
            </w:pPr>
            <w:r>
              <w:t>412</w:t>
            </w:r>
          </w:p>
          <w:p w14:paraId="7FBA2AA5" w14:textId="77777777" w:rsidR="00E659A5" w:rsidRDefault="00C21592">
            <w:pPr>
              <w:jc w:val="both"/>
            </w:pPr>
            <w:r>
              <w:t>(10,0%)</w:t>
            </w:r>
          </w:p>
        </w:tc>
      </w:tr>
      <w:tr w:rsidR="00E659A5" w14:paraId="56C47B13" w14:textId="77777777">
        <w:tc>
          <w:tcPr>
            <w:tcW w:w="2305" w:type="pct"/>
            <w:shd w:val="clear" w:color="auto" w:fill="auto"/>
            <w:hideMark/>
          </w:tcPr>
          <w:p w14:paraId="2195A8EF" w14:textId="77777777" w:rsidR="00E659A5" w:rsidRDefault="00C21592">
            <w:pPr>
              <w:pStyle w:val="Default"/>
              <w:jc w:val="both"/>
              <w:rPr>
                <w:sz w:val="22"/>
                <w:szCs w:val="22"/>
                <w:lang w:val="hr-HR"/>
              </w:rPr>
            </w:pPr>
            <w:r>
              <w:rPr>
                <w:sz w:val="22"/>
                <w:szCs w:val="22"/>
                <w:lang w:val="hr-HR"/>
              </w:rPr>
              <w:t>Velika krvarenja</w:t>
            </w:r>
          </w:p>
        </w:tc>
        <w:tc>
          <w:tcPr>
            <w:tcW w:w="1347" w:type="pct"/>
            <w:shd w:val="clear" w:color="auto" w:fill="auto"/>
            <w:hideMark/>
          </w:tcPr>
          <w:p w14:paraId="057E8A95" w14:textId="77777777" w:rsidR="00E659A5" w:rsidRDefault="00C21592">
            <w:pPr>
              <w:jc w:val="both"/>
            </w:pPr>
            <w:r>
              <w:t>40</w:t>
            </w:r>
          </w:p>
          <w:p w14:paraId="62971A9E" w14:textId="77777777" w:rsidR="00E659A5" w:rsidRDefault="00C21592">
            <w:pPr>
              <w:jc w:val="both"/>
            </w:pPr>
            <w:r>
              <w:t>(1,0%)</w:t>
            </w:r>
          </w:p>
        </w:tc>
        <w:tc>
          <w:tcPr>
            <w:tcW w:w="1348" w:type="pct"/>
            <w:shd w:val="clear" w:color="auto" w:fill="auto"/>
            <w:hideMark/>
          </w:tcPr>
          <w:p w14:paraId="59E50AD8" w14:textId="77777777" w:rsidR="00E659A5" w:rsidRDefault="00C21592">
            <w:pPr>
              <w:jc w:val="both"/>
            </w:pPr>
            <w:r>
              <w:t>72</w:t>
            </w:r>
          </w:p>
          <w:p w14:paraId="42DDEC71" w14:textId="77777777" w:rsidR="00E659A5" w:rsidRDefault="00C21592">
            <w:pPr>
              <w:jc w:val="both"/>
            </w:pPr>
            <w:r>
              <w:t>(1,7%)</w:t>
            </w:r>
          </w:p>
        </w:tc>
      </w:tr>
    </w:tbl>
    <w:p w14:paraId="4AB26171" w14:textId="77777777" w:rsidR="00E659A5" w:rsidRDefault="00C21592">
      <w:pPr>
        <w:pStyle w:val="Default"/>
        <w:jc w:val="both"/>
        <w:rPr>
          <w:sz w:val="22"/>
          <w:szCs w:val="22"/>
          <w:lang w:val="hr-HR"/>
        </w:rPr>
      </w:pPr>
      <w:r>
        <w:rPr>
          <w:sz w:val="22"/>
          <w:szCs w:val="22"/>
          <w:lang w:val="hr-HR"/>
        </w:rPr>
        <w:t>a) Rivaroksaban 15 mg dva puta na dan tokom 3 nedjelje, potom 20 mg jednom dnevno.</w:t>
      </w:r>
    </w:p>
    <w:p w14:paraId="38510837" w14:textId="77777777" w:rsidR="00E659A5" w:rsidRDefault="00C21592">
      <w:pPr>
        <w:shd w:val="clear" w:color="auto" w:fill="FFFFFF"/>
        <w:jc w:val="both"/>
      </w:pPr>
      <w:r>
        <w:t>b) Enoksaparin tokom najmanje 5 dana, uz preklapanje i nastavak sa antagonistom vitamina K.</w:t>
      </w:r>
    </w:p>
    <w:p w14:paraId="17B4E97E" w14:textId="77777777" w:rsidR="00E659A5" w:rsidRDefault="00C21592">
      <w:pPr>
        <w:shd w:val="clear" w:color="auto" w:fill="FFFFFF"/>
        <w:jc w:val="both"/>
        <w:rPr>
          <w:color w:val="000000"/>
        </w:rPr>
      </w:pPr>
      <w:r>
        <w:rPr>
          <w:b/>
          <w:bCs/>
        </w:rPr>
        <w:t xml:space="preserve">* </w:t>
      </w:r>
      <w:r>
        <w:t xml:space="preserve">p &lt; 0,0001 (neinferiornost u odnosu na predefinisani odnos rizika od 1,75); odnos rizika: 0,886 (0,661 </w:t>
      </w:r>
      <w:r>
        <w:rPr>
          <w:color w:val="000000"/>
        </w:rPr>
        <w:t>-</w:t>
      </w:r>
      <w:r>
        <w:t xml:space="preserve"> 1,186)</w:t>
      </w:r>
    </w:p>
    <w:p w14:paraId="126E5381" w14:textId="77777777" w:rsidR="00E659A5" w:rsidRDefault="00E659A5">
      <w:pPr>
        <w:shd w:val="clear" w:color="auto" w:fill="FFFFFF"/>
        <w:jc w:val="both"/>
        <w:rPr>
          <w:color w:val="000000"/>
        </w:rPr>
      </w:pPr>
    </w:p>
    <w:p w14:paraId="2D862F57" w14:textId="77777777" w:rsidR="00E659A5" w:rsidRDefault="00C21592">
      <w:pPr>
        <w:shd w:val="clear" w:color="auto" w:fill="FFFFFF"/>
        <w:jc w:val="both"/>
        <w:rPr>
          <w:color w:val="000000"/>
        </w:rPr>
      </w:pPr>
      <w:r>
        <w:t>Predefinisana ukupna klinička korist (primarni ishod efikasnosti plus velika krvarenja) objedinjene analize zabilježena je uz odnos rizika od 0,771 ((95% CI: 0,614 - 0,967), nominalna p vrijednost p=0,0244).</w:t>
      </w:r>
    </w:p>
    <w:p w14:paraId="0FD2EE48" w14:textId="77777777" w:rsidR="00E659A5" w:rsidRDefault="00E659A5">
      <w:pPr>
        <w:shd w:val="clear" w:color="auto" w:fill="FFFFFF"/>
        <w:jc w:val="both"/>
        <w:rPr>
          <w:color w:val="000000"/>
        </w:rPr>
      </w:pPr>
    </w:p>
    <w:p w14:paraId="2A0BF32F" w14:textId="77777777" w:rsidR="00E659A5" w:rsidRDefault="00C21592">
      <w:pPr>
        <w:shd w:val="clear" w:color="auto" w:fill="FFFFFF"/>
        <w:jc w:val="both"/>
        <w:rPr>
          <w:color w:val="000000"/>
        </w:rPr>
      </w:pPr>
      <w:r>
        <w:t xml:space="preserve">U </w:t>
      </w:r>
      <w:r>
        <w:rPr>
          <w:i/>
        </w:rPr>
        <w:t>Einstein Extension</w:t>
      </w:r>
      <w:r>
        <w:t xml:space="preserve"> studiji (vidjeti Tabelu 9) rivaroksaban se pokazao superiornim u odnosu na placebo za primarne i sekundarne ishode efikasnosti. Za primarni ishod bezbjednosti (velika krvarenja) postojala je nesignifikantno brojno viša stopa učestalosti kod pacijenata liječenih rivaroksabanom od 20 mg jednom dnevno u poređenju sa placebom. Sekundarni ishod bezbjednosti (ozbiljna krvarenja ili klinički relevantna krvarenja koja nisu klasifikovana kao ozbiljna) je pokazao  više stope kod pacijenata liječenih rivaroksabanom od 20 mg jednom dnevno u odnosu na placebo.</w:t>
      </w:r>
    </w:p>
    <w:p w14:paraId="277D204D" w14:textId="77777777" w:rsidR="00E659A5" w:rsidRDefault="00E659A5">
      <w:pPr>
        <w:shd w:val="clear" w:color="auto" w:fill="FFFFFF"/>
        <w:jc w:val="both"/>
        <w:rPr>
          <w:bCs/>
          <w:color w:val="000000"/>
        </w:rPr>
      </w:pPr>
    </w:p>
    <w:p w14:paraId="064CF5BB" w14:textId="77777777" w:rsidR="00E659A5" w:rsidRDefault="00C21592">
      <w:pPr>
        <w:pStyle w:val="Default"/>
        <w:jc w:val="both"/>
        <w:rPr>
          <w:sz w:val="22"/>
          <w:szCs w:val="22"/>
          <w:lang w:val="hr-HR"/>
        </w:rPr>
      </w:pPr>
      <w:r>
        <w:rPr>
          <w:b/>
          <w:bCs/>
          <w:sz w:val="22"/>
          <w:szCs w:val="22"/>
          <w:lang w:val="hr-HR"/>
        </w:rPr>
        <w:t xml:space="preserve">Tabela 9: Rezultati efikasnosti i bezbjednosti iz ispitivanja </w:t>
      </w:r>
      <w:r>
        <w:rPr>
          <w:b/>
          <w:bCs/>
          <w:i/>
          <w:sz w:val="22"/>
          <w:szCs w:val="22"/>
          <w:lang w:val="hr-HR"/>
        </w:rPr>
        <w:t xml:space="preserve">Einstein Extension </w:t>
      </w:r>
      <w:r>
        <w:rPr>
          <w:b/>
          <w:bCs/>
          <w:sz w:val="22"/>
          <w:szCs w:val="22"/>
          <w:lang w:val="hr-HR"/>
        </w:rPr>
        <w:t>faze III</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3"/>
        <w:gridCol w:w="2551"/>
        <w:gridCol w:w="2550"/>
      </w:tblGrid>
      <w:tr w:rsidR="00E659A5" w14:paraId="190DE88C" w14:textId="77777777">
        <w:tc>
          <w:tcPr>
            <w:tcW w:w="2305" w:type="pct"/>
            <w:shd w:val="clear" w:color="auto" w:fill="auto"/>
            <w:hideMark/>
          </w:tcPr>
          <w:p w14:paraId="517BAC8C" w14:textId="77777777" w:rsidR="00E659A5" w:rsidRDefault="00C21592">
            <w:pPr>
              <w:jc w:val="both"/>
            </w:pPr>
            <w:r>
              <w:rPr>
                <w:b/>
              </w:rPr>
              <w:t>Populacija u studiji</w:t>
            </w:r>
          </w:p>
        </w:tc>
        <w:tc>
          <w:tcPr>
            <w:tcW w:w="2695" w:type="pct"/>
            <w:gridSpan w:val="2"/>
            <w:shd w:val="clear" w:color="auto" w:fill="auto"/>
            <w:hideMark/>
          </w:tcPr>
          <w:p w14:paraId="109757BF" w14:textId="77777777" w:rsidR="00E659A5" w:rsidRDefault="00C21592">
            <w:pPr>
              <w:pStyle w:val="Default"/>
              <w:jc w:val="both"/>
              <w:rPr>
                <w:b/>
                <w:sz w:val="22"/>
                <w:szCs w:val="22"/>
                <w:lang w:val="hr-HR"/>
              </w:rPr>
            </w:pPr>
            <w:r>
              <w:rPr>
                <w:b/>
                <w:sz w:val="22"/>
                <w:szCs w:val="22"/>
                <w:lang w:val="hr-HR"/>
              </w:rPr>
              <w:t>1197 pacijenata koji su nastavili liječenje i prevenciju rekurentne venske tromboembolije</w:t>
            </w:r>
          </w:p>
        </w:tc>
      </w:tr>
      <w:tr w:rsidR="00E659A5" w14:paraId="2A34D015" w14:textId="77777777">
        <w:tc>
          <w:tcPr>
            <w:tcW w:w="2305" w:type="pct"/>
            <w:shd w:val="clear" w:color="auto" w:fill="auto"/>
            <w:hideMark/>
          </w:tcPr>
          <w:p w14:paraId="459EF224" w14:textId="77777777" w:rsidR="00E659A5" w:rsidRDefault="00C21592">
            <w:pPr>
              <w:jc w:val="both"/>
            </w:pPr>
            <w:r>
              <w:rPr>
                <w:b/>
              </w:rPr>
              <w:t>Terapijska doza i trajanje liječenja</w:t>
            </w:r>
          </w:p>
        </w:tc>
        <w:tc>
          <w:tcPr>
            <w:tcW w:w="1348" w:type="pct"/>
            <w:shd w:val="clear" w:color="auto" w:fill="auto"/>
            <w:hideMark/>
          </w:tcPr>
          <w:p w14:paraId="7DBC1A27" w14:textId="77777777" w:rsidR="00E659A5" w:rsidRDefault="00C21592">
            <w:pPr>
              <w:jc w:val="both"/>
              <w:rPr>
                <w:b/>
              </w:rPr>
            </w:pPr>
            <w:r>
              <w:rPr>
                <w:b/>
              </w:rPr>
              <w:t>Rivaroksaban</w:t>
            </w:r>
            <w:r>
              <w:rPr>
                <w:b/>
                <w:bCs/>
                <w:vertAlign w:val="superscript"/>
              </w:rPr>
              <w:t>a)</w:t>
            </w:r>
          </w:p>
          <w:p w14:paraId="34444A85" w14:textId="77777777" w:rsidR="00E659A5" w:rsidRDefault="00C21592">
            <w:pPr>
              <w:jc w:val="both"/>
              <w:rPr>
                <w:b/>
              </w:rPr>
            </w:pPr>
            <w:r>
              <w:rPr>
                <w:b/>
                <w:bCs/>
              </w:rPr>
              <w:t>6 ili 12 mjeseci</w:t>
            </w:r>
          </w:p>
          <w:p w14:paraId="3AEBB000" w14:textId="77777777" w:rsidR="00E659A5" w:rsidRDefault="00C21592">
            <w:pPr>
              <w:jc w:val="both"/>
              <w:rPr>
                <w:b/>
              </w:rPr>
            </w:pPr>
            <w:r>
              <w:rPr>
                <w:b/>
                <w:bCs/>
              </w:rPr>
              <w:t>N=602</w:t>
            </w:r>
          </w:p>
        </w:tc>
        <w:tc>
          <w:tcPr>
            <w:tcW w:w="1347" w:type="pct"/>
            <w:shd w:val="clear" w:color="auto" w:fill="auto"/>
            <w:hideMark/>
          </w:tcPr>
          <w:p w14:paraId="7ECBC81D" w14:textId="77777777" w:rsidR="00E659A5" w:rsidRDefault="00C21592">
            <w:pPr>
              <w:jc w:val="both"/>
            </w:pPr>
            <w:r>
              <w:rPr>
                <w:b/>
                <w:bCs/>
              </w:rPr>
              <w:t>Placebo</w:t>
            </w:r>
          </w:p>
          <w:p w14:paraId="6AC8F1C0" w14:textId="77777777" w:rsidR="00E659A5" w:rsidRDefault="00C21592">
            <w:pPr>
              <w:jc w:val="both"/>
            </w:pPr>
            <w:r>
              <w:rPr>
                <w:b/>
                <w:bCs/>
              </w:rPr>
              <w:t>6 ili 12 mjeseci</w:t>
            </w:r>
          </w:p>
          <w:p w14:paraId="39EF3E46" w14:textId="77777777" w:rsidR="00E659A5" w:rsidRDefault="00C21592">
            <w:pPr>
              <w:jc w:val="both"/>
            </w:pPr>
            <w:r>
              <w:rPr>
                <w:b/>
                <w:bCs/>
              </w:rPr>
              <w:t>N=594</w:t>
            </w:r>
          </w:p>
        </w:tc>
      </w:tr>
      <w:tr w:rsidR="00E659A5" w14:paraId="115998CD" w14:textId="77777777">
        <w:tc>
          <w:tcPr>
            <w:tcW w:w="2305" w:type="pct"/>
            <w:shd w:val="clear" w:color="auto" w:fill="auto"/>
            <w:hideMark/>
          </w:tcPr>
          <w:p w14:paraId="471F8880" w14:textId="77777777" w:rsidR="00E659A5" w:rsidRDefault="00C21592">
            <w:pPr>
              <w:jc w:val="both"/>
            </w:pPr>
            <w:r>
              <w:lastRenderedPageBreak/>
              <w:t>Simptomatska rekurentna VTE*</w:t>
            </w:r>
          </w:p>
        </w:tc>
        <w:tc>
          <w:tcPr>
            <w:tcW w:w="1348" w:type="pct"/>
            <w:shd w:val="clear" w:color="auto" w:fill="auto"/>
            <w:hideMark/>
          </w:tcPr>
          <w:p w14:paraId="1FC46C4C" w14:textId="77777777" w:rsidR="00E659A5" w:rsidRDefault="00C21592">
            <w:pPr>
              <w:jc w:val="both"/>
            </w:pPr>
            <w:r>
              <w:t>8</w:t>
            </w:r>
          </w:p>
          <w:p w14:paraId="4D7B5243" w14:textId="77777777" w:rsidR="00E659A5" w:rsidRDefault="00C21592">
            <w:pPr>
              <w:jc w:val="both"/>
            </w:pPr>
            <w:r>
              <w:t>(1,3%)</w:t>
            </w:r>
          </w:p>
        </w:tc>
        <w:tc>
          <w:tcPr>
            <w:tcW w:w="1347" w:type="pct"/>
            <w:shd w:val="clear" w:color="auto" w:fill="auto"/>
            <w:hideMark/>
          </w:tcPr>
          <w:p w14:paraId="0F0FA617" w14:textId="77777777" w:rsidR="00E659A5" w:rsidRDefault="00C21592">
            <w:pPr>
              <w:jc w:val="both"/>
            </w:pPr>
            <w:r>
              <w:t>42</w:t>
            </w:r>
          </w:p>
          <w:p w14:paraId="66637A59" w14:textId="77777777" w:rsidR="00E659A5" w:rsidRDefault="00C21592">
            <w:pPr>
              <w:jc w:val="both"/>
            </w:pPr>
            <w:r>
              <w:t>(7,1%)</w:t>
            </w:r>
          </w:p>
        </w:tc>
      </w:tr>
      <w:tr w:rsidR="00E659A5" w14:paraId="7AAB2D2F" w14:textId="77777777">
        <w:tc>
          <w:tcPr>
            <w:tcW w:w="2305" w:type="pct"/>
            <w:shd w:val="clear" w:color="auto" w:fill="auto"/>
            <w:hideMark/>
          </w:tcPr>
          <w:p w14:paraId="3547BC9A" w14:textId="77777777" w:rsidR="00E659A5" w:rsidRDefault="00C21592">
            <w:pPr>
              <w:jc w:val="both"/>
            </w:pPr>
            <w:r>
              <w:t xml:space="preserve">           Simptomatska rekurentna PE</w:t>
            </w:r>
          </w:p>
        </w:tc>
        <w:tc>
          <w:tcPr>
            <w:tcW w:w="1348" w:type="pct"/>
            <w:shd w:val="clear" w:color="auto" w:fill="auto"/>
            <w:hideMark/>
          </w:tcPr>
          <w:p w14:paraId="1C1B2867" w14:textId="77777777" w:rsidR="00E659A5" w:rsidRDefault="00C21592">
            <w:pPr>
              <w:jc w:val="both"/>
            </w:pPr>
            <w:r>
              <w:t>2</w:t>
            </w:r>
          </w:p>
          <w:p w14:paraId="58E9C3B2" w14:textId="77777777" w:rsidR="00E659A5" w:rsidRDefault="00C21592">
            <w:pPr>
              <w:jc w:val="both"/>
            </w:pPr>
            <w:r>
              <w:t>(0,3%)</w:t>
            </w:r>
          </w:p>
        </w:tc>
        <w:tc>
          <w:tcPr>
            <w:tcW w:w="1347" w:type="pct"/>
            <w:shd w:val="clear" w:color="auto" w:fill="auto"/>
            <w:hideMark/>
          </w:tcPr>
          <w:p w14:paraId="1B055A0F" w14:textId="77777777" w:rsidR="00E659A5" w:rsidRDefault="00C21592">
            <w:pPr>
              <w:jc w:val="both"/>
            </w:pPr>
            <w:r>
              <w:t>13</w:t>
            </w:r>
          </w:p>
          <w:p w14:paraId="375CB57C" w14:textId="77777777" w:rsidR="00E659A5" w:rsidRDefault="00C21592">
            <w:pPr>
              <w:jc w:val="both"/>
            </w:pPr>
            <w:r>
              <w:t>(2,2%)</w:t>
            </w:r>
          </w:p>
        </w:tc>
      </w:tr>
      <w:tr w:rsidR="00E659A5" w14:paraId="40B8CE97" w14:textId="77777777">
        <w:tc>
          <w:tcPr>
            <w:tcW w:w="2305" w:type="pct"/>
            <w:shd w:val="clear" w:color="auto" w:fill="auto"/>
            <w:hideMark/>
          </w:tcPr>
          <w:p w14:paraId="13F16DCC" w14:textId="77777777" w:rsidR="00E659A5" w:rsidRDefault="00C21592">
            <w:pPr>
              <w:ind w:left="567"/>
              <w:jc w:val="both"/>
            </w:pPr>
            <w:r>
              <w:t>Simptomatska rekurentna TDV</w:t>
            </w:r>
          </w:p>
        </w:tc>
        <w:tc>
          <w:tcPr>
            <w:tcW w:w="1348" w:type="pct"/>
            <w:shd w:val="clear" w:color="auto" w:fill="auto"/>
            <w:hideMark/>
          </w:tcPr>
          <w:p w14:paraId="300DD931" w14:textId="77777777" w:rsidR="00E659A5" w:rsidRDefault="00C21592">
            <w:pPr>
              <w:jc w:val="both"/>
            </w:pPr>
            <w:r>
              <w:t>5</w:t>
            </w:r>
          </w:p>
          <w:p w14:paraId="1E51FB7A" w14:textId="77777777" w:rsidR="00E659A5" w:rsidRDefault="00C21592">
            <w:pPr>
              <w:jc w:val="both"/>
            </w:pPr>
            <w:r>
              <w:t>(0,8%)</w:t>
            </w:r>
          </w:p>
        </w:tc>
        <w:tc>
          <w:tcPr>
            <w:tcW w:w="1347" w:type="pct"/>
            <w:shd w:val="clear" w:color="auto" w:fill="auto"/>
            <w:hideMark/>
          </w:tcPr>
          <w:p w14:paraId="4A294685" w14:textId="77777777" w:rsidR="00E659A5" w:rsidRDefault="00C21592">
            <w:pPr>
              <w:jc w:val="both"/>
            </w:pPr>
            <w:r>
              <w:t>31</w:t>
            </w:r>
          </w:p>
          <w:p w14:paraId="2C8335EF" w14:textId="77777777" w:rsidR="00E659A5" w:rsidRDefault="00C21592">
            <w:pPr>
              <w:jc w:val="both"/>
            </w:pPr>
            <w:r>
              <w:t>(5,2%)</w:t>
            </w:r>
          </w:p>
        </w:tc>
      </w:tr>
      <w:tr w:rsidR="00E659A5" w14:paraId="193AEFEC" w14:textId="77777777">
        <w:tc>
          <w:tcPr>
            <w:tcW w:w="2305" w:type="pct"/>
            <w:shd w:val="clear" w:color="auto" w:fill="auto"/>
            <w:hideMark/>
          </w:tcPr>
          <w:p w14:paraId="0CDA5C9D" w14:textId="77777777" w:rsidR="00E659A5" w:rsidRDefault="00C21592">
            <w:pPr>
              <w:ind w:left="567"/>
              <w:jc w:val="both"/>
            </w:pPr>
            <w:r>
              <w:t>Fatalna PE / smrt za koju se ne može isključiti PE</w:t>
            </w:r>
          </w:p>
        </w:tc>
        <w:tc>
          <w:tcPr>
            <w:tcW w:w="1348" w:type="pct"/>
            <w:shd w:val="clear" w:color="auto" w:fill="auto"/>
            <w:hideMark/>
          </w:tcPr>
          <w:p w14:paraId="301F99C6" w14:textId="77777777" w:rsidR="00E659A5" w:rsidRDefault="00C21592">
            <w:pPr>
              <w:jc w:val="both"/>
            </w:pPr>
            <w:r>
              <w:t>1</w:t>
            </w:r>
          </w:p>
          <w:p w14:paraId="475B173F" w14:textId="77777777" w:rsidR="00E659A5" w:rsidRDefault="00C21592">
            <w:pPr>
              <w:jc w:val="both"/>
            </w:pPr>
            <w:r>
              <w:t>(0,2%)</w:t>
            </w:r>
          </w:p>
        </w:tc>
        <w:tc>
          <w:tcPr>
            <w:tcW w:w="1347" w:type="pct"/>
            <w:shd w:val="clear" w:color="auto" w:fill="auto"/>
            <w:hideMark/>
          </w:tcPr>
          <w:p w14:paraId="0C97AF52" w14:textId="77777777" w:rsidR="00E659A5" w:rsidRDefault="00C21592">
            <w:pPr>
              <w:jc w:val="both"/>
            </w:pPr>
            <w:r>
              <w:t>1</w:t>
            </w:r>
          </w:p>
          <w:p w14:paraId="322D91B1" w14:textId="77777777" w:rsidR="00E659A5" w:rsidRDefault="00C21592">
            <w:pPr>
              <w:jc w:val="both"/>
            </w:pPr>
            <w:r>
              <w:t>(0,2%)</w:t>
            </w:r>
          </w:p>
        </w:tc>
      </w:tr>
      <w:tr w:rsidR="00E659A5" w14:paraId="1F5EB479" w14:textId="77777777">
        <w:tc>
          <w:tcPr>
            <w:tcW w:w="2305" w:type="pct"/>
            <w:shd w:val="clear" w:color="auto" w:fill="auto"/>
            <w:hideMark/>
          </w:tcPr>
          <w:p w14:paraId="0512E231" w14:textId="77777777" w:rsidR="00E659A5" w:rsidRDefault="00C21592">
            <w:pPr>
              <w:jc w:val="both"/>
            </w:pPr>
            <w:r>
              <w:t>Velika krvarenja</w:t>
            </w:r>
          </w:p>
        </w:tc>
        <w:tc>
          <w:tcPr>
            <w:tcW w:w="1348" w:type="pct"/>
            <w:shd w:val="clear" w:color="auto" w:fill="auto"/>
            <w:hideMark/>
          </w:tcPr>
          <w:p w14:paraId="407C20C8" w14:textId="77777777" w:rsidR="00E659A5" w:rsidRDefault="00C21592">
            <w:pPr>
              <w:jc w:val="both"/>
            </w:pPr>
            <w:r>
              <w:t>4</w:t>
            </w:r>
          </w:p>
          <w:p w14:paraId="75026E39" w14:textId="77777777" w:rsidR="00E659A5" w:rsidRDefault="00C21592">
            <w:pPr>
              <w:jc w:val="both"/>
            </w:pPr>
            <w:r>
              <w:t>(0,7%)</w:t>
            </w:r>
          </w:p>
        </w:tc>
        <w:tc>
          <w:tcPr>
            <w:tcW w:w="1347" w:type="pct"/>
            <w:shd w:val="clear" w:color="auto" w:fill="auto"/>
            <w:hideMark/>
          </w:tcPr>
          <w:p w14:paraId="794B6B2D" w14:textId="77777777" w:rsidR="00E659A5" w:rsidRDefault="00C21592">
            <w:pPr>
              <w:jc w:val="both"/>
            </w:pPr>
            <w:r>
              <w:t>0</w:t>
            </w:r>
          </w:p>
          <w:p w14:paraId="5D5BA1E5" w14:textId="77777777" w:rsidR="00E659A5" w:rsidRDefault="00C21592">
            <w:pPr>
              <w:jc w:val="both"/>
            </w:pPr>
            <w:r>
              <w:t>(0,0%)</w:t>
            </w:r>
          </w:p>
        </w:tc>
      </w:tr>
      <w:tr w:rsidR="00E659A5" w14:paraId="20348AAB" w14:textId="77777777">
        <w:tc>
          <w:tcPr>
            <w:tcW w:w="2305" w:type="pct"/>
            <w:shd w:val="clear" w:color="auto" w:fill="auto"/>
            <w:hideMark/>
          </w:tcPr>
          <w:p w14:paraId="0F3E371D" w14:textId="77777777" w:rsidR="00E659A5" w:rsidRDefault="00C21592">
            <w:pPr>
              <w:pStyle w:val="Default"/>
              <w:jc w:val="both"/>
              <w:rPr>
                <w:sz w:val="22"/>
                <w:szCs w:val="22"/>
                <w:lang w:val="hr-HR"/>
              </w:rPr>
            </w:pPr>
            <w:r>
              <w:rPr>
                <w:sz w:val="22"/>
                <w:szCs w:val="22"/>
                <w:lang w:val="hr-HR"/>
              </w:rPr>
              <w:t>Klinički relevantna krvarenja koja nisu klasifikovana kao velika</w:t>
            </w:r>
          </w:p>
        </w:tc>
        <w:tc>
          <w:tcPr>
            <w:tcW w:w="1348" w:type="pct"/>
            <w:shd w:val="clear" w:color="auto" w:fill="auto"/>
            <w:hideMark/>
          </w:tcPr>
          <w:p w14:paraId="60D50D01" w14:textId="77777777" w:rsidR="00E659A5" w:rsidRDefault="00C21592">
            <w:pPr>
              <w:jc w:val="both"/>
            </w:pPr>
            <w:r>
              <w:t>32</w:t>
            </w:r>
          </w:p>
          <w:p w14:paraId="6860C56A" w14:textId="77777777" w:rsidR="00E659A5" w:rsidRDefault="00C21592">
            <w:pPr>
              <w:jc w:val="both"/>
            </w:pPr>
            <w:r>
              <w:t>(5,4%)</w:t>
            </w:r>
          </w:p>
        </w:tc>
        <w:tc>
          <w:tcPr>
            <w:tcW w:w="1347" w:type="pct"/>
            <w:shd w:val="clear" w:color="auto" w:fill="auto"/>
            <w:hideMark/>
          </w:tcPr>
          <w:p w14:paraId="63825C7B" w14:textId="77777777" w:rsidR="00E659A5" w:rsidRDefault="00C21592">
            <w:pPr>
              <w:jc w:val="both"/>
            </w:pPr>
            <w:r>
              <w:t>7</w:t>
            </w:r>
          </w:p>
          <w:p w14:paraId="1B22C6E2" w14:textId="77777777" w:rsidR="00E659A5" w:rsidRDefault="00C21592">
            <w:pPr>
              <w:jc w:val="both"/>
            </w:pPr>
            <w:r>
              <w:t>(1,2%)</w:t>
            </w:r>
          </w:p>
        </w:tc>
      </w:tr>
    </w:tbl>
    <w:p w14:paraId="1AB88F4D" w14:textId="77777777" w:rsidR="00E659A5" w:rsidRDefault="00C21592">
      <w:pPr>
        <w:shd w:val="clear" w:color="auto" w:fill="FFFFFF"/>
        <w:jc w:val="both"/>
        <w:rPr>
          <w:color w:val="000000"/>
        </w:rPr>
      </w:pPr>
      <w:r>
        <w:rPr>
          <w:color w:val="000000"/>
        </w:rPr>
        <w:t>a) Rivaroksaban 20 mg jednom dnevno</w:t>
      </w:r>
    </w:p>
    <w:p w14:paraId="355E33E5" w14:textId="77777777" w:rsidR="00E659A5" w:rsidRDefault="00C21592">
      <w:pPr>
        <w:shd w:val="clear" w:color="auto" w:fill="FFFFFF"/>
        <w:jc w:val="both"/>
        <w:rPr>
          <w:color w:val="000000"/>
        </w:rPr>
      </w:pPr>
      <w:r>
        <w:rPr>
          <w:color w:val="000000"/>
        </w:rPr>
        <w:t>* p &lt; 0,0001 (superiornost), HR: 0,185 (0,087 – 0,393)</w:t>
      </w:r>
    </w:p>
    <w:p w14:paraId="79F9B77F" w14:textId="77777777" w:rsidR="00E659A5" w:rsidRDefault="00E659A5">
      <w:pPr>
        <w:shd w:val="clear" w:color="auto" w:fill="FFFFFF"/>
        <w:jc w:val="both"/>
        <w:rPr>
          <w:color w:val="000000"/>
        </w:rPr>
      </w:pPr>
    </w:p>
    <w:p w14:paraId="7C018522" w14:textId="77777777" w:rsidR="00E659A5" w:rsidRDefault="00C21592">
      <w:pPr>
        <w:shd w:val="clear" w:color="auto" w:fill="FFFFFF"/>
        <w:jc w:val="both"/>
        <w:rPr>
          <w:color w:val="000000"/>
        </w:rPr>
      </w:pPr>
      <w:r>
        <w:t xml:space="preserve">U </w:t>
      </w:r>
      <w:r>
        <w:rPr>
          <w:i/>
        </w:rPr>
        <w:t>Einstein Choice</w:t>
      </w:r>
      <w:r>
        <w:t xml:space="preserve"> studiji (vidjeti Tabelu 10) rivaroksaban 20 mg i rivaroksaban 10 mg su pokazali superiornost u odnosu na acetilsalicilnu kiselinu od 100 mg u pogledu primarnog ishoda efikasnosti. Glavni ishod ispitivanja bezbjednosti (velika krvarenja) bio je sličan kod pacijenata liječenih rivaroksabanom 20 mg i rivaroksabanom 10 mg jedanput na dan u poređenju sa acetilsalicilnom kiselinom od 100 mg.</w:t>
      </w:r>
    </w:p>
    <w:p w14:paraId="615D6F3F" w14:textId="77777777" w:rsidR="00E659A5" w:rsidRDefault="00E659A5">
      <w:pPr>
        <w:shd w:val="clear" w:color="auto" w:fill="FFFFFF"/>
        <w:jc w:val="both"/>
        <w:rPr>
          <w:color w:val="000000"/>
        </w:rPr>
      </w:pPr>
    </w:p>
    <w:p w14:paraId="5881B481" w14:textId="77777777" w:rsidR="00E659A5" w:rsidRDefault="00C21592">
      <w:pPr>
        <w:pStyle w:val="Default"/>
        <w:jc w:val="both"/>
        <w:rPr>
          <w:sz w:val="22"/>
          <w:szCs w:val="22"/>
          <w:lang w:val="hr-HR"/>
        </w:rPr>
      </w:pPr>
      <w:r>
        <w:rPr>
          <w:b/>
          <w:bCs/>
          <w:sz w:val="22"/>
          <w:szCs w:val="22"/>
          <w:lang w:val="hr-HR"/>
        </w:rPr>
        <w:t xml:space="preserve">Tabela 10: Rezultati efikasnosti i bezbjednosti iz ispitivanja </w:t>
      </w:r>
      <w:r>
        <w:rPr>
          <w:b/>
          <w:bCs/>
          <w:i/>
          <w:sz w:val="22"/>
          <w:szCs w:val="22"/>
          <w:lang w:val="hr-HR"/>
        </w:rPr>
        <w:t xml:space="preserve">Einstein Choice </w:t>
      </w:r>
      <w:r>
        <w:rPr>
          <w:b/>
          <w:bCs/>
          <w:sz w:val="22"/>
          <w:szCs w:val="22"/>
          <w:lang w:val="hr-HR"/>
        </w:rPr>
        <w:t>faze III</w:t>
      </w:r>
    </w:p>
    <w:tbl>
      <w:tblPr>
        <w:tblW w:w="9528" w:type="dxa"/>
        <w:tblBorders>
          <w:top w:val="outset" w:sz="6" w:space="0" w:color="7B7B7B"/>
          <w:left w:val="outset" w:sz="6" w:space="0" w:color="7B7B7B"/>
          <w:bottom w:val="outset" w:sz="6" w:space="0" w:color="7B7B7B"/>
          <w:right w:val="outset" w:sz="6" w:space="0" w:color="7B7B7B"/>
        </w:tblBorders>
        <w:tblCellMar>
          <w:top w:w="30" w:type="dxa"/>
          <w:left w:w="30" w:type="dxa"/>
          <w:bottom w:w="30" w:type="dxa"/>
          <w:right w:w="30" w:type="dxa"/>
        </w:tblCellMar>
        <w:tblLook w:val="04A0" w:firstRow="1" w:lastRow="0" w:firstColumn="1" w:lastColumn="0" w:noHBand="0" w:noVBand="1"/>
      </w:tblPr>
      <w:tblGrid>
        <w:gridCol w:w="3003"/>
        <w:gridCol w:w="2555"/>
        <w:gridCol w:w="2125"/>
        <w:gridCol w:w="1845"/>
      </w:tblGrid>
      <w:tr w:rsidR="00E659A5" w14:paraId="76DBDDE0" w14:textId="77777777">
        <w:tc>
          <w:tcPr>
            <w:tcW w:w="1576" w:type="pct"/>
            <w:tcBorders>
              <w:top w:val="outset" w:sz="6" w:space="0" w:color="7B7B7B"/>
              <w:left w:val="outset" w:sz="6" w:space="0" w:color="7B7B7B"/>
              <w:bottom w:val="outset" w:sz="6" w:space="0" w:color="7B7B7B"/>
              <w:right w:val="outset" w:sz="6" w:space="0" w:color="7B7B7B"/>
            </w:tcBorders>
            <w:shd w:val="clear" w:color="auto" w:fill="auto"/>
            <w:hideMark/>
          </w:tcPr>
          <w:p w14:paraId="02F692EE" w14:textId="77777777" w:rsidR="00E659A5" w:rsidRDefault="00C21592">
            <w:pPr>
              <w:jc w:val="both"/>
            </w:pPr>
            <w:r>
              <w:rPr>
                <w:b/>
              </w:rPr>
              <w:t>Populacija u studiji</w:t>
            </w:r>
          </w:p>
        </w:tc>
        <w:tc>
          <w:tcPr>
            <w:tcW w:w="3424" w:type="pct"/>
            <w:gridSpan w:val="3"/>
            <w:tcBorders>
              <w:top w:val="outset" w:sz="6" w:space="0" w:color="7B7B7B"/>
              <w:left w:val="outset" w:sz="6" w:space="0" w:color="7B7B7B"/>
              <w:bottom w:val="outset" w:sz="6" w:space="0" w:color="7B7B7B"/>
              <w:right w:val="outset" w:sz="6" w:space="0" w:color="7B7B7B"/>
            </w:tcBorders>
            <w:shd w:val="clear" w:color="auto" w:fill="auto"/>
            <w:hideMark/>
          </w:tcPr>
          <w:p w14:paraId="486F74AD" w14:textId="77777777" w:rsidR="00E659A5" w:rsidRDefault="00C21592">
            <w:pPr>
              <w:pStyle w:val="Default"/>
              <w:jc w:val="both"/>
              <w:rPr>
                <w:b/>
                <w:sz w:val="22"/>
                <w:szCs w:val="22"/>
                <w:lang w:val="hr-HR"/>
              </w:rPr>
            </w:pPr>
            <w:r>
              <w:rPr>
                <w:b/>
                <w:sz w:val="22"/>
                <w:szCs w:val="22"/>
                <w:lang w:val="hr-HR"/>
              </w:rPr>
              <w:t>3396 pacijenata koji su nastavili terapiju i prevenciju rekurentne venske tromboembolije</w:t>
            </w:r>
          </w:p>
        </w:tc>
      </w:tr>
      <w:tr w:rsidR="00E659A5" w14:paraId="522ED771" w14:textId="77777777">
        <w:tc>
          <w:tcPr>
            <w:tcW w:w="1576" w:type="pct"/>
            <w:tcBorders>
              <w:top w:val="outset" w:sz="6" w:space="0" w:color="7B7B7B"/>
              <w:left w:val="outset" w:sz="6" w:space="0" w:color="7B7B7B"/>
              <w:bottom w:val="outset" w:sz="6" w:space="0" w:color="7B7B7B"/>
              <w:right w:val="outset" w:sz="6" w:space="0" w:color="7B7B7B"/>
            </w:tcBorders>
            <w:shd w:val="clear" w:color="auto" w:fill="auto"/>
            <w:hideMark/>
          </w:tcPr>
          <w:p w14:paraId="6BDBC0BA" w14:textId="77777777" w:rsidR="00E659A5" w:rsidRDefault="00C21592">
            <w:pPr>
              <w:jc w:val="both"/>
            </w:pPr>
            <w:r>
              <w:rPr>
                <w:b/>
              </w:rPr>
              <w:t>Terapijska doza</w:t>
            </w:r>
          </w:p>
        </w:tc>
        <w:tc>
          <w:tcPr>
            <w:tcW w:w="1341"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687D7E34" w14:textId="77777777" w:rsidR="00E659A5" w:rsidRDefault="00C21592">
            <w:pPr>
              <w:jc w:val="both"/>
              <w:rPr>
                <w:b/>
                <w:bCs/>
              </w:rPr>
            </w:pPr>
            <w:r>
              <w:rPr>
                <w:b/>
              </w:rPr>
              <w:t>Rivaroksaban</w:t>
            </w:r>
            <w:r>
              <w:rPr>
                <w:b/>
                <w:bCs/>
              </w:rPr>
              <w:t xml:space="preserve"> 20 mg jednom dnevno</w:t>
            </w:r>
          </w:p>
          <w:p w14:paraId="315F7A9E" w14:textId="77777777" w:rsidR="00E659A5" w:rsidRDefault="00E659A5">
            <w:pPr>
              <w:jc w:val="both"/>
            </w:pPr>
          </w:p>
          <w:p w14:paraId="36EFBE30" w14:textId="77777777" w:rsidR="00E659A5" w:rsidRDefault="00C21592">
            <w:pPr>
              <w:jc w:val="both"/>
              <w:rPr>
                <w:b/>
              </w:rPr>
            </w:pPr>
            <w:r>
              <w:rPr>
                <w:b/>
                <w:bCs/>
              </w:rPr>
              <w:t>N=1107</w:t>
            </w:r>
          </w:p>
        </w:tc>
        <w:tc>
          <w:tcPr>
            <w:tcW w:w="1115"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26601985" w14:textId="77777777" w:rsidR="00E659A5" w:rsidRDefault="00C21592">
            <w:pPr>
              <w:jc w:val="both"/>
              <w:rPr>
                <w:b/>
                <w:bCs/>
              </w:rPr>
            </w:pPr>
            <w:r>
              <w:rPr>
                <w:b/>
              </w:rPr>
              <w:t>Rivaroksaban</w:t>
            </w:r>
            <w:r>
              <w:rPr>
                <w:b/>
                <w:bCs/>
              </w:rPr>
              <w:t xml:space="preserve"> 10 mg jednom dnevno</w:t>
            </w:r>
          </w:p>
          <w:p w14:paraId="4FBFD43D" w14:textId="77777777" w:rsidR="00E659A5" w:rsidRDefault="00E659A5">
            <w:pPr>
              <w:jc w:val="both"/>
            </w:pPr>
          </w:p>
          <w:p w14:paraId="0D3E0899" w14:textId="77777777" w:rsidR="00E659A5" w:rsidRDefault="00C21592">
            <w:pPr>
              <w:jc w:val="both"/>
              <w:rPr>
                <w:b/>
              </w:rPr>
            </w:pPr>
            <w:r>
              <w:rPr>
                <w:b/>
                <w:bCs/>
              </w:rPr>
              <w:t>N=1127</w:t>
            </w:r>
          </w:p>
        </w:tc>
        <w:tc>
          <w:tcPr>
            <w:tcW w:w="968"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1FDC804B" w14:textId="77777777" w:rsidR="00E659A5" w:rsidRDefault="00C21592">
            <w:pPr>
              <w:jc w:val="both"/>
            </w:pPr>
            <w:r>
              <w:rPr>
                <w:b/>
                <w:bCs/>
              </w:rPr>
              <w:t>Acetilsalicilna kiselina 100 mg jednom dnevno</w:t>
            </w:r>
          </w:p>
          <w:p w14:paraId="69328540" w14:textId="77777777" w:rsidR="00E659A5" w:rsidRDefault="00C21592">
            <w:pPr>
              <w:jc w:val="both"/>
            </w:pPr>
            <w:r>
              <w:rPr>
                <w:b/>
                <w:bCs/>
              </w:rPr>
              <w:t>N=1131</w:t>
            </w:r>
          </w:p>
        </w:tc>
      </w:tr>
      <w:tr w:rsidR="00E659A5" w14:paraId="25A904A3" w14:textId="77777777">
        <w:tc>
          <w:tcPr>
            <w:tcW w:w="1576"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6A0BF92B" w14:textId="77777777" w:rsidR="00E659A5" w:rsidRDefault="00C21592">
            <w:pPr>
              <w:pStyle w:val="Default"/>
              <w:jc w:val="both"/>
              <w:rPr>
                <w:sz w:val="22"/>
                <w:szCs w:val="22"/>
                <w:lang w:val="hr-HR"/>
              </w:rPr>
            </w:pPr>
            <w:r>
              <w:rPr>
                <w:sz w:val="22"/>
                <w:szCs w:val="22"/>
                <w:lang w:val="hr-HR"/>
              </w:rPr>
              <w:t>Trajanje terapije, medijana [interkvartilni raspon]</w:t>
            </w:r>
          </w:p>
        </w:tc>
        <w:tc>
          <w:tcPr>
            <w:tcW w:w="1341"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6862CEC5" w14:textId="77777777" w:rsidR="00E659A5" w:rsidRDefault="00C21592">
            <w:pPr>
              <w:jc w:val="both"/>
            </w:pPr>
            <w:r>
              <w:t>349 [189-362] dana</w:t>
            </w:r>
          </w:p>
        </w:tc>
        <w:tc>
          <w:tcPr>
            <w:tcW w:w="1115"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31A347D7" w14:textId="77777777" w:rsidR="00E659A5" w:rsidRDefault="00C21592">
            <w:pPr>
              <w:jc w:val="both"/>
            </w:pPr>
            <w:r>
              <w:t>353 [190-362] dana</w:t>
            </w:r>
          </w:p>
        </w:tc>
        <w:tc>
          <w:tcPr>
            <w:tcW w:w="968"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6007C8A3" w14:textId="77777777" w:rsidR="00E659A5" w:rsidRDefault="00C21592">
            <w:pPr>
              <w:jc w:val="both"/>
            </w:pPr>
            <w:r>
              <w:t>350 [186-362] dana</w:t>
            </w:r>
          </w:p>
        </w:tc>
      </w:tr>
      <w:tr w:rsidR="00E659A5" w14:paraId="60A9C248" w14:textId="77777777">
        <w:tc>
          <w:tcPr>
            <w:tcW w:w="1576"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60239883" w14:textId="77777777" w:rsidR="00E659A5" w:rsidRDefault="00C21592">
            <w:pPr>
              <w:jc w:val="both"/>
            </w:pPr>
            <w:r>
              <w:t>Simptomatska rekurentna VTE</w:t>
            </w:r>
          </w:p>
        </w:tc>
        <w:tc>
          <w:tcPr>
            <w:tcW w:w="1341"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509EB560" w14:textId="77777777" w:rsidR="00E659A5" w:rsidRDefault="00C21592">
            <w:pPr>
              <w:jc w:val="both"/>
            </w:pPr>
            <w:r>
              <w:t>17</w:t>
            </w:r>
          </w:p>
          <w:p w14:paraId="73A11144" w14:textId="77777777" w:rsidR="00E659A5" w:rsidRDefault="00C21592">
            <w:pPr>
              <w:jc w:val="both"/>
            </w:pPr>
            <w:r>
              <w:t>(1,5%)*</w:t>
            </w:r>
          </w:p>
        </w:tc>
        <w:tc>
          <w:tcPr>
            <w:tcW w:w="1115"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05206567" w14:textId="77777777" w:rsidR="00E659A5" w:rsidRDefault="00C21592">
            <w:pPr>
              <w:jc w:val="both"/>
            </w:pPr>
            <w:r>
              <w:t>13</w:t>
            </w:r>
          </w:p>
          <w:p w14:paraId="46DED218" w14:textId="77777777" w:rsidR="00E659A5" w:rsidRDefault="00C21592">
            <w:pPr>
              <w:jc w:val="both"/>
            </w:pPr>
            <w:r>
              <w:t>(1,2%)**</w:t>
            </w:r>
          </w:p>
        </w:tc>
        <w:tc>
          <w:tcPr>
            <w:tcW w:w="968"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6D2ECCF7" w14:textId="77777777" w:rsidR="00E659A5" w:rsidRDefault="00C21592">
            <w:pPr>
              <w:jc w:val="both"/>
            </w:pPr>
            <w:r>
              <w:t>50</w:t>
            </w:r>
          </w:p>
          <w:p w14:paraId="377A0F4D" w14:textId="77777777" w:rsidR="00E659A5" w:rsidRDefault="00C21592">
            <w:pPr>
              <w:jc w:val="both"/>
            </w:pPr>
            <w:r>
              <w:t>(4,4%)</w:t>
            </w:r>
          </w:p>
        </w:tc>
      </w:tr>
      <w:tr w:rsidR="00E659A5" w14:paraId="200382E9" w14:textId="77777777">
        <w:tc>
          <w:tcPr>
            <w:tcW w:w="1576"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6B8F1EAB" w14:textId="77777777" w:rsidR="00E659A5" w:rsidRDefault="00C21592">
            <w:pPr>
              <w:ind w:left="720" w:right="-31"/>
              <w:jc w:val="both"/>
            </w:pPr>
            <w:r>
              <w:t>Simptomatska rekurentna PE</w:t>
            </w:r>
          </w:p>
        </w:tc>
        <w:tc>
          <w:tcPr>
            <w:tcW w:w="1341"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6C987024" w14:textId="77777777" w:rsidR="00E659A5" w:rsidRDefault="00C21592">
            <w:pPr>
              <w:jc w:val="both"/>
            </w:pPr>
            <w:r>
              <w:t>6</w:t>
            </w:r>
          </w:p>
          <w:p w14:paraId="2F13162E" w14:textId="77777777" w:rsidR="00E659A5" w:rsidRDefault="00C21592">
            <w:pPr>
              <w:jc w:val="both"/>
            </w:pPr>
            <w:r>
              <w:t>(0,5%)</w:t>
            </w:r>
          </w:p>
        </w:tc>
        <w:tc>
          <w:tcPr>
            <w:tcW w:w="1115"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0A46BB5B" w14:textId="77777777" w:rsidR="00E659A5" w:rsidRDefault="00C21592">
            <w:pPr>
              <w:jc w:val="both"/>
            </w:pPr>
            <w:r>
              <w:t>6</w:t>
            </w:r>
          </w:p>
          <w:p w14:paraId="568E40F6" w14:textId="77777777" w:rsidR="00E659A5" w:rsidRDefault="00C21592">
            <w:pPr>
              <w:jc w:val="both"/>
            </w:pPr>
            <w:r>
              <w:t>(0,5%)</w:t>
            </w:r>
          </w:p>
        </w:tc>
        <w:tc>
          <w:tcPr>
            <w:tcW w:w="968"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2A5F1255" w14:textId="77777777" w:rsidR="00E659A5" w:rsidRDefault="00C21592">
            <w:pPr>
              <w:jc w:val="both"/>
            </w:pPr>
            <w:r>
              <w:t>19</w:t>
            </w:r>
          </w:p>
          <w:p w14:paraId="1C4F0F1D" w14:textId="77777777" w:rsidR="00E659A5" w:rsidRDefault="00C21592">
            <w:pPr>
              <w:jc w:val="both"/>
            </w:pPr>
            <w:r>
              <w:t>(1,7%)</w:t>
            </w:r>
          </w:p>
        </w:tc>
      </w:tr>
      <w:tr w:rsidR="00E659A5" w14:paraId="7B51DACB" w14:textId="77777777">
        <w:tc>
          <w:tcPr>
            <w:tcW w:w="1576"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41C1E109" w14:textId="77777777" w:rsidR="00E659A5" w:rsidRDefault="00C21592">
            <w:pPr>
              <w:ind w:left="720" w:right="-31"/>
              <w:jc w:val="both"/>
            </w:pPr>
            <w:r>
              <w:t>Simptomatska rekurentna TDV</w:t>
            </w:r>
          </w:p>
        </w:tc>
        <w:tc>
          <w:tcPr>
            <w:tcW w:w="1341"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45E2FF8B" w14:textId="77777777" w:rsidR="00E659A5" w:rsidRDefault="00C21592">
            <w:pPr>
              <w:jc w:val="both"/>
            </w:pPr>
            <w:r>
              <w:t>9</w:t>
            </w:r>
          </w:p>
          <w:p w14:paraId="30725934" w14:textId="77777777" w:rsidR="00E659A5" w:rsidRDefault="00C21592">
            <w:pPr>
              <w:jc w:val="both"/>
            </w:pPr>
            <w:r>
              <w:t>(0,8%)</w:t>
            </w:r>
          </w:p>
        </w:tc>
        <w:tc>
          <w:tcPr>
            <w:tcW w:w="1115"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2DD4F456" w14:textId="77777777" w:rsidR="00E659A5" w:rsidRDefault="00C21592">
            <w:pPr>
              <w:jc w:val="both"/>
            </w:pPr>
            <w:r>
              <w:t>8</w:t>
            </w:r>
          </w:p>
          <w:p w14:paraId="5DAE55EA" w14:textId="77777777" w:rsidR="00E659A5" w:rsidRDefault="00C21592">
            <w:pPr>
              <w:jc w:val="both"/>
            </w:pPr>
            <w:r>
              <w:t>(0,7%)</w:t>
            </w:r>
          </w:p>
        </w:tc>
        <w:tc>
          <w:tcPr>
            <w:tcW w:w="968"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0422E793" w14:textId="77777777" w:rsidR="00E659A5" w:rsidRDefault="00C21592">
            <w:pPr>
              <w:jc w:val="both"/>
            </w:pPr>
            <w:r>
              <w:t>30</w:t>
            </w:r>
          </w:p>
          <w:p w14:paraId="4A1AA5A7" w14:textId="77777777" w:rsidR="00E659A5" w:rsidRDefault="00C21592">
            <w:pPr>
              <w:jc w:val="both"/>
            </w:pPr>
            <w:r>
              <w:t>(2,7%)</w:t>
            </w:r>
          </w:p>
        </w:tc>
      </w:tr>
      <w:tr w:rsidR="00E659A5" w14:paraId="5CA0066C" w14:textId="77777777">
        <w:tc>
          <w:tcPr>
            <w:tcW w:w="1576"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0E43A9DE" w14:textId="77777777" w:rsidR="00E659A5" w:rsidRDefault="00C21592">
            <w:pPr>
              <w:ind w:left="720" w:right="-31"/>
              <w:jc w:val="both"/>
            </w:pPr>
            <w:r>
              <w:t>Fatalna PE / smrt za koju se ne može isključiti PE</w:t>
            </w:r>
          </w:p>
        </w:tc>
        <w:tc>
          <w:tcPr>
            <w:tcW w:w="1341"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54D85089" w14:textId="77777777" w:rsidR="00E659A5" w:rsidRDefault="00C21592">
            <w:pPr>
              <w:jc w:val="both"/>
            </w:pPr>
            <w:r>
              <w:t>2</w:t>
            </w:r>
          </w:p>
          <w:p w14:paraId="09967C07" w14:textId="77777777" w:rsidR="00E659A5" w:rsidRDefault="00C21592">
            <w:pPr>
              <w:jc w:val="both"/>
            </w:pPr>
            <w:r>
              <w:t>(0,2%)</w:t>
            </w:r>
          </w:p>
        </w:tc>
        <w:tc>
          <w:tcPr>
            <w:tcW w:w="1115"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6D20CD5D" w14:textId="77777777" w:rsidR="00E659A5" w:rsidRDefault="00C21592">
            <w:pPr>
              <w:jc w:val="both"/>
            </w:pPr>
            <w:r>
              <w:t>0</w:t>
            </w:r>
          </w:p>
          <w:p w14:paraId="1E736B2A" w14:textId="77777777" w:rsidR="00E659A5" w:rsidRDefault="00C21592">
            <w:pPr>
              <w:jc w:val="both"/>
            </w:pPr>
            <w:r>
              <w:t>(0,0%)</w:t>
            </w:r>
          </w:p>
        </w:tc>
        <w:tc>
          <w:tcPr>
            <w:tcW w:w="968"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4CE2DFD5" w14:textId="77777777" w:rsidR="00E659A5" w:rsidRDefault="00C21592">
            <w:pPr>
              <w:jc w:val="both"/>
            </w:pPr>
            <w:r>
              <w:t>2</w:t>
            </w:r>
          </w:p>
          <w:p w14:paraId="36B1C359" w14:textId="77777777" w:rsidR="00E659A5" w:rsidRDefault="00C21592">
            <w:pPr>
              <w:jc w:val="both"/>
            </w:pPr>
            <w:r>
              <w:t>(0,2%)</w:t>
            </w:r>
          </w:p>
        </w:tc>
      </w:tr>
      <w:tr w:rsidR="00E659A5" w14:paraId="44BAAFD5" w14:textId="77777777">
        <w:tc>
          <w:tcPr>
            <w:tcW w:w="1576"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022335F4" w14:textId="77777777" w:rsidR="00E659A5" w:rsidRDefault="00C21592">
            <w:pPr>
              <w:pStyle w:val="Default"/>
              <w:jc w:val="both"/>
              <w:rPr>
                <w:sz w:val="22"/>
                <w:szCs w:val="22"/>
                <w:lang w:val="hr-HR"/>
              </w:rPr>
            </w:pPr>
            <w:r>
              <w:rPr>
                <w:sz w:val="22"/>
                <w:szCs w:val="22"/>
                <w:lang w:val="hr-HR"/>
              </w:rPr>
              <w:t xml:space="preserve">Simptomatska </w:t>
            </w:r>
            <w:r>
              <w:t xml:space="preserve">rekurentna </w:t>
            </w:r>
            <w:r>
              <w:rPr>
                <w:sz w:val="22"/>
                <w:szCs w:val="22"/>
                <w:lang w:val="hr-HR"/>
              </w:rPr>
              <w:t xml:space="preserve">VTE, infarkt miokarda, moždani udar ili ne-CNS sistemska embolija </w:t>
            </w:r>
          </w:p>
        </w:tc>
        <w:tc>
          <w:tcPr>
            <w:tcW w:w="1341"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1BD98784" w14:textId="77777777" w:rsidR="00E659A5" w:rsidRDefault="00C21592">
            <w:pPr>
              <w:jc w:val="both"/>
            </w:pPr>
            <w:r>
              <w:t>19</w:t>
            </w:r>
          </w:p>
          <w:p w14:paraId="03309D70" w14:textId="77777777" w:rsidR="00E659A5" w:rsidRDefault="00C21592">
            <w:pPr>
              <w:jc w:val="both"/>
            </w:pPr>
            <w:r>
              <w:t>(1,7%)</w:t>
            </w:r>
          </w:p>
        </w:tc>
        <w:tc>
          <w:tcPr>
            <w:tcW w:w="1115"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7B148AEE" w14:textId="77777777" w:rsidR="00E659A5" w:rsidRDefault="00C21592">
            <w:pPr>
              <w:jc w:val="both"/>
            </w:pPr>
            <w:r>
              <w:t>18</w:t>
            </w:r>
          </w:p>
          <w:p w14:paraId="5E22C3F9" w14:textId="77777777" w:rsidR="00E659A5" w:rsidRDefault="00C21592">
            <w:pPr>
              <w:jc w:val="both"/>
            </w:pPr>
            <w:r>
              <w:t>(1,6%)</w:t>
            </w:r>
          </w:p>
        </w:tc>
        <w:tc>
          <w:tcPr>
            <w:tcW w:w="968"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76C50D6E" w14:textId="77777777" w:rsidR="00E659A5" w:rsidRDefault="00C21592">
            <w:pPr>
              <w:jc w:val="both"/>
            </w:pPr>
            <w:r>
              <w:t>56</w:t>
            </w:r>
          </w:p>
          <w:p w14:paraId="00A13D56" w14:textId="77777777" w:rsidR="00E659A5" w:rsidRDefault="00C21592">
            <w:pPr>
              <w:jc w:val="both"/>
            </w:pPr>
            <w:r>
              <w:t>(5,0%)</w:t>
            </w:r>
          </w:p>
        </w:tc>
      </w:tr>
      <w:tr w:rsidR="00E659A5" w14:paraId="149E4936" w14:textId="77777777">
        <w:tc>
          <w:tcPr>
            <w:tcW w:w="1576"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48F862EF" w14:textId="77777777" w:rsidR="00E659A5" w:rsidRDefault="00C21592">
            <w:pPr>
              <w:pStyle w:val="Default"/>
              <w:jc w:val="both"/>
              <w:rPr>
                <w:sz w:val="22"/>
                <w:szCs w:val="22"/>
                <w:lang w:val="hr-HR"/>
              </w:rPr>
            </w:pPr>
            <w:r>
              <w:rPr>
                <w:sz w:val="22"/>
                <w:szCs w:val="22"/>
                <w:lang w:val="hr-HR"/>
              </w:rPr>
              <w:t>Velika krvarenja</w:t>
            </w:r>
          </w:p>
        </w:tc>
        <w:tc>
          <w:tcPr>
            <w:tcW w:w="1341"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7BF846FC" w14:textId="77777777" w:rsidR="00E659A5" w:rsidRDefault="00C21592">
            <w:pPr>
              <w:jc w:val="both"/>
            </w:pPr>
            <w:r>
              <w:t>6</w:t>
            </w:r>
          </w:p>
          <w:p w14:paraId="7EC81B6B" w14:textId="77777777" w:rsidR="00E659A5" w:rsidRDefault="00C21592">
            <w:pPr>
              <w:jc w:val="both"/>
            </w:pPr>
            <w:r>
              <w:t>(0,5%)</w:t>
            </w:r>
          </w:p>
        </w:tc>
        <w:tc>
          <w:tcPr>
            <w:tcW w:w="1115"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5DD0CB09" w14:textId="77777777" w:rsidR="00E659A5" w:rsidRDefault="00C21592">
            <w:pPr>
              <w:jc w:val="both"/>
            </w:pPr>
            <w:r>
              <w:t>5</w:t>
            </w:r>
          </w:p>
          <w:p w14:paraId="2E09F927" w14:textId="77777777" w:rsidR="00E659A5" w:rsidRDefault="00C21592">
            <w:pPr>
              <w:jc w:val="both"/>
            </w:pPr>
            <w:r>
              <w:t>(0,4%)</w:t>
            </w:r>
          </w:p>
        </w:tc>
        <w:tc>
          <w:tcPr>
            <w:tcW w:w="968"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4FA821B0" w14:textId="77777777" w:rsidR="00E659A5" w:rsidRDefault="00C21592">
            <w:pPr>
              <w:jc w:val="both"/>
            </w:pPr>
            <w:r>
              <w:t>3</w:t>
            </w:r>
          </w:p>
          <w:p w14:paraId="00213296" w14:textId="77777777" w:rsidR="00E659A5" w:rsidRDefault="00C21592">
            <w:pPr>
              <w:jc w:val="both"/>
            </w:pPr>
            <w:r>
              <w:t>(0,3%)</w:t>
            </w:r>
          </w:p>
        </w:tc>
      </w:tr>
      <w:tr w:rsidR="00E659A5" w14:paraId="29F10950" w14:textId="77777777">
        <w:tc>
          <w:tcPr>
            <w:tcW w:w="1576"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176B503F" w14:textId="77777777" w:rsidR="00E659A5" w:rsidRDefault="00C21592">
            <w:pPr>
              <w:pStyle w:val="Default"/>
              <w:jc w:val="both"/>
              <w:rPr>
                <w:sz w:val="22"/>
                <w:szCs w:val="22"/>
                <w:lang w:val="hr-HR"/>
              </w:rPr>
            </w:pPr>
            <w:r>
              <w:rPr>
                <w:sz w:val="22"/>
                <w:szCs w:val="22"/>
                <w:lang w:val="hr-HR"/>
              </w:rPr>
              <w:t>Klinički relevantna krvarenja koja nisu klasifikovana kao velika</w:t>
            </w:r>
          </w:p>
        </w:tc>
        <w:tc>
          <w:tcPr>
            <w:tcW w:w="1341"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0AF24881" w14:textId="77777777" w:rsidR="00E659A5" w:rsidRDefault="00C21592">
            <w:pPr>
              <w:jc w:val="both"/>
            </w:pPr>
            <w:r>
              <w:t>30</w:t>
            </w:r>
          </w:p>
          <w:p w14:paraId="0BD42AB4" w14:textId="77777777" w:rsidR="00E659A5" w:rsidRDefault="00C21592">
            <w:pPr>
              <w:jc w:val="both"/>
            </w:pPr>
            <w:r>
              <w:t>(2,7)</w:t>
            </w:r>
          </w:p>
        </w:tc>
        <w:tc>
          <w:tcPr>
            <w:tcW w:w="1115"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6576FD02" w14:textId="77777777" w:rsidR="00E659A5" w:rsidRDefault="00C21592">
            <w:pPr>
              <w:jc w:val="both"/>
            </w:pPr>
            <w:r>
              <w:t>22</w:t>
            </w:r>
          </w:p>
          <w:p w14:paraId="20D51BEA" w14:textId="77777777" w:rsidR="00E659A5" w:rsidRDefault="00C21592">
            <w:pPr>
              <w:jc w:val="both"/>
            </w:pPr>
            <w:r>
              <w:t>(2,0)</w:t>
            </w:r>
          </w:p>
        </w:tc>
        <w:tc>
          <w:tcPr>
            <w:tcW w:w="968"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2A9C9210" w14:textId="77777777" w:rsidR="00E659A5" w:rsidRDefault="00C21592">
            <w:pPr>
              <w:jc w:val="both"/>
            </w:pPr>
            <w:r>
              <w:t>20</w:t>
            </w:r>
          </w:p>
          <w:p w14:paraId="539C302D" w14:textId="77777777" w:rsidR="00E659A5" w:rsidRDefault="00C21592">
            <w:pPr>
              <w:jc w:val="both"/>
            </w:pPr>
            <w:r>
              <w:t>(1,8)</w:t>
            </w:r>
          </w:p>
        </w:tc>
      </w:tr>
      <w:tr w:rsidR="00E659A5" w14:paraId="43AAE194" w14:textId="77777777">
        <w:tc>
          <w:tcPr>
            <w:tcW w:w="1576"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1EFF092C" w14:textId="77777777" w:rsidR="00E659A5" w:rsidRDefault="00C21592">
            <w:pPr>
              <w:pStyle w:val="Default"/>
              <w:jc w:val="both"/>
              <w:rPr>
                <w:sz w:val="22"/>
                <w:szCs w:val="22"/>
                <w:lang w:val="hr-HR"/>
              </w:rPr>
            </w:pPr>
            <w:r>
              <w:rPr>
                <w:sz w:val="22"/>
                <w:szCs w:val="22"/>
                <w:lang w:val="hr-HR"/>
              </w:rPr>
              <w:t xml:space="preserve">Simptomatska  </w:t>
            </w:r>
            <w:r>
              <w:t xml:space="preserve">rekurentna </w:t>
            </w:r>
            <w:r>
              <w:rPr>
                <w:sz w:val="22"/>
                <w:szCs w:val="22"/>
                <w:lang w:val="hr-HR"/>
              </w:rPr>
              <w:t>VTE ili velika krvarenja (</w:t>
            </w:r>
            <w:r>
              <w:rPr>
                <w:i/>
                <w:sz w:val="22"/>
                <w:szCs w:val="22"/>
                <w:lang w:val="hr-HR"/>
              </w:rPr>
              <w:t>net clinical benefit</w:t>
            </w:r>
            <w:r>
              <w:rPr>
                <w:sz w:val="22"/>
                <w:szCs w:val="22"/>
                <w:lang w:val="hr-HR"/>
              </w:rPr>
              <w:t>)</w:t>
            </w:r>
          </w:p>
        </w:tc>
        <w:tc>
          <w:tcPr>
            <w:tcW w:w="1341"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390F9EEC" w14:textId="77777777" w:rsidR="00E659A5" w:rsidRDefault="00C21592">
            <w:pPr>
              <w:jc w:val="both"/>
            </w:pPr>
            <w:r>
              <w:t>23</w:t>
            </w:r>
          </w:p>
          <w:p w14:paraId="27509795" w14:textId="77777777" w:rsidR="00E659A5" w:rsidRDefault="00C21592">
            <w:pPr>
              <w:jc w:val="both"/>
            </w:pPr>
            <w:r>
              <w:t>(2,1%)</w:t>
            </w:r>
            <w:r>
              <w:rPr>
                <w:vertAlign w:val="superscript"/>
              </w:rPr>
              <w:t>+</w:t>
            </w:r>
          </w:p>
        </w:tc>
        <w:tc>
          <w:tcPr>
            <w:tcW w:w="1115"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59D3EC6B" w14:textId="77777777" w:rsidR="00E659A5" w:rsidRDefault="00C21592">
            <w:pPr>
              <w:jc w:val="both"/>
            </w:pPr>
            <w:r>
              <w:t>17</w:t>
            </w:r>
          </w:p>
          <w:p w14:paraId="3221B50A" w14:textId="77777777" w:rsidR="00E659A5" w:rsidRDefault="00C21592">
            <w:pPr>
              <w:jc w:val="both"/>
            </w:pPr>
            <w:r>
              <w:t>(1,5%)</w:t>
            </w:r>
            <w:r>
              <w:rPr>
                <w:vertAlign w:val="superscript"/>
              </w:rPr>
              <w:t>++</w:t>
            </w:r>
          </w:p>
        </w:tc>
        <w:tc>
          <w:tcPr>
            <w:tcW w:w="968"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522B1740" w14:textId="77777777" w:rsidR="00E659A5" w:rsidRDefault="00C21592">
            <w:pPr>
              <w:jc w:val="both"/>
            </w:pPr>
            <w:r>
              <w:t>53</w:t>
            </w:r>
          </w:p>
          <w:p w14:paraId="5A27CB30" w14:textId="77777777" w:rsidR="00E659A5" w:rsidRDefault="00C21592">
            <w:pPr>
              <w:jc w:val="both"/>
            </w:pPr>
            <w:r>
              <w:t>(4,7%)</w:t>
            </w:r>
          </w:p>
        </w:tc>
      </w:tr>
    </w:tbl>
    <w:p w14:paraId="0D9CCF3F" w14:textId="77777777" w:rsidR="00E659A5" w:rsidRDefault="00C21592">
      <w:pPr>
        <w:pStyle w:val="Default"/>
        <w:jc w:val="both"/>
        <w:rPr>
          <w:sz w:val="22"/>
          <w:szCs w:val="22"/>
          <w:lang w:val="hr-HR"/>
        </w:rPr>
      </w:pPr>
      <w:r>
        <w:rPr>
          <w:sz w:val="22"/>
          <w:szCs w:val="22"/>
          <w:lang w:val="hr-HR"/>
        </w:rPr>
        <w:t xml:space="preserve">* p&lt;0,001 (superiornost) rivaroksaban 20 mg jednom dnevno u odnosu na 100 mg acetilsalicilne kiseline jednom dnevno; HR=0,34 (0,20 </w:t>
      </w:r>
      <w:r>
        <w:rPr>
          <w:sz w:val="22"/>
          <w:szCs w:val="22"/>
          <w:lang w:val="hr-HR" w:eastAsia="en-US"/>
        </w:rPr>
        <w:t xml:space="preserve">- </w:t>
      </w:r>
      <w:r>
        <w:rPr>
          <w:sz w:val="22"/>
          <w:szCs w:val="22"/>
          <w:lang w:val="hr-HR"/>
        </w:rPr>
        <w:t>0,59)</w:t>
      </w:r>
    </w:p>
    <w:p w14:paraId="53C76D9E" w14:textId="77777777" w:rsidR="00E659A5" w:rsidRDefault="00C21592">
      <w:pPr>
        <w:pStyle w:val="Default"/>
        <w:jc w:val="both"/>
        <w:rPr>
          <w:sz w:val="22"/>
          <w:szCs w:val="22"/>
          <w:lang w:val="hr-HR"/>
        </w:rPr>
      </w:pPr>
      <w:r>
        <w:rPr>
          <w:sz w:val="22"/>
          <w:szCs w:val="22"/>
          <w:lang w:val="hr-HR"/>
        </w:rPr>
        <w:lastRenderedPageBreak/>
        <w:t xml:space="preserve">** p&lt;0,001 (superiornost) rivaroksaban 10 mg jednom dnevno u odnosu na 100 mg acetilsalicilne kiseline jednom dnevno; HR=0,26 (0,14 </w:t>
      </w:r>
      <w:r>
        <w:rPr>
          <w:sz w:val="22"/>
          <w:szCs w:val="22"/>
          <w:lang w:val="hr-HR" w:eastAsia="en-US"/>
        </w:rPr>
        <w:t xml:space="preserve">- </w:t>
      </w:r>
      <w:r>
        <w:rPr>
          <w:sz w:val="22"/>
          <w:szCs w:val="22"/>
          <w:lang w:val="hr-HR"/>
        </w:rPr>
        <w:t>0,47)</w:t>
      </w:r>
    </w:p>
    <w:p w14:paraId="24C5160D" w14:textId="77777777" w:rsidR="00E659A5" w:rsidRDefault="00C21592">
      <w:pPr>
        <w:pStyle w:val="Default"/>
        <w:jc w:val="both"/>
        <w:rPr>
          <w:sz w:val="22"/>
          <w:szCs w:val="22"/>
          <w:lang w:val="hr-HR"/>
        </w:rPr>
      </w:pPr>
      <w:r>
        <w:rPr>
          <w:sz w:val="22"/>
          <w:szCs w:val="22"/>
          <w:lang w:val="hr-HR" w:eastAsia="en-US"/>
        </w:rPr>
        <w:t>+ Rivaroksaban</w:t>
      </w:r>
      <w:r>
        <w:rPr>
          <w:sz w:val="22"/>
          <w:szCs w:val="22"/>
          <w:lang w:val="hr-HR"/>
        </w:rPr>
        <w:t xml:space="preserve"> 20 mg jednom dnevno u odnosu na 100 mg acetilsalicilne kiseline jednom dnevno; HR=0,44 (0,27 </w:t>
      </w:r>
      <w:r>
        <w:rPr>
          <w:sz w:val="22"/>
          <w:szCs w:val="22"/>
          <w:lang w:val="hr-HR" w:eastAsia="en-US"/>
        </w:rPr>
        <w:t xml:space="preserve">- </w:t>
      </w:r>
      <w:r>
        <w:rPr>
          <w:sz w:val="22"/>
          <w:szCs w:val="22"/>
          <w:lang w:val="hr-HR"/>
        </w:rPr>
        <w:t>0,71), p=0,0009 (nominalno)</w:t>
      </w:r>
    </w:p>
    <w:p w14:paraId="37EBA76C" w14:textId="77777777" w:rsidR="00E659A5" w:rsidRDefault="00C21592">
      <w:pPr>
        <w:widowControl w:val="0"/>
        <w:jc w:val="both"/>
      </w:pPr>
      <w:r>
        <w:t xml:space="preserve">++ Rivaroksaban 10 mg </w:t>
      </w:r>
      <w:r>
        <w:rPr>
          <w:lang w:val="hr-HR"/>
        </w:rPr>
        <w:t>jednom dnevno</w:t>
      </w:r>
      <w:r>
        <w:t xml:space="preserve"> u odnosu na 100 mg acetilsalicilne kiseline </w:t>
      </w:r>
      <w:r>
        <w:rPr>
          <w:lang w:val="hr-HR"/>
        </w:rPr>
        <w:t>jednom dnevno</w:t>
      </w:r>
      <w:r>
        <w:t>; HR=0,32 (0,18 - 0,55), p&lt;0,0001 (nominalno)</w:t>
      </w:r>
    </w:p>
    <w:p w14:paraId="6682A4A3" w14:textId="77777777" w:rsidR="00E659A5" w:rsidRDefault="00E659A5">
      <w:pPr>
        <w:widowControl w:val="0"/>
        <w:jc w:val="both"/>
      </w:pPr>
    </w:p>
    <w:p w14:paraId="3CF2E937" w14:textId="77777777" w:rsidR="00E659A5" w:rsidRDefault="00C21592">
      <w:pPr>
        <w:pStyle w:val="Default"/>
        <w:jc w:val="both"/>
        <w:rPr>
          <w:rFonts w:ascii="Arial" w:hAnsi="Arial" w:cs="Arial"/>
          <w:sz w:val="22"/>
          <w:szCs w:val="22"/>
          <w:lang w:val="hr-HR"/>
        </w:rPr>
      </w:pPr>
      <w:r>
        <w:rPr>
          <w:sz w:val="22"/>
          <w:szCs w:val="22"/>
          <w:lang w:val="hr-HR"/>
        </w:rPr>
        <w:t xml:space="preserve">Dodatno uz studije faze III EINSTEIN programa, sprovedeno je i prospektivno, neintervencijsko, otvoreno ispitivanje kohorti (XALIA), sa centralnom ocjenom ishoda koji su uključivali rekurentnu vensku tromboemboliju, velika krvarenja i smrt. Bilo je uključeno 5142 pacijenata sa akutnom TDV kako bi se ispitala dugotrajna bezbjednost primjene rivaroksabana u odnosu na standardnu antikoagulantnu terapiju u kliničkoj praksi. Za rivaroksaban, stopa velikih krvarenja bila je 0,7%, rekurentne venske tromboembolije 1,4%, a smrtnosti svih uzroka 0,5%. Bilo je razlika u početnim karakteristikama pacijenata, uključujući godine starosti, karcinom i oštećenje funkcije bubrega. Koristila se unaprijed određena stratifikovana analiza prema vjerovatnoći sklonosti (engl. </w:t>
      </w:r>
      <w:r>
        <w:rPr>
          <w:i/>
          <w:iCs/>
          <w:sz w:val="22"/>
          <w:szCs w:val="22"/>
          <w:lang w:val="hr-HR"/>
        </w:rPr>
        <w:t>propensity score</w:t>
      </w:r>
      <w:r>
        <w:rPr>
          <w:iCs/>
          <w:sz w:val="22"/>
          <w:szCs w:val="22"/>
          <w:lang w:val="hr-HR"/>
        </w:rPr>
        <w:t>)</w:t>
      </w:r>
      <w:r>
        <w:rPr>
          <w:sz w:val="22"/>
          <w:szCs w:val="22"/>
          <w:lang w:val="hr-HR"/>
        </w:rPr>
        <w:t xml:space="preserve"> u cilju uparivanja pacijenata prema sličnim početnim razlikama, ali rezidualni činioci (engl. </w:t>
      </w:r>
      <w:r>
        <w:rPr>
          <w:i/>
          <w:iCs/>
          <w:sz w:val="22"/>
          <w:szCs w:val="22"/>
          <w:lang w:val="hr-HR"/>
        </w:rPr>
        <w:t>residual confounding</w:t>
      </w:r>
      <w:r>
        <w:rPr>
          <w:sz w:val="22"/>
          <w:szCs w:val="22"/>
          <w:lang w:val="hr-HR"/>
        </w:rPr>
        <w:t>) mogu, uprkos tome, uticati na rezultate. Prilagođeni odnosi rizika za poređenje rivaroksabana i standardne terapije bili su za velika krvarenja 0,77 (95% CI 0,40 - 1,50), za rekurentnu vensku tromboemboliju 0,91 (95% CI 0,54 - 1,54), a za smrtnost zbog svih uzroka 0,51 (95% CI 0,24 - 1,07).</w:t>
      </w:r>
    </w:p>
    <w:p w14:paraId="4DE9C151" w14:textId="77777777" w:rsidR="00E659A5" w:rsidRDefault="00C21592">
      <w:pPr>
        <w:widowControl w:val="0"/>
        <w:jc w:val="both"/>
        <w:rPr>
          <w:rFonts w:eastAsia="Calibri"/>
        </w:rPr>
      </w:pPr>
      <w:r>
        <w:t>Ovi rezultati u kliničkoj praksi u skladu su sa ustanovljenim bezbjednosnim profilom za ovu indikaciju.</w:t>
      </w:r>
    </w:p>
    <w:p w14:paraId="1BAA0E34" w14:textId="77777777" w:rsidR="00E659A5" w:rsidRDefault="00E659A5">
      <w:pPr>
        <w:widowControl w:val="0"/>
        <w:jc w:val="both"/>
        <w:rPr>
          <w:rFonts w:eastAsia="Calibri"/>
        </w:rPr>
      </w:pPr>
    </w:p>
    <w:p w14:paraId="65EFA932" w14:textId="77777777" w:rsidR="00E659A5" w:rsidRDefault="00C21592">
      <w:pPr>
        <w:widowControl w:val="0"/>
        <w:jc w:val="both"/>
        <w:rPr>
          <w:rFonts w:eastAsia="Calibri"/>
        </w:rPr>
      </w:pPr>
      <w:r>
        <w:rPr>
          <w:rFonts w:eastAsia="Calibri"/>
        </w:rPr>
        <w:t>U neintervencijskoj studiji nakon stavljanja lijeka u promet na više od 40 000 pacijenata bez karcinoma u anamnezi, iz 4 zemlje, rivaroksaban je primjenjivan za liječenje i prevenciju DVT-a i PE-a. Stopa događaja na 100 pacijent-godina za simptomatske/klinički uočljive VTE/tromboembolijske događaje koji su doveli do hospitalizacije kretala se u rasponu od 0,64 (95% CI 0,40 – 0,97) u Ujedinjenom Kraljevstvu do 2,30 (95% CI 2,11 – 2,51) u Njemačkoj. Stope događaja na 100 pacijent-godina za krvarenje koje je rezultiralo hospitalizacijom iznosile su 0,31 (95% CI 0,23 – 0,42) za intrakranijalno krvarenje, 0,89 (95% CI 0,67 – 1,17) za gastrointestinalno krvarenje, 0,44 (95% CI 0,26 – 0,74) za urogenitalno krvarenje i 0,41 (95% CI 0,31 – 0,54) za ostala krvarenja.</w:t>
      </w:r>
    </w:p>
    <w:p w14:paraId="363AC7DE" w14:textId="77777777" w:rsidR="00E659A5" w:rsidRDefault="00E659A5">
      <w:pPr>
        <w:widowControl w:val="0"/>
        <w:jc w:val="both"/>
        <w:rPr>
          <w:rFonts w:eastAsia="Calibri"/>
        </w:rPr>
      </w:pPr>
    </w:p>
    <w:p w14:paraId="08126E49" w14:textId="77777777" w:rsidR="00E659A5" w:rsidRDefault="00C21592">
      <w:pPr>
        <w:widowControl w:val="0"/>
        <w:jc w:val="both"/>
        <w:rPr>
          <w:rFonts w:eastAsia="Calibri"/>
          <w:u w:val="single"/>
          <w:lang w:val="mk-MK"/>
        </w:rPr>
      </w:pPr>
      <w:r>
        <w:rPr>
          <w:rFonts w:eastAsia="Calibri"/>
          <w:u w:val="single"/>
          <w:lang w:val="mk-MK"/>
        </w:rPr>
        <w:t>Pedijatrijska populacija</w:t>
      </w:r>
    </w:p>
    <w:p w14:paraId="461DA9CE" w14:textId="77777777" w:rsidR="004F6139" w:rsidRDefault="004F6139">
      <w:pPr>
        <w:widowControl w:val="0"/>
        <w:jc w:val="both"/>
        <w:rPr>
          <w:rFonts w:eastAsia="Calibri"/>
          <w:u w:val="single"/>
          <w:lang w:val="mk-MK"/>
        </w:rPr>
      </w:pPr>
    </w:p>
    <w:p w14:paraId="7B082204" w14:textId="77777777" w:rsidR="00E659A5" w:rsidRDefault="00C21592">
      <w:pPr>
        <w:widowControl w:val="0"/>
        <w:jc w:val="both"/>
        <w:rPr>
          <w:rFonts w:eastAsia="Calibri"/>
          <w:i/>
          <w:iCs/>
        </w:rPr>
      </w:pPr>
      <w:r>
        <w:rPr>
          <w:rFonts w:eastAsia="Calibri"/>
          <w:i/>
          <w:iCs/>
        </w:rPr>
        <w:t>Terapija VTE i prevencija ponavljajuće VTE kod pedijatrijskih pacijenata</w:t>
      </w:r>
    </w:p>
    <w:p w14:paraId="020E0006" w14:textId="77777777" w:rsidR="00E659A5" w:rsidRDefault="00C21592">
      <w:pPr>
        <w:widowControl w:val="0"/>
        <w:jc w:val="both"/>
        <w:rPr>
          <w:rFonts w:eastAsia="Calibri"/>
          <w:lang w:val="mk-MK"/>
        </w:rPr>
      </w:pPr>
      <w:r>
        <w:rPr>
          <w:rFonts w:eastAsia="Calibri"/>
          <w:lang w:val="mk-MK"/>
        </w:rPr>
        <w:t>U 6 otvorenih, multicentri</w:t>
      </w:r>
      <w:r>
        <w:rPr>
          <w:rFonts w:eastAsia="Calibri" w:hint="eastAsia"/>
          <w:lang w:val="mk-MK"/>
        </w:rPr>
        <w:t>č</w:t>
      </w:r>
      <w:r>
        <w:rPr>
          <w:rFonts w:eastAsia="Calibri"/>
          <w:lang w:val="mk-MK"/>
        </w:rPr>
        <w:t xml:space="preserve">nih pedijatrijskih </w:t>
      </w:r>
      <w:r>
        <w:rPr>
          <w:rFonts w:eastAsia="Calibri"/>
          <w:lang w:val="sr-Latn-ME"/>
        </w:rPr>
        <w:t>studija</w:t>
      </w:r>
      <w:r>
        <w:rPr>
          <w:rFonts w:eastAsia="Calibri"/>
          <w:lang w:val="mk-MK"/>
        </w:rPr>
        <w:t xml:space="preserve"> ispitano je ukupno 727 d</w:t>
      </w:r>
      <w:r>
        <w:rPr>
          <w:rFonts w:eastAsia="Calibri"/>
          <w:lang w:val="sr-Latn-ME"/>
        </w:rPr>
        <w:t>j</w:t>
      </w:r>
      <w:r>
        <w:rPr>
          <w:rFonts w:eastAsia="Calibri"/>
          <w:lang w:val="mk-MK"/>
        </w:rPr>
        <w:t>ece sa potvr</w:t>
      </w:r>
      <w:r>
        <w:rPr>
          <w:rFonts w:eastAsia="Calibri" w:hint="eastAsia"/>
          <w:lang w:val="mk-MK"/>
        </w:rPr>
        <w:t>đ</w:t>
      </w:r>
      <w:r>
        <w:rPr>
          <w:rFonts w:eastAsia="Calibri"/>
          <w:lang w:val="mk-MK"/>
        </w:rPr>
        <w:t>enom akutnom</w:t>
      </w:r>
      <w:r>
        <w:rPr>
          <w:rFonts w:eastAsia="Calibri"/>
          <w:lang w:val="sr-Latn-ME"/>
        </w:rPr>
        <w:t xml:space="preserve"> </w:t>
      </w:r>
      <w:r>
        <w:rPr>
          <w:rFonts w:eastAsia="Calibri"/>
          <w:lang w:val="mk-MK"/>
        </w:rPr>
        <w:t>VTE, od kojih je 528 primilo rivaroksaban. Doziranje prilago</w:t>
      </w:r>
      <w:r>
        <w:rPr>
          <w:rFonts w:eastAsia="Calibri" w:hint="eastAsia"/>
          <w:lang w:val="mk-MK"/>
        </w:rPr>
        <w:t>đ</w:t>
      </w:r>
      <w:r>
        <w:rPr>
          <w:rFonts w:eastAsia="Calibri"/>
          <w:lang w:val="mk-MK"/>
        </w:rPr>
        <w:t>eno t</w:t>
      </w:r>
      <w:r>
        <w:rPr>
          <w:rFonts w:eastAsia="Calibri"/>
          <w:lang w:val="sr-Latn-ME"/>
        </w:rPr>
        <w:t>j</w:t>
      </w:r>
      <w:r>
        <w:rPr>
          <w:rFonts w:eastAsia="Calibri"/>
          <w:lang w:val="mk-MK"/>
        </w:rPr>
        <w:t>elesnoj masi pacijenta uzrasta od ro</w:t>
      </w:r>
      <w:r>
        <w:rPr>
          <w:rFonts w:eastAsia="Calibri" w:hint="eastAsia"/>
          <w:lang w:val="mk-MK"/>
        </w:rPr>
        <w:t>đ</w:t>
      </w:r>
      <w:r>
        <w:rPr>
          <w:rFonts w:eastAsia="Calibri"/>
          <w:lang w:val="mk-MK"/>
        </w:rPr>
        <w:t>enja</w:t>
      </w:r>
      <w:r>
        <w:rPr>
          <w:rFonts w:eastAsia="Calibri"/>
          <w:lang w:val="sr-Latn-ME"/>
        </w:rPr>
        <w:t xml:space="preserve"> </w:t>
      </w:r>
      <w:r>
        <w:rPr>
          <w:rFonts w:eastAsia="Calibri"/>
          <w:lang w:val="mk-MK"/>
        </w:rPr>
        <w:t>do manje od 18 godina dovelo je do izlo</w:t>
      </w:r>
      <w:r>
        <w:rPr>
          <w:rFonts w:eastAsia="Calibri" w:hint="eastAsia"/>
          <w:lang w:val="mk-MK"/>
        </w:rPr>
        <w:t>ž</w:t>
      </w:r>
      <w:r>
        <w:rPr>
          <w:rFonts w:eastAsia="Calibri"/>
          <w:lang w:val="mk-MK"/>
        </w:rPr>
        <w:t>enosti rivaroksabanu koja je bila sli</w:t>
      </w:r>
      <w:r>
        <w:rPr>
          <w:rFonts w:eastAsia="Calibri" w:hint="eastAsia"/>
          <w:lang w:val="mk-MK"/>
        </w:rPr>
        <w:t>č</w:t>
      </w:r>
      <w:r>
        <w:rPr>
          <w:rFonts w:eastAsia="Calibri"/>
          <w:lang w:val="mk-MK"/>
        </w:rPr>
        <w:t>na onoj zapa</w:t>
      </w:r>
      <w:r>
        <w:rPr>
          <w:rFonts w:eastAsia="Calibri" w:hint="eastAsia"/>
          <w:lang w:val="mk-MK"/>
        </w:rPr>
        <w:t>ž</w:t>
      </w:r>
      <w:r>
        <w:rPr>
          <w:rFonts w:eastAsia="Calibri"/>
          <w:lang w:val="mk-MK"/>
        </w:rPr>
        <w:t>enoj kod odraslih</w:t>
      </w:r>
      <w:r>
        <w:rPr>
          <w:rFonts w:eastAsia="Calibri"/>
          <w:lang w:val="sr-Latn-ME"/>
        </w:rPr>
        <w:t xml:space="preserve"> </w:t>
      </w:r>
      <w:r>
        <w:rPr>
          <w:rFonts w:eastAsia="Calibri"/>
          <w:lang w:val="mk-MK"/>
        </w:rPr>
        <w:t>pacijenata sa TDV l</w:t>
      </w:r>
      <w:r>
        <w:rPr>
          <w:rFonts w:eastAsia="Calibri"/>
          <w:lang w:val="sr-Latn-ME"/>
        </w:rPr>
        <w:t>ij</w:t>
      </w:r>
      <w:r>
        <w:rPr>
          <w:rFonts w:eastAsia="Calibri"/>
          <w:lang w:val="mk-MK"/>
        </w:rPr>
        <w:t>e</w:t>
      </w:r>
      <w:r>
        <w:rPr>
          <w:rFonts w:eastAsia="Calibri" w:hint="eastAsia"/>
          <w:lang w:val="mk-MK"/>
        </w:rPr>
        <w:t>č</w:t>
      </w:r>
      <w:r>
        <w:rPr>
          <w:rFonts w:eastAsia="Calibri"/>
          <w:lang w:val="mk-MK"/>
        </w:rPr>
        <w:t xml:space="preserve">enih rivaroksabanom u dozi od 20 mg </w:t>
      </w:r>
      <w:r>
        <w:rPr>
          <w:rFonts w:eastAsia="Calibri"/>
          <w:lang w:val="sr-Latn-ME"/>
        </w:rPr>
        <w:t>jednom</w:t>
      </w:r>
      <w:r>
        <w:rPr>
          <w:rFonts w:eastAsia="Calibri"/>
          <w:lang w:val="mk-MK"/>
        </w:rPr>
        <w:t xml:space="preserve"> </w:t>
      </w:r>
      <w:r>
        <w:rPr>
          <w:rFonts w:eastAsia="Calibri"/>
          <w:lang w:val="sr-Latn-ME"/>
        </w:rPr>
        <w:t>dnevno</w:t>
      </w:r>
      <w:r>
        <w:rPr>
          <w:rFonts w:eastAsia="Calibri"/>
          <w:lang w:val="mk-MK"/>
        </w:rPr>
        <w:t>, kako je potvr</w:t>
      </w:r>
      <w:r>
        <w:rPr>
          <w:rFonts w:eastAsia="Calibri" w:hint="eastAsia"/>
          <w:lang w:val="mk-MK"/>
        </w:rPr>
        <w:t>đ</w:t>
      </w:r>
      <w:r>
        <w:rPr>
          <w:rFonts w:eastAsia="Calibri"/>
          <w:lang w:val="mk-MK"/>
        </w:rPr>
        <w:t>eno u ispitivanju</w:t>
      </w:r>
      <w:r>
        <w:rPr>
          <w:rFonts w:eastAsia="Calibri"/>
          <w:lang w:val="sr-Latn-ME"/>
        </w:rPr>
        <w:t xml:space="preserve"> </w:t>
      </w:r>
      <w:r>
        <w:rPr>
          <w:rFonts w:eastAsia="Calibri"/>
          <w:lang w:val="mk-MK"/>
        </w:rPr>
        <w:t>faze III (vid</w:t>
      </w:r>
      <w:r>
        <w:rPr>
          <w:rFonts w:eastAsia="Calibri"/>
          <w:lang w:val="sr-Latn-ME"/>
        </w:rPr>
        <w:t>j</w:t>
      </w:r>
      <w:r>
        <w:rPr>
          <w:rFonts w:eastAsia="Calibri"/>
          <w:lang w:val="mk-MK"/>
        </w:rPr>
        <w:t xml:space="preserve">eti </w:t>
      </w:r>
      <w:r>
        <w:rPr>
          <w:rFonts w:eastAsia="Calibri"/>
          <w:lang w:val="sr-Latn-ME"/>
        </w:rPr>
        <w:t>dio</w:t>
      </w:r>
      <w:r>
        <w:rPr>
          <w:rFonts w:eastAsia="Calibri"/>
          <w:lang w:val="mk-MK"/>
        </w:rPr>
        <w:t xml:space="preserve"> 5.2).</w:t>
      </w:r>
    </w:p>
    <w:p w14:paraId="6E23905D" w14:textId="77777777" w:rsidR="00E659A5" w:rsidRDefault="00E659A5">
      <w:pPr>
        <w:widowControl w:val="0"/>
        <w:jc w:val="both"/>
        <w:rPr>
          <w:rFonts w:eastAsia="Calibri"/>
        </w:rPr>
      </w:pPr>
    </w:p>
    <w:p w14:paraId="656623BD" w14:textId="77777777" w:rsidR="00E659A5" w:rsidRDefault="00C21592">
      <w:pPr>
        <w:widowControl w:val="0"/>
        <w:jc w:val="both"/>
        <w:rPr>
          <w:rFonts w:eastAsia="Calibri"/>
        </w:rPr>
      </w:pPr>
      <w:r>
        <w:rPr>
          <w:rFonts w:eastAsia="Calibri"/>
          <w:lang w:val="mk-MK"/>
        </w:rPr>
        <w:t xml:space="preserve">Ispitivanje faze III pod nazivom </w:t>
      </w:r>
      <w:r>
        <w:rPr>
          <w:rFonts w:eastAsia="Calibri"/>
          <w:i/>
          <w:iCs/>
          <w:lang w:val="mk-MK"/>
        </w:rPr>
        <w:t xml:space="preserve">EINSTEIN Junior </w:t>
      </w:r>
      <w:r>
        <w:rPr>
          <w:rFonts w:eastAsia="Calibri"/>
          <w:lang w:val="mk-MK"/>
        </w:rPr>
        <w:t>bilo je randomizovano, otvoreno, multicentri</w:t>
      </w:r>
      <w:r>
        <w:rPr>
          <w:rFonts w:eastAsia="Calibri" w:hint="eastAsia"/>
          <w:lang w:val="mk-MK"/>
        </w:rPr>
        <w:t>č</w:t>
      </w:r>
      <w:r>
        <w:rPr>
          <w:rFonts w:eastAsia="Calibri"/>
          <w:lang w:val="mk-MK"/>
        </w:rPr>
        <w:t>no klini</w:t>
      </w:r>
      <w:r>
        <w:rPr>
          <w:rFonts w:eastAsia="Calibri" w:hint="eastAsia"/>
          <w:lang w:val="mk-MK"/>
        </w:rPr>
        <w:t>č</w:t>
      </w:r>
      <w:r>
        <w:rPr>
          <w:rFonts w:eastAsia="Calibri"/>
          <w:lang w:val="mk-MK"/>
        </w:rPr>
        <w:t>ko</w:t>
      </w:r>
      <w:r>
        <w:rPr>
          <w:rFonts w:eastAsia="Calibri"/>
          <w:lang w:val="sr-Latn-ME"/>
        </w:rPr>
        <w:t xml:space="preserve"> </w:t>
      </w:r>
      <w:r>
        <w:rPr>
          <w:rFonts w:eastAsia="Calibri"/>
          <w:lang w:val="mk-MK"/>
        </w:rPr>
        <w:t>ispitivanje kontrolisano aktivnim komparatorom sprovedeno kod 500 pedijatrijskih pacijenata (uzrasta od</w:t>
      </w:r>
      <w:r>
        <w:rPr>
          <w:rFonts w:eastAsia="Calibri"/>
          <w:lang w:val="sr-Latn-ME"/>
        </w:rPr>
        <w:t xml:space="preserve"> </w:t>
      </w:r>
      <w:r>
        <w:rPr>
          <w:rFonts w:eastAsia="Calibri"/>
          <w:lang w:val="mk-MK"/>
        </w:rPr>
        <w:t>ro</w:t>
      </w:r>
      <w:r>
        <w:rPr>
          <w:rFonts w:eastAsia="Calibri" w:hint="eastAsia"/>
          <w:lang w:val="mk-MK"/>
        </w:rPr>
        <w:t>đ</w:t>
      </w:r>
      <w:r>
        <w:rPr>
          <w:rFonts w:eastAsia="Calibri"/>
          <w:lang w:val="mk-MK"/>
        </w:rPr>
        <w:t>enja do &lt; 18 godina) sa potvr</w:t>
      </w:r>
      <w:r>
        <w:rPr>
          <w:rFonts w:eastAsia="Calibri" w:hint="eastAsia"/>
          <w:lang w:val="mk-MK"/>
        </w:rPr>
        <w:t>đ</w:t>
      </w:r>
      <w:r>
        <w:rPr>
          <w:rFonts w:eastAsia="Calibri"/>
          <w:lang w:val="mk-MK"/>
        </w:rPr>
        <w:t>enom akutnom VTE. Bilo je 276 d</w:t>
      </w:r>
      <w:r>
        <w:rPr>
          <w:rFonts w:eastAsia="Calibri"/>
          <w:lang w:val="sr-Latn-ME"/>
        </w:rPr>
        <w:t>j</w:t>
      </w:r>
      <w:r>
        <w:rPr>
          <w:rFonts w:eastAsia="Calibri"/>
          <w:lang w:val="mk-MK"/>
        </w:rPr>
        <w:t>ece uzrasta od 12 do &lt; 18 godina, 101</w:t>
      </w:r>
      <w:r>
        <w:rPr>
          <w:rFonts w:eastAsia="Calibri"/>
          <w:lang w:val="sr-Latn-ME"/>
        </w:rPr>
        <w:t xml:space="preserve"> </w:t>
      </w:r>
      <w:r>
        <w:rPr>
          <w:rFonts w:eastAsia="Calibri"/>
          <w:lang w:val="mk-MK"/>
        </w:rPr>
        <w:t>d</w:t>
      </w:r>
      <w:r>
        <w:rPr>
          <w:rFonts w:eastAsia="Calibri"/>
          <w:lang w:val="sr-Latn-ME"/>
        </w:rPr>
        <w:t>ij</w:t>
      </w:r>
      <w:r>
        <w:rPr>
          <w:rFonts w:eastAsia="Calibri"/>
          <w:lang w:val="mk-MK"/>
        </w:rPr>
        <w:t>ete uzrasta od 6 do &lt; 12 godina, 69 d</w:t>
      </w:r>
      <w:r>
        <w:rPr>
          <w:rFonts w:eastAsia="Calibri"/>
          <w:lang w:val="sr-Latn-ME"/>
        </w:rPr>
        <w:t>j</w:t>
      </w:r>
      <w:r>
        <w:rPr>
          <w:rFonts w:eastAsia="Calibri"/>
          <w:lang w:val="mk-MK"/>
        </w:rPr>
        <w:t>ece uzrasta od 2 do &lt; 6 godina i 54 d</w:t>
      </w:r>
      <w:r>
        <w:rPr>
          <w:rFonts w:eastAsia="Calibri"/>
          <w:lang w:val="sr-Latn-ME"/>
        </w:rPr>
        <w:t>j</w:t>
      </w:r>
      <w:r>
        <w:rPr>
          <w:rFonts w:eastAsia="Calibri"/>
          <w:lang w:val="mk-MK"/>
        </w:rPr>
        <w:t>eteta uzrasta &lt; 2 godine.</w:t>
      </w:r>
    </w:p>
    <w:p w14:paraId="1A76066B" w14:textId="77777777" w:rsidR="00E659A5" w:rsidRDefault="00E659A5">
      <w:pPr>
        <w:widowControl w:val="0"/>
        <w:jc w:val="both"/>
        <w:rPr>
          <w:rFonts w:eastAsia="Calibri"/>
        </w:rPr>
      </w:pPr>
    </w:p>
    <w:p w14:paraId="1E066D6D" w14:textId="6210C338" w:rsidR="00E659A5" w:rsidRDefault="00C21592">
      <w:pPr>
        <w:widowControl w:val="0"/>
        <w:jc w:val="both"/>
        <w:rPr>
          <w:rFonts w:eastAsia="Calibri"/>
        </w:rPr>
      </w:pPr>
      <w:r>
        <w:rPr>
          <w:rFonts w:eastAsia="Calibri"/>
          <w:lang w:val="mk-MK"/>
        </w:rPr>
        <w:t>Prva VTE bila je kategorisana ili kao VTE povezana sa centralnim venskim kateterom (CVK-VTE; 90/335</w:t>
      </w:r>
      <w:r>
        <w:rPr>
          <w:rFonts w:eastAsia="Calibri"/>
          <w:lang w:val="sr-Latn-ME"/>
        </w:rPr>
        <w:t xml:space="preserve"> </w:t>
      </w:r>
      <w:r>
        <w:rPr>
          <w:rFonts w:eastAsia="Calibri"/>
          <w:lang w:val="mk-MK"/>
        </w:rPr>
        <w:t>pacijenata u grupi koja je primala rivaroksaban, 37/165 pacijenata u grupi koja je primala komparator),</w:t>
      </w:r>
      <w:r>
        <w:rPr>
          <w:rFonts w:eastAsia="Calibri"/>
          <w:lang w:val="sr-Latn-ME"/>
        </w:rPr>
        <w:t xml:space="preserve"> </w:t>
      </w:r>
      <w:r>
        <w:rPr>
          <w:rFonts w:eastAsia="Calibri"/>
          <w:lang w:val="mk-MK"/>
        </w:rPr>
        <w:t>tromboza mo</w:t>
      </w:r>
      <w:r>
        <w:rPr>
          <w:rFonts w:eastAsia="Calibri" w:hint="eastAsia"/>
          <w:lang w:val="mk-MK"/>
        </w:rPr>
        <w:t>ž</w:t>
      </w:r>
      <w:r>
        <w:rPr>
          <w:rFonts w:eastAsia="Calibri"/>
          <w:lang w:val="mk-MK"/>
        </w:rPr>
        <w:t xml:space="preserve">danih vena i venskih sinusa (engl. </w:t>
      </w:r>
      <w:r>
        <w:rPr>
          <w:rFonts w:eastAsia="Calibri"/>
          <w:i/>
          <w:iCs/>
          <w:lang w:val="mk-MK"/>
        </w:rPr>
        <w:t>cerebral vein and sinus thrombosis</w:t>
      </w:r>
      <w:r>
        <w:rPr>
          <w:rFonts w:eastAsia="Calibri"/>
          <w:lang w:val="mk-MK"/>
        </w:rPr>
        <w:t>, CVST), (74/335</w:t>
      </w:r>
      <w:r>
        <w:rPr>
          <w:rFonts w:eastAsia="Calibri"/>
          <w:lang w:val="sr-Latn-ME"/>
        </w:rPr>
        <w:t xml:space="preserve"> </w:t>
      </w:r>
      <w:r>
        <w:rPr>
          <w:rFonts w:eastAsia="Calibri"/>
          <w:lang w:val="mk-MK"/>
        </w:rPr>
        <w:t>pacijenata u grupi koja je primala rivaroksaban, 43/165 pacijenata u grupi koja je primala komparator) ili kao</w:t>
      </w:r>
      <w:r>
        <w:rPr>
          <w:rFonts w:eastAsia="Calibri"/>
          <w:lang w:val="sr-Latn-ME"/>
        </w:rPr>
        <w:t xml:space="preserve"> </w:t>
      </w:r>
      <w:r>
        <w:rPr>
          <w:rFonts w:eastAsia="Calibri"/>
          <w:lang w:val="mk-MK"/>
        </w:rPr>
        <w:t>svi drugi uklju</w:t>
      </w:r>
      <w:r>
        <w:rPr>
          <w:rFonts w:eastAsia="Calibri" w:hint="eastAsia"/>
          <w:lang w:val="mk-MK"/>
        </w:rPr>
        <w:t>č</w:t>
      </w:r>
      <w:r>
        <w:rPr>
          <w:rFonts w:eastAsia="Calibri"/>
          <w:lang w:val="mk-MK"/>
        </w:rPr>
        <w:t>uju</w:t>
      </w:r>
      <w:r>
        <w:rPr>
          <w:rFonts w:eastAsia="Calibri" w:hint="eastAsia"/>
          <w:lang w:val="mk-MK"/>
        </w:rPr>
        <w:t>ć</w:t>
      </w:r>
      <w:r>
        <w:rPr>
          <w:rFonts w:eastAsia="Calibri"/>
          <w:lang w:val="mk-MK"/>
        </w:rPr>
        <w:t>i TDV i PE (ne-CVK-VTE, 171/335 pacijenata u grupi koja je primala rivaroksaban,</w:t>
      </w:r>
      <w:r>
        <w:rPr>
          <w:rFonts w:eastAsia="Calibri"/>
          <w:lang w:val="sr-Latn-ME"/>
        </w:rPr>
        <w:t xml:space="preserve"> </w:t>
      </w:r>
      <w:r>
        <w:rPr>
          <w:rFonts w:eastAsia="Calibri"/>
          <w:lang w:val="mk-MK"/>
        </w:rPr>
        <w:t>84/165 pacijenata u grupi koja je primala komparator). Naj</w:t>
      </w:r>
      <w:r>
        <w:rPr>
          <w:rFonts w:eastAsia="Calibri" w:hint="eastAsia"/>
          <w:lang w:val="mk-MK"/>
        </w:rPr>
        <w:t>č</w:t>
      </w:r>
      <w:r>
        <w:rPr>
          <w:rFonts w:eastAsia="Calibri"/>
          <w:lang w:val="mk-MK"/>
        </w:rPr>
        <w:t>e</w:t>
      </w:r>
      <w:r>
        <w:rPr>
          <w:rFonts w:eastAsia="Calibri" w:hint="eastAsia"/>
          <w:lang w:val="mk-MK"/>
        </w:rPr>
        <w:t>šć</w:t>
      </w:r>
      <w:r>
        <w:rPr>
          <w:rFonts w:eastAsia="Calibri"/>
          <w:lang w:val="mk-MK"/>
        </w:rPr>
        <w:t>a manifestacija prve tromboze kod djece uzrasta</w:t>
      </w:r>
      <w:r>
        <w:rPr>
          <w:rFonts w:eastAsia="Calibri"/>
          <w:lang w:val="sr-Latn-ME"/>
        </w:rPr>
        <w:t xml:space="preserve"> </w:t>
      </w:r>
      <w:r>
        <w:rPr>
          <w:rFonts w:eastAsia="Calibri"/>
          <w:lang w:val="mk-MK"/>
        </w:rPr>
        <w:t>od 12 do &lt; 18 godina bio je ne-CVK-VTE, i to kod 211 (76,4%) djece; kod djece uzrasta od 6 do &lt; 12 godina i</w:t>
      </w:r>
      <w:r>
        <w:rPr>
          <w:rFonts w:eastAsia="Calibri"/>
          <w:lang w:val="sr-Latn-ME"/>
        </w:rPr>
        <w:t xml:space="preserve"> </w:t>
      </w:r>
      <w:r>
        <w:rPr>
          <w:rFonts w:eastAsia="Calibri"/>
          <w:lang w:val="mk-MK"/>
        </w:rPr>
        <w:t xml:space="preserve">od 2 do &lt; 6 godina to je bio CVST, (engl. </w:t>
      </w:r>
      <w:r>
        <w:rPr>
          <w:rFonts w:eastAsia="Calibri"/>
          <w:i/>
          <w:iCs/>
          <w:lang w:val="mk-MK"/>
        </w:rPr>
        <w:t>cerebral vein and sinus thrombosis</w:t>
      </w:r>
      <w:r>
        <w:rPr>
          <w:rFonts w:eastAsia="Calibri"/>
          <w:lang w:val="mk-MK"/>
        </w:rPr>
        <w:t>), i to kod 48 (47,5%), odnosno</w:t>
      </w:r>
      <w:r>
        <w:rPr>
          <w:rFonts w:eastAsia="Calibri"/>
          <w:lang w:val="sr-Latn-ME"/>
        </w:rPr>
        <w:t xml:space="preserve"> </w:t>
      </w:r>
      <w:r>
        <w:rPr>
          <w:rFonts w:eastAsia="Calibri"/>
          <w:lang w:val="mk-MK"/>
        </w:rPr>
        <w:t>35 (50,7%) djece, a kod djece uzrasta od &lt; 2 godine to je bio CVK-VTE, kod njih 37 (68,5%). U grupi koja je</w:t>
      </w:r>
      <w:r>
        <w:rPr>
          <w:rFonts w:eastAsia="Calibri"/>
          <w:lang w:val="sr-Latn-ME"/>
        </w:rPr>
        <w:t xml:space="preserve"> </w:t>
      </w:r>
      <w:r>
        <w:rPr>
          <w:rFonts w:eastAsia="Calibri"/>
          <w:lang w:val="mk-MK"/>
        </w:rPr>
        <w:t xml:space="preserve">primala rivaroksaban nije bilo djece </w:t>
      </w:r>
      <w:r>
        <w:rPr>
          <w:rFonts w:eastAsia="Calibri"/>
          <w:lang w:val="mk-MK"/>
        </w:rPr>
        <w:lastRenderedPageBreak/>
        <w:t>uzrasta &lt; 6 m</w:t>
      </w:r>
      <w:r w:rsidR="004F6139">
        <w:rPr>
          <w:rFonts w:eastAsia="Calibri"/>
          <w:lang w:val="sr-Latn-ME"/>
        </w:rPr>
        <w:t>j</w:t>
      </w:r>
      <w:r>
        <w:rPr>
          <w:rFonts w:eastAsia="Calibri"/>
          <w:lang w:val="mk-MK"/>
        </w:rPr>
        <w:t>eseci sa CVST. 22 pacijenta sa CVST imalo je infekcije</w:t>
      </w:r>
      <w:r>
        <w:rPr>
          <w:rFonts w:eastAsia="Calibri"/>
          <w:lang w:val="sr-Latn-ME"/>
        </w:rPr>
        <w:t xml:space="preserve"> </w:t>
      </w:r>
      <w:r>
        <w:rPr>
          <w:rFonts w:eastAsia="Calibri"/>
          <w:lang w:val="mk-MK"/>
        </w:rPr>
        <w:t>centralnog nervnog sistema (13 pacijenata u grupi koja je primala rivaroksaban i 9 pacijenata u grupi koja je</w:t>
      </w:r>
      <w:r w:rsidR="004F6139">
        <w:rPr>
          <w:rFonts w:eastAsia="Calibri"/>
          <w:lang w:val="sr-Latn-ME"/>
        </w:rPr>
        <w:t xml:space="preserve"> </w:t>
      </w:r>
      <w:r>
        <w:rPr>
          <w:rFonts w:eastAsia="Calibri"/>
          <w:lang w:val="mk-MK"/>
        </w:rPr>
        <w:t>primala komparator)</w:t>
      </w:r>
      <w:r>
        <w:rPr>
          <w:rFonts w:eastAsia="Calibri"/>
          <w:lang w:val="sr-Latn-ME"/>
        </w:rPr>
        <w:t>.</w:t>
      </w:r>
    </w:p>
    <w:p w14:paraId="77A0AB96" w14:textId="77777777" w:rsidR="00E659A5" w:rsidRDefault="00E659A5">
      <w:pPr>
        <w:widowControl w:val="0"/>
        <w:jc w:val="both"/>
        <w:rPr>
          <w:rFonts w:eastAsia="Calibri"/>
        </w:rPr>
      </w:pPr>
    </w:p>
    <w:p w14:paraId="69E39426" w14:textId="77777777" w:rsidR="00E659A5" w:rsidRDefault="00C21592">
      <w:pPr>
        <w:widowControl w:val="0"/>
        <w:jc w:val="both"/>
        <w:rPr>
          <w:rFonts w:eastAsia="Calibri"/>
        </w:rPr>
      </w:pPr>
      <w:r>
        <w:rPr>
          <w:rFonts w:eastAsia="Calibri"/>
        </w:rPr>
        <w:t>VTE je bila izazvana trajnim, prolaznim ili i trajnim i prolaznim faktorima rizika kod 438 (87,6%) djece.</w:t>
      </w:r>
    </w:p>
    <w:p w14:paraId="5AB75CFB" w14:textId="77777777" w:rsidR="00E659A5" w:rsidRDefault="00E659A5">
      <w:pPr>
        <w:widowControl w:val="0"/>
        <w:jc w:val="both"/>
        <w:rPr>
          <w:rFonts w:eastAsia="Calibri"/>
        </w:rPr>
      </w:pPr>
    </w:p>
    <w:p w14:paraId="4776E798" w14:textId="77777777" w:rsidR="00E659A5" w:rsidRDefault="00C21592">
      <w:pPr>
        <w:widowControl w:val="0"/>
        <w:jc w:val="both"/>
        <w:rPr>
          <w:rFonts w:eastAsia="Calibri"/>
          <w:lang w:val="sr-Latn-ME"/>
        </w:rPr>
      </w:pPr>
      <w:r>
        <w:rPr>
          <w:rFonts w:eastAsia="Calibri"/>
          <w:lang w:val="mk-MK"/>
        </w:rPr>
        <w:t>Pacijenti su prvo l</w:t>
      </w:r>
      <w:r>
        <w:rPr>
          <w:rFonts w:eastAsia="Calibri"/>
          <w:lang w:val="sr-Latn-ME"/>
        </w:rPr>
        <w:t>ij</w:t>
      </w:r>
      <w:r>
        <w:rPr>
          <w:rFonts w:eastAsia="Calibri"/>
          <w:lang w:val="mk-MK"/>
        </w:rPr>
        <w:t>e</w:t>
      </w:r>
      <w:r>
        <w:rPr>
          <w:rFonts w:eastAsia="Calibri" w:hint="eastAsia"/>
          <w:lang w:val="mk-MK"/>
        </w:rPr>
        <w:t>č</w:t>
      </w:r>
      <w:r>
        <w:rPr>
          <w:rFonts w:eastAsia="Calibri"/>
          <w:lang w:val="mk-MK"/>
        </w:rPr>
        <w:t xml:space="preserve">eni terapijskim dozama nefrakcionisanog heparina (engl. </w:t>
      </w:r>
      <w:r>
        <w:rPr>
          <w:rFonts w:eastAsia="Calibri"/>
          <w:i/>
          <w:iCs/>
          <w:lang w:val="mk-MK"/>
        </w:rPr>
        <w:t xml:space="preserve">Unfractionated Heparin, </w:t>
      </w:r>
      <w:r>
        <w:rPr>
          <w:rFonts w:eastAsia="Calibri"/>
          <w:lang w:val="mk-MK"/>
        </w:rPr>
        <w:t>UFH),</w:t>
      </w:r>
      <w:r>
        <w:rPr>
          <w:rFonts w:eastAsia="Calibri"/>
          <w:lang w:val="sr-Latn-ME"/>
        </w:rPr>
        <w:t xml:space="preserve"> </w:t>
      </w:r>
      <w:r>
        <w:rPr>
          <w:rFonts w:eastAsia="Calibri"/>
          <w:lang w:val="mk-MK"/>
        </w:rPr>
        <w:t xml:space="preserve">niskomolekularnog heparina (engl. </w:t>
      </w:r>
      <w:r>
        <w:rPr>
          <w:rFonts w:eastAsia="Calibri"/>
          <w:i/>
          <w:iCs/>
          <w:lang w:val="mk-MK"/>
        </w:rPr>
        <w:t>Low molecular weight heparin</w:t>
      </w:r>
      <w:r>
        <w:rPr>
          <w:rFonts w:eastAsia="Calibri"/>
          <w:lang w:val="mk-MK"/>
        </w:rPr>
        <w:t>, LMWH) ili fondaparinuksa tokom</w:t>
      </w:r>
      <w:r>
        <w:rPr>
          <w:rFonts w:eastAsia="Calibri"/>
          <w:lang w:val="sr-Latn-ME"/>
        </w:rPr>
        <w:t xml:space="preserve"> </w:t>
      </w:r>
      <w:r>
        <w:rPr>
          <w:rFonts w:eastAsia="Calibri"/>
          <w:lang w:val="mk-MK"/>
        </w:rPr>
        <w:t>najmanje 5 dana i zatim randomizovani u odnosu 2:1 u grupu koja je primala rivaroksaban u dozama</w:t>
      </w:r>
      <w:r>
        <w:rPr>
          <w:rFonts w:eastAsia="Calibri"/>
          <w:lang w:val="sr-Latn-ME"/>
        </w:rPr>
        <w:t xml:space="preserve"> </w:t>
      </w:r>
      <w:r>
        <w:rPr>
          <w:rFonts w:eastAsia="Calibri"/>
          <w:lang w:val="mk-MK"/>
        </w:rPr>
        <w:t>prilago</w:t>
      </w:r>
      <w:r>
        <w:rPr>
          <w:rFonts w:eastAsia="Calibri" w:hint="eastAsia"/>
          <w:lang w:val="mk-MK"/>
        </w:rPr>
        <w:t>đ</w:t>
      </w:r>
      <w:r>
        <w:rPr>
          <w:rFonts w:eastAsia="Calibri"/>
          <w:lang w:val="mk-MK"/>
        </w:rPr>
        <w:t>enim t</w:t>
      </w:r>
      <w:r>
        <w:rPr>
          <w:rFonts w:eastAsia="Calibri"/>
          <w:lang w:val="sr-Latn-ME"/>
        </w:rPr>
        <w:t>j</w:t>
      </w:r>
      <w:r>
        <w:rPr>
          <w:rFonts w:eastAsia="Calibri"/>
          <w:lang w:val="mk-MK"/>
        </w:rPr>
        <w:t>elesnoj masi ili grupu koja je primala komparator (heparin, antagonist vitamina K) u glavnom</w:t>
      </w:r>
      <w:r>
        <w:rPr>
          <w:rFonts w:eastAsia="Calibri"/>
          <w:lang w:val="sr-Latn-ME"/>
        </w:rPr>
        <w:t xml:space="preserve"> </w:t>
      </w:r>
      <w:r>
        <w:rPr>
          <w:rFonts w:eastAsia="Calibri"/>
          <w:lang w:val="mk-MK"/>
        </w:rPr>
        <w:t>periodu ispitivanog l</w:t>
      </w:r>
      <w:r>
        <w:rPr>
          <w:rFonts w:eastAsia="Calibri"/>
          <w:lang w:val="sr-Latn-ME"/>
        </w:rPr>
        <w:t>ij</w:t>
      </w:r>
      <w:r>
        <w:rPr>
          <w:rFonts w:eastAsia="Calibri"/>
          <w:lang w:val="mk-MK"/>
        </w:rPr>
        <w:t>e</w:t>
      </w:r>
      <w:r>
        <w:rPr>
          <w:rFonts w:eastAsia="Calibri" w:hint="eastAsia"/>
          <w:lang w:val="mk-MK"/>
        </w:rPr>
        <w:t>č</w:t>
      </w:r>
      <w:r>
        <w:rPr>
          <w:rFonts w:eastAsia="Calibri"/>
          <w:lang w:val="mk-MK"/>
        </w:rPr>
        <w:t>enja od 3 m</w:t>
      </w:r>
      <w:r>
        <w:rPr>
          <w:rFonts w:eastAsia="Calibri"/>
          <w:lang w:val="sr-Latn-ME"/>
        </w:rPr>
        <w:t>j</w:t>
      </w:r>
      <w:r>
        <w:rPr>
          <w:rFonts w:eastAsia="Calibri"/>
          <w:lang w:val="mk-MK"/>
        </w:rPr>
        <w:t>eseca (1 m</w:t>
      </w:r>
      <w:r>
        <w:rPr>
          <w:rFonts w:eastAsia="Calibri"/>
          <w:lang w:val="sr-Latn-ME"/>
        </w:rPr>
        <w:t>j</w:t>
      </w:r>
      <w:r>
        <w:rPr>
          <w:rFonts w:eastAsia="Calibri"/>
          <w:lang w:val="mk-MK"/>
        </w:rPr>
        <w:t>esec za d</w:t>
      </w:r>
      <w:r>
        <w:rPr>
          <w:rFonts w:eastAsia="Calibri"/>
          <w:lang w:val="sr-Latn-ME"/>
        </w:rPr>
        <w:t>j</w:t>
      </w:r>
      <w:r>
        <w:rPr>
          <w:rFonts w:eastAsia="Calibri"/>
          <w:lang w:val="mk-MK"/>
        </w:rPr>
        <w:t>ecu uzrasta &lt; 2 godine sa CVK-VTE). Na kraju glavnog</w:t>
      </w:r>
      <w:r>
        <w:rPr>
          <w:rFonts w:eastAsia="Calibri"/>
          <w:lang w:val="sr-Latn-ME"/>
        </w:rPr>
        <w:t xml:space="preserve"> </w:t>
      </w:r>
      <w:r>
        <w:rPr>
          <w:rFonts w:eastAsia="Calibri"/>
          <w:lang w:val="mk-MK"/>
        </w:rPr>
        <w:t>perioda ispitivanog l</w:t>
      </w:r>
      <w:r>
        <w:rPr>
          <w:rFonts w:eastAsia="Calibri"/>
          <w:lang w:val="sr-Latn-ME"/>
        </w:rPr>
        <w:t>ij</w:t>
      </w:r>
      <w:r>
        <w:rPr>
          <w:rFonts w:eastAsia="Calibri"/>
          <w:lang w:val="mk-MK"/>
        </w:rPr>
        <w:t>e</w:t>
      </w:r>
      <w:r>
        <w:rPr>
          <w:rFonts w:eastAsia="Calibri" w:hint="eastAsia"/>
          <w:lang w:val="mk-MK"/>
        </w:rPr>
        <w:t>č</w:t>
      </w:r>
      <w:r>
        <w:rPr>
          <w:rFonts w:eastAsia="Calibri"/>
          <w:lang w:val="mk-MK"/>
        </w:rPr>
        <w:t>enja ponovljeno je dijagnosti</w:t>
      </w:r>
      <w:r>
        <w:rPr>
          <w:rFonts w:eastAsia="Calibri" w:hint="eastAsia"/>
          <w:lang w:val="mk-MK"/>
        </w:rPr>
        <w:t>č</w:t>
      </w:r>
      <w:r>
        <w:rPr>
          <w:rFonts w:eastAsia="Calibri"/>
          <w:lang w:val="mk-MK"/>
        </w:rPr>
        <w:t>ko snimanje, sprovedeno na po</w:t>
      </w:r>
      <w:r>
        <w:rPr>
          <w:rFonts w:eastAsia="Calibri" w:hint="eastAsia"/>
          <w:lang w:val="mk-MK"/>
        </w:rPr>
        <w:t>č</w:t>
      </w:r>
      <w:r>
        <w:rPr>
          <w:rFonts w:eastAsia="Calibri"/>
          <w:lang w:val="mk-MK"/>
        </w:rPr>
        <w:t>etku ispitivanja, ako je to</w:t>
      </w:r>
      <w:r>
        <w:rPr>
          <w:rFonts w:eastAsia="Calibri"/>
          <w:lang w:val="sr-Latn-ME"/>
        </w:rPr>
        <w:t xml:space="preserve"> </w:t>
      </w:r>
      <w:r>
        <w:rPr>
          <w:rFonts w:eastAsia="Calibri"/>
          <w:lang w:val="mk-MK"/>
        </w:rPr>
        <w:t>bilo klini</w:t>
      </w:r>
      <w:r>
        <w:rPr>
          <w:rFonts w:eastAsia="Calibri" w:hint="eastAsia"/>
          <w:lang w:val="mk-MK"/>
        </w:rPr>
        <w:t>č</w:t>
      </w:r>
      <w:r>
        <w:rPr>
          <w:rFonts w:eastAsia="Calibri"/>
          <w:lang w:val="mk-MK"/>
        </w:rPr>
        <w:t>ki mogu</w:t>
      </w:r>
      <w:r>
        <w:rPr>
          <w:rFonts w:eastAsia="Calibri" w:hint="eastAsia"/>
          <w:lang w:val="mk-MK"/>
        </w:rPr>
        <w:t>ć</w:t>
      </w:r>
      <w:r>
        <w:rPr>
          <w:rFonts w:eastAsia="Calibri"/>
          <w:lang w:val="mk-MK"/>
        </w:rPr>
        <w:t>e.</w:t>
      </w:r>
      <w:r>
        <w:rPr>
          <w:rFonts w:eastAsia="Calibri"/>
          <w:lang w:val="sr-Latn-ME"/>
        </w:rPr>
        <w:t xml:space="preserve"> </w:t>
      </w:r>
      <w:r>
        <w:rPr>
          <w:rFonts w:eastAsia="Calibri"/>
          <w:lang w:val="mk-MK"/>
        </w:rPr>
        <w:t>Ispitivano l</w:t>
      </w:r>
      <w:r>
        <w:rPr>
          <w:rFonts w:eastAsia="Calibri"/>
          <w:lang w:val="sr-Latn-ME"/>
        </w:rPr>
        <w:t>ij</w:t>
      </w:r>
      <w:r>
        <w:rPr>
          <w:rFonts w:eastAsia="Calibri"/>
          <w:lang w:val="mk-MK"/>
        </w:rPr>
        <w:t>e</w:t>
      </w:r>
      <w:r>
        <w:rPr>
          <w:rFonts w:eastAsia="Calibri" w:hint="eastAsia"/>
          <w:lang w:val="mk-MK"/>
        </w:rPr>
        <w:t>č</w:t>
      </w:r>
      <w:r>
        <w:rPr>
          <w:rFonts w:eastAsia="Calibri"/>
          <w:lang w:val="mk-MK"/>
        </w:rPr>
        <w:t>enje se moglo zaustaviti u tom trenutku, ili se prema proc</w:t>
      </w:r>
      <w:r>
        <w:rPr>
          <w:rFonts w:eastAsia="Calibri"/>
          <w:lang w:val="sr-Latn-ME"/>
        </w:rPr>
        <w:t>j</w:t>
      </w:r>
      <w:r>
        <w:rPr>
          <w:rFonts w:eastAsia="Calibri"/>
          <w:lang w:val="mk-MK"/>
        </w:rPr>
        <w:t>eni ispitiva</w:t>
      </w:r>
      <w:r>
        <w:rPr>
          <w:rFonts w:eastAsia="Calibri" w:hint="eastAsia"/>
          <w:lang w:val="mk-MK"/>
        </w:rPr>
        <w:t>č</w:t>
      </w:r>
      <w:r>
        <w:rPr>
          <w:rFonts w:eastAsia="Calibri"/>
          <w:lang w:val="mk-MK"/>
        </w:rPr>
        <w:t>a moglo nastaviti do ukupno</w:t>
      </w:r>
      <w:r>
        <w:rPr>
          <w:rFonts w:eastAsia="Calibri"/>
          <w:lang w:val="sr-Latn-ME"/>
        </w:rPr>
        <w:t xml:space="preserve"> </w:t>
      </w:r>
      <w:r>
        <w:rPr>
          <w:rFonts w:eastAsia="Calibri"/>
          <w:lang w:val="mk-MK"/>
        </w:rPr>
        <w:t>12 m</w:t>
      </w:r>
      <w:r>
        <w:rPr>
          <w:rFonts w:eastAsia="Calibri"/>
          <w:lang w:val="sr-Latn-ME"/>
        </w:rPr>
        <w:t>j</w:t>
      </w:r>
      <w:r>
        <w:rPr>
          <w:rFonts w:eastAsia="Calibri"/>
          <w:lang w:val="mk-MK"/>
        </w:rPr>
        <w:t>eseci (za d</w:t>
      </w:r>
      <w:r>
        <w:rPr>
          <w:rFonts w:eastAsia="Calibri"/>
          <w:lang w:val="sr-Latn-ME"/>
        </w:rPr>
        <w:t>j</w:t>
      </w:r>
      <w:r>
        <w:rPr>
          <w:rFonts w:eastAsia="Calibri"/>
          <w:lang w:val="mk-MK"/>
        </w:rPr>
        <w:t>ecu uzrasta &lt; 2 godine sa CVK-VTE do 3 m</w:t>
      </w:r>
      <w:r>
        <w:rPr>
          <w:rFonts w:eastAsia="Calibri"/>
          <w:lang w:val="sr-Latn-ME"/>
        </w:rPr>
        <w:t>j</w:t>
      </w:r>
      <w:r>
        <w:rPr>
          <w:rFonts w:eastAsia="Calibri"/>
          <w:lang w:val="mk-MK"/>
        </w:rPr>
        <w:t>eseca)</w:t>
      </w:r>
      <w:r>
        <w:rPr>
          <w:rFonts w:eastAsia="Calibri"/>
          <w:lang w:val="sr-Latn-ME"/>
        </w:rPr>
        <w:t>.</w:t>
      </w:r>
    </w:p>
    <w:p w14:paraId="379F86F7" w14:textId="77777777" w:rsidR="00E659A5" w:rsidRDefault="00E659A5">
      <w:pPr>
        <w:widowControl w:val="0"/>
        <w:jc w:val="both"/>
        <w:rPr>
          <w:rFonts w:eastAsia="Calibri"/>
        </w:rPr>
      </w:pPr>
    </w:p>
    <w:p w14:paraId="7E0975E9" w14:textId="77777777" w:rsidR="00E659A5" w:rsidRDefault="00C21592">
      <w:pPr>
        <w:widowControl w:val="0"/>
        <w:jc w:val="both"/>
        <w:rPr>
          <w:rFonts w:eastAsia="Calibri"/>
          <w:lang w:val="mk-MK"/>
        </w:rPr>
      </w:pPr>
      <w:r>
        <w:rPr>
          <w:rFonts w:eastAsia="Calibri"/>
          <w:lang w:val="mk-MK"/>
        </w:rPr>
        <w:t>Primarni ishod efikasnosti bio je simptomatska ponavljaju</w:t>
      </w:r>
      <w:r>
        <w:rPr>
          <w:rFonts w:eastAsia="Calibri" w:hint="eastAsia"/>
          <w:lang w:val="mk-MK"/>
        </w:rPr>
        <w:t>ć</w:t>
      </w:r>
      <w:r>
        <w:rPr>
          <w:rFonts w:eastAsia="Calibri"/>
          <w:lang w:val="mk-MK"/>
        </w:rPr>
        <w:t>a VTE. Primarni ishod bezb</w:t>
      </w:r>
      <w:r>
        <w:rPr>
          <w:rFonts w:eastAsia="Calibri"/>
          <w:lang w:val="sr-Latn-ME"/>
        </w:rPr>
        <w:t>j</w:t>
      </w:r>
      <w:r>
        <w:rPr>
          <w:rFonts w:eastAsia="Calibri"/>
          <w:lang w:val="mk-MK"/>
        </w:rPr>
        <w:t>ednosti prim</w:t>
      </w:r>
      <w:r>
        <w:rPr>
          <w:rFonts w:eastAsia="Calibri"/>
          <w:lang w:val="sr-Latn-ME"/>
        </w:rPr>
        <w:t>j</w:t>
      </w:r>
      <w:r>
        <w:rPr>
          <w:rFonts w:eastAsia="Calibri"/>
          <w:lang w:val="mk-MK"/>
        </w:rPr>
        <w:t>ene bio je</w:t>
      </w:r>
      <w:r>
        <w:rPr>
          <w:rFonts w:eastAsia="Calibri"/>
          <w:lang w:val="sr-Latn-ME"/>
        </w:rPr>
        <w:t xml:space="preserve"> </w:t>
      </w:r>
      <w:r>
        <w:rPr>
          <w:rFonts w:eastAsia="Calibri"/>
          <w:lang w:val="mk-MK"/>
        </w:rPr>
        <w:t>kompozitna m</w:t>
      </w:r>
      <w:r>
        <w:rPr>
          <w:rFonts w:eastAsia="Calibri"/>
          <w:lang w:val="sr-Latn-ME"/>
        </w:rPr>
        <w:t>j</w:t>
      </w:r>
      <w:r>
        <w:rPr>
          <w:rFonts w:eastAsia="Calibri"/>
          <w:lang w:val="mk-MK"/>
        </w:rPr>
        <w:t>era sastavljena od velikog i klini</w:t>
      </w:r>
      <w:r>
        <w:rPr>
          <w:rFonts w:eastAsia="Calibri" w:hint="eastAsia"/>
          <w:lang w:val="mk-MK"/>
        </w:rPr>
        <w:t>č</w:t>
      </w:r>
      <w:r>
        <w:rPr>
          <w:rFonts w:eastAsia="Calibri"/>
          <w:lang w:val="mk-MK"/>
        </w:rPr>
        <w:t>ki zna</w:t>
      </w:r>
      <w:r>
        <w:rPr>
          <w:rFonts w:eastAsia="Calibri" w:hint="eastAsia"/>
          <w:lang w:val="mk-MK"/>
        </w:rPr>
        <w:t>č</w:t>
      </w:r>
      <w:r>
        <w:rPr>
          <w:rFonts w:eastAsia="Calibri"/>
          <w:lang w:val="mk-MK"/>
        </w:rPr>
        <w:t xml:space="preserve">ajnog manjeg krvarenja (engl. </w:t>
      </w:r>
      <w:r>
        <w:rPr>
          <w:rFonts w:eastAsia="Calibri"/>
          <w:i/>
          <w:iCs/>
          <w:lang w:val="mk-MK"/>
        </w:rPr>
        <w:t>clinically relevant non</w:t>
      </w:r>
      <w:r>
        <w:rPr>
          <w:rFonts w:eastAsia="Calibri"/>
          <w:lang w:val="sr-Latn-ME"/>
        </w:rPr>
        <w:t xml:space="preserve"> </w:t>
      </w:r>
      <w:r>
        <w:rPr>
          <w:rFonts w:eastAsia="Calibri"/>
          <w:i/>
          <w:iCs/>
          <w:lang w:val="mk-MK"/>
        </w:rPr>
        <w:t>major bleeding</w:t>
      </w:r>
      <w:r>
        <w:rPr>
          <w:rFonts w:eastAsia="Calibri"/>
          <w:lang w:val="mk-MK"/>
        </w:rPr>
        <w:t>, CRNMB). Sve ishode efikasnosti i bezb</w:t>
      </w:r>
      <w:r>
        <w:rPr>
          <w:rFonts w:eastAsia="Calibri"/>
          <w:lang w:val="sr-Latn-ME"/>
        </w:rPr>
        <w:t>j</w:t>
      </w:r>
      <w:r>
        <w:rPr>
          <w:rFonts w:eastAsia="Calibri"/>
          <w:lang w:val="mk-MK"/>
        </w:rPr>
        <w:t>ednosti prim</w:t>
      </w:r>
      <w:r>
        <w:rPr>
          <w:rFonts w:eastAsia="Calibri"/>
          <w:lang w:val="sr-Latn-ME"/>
        </w:rPr>
        <w:t>je</w:t>
      </w:r>
      <w:r>
        <w:rPr>
          <w:rFonts w:eastAsia="Calibri"/>
          <w:lang w:val="mk-MK"/>
        </w:rPr>
        <w:t>ne proc</w:t>
      </w:r>
      <w:r>
        <w:rPr>
          <w:rFonts w:eastAsia="Calibri"/>
          <w:lang w:val="sr-Latn-ME"/>
        </w:rPr>
        <w:t>ij</w:t>
      </w:r>
      <w:r>
        <w:rPr>
          <w:rFonts w:eastAsia="Calibri"/>
          <w:lang w:val="mk-MK"/>
        </w:rPr>
        <w:t>enio je nezavisni komitet koji</w:t>
      </w:r>
      <w:r>
        <w:rPr>
          <w:rFonts w:eastAsia="Calibri"/>
          <w:lang w:val="sr-Latn-ME"/>
        </w:rPr>
        <w:t xml:space="preserve"> </w:t>
      </w:r>
      <w:r>
        <w:rPr>
          <w:rFonts w:eastAsia="Calibri"/>
          <w:lang w:val="mk-MK"/>
        </w:rPr>
        <w:t>nije bio upoznat sa dod</w:t>
      </w:r>
      <w:r>
        <w:rPr>
          <w:rFonts w:eastAsia="Calibri"/>
          <w:lang w:val="sr-Latn-ME"/>
        </w:rPr>
        <w:t>ij</w:t>
      </w:r>
      <w:r>
        <w:rPr>
          <w:rFonts w:eastAsia="Calibri"/>
          <w:lang w:val="mk-MK"/>
        </w:rPr>
        <w:t>eljenim l</w:t>
      </w:r>
      <w:r>
        <w:rPr>
          <w:rFonts w:eastAsia="Calibri"/>
          <w:lang w:val="sr-Latn-ME"/>
        </w:rPr>
        <w:t>ij</w:t>
      </w:r>
      <w:r>
        <w:rPr>
          <w:rFonts w:eastAsia="Calibri"/>
          <w:lang w:val="mk-MK"/>
        </w:rPr>
        <w:t>e</w:t>
      </w:r>
      <w:r>
        <w:rPr>
          <w:rFonts w:eastAsia="Calibri" w:hint="eastAsia"/>
          <w:lang w:val="mk-MK"/>
        </w:rPr>
        <w:t>č</w:t>
      </w:r>
      <w:r>
        <w:rPr>
          <w:rFonts w:eastAsia="Calibri"/>
          <w:lang w:val="mk-MK"/>
        </w:rPr>
        <w:t>enjem. Rezultati za efikasnost i bezb</w:t>
      </w:r>
      <w:r>
        <w:rPr>
          <w:rFonts w:eastAsia="Calibri"/>
          <w:lang w:val="sr-Latn-ME"/>
        </w:rPr>
        <w:t>j</w:t>
      </w:r>
      <w:r>
        <w:rPr>
          <w:rFonts w:eastAsia="Calibri"/>
          <w:lang w:val="mk-MK"/>
        </w:rPr>
        <w:t>ednost prim</w:t>
      </w:r>
      <w:r>
        <w:rPr>
          <w:rFonts w:eastAsia="Calibri"/>
          <w:lang w:val="sr-Latn-ME"/>
        </w:rPr>
        <w:t>j</w:t>
      </w:r>
      <w:r>
        <w:rPr>
          <w:rFonts w:eastAsia="Calibri"/>
          <w:lang w:val="mk-MK"/>
        </w:rPr>
        <w:t>ene prikazani su u tabelama</w:t>
      </w:r>
      <w:r>
        <w:rPr>
          <w:rFonts w:eastAsia="Calibri"/>
          <w:lang w:val="sr-Latn-ME"/>
        </w:rPr>
        <w:t xml:space="preserve"> </w:t>
      </w:r>
      <w:r>
        <w:rPr>
          <w:rFonts w:eastAsia="Calibri"/>
          <w:lang w:val="mk-MK"/>
        </w:rPr>
        <w:t>11 i 12 u nastavku teksta.</w:t>
      </w:r>
    </w:p>
    <w:p w14:paraId="4BFD7716" w14:textId="77777777" w:rsidR="00E659A5" w:rsidRDefault="00E659A5">
      <w:pPr>
        <w:widowControl w:val="0"/>
        <w:jc w:val="both"/>
        <w:rPr>
          <w:rFonts w:eastAsia="Calibri"/>
        </w:rPr>
      </w:pPr>
    </w:p>
    <w:p w14:paraId="55CE622E" w14:textId="381E2392" w:rsidR="00E659A5" w:rsidRDefault="00C21592">
      <w:pPr>
        <w:widowControl w:val="0"/>
        <w:jc w:val="both"/>
        <w:rPr>
          <w:rFonts w:eastAsia="Calibri"/>
          <w:lang w:val="mk-MK"/>
        </w:rPr>
      </w:pPr>
      <w:r>
        <w:rPr>
          <w:rFonts w:eastAsia="Calibri"/>
          <w:lang w:val="mk-MK"/>
        </w:rPr>
        <w:t>Ponavljaju</w:t>
      </w:r>
      <w:r>
        <w:rPr>
          <w:rFonts w:eastAsia="Calibri" w:hint="eastAsia"/>
          <w:lang w:val="mk-MK"/>
        </w:rPr>
        <w:t>ć</w:t>
      </w:r>
      <w:r>
        <w:rPr>
          <w:rFonts w:eastAsia="Calibri"/>
          <w:lang w:val="mk-MK"/>
        </w:rPr>
        <w:t>a VTE u grupi koja je primala rivaroksaban javila se kod 4 od 335 pacijenata, a u grupi koja je</w:t>
      </w:r>
      <w:r>
        <w:rPr>
          <w:rFonts w:eastAsia="Calibri"/>
          <w:lang w:val="sr-Latn-ME"/>
        </w:rPr>
        <w:t xml:space="preserve"> </w:t>
      </w:r>
      <w:r>
        <w:rPr>
          <w:rFonts w:eastAsia="Calibri"/>
          <w:lang w:val="mk-MK"/>
        </w:rPr>
        <w:t>primala komparator kod 5 od 165 pacijenata. Kompozitna m</w:t>
      </w:r>
      <w:r>
        <w:rPr>
          <w:rFonts w:eastAsia="Calibri"/>
          <w:lang w:val="sr-Latn-ME"/>
        </w:rPr>
        <w:t>j</w:t>
      </w:r>
      <w:r>
        <w:rPr>
          <w:rFonts w:eastAsia="Calibri"/>
          <w:lang w:val="mk-MK"/>
        </w:rPr>
        <w:t>era sastavljena od velikog krvarenja i CRNMB-a</w:t>
      </w:r>
      <w:r>
        <w:rPr>
          <w:rFonts w:eastAsia="Calibri"/>
          <w:lang w:val="sr-Latn-ME"/>
        </w:rPr>
        <w:t xml:space="preserve"> </w:t>
      </w:r>
      <w:r>
        <w:rPr>
          <w:rFonts w:eastAsia="Calibri"/>
          <w:lang w:val="mk-MK"/>
        </w:rPr>
        <w:t>prijavljena je kod 10 od 329 pacijenata (3%) l</w:t>
      </w:r>
      <w:r>
        <w:rPr>
          <w:rFonts w:eastAsia="Calibri"/>
          <w:lang w:val="sr-Latn-ME"/>
        </w:rPr>
        <w:t>ij</w:t>
      </w:r>
      <w:r>
        <w:rPr>
          <w:rFonts w:eastAsia="Calibri"/>
          <w:lang w:val="mk-MK"/>
        </w:rPr>
        <w:t>e</w:t>
      </w:r>
      <w:r>
        <w:rPr>
          <w:rFonts w:eastAsia="Calibri" w:hint="eastAsia"/>
          <w:lang w:val="mk-MK"/>
        </w:rPr>
        <w:t>č</w:t>
      </w:r>
      <w:r>
        <w:rPr>
          <w:rFonts w:eastAsia="Calibri"/>
          <w:lang w:val="mk-MK"/>
        </w:rPr>
        <w:t>enih rivaroksabanom i kod 3 od 162 pacijenta (1,9%) l</w:t>
      </w:r>
      <w:r>
        <w:rPr>
          <w:rFonts w:eastAsia="Calibri"/>
          <w:lang w:val="sr-Latn-ME"/>
        </w:rPr>
        <w:t>ij</w:t>
      </w:r>
      <w:r>
        <w:rPr>
          <w:rFonts w:eastAsia="Calibri"/>
          <w:lang w:val="mk-MK"/>
        </w:rPr>
        <w:t>e</w:t>
      </w:r>
      <w:r>
        <w:rPr>
          <w:rFonts w:eastAsia="Calibri" w:hint="eastAsia"/>
          <w:lang w:val="mk-MK"/>
        </w:rPr>
        <w:t>č</w:t>
      </w:r>
      <w:r>
        <w:rPr>
          <w:rFonts w:eastAsia="Calibri"/>
          <w:lang w:val="mk-MK"/>
        </w:rPr>
        <w:t>ena</w:t>
      </w:r>
      <w:r>
        <w:rPr>
          <w:rFonts w:eastAsia="Calibri"/>
          <w:lang w:val="sr-Latn-ME"/>
        </w:rPr>
        <w:t xml:space="preserve"> </w:t>
      </w:r>
      <w:r>
        <w:rPr>
          <w:rFonts w:eastAsia="Calibri"/>
          <w:lang w:val="mk-MK"/>
        </w:rPr>
        <w:t>komparatorom. Neto klini</w:t>
      </w:r>
      <w:r>
        <w:rPr>
          <w:rFonts w:eastAsia="Calibri" w:hint="eastAsia"/>
          <w:lang w:val="mk-MK"/>
        </w:rPr>
        <w:t>č</w:t>
      </w:r>
      <w:r>
        <w:rPr>
          <w:rFonts w:eastAsia="Calibri"/>
          <w:lang w:val="mk-MK"/>
        </w:rPr>
        <w:t>ka korist (simptomatski ponavljaju</w:t>
      </w:r>
      <w:r>
        <w:rPr>
          <w:rFonts w:eastAsia="Calibri" w:hint="eastAsia"/>
          <w:lang w:val="mk-MK"/>
        </w:rPr>
        <w:t>ć</w:t>
      </w:r>
      <w:r>
        <w:rPr>
          <w:rFonts w:eastAsia="Calibri"/>
          <w:lang w:val="mk-MK"/>
        </w:rPr>
        <w:t>a VTE plus doga</w:t>
      </w:r>
      <w:r>
        <w:rPr>
          <w:rFonts w:eastAsia="Calibri" w:hint="eastAsia"/>
          <w:lang w:val="mk-MK"/>
        </w:rPr>
        <w:t>đ</w:t>
      </w:r>
      <w:r>
        <w:rPr>
          <w:rFonts w:eastAsia="Calibri"/>
          <w:lang w:val="mk-MK"/>
        </w:rPr>
        <w:t>aji velikog krvarenja)</w:t>
      </w:r>
      <w:r>
        <w:rPr>
          <w:rFonts w:eastAsia="Calibri"/>
          <w:lang w:val="sr-Latn-ME"/>
        </w:rPr>
        <w:t xml:space="preserve"> </w:t>
      </w:r>
      <w:r>
        <w:rPr>
          <w:rFonts w:eastAsia="Calibri"/>
          <w:lang w:val="mk-MK"/>
        </w:rPr>
        <w:t>prijavljena je u grupi l</w:t>
      </w:r>
      <w:r>
        <w:rPr>
          <w:rFonts w:eastAsia="Calibri"/>
          <w:lang w:val="sr-Latn-ME"/>
        </w:rPr>
        <w:t>ij</w:t>
      </w:r>
      <w:r>
        <w:rPr>
          <w:rFonts w:eastAsia="Calibri"/>
          <w:lang w:val="mk-MK"/>
        </w:rPr>
        <w:t>e</w:t>
      </w:r>
      <w:r>
        <w:rPr>
          <w:rFonts w:eastAsia="Calibri" w:hint="eastAsia"/>
          <w:lang w:val="mk-MK"/>
        </w:rPr>
        <w:t>č</w:t>
      </w:r>
      <w:r>
        <w:rPr>
          <w:rFonts w:eastAsia="Calibri"/>
          <w:lang w:val="mk-MK"/>
        </w:rPr>
        <w:t>enoj rivaroksabanom kod 4 od 335 pacijenata, i u grupi l</w:t>
      </w:r>
      <w:r>
        <w:rPr>
          <w:rFonts w:eastAsia="Calibri"/>
          <w:lang w:val="sr-Latn-ME"/>
        </w:rPr>
        <w:t>ij</w:t>
      </w:r>
      <w:r>
        <w:rPr>
          <w:rFonts w:eastAsia="Calibri"/>
          <w:lang w:val="mk-MK"/>
        </w:rPr>
        <w:t>e</w:t>
      </w:r>
      <w:r>
        <w:rPr>
          <w:rFonts w:eastAsia="Calibri" w:hint="eastAsia"/>
          <w:lang w:val="mk-MK"/>
        </w:rPr>
        <w:t>č</w:t>
      </w:r>
      <w:r>
        <w:rPr>
          <w:rFonts w:eastAsia="Calibri"/>
          <w:lang w:val="mk-MK"/>
        </w:rPr>
        <w:t>enoj komparatorom kod 7</w:t>
      </w:r>
      <w:r>
        <w:rPr>
          <w:rFonts w:eastAsia="Calibri"/>
          <w:lang w:val="sr-Latn-ME"/>
        </w:rPr>
        <w:t xml:space="preserve"> </w:t>
      </w:r>
      <w:r>
        <w:rPr>
          <w:rFonts w:eastAsia="Calibri"/>
          <w:lang w:val="mk-MK"/>
        </w:rPr>
        <w:t>od 165 pacijenata. Normalizacija optere</w:t>
      </w:r>
      <w:r>
        <w:rPr>
          <w:rFonts w:eastAsia="Calibri" w:hint="eastAsia"/>
          <w:lang w:val="mk-MK"/>
        </w:rPr>
        <w:t>ć</w:t>
      </w:r>
      <w:r>
        <w:rPr>
          <w:rFonts w:eastAsia="Calibri"/>
          <w:lang w:val="mk-MK"/>
        </w:rPr>
        <w:t>enja trombima na ponovljenim snimanjima javila se kod 128 od 335</w:t>
      </w:r>
      <w:r>
        <w:rPr>
          <w:rFonts w:eastAsia="Calibri"/>
          <w:lang w:val="sr-Latn-ME"/>
        </w:rPr>
        <w:t xml:space="preserve"> </w:t>
      </w:r>
      <w:r>
        <w:rPr>
          <w:rFonts w:eastAsia="Calibri"/>
          <w:lang w:val="mk-MK"/>
        </w:rPr>
        <w:t>pacijenata l</w:t>
      </w:r>
      <w:r>
        <w:rPr>
          <w:rFonts w:eastAsia="Calibri"/>
          <w:lang w:val="sr-Latn-ME"/>
        </w:rPr>
        <w:t>ij</w:t>
      </w:r>
      <w:r>
        <w:rPr>
          <w:rFonts w:eastAsia="Calibri"/>
          <w:lang w:val="mk-MK"/>
        </w:rPr>
        <w:t>e</w:t>
      </w:r>
      <w:r>
        <w:rPr>
          <w:rFonts w:eastAsia="Calibri" w:hint="eastAsia"/>
          <w:lang w:val="mk-MK"/>
        </w:rPr>
        <w:t>č</w:t>
      </w:r>
      <w:r>
        <w:rPr>
          <w:rFonts w:eastAsia="Calibri"/>
          <w:lang w:val="mk-MK"/>
        </w:rPr>
        <w:t>enih rivaroksabanom kao i kod 43 od 165 pacijenata l</w:t>
      </w:r>
      <w:r>
        <w:rPr>
          <w:rFonts w:eastAsia="Calibri"/>
          <w:lang w:val="sr-Latn-ME"/>
        </w:rPr>
        <w:t>ij</w:t>
      </w:r>
      <w:r>
        <w:rPr>
          <w:rFonts w:eastAsia="Calibri"/>
          <w:lang w:val="mk-MK"/>
        </w:rPr>
        <w:t>e</w:t>
      </w:r>
      <w:r>
        <w:rPr>
          <w:rFonts w:eastAsia="Calibri" w:hint="eastAsia"/>
          <w:lang w:val="mk-MK"/>
        </w:rPr>
        <w:t>č</w:t>
      </w:r>
      <w:r>
        <w:rPr>
          <w:rFonts w:eastAsia="Calibri"/>
          <w:lang w:val="mk-MK"/>
        </w:rPr>
        <w:t>enih komparatorom. Ti nalazi su bili</w:t>
      </w:r>
      <w:r>
        <w:rPr>
          <w:rFonts w:eastAsia="Calibri"/>
          <w:lang w:val="sr-Latn-ME"/>
        </w:rPr>
        <w:t xml:space="preserve"> </w:t>
      </w:r>
      <w:r>
        <w:rPr>
          <w:rFonts w:eastAsia="Calibri"/>
          <w:lang w:val="mk-MK"/>
        </w:rPr>
        <w:t>uglavnom sli</w:t>
      </w:r>
      <w:r>
        <w:rPr>
          <w:rFonts w:eastAsia="Calibri" w:hint="eastAsia"/>
          <w:lang w:val="mk-MK"/>
        </w:rPr>
        <w:t>č</w:t>
      </w:r>
      <w:r>
        <w:rPr>
          <w:rFonts w:eastAsia="Calibri"/>
          <w:lang w:val="mk-MK"/>
        </w:rPr>
        <w:t>ni u svim uzrasnim grupama. Bilo je 119 (36,2%) d</w:t>
      </w:r>
      <w:r>
        <w:rPr>
          <w:rFonts w:eastAsia="Calibri"/>
          <w:lang w:val="sr-Latn-ME"/>
        </w:rPr>
        <w:t>j</w:t>
      </w:r>
      <w:r>
        <w:rPr>
          <w:rFonts w:eastAsia="Calibri"/>
          <w:lang w:val="mk-MK"/>
        </w:rPr>
        <w:t>ece sa bilo kojim krvarenjem nastalim tokom</w:t>
      </w:r>
      <w:r>
        <w:rPr>
          <w:rFonts w:eastAsia="Calibri"/>
          <w:lang w:val="sr-Latn-ME"/>
        </w:rPr>
        <w:t xml:space="preserve"> </w:t>
      </w:r>
      <w:r>
        <w:rPr>
          <w:rFonts w:eastAsia="Calibri"/>
          <w:lang w:val="mk-MK"/>
        </w:rPr>
        <w:t>l</w:t>
      </w:r>
      <w:r>
        <w:rPr>
          <w:rFonts w:eastAsia="Calibri"/>
          <w:lang w:val="sr-Latn-ME"/>
        </w:rPr>
        <w:t>ij</w:t>
      </w:r>
      <w:r>
        <w:rPr>
          <w:rFonts w:eastAsia="Calibri"/>
          <w:lang w:val="mk-MK"/>
        </w:rPr>
        <w:t>e</w:t>
      </w:r>
      <w:r>
        <w:rPr>
          <w:rFonts w:eastAsia="Calibri" w:hint="eastAsia"/>
          <w:lang w:val="mk-MK"/>
        </w:rPr>
        <w:t>č</w:t>
      </w:r>
      <w:r>
        <w:rPr>
          <w:rFonts w:eastAsia="Calibri"/>
          <w:lang w:val="mk-MK"/>
        </w:rPr>
        <w:t>enja u grupi koja je primala rivaroksaban i 45 (27,8%) d</w:t>
      </w:r>
      <w:r>
        <w:rPr>
          <w:rFonts w:eastAsia="Calibri"/>
          <w:lang w:val="sr-Latn-ME"/>
        </w:rPr>
        <w:t>j</w:t>
      </w:r>
      <w:r>
        <w:rPr>
          <w:rFonts w:eastAsia="Calibri"/>
          <w:lang w:val="mk-MK"/>
        </w:rPr>
        <w:t>ece u grupi koja je primala komparator.</w:t>
      </w:r>
    </w:p>
    <w:p w14:paraId="69995AB8" w14:textId="77777777" w:rsidR="00E659A5" w:rsidRDefault="00E659A5">
      <w:pPr>
        <w:widowControl w:val="0"/>
        <w:jc w:val="both"/>
        <w:rPr>
          <w:rFonts w:eastAsia="Calibri"/>
        </w:rPr>
      </w:pPr>
    </w:p>
    <w:p w14:paraId="3B3A4725" w14:textId="77777777" w:rsidR="00E659A5" w:rsidRDefault="00C21592" w:rsidP="00C168EA">
      <w:pPr>
        <w:widowControl w:val="0"/>
        <w:jc w:val="center"/>
        <w:rPr>
          <w:rFonts w:eastAsia="Calibri"/>
          <w:b/>
          <w:bCs/>
        </w:rPr>
      </w:pPr>
      <w:r>
        <w:rPr>
          <w:rFonts w:eastAsia="Calibri"/>
          <w:b/>
          <w:bCs/>
        </w:rPr>
        <w:t>Tabela 11: Rezultati za efikasnost na kraju glavnog perioda liječenja</w:t>
      </w:r>
    </w:p>
    <w:tbl>
      <w:tblPr>
        <w:tblW w:w="5000" w:type="pct"/>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CellMar>
          <w:left w:w="0" w:type="dxa"/>
          <w:right w:w="0" w:type="dxa"/>
        </w:tblCellMar>
        <w:tblLook w:val="01E0" w:firstRow="1" w:lastRow="1" w:firstColumn="1" w:lastColumn="1" w:noHBand="0" w:noVBand="0"/>
      </w:tblPr>
      <w:tblGrid>
        <w:gridCol w:w="4991"/>
        <w:gridCol w:w="2035"/>
        <w:gridCol w:w="2035"/>
      </w:tblGrid>
      <w:tr w:rsidR="00E659A5" w14:paraId="6DC60FD3" w14:textId="77777777">
        <w:trPr>
          <w:trHeight w:val="506"/>
        </w:trPr>
        <w:tc>
          <w:tcPr>
            <w:tcW w:w="2754" w:type="pct"/>
            <w:shd w:val="clear" w:color="auto" w:fill="auto"/>
          </w:tcPr>
          <w:p w14:paraId="45C82B69" w14:textId="77777777" w:rsidR="00E659A5" w:rsidRDefault="00C21592" w:rsidP="00C168EA">
            <w:pPr>
              <w:widowControl w:val="0"/>
              <w:autoSpaceDE w:val="0"/>
              <w:autoSpaceDN w:val="0"/>
              <w:spacing w:line="253" w:lineRule="exact"/>
              <w:ind w:left="107"/>
              <w:jc w:val="center"/>
              <w:rPr>
                <w:rFonts w:eastAsia="Calibri"/>
                <w:b/>
                <w:szCs w:val="24"/>
                <w:lang w:val="en-US"/>
              </w:rPr>
            </w:pPr>
            <w:r>
              <w:rPr>
                <w:rFonts w:eastAsia="Calibri"/>
                <w:b/>
                <w:szCs w:val="24"/>
                <w:lang w:val="en-US"/>
              </w:rPr>
              <w:t>Događaj</w:t>
            </w:r>
          </w:p>
        </w:tc>
        <w:tc>
          <w:tcPr>
            <w:tcW w:w="1123" w:type="pct"/>
            <w:shd w:val="clear" w:color="auto" w:fill="auto"/>
          </w:tcPr>
          <w:p w14:paraId="2B36343C" w14:textId="77777777" w:rsidR="00E659A5" w:rsidRDefault="00C21592" w:rsidP="00C168EA">
            <w:pPr>
              <w:widowControl w:val="0"/>
              <w:autoSpaceDE w:val="0"/>
              <w:autoSpaceDN w:val="0"/>
              <w:spacing w:before="2" w:line="254" w:lineRule="exact"/>
              <w:ind w:left="106"/>
              <w:jc w:val="center"/>
              <w:rPr>
                <w:rFonts w:eastAsia="Calibri"/>
                <w:b/>
                <w:szCs w:val="24"/>
                <w:lang w:val="en-US"/>
              </w:rPr>
            </w:pPr>
            <w:r>
              <w:rPr>
                <w:rFonts w:eastAsia="Calibri"/>
                <w:b/>
                <w:szCs w:val="24"/>
                <w:lang w:val="en-US"/>
              </w:rPr>
              <w:t>Rivaroksaban N=335*</w:t>
            </w:r>
          </w:p>
        </w:tc>
        <w:tc>
          <w:tcPr>
            <w:tcW w:w="1123" w:type="pct"/>
            <w:shd w:val="clear" w:color="auto" w:fill="auto"/>
          </w:tcPr>
          <w:p w14:paraId="597EBA83" w14:textId="77777777" w:rsidR="00E659A5" w:rsidRDefault="00C21592" w:rsidP="00C168EA">
            <w:pPr>
              <w:widowControl w:val="0"/>
              <w:autoSpaceDE w:val="0"/>
              <w:autoSpaceDN w:val="0"/>
              <w:spacing w:before="2" w:line="254" w:lineRule="exact"/>
              <w:ind w:left="106"/>
              <w:jc w:val="center"/>
              <w:rPr>
                <w:rFonts w:eastAsia="Calibri"/>
                <w:b/>
                <w:szCs w:val="24"/>
                <w:lang w:val="en-US"/>
              </w:rPr>
            </w:pPr>
            <w:r>
              <w:rPr>
                <w:rFonts w:eastAsia="Calibri"/>
                <w:b/>
                <w:szCs w:val="24"/>
                <w:lang w:val="en-US"/>
              </w:rPr>
              <w:t>Komparator N=165*</w:t>
            </w:r>
          </w:p>
        </w:tc>
      </w:tr>
      <w:tr w:rsidR="00E659A5" w14:paraId="53D44717" w14:textId="77777777">
        <w:trPr>
          <w:trHeight w:val="253"/>
        </w:trPr>
        <w:tc>
          <w:tcPr>
            <w:tcW w:w="2754" w:type="pct"/>
            <w:tcBorders>
              <w:bottom w:val="nil"/>
            </w:tcBorders>
            <w:shd w:val="clear" w:color="auto" w:fill="auto"/>
          </w:tcPr>
          <w:p w14:paraId="625A027E" w14:textId="77777777" w:rsidR="00E659A5" w:rsidRDefault="00C21592">
            <w:pPr>
              <w:widowControl w:val="0"/>
              <w:autoSpaceDE w:val="0"/>
              <w:autoSpaceDN w:val="0"/>
              <w:spacing w:line="234" w:lineRule="exact"/>
              <w:rPr>
                <w:rFonts w:eastAsia="Calibri"/>
                <w:szCs w:val="24"/>
                <w:lang w:val="en-US"/>
              </w:rPr>
            </w:pPr>
            <w:r>
              <w:rPr>
                <w:rFonts w:eastAsia="Calibri"/>
                <w:szCs w:val="24"/>
                <w:lang w:val="en-US"/>
              </w:rPr>
              <w:t>Ponavljajuća VTE (primarni ishod efikasnosti)</w:t>
            </w:r>
          </w:p>
        </w:tc>
        <w:tc>
          <w:tcPr>
            <w:tcW w:w="1123" w:type="pct"/>
            <w:tcBorders>
              <w:bottom w:val="nil"/>
            </w:tcBorders>
            <w:shd w:val="clear" w:color="auto" w:fill="auto"/>
          </w:tcPr>
          <w:p w14:paraId="321E8AE5" w14:textId="77777777" w:rsidR="00E659A5" w:rsidRDefault="00C21592" w:rsidP="00C168EA">
            <w:pPr>
              <w:widowControl w:val="0"/>
              <w:autoSpaceDE w:val="0"/>
              <w:autoSpaceDN w:val="0"/>
              <w:spacing w:line="234" w:lineRule="exact"/>
              <w:ind w:left="106"/>
              <w:jc w:val="center"/>
              <w:rPr>
                <w:rFonts w:eastAsia="Calibri"/>
                <w:szCs w:val="24"/>
                <w:lang w:val="en-US"/>
              </w:rPr>
            </w:pPr>
            <w:r>
              <w:rPr>
                <w:rFonts w:eastAsia="Calibri"/>
                <w:w w:val="99"/>
                <w:szCs w:val="24"/>
                <w:lang w:val="en-US"/>
              </w:rPr>
              <w:t>4</w:t>
            </w:r>
          </w:p>
        </w:tc>
        <w:tc>
          <w:tcPr>
            <w:tcW w:w="1123" w:type="pct"/>
            <w:tcBorders>
              <w:bottom w:val="nil"/>
            </w:tcBorders>
            <w:shd w:val="clear" w:color="auto" w:fill="auto"/>
          </w:tcPr>
          <w:p w14:paraId="58C334FA" w14:textId="77777777" w:rsidR="00E659A5" w:rsidRDefault="00C21592" w:rsidP="00C168EA">
            <w:pPr>
              <w:widowControl w:val="0"/>
              <w:autoSpaceDE w:val="0"/>
              <w:autoSpaceDN w:val="0"/>
              <w:spacing w:line="234" w:lineRule="exact"/>
              <w:ind w:left="106"/>
              <w:jc w:val="center"/>
              <w:rPr>
                <w:rFonts w:eastAsia="Calibri"/>
                <w:szCs w:val="24"/>
                <w:lang w:val="en-US"/>
              </w:rPr>
            </w:pPr>
            <w:r>
              <w:rPr>
                <w:rFonts w:eastAsia="Calibri"/>
                <w:w w:val="99"/>
                <w:szCs w:val="24"/>
                <w:lang w:val="en-US"/>
              </w:rPr>
              <w:t>5</w:t>
            </w:r>
          </w:p>
        </w:tc>
      </w:tr>
      <w:tr w:rsidR="00E659A5" w14:paraId="11F24072" w14:textId="77777777">
        <w:trPr>
          <w:trHeight w:val="253"/>
        </w:trPr>
        <w:tc>
          <w:tcPr>
            <w:tcW w:w="2754" w:type="pct"/>
            <w:tcBorders>
              <w:top w:val="nil"/>
              <w:bottom w:val="nil"/>
            </w:tcBorders>
            <w:shd w:val="clear" w:color="auto" w:fill="auto"/>
          </w:tcPr>
          <w:p w14:paraId="11B82941" w14:textId="77777777" w:rsidR="00E659A5" w:rsidRDefault="00E659A5">
            <w:pPr>
              <w:widowControl w:val="0"/>
              <w:autoSpaceDE w:val="0"/>
              <w:autoSpaceDN w:val="0"/>
              <w:rPr>
                <w:rFonts w:eastAsia="Calibri"/>
                <w:szCs w:val="24"/>
                <w:lang w:val="en-US"/>
              </w:rPr>
            </w:pPr>
          </w:p>
        </w:tc>
        <w:tc>
          <w:tcPr>
            <w:tcW w:w="1123" w:type="pct"/>
            <w:tcBorders>
              <w:top w:val="nil"/>
              <w:bottom w:val="nil"/>
            </w:tcBorders>
            <w:shd w:val="clear" w:color="auto" w:fill="auto"/>
          </w:tcPr>
          <w:p w14:paraId="61136BAB" w14:textId="77777777" w:rsidR="00E659A5" w:rsidRDefault="00C21592" w:rsidP="00C168EA">
            <w:pPr>
              <w:widowControl w:val="0"/>
              <w:autoSpaceDE w:val="0"/>
              <w:autoSpaceDN w:val="0"/>
              <w:spacing w:line="233" w:lineRule="exact"/>
              <w:ind w:left="106"/>
              <w:jc w:val="center"/>
              <w:rPr>
                <w:rFonts w:eastAsia="Calibri"/>
                <w:szCs w:val="24"/>
                <w:lang w:val="en-US"/>
              </w:rPr>
            </w:pPr>
            <w:r>
              <w:rPr>
                <w:rFonts w:eastAsia="Calibri"/>
                <w:szCs w:val="24"/>
                <w:lang w:val="en-US"/>
              </w:rPr>
              <w:t>(1.2%, 95% CI</w:t>
            </w:r>
          </w:p>
        </w:tc>
        <w:tc>
          <w:tcPr>
            <w:tcW w:w="1123" w:type="pct"/>
            <w:tcBorders>
              <w:top w:val="nil"/>
              <w:bottom w:val="nil"/>
            </w:tcBorders>
            <w:shd w:val="clear" w:color="auto" w:fill="auto"/>
          </w:tcPr>
          <w:p w14:paraId="41165CC8" w14:textId="77777777" w:rsidR="00E659A5" w:rsidRDefault="00C21592" w:rsidP="00C168EA">
            <w:pPr>
              <w:widowControl w:val="0"/>
              <w:autoSpaceDE w:val="0"/>
              <w:autoSpaceDN w:val="0"/>
              <w:spacing w:line="233" w:lineRule="exact"/>
              <w:ind w:left="106"/>
              <w:jc w:val="center"/>
              <w:rPr>
                <w:rFonts w:eastAsia="Calibri"/>
                <w:szCs w:val="24"/>
                <w:lang w:val="en-US"/>
              </w:rPr>
            </w:pPr>
            <w:r>
              <w:rPr>
                <w:rFonts w:eastAsia="Calibri"/>
                <w:szCs w:val="24"/>
                <w:lang w:val="en-US"/>
              </w:rPr>
              <w:t>(3.0%, 95% CI</w:t>
            </w:r>
          </w:p>
        </w:tc>
      </w:tr>
      <w:tr w:rsidR="00E659A5" w14:paraId="61F44CF9" w14:textId="77777777">
        <w:trPr>
          <w:trHeight w:val="248"/>
        </w:trPr>
        <w:tc>
          <w:tcPr>
            <w:tcW w:w="2754" w:type="pct"/>
            <w:tcBorders>
              <w:top w:val="nil"/>
            </w:tcBorders>
            <w:shd w:val="clear" w:color="auto" w:fill="auto"/>
          </w:tcPr>
          <w:p w14:paraId="159F1C73" w14:textId="77777777" w:rsidR="00E659A5" w:rsidRDefault="00E659A5">
            <w:pPr>
              <w:widowControl w:val="0"/>
              <w:autoSpaceDE w:val="0"/>
              <w:autoSpaceDN w:val="0"/>
              <w:rPr>
                <w:rFonts w:eastAsia="Calibri"/>
                <w:szCs w:val="24"/>
                <w:lang w:val="en-US"/>
              </w:rPr>
            </w:pPr>
          </w:p>
        </w:tc>
        <w:tc>
          <w:tcPr>
            <w:tcW w:w="1123" w:type="pct"/>
            <w:tcBorders>
              <w:top w:val="nil"/>
            </w:tcBorders>
            <w:shd w:val="clear" w:color="auto" w:fill="auto"/>
          </w:tcPr>
          <w:p w14:paraId="141322C0" w14:textId="77777777" w:rsidR="00E659A5" w:rsidRDefault="00C21592" w:rsidP="00C168EA">
            <w:pPr>
              <w:widowControl w:val="0"/>
              <w:autoSpaceDE w:val="0"/>
              <w:autoSpaceDN w:val="0"/>
              <w:spacing w:line="228" w:lineRule="exact"/>
              <w:ind w:left="106"/>
              <w:jc w:val="center"/>
              <w:rPr>
                <w:rFonts w:eastAsia="Calibri"/>
                <w:szCs w:val="24"/>
                <w:lang w:val="en-US"/>
              </w:rPr>
            </w:pPr>
            <w:r>
              <w:rPr>
                <w:rFonts w:eastAsia="Calibri"/>
                <w:szCs w:val="24"/>
                <w:lang w:val="en-US"/>
              </w:rPr>
              <w:t>0.4% – 3.0%)</w:t>
            </w:r>
          </w:p>
        </w:tc>
        <w:tc>
          <w:tcPr>
            <w:tcW w:w="1123" w:type="pct"/>
            <w:tcBorders>
              <w:top w:val="nil"/>
            </w:tcBorders>
            <w:shd w:val="clear" w:color="auto" w:fill="auto"/>
          </w:tcPr>
          <w:p w14:paraId="3D28D15A" w14:textId="77777777" w:rsidR="00E659A5" w:rsidRDefault="00C21592" w:rsidP="00C168EA">
            <w:pPr>
              <w:widowControl w:val="0"/>
              <w:autoSpaceDE w:val="0"/>
              <w:autoSpaceDN w:val="0"/>
              <w:spacing w:line="228" w:lineRule="exact"/>
              <w:ind w:left="106"/>
              <w:jc w:val="center"/>
              <w:rPr>
                <w:rFonts w:eastAsia="Calibri"/>
                <w:szCs w:val="24"/>
                <w:lang w:val="en-US"/>
              </w:rPr>
            </w:pPr>
            <w:r>
              <w:rPr>
                <w:rFonts w:eastAsia="Calibri"/>
                <w:szCs w:val="24"/>
                <w:lang w:val="en-US"/>
              </w:rPr>
              <w:t>1.2% - 6.6%)</w:t>
            </w:r>
          </w:p>
        </w:tc>
      </w:tr>
      <w:tr w:rsidR="00E659A5" w14:paraId="00060A64" w14:textId="77777777">
        <w:trPr>
          <w:trHeight w:val="257"/>
        </w:trPr>
        <w:tc>
          <w:tcPr>
            <w:tcW w:w="2754" w:type="pct"/>
            <w:tcBorders>
              <w:bottom w:val="nil"/>
            </w:tcBorders>
            <w:shd w:val="clear" w:color="auto" w:fill="auto"/>
          </w:tcPr>
          <w:tbl>
            <w:tblPr>
              <w:tblW w:w="5000" w:type="pct"/>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CellMar>
                <w:left w:w="0" w:type="dxa"/>
                <w:right w:w="0" w:type="dxa"/>
              </w:tblCellMar>
              <w:tblLook w:val="01E0" w:firstRow="1" w:lastRow="1" w:firstColumn="1" w:lastColumn="1" w:noHBand="0" w:noVBand="0"/>
            </w:tblPr>
            <w:tblGrid>
              <w:gridCol w:w="4971"/>
            </w:tblGrid>
            <w:tr w:rsidR="00E659A5" w14:paraId="6B58D6A9" w14:textId="77777777">
              <w:trPr>
                <w:trHeight w:val="257"/>
              </w:trPr>
              <w:tc>
                <w:tcPr>
                  <w:tcW w:w="2873" w:type="pct"/>
                  <w:tcBorders>
                    <w:bottom w:val="nil"/>
                  </w:tcBorders>
                  <w:shd w:val="clear" w:color="auto" w:fill="auto"/>
                </w:tcPr>
                <w:p w14:paraId="7439E025" w14:textId="77777777" w:rsidR="00E659A5" w:rsidRDefault="00C21592">
                  <w:pPr>
                    <w:widowControl w:val="0"/>
                    <w:autoSpaceDE w:val="0"/>
                    <w:autoSpaceDN w:val="0"/>
                    <w:spacing w:line="238" w:lineRule="exact"/>
                    <w:rPr>
                      <w:rFonts w:eastAsia="Calibri"/>
                      <w:szCs w:val="24"/>
                      <w:lang w:val="en-US"/>
                    </w:rPr>
                  </w:pPr>
                  <w:r>
                    <w:rPr>
                      <w:rFonts w:eastAsia="Calibri"/>
                      <w:szCs w:val="24"/>
                      <w:lang w:val="en-US"/>
                    </w:rPr>
                    <w:t>Kompozitna mjera: simptomatska ponavljajuća VTE +</w:t>
                  </w:r>
                </w:p>
              </w:tc>
            </w:tr>
            <w:tr w:rsidR="00E659A5" w14:paraId="30B870FC" w14:textId="77777777">
              <w:trPr>
                <w:trHeight w:val="252"/>
              </w:trPr>
              <w:tc>
                <w:tcPr>
                  <w:tcW w:w="2873" w:type="pct"/>
                  <w:tcBorders>
                    <w:top w:val="nil"/>
                    <w:bottom w:val="nil"/>
                  </w:tcBorders>
                  <w:shd w:val="clear" w:color="auto" w:fill="auto"/>
                </w:tcPr>
                <w:p w14:paraId="4A300EE6" w14:textId="77777777" w:rsidR="00E659A5" w:rsidRDefault="00C21592">
                  <w:pPr>
                    <w:widowControl w:val="0"/>
                    <w:autoSpaceDE w:val="0"/>
                    <w:autoSpaceDN w:val="0"/>
                    <w:spacing w:line="233" w:lineRule="exact"/>
                    <w:rPr>
                      <w:rFonts w:eastAsia="Calibri"/>
                      <w:szCs w:val="24"/>
                      <w:lang w:val="en-US"/>
                    </w:rPr>
                  </w:pPr>
                  <w:r>
                    <w:rPr>
                      <w:rFonts w:eastAsia="Calibri"/>
                      <w:szCs w:val="24"/>
                      <w:lang w:val="en-US"/>
                    </w:rPr>
                    <w:t>asimptomatsko pogoršanje na ponovljenom snimanju</w:t>
                  </w:r>
                </w:p>
              </w:tc>
            </w:tr>
          </w:tbl>
          <w:p w14:paraId="2ED34ED0" w14:textId="77777777" w:rsidR="00E659A5" w:rsidRDefault="00E659A5">
            <w:pPr>
              <w:widowControl w:val="0"/>
              <w:autoSpaceDE w:val="0"/>
              <w:autoSpaceDN w:val="0"/>
              <w:spacing w:line="238" w:lineRule="exact"/>
              <w:ind w:left="107"/>
              <w:rPr>
                <w:rFonts w:eastAsia="Calibri"/>
                <w:szCs w:val="24"/>
                <w:lang w:val="en-US"/>
              </w:rPr>
            </w:pPr>
          </w:p>
        </w:tc>
        <w:tc>
          <w:tcPr>
            <w:tcW w:w="1123" w:type="pct"/>
            <w:tcBorders>
              <w:bottom w:val="nil"/>
            </w:tcBorders>
            <w:shd w:val="clear" w:color="auto" w:fill="auto"/>
          </w:tcPr>
          <w:p w14:paraId="7B833E2D" w14:textId="77777777" w:rsidR="00E659A5" w:rsidRDefault="00C21592" w:rsidP="00C168EA">
            <w:pPr>
              <w:widowControl w:val="0"/>
              <w:autoSpaceDE w:val="0"/>
              <w:autoSpaceDN w:val="0"/>
              <w:spacing w:line="238" w:lineRule="exact"/>
              <w:ind w:left="106"/>
              <w:jc w:val="center"/>
              <w:rPr>
                <w:rFonts w:eastAsia="Calibri"/>
                <w:szCs w:val="24"/>
                <w:lang w:val="en-US"/>
              </w:rPr>
            </w:pPr>
            <w:r>
              <w:rPr>
                <w:rFonts w:eastAsia="Calibri"/>
                <w:w w:val="99"/>
                <w:szCs w:val="24"/>
                <w:lang w:val="en-US"/>
              </w:rPr>
              <w:t>5</w:t>
            </w:r>
          </w:p>
        </w:tc>
        <w:tc>
          <w:tcPr>
            <w:tcW w:w="1123" w:type="pct"/>
            <w:tcBorders>
              <w:bottom w:val="nil"/>
            </w:tcBorders>
            <w:shd w:val="clear" w:color="auto" w:fill="auto"/>
          </w:tcPr>
          <w:p w14:paraId="74F54286" w14:textId="77777777" w:rsidR="00E659A5" w:rsidRDefault="00C21592" w:rsidP="00C168EA">
            <w:pPr>
              <w:widowControl w:val="0"/>
              <w:autoSpaceDE w:val="0"/>
              <w:autoSpaceDN w:val="0"/>
              <w:spacing w:line="238" w:lineRule="exact"/>
              <w:ind w:left="106"/>
              <w:jc w:val="center"/>
              <w:rPr>
                <w:rFonts w:eastAsia="Calibri"/>
                <w:szCs w:val="24"/>
                <w:lang w:val="en-US"/>
              </w:rPr>
            </w:pPr>
            <w:r>
              <w:rPr>
                <w:rFonts w:eastAsia="Calibri"/>
                <w:w w:val="99"/>
                <w:szCs w:val="24"/>
                <w:lang w:val="en-US"/>
              </w:rPr>
              <w:t>6</w:t>
            </w:r>
          </w:p>
        </w:tc>
      </w:tr>
      <w:tr w:rsidR="00E659A5" w14:paraId="1584A838" w14:textId="77777777">
        <w:trPr>
          <w:trHeight w:val="252"/>
        </w:trPr>
        <w:tc>
          <w:tcPr>
            <w:tcW w:w="2754" w:type="pct"/>
            <w:tcBorders>
              <w:top w:val="nil"/>
              <w:bottom w:val="nil"/>
            </w:tcBorders>
            <w:shd w:val="clear" w:color="auto" w:fill="auto"/>
          </w:tcPr>
          <w:tbl>
            <w:tblPr>
              <w:tblW w:w="5000" w:type="pct"/>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CellMar>
                <w:left w:w="0" w:type="dxa"/>
                <w:right w:w="0" w:type="dxa"/>
              </w:tblCellMar>
              <w:tblLook w:val="01E0" w:firstRow="1" w:lastRow="1" w:firstColumn="1" w:lastColumn="1" w:noHBand="0" w:noVBand="0"/>
            </w:tblPr>
            <w:tblGrid>
              <w:gridCol w:w="4971"/>
            </w:tblGrid>
            <w:tr w:rsidR="00E659A5" w14:paraId="7FB324BF" w14:textId="77777777">
              <w:trPr>
                <w:trHeight w:val="252"/>
              </w:trPr>
              <w:tc>
                <w:tcPr>
                  <w:tcW w:w="5000" w:type="pct"/>
                  <w:tcBorders>
                    <w:top w:val="nil"/>
                    <w:bottom w:val="nil"/>
                  </w:tcBorders>
                  <w:shd w:val="clear" w:color="auto" w:fill="auto"/>
                </w:tcPr>
                <w:p w14:paraId="02C94D9D" w14:textId="77777777" w:rsidR="00E659A5" w:rsidRDefault="00E659A5">
                  <w:pPr>
                    <w:widowControl w:val="0"/>
                    <w:autoSpaceDE w:val="0"/>
                    <w:autoSpaceDN w:val="0"/>
                    <w:spacing w:line="233" w:lineRule="exact"/>
                    <w:rPr>
                      <w:rFonts w:eastAsia="Calibri"/>
                      <w:szCs w:val="24"/>
                      <w:lang w:val="en-US"/>
                    </w:rPr>
                  </w:pPr>
                </w:p>
              </w:tc>
            </w:tr>
          </w:tbl>
          <w:p w14:paraId="1695C166" w14:textId="77777777" w:rsidR="00E659A5" w:rsidRDefault="00E659A5">
            <w:pPr>
              <w:widowControl w:val="0"/>
              <w:autoSpaceDE w:val="0"/>
              <w:autoSpaceDN w:val="0"/>
              <w:spacing w:line="233" w:lineRule="exact"/>
              <w:ind w:left="107"/>
              <w:rPr>
                <w:rFonts w:eastAsia="Calibri"/>
                <w:szCs w:val="24"/>
                <w:lang w:val="en-US"/>
              </w:rPr>
            </w:pPr>
          </w:p>
        </w:tc>
        <w:tc>
          <w:tcPr>
            <w:tcW w:w="1123" w:type="pct"/>
            <w:tcBorders>
              <w:top w:val="nil"/>
              <w:bottom w:val="nil"/>
            </w:tcBorders>
            <w:shd w:val="clear" w:color="auto" w:fill="auto"/>
          </w:tcPr>
          <w:p w14:paraId="0A2919D5" w14:textId="77777777" w:rsidR="00E659A5" w:rsidRDefault="00C21592" w:rsidP="00C168EA">
            <w:pPr>
              <w:widowControl w:val="0"/>
              <w:autoSpaceDE w:val="0"/>
              <w:autoSpaceDN w:val="0"/>
              <w:spacing w:line="233" w:lineRule="exact"/>
              <w:ind w:left="106"/>
              <w:jc w:val="center"/>
              <w:rPr>
                <w:rFonts w:eastAsia="Calibri"/>
                <w:szCs w:val="24"/>
                <w:lang w:val="en-US"/>
              </w:rPr>
            </w:pPr>
            <w:r>
              <w:rPr>
                <w:rFonts w:eastAsia="Calibri"/>
                <w:szCs w:val="24"/>
                <w:lang w:val="en-US"/>
              </w:rPr>
              <w:t>(1.5%, 95% CI</w:t>
            </w:r>
          </w:p>
        </w:tc>
        <w:tc>
          <w:tcPr>
            <w:tcW w:w="1123" w:type="pct"/>
            <w:tcBorders>
              <w:top w:val="nil"/>
              <w:bottom w:val="nil"/>
            </w:tcBorders>
            <w:shd w:val="clear" w:color="auto" w:fill="auto"/>
          </w:tcPr>
          <w:p w14:paraId="65D0C78F" w14:textId="77777777" w:rsidR="00E659A5" w:rsidRDefault="00C21592" w:rsidP="00C168EA">
            <w:pPr>
              <w:widowControl w:val="0"/>
              <w:autoSpaceDE w:val="0"/>
              <w:autoSpaceDN w:val="0"/>
              <w:spacing w:line="233" w:lineRule="exact"/>
              <w:ind w:left="106"/>
              <w:jc w:val="center"/>
              <w:rPr>
                <w:rFonts w:eastAsia="Calibri"/>
                <w:szCs w:val="24"/>
                <w:lang w:val="en-US"/>
              </w:rPr>
            </w:pPr>
            <w:r>
              <w:rPr>
                <w:rFonts w:eastAsia="Calibri"/>
                <w:szCs w:val="24"/>
                <w:lang w:val="en-US"/>
              </w:rPr>
              <w:t>(3.6%, 95% CI</w:t>
            </w:r>
          </w:p>
        </w:tc>
      </w:tr>
      <w:tr w:rsidR="00E659A5" w14:paraId="1E900726" w14:textId="77777777">
        <w:trPr>
          <w:trHeight w:val="247"/>
        </w:trPr>
        <w:tc>
          <w:tcPr>
            <w:tcW w:w="2754" w:type="pct"/>
            <w:tcBorders>
              <w:top w:val="nil"/>
            </w:tcBorders>
            <w:shd w:val="clear" w:color="auto" w:fill="auto"/>
          </w:tcPr>
          <w:p w14:paraId="1D363C12" w14:textId="77777777" w:rsidR="00E659A5" w:rsidRDefault="00E659A5">
            <w:pPr>
              <w:widowControl w:val="0"/>
              <w:autoSpaceDE w:val="0"/>
              <w:autoSpaceDN w:val="0"/>
              <w:rPr>
                <w:rFonts w:eastAsia="Calibri"/>
                <w:szCs w:val="24"/>
                <w:lang w:val="en-US"/>
              </w:rPr>
            </w:pPr>
          </w:p>
        </w:tc>
        <w:tc>
          <w:tcPr>
            <w:tcW w:w="1123" w:type="pct"/>
            <w:tcBorders>
              <w:top w:val="nil"/>
            </w:tcBorders>
            <w:shd w:val="clear" w:color="auto" w:fill="auto"/>
          </w:tcPr>
          <w:p w14:paraId="44AB3C35" w14:textId="77777777" w:rsidR="00E659A5" w:rsidRDefault="00C21592" w:rsidP="00C168EA">
            <w:pPr>
              <w:widowControl w:val="0"/>
              <w:autoSpaceDE w:val="0"/>
              <w:autoSpaceDN w:val="0"/>
              <w:spacing w:line="228" w:lineRule="exact"/>
              <w:ind w:left="106"/>
              <w:jc w:val="center"/>
              <w:rPr>
                <w:rFonts w:eastAsia="Calibri"/>
                <w:szCs w:val="24"/>
                <w:lang w:val="en-US"/>
              </w:rPr>
            </w:pPr>
            <w:r>
              <w:rPr>
                <w:rFonts w:eastAsia="Calibri"/>
                <w:szCs w:val="24"/>
                <w:lang w:val="en-US"/>
              </w:rPr>
              <w:t>0.6% – 3.4%)</w:t>
            </w:r>
          </w:p>
        </w:tc>
        <w:tc>
          <w:tcPr>
            <w:tcW w:w="1123" w:type="pct"/>
            <w:tcBorders>
              <w:top w:val="nil"/>
            </w:tcBorders>
            <w:shd w:val="clear" w:color="auto" w:fill="auto"/>
          </w:tcPr>
          <w:p w14:paraId="78318389" w14:textId="77777777" w:rsidR="00E659A5" w:rsidRDefault="00C21592" w:rsidP="00C168EA">
            <w:pPr>
              <w:widowControl w:val="0"/>
              <w:autoSpaceDE w:val="0"/>
              <w:autoSpaceDN w:val="0"/>
              <w:spacing w:line="228" w:lineRule="exact"/>
              <w:ind w:left="106"/>
              <w:jc w:val="center"/>
              <w:rPr>
                <w:rFonts w:eastAsia="Calibri"/>
                <w:szCs w:val="24"/>
                <w:lang w:val="en-US"/>
              </w:rPr>
            </w:pPr>
            <w:r>
              <w:rPr>
                <w:rFonts w:eastAsia="Calibri"/>
                <w:szCs w:val="24"/>
                <w:lang w:val="en-US"/>
              </w:rPr>
              <w:t>1.6% – 7.6%)</w:t>
            </w:r>
          </w:p>
        </w:tc>
      </w:tr>
      <w:tr w:rsidR="00E659A5" w14:paraId="340B903D" w14:textId="77777777">
        <w:trPr>
          <w:trHeight w:val="257"/>
        </w:trPr>
        <w:tc>
          <w:tcPr>
            <w:tcW w:w="2754" w:type="pct"/>
            <w:tcBorders>
              <w:bottom w:val="nil"/>
            </w:tcBorders>
            <w:shd w:val="clear" w:color="auto" w:fill="auto"/>
          </w:tcPr>
          <w:tbl>
            <w:tblPr>
              <w:tblW w:w="5000" w:type="pct"/>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CellMar>
                <w:left w:w="0" w:type="dxa"/>
                <w:right w:w="0" w:type="dxa"/>
              </w:tblCellMar>
              <w:tblLook w:val="01E0" w:firstRow="1" w:lastRow="1" w:firstColumn="1" w:lastColumn="1" w:noHBand="0" w:noVBand="0"/>
            </w:tblPr>
            <w:tblGrid>
              <w:gridCol w:w="4971"/>
            </w:tblGrid>
            <w:tr w:rsidR="00E659A5" w14:paraId="392D0A05" w14:textId="77777777">
              <w:trPr>
                <w:trHeight w:val="257"/>
              </w:trPr>
              <w:tc>
                <w:tcPr>
                  <w:tcW w:w="2873" w:type="pct"/>
                  <w:tcBorders>
                    <w:bottom w:val="nil"/>
                  </w:tcBorders>
                  <w:shd w:val="clear" w:color="auto" w:fill="auto"/>
                </w:tcPr>
                <w:p w14:paraId="166EF155" w14:textId="77777777" w:rsidR="00E659A5" w:rsidRDefault="00C21592">
                  <w:pPr>
                    <w:widowControl w:val="0"/>
                    <w:autoSpaceDE w:val="0"/>
                    <w:autoSpaceDN w:val="0"/>
                    <w:spacing w:line="238" w:lineRule="exact"/>
                    <w:rPr>
                      <w:rFonts w:eastAsia="Calibri"/>
                      <w:szCs w:val="24"/>
                      <w:lang w:val="en-US"/>
                    </w:rPr>
                  </w:pPr>
                  <w:r>
                    <w:rPr>
                      <w:rFonts w:eastAsia="Calibri"/>
                      <w:szCs w:val="24"/>
                      <w:lang w:val="en-US"/>
                    </w:rPr>
                    <w:t>Kompozitna mjera: simptomatska ponavljajuća VTE +</w:t>
                  </w:r>
                </w:p>
              </w:tc>
            </w:tr>
            <w:tr w:rsidR="00E659A5" w14:paraId="0B948FD9" w14:textId="77777777">
              <w:trPr>
                <w:trHeight w:val="253"/>
              </w:trPr>
              <w:tc>
                <w:tcPr>
                  <w:tcW w:w="2873" w:type="pct"/>
                  <w:tcBorders>
                    <w:top w:val="nil"/>
                    <w:bottom w:val="nil"/>
                  </w:tcBorders>
                  <w:shd w:val="clear" w:color="auto" w:fill="auto"/>
                </w:tcPr>
                <w:p w14:paraId="0FE627E1" w14:textId="77777777" w:rsidR="00E659A5" w:rsidRDefault="00C21592">
                  <w:pPr>
                    <w:widowControl w:val="0"/>
                    <w:autoSpaceDE w:val="0"/>
                    <w:autoSpaceDN w:val="0"/>
                    <w:spacing w:line="233" w:lineRule="exact"/>
                    <w:rPr>
                      <w:rFonts w:eastAsia="Calibri"/>
                      <w:szCs w:val="24"/>
                      <w:lang w:val="en-US"/>
                    </w:rPr>
                  </w:pPr>
                  <w:r>
                    <w:rPr>
                      <w:rFonts w:eastAsia="Calibri"/>
                      <w:szCs w:val="24"/>
                      <w:lang w:val="en-US"/>
                    </w:rPr>
                    <w:t>asimptomatsko pogoršanje + bez promjene na ponovljenom snimanju</w:t>
                  </w:r>
                </w:p>
              </w:tc>
            </w:tr>
          </w:tbl>
          <w:p w14:paraId="5D5F38A5" w14:textId="77777777" w:rsidR="00E659A5" w:rsidRDefault="00E659A5">
            <w:pPr>
              <w:widowControl w:val="0"/>
              <w:autoSpaceDE w:val="0"/>
              <w:autoSpaceDN w:val="0"/>
              <w:spacing w:line="238" w:lineRule="exact"/>
              <w:ind w:left="107"/>
              <w:rPr>
                <w:rFonts w:eastAsia="Calibri"/>
                <w:szCs w:val="24"/>
                <w:lang w:val="en-US"/>
              </w:rPr>
            </w:pPr>
          </w:p>
        </w:tc>
        <w:tc>
          <w:tcPr>
            <w:tcW w:w="1123" w:type="pct"/>
            <w:tcBorders>
              <w:bottom w:val="nil"/>
            </w:tcBorders>
            <w:shd w:val="clear" w:color="auto" w:fill="auto"/>
          </w:tcPr>
          <w:p w14:paraId="290CF05A" w14:textId="77777777" w:rsidR="00E659A5" w:rsidRDefault="00C21592" w:rsidP="00C168EA">
            <w:pPr>
              <w:widowControl w:val="0"/>
              <w:autoSpaceDE w:val="0"/>
              <w:autoSpaceDN w:val="0"/>
              <w:spacing w:line="238" w:lineRule="exact"/>
              <w:ind w:left="106"/>
              <w:jc w:val="center"/>
              <w:rPr>
                <w:rFonts w:eastAsia="Calibri"/>
                <w:szCs w:val="24"/>
                <w:lang w:val="en-US"/>
              </w:rPr>
            </w:pPr>
            <w:r>
              <w:rPr>
                <w:rFonts w:eastAsia="Calibri"/>
                <w:szCs w:val="24"/>
                <w:lang w:val="en-US"/>
              </w:rPr>
              <w:t>21</w:t>
            </w:r>
          </w:p>
        </w:tc>
        <w:tc>
          <w:tcPr>
            <w:tcW w:w="1123" w:type="pct"/>
            <w:tcBorders>
              <w:bottom w:val="nil"/>
            </w:tcBorders>
            <w:shd w:val="clear" w:color="auto" w:fill="auto"/>
          </w:tcPr>
          <w:p w14:paraId="706D8170" w14:textId="77777777" w:rsidR="00E659A5" w:rsidRDefault="00C21592" w:rsidP="00C168EA">
            <w:pPr>
              <w:widowControl w:val="0"/>
              <w:autoSpaceDE w:val="0"/>
              <w:autoSpaceDN w:val="0"/>
              <w:spacing w:line="238" w:lineRule="exact"/>
              <w:ind w:left="106"/>
              <w:jc w:val="center"/>
              <w:rPr>
                <w:rFonts w:eastAsia="Calibri"/>
                <w:szCs w:val="24"/>
                <w:lang w:val="en-US"/>
              </w:rPr>
            </w:pPr>
            <w:r>
              <w:rPr>
                <w:rFonts w:eastAsia="Calibri"/>
                <w:szCs w:val="24"/>
                <w:lang w:val="en-US"/>
              </w:rPr>
              <w:t>19</w:t>
            </w:r>
          </w:p>
        </w:tc>
      </w:tr>
      <w:tr w:rsidR="00E659A5" w14:paraId="194B6386" w14:textId="77777777">
        <w:trPr>
          <w:trHeight w:val="253"/>
        </w:trPr>
        <w:tc>
          <w:tcPr>
            <w:tcW w:w="2754" w:type="pct"/>
            <w:tcBorders>
              <w:top w:val="nil"/>
              <w:bottom w:val="nil"/>
            </w:tcBorders>
            <w:shd w:val="clear" w:color="auto" w:fill="auto"/>
          </w:tcPr>
          <w:tbl>
            <w:tblPr>
              <w:tblW w:w="5000" w:type="pct"/>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CellMar>
                <w:left w:w="0" w:type="dxa"/>
                <w:right w:w="0" w:type="dxa"/>
              </w:tblCellMar>
              <w:tblLook w:val="01E0" w:firstRow="1" w:lastRow="1" w:firstColumn="1" w:lastColumn="1" w:noHBand="0" w:noVBand="0"/>
            </w:tblPr>
            <w:tblGrid>
              <w:gridCol w:w="4971"/>
            </w:tblGrid>
            <w:tr w:rsidR="00E659A5" w14:paraId="0817563C" w14:textId="77777777">
              <w:trPr>
                <w:trHeight w:val="257"/>
              </w:trPr>
              <w:tc>
                <w:tcPr>
                  <w:tcW w:w="2873" w:type="pct"/>
                  <w:tcBorders>
                    <w:bottom w:val="nil"/>
                  </w:tcBorders>
                  <w:shd w:val="clear" w:color="auto" w:fill="auto"/>
                </w:tcPr>
                <w:p w14:paraId="3AA93307" w14:textId="77777777" w:rsidR="00E659A5" w:rsidRDefault="00E659A5">
                  <w:pPr>
                    <w:widowControl w:val="0"/>
                    <w:autoSpaceDE w:val="0"/>
                    <w:autoSpaceDN w:val="0"/>
                    <w:spacing w:line="238" w:lineRule="exact"/>
                    <w:rPr>
                      <w:rFonts w:eastAsia="Calibri"/>
                      <w:szCs w:val="24"/>
                      <w:lang w:val="en-US"/>
                    </w:rPr>
                  </w:pPr>
                </w:p>
              </w:tc>
            </w:tr>
            <w:tr w:rsidR="00E659A5" w14:paraId="671AF89A" w14:textId="77777777">
              <w:trPr>
                <w:trHeight w:val="253"/>
              </w:trPr>
              <w:tc>
                <w:tcPr>
                  <w:tcW w:w="2873" w:type="pct"/>
                  <w:tcBorders>
                    <w:top w:val="nil"/>
                    <w:bottom w:val="nil"/>
                  </w:tcBorders>
                  <w:shd w:val="clear" w:color="auto" w:fill="auto"/>
                </w:tcPr>
                <w:p w14:paraId="0253E23D" w14:textId="77777777" w:rsidR="00E659A5" w:rsidRDefault="00E659A5">
                  <w:pPr>
                    <w:widowControl w:val="0"/>
                    <w:autoSpaceDE w:val="0"/>
                    <w:autoSpaceDN w:val="0"/>
                    <w:spacing w:line="233" w:lineRule="exact"/>
                    <w:rPr>
                      <w:rFonts w:eastAsia="Calibri"/>
                      <w:szCs w:val="24"/>
                      <w:lang w:val="en-US"/>
                    </w:rPr>
                  </w:pPr>
                </w:p>
              </w:tc>
            </w:tr>
          </w:tbl>
          <w:p w14:paraId="10C01FDD" w14:textId="77777777" w:rsidR="00E659A5" w:rsidRDefault="00E659A5">
            <w:pPr>
              <w:widowControl w:val="0"/>
              <w:autoSpaceDE w:val="0"/>
              <w:autoSpaceDN w:val="0"/>
              <w:spacing w:line="233" w:lineRule="exact"/>
              <w:ind w:left="107"/>
              <w:rPr>
                <w:rFonts w:eastAsia="Calibri"/>
                <w:szCs w:val="24"/>
                <w:lang w:val="en-US"/>
              </w:rPr>
            </w:pPr>
          </w:p>
        </w:tc>
        <w:tc>
          <w:tcPr>
            <w:tcW w:w="1123" w:type="pct"/>
            <w:tcBorders>
              <w:top w:val="nil"/>
              <w:bottom w:val="nil"/>
            </w:tcBorders>
            <w:shd w:val="clear" w:color="auto" w:fill="auto"/>
          </w:tcPr>
          <w:p w14:paraId="35932BB1" w14:textId="77777777" w:rsidR="00E659A5" w:rsidRDefault="00C21592" w:rsidP="00C168EA">
            <w:pPr>
              <w:widowControl w:val="0"/>
              <w:autoSpaceDE w:val="0"/>
              <w:autoSpaceDN w:val="0"/>
              <w:spacing w:line="233" w:lineRule="exact"/>
              <w:ind w:left="106"/>
              <w:jc w:val="center"/>
              <w:rPr>
                <w:rFonts w:eastAsia="Calibri"/>
                <w:szCs w:val="24"/>
                <w:lang w:val="en-US"/>
              </w:rPr>
            </w:pPr>
            <w:r>
              <w:rPr>
                <w:rFonts w:eastAsia="Calibri"/>
                <w:szCs w:val="24"/>
                <w:lang w:val="en-US"/>
              </w:rPr>
              <w:t>(6.3%, 95% CI</w:t>
            </w:r>
          </w:p>
        </w:tc>
        <w:tc>
          <w:tcPr>
            <w:tcW w:w="1123" w:type="pct"/>
            <w:tcBorders>
              <w:top w:val="nil"/>
              <w:bottom w:val="nil"/>
            </w:tcBorders>
            <w:shd w:val="clear" w:color="auto" w:fill="auto"/>
          </w:tcPr>
          <w:p w14:paraId="69FFE6F0" w14:textId="77777777" w:rsidR="00E659A5" w:rsidRDefault="00C21592" w:rsidP="00C168EA">
            <w:pPr>
              <w:widowControl w:val="0"/>
              <w:autoSpaceDE w:val="0"/>
              <w:autoSpaceDN w:val="0"/>
              <w:spacing w:line="233" w:lineRule="exact"/>
              <w:ind w:left="106"/>
              <w:jc w:val="center"/>
              <w:rPr>
                <w:rFonts w:eastAsia="Calibri"/>
                <w:szCs w:val="24"/>
                <w:lang w:val="en-US"/>
              </w:rPr>
            </w:pPr>
            <w:r>
              <w:rPr>
                <w:rFonts w:eastAsia="Calibri"/>
                <w:szCs w:val="24"/>
                <w:lang w:val="en-US"/>
              </w:rPr>
              <w:t>(11.5%, 95% CI</w:t>
            </w:r>
          </w:p>
        </w:tc>
      </w:tr>
      <w:tr w:rsidR="00E659A5" w14:paraId="4F3A8E9A" w14:textId="77777777">
        <w:trPr>
          <w:trHeight w:val="309"/>
        </w:trPr>
        <w:tc>
          <w:tcPr>
            <w:tcW w:w="2754" w:type="pct"/>
            <w:tcBorders>
              <w:top w:val="nil"/>
            </w:tcBorders>
            <w:shd w:val="clear" w:color="auto" w:fill="auto"/>
          </w:tcPr>
          <w:tbl>
            <w:tblPr>
              <w:tblW w:w="5000" w:type="pct"/>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CellMar>
                <w:left w:w="0" w:type="dxa"/>
                <w:right w:w="0" w:type="dxa"/>
              </w:tblCellMar>
              <w:tblLook w:val="01E0" w:firstRow="1" w:lastRow="1" w:firstColumn="1" w:lastColumn="1" w:noHBand="0" w:noVBand="0"/>
            </w:tblPr>
            <w:tblGrid>
              <w:gridCol w:w="4971"/>
            </w:tblGrid>
            <w:tr w:rsidR="00E659A5" w14:paraId="38E425CF" w14:textId="77777777">
              <w:trPr>
                <w:trHeight w:val="257"/>
              </w:trPr>
              <w:tc>
                <w:tcPr>
                  <w:tcW w:w="2873" w:type="pct"/>
                  <w:tcBorders>
                    <w:bottom w:val="nil"/>
                  </w:tcBorders>
                  <w:shd w:val="clear" w:color="auto" w:fill="auto"/>
                </w:tcPr>
                <w:p w14:paraId="7C35D974" w14:textId="77777777" w:rsidR="00E659A5" w:rsidRDefault="00C21592">
                  <w:pPr>
                    <w:widowControl w:val="0"/>
                    <w:autoSpaceDE w:val="0"/>
                    <w:autoSpaceDN w:val="0"/>
                    <w:spacing w:line="238" w:lineRule="exact"/>
                    <w:rPr>
                      <w:rFonts w:eastAsia="Calibri"/>
                      <w:szCs w:val="24"/>
                      <w:lang w:val="en-US"/>
                    </w:rPr>
                  </w:pPr>
                  <w:r>
                    <w:rPr>
                      <w:rFonts w:eastAsia="Calibri"/>
                      <w:szCs w:val="24"/>
                      <w:lang w:val="en-US"/>
                    </w:rPr>
                    <w:t>Kompozitna mjera: simptomatska ponavljajuća VTE +</w:t>
                  </w:r>
                </w:p>
              </w:tc>
            </w:tr>
            <w:tr w:rsidR="00E659A5" w14:paraId="342E0E6D" w14:textId="77777777">
              <w:trPr>
                <w:trHeight w:val="253"/>
              </w:trPr>
              <w:tc>
                <w:tcPr>
                  <w:tcW w:w="2873" w:type="pct"/>
                  <w:tcBorders>
                    <w:top w:val="nil"/>
                    <w:bottom w:val="nil"/>
                  </w:tcBorders>
                  <w:shd w:val="clear" w:color="auto" w:fill="auto"/>
                </w:tcPr>
                <w:p w14:paraId="238B5AFB" w14:textId="77777777" w:rsidR="00E659A5" w:rsidRDefault="00C21592">
                  <w:pPr>
                    <w:widowControl w:val="0"/>
                    <w:autoSpaceDE w:val="0"/>
                    <w:autoSpaceDN w:val="0"/>
                    <w:spacing w:line="233" w:lineRule="exact"/>
                    <w:rPr>
                      <w:rFonts w:eastAsia="Calibri"/>
                      <w:szCs w:val="24"/>
                      <w:lang w:val="en-US"/>
                    </w:rPr>
                  </w:pPr>
                  <w:r>
                    <w:rPr>
                      <w:rFonts w:eastAsia="Calibri"/>
                      <w:szCs w:val="24"/>
                      <w:lang w:val="en-US"/>
                    </w:rPr>
                    <w:t>asimptomatsko pogoršanje + bez promjene na ponovljenom snimanju</w:t>
                  </w:r>
                </w:p>
              </w:tc>
            </w:tr>
          </w:tbl>
          <w:p w14:paraId="65EC2AC3" w14:textId="77777777" w:rsidR="00E659A5" w:rsidRDefault="00E659A5">
            <w:pPr>
              <w:widowControl w:val="0"/>
              <w:autoSpaceDE w:val="0"/>
              <w:autoSpaceDN w:val="0"/>
              <w:spacing w:line="248" w:lineRule="exact"/>
              <w:ind w:left="107"/>
              <w:rPr>
                <w:rFonts w:eastAsia="Calibri"/>
                <w:szCs w:val="24"/>
                <w:lang w:val="en-US"/>
              </w:rPr>
            </w:pPr>
          </w:p>
        </w:tc>
        <w:tc>
          <w:tcPr>
            <w:tcW w:w="1123" w:type="pct"/>
            <w:tcBorders>
              <w:top w:val="nil"/>
            </w:tcBorders>
            <w:shd w:val="clear" w:color="auto" w:fill="auto"/>
          </w:tcPr>
          <w:p w14:paraId="30315967" w14:textId="77777777" w:rsidR="00E659A5" w:rsidRDefault="00C21592" w:rsidP="00C168EA">
            <w:pPr>
              <w:widowControl w:val="0"/>
              <w:autoSpaceDE w:val="0"/>
              <w:autoSpaceDN w:val="0"/>
              <w:spacing w:line="248" w:lineRule="exact"/>
              <w:ind w:left="106"/>
              <w:jc w:val="center"/>
              <w:rPr>
                <w:rFonts w:eastAsia="Calibri"/>
                <w:szCs w:val="24"/>
                <w:lang w:val="en-US"/>
              </w:rPr>
            </w:pPr>
            <w:r>
              <w:rPr>
                <w:rFonts w:eastAsia="Calibri"/>
                <w:szCs w:val="24"/>
                <w:lang w:val="en-US"/>
              </w:rPr>
              <w:t>4.0% – 9.2%)</w:t>
            </w:r>
          </w:p>
        </w:tc>
        <w:tc>
          <w:tcPr>
            <w:tcW w:w="1123" w:type="pct"/>
            <w:tcBorders>
              <w:top w:val="nil"/>
            </w:tcBorders>
            <w:shd w:val="clear" w:color="auto" w:fill="auto"/>
          </w:tcPr>
          <w:p w14:paraId="703F80BC" w14:textId="77777777" w:rsidR="00E659A5" w:rsidRDefault="00C21592" w:rsidP="00C168EA">
            <w:pPr>
              <w:widowControl w:val="0"/>
              <w:autoSpaceDE w:val="0"/>
              <w:autoSpaceDN w:val="0"/>
              <w:spacing w:line="248" w:lineRule="exact"/>
              <w:ind w:left="106"/>
              <w:jc w:val="center"/>
              <w:rPr>
                <w:rFonts w:eastAsia="Calibri"/>
                <w:szCs w:val="24"/>
                <w:lang w:val="en-US"/>
              </w:rPr>
            </w:pPr>
            <w:r>
              <w:rPr>
                <w:rFonts w:eastAsia="Calibri"/>
                <w:szCs w:val="24"/>
                <w:lang w:val="en-US"/>
              </w:rPr>
              <w:t>7.3% – 17.4%)</w:t>
            </w:r>
          </w:p>
        </w:tc>
      </w:tr>
      <w:tr w:rsidR="00E659A5" w14:paraId="65F2F6F7" w14:textId="77777777">
        <w:trPr>
          <w:trHeight w:val="257"/>
        </w:trPr>
        <w:tc>
          <w:tcPr>
            <w:tcW w:w="2754" w:type="pct"/>
            <w:tcBorders>
              <w:bottom w:val="nil"/>
            </w:tcBorders>
            <w:shd w:val="clear" w:color="auto" w:fill="auto"/>
          </w:tcPr>
          <w:p w14:paraId="147D8FC7" w14:textId="77777777" w:rsidR="00E659A5" w:rsidRDefault="00C21592">
            <w:pPr>
              <w:widowControl w:val="0"/>
              <w:autoSpaceDE w:val="0"/>
              <w:autoSpaceDN w:val="0"/>
              <w:spacing w:line="238" w:lineRule="exact"/>
              <w:rPr>
                <w:rFonts w:eastAsia="Calibri"/>
                <w:szCs w:val="24"/>
                <w:lang w:val="en-US"/>
              </w:rPr>
            </w:pPr>
            <w:r>
              <w:rPr>
                <w:rFonts w:eastAsia="Calibri"/>
                <w:szCs w:val="24"/>
                <w:lang w:val="en-US"/>
              </w:rPr>
              <w:t>Normalizacija na ponovljenom snimanju</w:t>
            </w:r>
          </w:p>
        </w:tc>
        <w:tc>
          <w:tcPr>
            <w:tcW w:w="1123" w:type="pct"/>
            <w:tcBorders>
              <w:bottom w:val="nil"/>
            </w:tcBorders>
            <w:shd w:val="clear" w:color="auto" w:fill="auto"/>
          </w:tcPr>
          <w:p w14:paraId="30017300" w14:textId="77777777" w:rsidR="00E659A5" w:rsidRDefault="00C21592" w:rsidP="00C168EA">
            <w:pPr>
              <w:widowControl w:val="0"/>
              <w:autoSpaceDE w:val="0"/>
              <w:autoSpaceDN w:val="0"/>
              <w:spacing w:line="238" w:lineRule="exact"/>
              <w:ind w:left="106"/>
              <w:jc w:val="center"/>
              <w:rPr>
                <w:rFonts w:eastAsia="Calibri"/>
                <w:szCs w:val="24"/>
                <w:lang w:val="en-US"/>
              </w:rPr>
            </w:pPr>
            <w:r>
              <w:rPr>
                <w:rFonts w:eastAsia="Calibri"/>
                <w:szCs w:val="24"/>
                <w:lang w:val="en-US"/>
              </w:rPr>
              <w:t>128</w:t>
            </w:r>
          </w:p>
        </w:tc>
        <w:tc>
          <w:tcPr>
            <w:tcW w:w="1123" w:type="pct"/>
            <w:tcBorders>
              <w:bottom w:val="nil"/>
            </w:tcBorders>
            <w:shd w:val="clear" w:color="auto" w:fill="auto"/>
          </w:tcPr>
          <w:p w14:paraId="42A59932" w14:textId="77777777" w:rsidR="00E659A5" w:rsidRDefault="00C21592" w:rsidP="00C168EA">
            <w:pPr>
              <w:widowControl w:val="0"/>
              <w:autoSpaceDE w:val="0"/>
              <w:autoSpaceDN w:val="0"/>
              <w:spacing w:line="238" w:lineRule="exact"/>
              <w:ind w:left="106"/>
              <w:jc w:val="center"/>
              <w:rPr>
                <w:rFonts w:eastAsia="Calibri"/>
                <w:szCs w:val="24"/>
                <w:lang w:val="en-US"/>
              </w:rPr>
            </w:pPr>
            <w:r>
              <w:rPr>
                <w:rFonts w:eastAsia="Calibri"/>
                <w:szCs w:val="24"/>
                <w:lang w:val="en-US"/>
              </w:rPr>
              <w:t>43</w:t>
            </w:r>
          </w:p>
        </w:tc>
      </w:tr>
      <w:tr w:rsidR="00E659A5" w14:paraId="43331797" w14:textId="77777777">
        <w:trPr>
          <w:trHeight w:val="253"/>
        </w:trPr>
        <w:tc>
          <w:tcPr>
            <w:tcW w:w="2754" w:type="pct"/>
            <w:tcBorders>
              <w:top w:val="nil"/>
              <w:bottom w:val="nil"/>
            </w:tcBorders>
            <w:shd w:val="clear" w:color="auto" w:fill="auto"/>
          </w:tcPr>
          <w:p w14:paraId="34F95FD6" w14:textId="77777777" w:rsidR="00E659A5" w:rsidRDefault="00E659A5">
            <w:pPr>
              <w:widowControl w:val="0"/>
              <w:autoSpaceDE w:val="0"/>
              <w:autoSpaceDN w:val="0"/>
              <w:rPr>
                <w:rFonts w:eastAsia="Calibri"/>
                <w:szCs w:val="24"/>
                <w:lang w:val="en-US"/>
              </w:rPr>
            </w:pPr>
          </w:p>
        </w:tc>
        <w:tc>
          <w:tcPr>
            <w:tcW w:w="1123" w:type="pct"/>
            <w:tcBorders>
              <w:top w:val="nil"/>
              <w:bottom w:val="nil"/>
            </w:tcBorders>
            <w:shd w:val="clear" w:color="auto" w:fill="auto"/>
          </w:tcPr>
          <w:p w14:paraId="5DDE631E" w14:textId="77777777" w:rsidR="00E659A5" w:rsidRDefault="00C21592" w:rsidP="00C168EA">
            <w:pPr>
              <w:widowControl w:val="0"/>
              <w:autoSpaceDE w:val="0"/>
              <w:autoSpaceDN w:val="0"/>
              <w:spacing w:line="233" w:lineRule="exact"/>
              <w:ind w:left="106"/>
              <w:jc w:val="center"/>
              <w:rPr>
                <w:rFonts w:eastAsia="Calibri"/>
                <w:szCs w:val="24"/>
                <w:lang w:val="en-US"/>
              </w:rPr>
            </w:pPr>
            <w:r>
              <w:rPr>
                <w:rFonts w:eastAsia="Calibri"/>
                <w:szCs w:val="24"/>
                <w:lang w:val="en-US"/>
              </w:rPr>
              <w:t>(38.2%, 95% CI</w:t>
            </w:r>
          </w:p>
        </w:tc>
        <w:tc>
          <w:tcPr>
            <w:tcW w:w="1123" w:type="pct"/>
            <w:tcBorders>
              <w:top w:val="nil"/>
              <w:bottom w:val="nil"/>
            </w:tcBorders>
            <w:shd w:val="clear" w:color="auto" w:fill="auto"/>
          </w:tcPr>
          <w:p w14:paraId="378D4F97" w14:textId="77777777" w:rsidR="00E659A5" w:rsidRDefault="00C21592" w:rsidP="00C168EA">
            <w:pPr>
              <w:widowControl w:val="0"/>
              <w:autoSpaceDE w:val="0"/>
              <w:autoSpaceDN w:val="0"/>
              <w:spacing w:line="233" w:lineRule="exact"/>
              <w:ind w:left="106"/>
              <w:jc w:val="center"/>
              <w:rPr>
                <w:rFonts w:eastAsia="Calibri"/>
                <w:szCs w:val="24"/>
                <w:lang w:val="en-US"/>
              </w:rPr>
            </w:pPr>
            <w:r>
              <w:rPr>
                <w:rFonts w:eastAsia="Calibri"/>
                <w:szCs w:val="24"/>
                <w:lang w:val="en-US"/>
              </w:rPr>
              <w:t>(26.1%, 95% CI</w:t>
            </w:r>
          </w:p>
        </w:tc>
      </w:tr>
      <w:tr w:rsidR="00E659A5" w14:paraId="30670D2A" w14:textId="77777777">
        <w:trPr>
          <w:trHeight w:val="336"/>
        </w:trPr>
        <w:tc>
          <w:tcPr>
            <w:tcW w:w="2754" w:type="pct"/>
            <w:tcBorders>
              <w:top w:val="nil"/>
            </w:tcBorders>
            <w:shd w:val="clear" w:color="auto" w:fill="auto"/>
          </w:tcPr>
          <w:p w14:paraId="1A1CDD7D" w14:textId="77777777" w:rsidR="00E659A5" w:rsidRDefault="00E659A5">
            <w:pPr>
              <w:widowControl w:val="0"/>
              <w:autoSpaceDE w:val="0"/>
              <w:autoSpaceDN w:val="0"/>
              <w:rPr>
                <w:rFonts w:eastAsia="Calibri"/>
                <w:szCs w:val="24"/>
                <w:lang w:val="en-US"/>
              </w:rPr>
            </w:pPr>
          </w:p>
        </w:tc>
        <w:tc>
          <w:tcPr>
            <w:tcW w:w="1123" w:type="pct"/>
            <w:tcBorders>
              <w:top w:val="nil"/>
            </w:tcBorders>
            <w:shd w:val="clear" w:color="auto" w:fill="auto"/>
          </w:tcPr>
          <w:p w14:paraId="6069D1E2" w14:textId="77777777" w:rsidR="00E659A5" w:rsidRDefault="00C21592" w:rsidP="00C168EA">
            <w:pPr>
              <w:widowControl w:val="0"/>
              <w:autoSpaceDE w:val="0"/>
              <w:autoSpaceDN w:val="0"/>
              <w:spacing w:line="248" w:lineRule="exact"/>
              <w:ind w:left="106"/>
              <w:jc w:val="center"/>
              <w:rPr>
                <w:rFonts w:eastAsia="Calibri"/>
                <w:szCs w:val="24"/>
                <w:lang w:val="en-US"/>
              </w:rPr>
            </w:pPr>
            <w:r>
              <w:rPr>
                <w:rFonts w:eastAsia="Calibri"/>
                <w:szCs w:val="24"/>
                <w:lang w:val="en-US"/>
              </w:rPr>
              <w:t>33.0% - 43.5%)</w:t>
            </w:r>
          </w:p>
        </w:tc>
        <w:tc>
          <w:tcPr>
            <w:tcW w:w="1123" w:type="pct"/>
            <w:tcBorders>
              <w:top w:val="nil"/>
            </w:tcBorders>
            <w:shd w:val="clear" w:color="auto" w:fill="auto"/>
          </w:tcPr>
          <w:p w14:paraId="56A5C442" w14:textId="77777777" w:rsidR="00E659A5" w:rsidRDefault="00C21592" w:rsidP="00C168EA">
            <w:pPr>
              <w:widowControl w:val="0"/>
              <w:autoSpaceDE w:val="0"/>
              <w:autoSpaceDN w:val="0"/>
              <w:spacing w:line="248" w:lineRule="exact"/>
              <w:ind w:left="106"/>
              <w:jc w:val="center"/>
              <w:rPr>
                <w:rFonts w:eastAsia="Calibri"/>
                <w:szCs w:val="24"/>
                <w:lang w:val="en-US"/>
              </w:rPr>
            </w:pPr>
            <w:r>
              <w:rPr>
                <w:rFonts w:eastAsia="Calibri"/>
                <w:szCs w:val="24"/>
                <w:lang w:val="en-US"/>
              </w:rPr>
              <w:t>19.8% - 33.0%)</w:t>
            </w:r>
          </w:p>
        </w:tc>
      </w:tr>
      <w:tr w:rsidR="00E659A5" w14:paraId="3DA3A2C1" w14:textId="77777777">
        <w:trPr>
          <w:trHeight w:val="257"/>
        </w:trPr>
        <w:tc>
          <w:tcPr>
            <w:tcW w:w="2754" w:type="pct"/>
            <w:tcBorders>
              <w:bottom w:val="nil"/>
            </w:tcBorders>
            <w:shd w:val="clear" w:color="auto" w:fill="auto"/>
          </w:tcPr>
          <w:p w14:paraId="7C70E164" w14:textId="77777777" w:rsidR="00E659A5" w:rsidRDefault="00C21592">
            <w:pPr>
              <w:widowControl w:val="0"/>
              <w:autoSpaceDE w:val="0"/>
              <w:autoSpaceDN w:val="0"/>
              <w:spacing w:line="238" w:lineRule="exact"/>
              <w:rPr>
                <w:rFonts w:eastAsia="Calibri"/>
                <w:szCs w:val="24"/>
                <w:lang w:val="en-US"/>
              </w:rPr>
            </w:pPr>
            <w:r>
              <w:rPr>
                <w:rFonts w:eastAsia="Calibri"/>
                <w:szCs w:val="24"/>
                <w:lang w:val="en-US"/>
              </w:rPr>
              <w:t xml:space="preserve">Kompozitna mjera: simptomatska ponavljajuća VTE + veliko krvarenje (neto klinička korist) </w:t>
            </w:r>
          </w:p>
        </w:tc>
        <w:tc>
          <w:tcPr>
            <w:tcW w:w="1123" w:type="pct"/>
            <w:tcBorders>
              <w:bottom w:val="nil"/>
            </w:tcBorders>
            <w:shd w:val="clear" w:color="auto" w:fill="auto"/>
          </w:tcPr>
          <w:p w14:paraId="1183B111" w14:textId="77777777" w:rsidR="00E659A5" w:rsidRDefault="00C21592" w:rsidP="00C168EA">
            <w:pPr>
              <w:widowControl w:val="0"/>
              <w:autoSpaceDE w:val="0"/>
              <w:autoSpaceDN w:val="0"/>
              <w:spacing w:line="238" w:lineRule="exact"/>
              <w:ind w:left="106"/>
              <w:jc w:val="center"/>
              <w:rPr>
                <w:rFonts w:eastAsia="Calibri"/>
                <w:szCs w:val="24"/>
                <w:lang w:val="en-US"/>
              </w:rPr>
            </w:pPr>
            <w:r>
              <w:rPr>
                <w:rFonts w:eastAsia="Calibri"/>
                <w:w w:val="99"/>
                <w:szCs w:val="24"/>
                <w:lang w:val="en-US"/>
              </w:rPr>
              <w:t>4</w:t>
            </w:r>
          </w:p>
        </w:tc>
        <w:tc>
          <w:tcPr>
            <w:tcW w:w="1123" w:type="pct"/>
            <w:tcBorders>
              <w:bottom w:val="nil"/>
            </w:tcBorders>
            <w:shd w:val="clear" w:color="auto" w:fill="auto"/>
          </w:tcPr>
          <w:p w14:paraId="042C96D9" w14:textId="77777777" w:rsidR="00E659A5" w:rsidRDefault="00C21592" w:rsidP="00C168EA">
            <w:pPr>
              <w:widowControl w:val="0"/>
              <w:autoSpaceDE w:val="0"/>
              <w:autoSpaceDN w:val="0"/>
              <w:spacing w:line="238" w:lineRule="exact"/>
              <w:ind w:left="106"/>
              <w:jc w:val="center"/>
              <w:rPr>
                <w:rFonts w:eastAsia="Calibri"/>
                <w:szCs w:val="24"/>
                <w:lang w:val="en-US"/>
              </w:rPr>
            </w:pPr>
            <w:r>
              <w:rPr>
                <w:rFonts w:eastAsia="Calibri"/>
                <w:w w:val="99"/>
                <w:szCs w:val="24"/>
                <w:lang w:val="en-US"/>
              </w:rPr>
              <w:t>7</w:t>
            </w:r>
          </w:p>
        </w:tc>
      </w:tr>
      <w:tr w:rsidR="00E659A5" w14:paraId="68BA5AE2" w14:textId="77777777">
        <w:trPr>
          <w:trHeight w:val="253"/>
        </w:trPr>
        <w:tc>
          <w:tcPr>
            <w:tcW w:w="2754" w:type="pct"/>
            <w:tcBorders>
              <w:top w:val="nil"/>
              <w:bottom w:val="nil"/>
            </w:tcBorders>
            <w:shd w:val="clear" w:color="auto" w:fill="auto"/>
          </w:tcPr>
          <w:p w14:paraId="49A78820" w14:textId="77777777" w:rsidR="00E659A5" w:rsidRDefault="00E659A5">
            <w:pPr>
              <w:widowControl w:val="0"/>
              <w:autoSpaceDE w:val="0"/>
              <w:autoSpaceDN w:val="0"/>
              <w:spacing w:line="233" w:lineRule="exact"/>
              <w:rPr>
                <w:rFonts w:eastAsia="Calibri"/>
                <w:szCs w:val="24"/>
                <w:lang w:val="en-US"/>
              </w:rPr>
            </w:pPr>
          </w:p>
        </w:tc>
        <w:tc>
          <w:tcPr>
            <w:tcW w:w="1123" w:type="pct"/>
            <w:tcBorders>
              <w:top w:val="nil"/>
              <w:bottom w:val="nil"/>
            </w:tcBorders>
            <w:shd w:val="clear" w:color="auto" w:fill="auto"/>
          </w:tcPr>
          <w:p w14:paraId="3B1E0E70" w14:textId="77777777" w:rsidR="00E659A5" w:rsidRDefault="00C21592" w:rsidP="00C168EA">
            <w:pPr>
              <w:widowControl w:val="0"/>
              <w:autoSpaceDE w:val="0"/>
              <w:autoSpaceDN w:val="0"/>
              <w:spacing w:line="233" w:lineRule="exact"/>
              <w:ind w:left="106"/>
              <w:jc w:val="center"/>
              <w:rPr>
                <w:rFonts w:eastAsia="Calibri"/>
                <w:szCs w:val="24"/>
                <w:lang w:val="en-US"/>
              </w:rPr>
            </w:pPr>
            <w:r>
              <w:rPr>
                <w:rFonts w:eastAsia="Calibri"/>
                <w:szCs w:val="24"/>
                <w:lang w:val="en-US"/>
              </w:rPr>
              <w:t>(1.2%, 95% CI</w:t>
            </w:r>
          </w:p>
        </w:tc>
        <w:tc>
          <w:tcPr>
            <w:tcW w:w="1123" w:type="pct"/>
            <w:tcBorders>
              <w:top w:val="nil"/>
              <w:bottom w:val="nil"/>
            </w:tcBorders>
            <w:shd w:val="clear" w:color="auto" w:fill="auto"/>
          </w:tcPr>
          <w:p w14:paraId="0B1CBE3A" w14:textId="77777777" w:rsidR="00E659A5" w:rsidRDefault="00C21592" w:rsidP="00C168EA">
            <w:pPr>
              <w:widowControl w:val="0"/>
              <w:autoSpaceDE w:val="0"/>
              <w:autoSpaceDN w:val="0"/>
              <w:spacing w:line="233" w:lineRule="exact"/>
              <w:ind w:left="106"/>
              <w:jc w:val="center"/>
              <w:rPr>
                <w:rFonts w:eastAsia="Calibri"/>
                <w:szCs w:val="24"/>
                <w:lang w:val="en-US"/>
              </w:rPr>
            </w:pPr>
            <w:r>
              <w:rPr>
                <w:rFonts w:eastAsia="Calibri"/>
                <w:szCs w:val="24"/>
                <w:lang w:val="en-US"/>
              </w:rPr>
              <w:t>(4.2%, 95% CI</w:t>
            </w:r>
          </w:p>
        </w:tc>
      </w:tr>
      <w:tr w:rsidR="00E659A5" w14:paraId="6F93CADF" w14:textId="77777777">
        <w:trPr>
          <w:trHeight w:val="462"/>
        </w:trPr>
        <w:tc>
          <w:tcPr>
            <w:tcW w:w="2754" w:type="pct"/>
            <w:tcBorders>
              <w:top w:val="nil"/>
            </w:tcBorders>
            <w:shd w:val="clear" w:color="auto" w:fill="auto"/>
          </w:tcPr>
          <w:p w14:paraId="503D898F" w14:textId="77777777" w:rsidR="00E659A5" w:rsidRDefault="00E659A5">
            <w:pPr>
              <w:widowControl w:val="0"/>
              <w:autoSpaceDE w:val="0"/>
              <w:autoSpaceDN w:val="0"/>
              <w:rPr>
                <w:rFonts w:eastAsia="Calibri"/>
                <w:szCs w:val="24"/>
                <w:lang w:val="en-US"/>
              </w:rPr>
            </w:pPr>
          </w:p>
        </w:tc>
        <w:tc>
          <w:tcPr>
            <w:tcW w:w="1123" w:type="pct"/>
            <w:tcBorders>
              <w:top w:val="nil"/>
            </w:tcBorders>
            <w:shd w:val="clear" w:color="auto" w:fill="auto"/>
          </w:tcPr>
          <w:p w14:paraId="63D31DA5" w14:textId="77777777" w:rsidR="00E659A5" w:rsidRDefault="00C21592" w:rsidP="00C168EA">
            <w:pPr>
              <w:widowControl w:val="0"/>
              <w:autoSpaceDE w:val="0"/>
              <w:autoSpaceDN w:val="0"/>
              <w:spacing w:line="248" w:lineRule="exact"/>
              <w:ind w:left="106"/>
              <w:jc w:val="center"/>
              <w:rPr>
                <w:rFonts w:eastAsia="Calibri"/>
                <w:szCs w:val="24"/>
                <w:lang w:val="en-US"/>
              </w:rPr>
            </w:pPr>
            <w:r>
              <w:rPr>
                <w:rFonts w:eastAsia="Calibri"/>
                <w:szCs w:val="24"/>
                <w:lang w:val="en-US"/>
              </w:rPr>
              <w:t>0.4% - 3.0%)</w:t>
            </w:r>
          </w:p>
        </w:tc>
        <w:tc>
          <w:tcPr>
            <w:tcW w:w="1123" w:type="pct"/>
            <w:tcBorders>
              <w:top w:val="nil"/>
            </w:tcBorders>
            <w:shd w:val="clear" w:color="auto" w:fill="auto"/>
          </w:tcPr>
          <w:p w14:paraId="352535F5" w14:textId="77777777" w:rsidR="00E659A5" w:rsidRDefault="00C21592" w:rsidP="00C168EA">
            <w:pPr>
              <w:widowControl w:val="0"/>
              <w:autoSpaceDE w:val="0"/>
              <w:autoSpaceDN w:val="0"/>
              <w:spacing w:line="248" w:lineRule="exact"/>
              <w:ind w:left="106"/>
              <w:jc w:val="center"/>
              <w:rPr>
                <w:rFonts w:eastAsia="Calibri"/>
                <w:szCs w:val="24"/>
                <w:lang w:val="en-US"/>
              </w:rPr>
            </w:pPr>
            <w:r>
              <w:rPr>
                <w:rFonts w:eastAsia="Calibri"/>
                <w:szCs w:val="24"/>
                <w:lang w:val="en-US"/>
              </w:rPr>
              <w:t>2.0% - 8.4%)</w:t>
            </w:r>
          </w:p>
        </w:tc>
      </w:tr>
      <w:tr w:rsidR="00E659A5" w14:paraId="1E48B49E" w14:textId="77777777">
        <w:trPr>
          <w:trHeight w:val="256"/>
        </w:trPr>
        <w:tc>
          <w:tcPr>
            <w:tcW w:w="2754" w:type="pct"/>
            <w:tcBorders>
              <w:bottom w:val="nil"/>
            </w:tcBorders>
            <w:shd w:val="clear" w:color="auto" w:fill="auto"/>
          </w:tcPr>
          <w:p w14:paraId="13DAC92C" w14:textId="77777777" w:rsidR="00E659A5" w:rsidRDefault="00C21592">
            <w:pPr>
              <w:widowControl w:val="0"/>
              <w:autoSpaceDE w:val="0"/>
              <w:autoSpaceDN w:val="0"/>
              <w:spacing w:line="237" w:lineRule="exact"/>
              <w:rPr>
                <w:rFonts w:eastAsia="Calibri"/>
                <w:szCs w:val="24"/>
                <w:lang w:val="en-US"/>
              </w:rPr>
            </w:pPr>
            <w:r>
              <w:rPr>
                <w:rFonts w:eastAsia="Calibri"/>
                <w:szCs w:val="24"/>
                <w:lang w:val="en-US"/>
              </w:rPr>
              <w:t>Plućna embolija sa smrtnim ishodom ili bez smrtnog ishoda</w:t>
            </w:r>
          </w:p>
        </w:tc>
        <w:tc>
          <w:tcPr>
            <w:tcW w:w="1123" w:type="pct"/>
            <w:tcBorders>
              <w:bottom w:val="nil"/>
            </w:tcBorders>
            <w:shd w:val="clear" w:color="auto" w:fill="auto"/>
          </w:tcPr>
          <w:p w14:paraId="4B644FB6" w14:textId="77777777" w:rsidR="00E659A5" w:rsidRDefault="00C21592" w:rsidP="00C168EA">
            <w:pPr>
              <w:widowControl w:val="0"/>
              <w:autoSpaceDE w:val="0"/>
              <w:autoSpaceDN w:val="0"/>
              <w:spacing w:line="237" w:lineRule="exact"/>
              <w:ind w:left="106"/>
              <w:jc w:val="center"/>
              <w:rPr>
                <w:rFonts w:eastAsia="Calibri"/>
                <w:szCs w:val="24"/>
                <w:lang w:val="en-US"/>
              </w:rPr>
            </w:pPr>
            <w:r>
              <w:rPr>
                <w:rFonts w:eastAsia="Calibri"/>
                <w:w w:val="99"/>
                <w:szCs w:val="24"/>
                <w:lang w:val="en-US"/>
              </w:rPr>
              <w:t>1</w:t>
            </w:r>
          </w:p>
        </w:tc>
        <w:tc>
          <w:tcPr>
            <w:tcW w:w="1123" w:type="pct"/>
            <w:tcBorders>
              <w:bottom w:val="nil"/>
            </w:tcBorders>
            <w:shd w:val="clear" w:color="auto" w:fill="auto"/>
          </w:tcPr>
          <w:p w14:paraId="6252D1D5" w14:textId="77777777" w:rsidR="00E659A5" w:rsidRDefault="00C21592" w:rsidP="00C168EA">
            <w:pPr>
              <w:widowControl w:val="0"/>
              <w:autoSpaceDE w:val="0"/>
              <w:autoSpaceDN w:val="0"/>
              <w:spacing w:line="237" w:lineRule="exact"/>
              <w:ind w:left="106"/>
              <w:jc w:val="center"/>
              <w:rPr>
                <w:rFonts w:eastAsia="Calibri"/>
                <w:szCs w:val="24"/>
                <w:lang w:val="en-US"/>
              </w:rPr>
            </w:pPr>
            <w:r>
              <w:rPr>
                <w:rFonts w:eastAsia="Calibri"/>
                <w:w w:val="99"/>
                <w:szCs w:val="24"/>
                <w:lang w:val="en-US"/>
              </w:rPr>
              <w:t>1</w:t>
            </w:r>
          </w:p>
        </w:tc>
      </w:tr>
      <w:tr w:rsidR="00E659A5" w14:paraId="107D423A" w14:textId="77777777">
        <w:trPr>
          <w:trHeight w:val="252"/>
        </w:trPr>
        <w:tc>
          <w:tcPr>
            <w:tcW w:w="2754" w:type="pct"/>
            <w:tcBorders>
              <w:top w:val="nil"/>
              <w:bottom w:val="nil"/>
            </w:tcBorders>
            <w:shd w:val="clear" w:color="auto" w:fill="auto"/>
          </w:tcPr>
          <w:p w14:paraId="6645DBE0" w14:textId="77777777" w:rsidR="00E659A5" w:rsidRDefault="00E659A5">
            <w:pPr>
              <w:widowControl w:val="0"/>
              <w:autoSpaceDE w:val="0"/>
              <w:autoSpaceDN w:val="0"/>
              <w:rPr>
                <w:rFonts w:eastAsia="Calibri"/>
                <w:szCs w:val="24"/>
                <w:lang w:val="en-US"/>
              </w:rPr>
            </w:pPr>
          </w:p>
        </w:tc>
        <w:tc>
          <w:tcPr>
            <w:tcW w:w="1123" w:type="pct"/>
            <w:tcBorders>
              <w:top w:val="nil"/>
              <w:bottom w:val="nil"/>
            </w:tcBorders>
            <w:shd w:val="clear" w:color="auto" w:fill="auto"/>
          </w:tcPr>
          <w:p w14:paraId="21110F59" w14:textId="77777777" w:rsidR="00E659A5" w:rsidRDefault="00C21592" w:rsidP="00C168EA">
            <w:pPr>
              <w:widowControl w:val="0"/>
              <w:autoSpaceDE w:val="0"/>
              <w:autoSpaceDN w:val="0"/>
              <w:spacing w:line="233" w:lineRule="exact"/>
              <w:ind w:left="106"/>
              <w:jc w:val="center"/>
              <w:rPr>
                <w:rFonts w:eastAsia="Calibri"/>
                <w:szCs w:val="24"/>
                <w:lang w:val="en-US"/>
              </w:rPr>
            </w:pPr>
            <w:r>
              <w:rPr>
                <w:rFonts w:eastAsia="Calibri"/>
                <w:szCs w:val="24"/>
                <w:lang w:val="en-US"/>
              </w:rPr>
              <w:t>(0.3%, 95% CI</w:t>
            </w:r>
          </w:p>
        </w:tc>
        <w:tc>
          <w:tcPr>
            <w:tcW w:w="1123" w:type="pct"/>
            <w:tcBorders>
              <w:top w:val="nil"/>
              <w:bottom w:val="nil"/>
            </w:tcBorders>
            <w:shd w:val="clear" w:color="auto" w:fill="auto"/>
          </w:tcPr>
          <w:p w14:paraId="26867D2F" w14:textId="77777777" w:rsidR="00E659A5" w:rsidRDefault="00C21592" w:rsidP="00C168EA">
            <w:pPr>
              <w:widowControl w:val="0"/>
              <w:autoSpaceDE w:val="0"/>
              <w:autoSpaceDN w:val="0"/>
              <w:spacing w:line="233" w:lineRule="exact"/>
              <w:ind w:left="106"/>
              <w:jc w:val="center"/>
              <w:rPr>
                <w:rFonts w:eastAsia="Calibri"/>
                <w:szCs w:val="24"/>
                <w:lang w:val="en-US"/>
              </w:rPr>
            </w:pPr>
            <w:r>
              <w:rPr>
                <w:rFonts w:eastAsia="Calibri"/>
                <w:szCs w:val="24"/>
                <w:lang w:val="en-US"/>
              </w:rPr>
              <w:t>(0.6%, 95% CI</w:t>
            </w:r>
          </w:p>
        </w:tc>
      </w:tr>
      <w:tr w:rsidR="00E659A5" w14:paraId="1936D32D" w14:textId="77777777">
        <w:trPr>
          <w:trHeight w:val="334"/>
        </w:trPr>
        <w:tc>
          <w:tcPr>
            <w:tcW w:w="2754" w:type="pct"/>
            <w:tcBorders>
              <w:top w:val="nil"/>
            </w:tcBorders>
            <w:shd w:val="clear" w:color="auto" w:fill="auto"/>
          </w:tcPr>
          <w:p w14:paraId="30626FDB" w14:textId="77777777" w:rsidR="00E659A5" w:rsidRDefault="00E659A5">
            <w:pPr>
              <w:widowControl w:val="0"/>
              <w:autoSpaceDE w:val="0"/>
              <w:autoSpaceDN w:val="0"/>
              <w:rPr>
                <w:rFonts w:eastAsia="Calibri"/>
                <w:szCs w:val="24"/>
                <w:lang w:val="en-US"/>
              </w:rPr>
            </w:pPr>
          </w:p>
        </w:tc>
        <w:tc>
          <w:tcPr>
            <w:tcW w:w="1123" w:type="pct"/>
            <w:tcBorders>
              <w:top w:val="nil"/>
            </w:tcBorders>
            <w:shd w:val="clear" w:color="auto" w:fill="auto"/>
          </w:tcPr>
          <w:p w14:paraId="4B69F4A8" w14:textId="77777777" w:rsidR="00E659A5" w:rsidRDefault="00C21592" w:rsidP="00C168EA">
            <w:pPr>
              <w:widowControl w:val="0"/>
              <w:autoSpaceDE w:val="0"/>
              <w:autoSpaceDN w:val="0"/>
              <w:spacing w:line="248" w:lineRule="exact"/>
              <w:ind w:left="106"/>
              <w:jc w:val="center"/>
              <w:rPr>
                <w:rFonts w:eastAsia="Calibri"/>
                <w:szCs w:val="24"/>
                <w:lang w:val="en-US"/>
              </w:rPr>
            </w:pPr>
            <w:r>
              <w:rPr>
                <w:rFonts w:eastAsia="Calibri"/>
                <w:szCs w:val="24"/>
                <w:lang w:val="en-US"/>
              </w:rPr>
              <w:t>0.0% – 1.6%)</w:t>
            </w:r>
          </w:p>
        </w:tc>
        <w:tc>
          <w:tcPr>
            <w:tcW w:w="1123" w:type="pct"/>
            <w:tcBorders>
              <w:top w:val="nil"/>
            </w:tcBorders>
            <w:shd w:val="clear" w:color="auto" w:fill="auto"/>
          </w:tcPr>
          <w:p w14:paraId="3ADBB18A" w14:textId="77777777" w:rsidR="00E659A5" w:rsidRDefault="00C21592" w:rsidP="00C168EA">
            <w:pPr>
              <w:widowControl w:val="0"/>
              <w:autoSpaceDE w:val="0"/>
              <w:autoSpaceDN w:val="0"/>
              <w:spacing w:line="248" w:lineRule="exact"/>
              <w:ind w:left="106"/>
              <w:jc w:val="center"/>
              <w:rPr>
                <w:rFonts w:eastAsia="Calibri"/>
                <w:szCs w:val="24"/>
                <w:lang w:val="en-US"/>
              </w:rPr>
            </w:pPr>
            <w:r>
              <w:rPr>
                <w:rFonts w:eastAsia="Calibri"/>
                <w:szCs w:val="24"/>
                <w:lang w:val="en-US"/>
              </w:rPr>
              <w:t>0.0% – 3.1%)</w:t>
            </w:r>
          </w:p>
        </w:tc>
      </w:tr>
    </w:tbl>
    <w:p w14:paraId="6750293B" w14:textId="77777777" w:rsidR="00E659A5" w:rsidRDefault="00C21592">
      <w:pPr>
        <w:widowControl w:val="0"/>
        <w:jc w:val="both"/>
        <w:rPr>
          <w:rFonts w:eastAsia="Calibri"/>
        </w:rPr>
      </w:pPr>
      <w:r>
        <w:rPr>
          <w:rFonts w:eastAsia="Calibri"/>
        </w:rPr>
        <w:t xml:space="preserve">* FAS= (engl. </w:t>
      </w:r>
      <w:r>
        <w:rPr>
          <w:rFonts w:eastAsia="Calibri"/>
          <w:i/>
          <w:iCs/>
        </w:rPr>
        <w:t>full analysis set</w:t>
      </w:r>
      <w:r>
        <w:rPr>
          <w:rFonts w:eastAsia="Calibri"/>
        </w:rPr>
        <w:t>) = analiza svih uključenih pacijenata, sva djeca koja su bila randomizovana</w:t>
      </w:r>
    </w:p>
    <w:p w14:paraId="094AAC01" w14:textId="77777777" w:rsidR="00E659A5" w:rsidRDefault="00E659A5">
      <w:pPr>
        <w:widowControl w:val="0"/>
        <w:jc w:val="both"/>
        <w:rPr>
          <w:rFonts w:eastAsia="Calibri"/>
        </w:rPr>
      </w:pPr>
    </w:p>
    <w:p w14:paraId="10B5679A" w14:textId="77777777" w:rsidR="00E659A5" w:rsidRDefault="00C21592" w:rsidP="00C168EA">
      <w:pPr>
        <w:widowControl w:val="0"/>
        <w:jc w:val="center"/>
        <w:rPr>
          <w:rFonts w:eastAsia="Calibri"/>
          <w:b/>
          <w:bCs/>
        </w:rPr>
      </w:pPr>
      <w:r>
        <w:rPr>
          <w:rFonts w:eastAsia="Calibri"/>
          <w:b/>
          <w:bCs/>
          <w:lang w:val="mk-MK"/>
        </w:rPr>
        <w:t>Tabela 12: Rezultati za bezb</w:t>
      </w:r>
      <w:r>
        <w:rPr>
          <w:rFonts w:eastAsia="Calibri"/>
          <w:b/>
          <w:bCs/>
          <w:lang w:val="sr-Latn-ME"/>
        </w:rPr>
        <w:t>j</w:t>
      </w:r>
      <w:r>
        <w:rPr>
          <w:rFonts w:eastAsia="Calibri"/>
          <w:b/>
          <w:bCs/>
          <w:lang w:val="mk-MK"/>
        </w:rPr>
        <w:t>ednost prim</w:t>
      </w:r>
      <w:r>
        <w:rPr>
          <w:rFonts w:eastAsia="Calibri"/>
          <w:b/>
          <w:bCs/>
          <w:lang w:val="sr-Latn-ME"/>
        </w:rPr>
        <w:t>j</w:t>
      </w:r>
      <w:r>
        <w:rPr>
          <w:rFonts w:eastAsia="Calibri"/>
          <w:b/>
          <w:bCs/>
          <w:lang w:val="mk-MK"/>
        </w:rPr>
        <w:t>ene na kraju glavnog perioda l</w:t>
      </w:r>
      <w:r>
        <w:rPr>
          <w:rFonts w:eastAsia="Calibri"/>
          <w:b/>
          <w:bCs/>
          <w:lang w:val="sr-Latn-ME"/>
        </w:rPr>
        <w:t>ij</w:t>
      </w:r>
      <w:r>
        <w:rPr>
          <w:rFonts w:eastAsia="Calibri"/>
          <w:b/>
          <w:bCs/>
          <w:lang w:val="mk-MK"/>
        </w:rPr>
        <w:t>ečenja</w:t>
      </w:r>
    </w:p>
    <w:tbl>
      <w:tblPr>
        <w:tblW w:w="5000" w:type="pct"/>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CellMar>
          <w:left w:w="0" w:type="dxa"/>
          <w:right w:w="0" w:type="dxa"/>
        </w:tblCellMar>
        <w:tblLook w:val="01E0" w:firstRow="1" w:lastRow="1" w:firstColumn="1" w:lastColumn="1" w:noHBand="0" w:noVBand="0"/>
      </w:tblPr>
      <w:tblGrid>
        <w:gridCol w:w="4991"/>
        <w:gridCol w:w="2035"/>
        <w:gridCol w:w="2035"/>
      </w:tblGrid>
      <w:tr w:rsidR="00E659A5" w14:paraId="2B3046AE" w14:textId="77777777">
        <w:trPr>
          <w:trHeight w:val="506"/>
        </w:trPr>
        <w:tc>
          <w:tcPr>
            <w:tcW w:w="2754" w:type="pct"/>
            <w:shd w:val="clear" w:color="auto" w:fill="auto"/>
          </w:tcPr>
          <w:p w14:paraId="1A542C21" w14:textId="77777777" w:rsidR="00E659A5" w:rsidRDefault="00E659A5">
            <w:pPr>
              <w:widowControl w:val="0"/>
              <w:autoSpaceDE w:val="0"/>
              <w:autoSpaceDN w:val="0"/>
              <w:rPr>
                <w:rFonts w:eastAsia="Calibri"/>
                <w:szCs w:val="24"/>
                <w:lang w:val="en-US"/>
              </w:rPr>
            </w:pPr>
          </w:p>
        </w:tc>
        <w:tc>
          <w:tcPr>
            <w:tcW w:w="1123" w:type="pct"/>
            <w:shd w:val="clear" w:color="auto" w:fill="auto"/>
          </w:tcPr>
          <w:p w14:paraId="2A2DB5C5" w14:textId="77777777" w:rsidR="00E659A5" w:rsidRDefault="00C21592" w:rsidP="00C168EA">
            <w:pPr>
              <w:widowControl w:val="0"/>
              <w:autoSpaceDE w:val="0"/>
              <w:autoSpaceDN w:val="0"/>
              <w:spacing w:before="2" w:line="254" w:lineRule="exact"/>
              <w:ind w:left="106"/>
              <w:jc w:val="center"/>
              <w:rPr>
                <w:rFonts w:eastAsia="Calibri"/>
                <w:b/>
                <w:szCs w:val="24"/>
                <w:lang w:val="en-US"/>
              </w:rPr>
            </w:pPr>
            <w:r>
              <w:rPr>
                <w:rFonts w:eastAsia="Calibri"/>
                <w:b/>
                <w:szCs w:val="24"/>
                <w:lang w:val="en-US"/>
              </w:rPr>
              <w:t>Rivaroksaban N=329*</w:t>
            </w:r>
          </w:p>
        </w:tc>
        <w:tc>
          <w:tcPr>
            <w:tcW w:w="1123" w:type="pct"/>
            <w:shd w:val="clear" w:color="auto" w:fill="auto"/>
          </w:tcPr>
          <w:p w14:paraId="36A320DB" w14:textId="77777777" w:rsidR="00E659A5" w:rsidRDefault="00C21592" w:rsidP="00C168EA">
            <w:pPr>
              <w:widowControl w:val="0"/>
              <w:autoSpaceDE w:val="0"/>
              <w:autoSpaceDN w:val="0"/>
              <w:spacing w:before="2" w:line="254" w:lineRule="exact"/>
              <w:ind w:left="106"/>
              <w:jc w:val="center"/>
              <w:rPr>
                <w:rFonts w:eastAsia="Calibri"/>
                <w:b/>
                <w:szCs w:val="24"/>
                <w:lang w:val="en-US"/>
              </w:rPr>
            </w:pPr>
            <w:r>
              <w:rPr>
                <w:rFonts w:eastAsia="Calibri"/>
                <w:b/>
                <w:szCs w:val="24"/>
                <w:lang w:val="en-US"/>
              </w:rPr>
              <w:t>Komparator N=162*</w:t>
            </w:r>
          </w:p>
        </w:tc>
      </w:tr>
      <w:tr w:rsidR="00E659A5" w14:paraId="742E8019" w14:textId="77777777">
        <w:trPr>
          <w:trHeight w:val="755"/>
        </w:trPr>
        <w:tc>
          <w:tcPr>
            <w:tcW w:w="2754" w:type="pct"/>
            <w:shd w:val="clear" w:color="auto" w:fill="auto"/>
          </w:tcPr>
          <w:p w14:paraId="761441DF" w14:textId="77777777" w:rsidR="00E659A5" w:rsidRDefault="00C21592">
            <w:pPr>
              <w:widowControl w:val="0"/>
              <w:autoSpaceDE w:val="0"/>
              <w:autoSpaceDN w:val="0"/>
              <w:ind w:left="107"/>
              <w:rPr>
                <w:rFonts w:eastAsia="Calibri"/>
                <w:szCs w:val="24"/>
                <w:lang w:val="en-US"/>
              </w:rPr>
            </w:pPr>
            <w:r>
              <w:rPr>
                <w:rFonts w:eastAsia="Calibri"/>
                <w:szCs w:val="24"/>
                <w:lang w:val="mk-MK"/>
              </w:rPr>
              <w:t>Kompozitna mera: obilno krvarenje + CRNMB</w:t>
            </w:r>
            <w:r>
              <w:rPr>
                <w:rFonts w:eastAsia="Calibri"/>
                <w:szCs w:val="24"/>
                <w:lang w:val="en-US"/>
              </w:rPr>
              <w:t xml:space="preserve"> (primarni ishod bezbjednosti primjene)</w:t>
            </w:r>
          </w:p>
        </w:tc>
        <w:tc>
          <w:tcPr>
            <w:tcW w:w="1123" w:type="pct"/>
            <w:shd w:val="clear" w:color="auto" w:fill="auto"/>
          </w:tcPr>
          <w:p w14:paraId="022FFEDA" w14:textId="77777777" w:rsidR="00E659A5" w:rsidRDefault="00C21592" w:rsidP="00C168EA">
            <w:pPr>
              <w:widowControl w:val="0"/>
              <w:autoSpaceDE w:val="0"/>
              <w:autoSpaceDN w:val="0"/>
              <w:spacing w:line="249" w:lineRule="exact"/>
              <w:ind w:left="106"/>
              <w:jc w:val="center"/>
              <w:rPr>
                <w:rFonts w:eastAsia="Calibri"/>
                <w:szCs w:val="24"/>
                <w:lang w:val="en-US"/>
              </w:rPr>
            </w:pPr>
            <w:r>
              <w:rPr>
                <w:rFonts w:eastAsia="Calibri"/>
                <w:szCs w:val="24"/>
                <w:lang w:val="en-US"/>
              </w:rPr>
              <w:t>10</w:t>
            </w:r>
          </w:p>
          <w:p w14:paraId="0650A7F9" w14:textId="77777777" w:rsidR="00E659A5" w:rsidRDefault="00C21592" w:rsidP="00C168EA">
            <w:pPr>
              <w:widowControl w:val="0"/>
              <w:autoSpaceDE w:val="0"/>
              <w:autoSpaceDN w:val="0"/>
              <w:ind w:left="106"/>
              <w:jc w:val="center"/>
              <w:rPr>
                <w:rFonts w:eastAsia="Calibri"/>
                <w:szCs w:val="24"/>
                <w:lang w:val="en-US"/>
              </w:rPr>
            </w:pPr>
            <w:r>
              <w:rPr>
                <w:rFonts w:eastAsia="Calibri"/>
                <w:szCs w:val="24"/>
                <w:lang w:val="en-US"/>
              </w:rPr>
              <w:t>(3.0%, 95% CI</w:t>
            </w:r>
          </w:p>
          <w:p w14:paraId="5F48A677" w14:textId="77777777" w:rsidR="00E659A5" w:rsidRDefault="00C21592" w:rsidP="00C168EA">
            <w:pPr>
              <w:widowControl w:val="0"/>
              <w:autoSpaceDE w:val="0"/>
              <w:autoSpaceDN w:val="0"/>
              <w:spacing w:line="233" w:lineRule="exact"/>
              <w:ind w:left="106"/>
              <w:jc w:val="center"/>
              <w:rPr>
                <w:rFonts w:eastAsia="Calibri"/>
                <w:szCs w:val="24"/>
                <w:lang w:val="en-US"/>
              </w:rPr>
            </w:pPr>
            <w:r>
              <w:rPr>
                <w:rFonts w:eastAsia="Calibri"/>
                <w:szCs w:val="24"/>
                <w:lang w:val="en-US"/>
              </w:rPr>
              <w:t>1.6% - 5.5%)</w:t>
            </w:r>
          </w:p>
        </w:tc>
        <w:tc>
          <w:tcPr>
            <w:tcW w:w="1123" w:type="pct"/>
            <w:shd w:val="clear" w:color="auto" w:fill="auto"/>
          </w:tcPr>
          <w:p w14:paraId="01271E1C" w14:textId="77777777" w:rsidR="00E659A5" w:rsidRDefault="00C21592" w:rsidP="00C168EA">
            <w:pPr>
              <w:widowControl w:val="0"/>
              <w:autoSpaceDE w:val="0"/>
              <w:autoSpaceDN w:val="0"/>
              <w:spacing w:line="249" w:lineRule="exact"/>
              <w:ind w:left="106"/>
              <w:jc w:val="center"/>
              <w:rPr>
                <w:rFonts w:eastAsia="Calibri"/>
                <w:szCs w:val="24"/>
                <w:lang w:val="en-US"/>
              </w:rPr>
            </w:pPr>
            <w:r>
              <w:rPr>
                <w:rFonts w:eastAsia="Calibri"/>
                <w:w w:val="99"/>
                <w:szCs w:val="24"/>
                <w:lang w:val="en-US"/>
              </w:rPr>
              <w:t>3</w:t>
            </w:r>
          </w:p>
          <w:p w14:paraId="54BAB82A" w14:textId="77777777" w:rsidR="00E659A5" w:rsidRDefault="00C21592" w:rsidP="00C168EA">
            <w:pPr>
              <w:widowControl w:val="0"/>
              <w:autoSpaceDE w:val="0"/>
              <w:autoSpaceDN w:val="0"/>
              <w:ind w:left="106"/>
              <w:jc w:val="center"/>
              <w:rPr>
                <w:rFonts w:eastAsia="Calibri"/>
                <w:szCs w:val="24"/>
                <w:lang w:val="en-US"/>
              </w:rPr>
            </w:pPr>
            <w:r>
              <w:rPr>
                <w:rFonts w:eastAsia="Calibri"/>
                <w:szCs w:val="24"/>
                <w:lang w:val="en-US"/>
              </w:rPr>
              <w:t>(1.9%, 95% CI</w:t>
            </w:r>
          </w:p>
          <w:p w14:paraId="1A38129B" w14:textId="77777777" w:rsidR="00E659A5" w:rsidRDefault="00C21592" w:rsidP="00C168EA">
            <w:pPr>
              <w:widowControl w:val="0"/>
              <w:autoSpaceDE w:val="0"/>
              <w:autoSpaceDN w:val="0"/>
              <w:spacing w:line="233" w:lineRule="exact"/>
              <w:ind w:left="106"/>
              <w:jc w:val="center"/>
              <w:rPr>
                <w:rFonts w:eastAsia="Calibri"/>
                <w:szCs w:val="24"/>
                <w:lang w:val="en-US"/>
              </w:rPr>
            </w:pPr>
            <w:r>
              <w:rPr>
                <w:rFonts w:eastAsia="Calibri"/>
                <w:szCs w:val="24"/>
                <w:lang w:val="en-US"/>
              </w:rPr>
              <w:t>0.5% - 5.3%)</w:t>
            </w:r>
          </w:p>
        </w:tc>
      </w:tr>
      <w:tr w:rsidR="00E659A5" w14:paraId="3EDF65C0" w14:textId="77777777">
        <w:trPr>
          <w:trHeight w:val="758"/>
        </w:trPr>
        <w:tc>
          <w:tcPr>
            <w:tcW w:w="2754" w:type="pct"/>
            <w:shd w:val="clear" w:color="auto" w:fill="auto"/>
          </w:tcPr>
          <w:p w14:paraId="36F53D56" w14:textId="77777777" w:rsidR="00E659A5" w:rsidRDefault="00C21592">
            <w:pPr>
              <w:widowControl w:val="0"/>
              <w:autoSpaceDE w:val="0"/>
              <w:autoSpaceDN w:val="0"/>
              <w:spacing w:line="253" w:lineRule="exact"/>
              <w:ind w:left="107"/>
              <w:rPr>
                <w:rFonts w:eastAsia="Calibri"/>
                <w:szCs w:val="24"/>
                <w:lang w:val="en-US"/>
              </w:rPr>
            </w:pPr>
            <w:r>
              <w:rPr>
                <w:rFonts w:eastAsia="Calibri"/>
                <w:szCs w:val="24"/>
                <w:lang w:val="mk-MK"/>
              </w:rPr>
              <w:t>Veliko krvarenje</w:t>
            </w:r>
          </w:p>
        </w:tc>
        <w:tc>
          <w:tcPr>
            <w:tcW w:w="1123" w:type="pct"/>
            <w:shd w:val="clear" w:color="auto" w:fill="auto"/>
          </w:tcPr>
          <w:p w14:paraId="793EE8A0" w14:textId="77777777" w:rsidR="00E659A5" w:rsidRDefault="00C21592" w:rsidP="00C168EA">
            <w:pPr>
              <w:widowControl w:val="0"/>
              <w:autoSpaceDE w:val="0"/>
              <w:autoSpaceDN w:val="0"/>
              <w:spacing w:line="253" w:lineRule="exact"/>
              <w:ind w:left="106"/>
              <w:jc w:val="center"/>
              <w:rPr>
                <w:rFonts w:eastAsia="Calibri"/>
                <w:szCs w:val="24"/>
                <w:lang w:val="en-US"/>
              </w:rPr>
            </w:pPr>
            <w:r>
              <w:rPr>
                <w:rFonts w:eastAsia="Calibri"/>
                <w:w w:val="99"/>
                <w:szCs w:val="24"/>
                <w:lang w:val="en-US"/>
              </w:rPr>
              <w:t>0</w:t>
            </w:r>
          </w:p>
          <w:p w14:paraId="7D6F40E6" w14:textId="77777777" w:rsidR="00E659A5" w:rsidRDefault="00C21592" w:rsidP="00C168EA">
            <w:pPr>
              <w:widowControl w:val="0"/>
              <w:autoSpaceDE w:val="0"/>
              <w:autoSpaceDN w:val="0"/>
              <w:spacing w:line="252" w:lineRule="exact"/>
              <w:ind w:left="106"/>
              <w:jc w:val="center"/>
              <w:rPr>
                <w:rFonts w:eastAsia="Calibri"/>
                <w:szCs w:val="24"/>
                <w:lang w:val="en-US"/>
              </w:rPr>
            </w:pPr>
            <w:r>
              <w:rPr>
                <w:rFonts w:eastAsia="Calibri"/>
                <w:szCs w:val="24"/>
                <w:lang w:val="en-US"/>
              </w:rPr>
              <w:t>(0.0%, 95% CI</w:t>
            </w:r>
          </w:p>
          <w:p w14:paraId="3019C4A5" w14:textId="77777777" w:rsidR="00E659A5" w:rsidRDefault="00C21592" w:rsidP="00C168EA">
            <w:pPr>
              <w:widowControl w:val="0"/>
              <w:autoSpaceDE w:val="0"/>
              <w:autoSpaceDN w:val="0"/>
              <w:spacing w:line="233" w:lineRule="exact"/>
              <w:ind w:left="106"/>
              <w:jc w:val="center"/>
              <w:rPr>
                <w:rFonts w:eastAsia="Calibri"/>
                <w:szCs w:val="24"/>
                <w:lang w:val="en-US"/>
              </w:rPr>
            </w:pPr>
            <w:r>
              <w:rPr>
                <w:rFonts w:eastAsia="Calibri"/>
                <w:szCs w:val="24"/>
                <w:lang w:val="en-US"/>
              </w:rPr>
              <w:t>0.0% - 1.1%)</w:t>
            </w:r>
          </w:p>
        </w:tc>
        <w:tc>
          <w:tcPr>
            <w:tcW w:w="1123" w:type="pct"/>
            <w:shd w:val="clear" w:color="auto" w:fill="auto"/>
          </w:tcPr>
          <w:p w14:paraId="6799C8FA" w14:textId="77777777" w:rsidR="00E659A5" w:rsidRDefault="00C21592" w:rsidP="00C168EA">
            <w:pPr>
              <w:widowControl w:val="0"/>
              <w:autoSpaceDE w:val="0"/>
              <w:autoSpaceDN w:val="0"/>
              <w:spacing w:line="253" w:lineRule="exact"/>
              <w:ind w:left="106"/>
              <w:jc w:val="center"/>
              <w:rPr>
                <w:rFonts w:eastAsia="Calibri"/>
                <w:szCs w:val="24"/>
                <w:lang w:val="en-US"/>
              </w:rPr>
            </w:pPr>
            <w:r>
              <w:rPr>
                <w:rFonts w:eastAsia="Calibri"/>
                <w:w w:val="99"/>
                <w:szCs w:val="24"/>
                <w:lang w:val="en-US"/>
              </w:rPr>
              <w:t>2</w:t>
            </w:r>
          </w:p>
          <w:p w14:paraId="11C01343" w14:textId="77777777" w:rsidR="00E659A5" w:rsidRDefault="00C21592" w:rsidP="00C168EA">
            <w:pPr>
              <w:widowControl w:val="0"/>
              <w:autoSpaceDE w:val="0"/>
              <w:autoSpaceDN w:val="0"/>
              <w:spacing w:line="252" w:lineRule="exact"/>
              <w:ind w:left="106"/>
              <w:jc w:val="center"/>
              <w:rPr>
                <w:rFonts w:eastAsia="Calibri"/>
                <w:szCs w:val="24"/>
                <w:lang w:val="en-US"/>
              </w:rPr>
            </w:pPr>
            <w:r>
              <w:rPr>
                <w:rFonts w:eastAsia="Calibri"/>
                <w:szCs w:val="24"/>
                <w:lang w:val="en-US"/>
              </w:rPr>
              <w:t>(1.2%, 95% CI</w:t>
            </w:r>
          </w:p>
          <w:p w14:paraId="10AFAF29" w14:textId="77777777" w:rsidR="00E659A5" w:rsidRDefault="00C21592" w:rsidP="00C168EA">
            <w:pPr>
              <w:widowControl w:val="0"/>
              <w:autoSpaceDE w:val="0"/>
              <w:autoSpaceDN w:val="0"/>
              <w:spacing w:line="233" w:lineRule="exact"/>
              <w:ind w:left="106"/>
              <w:jc w:val="center"/>
              <w:rPr>
                <w:rFonts w:eastAsia="Calibri"/>
                <w:szCs w:val="24"/>
                <w:lang w:val="en-US"/>
              </w:rPr>
            </w:pPr>
            <w:r>
              <w:rPr>
                <w:rFonts w:eastAsia="Calibri"/>
                <w:szCs w:val="24"/>
                <w:lang w:val="en-US"/>
              </w:rPr>
              <w:t>0.2% - 4.3%)</w:t>
            </w:r>
          </w:p>
        </w:tc>
      </w:tr>
      <w:tr w:rsidR="00E659A5" w14:paraId="6B2F1794" w14:textId="77777777">
        <w:trPr>
          <w:trHeight w:val="252"/>
        </w:trPr>
        <w:tc>
          <w:tcPr>
            <w:tcW w:w="2754" w:type="pct"/>
            <w:shd w:val="clear" w:color="auto" w:fill="auto"/>
          </w:tcPr>
          <w:p w14:paraId="1B4F56E3" w14:textId="77777777" w:rsidR="00E659A5" w:rsidRDefault="00C21592">
            <w:pPr>
              <w:widowControl w:val="0"/>
              <w:autoSpaceDE w:val="0"/>
              <w:autoSpaceDN w:val="0"/>
              <w:spacing w:line="233" w:lineRule="exact"/>
              <w:ind w:left="107"/>
              <w:rPr>
                <w:rFonts w:eastAsia="Calibri"/>
                <w:szCs w:val="24"/>
                <w:lang w:val="en-US"/>
              </w:rPr>
            </w:pPr>
            <w:r>
              <w:rPr>
                <w:rFonts w:eastAsia="Calibri"/>
                <w:szCs w:val="24"/>
                <w:lang w:val="mk-MK"/>
              </w:rPr>
              <w:t>Bilo koje krvarenje nastalo tokom l</w:t>
            </w:r>
            <w:r>
              <w:rPr>
                <w:rFonts w:eastAsia="Calibri"/>
                <w:szCs w:val="24"/>
                <w:lang w:val="sr-Latn-ME"/>
              </w:rPr>
              <w:t>ij</w:t>
            </w:r>
            <w:r>
              <w:rPr>
                <w:rFonts w:eastAsia="Calibri"/>
                <w:szCs w:val="24"/>
                <w:lang w:val="mk-MK"/>
              </w:rPr>
              <w:t>e</w:t>
            </w:r>
            <w:r>
              <w:rPr>
                <w:rFonts w:eastAsia="Calibri" w:hint="eastAsia"/>
                <w:szCs w:val="24"/>
                <w:lang w:val="mk-MK"/>
              </w:rPr>
              <w:t>č</w:t>
            </w:r>
            <w:r>
              <w:rPr>
                <w:rFonts w:eastAsia="Calibri"/>
                <w:szCs w:val="24"/>
                <w:lang w:val="mk-MK"/>
              </w:rPr>
              <w:t>enja</w:t>
            </w:r>
          </w:p>
        </w:tc>
        <w:tc>
          <w:tcPr>
            <w:tcW w:w="1123" w:type="pct"/>
            <w:shd w:val="clear" w:color="auto" w:fill="auto"/>
          </w:tcPr>
          <w:p w14:paraId="4DC4F7AA" w14:textId="77777777" w:rsidR="00E659A5" w:rsidRDefault="00C21592" w:rsidP="00C168EA">
            <w:pPr>
              <w:widowControl w:val="0"/>
              <w:autoSpaceDE w:val="0"/>
              <w:autoSpaceDN w:val="0"/>
              <w:spacing w:line="233" w:lineRule="exact"/>
              <w:ind w:left="106"/>
              <w:jc w:val="center"/>
              <w:rPr>
                <w:rFonts w:eastAsia="Calibri"/>
                <w:szCs w:val="24"/>
                <w:lang w:val="en-US"/>
              </w:rPr>
            </w:pPr>
            <w:r>
              <w:rPr>
                <w:rFonts w:eastAsia="Calibri"/>
                <w:szCs w:val="24"/>
                <w:lang w:val="en-US"/>
              </w:rPr>
              <w:t>119 (36.2%)</w:t>
            </w:r>
          </w:p>
        </w:tc>
        <w:tc>
          <w:tcPr>
            <w:tcW w:w="1123" w:type="pct"/>
            <w:shd w:val="clear" w:color="auto" w:fill="auto"/>
          </w:tcPr>
          <w:p w14:paraId="185E0D40" w14:textId="77777777" w:rsidR="00E659A5" w:rsidRDefault="00C21592" w:rsidP="00C168EA">
            <w:pPr>
              <w:widowControl w:val="0"/>
              <w:autoSpaceDE w:val="0"/>
              <w:autoSpaceDN w:val="0"/>
              <w:spacing w:line="233" w:lineRule="exact"/>
              <w:ind w:left="106"/>
              <w:jc w:val="center"/>
              <w:rPr>
                <w:rFonts w:eastAsia="Calibri"/>
                <w:szCs w:val="24"/>
                <w:lang w:val="en-US"/>
              </w:rPr>
            </w:pPr>
            <w:r>
              <w:rPr>
                <w:rFonts w:eastAsia="Calibri"/>
                <w:szCs w:val="24"/>
                <w:lang w:val="en-US"/>
              </w:rPr>
              <w:t>45 (27.8%)</w:t>
            </w:r>
          </w:p>
        </w:tc>
      </w:tr>
    </w:tbl>
    <w:p w14:paraId="08A885F9" w14:textId="77777777" w:rsidR="00E659A5" w:rsidRDefault="00C21592">
      <w:pPr>
        <w:widowControl w:val="0"/>
        <w:jc w:val="both"/>
        <w:rPr>
          <w:rFonts w:eastAsia="Calibri"/>
          <w:lang w:val="mk-MK"/>
        </w:rPr>
      </w:pPr>
      <w:r>
        <w:rPr>
          <w:rFonts w:eastAsia="Calibri"/>
        </w:rPr>
        <w:t xml:space="preserve">* </w:t>
      </w:r>
      <w:r>
        <w:rPr>
          <w:rFonts w:eastAsia="Calibri"/>
          <w:lang w:val="mk-MK"/>
        </w:rPr>
        <w:t xml:space="preserve">SAF (engl. </w:t>
      </w:r>
      <w:r>
        <w:rPr>
          <w:rFonts w:eastAsia="Calibri"/>
          <w:i/>
          <w:iCs/>
          <w:lang w:val="mk-MK"/>
        </w:rPr>
        <w:t>Safety Analysis Set</w:t>
      </w:r>
      <w:r>
        <w:rPr>
          <w:rFonts w:eastAsia="Calibri"/>
          <w:lang w:val="mk-MK"/>
        </w:rPr>
        <w:t>) = skup podataka za analizu bezb</w:t>
      </w:r>
      <w:r>
        <w:rPr>
          <w:rFonts w:eastAsia="Calibri"/>
          <w:lang w:val="sr-Latn-ME"/>
        </w:rPr>
        <w:t>j</w:t>
      </w:r>
      <w:r>
        <w:rPr>
          <w:rFonts w:eastAsia="Calibri"/>
          <w:lang w:val="mk-MK"/>
        </w:rPr>
        <w:t>ednosti prim</w:t>
      </w:r>
      <w:r>
        <w:rPr>
          <w:rFonts w:eastAsia="Calibri"/>
          <w:lang w:val="sr-Latn-ME"/>
        </w:rPr>
        <w:t>j</w:t>
      </w:r>
      <w:r>
        <w:rPr>
          <w:rFonts w:eastAsia="Calibri"/>
          <w:lang w:val="mk-MK"/>
        </w:rPr>
        <w:t>ene, sva d</w:t>
      </w:r>
      <w:r>
        <w:rPr>
          <w:rFonts w:eastAsia="Calibri"/>
          <w:lang w:val="sr-Latn-ME"/>
        </w:rPr>
        <w:t>j</w:t>
      </w:r>
      <w:r>
        <w:rPr>
          <w:rFonts w:eastAsia="Calibri"/>
          <w:lang w:val="mk-MK"/>
        </w:rPr>
        <w:t>eca koja su bila</w:t>
      </w:r>
      <w:r>
        <w:rPr>
          <w:rFonts w:eastAsia="Calibri"/>
          <w:lang w:val="sr-Latn-ME"/>
        </w:rPr>
        <w:t xml:space="preserve"> </w:t>
      </w:r>
      <w:r>
        <w:rPr>
          <w:rFonts w:eastAsia="Calibri"/>
          <w:lang w:val="mk-MK"/>
        </w:rPr>
        <w:t>randomizovana i primila najmanje 1 dozu ispitivanog l</w:t>
      </w:r>
      <w:r>
        <w:rPr>
          <w:rFonts w:eastAsia="Calibri"/>
          <w:lang w:val="sr-Latn-ME"/>
        </w:rPr>
        <w:t>ij</w:t>
      </w:r>
      <w:r>
        <w:rPr>
          <w:rFonts w:eastAsia="Calibri"/>
          <w:lang w:val="mk-MK"/>
        </w:rPr>
        <w:t>eka</w:t>
      </w:r>
    </w:p>
    <w:p w14:paraId="44286903" w14:textId="77777777" w:rsidR="00E659A5" w:rsidRDefault="00E659A5">
      <w:pPr>
        <w:widowControl w:val="0"/>
        <w:jc w:val="both"/>
        <w:rPr>
          <w:rFonts w:eastAsia="Calibri"/>
        </w:rPr>
      </w:pPr>
    </w:p>
    <w:p w14:paraId="6D2F45B5" w14:textId="12498487" w:rsidR="00E659A5" w:rsidRDefault="00C21592">
      <w:pPr>
        <w:widowControl w:val="0"/>
        <w:jc w:val="both"/>
        <w:rPr>
          <w:rFonts w:eastAsia="Calibri"/>
          <w:lang w:val="mk-MK"/>
        </w:rPr>
      </w:pPr>
      <w:r>
        <w:rPr>
          <w:rFonts w:eastAsia="Calibri"/>
          <w:lang w:val="mk-MK"/>
        </w:rPr>
        <w:t>Profil efikasnosti i bezb</w:t>
      </w:r>
      <w:r>
        <w:rPr>
          <w:rFonts w:eastAsia="Calibri"/>
          <w:lang w:val="sr-Latn-ME"/>
        </w:rPr>
        <w:t>j</w:t>
      </w:r>
      <w:r>
        <w:rPr>
          <w:rFonts w:eastAsia="Calibri"/>
          <w:lang w:val="mk-MK"/>
        </w:rPr>
        <w:t>ednosti prim</w:t>
      </w:r>
      <w:r>
        <w:rPr>
          <w:rFonts w:eastAsia="Calibri"/>
          <w:lang w:val="sr-Latn-ME"/>
        </w:rPr>
        <w:t>j</w:t>
      </w:r>
      <w:r>
        <w:rPr>
          <w:rFonts w:eastAsia="Calibri"/>
          <w:lang w:val="mk-MK"/>
        </w:rPr>
        <w:t>ene rivaroksabana u pedijatrijskoj populaciji sa VTE bio je</w:t>
      </w:r>
      <w:r w:rsidR="000138F2">
        <w:rPr>
          <w:rFonts w:eastAsia="Calibri"/>
          <w:lang w:val="sr-Latn-ME"/>
        </w:rPr>
        <w:t xml:space="preserve"> </w:t>
      </w:r>
      <w:r>
        <w:rPr>
          <w:rFonts w:eastAsia="Calibri"/>
          <w:lang w:val="mk-MK"/>
        </w:rPr>
        <w:t>uglavnom sli</w:t>
      </w:r>
      <w:r>
        <w:rPr>
          <w:rFonts w:eastAsia="Calibri" w:hint="eastAsia"/>
          <w:lang w:val="mk-MK"/>
        </w:rPr>
        <w:t>č</w:t>
      </w:r>
      <w:r>
        <w:rPr>
          <w:rFonts w:eastAsia="Calibri"/>
          <w:lang w:val="mk-MK"/>
        </w:rPr>
        <w:t>an onome u odrasloj populaciji sa TDV/PE, me</w:t>
      </w:r>
      <w:r>
        <w:rPr>
          <w:rFonts w:eastAsia="Calibri" w:hint="eastAsia"/>
          <w:lang w:val="mk-MK"/>
        </w:rPr>
        <w:t>đ</w:t>
      </w:r>
      <w:r>
        <w:rPr>
          <w:rFonts w:eastAsia="Calibri"/>
          <w:lang w:val="mk-MK"/>
        </w:rPr>
        <w:t xml:space="preserve">utim, </w:t>
      </w:r>
      <w:r>
        <w:rPr>
          <w:rFonts w:eastAsia="Calibri"/>
          <w:lang w:val="sr-Latn-ME"/>
        </w:rPr>
        <w:t>jedan dio</w:t>
      </w:r>
      <w:r>
        <w:rPr>
          <w:rFonts w:eastAsia="Calibri"/>
          <w:lang w:val="mk-MK"/>
        </w:rPr>
        <w:t xml:space="preserve"> ispitanika sa bilo kojim</w:t>
      </w:r>
      <w:r w:rsidR="000138F2">
        <w:rPr>
          <w:rFonts w:eastAsia="Calibri"/>
          <w:lang w:val="sr-Latn-ME"/>
        </w:rPr>
        <w:t xml:space="preserve"> </w:t>
      </w:r>
      <w:r>
        <w:rPr>
          <w:rFonts w:eastAsia="Calibri"/>
          <w:lang w:val="mk-MK"/>
        </w:rPr>
        <w:t>krvarenjem bio je ve</w:t>
      </w:r>
      <w:r>
        <w:rPr>
          <w:rFonts w:eastAsia="Calibri" w:hint="eastAsia"/>
          <w:lang w:val="mk-MK"/>
        </w:rPr>
        <w:t>ć</w:t>
      </w:r>
      <w:r>
        <w:rPr>
          <w:rFonts w:eastAsia="Calibri"/>
          <w:lang w:val="mk-MK"/>
        </w:rPr>
        <w:t>i u pedijatrijskoj populaciji sa VTE, u pore</w:t>
      </w:r>
      <w:r>
        <w:rPr>
          <w:rFonts w:eastAsia="Calibri" w:hint="eastAsia"/>
          <w:lang w:val="mk-MK"/>
        </w:rPr>
        <w:t>đ</w:t>
      </w:r>
      <w:r>
        <w:rPr>
          <w:rFonts w:eastAsia="Calibri"/>
          <w:lang w:val="mk-MK"/>
        </w:rPr>
        <w:t>enju sa odraslom populacijom sa</w:t>
      </w:r>
      <w:r w:rsidR="000138F2">
        <w:rPr>
          <w:rFonts w:eastAsia="Calibri"/>
          <w:lang w:val="sr-Latn-ME"/>
        </w:rPr>
        <w:t xml:space="preserve"> </w:t>
      </w:r>
      <w:r>
        <w:rPr>
          <w:rFonts w:eastAsia="Calibri"/>
          <w:lang w:val="mk-MK"/>
        </w:rPr>
        <w:t>TDV/PE.</w:t>
      </w:r>
    </w:p>
    <w:p w14:paraId="49922531" w14:textId="77777777" w:rsidR="00E659A5" w:rsidRDefault="00E659A5">
      <w:pPr>
        <w:widowControl w:val="0"/>
        <w:jc w:val="both"/>
        <w:rPr>
          <w:rFonts w:eastAsia="Calibri"/>
        </w:rPr>
      </w:pPr>
    </w:p>
    <w:p w14:paraId="06A9AD22" w14:textId="77777777" w:rsidR="00E659A5" w:rsidRDefault="00C21592">
      <w:pPr>
        <w:pStyle w:val="Default"/>
        <w:jc w:val="both"/>
        <w:rPr>
          <w:sz w:val="22"/>
          <w:szCs w:val="22"/>
          <w:u w:val="single"/>
          <w:lang w:val="hr-HR"/>
        </w:rPr>
      </w:pPr>
      <w:r>
        <w:rPr>
          <w:sz w:val="22"/>
          <w:szCs w:val="22"/>
          <w:u w:val="single"/>
          <w:lang w:val="hr-HR"/>
        </w:rPr>
        <w:t>Pacijenti sa visokorizičnim trostruko pozitivnim antifosfolipidnim sindromom</w:t>
      </w:r>
    </w:p>
    <w:p w14:paraId="3663AD25" w14:textId="77777777" w:rsidR="00E659A5" w:rsidRDefault="00C21592">
      <w:pPr>
        <w:pStyle w:val="Default"/>
        <w:jc w:val="both"/>
        <w:rPr>
          <w:sz w:val="22"/>
          <w:szCs w:val="22"/>
          <w:lang w:val="hr-HR"/>
        </w:rPr>
      </w:pPr>
      <w:r>
        <w:rPr>
          <w:sz w:val="22"/>
          <w:szCs w:val="22"/>
          <w:lang w:val="hr-HR"/>
        </w:rPr>
        <w:t>U randomizovanoj, multicentričnoj, otvorenoj studiji sponzorisanoj od strane ispitivača, sa slijepom procjenom mjera ishoda, rivaroksaban je poređen sa varfarinom kod pacijenata sa trombozom u anamnezi kojima je postavljena dijagnoza antifosfolipidnog sindroma i koji su imali visok rizik od tromboembolijskih događaja (pozitivni na sva tri testa za antifosfolipidni sindrom: lupus antikoagulans, antikardiolipinska antitijela i anti-beta2-glikoprotein-I antitijela). Studija je nakon uključivanja 120 pacijenata završena prevremeno zbog velikog broja događaja u grupi koja je primala rivaroksaban. Srednja vrijednost vremena praćenja iznosila je 569 dana. U grupu koja je primala 20 mg rivaroksabana nasumično je raspoređeno 59 ispitanika (15 mg kod pacijenata sa klirensom kreatinina &lt;50 ml/min), a u grupu koja je primala varfarin 61 pacijent (INR 2,0 – 3,0). Kod pacijenata nasumično raspoređenih u grupu koja je primala varfarin nije bilo prijavljenih događaja. Kod 4 pacijenta (7%) iz grupe koja je primala rivaroksaban i 2 pacijenta (3%) iz grupe koja je primala varfarin došlo je do velikog krvarenja.</w:t>
      </w:r>
    </w:p>
    <w:p w14:paraId="28F63C56" w14:textId="77777777" w:rsidR="00E659A5" w:rsidRDefault="00E659A5">
      <w:pPr>
        <w:pStyle w:val="Default"/>
        <w:jc w:val="both"/>
        <w:rPr>
          <w:sz w:val="22"/>
          <w:szCs w:val="22"/>
          <w:lang w:val="hr-HR"/>
        </w:rPr>
      </w:pPr>
    </w:p>
    <w:p w14:paraId="09756532" w14:textId="77777777" w:rsidR="00E659A5" w:rsidRDefault="00C21592">
      <w:pPr>
        <w:pStyle w:val="Default"/>
        <w:jc w:val="both"/>
        <w:rPr>
          <w:sz w:val="22"/>
          <w:szCs w:val="22"/>
          <w:u w:val="single"/>
          <w:lang w:val="hr-HR"/>
        </w:rPr>
      </w:pPr>
      <w:r>
        <w:rPr>
          <w:sz w:val="22"/>
          <w:szCs w:val="22"/>
          <w:u w:val="single"/>
          <w:lang w:val="hr-HR"/>
        </w:rPr>
        <w:t>Pedijatrijska populacija</w:t>
      </w:r>
    </w:p>
    <w:p w14:paraId="77B7DA3F" w14:textId="77777777" w:rsidR="00E659A5" w:rsidRDefault="00C21592">
      <w:pPr>
        <w:widowControl w:val="0"/>
        <w:jc w:val="both"/>
        <w:rPr>
          <w:lang w:val="hr-HR"/>
        </w:rPr>
      </w:pPr>
      <w:r>
        <w:rPr>
          <w:lang w:val="hr-HR"/>
        </w:rPr>
        <w:t>Evropska agencija za ljekove je izuzela obavezu podnošenja rezultata ispitivanja rivaroksabana</w:t>
      </w:r>
      <w:r>
        <w:rPr>
          <w:lang w:val="sr-Latn-ME"/>
        </w:rPr>
        <w:t xml:space="preserve"> u svim podgrupama pedijatrijske populacije za prevenciju tromboembolijskih događaja (vidjeti dio 4.2 za informacije o upotrebi u pedijatriji).</w:t>
      </w:r>
      <w:r>
        <w:rPr>
          <w:lang w:val="hr-HR"/>
        </w:rPr>
        <w:t xml:space="preserve"> </w:t>
      </w:r>
    </w:p>
    <w:p w14:paraId="633C8DBC" w14:textId="77777777" w:rsidR="00E659A5" w:rsidRDefault="00E659A5">
      <w:pPr>
        <w:widowControl w:val="0"/>
        <w:jc w:val="both"/>
        <w:rPr>
          <w:rFonts w:eastAsia="Calibri"/>
        </w:rPr>
      </w:pPr>
    </w:p>
    <w:p w14:paraId="25164009" w14:textId="77777777" w:rsidR="00E659A5" w:rsidRDefault="00C21592">
      <w:pPr>
        <w:widowControl w:val="0"/>
        <w:jc w:val="both"/>
        <w:rPr>
          <w:b/>
        </w:rPr>
      </w:pPr>
      <w:r>
        <w:rPr>
          <w:b/>
        </w:rPr>
        <w:t>5.2</w:t>
      </w:r>
      <w:r>
        <w:rPr>
          <w:b/>
        </w:rPr>
        <w:tab/>
        <w:t>Farmakokinetički podaci</w:t>
      </w:r>
    </w:p>
    <w:p w14:paraId="61A371D5" w14:textId="77777777" w:rsidR="00E659A5" w:rsidRDefault="00E659A5">
      <w:pPr>
        <w:widowControl w:val="0"/>
        <w:jc w:val="both"/>
      </w:pPr>
    </w:p>
    <w:p w14:paraId="5652ED0B" w14:textId="77777777" w:rsidR="00E659A5" w:rsidRDefault="00C21592">
      <w:pPr>
        <w:widowControl w:val="0"/>
        <w:jc w:val="both"/>
        <w:rPr>
          <w:iCs/>
          <w:lang w:val="mk-MK"/>
        </w:rPr>
      </w:pPr>
      <w:r>
        <w:rPr>
          <w:iCs/>
          <w:u w:val="single"/>
        </w:rPr>
        <w:t>Resorpcija</w:t>
      </w:r>
    </w:p>
    <w:p w14:paraId="465C91B8" w14:textId="77777777" w:rsidR="00E659A5" w:rsidRDefault="00C21592">
      <w:pPr>
        <w:widowControl w:val="0"/>
        <w:jc w:val="both"/>
        <w:rPr>
          <w:iCs/>
        </w:rPr>
      </w:pPr>
      <w:r>
        <w:rPr>
          <w:iCs/>
          <w:lang w:val="mk-MK"/>
        </w:rPr>
        <w:t>Informacije navedene u nastavku odnose se na podatke dobijene kod odraslih osoba.</w:t>
      </w:r>
    </w:p>
    <w:p w14:paraId="684F07B3" w14:textId="77777777" w:rsidR="00E659A5" w:rsidRDefault="00C21592">
      <w:pPr>
        <w:pStyle w:val="Default"/>
        <w:jc w:val="both"/>
        <w:rPr>
          <w:sz w:val="22"/>
          <w:szCs w:val="22"/>
          <w:lang w:val="hr-HR"/>
        </w:rPr>
      </w:pPr>
      <w:r>
        <w:rPr>
          <w:sz w:val="22"/>
          <w:szCs w:val="22"/>
          <w:lang w:val="hr-HR"/>
        </w:rPr>
        <w:t>Rivaroksaban se brzo resorbuje sa maksimalnom koncentracijom (C</w:t>
      </w:r>
      <w:r>
        <w:rPr>
          <w:sz w:val="22"/>
          <w:szCs w:val="22"/>
          <w:vertAlign w:val="subscript"/>
          <w:lang w:val="hr-HR"/>
        </w:rPr>
        <w:t>max</w:t>
      </w:r>
      <w:r>
        <w:rPr>
          <w:sz w:val="22"/>
          <w:szCs w:val="22"/>
          <w:lang w:val="hr-HR"/>
        </w:rPr>
        <w:t>) koja se postiže 2-4 sata nakon uzimanja tablete.</w:t>
      </w:r>
    </w:p>
    <w:p w14:paraId="3AE73F49" w14:textId="77777777" w:rsidR="00E659A5" w:rsidRDefault="00C21592">
      <w:pPr>
        <w:pStyle w:val="Default"/>
        <w:jc w:val="both"/>
        <w:rPr>
          <w:sz w:val="22"/>
          <w:szCs w:val="22"/>
          <w:lang w:val="hr-HR"/>
        </w:rPr>
      </w:pPr>
      <w:r>
        <w:rPr>
          <w:sz w:val="22"/>
          <w:szCs w:val="22"/>
          <w:lang w:val="hr-HR"/>
        </w:rPr>
        <w:t>Resorpcija rivaroksabana nakon oralne primjene je skoro potpuna, a bioraspoloživost nakon oralne primjene je visoka (80%-100%) za dozu od 2,5 mg i 10 mg, bez obzira na uslove – prazan/pun želudac. Unošenje lijeka sa hranom ne utiče na površinu ispod krive (PIK) ili C</w:t>
      </w:r>
      <w:r>
        <w:rPr>
          <w:sz w:val="22"/>
          <w:szCs w:val="22"/>
          <w:vertAlign w:val="subscript"/>
          <w:lang w:val="hr-HR"/>
        </w:rPr>
        <w:t>max</w:t>
      </w:r>
      <w:r>
        <w:rPr>
          <w:sz w:val="22"/>
          <w:szCs w:val="22"/>
          <w:lang w:val="hr-HR"/>
        </w:rPr>
        <w:t xml:space="preserve"> rivaroksabana pri dozi od 2,5 mg i 10 mg.</w:t>
      </w:r>
    </w:p>
    <w:p w14:paraId="5473A484" w14:textId="77777777" w:rsidR="00E659A5" w:rsidRDefault="00C21592">
      <w:pPr>
        <w:pStyle w:val="Default"/>
        <w:jc w:val="both"/>
        <w:rPr>
          <w:sz w:val="22"/>
          <w:szCs w:val="22"/>
          <w:lang w:val="hr-HR"/>
        </w:rPr>
      </w:pPr>
      <w:r>
        <w:rPr>
          <w:sz w:val="22"/>
          <w:szCs w:val="22"/>
          <w:lang w:val="hr-HR"/>
        </w:rPr>
        <w:lastRenderedPageBreak/>
        <w:t>Zbog smanjenog opsega resorpcije utvrđena je oralna bioraspoloživost od 66% za tablete od 20 mg kada se uzimaju na prazan želudac. Kada se rivaroksaban tablete od 20 mg uzimaju zajedno sa hranom, primjećuje se povećanje srednje vrijednosti PIK za 39% u poređenju sa uzimanjem tablete na prazan želudac, što ukazuje na gotovo potpunu resorpciju i visoku oralnu bioraspoloživost. Rivaroksaban tablete od 15 mg i 20 mg moraju se uzimati sa hranom (vidjeti dio 4.2).</w:t>
      </w:r>
    </w:p>
    <w:p w14:paraId="737B435A" w14:textId="77777777" w:rsidR="00E659A5" w:rsidRDefault="00C21592">
      <w:pPr>
        <w:pStyle w:val="Default"/>
        <w:jc w:val="both"/>
        <w:rPr>
          <w:sz w:val="22"/>
          <w:szCs w:val="22"/>
          <w:lang w:val="hr-HR"/>
        </w:rPr>
      </w:pPr>
      <w:r>
        <w:rPr>
          <w:sz w:val="22"/>
          <w:szCs w:val="22"/>
          <w:lang w:val="hr-HR"/>
        </w:rPr>
        <w:t>Farmakokinetika rivaroksabana približno je linearna do doza od 15 mg jednom dnevno na prazan želudac. Rivaroksaban tablete od 10 mg, 15 mg i 20 mg na pun želudac pokazuju proporcionalnost sa dozom. Pri višim dozama rivaroksaban pokazuje resorpciju ograničenu oslobađanjem, uz smanjenu bioraspoloživost i smanjenu brzinu resorpcije sa povećanjem doze.</w:t>
      </w:r>
    </w:p>
    <w:p w14:paraId="5AD3C702" w14:textId="77777777" w:rsidR="00E659A5" w:rsidRDefault="00C21592">
      <w:pPr>
        <w:pStyle w:val="Default"/>
        <w:jc w:val="both"/>
        <w:rPr>
          <w:sz w:val="22"/>
          <w:szCs w:val="22"/>
          <w:lang w:val="hr-HR"/>
        </w:rPr>
      </w:pPr>
      <w:r>
        <w:rPr>
          <w:sz w:val="22"/>
          <w:szCs w:val="22"/>
          <w:lang w:val="hr-HR"/>
        </w:rPr>
        <w:t>Varijabilnost farmakokinetike rivaroksabana je srednje izražena, sa interindividualnom varijabilnošću (CV%) u opsegu od 30% to 40%.</w:t>
      </w:r>
    </w:p>
    <w:p w14:paraId="0986868D" w14:textId="77777777" w:rsidR="00E659A5" w:rsidRDefault="00C21592">
      <w:pPr>
        <w:pStyle w:val="Default"/>
        <w:jc w:val="both"/>
        <w:rPr>
          <w:sz w:val="22"/>
          <w:szCs w:val="22"/>
          <w:lang w:val="hr-HR"/>
        </w:rPr>
      </w:pPr>
      <w:r>
        <w:rPr>
          <w:sz w:val="22"/>
          <w:szCs w:val="22"/>
          <w:lang w:val="hr-HR"/>
        </w:rPr>
        <w:t>Resorpcija rivaroksabana zavisi od mjesta njegovog oslobađanja u gastrointestinalnom traktu. Zabilježeno je smanjenje vrijednosti PIK za 29% i C</w:t>
      </w:r>
      <w:r>
        <w:rPr>
          <w:sz w:val="22"/>
          <w:szCs w:val="22"/>
          <w:vertAlign w:val="subscript"/>
          <w:lang w:val="hr-HR"/>
        </w:rPr>
        <w:t>max</w:t>
      </w:r>
      <w:r>
        <w:rPr>
          <w:sz w:val="22"/>
          <w:szCs w:val="22"/>
          <w:lang w:val="hr-HR"/>
        </w:rPr>
        <w:t xml:space="preserve"> za 56% u poređenju tablete i rivaroksaban granula koje se oslobađaju u proksimalnom dijelu tankog crijeva. Izloženost je dodatno smanjena kada se rivaroksaban oslobađa u distalnom dijelu tankog crijeva ili početnom dijelu kolona. Stoga, treba izbjegavati primjenu rivaroksabana distalno od želuca, jer to vodi smanjenoj resorpciji i slabijem dejstvu rivaroksabana.</w:t>
      </w:r>
    </w:p>
    <w:p w14:paraId="08E47524" w14:textId="77777777" w:rsidR="00E659A5" w:rsidRDefault="00C21592">
      <w:pPr>
        <w:widowControl w:val="0"/>
        <w:jc w:val="both"/>
      </w:pPr>
      <w:r>
        <w:t>Vrijednosti parametara bioraspoloživosti (PIK i C</w:t>
      </w:r>
      <w:r>
        <w:rPr>
          <w:vertAlign w:val="subscript"/>
        </w:rPr>
        <w:t>max</w:t>
      </w:r>
      <w:r>
        <w:t>) bile su uporedive prilikom primjene 20 mg rivaroksabana uzetog oralno u obliku usitnjene tablete pomiješane sa kašom od jabuke ili suspendovanog u vodi i uzetog pomoću gastrične sonde, nakon čega je unijet tečan obrok, u odnosu na vrijednosti dobijene prilikom primjene cijele tablete. S obzirom na dozno-proprocionalni farmakokinetički profil rivaroksabana, rezultati ove studije bioraspoloživosti vjerovatno su primjenjivi i na niže doze rivaroksabana.</w:t>
      </w:r>
    </w:p>
    <w:p w14:paraId="3F6E961C" w14:textId="77777777" w:rsidR="00E659A5" w:rsidRDefault="00E659A5">
      <w:pPr>
        <w:widowControl w:val="0"/>
        <w:jc w:val="both"/>
        <w:rPr>
          <w:rFonts w:eastAsia="Calibri"/>
        </w:rPr>
      </w:pPr>
    </w:p>
    <w:p w14:paraId="10817436" w14:textId="77777777" w:rsidR="00E659A5" w:rsidRDefault="00C21592">
      <w:pPr>
        <w:widowControl w:val="0"/>
        <w:jc w:val="both"/>
        <w:rPr>
          <w:rFonts w:eastAsia="Calibri"/>
          <w:i/>
          <w:iCs/>
        </w:rPr>
      </w:pPr>
      <w:r>
        <w:rPr>
          <w:rFonts w:eastAsia="Calibri"/>
          <w:i/>
          <w:iCs/>
          <w:lang w:val="mk-MK"/>
        </w:rPr>
        <w:t>Pedijatrijska populacija</w:t>
      </w:r>
      <w:r>
        <w:rPr>
          <w:rFonts w:eastAsia="Calibri"/>
          <w:i/>
          <w:iCs/>
        </w:rPr>
        <w:t xml:space="preserve"> </w:t>
      </w:r>
    </w:p>
    <w:p w14:paraId="1BA0C20D" w14:textId="78AEAD71" w:rsidR="00E659A5" w:rsidRDefault="00C21592">
      <w:pPr>
        <w:widowControl w:val="0"/>
        <w:jc w:val="both"/>
        <w:rPr>
          <w:rFonts w:eastAsia="Calibri"/>
          <w:lang w:val="mk-MK"/>
        </w:rPr>
      </w:pPr>
      <w:r>
        <w:rPr>
          <w:rFonts w:eastAsia="Calibri"/>
          <w:lang w:val="mk-MK"/>
        </w:rPr>
        <w:t>D</w:t>
      </w:r>
      <w:r>
        <w:rPr>
          <w:rFonts w:eastAsia="Calibri"/>
          <w:lang w:val="sr-Latn-ME"/>
        </w:rPr>
        <w:t>j</w:t>
      </w:r>
      <w:r>
        <w:rPr>
          <w:rFonts w:eastAsia="Calibri"/>
          <w:lang w:val="mk-MK"/>
        </w:rPr>
        <w:t>eca su primila rivaroksaban u tableti ili oralnoj suspenziji tokom ili neposredno nakon dohrane ili</w:t>
      </w:r>
      <w:r w:rsidR="000138F2">
        <w:rPr>
          <w:rFonts w:eastAsia="Calibri"/>
          <w:lang w:val="sr-Latn-ME"/>
        </w:rPr>
        <w:t xml:space="preserve"> </w:t>
      </w:r>
      <w:r>
        <w:rPr>
          <w:rFonts w:eastAsia="Calibri"/>
          <w:lang w:val="mk-MK"/>
        </w:rPr>
        <w:t>uzimanja hrane kao i uz odgovaraju</w:t>
      </w:r>
      <w:r>
        <w:rPr>
          <w:rFonts w:eastAsia="Calibri" w:hint="eastAsia"/>
          <w:lang w:val="mk-MK"/>
        </w:rPr>
        <w:t>ć</w:t>
      </w:r>
      <w:r>
        <w:rPr>
          <w:rFonts w:eastAsia="Calibri"/>
          <w:lang w:val="mk-MK"/>
        </w:rPr>
        <w:t>u koli</w:t>
      </w:r>
      <w:r>
        <w:rPr>
          <w:rFonts w:eastAsia="Calibri" w:hint="eastAsia"/>
          <w:lang w:val="mk-MK"/>
        </w:rPr>
        <w:t>č</w:t>
      </w:r>
      <w:r>
        <w:rPr>
          <w:rFonts w:eastAsia="Calibri"/>
          <w:lang w:val="mk-MK"/>
        </w:rPr>
        <w:t>inu te</w:t>
      </w:r>
      <w:r>
        <w:rPr>
          <w:rFonts w:eastAsia="Calibri" w:hint="eastAsia"/>
          <w:lang w:val="mk-MK"/>
        </w:rPr>
        <w:t>č</w:t>
      </w:r>
      <w:r>
        <w:rPr>
          <w:rFonts w:eastAsia="Calibri"/>
          <w:lang w:val="mk-MK"/>
        </w:rPr>
        <w:t xml:space="preserve">nosti, kako bi se </w:t>
      </w:r>
      <w:r w:rsidR="000138F2">
        <w:rPr>
          <w:rFonts w:eastAsia="Calibri"/>
          <w:lang w:val="sr-Latn-ME"/>
        </w:rPr>
        <w:t>obezbjedilo</w:t>
      </w:r>
      <w:r w:rsidR="000138F2">
        <w:rPr>
          <w:rFonts w:eastAsia="Calibri"/>
          <w:lang w:val="mk-MK"/>
        </w:rPr>
        <w:t xml:space="preserve"> </w:t>
      </w:r>
      <w:r>
        <w:rPr>
          <w:rFonts w:eastAsia="Calibri"/>
          <w:lang w:val="mk-MK"/>
        </w:rPr>
        <w:t>pouzdano doziranje kod</w:t>
      </w:r>
    </w:p>
    <w:p w14:paraId="01411AA8" w14:textId="77777777" w:rsidR="00E659A5" w:rsidRDefault="00C21592">
      <w:pPr>
        <w:widowControl w:val="0"/>
        <w:jc w:val="both"/>
        <w:rPr>
          <w:rFonts w:eastAsia="Calibri"/>
          <w:lang w:val="mk-MK"/>
        </w:rPr>
      </w:pPr>
      <w:r>
        <w:rPr>
          <w:rFonts w:eastAsia="Calibri"/>
          <w:lang w:val="mk-MK"/>
        </w:rPr>
        <w:t>d</w:t>
      </w:r>
      <w:r>
        <w:rPr>
          <w:rFonts w:eastAsia="Calibri"/>
          <w:lang w:val="sr-Latn-ME"/>
        </w:rPr>
        <w:t>j</w:t>
      </w:r>
      <w:r>
        <w:rPr>
          <w:rFonts w:eastAsia="Calibri"/>
          <w:lang w:val="mk-MK"/>
        </w:rPr>
        <w:t>ece. Kao i kod odraslih, kod d</w:t>
      </w:r>
      <w:r>
        <w:rPr>
          <w:rFonts w:eastAsia="Calibri"/>
          <w:lang w:val="sr-Latn-ME"/>
        </w:rPr>
        <w:t>j</w:t>
      </w:r>
      <w:r>
        <w:rPr>
          <w:rFonts w:eastAsia="Calibri"/>
          <w:lang w:val="mk-MK"/>
        </w:rPr>
        <w:t>ece se rivaroksaban brzo resorbuje nakon oralne prim</w:t>
      </w:r>
      <w:r w:rsidR="000138F2">
        <w:rPr>
          <w:rFonts w:eastAsia="Calibri"/>
          <w:lang w:val="sr-Latn-ME"/>
        </w:rPr>
        <w:t>j</w:t>
      </w:r>
      <w:r>
        <w:rPr>
          <w:rFonts w:eastAsia="Calibri"/>
          <w:lang w:val="mk-MK"/>
        </w:rPr>
        <w:t>ene u obliku tablete.</w:t>
      </w:r>
      <w:r>
        <w:rPr>
          <w:rFonts w:eastAsia="Calibri"/>
          <w:lang w:val="sr-Latn-ME"/>
        </w:rPr>
        <w:t xml:space="preserve"> </w:t>
      </w:r>
      <w:r>
        <w:rPr>
          <w:rFonts w:eastAsia="Calibri"/>
          <w:lang w:val="mk-MK"/>
        </w:rPr>
        <w:t>Nije zapa</w:t>
      </w:r>
      <w:r>
        <w:rPr>
          <w:rFonts w:eastAsia="Calibri" w:hint="eastAsia"/>
          <w:lang w:val="mk-MK"/>
        </w:rPr>
        <w:t>ž</w:t>
      </w:r>
      <w:r>
        <w:rPr>
          <w:rFonts w:eastAsia="Calibri"/>
          <w:lang w:val="mk-MK"/>
        </w:rPr>
        <w:t>ena nikakva razlika u brzini rosorpcije ili opsegu resorpcije izme</w:t>
      </w:r>
      <w:r>
        <w:rPr>
          <w:rFonts w:eastAsia="Calibri" w:hint="eastAsia"/>
          <w:lang w:val="mk-MK"/>
        </w:rPr>
        <w:t>đ</w:t>
      </w:r>
      <w:r>
        <w:rPr>
          <w:rFonts w:eastAsia="Calibri"/>
          <w:lang w:val="mk-MK"/>
        </w:rPr>
        <w:t>u formulacija u obliku</w:t>
      </w:r>
      <w:r>
        <w:rPr>
          <w:rFonts w:eastAsia="Calibri"/>
          <w:lang w:val="sr-Latn-ME"/>
        </w:rPr>
        <w:t xml:space="preserve"> </w:t>
      </w:r>
      <w:r>
        <w:rPr>
          <w:rFonts w:eastAsia="Calibri"/>
          <w:lang w:val="mk-MK"/>
        </w:rPr>
        <w:t>tablete i granula za oralnu suspenziju. Nema dostupnih podataka o farmakokinetici nakon intravenske</w:t>
      </w:r>
      <w:r>
        <w:rPr>
          <w:rFonts w:eastAsia="Calibri"/>
          <w:lang w:val="sr-Latn-ME"/>
        </w:rPr>
        <w:t xml:space="preserve"> </w:t>
      </w:r>
      <w:r>
        <w:rPr>
          <w:rFonts w:eastAsia="Calibri"/>
          <w:lang w:val="mk-MK"/>
        </w:rPr>
        <w:t>prim</w:t>
      </w:r>
      <w:r>
        <w:rPr>
          <w:rFonts w:eastAsia="Calibri"/>
          <w:lang w:val="sr-Latn-ME"/>
        </w:rPr>
        <w:t>j</w:t>
      </w:r>
      <w:r>
        <w:rPr>
          <w:rFonts w:eastAsia="Calibri"/>
          <w:lang w:val="mk-MK"/>
        </w:rPr>
        <w:t>ene kod d</w:t>
      </w:r>
      <w:r>
        <w:rPr>
          <w:rFonts w:eastAsia="Calibri"/>
          <w:lang w:val="sr-Latn-ME"/>
        </w:rPr>
        <w:t>j</w:t>
      </w:r>
      <w:r>
        <w:rPr>
          <w:rFonts w:eastAsia="Calibri"/>
          <w:lang w:val="mk-MK"/>
        </w:rPr>
        <w:t>ece, tako da nije poznata apsolutna bioraspolo</w:t>
      </w:r>
      <w:r>
        <w:rPr>
          <w:rFonts w:eastAsia="Calibri" w:hint="eastAsia"/>
          <w:lang w:val="mk-MK"/>
        </w:rPr>
        <w:t>ž</w:t>
      </w:r>
      <w:r>
        <w:rPr>
          <w:rFonts w:eastAsia="Calibri"/>
          <w:lang w:val="mk-MK"/>
        </w:rPr>
        <w:t>ivost rivaroksabana kod d</w:t>
      </w:r>
      <w:r>
        <w:rPr>
          <w:rFonts w:eastAsia="Calibri"/>
          <w:lang w:val="sr-Latn-ME"/>
        </w:rPr>
        <w:t>j</w:t>
      </w:r>
      <w:r>
        <w:rPr>
          <w:rFonts w:eastAsia="Calibri"/>
          <w:lang w:val="mk-MK"/>
        </w:rPr>
        <w:t>ece.</w:t>
      </w:r>
      <w:r>
        <w:rPr>
          <w:rFonts w:eastAsia="Calibri"/>
          <w:lang w:val="sr-Latn-ME"/>
        </w:rPr>
        <w:t xml:space="preserve"> </w:t>
      </w:r>
      <w:r>
        <w:rPr>
          <w:rFonts w:eastAsia="Calibri"/>
          <w:lang w:val="mk-MK"/>
        </w:rPr>
        <w:t>Prona</w:t>
      </w:r>
      <w:r>
        <w:rPr>
          <w:rFonts w:eastAsia="Calibri" w:hint="eastAsia"/>
          <w:lang w:val="mk-MK"/>
        </w:rPr>
        <w:t>đ</w:t>
      </w:r>
      <w:r>
        <w:rPr>
          <w:rFonts w:eastAsia="Calibri"/>
          <w:lang w:val="mk-MK"/>
        </w:rPr>
        <w:t>eno je smanjenje relativne bioraspolo</w:t>
      </w:r>
      <w:r>
        <w:rPr>
          <w:rFonts w:eastAsia="Calibri" w:hint="eastAsia"/>
          <w:lang w:val="mk-MK"/>
        </w:rPr>
        <w:t>ž</w:t>
      </w:r>
      <w:r>
        <w:rPr>
          <w:rFonts w:eastAsia="Calibri"/>
          <w:lang w:val="mk-MK"/>
        </w:rPr>
        <w:t>ivosti kod pove</w:t>
      </w:r>
      <w:r>
        <w:rPr>
          <w:rFonts w:eastAsia="Calibri" w:hint="eastAsia"/>
          <w:lang w:val="mk-MK"/>
        </w:rPr>
        <w:t>ć</w:t>
      </w:r>
      <w:r>
        <w:rPr>
          <w:rFonts w:eastAsia="Calibri"/>
          <w:lang w:val="mk-MK"/>
        </w:rPr>
        <w:t>anja doza (u mg/kg t</w:t>
      </w:r>
      <w:r>
        <w:rPr>
          <w:rFonts w:eastAsia="Calibri"/>
          <w:lang w:val="sr-Latn-ME"/>
        </w:rPr>
        <w:t>j</w:t>
      </w:r>
      <w:r>
        <w:rPr>
          <w:rFonts w:eastAsia="Calibri"/>
          <w:lang w:val="mk-MK"/>
        </w:rPr>
        <w:t xml:space="preserve">elesne mase), </w:t>
      </w:r>
      <w:r>
        <w:rPr>
          <w:rFonts w:eastAsia="Calibri" w:hint="eastAsia"/>
          <w:lang w:val="mk-MK"/>
        </w:rPr>
        <w:t>š</w:t>
      </w:r>
      <w:r>
        <w:rPr>
          <w:rFonts w:eastAsia="Calibri"/>
          <w:lang w:val="mk-MK"/>
        </w:rPr>
        <w:t>to</w:t>
      </w:r>
      <w:r>
        <w:rPr>
          <w:rFonts w:eastAsia="Calibri"/>
          <w:lang w:val="sr-Latn-ME"/>
        </w:rPr>
        <w:t xml:space="preserve"> </w:t>
      </w:r>
      <w:r>
        <w:rPr>
          <w:rFonts w:eastAsia="Calibri"/>
          <w:lang w:val="mk-MK"/>
        </w:rPr>
        <w:t>upu</w:t>
      </w:r>
      <w:r>
        <w:rPr>
          <w:rFonts w:eastAsia="Calibri" w:hint="eastAsia"/>
          <w:lang w:val="mk-MK"/>
        </w:rPr>
        <w:t>ć</w:t>
      </w:r>
      <w:r>
        <w:rPr>
          <w:rFonts w:eastAsia="Calibri"/>
          <w:lang w:val="mk-MK"/>
        </w:rPr>
        <w:t>uje na to da za ve</w:t>
      </w:r>
      <w:r>
        <w:rPr>
          <w:rFonts w:eastAsia="Calibri" w:hint="eastAsia"/>
          <w:lang w:val="mk-MK"/>
        </w:rPr>
        <w:t>ć</w:t>
      </w:r>
      <w:r>
        <w:rPr>
          <w:rFonts w:eastAsia="Calibri"/>
          <w:lang w:val="mk-MK"/>
        </w:rPr>
        <w:t>e doze postoji ograni</w:t>
      </w:r>
      <w:r>
        <w:rPr>
          <w:rFonts w:eastAsia="Calibri" w:hint="eastAsia"/>
          <w:lang w:val="mk-MK"/>
        </w:rPr>
        <w:t>č</w:t>
      </w:r>
      <w:r>
        <w:rPr>
          <w:rFonts w:eastAsia="Calibri"/>
          <w:lang w:val="mk-MK"/>
        </w:rPr>
        <w:t xml:space="preserve">enje resorpcije, </w:t>
      </w:r>
      <w:r>
        <w:rPr>
          <w:rFonts w:eastAsia="Calibri" w:hint="eastAsia"/>
          <w:lang w:val="mk-MK"/>
        </w:rPr>
        <w:t>č</w:t>
      </w:r>
      <w:r>
        <w:rPr>
          <w:rFonts w:eastAsia="Calibri"/>
          <w:lang w:val="mk-MK"/>
        </w:rPr>
        <w:t>ak i kad se uzimaju sa hranom.</w:t>
      </w:r>
    </w:p>
    <w:p w14:paraId="39A85FC5" w14:textId="77777777" w:rsidR="00E659A5" w:rsidRDefault="00C21592">
      <w:pPr>
        <w:widowControl w:val="0"/>
        <w:jc w:val="both"/>
        <w:rPr>
          <w:rFonts w:eastAsia="Calibri"/>
          <w:lang w:val="mk-MK"/>
        </w:rPr>
      </w:pPr>
      <w:r>
        <w:rPr>
          <w:rFonts w:eastAsia="Calibri"/>
          <w:lang w:val="mk-MK"/>
        </w:rPr>
        <w:t xml:space="preserve">Rivaroksaban </w:t>
      </w:r>
      <w:r>
        <w:rPr>
          <w:rFonts w:eastAsia="Calibri"/>
          <w:lang w:val="sr-Latn-ME"/>
        </w:rPr>
        <w:t>20</w:t>
      </w:r>
      <w:r>
        <w:rPr>
          <w:rFonts w:eastAsia="Calibri"/>
          <w:lang w:val="mk-MK"/>
        </w:rPr>
        <w:t xml:space="preserve"> mg tablete potrebno je uzeti sa dohranom ili hranom (vid</w:t>
      </w:r>
      <w:r>
        <w:rPr>
          <w:rFonts w:eastAsia="Calibri"/>
          <w:lang w:val="sr-Latn-ME"/>
        </w:rPr>
        <w:t>j</w:t>
      </w:r>
      <w:r>
        <w:rPr>
          <w:rFonts w:eastAsia="Calibri"/>
          <w:lang w:val="mk-MK"/>
        </w:rPr>
        <w:t xml:space="preserve">eti </w:t>
      </w:r>
      <w:r>
        <w:rPr>
          <w:rFonts w:eastAsia="Calibri"/>
          <w:lang w:val="sr-Latn-ME"/>
        </w:rPr>
        <w:t>dio</w:t>
      </w:r>
      <w:r>
        <w:rPr>
          <w:rFonts w:eastAsia="Calibri"/>
          <w:lang w:val="mk-MK"/>
        </w:rPr>
        <w:t xml:space="preserve"> 4.2).</w:t>
      </w:r>
    </w:p>
    <w:p w14:paraId="0B6EE003" w14:textId="77777777" w:rsidR="00E659A5" w:rsidRDefault="00E659A5">
      <w:pPr>
        <w:widowControl w:val="0"/>
        <w:jc w:val="both"/>
        <w:rPr>
          <w:rFonts w:eastAsia="Calibri"/>
        </w:rPr>
      </w:pPr>
    </w:p>
    <w:p w14:paraId="3794910E" w14:textId="77777777" w:rsidR="00E659A5" w:rsidRDefault="00C21592">
      <w:pPr>
        <w:pStyle w:val="NormalWeb"/>
        <w:widowControl w:val="0"/>
        <w:spacing w:before="0" w:beforeAutospacing="0" w:after="0"/>
        <w:jc w:val="both"/>
        <w:rPr>
          <w:sz w:val="22"/>
          <w:szCs w:val="22"/>
          <w:u w:val="single"/>
          <w:lang w:val="hr-HR"/>
        </w:rPr>
      </w:pPr>
      <w:r>
        <w:rPr>
          <w:sz w:val="22"/>
          <w:szCs w:val="22"/>
          <w:u w:val="single"/>
          <w:lang w:val="hr-HR"/>
        </w:rPr>
        <w:t>Distribucija</w:t>
      </w:r>
    </w:p>
    <w:p w14:paraId="598DA83E" w14:textId="77777777" w:rsidR="00E659A5" w:rsidRDefault="00C21592">
      <w:pPr>
        <w:widowControl w:val="0"/>
        <w:jc w:val="both"/>
      </w:pPr>
      <w:r>
        <w:t>Stepen vezivanja za proteine plazme kod ljudi je visok, oko 92% do 95%, pri čemu je glavna komponenta na koju se lijek veže serumski albumin. Volumen distribucije je umjeren, pri čemu V</w:t>
      </w:r>
      <w:r>
        <w:rPr>
          <w:vertAlign w:val="subscript"/>
        </w:rPr>
        <w:t>ss</w:t>
      </w:r>
      <w:r>
        <w:t xml:space="preserve"> iznosi oko 50 litara.</w:t>
      </w:r>
    </w:p>
    <w:p w14:paraId="2A7C2A6A" w14:textId="77777777" w:rsidR="00E659A5" w:rsidRDefault="00E659A5">
      <w:pPr>
        <w:widowControl w:val="0"/>
        <w:jc w:val="both"/>
        <w:rPr>
          <w:rFonts w:eastAsia="Calibri"/>
        </w:rPr>
      </w:pPr>
    </w:p>
    <w:p w14:paraId="787400D1" w14:textId="77777777" w:rsidR="00E659A5" w:rsidRDefault="00C21592">
      <w:pPr>
        <w:widowControl w:val="0"/>
        <w:jc w:val="both"/>
        <w:rPr>
          <w:i/>
          <w:iCs/>
        </w:rPr>
      </w:pPr>
      <w:r>
        <w:rPr>
          <w:i/>
          <w:iCs/>
        </w:rPr>
        <w:t xml:space="preserve">Pedijatrijska populacija </w:t>
      </w:r>
    </w:p>
    <w:p w14:paraId="44299C38" w14:textId="2DD3F404" w:rsidR="00E659A5" w:rsidRDefault="00C21592">
      <w:pPr>
        <w:widowControl w:val="0"/>
        <w:jc w:val="both"/>
        <w:rPr>
          <w:rFonts w:eastAsia="Calibri"/>
        </w:rPr>
      </w:pPr>
      <w:r>
        <w:rPr>
          <w:lang w:val="mk-MK"/>
        </w:rPr>
        <w:t>Nema dostupnih podataka o vezivanju rivaroksabana za proteine plazme specifi</w:t>
      </w:r>
      <w:r>
        <w:rPr>
          <w:rFonts w:hint="eastAsia"/>
          <w:lang w:val="mk-MK"/>
        </w:rPr>
        <w:t>č</w:t>
      </w:r>
      <w:r>
        <w:rPr>
          <w:lang w:val="mk-MK"/>
        </w:rPr>
        <w:t>ne za d</w:t>
      </w:r>
      <w:r>
        <w:rPr>
          <w:lang w:val="sr-Latn-ME"/>
        </w:rPr>
        <w:t>j</w:t>
      </w:r>
      <w:r>
        <w:rPr>
          <w:lang w:val="mk-MK"/>
        </w:rPr>
        <w:t>ecu. Nema</w:t>
      </w:r>
      <w:r w:rsidR="000138F2">
        <w:rPr>
          <w:lang w:val="sr-Latn-ME"/>
        </w:rPr>
        <w:t xml:space="preserve"> </w:t>
      </w:r>
      <w:r>
        <w:rPr>
          <w:lang w:val="mk-MK"/>
        </w:rPr>
        <w:t>dostupnih podataka o farmakokinetici nakon intravenske prim</w:t>
      </w:r>
      <w:r w:rsidR="00E849E5">
        <w:rPr>
          <w:lang w:val="sr-Latn-ME"/>
        </w:rPr>
        <w:t>j</w:t>
      </w:r>
      <w:r>
        <w:rPr>
          <w:lang w:val="mk-MK"/>
        </w:rPr>
        <w:t>ene rivaroksabana kod d</w:t>
      </w:r>
      <w:r>
        <w:rPr>
          <w:lang w:val="sr-Latn-ME"/>
        </w:rPr>
        <w:t>j</w:t>
      </w:r>
      <w:r>
        <w:rPr>
          <w:lang w:val="mk-MK"/>
        </w:rPr>
        <w:t>ece. Proc</w:t>
      </w:r>
      <w:r>
        <w:rPr>
          <w:lang w:val="sr-Latn-ME"/>
        </w:rPr>
        <w:t>j</w:t>
      </w:r>
      <w:r>
        <w:rPr>
          <w:lang w:val="mk-MK"/>
        </w:rPr>
        <w:t>ena Vss</w:t>
      </w:r>
      <w:r>
        <w:rPr>
          <w:lang w:val="sr-Latn-ME"/>
        </w:rPr>
        <w:t xml:space="preserve"> </w:t>
      </w:r>
      <w:r>
        <w:rPr>
          <w:lang w:val="mk-MK"/>
        </w:rPr>
        <w:t>pomo</w:t>
      </w:r>
      <w:r>
        <w:rPr>
          <w:rFonts w:hint="eastAsia"/>
          <w:lang w:val="mk-MK"/>
        </w:rPr>
        <w:t>ć</w:t>
      </w:r>
      <w:r>
        <w:rPr>
          <w:lang w:val="mk-MK"/>
        </w:rPr>
        <w:t>u populacijskog farmakokineti</w:t>
      </w:r>
      <w:r>
        <w:rPr>
          <w:rFonts w:hint="eastAsia"/>
          <w:lang w:val="mk-MK"/>
        </w:rPr>
        <w:t>č</w:t>
      </w:r>
      <w:r>
        <w:rPr>
          <w:lang w:val="mk-MK"/>
        </w:rPr>
        <w:t>kog modeliranja kod d</w:t>
      </w:r>
      <w:r>
        <w:rPr>
          <w:lang w:val="sr-Latn-ME"/>
        </w:rPr>
        <w:t>j</w:t>
      </w:r>
      <w:r>
        <w:rPr>
          <w:lang w:val="mk-MK"/>
        </w:rPr>
        <w:t>ece (uzrasta od 0 do &lt; 18 godina) nakon</w:t>
      </w:r>
      <w:r>
        <w:rPr>
          <w:lang w:val="sr-Latn-ME"/>
        </w:rPr>
        <w:t xml:space="preserve"> </w:t>
      </w:r>
      <w:r>
        <w:rPr>
          <w:lang w:val="mk-MK"/>
        </w:rPr>
        <w:t>oralne prim</w:t>
      </w:r>
      <w:r>
        <w:rPr>
          <w:lang w:val="sr-Latn-ME"/>
        </w:rPr>
        <w:t>j</w:t>
      </w:r>
      <w:r>
        <w:rPr>
          <w:lang w:val="mk-MK"/>
        </w:rPr>
        <w:t>ene rivaroksabana zavisi od t</w:t>
      </w:r>
      <w:r>
        <w:rPr>
          <w:lang w:val="sr-Latn-ME"/>
        </w:rPr>
        <w:t>j</w:t>
      </w:r>
      <w:r>
        <w:rPr>
          <w:lang w:val="mk-MK"/>
        </w:rPr>
        <w:t>elesne mase i mo</w:t>
      </w:r>
      <w:r>
        <w:rPr>
          <w:rFonts w:hint="eastAsia"/>
          <w:lang w:val="mk-MK"/>
        </w:rPr>
        <w:t>ž</w:t>
      </w:r>
      <w:r>
        <w:rPr>
          <w:lang w:val="mk-MK"/>
        </w:rPr>
        <w:t>e se opisati alometrijskom funkcijom, uz</w:t>
      </w:r>
      <w:r>
        <w:rPr>
          <w:lang w:val="sr-Latn-ME"/>
        </w:rPr>
        <w:t xml:space="preserve"> </w:t>
      </w:r>
      <w:r>
        <w:rPr>
          <w:lang w:val="mk-MK"/>
        </w:rPr>
        <w:t>pros</w:t>
      </w:r>
      <w:r>
        <w:rPr>
          <w:lang w:val="sr-Latn-ME"/>
        </w:rPr>
        <w:t>j</w:t>
      </w:r>
      <w:r>
        <w:rPr>
          <w:lang w:val="mk-MK"/>
        </w:rPr>
        <w:t xml:space="preserve">ek od 113 </w:t>
      </w:r>
      <w:r w:rsidR="000138F2">
        <w:rPr>
          <w:lang w:val="sr-Latn-ME"/>
        </w:rPr>
        <w:t>l</w:t>
      </w:r>
      <w:r>
        <w:rPr>
          <w:lang w:val="mk-MK"/>
        </w:rPr>
        <w:t xml:space="preserve"> za ispitanika t</w:t>
      </w:r>
      <w:r>
        <w:rPr>
          <w:lang w:val="sr-Latn-ME"/>
        </w:rPr>
        <w:t>j</w:t>
      </w:r>
      <w:r>
        <w:rPr>
          <w:lang w:val="mk-MK"/>
        </w:rPr>
        <w:t>elesne mase 82,8 kg.</w:t>
      </w:r>
    </w:p>
    <w:p w14:paraId="0B5AF1E7" w14:textId="77777777" w:rsidR="00E659A5" w:rsidRDefault="00E659A5">
      <w:pPr>
        <w:widowControl w:val="0"/>
        <w:jc w:val="both"/>
        <w:rPr>
          <w:rFonts w:eastAsia="Calibri"/>
        </w:rPr>
      </w:pPr>
    </w:p>
    <w:p w14:paraId="3AFEF16D" w14:textId="77777777" w:rsidR="00E659A5" w:rsidRDefault="00C21592">
      <w:pPr>
        <w:pStyle w:val="Default"/>
        <w:jc w:val="both"/>
        <w:rPr>
          <w:sz w:val="22"/>
          <w:szCs w:val="22"/>
          <w:u w:val="single"/>
          <w:lang w:val="hr-HR"/>
        </w:rPr>
      </w:pPr>
      <w:r>
        <w:rPr>
          <w:sz w:val="22"/>
          <w:szCs w:val="22"/>
          <w:u w:val="single"/>
          <w:lang w:val="hr-HR"/>
        </w:rPr>
        <w:t>Biotransformacija i eliminacija</w:t>
      </w:r>
    </w:p>
    <w:p w14:paraId="6180B983" w14:textId="77777777" w:rsidR="00E659A5" w:rsidRDefault="00C21592">
      <w:pPr>
        <w:pStyle w:val="Default"/>
        <w:jc w:val="both"/>
        <w:rPr>
          <w:sz w:val="22"/>
          <w:szCs w:val="22"/>
          <w:lang w:val="hr-HR"/>
        </w:rPr>
      </w:pPr>
      <w:r>
        <w:rPr>
          <w:sz w:val="22"/>
          <w:szCs w:val="22"/>
          <w:lang w:val="hr-HR"/>
        </w:rPr>
        <w:t>Oko 2/3 primijenjene doze rivaroksabana podliježe metaboličkoj razgradnji, od čega se oko polovina eliminiše putem bubrega, a druga polovina putem crijeva. Preostala 1/3 primijenjene doze izlučuje se direktno putem bubrega u urin u obliku neizmijenjene aktivne supstance, pretežno kao posljedica aktivne bubrežne sekrecije.</w:t>
      </w:r>
    </w:p>
    <w:p w14:paraId="2259CB68" w14:textId="77777777" w:rsidR="00E659A5" w:rsidRDefault="00C21592">
      <w:pPr>
        <w:pStyle w:val="Default"/>
        <w:jc w:val="both"/>
        <w:rPr>
          <w:sz w:val="22"/>
          <w:szCs w:val="22"/>
          <w:lang w:val="hr-HR"/>
        </w:rPr>
      </w:pPr>
      <w:r>
        <w:rPr>
          <w:sz w:val="22"/>
          <w:szCs w:val="22"/>
          <w:lang w:val="hr-HR"/>
        </w:rPr>
        <w:t xml:space="preserve">Rivaroksaban se metaboliše pomoću CYP3A4, CYP2J2 i CYP-nezavisnih mehanizama. Oksidativna razgradnja morfolinonskog dijela molekula i hidroliza amidnih veza glavna su mjesta biotransformacije. Prema rezultatima </w:t>
      </w:r>
      <w:r>
        <w:rPr>
          <w:i/>
          <w:iCs/>
          <w:sz w:val="22"/>
          <w:szCs w:val="22"/>
          <w:lang w:val="hr-HR"/>
        </w:rPr>
        <w:t xml:space="preserve">in vitro </w:t>
      </w:r>
      <w:r>
        <w:rPr>
          <w:iCs/>
          <w:sz w:val="22"/>
          <w:szCs w:val="22"/>
          <w:lang w:val="hr-HR"/>
        </w:rPr>
        <w:t>studija</w:t>
      </w:r>
      <w:r>
        <w:rPr>
          <w:i/>
          <w:iCs/>
          <w:sz w:val="22"/>
          <w:szCs w:val="22"/>
          <w:lang w:val="hr-HR"/>
        </w:rPr>
        <w:t>,</w:t>
      </w:r>
      <w:r>
        <w:rPr>
          <w:sz w:val="22"/>
          <w:szCs w:val="22"/>
          <w:lang w:val="hr-HR"/>
        </w:rPr>
        <w:t xml:space="preserve"> rivaroksaban je supstrat za transportne proteine P-gp (engl. </w:t>
      </w:r>
      <w:r>
        <w:rPr>
          <w:i/>
          <w:sz w:val="22"/>
          <w:szCs w:val="22"/>
          <w:lang w:val="hr-HR"/>
        </w:rPr>
        <w:t>P-glycoprotein</w:t>
      </w:r>
      <w:r>
        <w:rPr>
          <w:sz w:val="22"/>
          <w:szCs w:val="22"/>
          <w:lang w:val="hr-HR"/>
        </w:rPr>
        <w:t xml:space="preserve">) i Bcrp (engl. </w:t>
      </w:r>
      <w:r>
        <w:rPr>
          <w:i/>
          <w:sz w:val="22"/>
          <w:szCs w:val="22"/>
          <w:lang w:val="hr-HR"/>
        </w:rPr>
        <w:t>breast cancer resistance protein</w:t>
      </w:r>
      <w:r>
        <w:rPr>
          <w:sz w:val="22"/>
          <w:szCs w:val="22"/>
          <w:lang w:val="hr-HR"/>
        </w:rPr>
        <w:t>).</w:t>
      </w:r>
    </w:p>
    <w:p w14:paraId="69DD0F13" w14:textId="77777777" w:rsidR="00E659A5" w:rsidRDefault="00C21592">
      <w:pPr>
        <w:widowControl w:val="0"/>
        <w:jc w:val="both"/>
        <w:rPr>
          <w:rFonts w:eastAsia="Calibri"/>
        </w:rPr>
      </w:pPr>
      <w:r>
        <w:lastRenderedPageBreak/>
        <w:t>Neizmijenjeni rivaroksaban je najznačajnije jedinjenje u plazmi, bez prisustva drugih glavnih ili aktivnih metabolita. Budući da mu sistemski klirens iznosi oko 10 l/h, rivaroksaban se može svrstati među ljekove sa malim klirensom. Nakon intravenski primijenjene doze od 1 mg, poluvrijeme eliminacije iznosi oko 4,5 sata. Nakon oralne primjene eliminacija postaje ograničena brzinom resorpcije. Eliminacija rivaroksabana iz plazme odvija se sa terminalnim poluvremenom eliminacije od 5 do 9 sati kod mlađih osoba, odnosno 11 do 13 sati kod starijih.</w:t>
      </w:r>
    </w:p>
    <w:p w14:paraId="609831E1" w14:textId="77777777" w:rsidR="00E659A5" w:rsidRDefault="00E659A5">
      <w:pPr>
        <w:widowControl w:val="0"/>
        <w:jc w:val="both"/>
        <w:rPr>
          <w:rFonts w:eastAsia="Calibri"/>
        </w:rPr>
      </w:pPr>
    </w:p>
    <w:p w14:paraId="49BE66BF" w14:textId="77777777" w:rsidR="00E659A5" w:rsidRDefault="00C21592">
      <w:pPr>
        <w:widowControl w:val="0"/>
        <w:jc w:val="both"/>
        <w:rPr>
          <w:rFonts w:eastAsia="Calibri"/>
          <w:i/>
          <w:iCs/>
        </w:rPr>
      </w:pPr>
      <w:r>
        <w:rPr>
          <w:rFonts w:eastAsia="Calibri"/>
          <w:i/>
          <w:iCs/>
          <w:lang w:val="mk-MK"/>
        </w:rPr>
        <w:t>Pedijatrijska populacija</w:t>
      </w:r>
      <w:r>
        <w:rPr>
          <w:rFonts w:eastAsia="Calibri"/>
          <w:i/>
          <w:iCs/>
        </w:rPr>
        <w:t xml:space="preserve"> </w:t>
      </w:r>
    </w:p>
    <w:p w14:paraId="28787758" w14:textId="37451AD1" w:rsidR="00E659A5" w:rsidRDefault="00C21592">
      <w:pPr>
        <w:widowControl w:val="0"/>
        <w:jc w:val="both"/>
        <w:rPr>
          <w:rFonts w:eastAsia="Calibri"/>
        </w:rPr>
      </w:pPr>
      <w:r>
        <w:rPr>
          <w:rFonts w:eastAsia="Calibri"/>
          <w:lang w:val="mk-MK"/>
        </w:rPr>
        <w:t>Nema dostupnih podataka o metabolizmu specifi</w:t>
      </w:r>
      <w:r>
        <w:rPr>
          <w:rFonts w:eastAsia="Calibri" w:hint="eastAsia"/>
          <w:lang w:val="mk-MK"/>
        </w:rPr>
        <w:t>č</w:t>
      </w:r>
      <w:r>
        <w:rPr>
          <w:rFonts w:eastAsia="Calibri"/>
          <w:lang w:val="mk-MK"/>
        </w:rPr>
        <w:t>nom za djecu. Nema dostupnih podataka o</w:t>
      </w:r>
      <w:r>
        <w:rPr>
          <w:rFonts w:eastAsia="Calibri"/>
          <w:lang w:val="sr-Latn-ME"/>
        </w:rPr>
        <w:t xml:space="preserve"> </w:t>
      </w:r>
      <w:r>
        <w:rPr>
          <w:rFonts w:eastAsia="Calibri"/>
          <w:lang w:val="mk-MK"/>
        </w:rPr>
        <w:t>farmakokinetici nakon intravenske prim</w:t>
      </w:r>
      <w:r>
        <w:rPr>
          <w:rFonts w:eastAsia="Calibri"/>
          <w:lang w:val="sr-Latn-ME"/>
        </w:rPr>
        <w:t>j</w:t>
      </w:r>
      <w:r>
        <w:rPr>
          <w:rFonts w:eastAsia="Calibri"/>
          <w:lang w:val="mk-MK"/>
        </w:rPr>
        <w:t>ene rivaroksabana kod djece. Proc</w:t>
      </w:r>
      <w:r>
        <w:rPr>
          <w:rFonts w:eastAsia="Calibri"/>
          <w:lang w:val="sr-Latn-ME"/>
        </w:rPr>
        <w:t>j</w:t>
      </w:r>
      <w:r>
        <w:rPr>
          <w:rFonts w:eastAsia="Calibri"/>
          <w:lang w:val="mk-MK"/>
        </w:rPr>
        <w:t>ena CL pomo</w:t>
      </w:r>
      <w:r>
        <w:rPr>
          <w:rFonts w:eastAsia="Calibri" w:hint="eastAsia"/>
          <w:lang w:val="mk-MK"/>
        </w:rPr>
        <w:t>ć</w:t>
      </w:r>
      <w:r>
        <w:rPr>
          <w:rFonts w:eastAsia="Calibri"/>
          <w:lang w:val="mk-MK"/>
        </w:rPr>
        <w:t>u populacijskog</w:t>
      </w:r>
      <w:r>
        <w:rPr>
          <w:rFonts w:eastAsia="Calibri"/>
          <w:lang w:val="sr-Latn-ME"/>
        </w:rPr>
        <w:t xml:space="preserve"> </w:t>
      </w:r>
      <w:r>
        <w:rPr>
          <w:rFonts w:eastAsia="Calibri"/>
          <w:lang w:val="mk-MK"/>
        </w:rPr>
        <w:t>farmakokineti</w:t>
      </w:r>
      <w:r>
        <w:rPr>
          <w:rFonts w:eastAsia="Calibri" w:hint="eastAsia"/>
          <w:lang w:val="mk-MK"/>
        </w:rPr>
        <w:t>č</w:t>
      </w:r>
      <w:r>
        <w:rPr>
          <w:rFonts w:eastAsia="Calibri"/>
          <w:lang w:val="mk-MK"/>
        </w:rPr>
        <w:t>kog modeliranja kod djece (uzrasta od 0 do &lt; 18 godina) nakon oralne prim</w:t>
      </w:r>
      <w:r>
        <w:rPr>
          <w:rFonts w:eastAsia="Calibri"/>
          <w:lang w:val="sr-Latn-ME"/>
        </w:rPr>
        <w:t>j</w:t>
      </w:r>
      <w:r>
        <w:rPr>
          <w:rFonts w:eastAsia="Calibri"/>
          <w:lang w:val="mk-MK"/>
        </w:rPr>
        <w:t>ene</w:t>
      </w:r>
      <w:r>
        <w:rPr>
          <w:rFonts w:eastAsia="Calibri"/>
          <w:lang w:val="sr-Latn-ME"/>
        </w:rPr>
        <w:t xml:space="preserve"> </w:t>
      </w:r>
      <w:r>
        <w:rPr>
          <w:rFonts w:eastAsia="Calibri"/>
          <w:lang w:val="mk-MK"/>
        </w:rPr>
        <w:t>rivaroksabana zavisi od t</w:t>
      </w:r>
      <w:r>
        <w:rPr>
          <w:rFonts w:eastAsia="Calibri"/>
          <w:lang w:val="sr-Latn-ME"/>
        </w:rPr>
        <w:t>j</w:t>
      </w:r>
      <w:r>
        <w:rPr>
          <w:rFonts w:eastAsia="Calibri"/>
          <w:lang w:val="mk-MK"/>
        </w:rPr>
        <w:t>elesne mase i mo</w:t>
      </w:r>
      <w:r>
        <w:rPr>
          <w:rFonts w:eastAsia="Calibri" w:hint="eastAsia"/>
          <w:lang w:val="mk-MK"/>
        </w:rPr>
        <w:t>ž</w:t>
      </w:r>
      <w:r>
        <w:rPr>
          <w:rFonts w:eastAsia="Calibri"/>
          <w:lang w:val="mk-MK"/>
        </w:rPr>
        <w:t>e se opisati alometrijskom funkcijom, uz pros</w:t>
      </w:r>
      <w:r>
        <w:rPr>
          <w:rFonts w:eastAsia="Calibri"/>
          <w:lang w:val="sr-Latn-ME"/>
        </w:rPr>
        <w:t>j</w:t>
      </w:r>
      <w:r>
        <w:rPr>
          <w:rFonts w:eastAsia="Calibri"/>
          <w:lang w:val="mk-MK"/>
        </w:rPr>
        <w:t xml:space="preserve">ek od 8 </w:t>
      </w:r>
      <w:r w:rsidR="000138F2">
        <w:rPr>
          <w:rFonts w:eastAsia="Calibri"/>
          <w:lang w:val="sr-Latn-ME"/>
        </w:rPr>
        <w:t>l</w:t>
      </w:r>
      <w:r>
        <w:rPr>
          <w:rFonts w:eastAsia="Calibri"/>
          <w:lang w:val="mk-MK"/>
        </w:rPr>
        <w:t>/h za</w:t>
      </w:r>
      <w:r>
        <w:rPr>
          <w:rFonts w:eastAsia="Calibri"/>
          <w:lang w:val="sr-Latn-ME"/>
        </w:rPr>
        <w:t xml:space="preserve"> </w:t>
      </w:r>
      <w:r>
        <w:rPr>
          <w:rFonts w:eastAsia="Calibri"/>
          <w:lang w:val="mk-MK"/>
        </w:rPr>
        <w:t>ispitanika t</w:t>
      </w:r>
      <w:r>
        <w:rPr>
          <w:rFonts w:eastAsia="Calibri"/>
          <w:lang w:val="sr-Latn-ME"/>
        </w:rPr>
        <w:t>j</w:t>
      </w:r>
      <w:r>
        <w:rPr>
          <w:rFonts w:eastAsia="Calibri"/>
          <w:lang w:val="mk-MK"/>
        </w:rPr>
        <w:t>elesne mase 82,8 kg. Geometrijske srednje vr</w:t>
      </w:r>
      <w:r>
        <w:rPr>
          <w:rFonts w:eastAsia="Calibri"/>
          <w:lang w:val="sr-Latn-ME"/>
        </w:rPr>
        <w:t>ij</w:t>
      </w:r>
      <w:r>
        <w:rPr>
          <w:rFonts w:eastAsia="Calibri"/>
          <w:lang w:val="mk-MK"/>
        </w:rPr>
        <w:t>ednosti poluvremena (t</w:t>
      </w:r>
      <w:r w:rsidRPr="00C168EA">
        <w:rPr>
          <w:rFonts w:eastAsia="Calibri"/>
          <w:vertAlign w:val="subscript"/>
          <w:lang w:val="mk-MK"/>
        </w:rPr>
        <w:t>1/2</w:t>
      </w:r>
      <w:r>
        <w:rPr>
          <w:rFonts w:eastAsia="Calibri"/>
          <w:lang w:val="mk-MK"/>
        </w:rPr>
        <w:t>) dispozicije proc</w:t>
      </w:r>
      <w:r>
        <w:rPr>
          <w:rFonts w:eastAsia="Calibri"/>
          <w:lang w:val="sr-Latn-ME"/>
        </w:rPr>
        <w:t>ij</w:t>
      </w:r>
      <w:r>
        <w:rPr>
          <w:rFonts w:eastAsia="Calibri"/>
          <w:lang w:val="mk-MK"/>
        </w:rPr>
        <w:t>enjene</w:t>
      </w:r>
      <w:r>
        <w:rPr>
          <w:rFonts w:eastAsia="Calibri"/>
          <w:lang w:val="sr-Latn-ME"/>
        </w:rPr>
        <w:t xml:space="preserve"> </w:t>
      </w:r>
      <w:r>
        <w:rPr>
          <w:rFonts w:eastAsia="Calibri"/>
          <w:lang w:val="mk-MK"/>
        </w:rPr>
        <w:t>pomo</w:t>
      </w:r>
      <w:r>
        <w:rPr>
          <w:rFonts w:eastAsia="Calibri" w:hint="eastAsia"/>
          <w:lang w:val="mk-MK"/>
        </w:rPr>
        <w:t>ć</w:t>
      </w:r>
      <w:r>
        <w:rPr>
          <w:rFonts w:eastAsia="Calibri"/>
          <w:lang w:val="mk-MK"/>
        </w:rPr>
        <w:t>u populacijskog farmakokineti</w:t>
      </w:r>
      <w:r>
        <w:rPr>
          <w:rFonts w:eastAsia="Calibri" w:hint="eastAsia"/>
          <w:lang w:val="mk-MK"/>
        </w:rPr>
        <w:t>č</w:t>
      </w:r>
      <w:r>
        <w:rPr>
          <w:rFonts w:eastAsia="Calibri"/>
          <w:lang w:val="mk-MK"/>
        </w:rPr>
        <w:t>kog modeliranja smanjuju se kako se smanjuje uzrast, i to u</w:t>
      </w:r>
      <w:r>
        <w:rPr>
          <w:rFonts w:eastAsia="Calibri"/>
          <w:lang w:val="sr-Latn-ME"/>
        </w:rPr>
        <w:t xml:space="preserve"> </w:t>
      </w:r>
      <w:r>
        <w:rPr>
          <w:rFonts w:eastAsia="Calibri"/>
          <w:lang w:val="mk-MK"/>
        </w:rPr>
        <w:t>rasponu od 4,2 h kod adolescenata do pribli</w:t>
      </w:r>
      <w:r>
        <w:rPr>
          <w:rFonts w:eastAsia="Calibri" w:hint="eastAsia"/>
          <w:lang w:val="mk-MK"/>
        </w:rPr>
        <w:t>ž</w:t>
      </w:r>
      <w:r>
        <w:rPr>
          <w:rFonts w:eastAsia="Calibri"/>
          <w:lang w:val="mk-MK"/>
        </w:rPr>
        <w:t>no 3 h kod djece uzrasta od 2-12 godina, pa sve do 1,9 h i 1,6</w:t>
      </w:r>
      <w:r>
        <w:rPr>
          <w:rFonts w:eastAsia="Calibri"/>
          <w:lang w:val="sr-Latn-ME"/>
        </w:rPr>
        <w:t xml:space="preserve"> </w:t>
      </w:r>
      <w:r>
        <w:rPr>
          <w:rFonts w:eastAsia="Calibri"/>
          <w:lang w:val="mk-MK"/>
        </w:rPr>
        <w:t>h kod djece uzrasta od 0,5 do &lt; 2 godine, odnosno mla</w:t>
      </w:r>
      <w:r>
        <w:rPr>
          <w:rFonts w:eastAsia="Calibri" w:hint="eastAsia"/>
          <w:lang w:val="mk-MK"/>
        </w:rPr>
        <w:t>đ</w:t>
      </w:r>
      <w:r>
        <w:rPr>
          <w:rFonts w:eastAsia="Calibri"/>
          <w:lang w:val="mk-MK"/>
        </w:rPr>
        <w:t>e od 0,5 godina.</w:t>
      </w:r>
    </w:p>
    <w:p w14:paraId="30872929" w14:textId="77777777" w:rsidR="00E659A5" w:rsidRDefault="00E659A5">
      <w:pPr>
        <w:widowControl w:val="0"/>
        <w:jc w:val="both"/>
        <w:rPr>
          <w:rFonts w:eastAsia="Calibri"/>
        </w:rPr>
      </w:pPr>
    </w:p>
    <w:p w14:paraId="4C42DA98" w14:textId="77777777" w:rsidR="00E659A5" w:rsidRDefault="00C21592">
      <w:pPr>
        <w:pStyle w:val="Default"/>
        <w:jc w:val="both"/>
        <w:rPr>
          <w:sz w:val="22"/>
          <w:szCs w:val="22"/>
          <w:u w:val="single"/>
          <w:lang w:val="hr-HR"/>
        </w:rPr>
      </w:pPr>
      <w:r>
        <w:rPr>
          <w:sz w:val="22"/>
          <w:szCs w:val="22"/>
          <w:u w:val="single"/>
          <w:lang w:val="hr-HR"/>
        </w:rPr>
        <w:t>Posebne grupe pacijenata</w:t>
      </w:r>
    </w:p>
    <w:p w14:paraId="3BC8C4BF" w14:textId="77777777" w:rsidR="00E659A5" w:rsidRDefault="00C21592">
      <w:pPr>
        <w:pStyle w:val="Default"/>
        <w:jc w:val="both"/>
        <w:rPr>
          <w:sz w:val="22"/>
          <w:szCs w:val="22"/>
          <w:lang w:val="hr-HR"/>
        </w:rPr>
      </w:pPr>
      <w:r>
        <w:rPr>
          <w:i/>
          <w:iCs/>
          <w:sz w:val="22"/>
          <w:szCs w:val="22"/>
          <w:lang w:val="hr-HR"/>
        </w:rPr>
        <w:t>Pol</w:t>
      </w:r>
    </w:p>
    <w:p w14:paraId="06FC558A" w14:textId="712283D6" w:rsidR="00E659A5" w:rsidRPr="00C168EA" w:rsidRDefault="00C21592" w:rsidP="00C168EA">
      <w:pPr>
        <w:pStyle w:val="Default"/>
        <w:jc w:val="both"/>
        <w:rPr>
          <w:sz w:val="22"/>
          <w:szCs w:val="22"/>
          <w:lang w:val="hr-HR"/>
        </w:rPr>
      </w:pPr>
      <w:r>
        <w:rPr>
          <w:sz w:val="22"/>
          <w:szCs w:val="22"/>
          <w:lang w:val="hr-HR"/>
        </w:rPr>
        <w:t>Ni</w:t>
      </w:r>
      <w:r w:rsidR="00E849E5">
        <w:rPr>
          <w:sz w:val="22"/>
          <w:szCs w:val="22"/>
          <w:lang w:val="hr-HR"/>
        </w:rPr>
        <w:t>je</w:t>
      </w:r>
      <w:r>
        <w:rPr>
          <w:sz w:val="22"/>
          <w:szCs w:val="22"/>
          <w:lang w:val="hr-HR"/>
        </w:rPr>
        <w:t>su uočene klinički značajne razlike u farmakokinetici ni u farmakodinamici između pacijenata muškog i ženskog pola.</w:t>
      </w:r>
      <w:r>
        <w:rPr>
          <w:sz w:val="22"/>
          <w:szCs w:val="22"/>
          <w:lang w:val="sr-Latn-ME"/>
        </w:rPr>
        <w:t xml:space="preserve"> </w:t>
      </w:r>
      <w:r w:rsidRPr="000138F2">
        <w:rPr>
          <w:sz w:val="22"/>
          <w:szCs w:val="22"/>
          <w:lang w:val="mk-MK"/>
        </w:rPr>
        <w:t>Eksplorativna analiza nije otkrila zna</w:t>
      </w:r>
      <w:r w:rsidRPr="000138F2">
        <w:rPr>
          <w:rFonts w:hint="eastAsia"/>
          <w:sz w:val="22"/>
          <w:szCs w:val="22"/>
          <w:lang w:val="mk-MK"/>
        </w:rPr>
        <w:t>č</w:t>
      </w:r>
      <w:r w:rsidRPr="000138F2">
        <w:rPr>
          <w:sz w:val="22"/>
          <w:szCs w:val="22"/>
          <w:lang w:val="mk-MK"/>
        </w:rPr>
        <w:t>ajne razlike u izlo</w:t>
      </w:r>
      <w:r w:rsidRPr="000138F2">
        <w:rPr>
          <w:rFonts w:hint="eastAsia"/>
          <w:sz w:val="22"/>
          <w:szCs w:val="22"/>
          <w:lang w:val="mk-MK"/>
        </w:rPr>
        <w:t>ž</w:t>
      </w:r>
      <w:r w:rsidRPr="000138F2">
        <w:rPr>
          <w:sz w:val="22"/>
          <w:szCs w:val="22"/>
          <w:lang w:val="mk-MK"/>
        </w:rPr>
        <w:t>enosti rivaroksabanu</w:t>
      </w:r>
      <w:r w:rsidR="000138F2">
        <w:rPr>
          <w:sz w:val="22"/>
          <w:szCs w:val="22"/>
          <w:lang w:val="sr-Latn-ME"/>
        </w:rPr>
        <w:t xml:space="preserve"> </w:t>
      </w:r>
      <w:r w:rsidRPr="00C168EA">
        <w:rPr>
          <w:sz w:val="22"/>
          <w:szCs w:val="22"/>
          <w:lang w:val="mk-MK"/>
        </w:rPr>
        <w:t>izme</w:t>
      </w:r>
      <w:r w:rsidRPr="00C168EA">
        <w:rPr>
          <w:rFonts w:hint="eastAsia"/>
          <w:sz w:val="22"/>
          <w:szCs w:val="22"/>
          <w:lang w:val="mk-MK"/>
        </w:rPr>
        <w:t>đ</w:t>
      </w:r>
      <w:r w:rsidRPr="00C168EA">
        <w:rPr>
          <w:sz w:val="22"/>
          <w:szCs w:val="22"/>
          <w:lang w:val="mk-MK"/>
        </w:rPr>
        <w:t>u d</w:t>
      </w:r>
      <w:r w:rsidRPr="00C168EA">
        <w:rPr>
          <w:sz w:val="22"/>
          <w:szCs w:val="22"/>
          <w:lang w:val="sr-Latn-ME"/>
        </w:rPr>
        <w:t>j</w:t>
      </w:r>
      <w:r w:rsidRPr="00C168EA">
        <w:rPr>
          <w:sz w:val="22"/>
          <w:szCs w:val="22"/>
          <w:lang w:val="mk-MK"/>
        </w:rPr>
        <w:t>ece mu</w:t>
      </w:r>
      <w:r w:rsidRPr="00C168EA">
        <w:rPr>
          <w:rFonts w:hint="eastAsia"/>
          <w:sz w:val="22"/>
          <w:szCs w:val="22"/>
          <w:lang w:val="mk-MK"/>
        </w:rPr>
        <w:t>š</w:t>
      </w:r>
      <w:r w:rsidRPr="00C168EA">
        <w:rPr>
          <w:sz w:val="22"/>
          <w:szCs w:val="22"/>
          <w:lang w:val="mk-MK"/>
        </w:rPr>
        <w:t xml:space="preserve">kog i </w:t>
      </w:r>
      <w:r w:rsidRPr="00C168EA">
        <w:rPr>
          <w:rFonts w:hint="eastAsia"/>
          <w:sz w:val="22"/>
          <w:szCs w:val="22"/>
          <w:lang w:val="mk-MK"/>
        </w:rPr>
        <w:t>ž</w:t>
      </w:r>
      <w:r w:rsidRPr="00C168EA">
        <w:rPr>
          <w:sz w:val="22"/>
          <w:szCs w:val="22"/>
          <w:lang w:val="mk-MK"/>
        </w:rPr>
        <w:t>enskog pola</w:t>
      </w:r>
      <w:r w:rsidRPr="00C168EA">
        <w:rPr>
          <w:sz w:val="22"/>
          <w:szCs w:val="22"/>
          <w:lang w:val="sr-Latn-ME"/>
        </w:rPr>
        <w:t>.</w:t>
      </w:r>
      <w:r w:rsidRPr="00C168EA">
        <w:rPr>
          <w:sz w:val="22"/>
          <w:szCs w:val="22"/>
          <w:lang w:val="hr-HR"/>
        </w:rPr>
        <w:t xml:space="preserve"> </w:t>
      </w:r>
    </w:p>
    <w:p w14:paraId="196A3C2B" w14:textId="77777777" w:rsidR="00E659A5" w:rsidRDefault="00E659A5">
      <w:pPr>
        <w:pStyle w:val="Default"/>
        <w:jc w:val="both"/>
        <w:rPr>
          <w:sz w:val="22"/>
          <w:szCs w:val="22"/>
          <w:lang w:val="hr-HR"/>
        </w:rPr>
      </w:pPr>
    </w:p>
    <w:p w14:paraId="1B92F778" w14:textId="77777777" w:rsidR="00E659A5" w:rsidRDefault="00C21592">
      <w:pPr>
        <w:pStyle w:val="Default"/>
        <w:jc w:val="both"/>
        <w:rPr>
          <w:sz w:val="22"/>
          <w:szCs w:val="22"/>
          <w:lang w:val="hr-HR"/>
        </w:rPr>
      </w:pPr>
      <w:r>
        <w:rPr>
          <w:i/>
          <w:iCs/>
          <w:sz w:val="22"/>
          <w:szCs w:val="22"/>
          <w:lang w:val="hr-HR"/>
        </w:rPr>
        <w:t>Starija populacija</w:t>
      </w:r>
    </w:p>
    <w:p w14:paraId="702C72C2" w14:textId="77777777" w:rsidR="00E659A5" w:rsidRDefault="00C21592">
      <w:pPr>
        <w:pStyle w:val="Default"/>
        <w:jc w:val="both"/>
        <w:rPr>
          <w:sz w:val="22"/>
          <w:szCs w:val="22"/>
          <w:lang w:val="hr-HR"/>
        </w:rPr>
      </w:pPr>
      <w:r>
        <w:rPr>
          <w:sz w:val="22"/>
          <w:szCs w:val="22"/>
          <w:lang w:val="hr-HR"/>
        </w:rPr>
        <w:t>Kod starijih pacijenata koncentracije u plazmi su bile veće nego kod mlađih, pri čemu je srednja vrijednost PIK bila oko 1,5 puta veća, uglavnom zbog smanjenja (prividnog) ukupnog i renalnog klirensa. Nije potrebno bilo kakvo prilagođavanje doze.</w:t>
      </w:r>
    </w:p>
    <w:p w14:paraId="743B7735" w14:textId="77777777" w:rsidR="00E659A5" w:rsidRDefault="00E659A5">
      <w:pPr>
        <w:pStyle w:val="Default"/>
        <w:jc w:val="both"/>
        <w:rPr>
          <w:sz w:val="22"/>
          <w:szCs w:val="22"/>
          <w:lang w:val="hr-HR"/>
        </w:rPr>
      </w:pPr>
    </w:p>
    <w:p w14:paraId="28591A7A" w14:textId="77777777" w:rsidR="00E659A5" w:rsidRDefault="00C21592">
      <w:pPr>
        <w:pStyle w:val="Default"/>
        <w:jc w:val="both"/>
        <w:rPr>
          <w:sz w:val="22"/>
          <w:szCs w:val="22"/>
          <w:lang w:val="hr-HR"/>
        </w:rPr>
      </w:pPr>
      <w:r>
        <w:rPr>
          <w:i/>
          <w:iCs/>
          <w:sz w:val="22"/>
          <w:szCs w:val="22"/>
          <w:lang w:val="hr-HR"/>
        </w:rPr>
        <w:t>Različite kategorije prema tjelesnoj masi</w:t>
      </w:r>
    </w:p>
    <w:p w14:paraId="7D597549" w14:textId="77777777" w:rsidR="00E659A5" w:rsidRDefault="00C21592">
      <w:pPr>
        <w:widowControl w:val="0"/>
        <w:jc w:val="both"/>
        <w:rPr>
          <w:rFonts w:eastAsia="Calibri"/>
        </w:rPr>
      </w:pPr>
      <w:r>
        <w:t>Ekstremne tjelesne mase (&lt; 50 kg ili &gt; 120 kg) imale su mali uticaj na koncentracije rivaroksabana u plazmi (manje od 25%). Nije potrebno prilagođavanje doze.</w:t>
      </w:r>
    </w:p>
    <w:p w14:paraId="6BF56FD9" w14:textId="77777777" w:rsidR="00E659A5" w:rsidRDefault="00C21592">
      <w:pPr>
        <w:widowControl w:val="0"/>
        <w:jc w:val="both"/>
        <w:rPr>
          <w:rFonts w:eastAsia="Calibri"/>
          <w:lang w:val="mk-MK"/>
        </w:rPr>
      </w:pPr>
      <w:r>
        <w:rPr>
          <w:rFonts w:eastAsia="Calibri"/>
          <w:lang w:val="mk-MK"/>
        </w:rPr>
        <w:t>Kod d</w:t>
      </w:r>
      <w:r>
        <w:rPr>
          <w:rFonts w:eastAsia="Calibri"/>
          <w:lang w:val="sr-Latn-ME"/>
        </w:rPr>
        <w:t>j</w:t>
      </w:r>
      <w:r>
        <w:rPr>
          <w:rFonts w:eastAsia="Calibri"/>
          <w:lang w:val="mk-MK"/>
        </w:rPr>
        <w:t>ece, rivaroksaban se dozira na osnovu t</w:t>
      </w:r>
      <w:r>
        <w:rPr>
          <w:rFonts w:eastAsia="Calibri"/>
          <w:lang w:val="sr-Latn-ME"/>
        </w:rPr>
        <w:t>j</w:t>
      </w:r>
      <w:r>
        <w:rPr>
          <w:rFonts w:eastAsia="Calibri"/>
          <w:lang w:val="mk-MK"/>
        </w:rPr>
        <w:t>elesne mase. Eksplorativna analiza nije otkrila zna</w:t>
      </w:r>
      <w:r>
        <w:rPr>
          <w:rFonts w:eastAsia="Calibri" w:hint="eastAsia"/>
          <w:lang w:val="mk-MK"/>
        </w:rPr>
        <w:t>č</w:t>
      </w:r>
      <w:r>
        <w:rPr>
          <w:rFonts w:eastAsia="Calibri"/>
          <w:lang w:val="mk-MK"/>
        </w:rPr>
        <w:t>ajan</w:t>
      </w:r>
    </w:p>
    <w:p w14:paraId="41D0BB43" w14:textId="77777777" w:rsidR="00E659A5" w:rsidRDefault="00C21592">
      <w:pPr>
        <w:widowControl w:val="0"/>
        <w:jc w:val="both"/>
        <w:rPr>
          <w:rFonts w:eastAsia="Calibri"/>
          <w:lang w:val="mk-MK"/>
        </w:rPr>
      </w:pPr>
      <w:r>
        <w:rPr>
          <w:rFonts w:eastAsia="Calibri"/>
          <w:lang w:val="mk-MK"/>
        </w:rPr>
        <w:t>uticaj pothranjenosti ili gojaznosti na izlo</w:t>
      </w:r>
      <w:r>
        <w:rPr>
          <w:rFonts w:eastAsia="Calibri" w:hint="eastAsia"/>
          <w:lang w:val="mk-MK"/>
        </w:rPr>
        <w:t>ž</w:t>
      </w:r>
      <w:r>
        <w:rPr>
          <w:rFonts w:eastAsia="Calibri"/>
          <w:lang w:val="mk-MK"/>
        </w:rPr>
        <w:t>enost rivaroksabanu kod d</w:t>
      </w:r>
      <w:r>
        <w:rPr>
          <w:rFonts w:eastAsia="Calibri"/>
          <w:lang w:val="sr-Latn-ME"/>
        </w:rPr>
        <w:t>j</w:t>
      </w:r>
      <w:r>
        <w:rPr>
          <w:rFonts w:eastAsia="Calibri"/>
          <w:lang w:val="mk-MK"/>
        </w:rPr>
        <w:t>ece.</w:t>
      </w:r>
    </w:p>
    <w:p w14:paraId="7FACD4AD" w14:textId="77777777" w:rsidR="00E659A5" w:rsidRDefault="00E659A5">
      <w:pPr>
        <w:widowControl w:val="0"/>
        <w:jc w:val="both"/>
        <w:rPr>
          <w:rFonts w:eastAsia="Calibri"/>
        </w:rPr>
      </w:pPr>
    </w:p>
    <w:p w14:paraId="2467DACC" w14:textId="77777777" w:rsidR="00E659A5" w:rsidRDefault="00C21592">
      <w:pPr>
        <w:pStyle w:val="Default"/>
        <w:jc w:val="both"/>
        <w:rPr>
          <w:sz w:val="22"/>
          <w:szCs w:val="22"/>
          <w:lang w:val="hr-HR"/>
        </w:rPr>
      </w:pPr>
      <w:r>
        <w:rPr>
          <w:i/>
          <w:iCs/>
          <w:sz w:val="22"/>
          <w:szCs w:val="22"/>
          <w:lang w:val="hr-HR"/>
        </w:rPr>
        <w:t>Međuetničke razlike</w:t>
      </w:r>
    </w:p>
    <w:p w14:paraId="3F4197F4" w14:textId="77777777" w:rsidR="00B24B41" w:rsidRDefault="00C21592">
      <w:pPr>
        <w:widowControl w:val="0"/>
        <w:jc w:val="both"/>
      </w:pPr>
      <w:r>
        <w:t>Ni</w:t>
      </w:r>
      <w:r w:rsidR="00DF5F37">
        <w:t>je</w:t>
      </w:r>
      <w:r>
        <w:t xml:space="preserve">su uočene klinički značajne međuetničke razlike u farmakokinetici ni u farmakodinamici rivaroksabana između </w:t>
      </w:r>
      <w:r w:rsidR="00B24B41" w:rsidRPr="00B92FEF">
        <w:t xml:space="preserve">između bijelih, afroameričkih, latinoameričkih, japanskih i kineskih </w:t>
      </w:r>
      <w:r w:rsidR="00B24B41">
        <w:t>pacijenata.</w:t>
      </w:r>
    </w:p>
    <w:p w14:paraId="614B1920" w14:textId="2B4585D5" w:rsidR="00E659A5" w:rsidRDefault="00C21592">
      <w:pPr>
        <w:widowControl w:val="0"/>
        <w:jc w:val="both"/>
        <w:rPr>
          <w:rFonts w:eastAsia="Calibri"/>
        </w:rPr>
      </w:pPr>
      <w:r>
        <w:rPr>
          <w:rFonts w:eastAsia="Calibri"/>
          <w:lang w:val="mk-MK"/>
        </w:rPr>
        <w:t>Eksplorativa analiza nije otkrila zna</w:t>
      </w:r>
      <w:r>
        <w:rPr>
          <w:rFonts w:eastAsia="Calibri" w:hint="eastAsia"/>
          <w:lang w:val="mk-MK"/>
        </w:rPr>
        <w:t>č</w:t>
      </w:r>
      <w:r>
        <w:rPr>
          <w:rFonts w:eastAsia="Calibri"/>
          <w:lang w:val="mk-MK"/>
        </w:rPr>
        <w:t>ajne me</w:t>
      </w:r>
      <w:r>
        <w:rPr>
          <w:rFonts w:eastAsia="Calibri" w:hint="eastAsia"/>
          <w:lang w:val="mk-MK"/>
        </w:rPr>
        <w:t>đ</w:t>
      </w:r>
      <w:r>
        <w:rPr>
          <w:rFonts w:eastAsia="Calibri"/>
          <w:lang w:val="mk-MK"/>
        </w:rPr>
        <w:t>uetni</w:t>
      </w:r>
      <w:r>
        <w:rPr>
          <w:rFonts w:eastAsia="Calibri" w:hint="eastAsia"/>
          <w:lang w:val="mk-MK"/>
        </w:rPr>
        <w:t>č</w:t>
      </w:r>
      <w:r>
        <w:rPr>
          <w:rFonts w:eastAsia="Calibri"/>
          <w:lang w:val="mk-MK"/>
        </w:rPr>
        <w:t>ke razlike u izlo</w:t>
      </w:r>
      <w:r>
        <w:rPr>
          <w:rFonts w:eastAsia="Calibri" w:hint="eastAsia"/>
          <w:lang w:val="mk-MK"/>
        </w:rPr>
        <w:t>ž</w:t>
      </w:r>
      <w:r>
        <w:rPr>
          <w:rFonts w:eastAsia="Calibri"/>
          <w:lang w:val="mk-MK"/>
        </w:rPr>
        <w:t xml:space="preserve">enosti rivaroksabanu </w:t>
      </w:r>
      <w:r w:rsidR="00B24B41">
        <w:rPr>
          <w:rFonts w:eastAsia="Calibri"/>
          <w:lang w:val="sr-Latn-ME"/>
        </w:rPr>
        <w:t>iz</w:t>
      </w:r>
      <w:r>
        <w:rPr>
          <w:rFonts w:eastAsia="Calibri"/>
          <w:lang w:val="mk-MK"/>
        </w:rPr>
        <w:t>me</w:t>
      </w:r>
      <w:r>
        <w:rPr>
          <w:rFonts w:eastAsia="Calibri" w:hint="eastAsia"/>
          <w:lang w:val="mk-MK"/>
        </w:rPr>
        <w:t>đ</w:t>
      </w:r>
      <w:r>
        <w:rPr>
          <w:rFonts w:eastAsia="Calibri"/>
          <w:lang w:val="mk-MK"/>
        </w:rPr>
        <w:t>u</w:t>
      </w:r>
      <w:r w:rsidR="00B24B41">
        <w:rPr>
          <w:rFonts w:eastAsia="Calibri"/>
          <w:lang w:val="sr-Latn-ME"/>
        </w:rPr>
        <w:t xml:space="preserve"> </w:t>
      </w:r>
      <w:r w:rsidR="00B24B41" w:rsidRPr="00B92FEF">
        <w:rPr>
          <w:rFonts w:eastAsia="Calibri"/>
          <w:lang w:val="sr-Latn-ME"/>
        </w:rPr>
        <w:t xml:space="preserve">japanske, kineske i azijske djece </w:t>
      </w:r>
      <w:r>
        <w:rPr>
          <w:rFonts w:eastAsia="Calibri"/>
          <w:lang w:val="mk-MK"/>
        </w:rPr>
        <w:t>izvan Japana i Kine u pore</w:t>
      </w:r>
      <w:r>
        <w:rPr>
          <w:rFonts w:eastAsia="Calibri" w:hint="eastAsia"/>
          <w:lang w:val="mk-MK"/>
        </w:rPr>
        <w:t>đ</w:t>
      </w:r>
      <w:r>
        <w:rPr>
          <w:rFonts w:eastAsia="Calibri"/>
          <w:lang w:val="mk-MK"/>
        </w:rPr>
        <w:t>enju sa odgovaraju</w:t>
      </w:r>
      <w:r>
        <w:rPr>
          <w:rFonts w:eastAsia="Calibri" w:hint="eastAsia"/>
          <w:lang w:val="mk-MK"/>
        </w:rPr>
        <w:t>ć</w:t>
      </w:r>
      <w:r>
        <w:rPr>
          <w:rFonts w:eastAsia="Calibri"/>
          <w:lang w:val="mk-MK"/>
        </w:rPr>
        <w:t>om ukupnom</w:t>
      </w:r>
      <w:r>
        <w:rPr>
          <w:rFonts w:eastAsia="Calibri"/>
          <w:lang w:val="sr-Latn-ME"/>
        </w:rPr>
        <w:t xml:space="preserve"> </w:t>
      </w:r>
      <w:r>
        <w:rPr>
          <w:rFonts w:eastAsia="Calibri"/>
          <w:lang w:val="mk-MK"/>
        </w:rPr>
        <w:t>pedijatrijskom populacijom</w:t>
      </w:r>
    </w:p>
    <w:p w14:paraId="190FB991" w14:textId="77777777" w:rsidR="00E659A5" w:rsidRDefault="00E659A5">
      <w:pPr>
        <w:widowControl w:val="0"/>
        <w:jc w:val="both"/>
        <w:rPr>
          <w:rFonts w:eastAsia="Calibri"/>
        </w:rPr>
      </w:pPr>
    </w:p>
    <w:p w14:paraId="0B4EBA75" w14:textId="77777777" w:rsidR="00E659A5" w:rsidRDefault="00C21592">
      <w:pPr>
        <w:pStyle w:val="Default"/>
        <w:jc w:val="both"/>
        <w:rPr>
          <w:sz w:val="22"/>
          <w:szCs w:val="22"/>
          <w:lang w:val="hr-HR"/>
        </w:rPr>
      </w:pPr>
      <w:r>
        <w:rPr>
          <w:i/>
          <w:iCs/>
          <w:sz w:val="22"/>
          <w:szCs w:val="22"/>
          <w:lang w:val="hr-HR"/>
        </w:rPr>
        <w:t>Oštećenje funkcije jetre</w:t>
      </w:r>
    </w:p>
    <w:p w14:paraId="6653D89E" w14:textId="77777777" w:rsidR="00E659A5" w:rsidRDefault="00C21592">
      <w:pPr>
        <w:pStyle w:val="Default"/>
        <w:jc w:val="both"/>
        <w:rPr>
          <w:sz w:val="22"/>
          <w:szCs w:val="22"/>
          <w:lang w:val="hr-HR"/>
        </w:rPr>
      </w:pPr>
      <w:r>
        <w:rPr>
          <w:sz w:val="22"/>
          <w:szCs w:val="22"/>
          <w:lang w:val="hr-HR"/>
        </w:rPr>
        <w:t xml:space="preserve">Kod pacijenata sa cirozom i blagim oštećenjem funkcije jetre (klasifikovano kao </w:t>
      </w:r>
      <w:r>
        <w:rPr>
          <w:i/>
          <w:sz w:val="22"/>
          <w:szCs w:val="22"/>
          <w:lang w:val="hr-HR"/>
        </w:rPr>
        <w:t>Child-Pugh</w:t>
      </w:r>
      <w:r>
        <w:rPr>
          <w:sz w:val="22"/>
          <w:szCs w:val="22"/>
          <w:lang w:val="hr-HR"/>
        </w:rPr>
        <w:t xml:space="preserve"> stadijum A) uočene su samo manje promjene u farmakokinetici rivaroksabana (povećanje PIK rivaroksabana prosječno 1,2 puta), što je skoro u rasponu vrijednosti za odgovarajuće zdrave ispitanike u kontrolnoj grupi. Kod pacijenata sa cirozom i umjerenim oštećenjem funkcije jetre (klasifikovano kao </w:t>
      </w:r>
      <w:r>
        <w:rPr>
          <w:i/>
          <w:sz w:val="22"/>
          <w:szCs w:val="22"/>
          <w:lang w:val="hr-HR"/>
        </w:rPr>
        <w:t>Child-Pugh</w:t>
      </w:r>
      <w:r>
        <w:rPr>
          <w:sz w:val="22"/>
          <w:szCs w:val="22"/>
          <w:lang w:val="hr-HR"/>
        </w:rPr>
        <w:t xml:space="preserve"> stadijum B) srednja vrijednost PIK rivaroksabana značajno se povećala 2,3 puta u poređenju sa onom kod zdravih dobrovoljaca. PIK nevezanog rivaroksabana povećao se 2,6 puta. Kod tih pacijenata se smanjila i renalna eliminacija rivaroksabana, slično kao i kod pacijenata sa umjerenim oštećenjem funkcije bubrega.</w:t>
      </w:r>
    </w:p>
    <w:p w14:paraId="39AA157E" w14:textId="77777777" w:rsidR="00E659A5" w:rsidRDefault="00C21592">
      <w:pPr>
        <w:pStyle w:val="Default"/>
        <w:jc w:val="both"/>
        <w:rPr>
          <w:sz w:val="22"/>
          <w:szCs w:val="22"/>
          <w:lang w:val="hr-HR"/>
        </w:rPr>
      </w:pPr>
      <w:r>
        <w:rPr>
          <w:sz w:val="22"/>
          <w:szCs w:val="22"/>
          <w:lang w:val="hr-HR"/>
        </w:rPr>
        <w:t>Nema podataka za pacijente sa teškim oštećenjem funkcije jetre.</w:t>
      </w:r>
    </w:p>
    <w:p w14:paraId="4D07526C" w14:textId="77777777" w:rsidR="00E659A5" w:rsidRDefault="00C21592">
      <w:pPr>
        <w:pStyle w:val="Default"/>
        <w:jc w:val="both"/>
        <w:rPr>
          <w:sz w:val="22"/>
          <w:szCs w:val="22"/>
          <w:lang w:val="hr-HR"/>
        </w:rPr>
      </w:pPr>
      <w:r>
        <w:rPr>
          <w:sz w:val="22"/>
          <w:szCs w:val="22"/>
          <w:lang w:val="hr-HR"/>
        </w:rPr>
        <w:t>Inhibicija aktivnosti faktora Xa povećala se za faktor 2,6 kod pacijenata sa umjerenim oštećenjem funkcije jetre u poređenju sa zdravim dobrovoljcima. PT se slično produžio za faktor 2,1. Pacijenti sa umjerenim oštećenjem funkcije jetre bili su osjetljiviji na dejstvo rivaroksabana, što je za posljedicu imalo strmiji PK/PD odnos između koncentracije i PT.</w:t>
      </w:r>
    </w:p>
    <w:p w14:paraId="2CF1D64C" w14:textId="77777777" w:rsidR="00E659A5" w:rsidRDefault="00C21592">
      <w:pPr>
        <w:widowControl w:val="0"/>
        <w:jc w:val="both"/>
        <w:rPr>
          <w:rFonts w:eastAsia="Calibri"/>
        </w:rPr>
      </w:pPr>
      <w:r>
        <w:t xml:space="preserve">Rivaroksaban je kontraindikovan kod pacijenata sa oboljenjem jetre koje je udruženo sa koagulopatijom </w:t>
      </w:r>
      <w:r>
        <w:lastRenderedPageBreak/>
        <w:t xml:space="preserve">i klinički značajnim rizikom od krvarenja, uključujući pacijente sa cirozom sa </w:t>
      </w:r>
      <w:r>
        <w:rPr>
          <w:i/>
        </w:rPr>
        <w:t>Child-Pugh</w:t>
      </w:r>
      <w:r>
        <w:t xml:space="preserve"> B i C (vidjeti dio 4.3).</w:t>
      </w:r>
    </w:p>
    <w:p w14:paraId="54B6EC03" w14:textId="77777777" w:rsidR="00E659A5" w:rsidRDefault="00C21592">
      <w:pPr>
        <w:widowControl w:val="0"/>
        <w:jc w:val="both"/>
        <w:rPr>
          <w:rFonts w:eastAsia="Calibri"/>
          <w:lang w:val="mk-MK"/>
        </w:rPr>
      </w:pPr>
      <w:r>
        <w:rPr>
          <w:rFonts w:eastAsia="Calibri"/>
          <w:lang w:val="mk-MK"/>
        </w:rPr>
        <w:t>Kod d</w:t>
      </w:r>
      <w:r>
        <w:rPr>
          <w:rFonts w:eastAsia="Calibri"/>
          <w:lang w:val="sr-Latn-ME"/>
        </w:rPr>
        <w:t>j</w:t>
      </w:r>
      <w:r>
        <w:rPr>
          <w:rFonts w:eastAsia="Calibri"/>
          <w:lang w:val="mk-MK"/>
        </w:rPr>
        <w:t>ece sa o</w:t>
      </w:r>
      <w:r>
        <w:rPr>
          <w:rFonts w:eastAsia="Calibri" w:hint="eastAsia"/>
          <w:lang w:val="mk-MK"/>
        </w:rPr>
        <w:t>š</w:t>
      </w:r>
      <w:r>
        <w:rPr>
          <w:rFonts w:eastAsia="Calibri"/>
          <w:lang w:val="mk-MK"/>
        </w:rPr>
        <w:t>te</w:t>
      </w:r>
      <w:r>
        <w:rPr>
          <w:rFonts w:eastAsia="Calibri" w:hint="eastAsia"/>
          <w:lang w:val="mk-MK"/>
        </w:rPr>
        <w:t>ć</w:t>
      </w:r>
      <w:r>
        <w:rPr>
          <w:rFonts w:eastAsia="Calibri"/>
          <w:lang w:val="mk-MK"/>
        </w:rPr>
        <w:t>enjem funkcije jetre nema dostupnih klini</w:t>
      </w:r>
      <w:r>
        <w:rPr>
          <w:rFonts w:eastAsia="Calibri" w:hint="eastAsia"/>
          <w:lang w:val="mk-MK"/>
        </w:rPr>
        <w:t>č</w:t>
      </w:r>
      <w:r>
        <w:rPr>
          <w:rFonts w:eastAsia="Calibri"/>
          <w:lang w:val="mk-MK"/>
        </w:rPr>
        <w:t>kih podataka.</w:t>
      </w:r>
    </w:p>
    <w:p w14:paraId="08891718" w14:textId="77777777" w:rsidR="00E659A5" w:rsidRDefault="00E659A5">
      <w:pPr>
        <w:widowControl w:val="0"/>
        <w:jc w:val="both"/>
        <w:rPr>
          <w:rFonts w:eastAsia="Calibri"/>
        </w:rPr>
      </w:pPr>
    </w:p>
    <w:p w14:paraId="0E47ABB2" w14:textId="77777777" w:rsidR="00E659A5" w:rsidRDefault="00C21592">
      <w:pPr>
        <w:pStyle w:val="Default"/>
        <w:jc w:val="both"/>
        <w:rPr>
          <w:sz w:val="22"/>
          <w:szCs w:val="22"/>
          <w:lang w:val="hr-HR"/>
        </w:rPr>
      </w:pPr>
      <w:r>
        <w:rPr>
          <w:i/>
          <w:iCs/>
          <w:sz w:val="22"/>
          <w:szCs w:val="22"/>
          <w:lang w:val="hr-HR"/>
        </w:rPr>
        <w:t>Oštećenje funkcije bubrega</w:t>
      </w:r>
    </w:p>
    <w:p w14:paraId="6E927313" w14:textId="77777777" w:rsidR="00E659A5" w:rsidRDefault="00C21592">
      <w:pPr>
        <w:widowControl w:val="0"/>
        <w:jc w:val="both"/>
        <w:rPr>
          <w:rFonts w:eastAsia="Calibri"/>
        </w:rPr>
      </w:pPr>
      <w:r>
        <w:rPr>
          <w:rFonts w:eastAsia="Calibri"/>
        </w:rPr>
        <w:t>Ekspozicija rivaroksabanu rasla je u korelaciji sa smanjenjem funkcije bubrega, koja je procijenjena na osnovu klirensa kreatinina. Kod osoba sa blagim (klirens kreatinina 50-80 ml/min), umjerenim (klirens kreatinina 30-49 ml/min) i teškim (klirens kreatinina 15-29 ml/min) oštećenjem funkcije bubrega, koncentracije rivaroksabana u plazmi (PIK) bile su povećane 1,4; 1,5 i 1,6 puta, redom. Odgovarajući porast farmakodinamskog odgovora bio je više izražen. Kod osoba sa blagim, umjerenim i teškim oštećenjem funkcije bubrega, ukupna inhibicija aktivnosti faktora Xa bila je povećana za faktor 1,5; 1,9 i 2,0, redom, u poređenju sa zdravim dobrovoljcima; produžavanje PT bilo je povećano u sličnoj mjeri, za faktor 1,3; 2,2 i 2,4. Nema podataka za pacijente sa klirensom kreatinina &lt; 15 ml/min. Ne očekuje se da se rivaroksaban uklanja dijalizom zbog toga što se u visokom stepenu vezuje za proteine plazme.</w:t>
      </w:r>
    </w:p>
    <w:p w14:paraId="03558E93" w14:textId="77777777" w:rsidR="00E659A5" w:rsidRDefault="00C21592">
      <w:pPr>
        <w:widowControl w:val="0"/>
        <w:jc w:val="both"/>
        <w:rPr>
          <w:rFonts w:eastAsia="Calibri"/>
        </w:rPr>
      </w:pPr>
      <w:r>
        <w:rPr>
          <w:rFonts w:eastAsia="Calibri"/>
        </w:rPr>
        <w:t>Ne preporučuje se primjena ovog lijeka kod pacijenata čiji je klirens kreatinina &lt; 15 ml/min. Rivaroksaban se primjenjuje uz mjere opreza kod pacijenata sa klirensom kreatinina od 15-29 ml/min (vidjeti dio 4.4).</w:t>
      </w:r>
    </w:p>
    <w:p w14:paraId="044B5BD2" w14:textId="252BFAF2" w:rsidR="00E659A5" w:rsidRDefault="00C21592">
      <w:pPr>
        <w:widowControl w:val="0"/>
        <w:jc w:val="both"/>
        <w:rPr>
          <w:rFonts w:eastAsia="Calibri"/>
          <w:lang w:val="mk-MK"/>
        </w:rPr>
      </w:pPr>
      <w:r>
        <w:rPr>
          <w:rFonts w:eastAsia="Calibri"/>
          <w:lang w:val="mk-MK"/>
        </w:rPr>
        <w:t>Kod d</w:t>
      </w:r>
      <w:r>
        <w:rPr>
          <w:rFonts w:eastAsia="Calibri"/>
          <w:lang w:val="sr-Latn-ME"/>
        </w:rPr>
        <w:t>j</w:t>
      </w:r>
      <w:r>
        <w:rPr>
          <w:rFonts w:eastAsia="Calibri"/>
          <w:lang w:val="mk-MK"/>
        </w:rPr>
        <w:t>ece starije od 1 godine sa um</w:t>
      </w:r>
      <w:r>
        <w:rPr>
          <w:rFonts w:eastAsia="Calibri"/>
          <w:lang w:val="sr-Latn-ME"/>
        </w:rPr>
        <w:t>j</w:t>
      </w:r>
      <w:r>
        <w:rPr>
          <w:rFonts w:eastAsia="Calibri"/>
          <w:lang w:val="mk-MK"/>
        </w:rPr>
        <w:t>erenim ili te</w:t>
      </w:r>
      <w:r>
        <w:rPr>
          <w:rFonts w:eastAsia="Calibri" w:hint="eastAsia"/>
          <w:lang w:val="mk-MK"/>
        </w:rPr>
        <w:t>š</w:t>
      </w:r>
      <w:r>
        <w:rPr>
          <w:rFonts w:eastAsia="Calibri"/>
          <w:lang w:val="mk-MK"/>
        </w:rPr>
        <w:t>kim o</w:t>
      </w:r>
      <w:r>
        <w:rPr>
          <w:rFonts w:eastAsia="Calibri" w:hint="eastAsia"/>
          <w:lang w:val="mk-MK"/>
        </w:rPr>
        <w:t>š</w:t>
      </w:r>
      <w:r>
        <w:rPr>
          <w:rFonts w:eastAsia="Calibri"/>
          <w:lang w:val="mk-MK"/>
        </w:rPr>
        <w:t>te</w:t>
      </w:r>
      <w:r>
        <w:rPr>
          <w:rFonts w:eastAsia="Calibri" w:hint="eastAsia"/>
          <w:lang w:val="mk-MK"/>
        </w:rPr>
        <w:t>ć</w:t>
      </w:r>
      <w:r>
        <w:rPr>
          <w:rFonts w:eastAsia="Calibri"/>
          <w:lang w:val="mk-MK"/>
        </w:rPr>
        <w:t>enjem funkcije bubrega (brzina glomerularne</w:t>
      </w:r>
      <w:r>
        <w:rPr>
          <w:rFonts w:eastAsia="Calibri"/>
          <w:lang w:val="sr-Latn-ME"/>
        </w:rPr>
        <w:t xml:space="preserve"> </w:t>
      </w:r>
      <w:r>
        <w:rPr>
          <w:rFonts w:eastAsia="Calibri"/>
          <w:lang w:val="mk-MK"/>
        </w:rPr>
        <w:t>filtracije &lt;50 m</w:t>
      </w:r>
      <w:r w:rsidR="00B24B41">
        <w:rPr>
          <w:rFonts w:eastAsia="Calibri"/>
          <w:lang w:val="sr-Latn-ME"/>
        </w:rPr>
        <w:t>l</w:t>
      </w:r>
      <w:r>
        <w:rPr>
          <w:rFonts w:eastAsia="Calibri"/>
          <w:lang w:val="mk-MK"/>
        </w:rPr>
        <w:t>/min/1,73 m2) nema dostupnih klini</w:t>
      </w:r>
      <w:r>
        <w:rPr>
          <w:rFonts w:eastAsia="Calibri" w:hint="eastAsia"/>
          <w:lang w:val="mk-MK"/>
        </w:rPr>
        <w:t>č</w:t>
      </w:r>
      <w:r>
        <w:rPr>
          <w:rFonts w:eastAsia="Calibri"/>
          <w:lang w:val="mk-MK"/>
        </w:rPr>
        <w:t>kih podataka.</w:t>
      </w:r>
    </w:p>
    <w:p w14:paraId="5A0E4687" w14:textId="77777777" w:rsidR="00E659A5" w:rsidRDefault="00E659A5">
      <w:pPr>
        <w:widowControl w:val="0"/>
        <w:jc w:val="both"/>
        <w:rPr>
          <w:rFonts w:eastAsia="Calibri"/>
        </w:rPr>
      </w:pPr>
    </w:p>
    <w:p w14:paraId="70B48E91" w14:textId="77777777" w:rsidR="00E659A5" w:rsidRDefault="00C21592">
      <w:pPr>
        <w:pStyle w:val="Default"/>
        <w:jc w:val="both"/>
        <w:rPr>
          <w:sz w:val="22"/>
          <w:szCs w:val="22"/>
          <w:u w:val="single"/>
          <w:lang w:val="hr-HR"/>
        </w:rPr>
      </w:pPr>
      <w:r>
        <w:rPr>
          <w:sz w:val="22"/>
          <w:szCs w:val="22"/>
          <w:u w:val="single"/>
          <w:lang w:val="hr-HR"/>
        </w:rPr>
        <w:t>Farmakokinetički podaci kod pacijenata</w:t>
      </w:r>
    </w:p>
    <w:p w14:paraId="59CE5599" w14:textId="77777777" w:rsidR="00E659A5" w:rsidRDefault="00C21592">
      <w:pPr>
        <w:widowControl w:val="0"/>
        <w:jc w:val="both"/>
      </w:pPr>
      <w:r>
        <w:t>Kod pacijenata koji primaju 20 mg rivaroksabana jednom dnevno za liječenje TDV, geometrijska sredina koncentracije (90% interval predviđanja) 2-4 h i oko 24 h nakon doze iznosila je 215 (22 - 535) i 32 (6 - 239) mcg/l (što ugrubo predstavlja maksimalnu i minimalnu koncentraciju tokom intervala doziranja).</w:t>
      </w:r>
    </w:p>
    <w:p w14:paraId="5BB6B169" w14:textId="77777777" w:rsidR="00E659A5" w:rsidRDefault="00E659A5">
      <w:pPr>
        <w:widowControl w:val="0"/>
        <w:jc w:val="both"/>
        <w:rPr>
          <w:rFonts w:eastAsia="Calibri"/>
        </w:rPr>
      </w:pPr>
    </w:p>
    <w:p w14:paraId="0AC0F964" w14:textId="77777777" w:rsidR="00E659A5" w:rsidRDefault="00C21592">
      <w:pPr>
        <w:widowControl w:val="0"/>
        <w:jc w:val="both"/>
        <w:rPr>
          <w:rFonts w:eastAsia="Calibri"/>
          <w:lang w:val="mk-MK"/>
        </w:rPr>
      </w:pPr>
      <w:r>
        <w:rPr>
          <w:rFonts w:eastAsia="Calibri"/>
          <w:lang w:val="mk-MK"/>
        </w:rPr>
        <w:t>Kod pedijatrijskih pacijenata sa akutnom VTE koji su primali rivaroksaban u dozi prilago</w:t>
      </w:r>
      <w:r>
        <w:rPr>
          <w:rFonts w:eastAsia="Calibri" w:hint="eastAsia"/>
          <w:lang w:val="mk-MK"/>
        </w:rPr>
        <w:t>đ</w:t>
      </w:r>
      <w:r>
        <w:rPr>
          <w:rFonts w:eastAsia="Calibri"/>
          <w:lang w:val="mk-MK"/>
        </w:rPr>
        <w:t>enoj njihovoj</w:t>
      </w:r>
      <w:r>
        <w:rPr>
          <w:rFonts w:eastAsia="Calibri"/>
          <w:lang w:val="sr-Latn-ME"/>
        </w:rPr>
        <w:t xml:space="preserve"> </w:t>
      </w:r>
      <w:r>
        <w:rPr>
          <w:rFonts w:eastAsia="Calibri"/>
          <w:lang w:val="mk-MK"/>
        </w:rPr>
        <w:t>t</w:t>
      </w:r>
      <w:r>
        <w:rPr>
          <w:rFonts w:eastAsia="Calibri"/>
          <w:lang w:val="sr-Latn-ME"/>
        </w:rPr>
        <w:t>j</w:t>
      </w:r>
      <w:r>
        <w:rPr>
          <w:rFonts w:eastAsia="Calibri"/>
          <w:lang w:val="mk-MK"/>
        </w:rPr>
        <w:t>elesnoj masi, koja je dovela do izlo</w:t>
      </w:r>
      <w:r>
        <w:rPr>
          <w:rFonts w:eastAsia="Calibri" w:hint="eastAsia"/>
          <w:lang w:val="mk-MK"/>
        </w:rPr>
        <w:t>ž</w:t>
      </w:r>
      <w:r>
        <w:rPr>
          <w:rFonts w:eastAsia="Calibri"/>
          <w:lang w:val="mk-MK"/>
        </w:rPr>
        <w:t>enosti sli</w:t>
      </w:r>
      <w:r>
        <w:rPr>
          <w:rFonts w:eastAsia="Calibri" w:hint="eastAsia"/>
          <w:lang w:val="mk-MK"/>
        </w:rPr>
        <w:t>č</w:t>
      </w:r>
      <w:r>
        <w:rPr>
          <w:rFonts w:eastAsia="Calibri"/>
          <w:lang w:val="mk-MK"/>
        </w:rPr>
        <w:t>ne postignutoj kod odraslih pacijenata sa TDV koji su</w:t>
      </w:r>
      <w:r>
        <w:rPr>
          <w:rFonts w:eastAsia="Calibri"/>
          <w:lang w:val="sr-Latn-ME"/>
        </w:rPr>
        <w:t xml:space="preserve"> </w:t>
      </w:r>
      <w:r>
        <w:rPr>
          <w:rFonts w:eastAsia="Calibri"/>
          <w:lang w:val="mk-MK"/>
        </w:rPr>
        <w:t xml:space="preserve">primali dnevnu dozu od 20 mg </w:t>
      </w:r>
      <w:r>
        <w:rPr>
          <w:rFonts w:eastAsia="Calibri"/>
          <w:lang w:val="sr-Latn-ME"/>
        </w:rPr>
        <w:t>jednom</w:t>
      </w:r>
      <w:r>
        <w:rPr>
          <w:rFonts w:eastAsia="Calibri"/>
          <w:lang w:val="mk-MK"/>
        </w:rPr>
        <w:t xml:space="preserve"> </w:t>
      </w:r>
      <w:r>
        <w:rPr>
          <w:rFonts w:eastAsia="Calibri"/>
          <w:lang w:val="sr-Latn-ME"/>
        </w:rPr>
        <w:t>dnevno</w:t>
      </w:r>
      <w:r>
        <w:rPr>
          <w:rFonts w:eastAsia="Calibri"/>
          <w:lang w:val="mk-MK"/>
        </w:rPr>
        <w:t>, geometrijske srednje vr</w:t>
      </w:r>
      <w:r>
        <w:rPr>
          <w:rFonts w:eastAsia="Calibri"/>
          <w:lang w:val="sr-Latn-ME"/>
        </w:rPr>
        <w:t>ij</w:t>
      </w:r>
      <w:r>
        <w:rPr>
          <w:rFonts w:eastAsia="Calibri"/>
          <w:lang w:val="mk-MK"/>
        </w:rPr>
        <w:t>ednosti koncentracije (90%</w:t>
      </w:r>
      <w:r>
        <w:rPr>
          <w:rFonts w:eastAsia="Calibri"/>
          <w:lang w:val="sr-Latn-ME"/>
        </w:rPr>
        <w:t xml:space="preserve"> </w:t>
      </w:r>
      <w:r>
        <w:rPr>
          <w:rFonts w:eastAsia="Calibri"/>
          <w:lang w:val="mk-MK"/>
        </w:rPr>
        <w:t>interval) u vr</w:t>
      </w:r>
      <w:r>
        <w:rPr>
          <w:rFonts w:eastAsia="Calibri"/>
          <w:lang w:val="sr-Latn-ME"/>
        </w:rPr>
        <w:t>ij</w:t>
      </w:r>
      <w:r>
        <w:rPr>
          <w:rFonts w:eastAsia="Calibri"/>
          <w:lang w:val="mk-MK"/>
        </w:rPr>
        <w:t>eme uzimanja uzoraka, koje pribli</w:t>
      </w:r>
      <w:r>
        <w:rPr>
          <w:rFonts w:eastAsia="Calibri" w:hint="eastAsia"/>
          <w:lang w:val="mk-MK"/>
        </w:rPr>
        <w:t>ž</w:t>
      </w:r>
      <w:r>
        <w:rPr>
          <w:rFonts w:eastAsia="Calibri"/>
          <w:lang w:val="mk-MK"/>
        </w:rPr>
        <w:t>no predstavljaju najve</w:t>
      </w:r>
      <w:r>
        <w:rPr>
          <w:rFonts w:eastAsia="Calibri" w:hint="eastAsia"/>
          <w:lang w:val="mk-MK"/>
        </w:rPr>
        <w:t>ć</w:t>
      </w:r>
      <w:r>
        <w:rPr>
          <w:rFonts w:eastAsia="Calibri"/>
          <w:lang w:val="mk-MK"/>
        </w:rPr>
        <w:t>e i najmanje koncentracije tokom</w:t>
      </w:r>
      <w:r>
        <w:rPr>
          <w:rFonts w:eastAsia="Calibri"/>
          <w:lang w:val="sr-Latn-ME"/>
        </w:rPr>
        <w:t xml:space="preserve"> </w:t>
      </w:r>
      <w:r>
        <w:rPr>
          <w:rFonts w:eastAsia="Calibri"/>
          <w:lang w:val="mk-MK"/>
        </w:rPr>
        <w:t>intervala doziranja, sa</w:t>
      </w:r>
      <w:r>
        <w:rPr>
          <w:rFonts w:eastAsia="Calibri" w:hint="eastAsia"/>
          <w:lang w:val="mk-MK"/>
        </w:rPr>
        <w:t>ž</w:t>
      </w:r>
      <w:r>
        <w:rPr>
          <w:rFonts w:eastAsia="Calibri"/>
          <w:lang w:val="mk-MK"/>
        </w:rPr>
        <w:t xml:space="preserve">eto su prikazane u </w:t>
      </w:r>
      <w:r>
        <w:rPr>
          <w:rFonts w:eastAsia="Calibri"/>
          <w:lang w:val="sr-Latn-ME"/>
        </w:rPr>
        <w:t>T</w:t>
      </w:r>
      <w:r>
        <w:rPr>
          <w:rFonts w:eastAsia="Calibri"/>
          <w:lang w:val="mk-MK"/>
        </w:rPr>
        <w:t>abeli 13.</w:t>
      </w:r>
    </w:p>
    <w:p w14:paraId="282C288D" w14:textId="77777777" w:rsidR="00E659A5" w:rsidRDefault="00E659A5">
      <w:pPr>
        <w:widowControl w:val="0"/>
        <w:autoSpaceDE w:val="0"/>
        <w:autoSpaceDN w:val="0"/>
        <w:outlineLvl w:val="0"/>
        <w:rPr>
          <w:b/>
          <w:bCs/>
          <w:szCs w:val="24"/>
          <w:lang w:val="en-US"/>
        </w:rPr>
      </w:pPr>
    </w:p>
    <w:p w14:paraId="411C7E0B" w14:textId="77777777" w:rsidR="00E659A5" w:rsidRDefault="00C21592" w:rsidP="00C168EA">
      <w:pPr>
        <w:widowControl w:val="0"/>
        <w:jc w:val="center"/>
        <w:rPr>
          <w:rFonts w:eastAsia="Calibri"/>
          <w:b/>
          <w:bCs/>
          <w:lang w:val="mk-MK"/>
        </w:rPr>
      </w:pPr>
      <w:r>
        <w:rPr>
          <w:rFonts w:eastAsia="Calibri"/>
          <w:b/>
          <w:bCs/>
          <w:lang w:val="mk-MK"/>
        </w:rPr>
        <w:t>Tabela 13: Sažetak prikazanih vr</w:t>
      </w:r>
      <w:r>
        <w:rPr>
          <w:rFonts w:eastAsia="Calibri"/>
          <w:b/>
          <w:bCs/>
          <w:lang w:val="sr-Latn-ME"/>
        </w:rPr>
        <w:t>ij</w:t>
      </w:r>
      <w:r>
        <w:rPr>
          <w:rFonts w:eastAsia="Calibri"/>
          <w:b/>
          <w:bCs/>
          <w:lang w:val="mk-MK"/>
        </w:rPr>
        <w:t>ednosti (geometrijska srednja vr</w:t>
      </w:r>
      <w:r>
        <w:rPr>
          <w:rFonts w:eastAsia="Calibri"/>
          <w:b/>
          <w:bCs/>
          <w:lang w:val="sr-Latn-ME"/>
        </w:rPr>
        <w:t>ij</w:t>
      </w:r>
      <w:r>
        <w:rPr>
          <w:rFonts w:eastAsia="Calibri"/>
          <w:b/>
          <w:bCs/>
          <w:lang w:val="mk-MK"/>
        </w:rPr>
        <w:t>ednost (90% interval))</w:t>
      </w:r>
    </w:p>
    <w:p w14:paraId="7D1C3725" w14:textId="77777777" w:rsidR="00E659A5" w:rsidRDefault="00C21592" w:rsidP="00C168EA">
      <w:pPr>
        <w:widowControl w:val="0"/>
        <w:jc w:val="center"/>
        <w:rPr>
          <w:rFonts w:eastAsia="Calibri"/>
          <w:b/>
          <w:bCs/>
          <w:lang w:val="mk-MK"/>
        </w:rPr>
      </w:pPr>
      <w:r>
        <w:rPr>
          <w:rFonts w:eastAsia="Calibri"/>
          <w:b/>
          <w:bCs/>
          <w:lang w:val="mk-MK"/>
        </w:rPr>
        <w:t>koncentracija rivaroksabana u plazmi (mikrogram /</w:t>
      </w:r>
      <w:r>
        <w:rPr>
          <w:rFonts w:eastAsia="Calibri"/>
          <w:b/>
          <w:bCs/>
          <w:lang w:val="sr-Latn-ME"/>
        </w:rPr>
        <w:t>l</w:t>
      </w:r>
      <w:r>
        <w:rPr>
          <w:rFonts w:eastAsia="Calibri"/>
          <w:b/>
          <w:bCs/>
          <w:lang w:val="mk-MK"/>
        </w:rPr>
        <w:t>) u stanju dinamičke ravnoteže prema</w:t>
      </w:r>
    </w:p>
    <w:p w14:paraId="3E7C8DC3" w14:textId="77777777" w:rsidR="00E659A5" w:rsidRDefault="00C21592" w:rsidP="00C168EA">
      <w:pPr>
        <w:widowControl w:val="0"/>
        <w:autoSpaceDE w:val="0"/>
        <w:autoSpaceDN w:val="0"/>
        <w:jc w:val="center"/>
        <w:outlineLvl w:val="0"/>
        <w:rPr>
          <w:b/>
          <w:bCs/>
          <w:szCs w:val="24"/>
          <w:lang w:val="en-US"/>
        </w:rPr>
      </w:pPr>
      <w:r>
        <w:rPr>
          <w:rFonts w:eastAsia="Calibri"/>
          <w:b/>
          <w:bCs/>
          <w:lang w:val="mk-MK"/>
        </w:rPr>
        <w:t>režimu doziranja i uzrastu</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6"/>
        <w:gridCol w:w="540"/>
        <w:gridCol w:w="1421"/>
        <w:gridCol w:w="538"/>
        <w:gridCol w:w="1392"/>
        <w:gridCol w:w="422"/>
        <w:gridCol w:w="1426"/>
        <w:gridCol w:w="417"/>
        <w:gridCol w:w="1629"/>
      </w:tblGrid>
      <w:tr w:rsidR="00E659A5" w14:paraId="4CA52F6D" w14:textId="77777777">
        <w:trPr>
          <w:trHeight w:val="506"/>
        </w:trPr>
        <w:tc>
          <w:tcPr>
            <w:tcW w:w="704" w:type="pct"/>
            <w:shd w:val="clear" w:color="auto" w:fill="auto"/>
          </w:tcPr>
          <w:p w14:paraId="4B574D7A" w14:textId="77777777" w:rsidR="00E659A5" w:rsidRDefault="00C21592">
            <w:pPr>
              <w:widowControl w:val="0"/>
              <w:autoSpaceDE w:val="0"/>
              <w:autoSpaceDN w:val="0"/>
              <w:spacing w:before="2" w:line="254" w:lineRule="exact"/>
              <w:ind w:left="107"/>
              <w:rPr>
                <w:rFonts w:eastAsia="Calibri"/>
                <w:b/>
                <w:szCs w:val="24"/>
                <w:lang w:val="en-US"/>
              </w:rPr>
            </w:pPr>
            <w:r>
              <w:rPr>
                <w:rFonts w:eastAsia="Calibri"/>
                <w:b/>
                <w:szCs w:val="24"/>
                <w:lang w:val="en-US"/>
              </w:rPr>
              <w:t>Vremenski</w:t>
            </w:r>
          </w:p>
          <w:p w14:paraId="6F4420C7" w14:textId="77777777" w:rsidR="00E659A5" w:rsidRDefault="00C21592">
            <w:pPr>
              <w:widowControl w:val="0"/>
              <w:autoSpaceDE w:val="0"/>
              <w:autoSpaceDN w:val="0"/>
              <w:spacing w:before="2" w:line="254" w:lineRule="exact"/>
              <w:ind w:left="107"/>
              <w:rPr>
                <w:rFonts w:eastAsia="Calibri"/>
                <w:b/>
                <w:szCs w:val="24"/>
                <w:lang w:val="en-US"/>
              </w:rPr>
            </w:pPr>
            <w:r>
              <w:rPr>
                <w:rFonts w:eastAsia="Calibri"/>
                <w:b/>
                <w:szCs w:val="24"/>
                <w:lang w:val="en-US"/>
              </w:rPr>
              <w:t>periodi</w:t>
            </w:r>
          </w:p>
        </w:tc>
        <w:tc>
          <w:tcPr>
            <w:tcW w:w="298" w:type="pct"/>
            <w:shd w:val="clear" w:color="auto" w:fill="auto"/>
          </w:tcPr>
          <w:p w14:paraId="23AA5BDE" w14:textId="77777777" w:rsidR="00E659A5" w:rsidRDefault="00E659A5">
            <w:pPr>
              <w:widowControl w:val="0"/>
              <w:autoSpaceDE w:val="0"/>
              <w:autoSpaceDN w:val="0"/>
              <w:rPr>
                <w:rFonts w:eastAsia="Calibri"/>
                <w:szCs w:val="24"/>
                <w:lang w:val="en-US"/>
              </w:rPr>
            </w:pPr>
          </w:p>
        </w:tc>
        <w:tc>
          <w:tcPr>
            <w:tcW w:w="784" w:type="pct"/>
            <w:shd w:val="clear" w:color="auto" w:fill="auto"/>
          </w:tcPr>
          <w:p w14:paraId="59932AF0" w14:textId="77777777" w:rsidR="00E659A5" w:rsidRDefault="00E659A5">
            <w:pPr>
              <w:widowControl w:val="0"/>
              <w:autoSpaceDE w:val="0"/>
              <w:autoSpaceDN w:val="0"/>
              <w:rPr>
                <w:rFonts w:eastAsia="Calibri"/>
                <w:szCs w:val="24"/>
                <w:lang w:val="en-US"/>
              </w:rPr>
            </w:pPr>
          </w:p>
        </w:tc>
        <w:tc>
          <w:tcPr>
            <w:tcW w:w="297" w:type="pct"/>
            <w:shd w:val="clear" w:color="auto" w:fill="auto"/>
          </w:tcPr>
          <w:p w14:paraId="7DE32A7A" w14:textId="77777777" w:rsidR="00E659A5" w:rsidRDefault="00E659A5">
            <w:pPr>
              <w:widowControl w:val="0"/>
              <w:autoSpaceDE w:val="0"/>
              <w:autoSpaceDN w:val="0"/>
              <w:rPr>
                <w:rFonts w:eastAsia="Calibri"/>
                <w:szCs w:val="24"/>
                <w:lang w:val="en-US"/>
              </w:rPr>
            </w:pPr>
          </w:p>
        </w:tc>
        <w:tc>
          <w:tcPr>
            <w:tcW w:w="768" w:type="pct"/>
            <w:shd w:val="clear" w:color="auto" w:fill="auto"/>
          </w:tcPr>
          <w:p w14:paraId="0EE17CBD" w14:textId="77777777" w:rsidR="00E659A5" w:rsidRDefault="00E659A5">
            <w:pPr>
              <w:widowControl w:val="0"/>
              <w:autoSpaceDE w:val="0"/>
              <w:autoSpaceDN w:val="0"/>
              <w:rPr>
                <w:rFonts w:eastAsia="Calibri"/>
                <w:szCs w:val="24"/>
                <w:lang w:val="en-US"/>
              </w:rPr>
            </w:pPr>
          </w:p>
        </w:tc>
        <w:tc>
          <w:tcPr>
            <w:tcW w:w="233" w:type="pct"/>
            <w:shd w:val="clear" w:color="auto" w:fill="auto"/>
          </w:tcPr>
          <w:p w14:paraId="7B7B2038" w14:textId="77777777" w:rsidR="00E659A5" w:rsidRDefault="00E659A5">
            <w:pPr>
              <w:widowControl w:val="0"/>
              <w:autoSpaceDE w:val="0"/>
              <w:autoSpaceDN w:val="0"/>
              <w:rPr>
                <w:rFonts w:eastAsia="Calibri"/>
                <w:szCs w:val="24"/>
                <w:lang w:val="en-US"/>
              </w:rPr>
            </w:pPr>
          </w:p>
        </w:tc>
        <w:tc>
          <w:tcPr>
            <w:tcW w:w="787" w:type="pct"/>
            <w:shd w:val="clear" w:color="auto" w:fill="auto"/>
          </w:tcPr>
          <w:p w14:paraId="3D900213" w14:textId="77777777" w:rsidR="00E659A5" w:rsidRDefault="00E659A5">
            <w:pPr>
              <w:widowControl w:val="0"/>
              <w:autoSpaceDE w:val="0"/>
              <w:autoSpaceDN w:val="0"/>
              <w:rPr>
                <w:rFonts w:eastAsia="Calibri"/>
                <w:szCs w:val="24"/>
                <w:lang w:val="en-US"/>
              </w:rPr>
            </w:pPr>
          </w:p>
        </w:tc>
        <w:tc>
          <w:tcPr>
            <w:tcW w:w="230" w:type="pct"/>
            <w:shd w:val="clear" w:color="auto" w:fill="auto"/>
          </w:tcPr>
          <w:p w14:paraId="58AC64F3" w14:textId="77777777" w:rsidR="00E659A5" w:rsidRDefault="00E659A5">
            <w:pPr>
              <w:widowControl w:val="0"/>
              <w:autoSpaceDE w:val="0"/>
              <w:autoSpaceDN w:val="0"/>
              <w:rPr>
                <w:rFonts w:eastAsia="Calibri"/>
                <w:szCs w:val="24"/>
                <w:lang w:val="en-US"/>
              </w:rPr>
            </w:pPr>
          </w:p>
        </w:tc>
        <w:tc>
          <w:tcPr>
            <w:tcW w:w="899" w:type="pct"/>
            <w:shd w:val="clear" w:color="auto" w:fill="auto"/>
          </w:tcPr>
          <w:p w14:paraId="68A99425" w14:textId="77777777" w:rsidR="00E659A5" w:rsidRDefault="00E659A5">
            <w:pPr>
              <w:widowControl w:val="0"/>
              <w:autoSpaceDE w:val="0"/>
              <w:autoSpaceDN w:val="0"/>
              <w:rPr>
                <w:rFonts w:eastAsia="Calibri"/>
                <w:szCs w:val="24"/>
                <w:lang w:val="en-US"/>
              </w:rPr>
            </w:pPr>
          </w:p>
        </w:tc>
      </w:tr>
      <w:tr w:rsidR="00E659A5" w14:paraId="13EDE91A" w14:textId="77777777">
        <w:trPr>
          <w:trHeight w:val="501"/>
        </w:trPr>
        <w:tc>
          <w:tcPr>
            <w:tcW w:w="704" w:type="pct"/>
            <w:shd w:val="clear" w:color="auto" w:fill="auto"/>
          </w:tcPr>
          <w:p w14:paraId="78193638" w14:textId="77777777" w:rsidR="00E659A5" w:rsidRDefault="00C21592">
            <w:pPr>
              <w:widowControl w:val="0"/>
              <w:autoSpaceDE w:val="0"/>
              <w:autoSpaceDN w:val="0"/>
              <w:spacing w:line="249" w:lineRule="exact"/>
              <w:ind w:left="107"/>
              <w:rPr>
                <w:rFonts w:eastAsia="Calibri"/>
                <w:b/>
                <w:szCs w:val="24"/>
                <w:lang w:val="en-US"/>
              </w:rPr>
            </w:pPr>
            <w:r>
              <w:rPr>
                <w:rFonts w:eastAsia="Calibri"/>
                <w:b/>
                <w:szCs w:val="24"/>
                <w:lang w:val="en-US"/>
              </w:rPr>
              <w:t>jednom</w:t>
            </w:r>
          </w:p>
          <w:p w14:paraId="7A420970" w14:textId="77777777" w:rsidR="00E659A5" w:rsidRDefault="00C21592">
            <w:pPr>
              <w:widowControl w:val="0"/>
              <w:autoSpaceDE w:val="0"/>
              <w:autoSpaceDN w:val="0"/>
              <w:spacing w:line="249" w:lineRule="exact"/>
              <w:ind w:left="107"/>
              <w:rPr>
                <w:rFonts w:eastAsia="Calibri"/>
                <w:b/>
                <w:szCs w:val="24"/>
                <w:lang w:val="en-US"/>
              </w:rPr>
            </w:pPr>
            <w:r>
              <w:rPr>
                <w:rFonts w:eastAsia="Calibri"/>
                <w:b/>
                <w:szCs w:val="24"/>
                <w:lang w:val="en-US"/>
              </w:rPr>
              <w:t>dnevno</w:t>
            </w:r>
          </w:p>
        </w:tc>
        <w:tc>
          <w:tcPr>
            <w:tcW w:w="298" w:type="pct"/>
            <w:shd w:val="clear" w:color="auto" w:fill="auto"/>
          </w:tcPr>
          <w:p w14:paraId="5270FAB5" w14:textId="77777777" w:rsidR="00E659A5" w:rsidRDefault="00C21592">
            <w:pPr>
              <w:widowControl w:val="0"/>
              <w:autoSpaceDE w:val="0"/>
              <w:autoSpaceDN w:val="0"/>
              <w:spacing w:line="249" w:lineRule="exact"/>
              <w:ind w:left="107"/>
              <w:rPr>
                <w:rFonts w:eastAsia="Calibri"/>
                <w:b/>
                <w:szCs w:val="24"/>
                <w:lang w:val="en-US"/>
              </w:rPr>
            </w:pPr>
            <w:r>
              <w:rPr>
                <w:rFonts w:eastAsia="Calibri"/>
                <w:b/>
                <w:w w:val="99"/>
                <w:szCs w:val="24"/>
                <w:lang w:val="en-US"/>
              </w:rPr>
              <w:t>N</w:t>
            </w:r>
          </w:p>
        </w:tc>
        <w:tc>
          <w:tcPr>
            <w:tcW w:w="784" w:type="pct"/>
            <w:shd w:val="clear" w:color="auto" w:fill="auto"/>
          </w:tcPr>
          <w:p w14:paraId="534ED6AE" w14:textId="77777777" w:rsidR="00E659A5" w:rsidRDefault="00C21592" w:rsidP="00C168EA">
            <w:pPr>
              <w:widowControl w:val="0"/>
              <w:autoSpaceDE w:val="0"/>
              <w:autoSpaceDN w:val="0"/>
              <w:spacing w:line="249" w:lineRule="exact"/>
              <w:ind w:left="107"/>
              <w:jc w:val="center"/>
              <w:rPr>
                <w:rFonts w:eastAsia="Calibri"/>
                <w:b/>
                <w:szCs w:val="24"/>
                <w:lang w:val="en-US"/>
              </w:rPr>
            </w:pPr>
            <w:r>
              <w:rPr>
                <w:rFonts w:eastAsia="Calibri"/>
                <w:b/>
                <w:szCs w:val="24"/>
                <w:lang w:val="en-US"/>
              </w:rPr>
              <w:t>12 -</w:t>
            </w:r>
          </w:p>
          <w:p w14:paraId="128EC4C1" w14:textId="77777777" w:rsidR="00E659A5" w:rsidRDefault="00C21592" w:rsidP="00C168EA">
            <w:pPr>
              <w:widowControl w:val="0"/>
              <w:autoSpaceDE w:val="0"/>
              <w:autoSpaceDN w:val="0"/>
              <w:spacing w:line="233" w:lineRule="exact"/>
              <w:ind w:left="107"/>
              <w:jc w:val="center"/>
              <w:rPr>
                <w:rFonts w:eastAsia="Calibri"/>
                <w:b/>
                <w:szCs w:val="24"/>
                <w:lang w:val="en-US"/>
              </w:rPr>
            </w:pPr>
            <w:r>
              <w:rPr>
                <w:rFonts w:eastAsia="Calibri"/>
                <w:b/>
                <w:szCs w:val="24"/>
                <w:lang w:val="en-US"/>
              </w:rPr>
              <w:t>&lt; 18 godina</w:t>
            </w:r>
          </w:p>
        </w:tc>
        <w:tc>
          <w:tcPr>
            <w:tcW w:w="297" w:type="pct"/>
            <w:shd w:val="clear" w:color="auto" w:fill="auto"/>
          </w:tcPr>
          <w:p w14:paraId="0A1ED70A" w14:textId="77777777" w:rsidR="00E659A5" w:rsidRDefault="00C21592" w:rsidP="00C168EA">
            <w:pPr>
              <w:widowControl w:val="0"/>
              <w:autoSpaceDE w:val="0"/>
              <w:autoSpaceDN w:val="0"/>
              <w:spacing w:line="249" w:lineRule="exact"/>
              <w:ind w:left="107"/>
              <w:jc w:val="center"/>
              <w:rPr>
                <w:rFonts w:eastAsia="Calibri"/>
                <w:b/>
                <w:szCs w:val="24"/>
                <w:lang w:val="en-US"/>
              </w:rPr>
            </w:pPr>
            <w:r>
              <w:rPr>
                <w:rFonts w:eastAsia="Calibri"/>
                <w:b/>
                <w:w w:val="99"/>
                <w:szCs w:val="24"/>
                <w:lang w:val="en-US"/>
              </w:rPr>
              <w:t>N</w:t>
            </w:r>
          </w:p>
        </w:tc>
        <w:tc>
          <w:tcPr>
            <w:tcW w:w="768" w:type="pct"/>
            <w:shd w:val="clear" w:color="auto" w:fill="auto"/>
          </w:tcPr>
          <w:p w14:paraId="5C2C5394" w14:textId="77777777" w:rsidR="00E659A5" w:rsidRDefault="00C21592" w:rsidP="00C168EA">
            <w:pPr>
              <w:widowControl w:val="0"/>
              <w:autoSpaceDE w:val="0"/>
              <w:autoSpaceDN w:val="0"/>
              <w:spacing w:line="249" w:lineRule="exact"/>
              <w:ind w:left="106"/>
              <w:jc w:val="center"/>
              <w:rPr>
                <w:rFonts w:eastAsia="Calibri"/>
                <w:b/>
                <w:szCs w:val="24"/>
                <w:lang w:val="en-US"/>
              </w:rPr>
            </w:pPr>
            <w:r>
              <w:rPr>
                <w:rFonts w:eastAsia="Calibri"/>
                <w:b/>
                <w:szCs w:val="24"/>
                <w:lang w:val="en-US"/>
              </w:rPr>
              <w:t>6 -&lt; 12 godina</w:t>
            </w:r>
          </w:p>
        </w:tc>
        <w:tc>
          <w:tcPr>
            <w:tcW w:w="233" w:type="pct"/>
            <w:shd w:val="clear" w:color="auto" w:fill="auto"/>
          </w:tcPr>
          <w:p w14:paraId="2B8F3068" w14:textId="77777777" w:rsidR="00E659A5" w:rsidRDefault="00E659A5" w:rsidP="00C168EA">
            <w:pPr>
              <w:widowControl w:val="0"/>
              <w:autoSpaceDE w:val="0"/>
              <w:autoSpaceDN w:val="0"/>
              <w:jc w:val="center"/>
              <w:rPr>
                <w:rFonts w:eastAsia="Calibri"/>
                <w:szCs w:val="24"/>
                <w:lang w:val="en-US"/>
              </w:rPr>
            </w:pPr>
          </w:p>
        </w:tc>
        <w:tc>
          <w:tcPr>
            <w:tcW w:w="787" w:type="pct"/>
            <w:shd w:val="clear" w:color="auto" w:fill="auto"/>
          </w:tcPr>
          <w:p w14:paraId="2F40BEE1" w14:textId="77777777" w:rsidR="00E659A5" w:rsidRDefault="00E659A5" w:rsidP="00C168EA">
            <w:pPr>
              <w:widowControl w:val="0"/>
              <w:autoSpaceDE w:val="0"/>
              <w:autoSpaceDN w:val="0"/>
              <w:jc w:val="center"/>
              <w:rPr>
                <w:rFonts w:eastAsia="Calibri"/>
                <w:szCs w:val="24"/>
                <w:lang w:val="en-US"/>
              </w:rPr>
            </w:pPr>
          </w:p>
        </w:tc>
        <w:tc>
          <w:tcPr>
            <w:tcW w:w="230" w:type="pct"/>
            <w:shd w:val="clear" w:color="auto" w:fill="auto"/>
          </w:tcPr>
          <w:p w14:paraId="61E780F2" w14:textId="77777777" w:rsidR="00E659A5" w:rsidRDefault="00E659A5" w:rsidP="00C168EA">
            <w:pPr>
              <w:widowControl w:val="0"/>
              <w:autoSpaceDE w:val="0"/>
              <w:autoSpaceDN w:val="0"/>
              <w:jc w:val="center"/>
              <w:rPr>
                <w:rFonts w:eastAsia="Calibri"/>
                <w:szCs w:val="24"/>
                <w:lang w:val="en-US"/>
              </w:rPr>
            </w:pPr>
          </w:p>
        </w:tc>
        <w:tc>
          <w:tcPr>
            <w:tcW w:w="899" w:type="pct"/>
            <w:shd w:val="clear" w:color="auto" w:fill="auto"/>
          </w:tcPr>
          <w:p w14:paraId="094AC17F" w14:textId="77777777" w:rsidR="00E659A5" w:rsidRDefault="00E659A5" w:rsidP="00C168EA">
            <w:pPr>
              <w:widowControl w:val="0"/>
              <w:autoSpaceDE w:val="0"/>
              <w:autoSpaceDN w:val="0"/>
              <w:jc w:val="center"/>
              <w:rPr>
                <w:rFonts w:eastAsia="Calibri"/>
                <w:szCs w:val="24"/>
                <w:lang w:val="en-US"/>
              </w:rPr>
            </w:pPr>
          </w:p>
        </w:tc>
      </w:tr>
      <w:tr w:rsidR="00E659A5" w14:paraId="76935088" w14:textId="77777777">
        <w:trPr>
          <w:trHeight w:val="506"/>
        </w:trPr>
        <w:tc>
          <w:tcPr>
            <w:tcW w:w="704" w:type="pct"/>
            <w:shd w:val="clear" w:color="auto" w:fill="auto"/>
          </w:tcPr>
          <w:p w14:paraId="29143442" w14:textId="77777777" w:rsidR="00E659A5" w:rsidRDefault="00C21592">
            <w:pPr>
              <w:widowControl w:val="0"/>
              <w:autoSpaceDE w:val="0"/>
              <w:autoSpaceDN w:val="0"/>
              <w:spacing w:line="253" w:lineRule="exact"/>
              <w:ind w:left="107"/>
              <w:rPr>
                <w:rFonts w:eastAsia="Calibri"/>
                <w:szCs w:val="24"/>
                <w:lang w:val="en-US"/>
              </w:rPr>
            </w:pPr>
            <w:r>
              <w:rPr>
                <w:rFonts w:eastAsia="Calibri"/>
                <w:szCs w:val="24"/>
                <w:lang w:val="en-US"/>
              </w:rPr>
              <w:t>2.5</w:t>
            </w:r>
            <w:r w:rsidR="00B24B41">
              <w:rPr>
                <w:rFonts w:eastAsia="Calibri"/>
                <w:szCs w:val="24"/>
                <w:lang w:val="en-US"/>
              </w:rPr>
              <w:t xml:space="preserve"> </w:t>
            </w:r>
            <w:r>
              <w:rPr>
                <w:rFonts w:eastAsia="Calibri"/>
                <w:szCs w:val="24"/>
                <w:lang w:val="en-US"/>
              </w:rPr>
              <w:t>-</w:t>
            </w:r>
            <w:r w:rsidR="00B24B41">
              <w:rPr>
                <w:rFonts w:eastAsia="Calibri"/>
                <w:szCs w:val="24"/>
                <w:lang w:val="en-US"/>
              </w:rPr>
              <w:t xml:space="preserve"> </w:t>
            </w:r>
            <w:r>
              <w:rPr>
                <w:rFonts w:eastAsia="Calibri"/>
                <w:szCs w:val="24"/>
                <w:lang w:val="en-US"/>
              </w:rPr>
              <w:t>4h post</w:t>
            </w:r>
          </w:p>
        </w:tc>
        <w:tc>
          <w:tcPr>
            <w:tcW w:w="298" w:type="pct"/>
            <w:shd w:val="clear" w:color="auto" w:fill="auto"/>
          </w:tcPr>
          <w:p w14:paraId="07258918" w14:textId="77777777" w:rsidR="00E659A5" w:rsidRDefault="00C21592">
            <w:pPr>
              <w:widowControl w:val="0"/>
              <w:autoSpaceDE w:val="0"/>
              <w:autoSpaceDN w:val="0"/>
              <w:spacing w:line="253" w:lineRule="exact"/>
              <w:ind w:left="107"/>
              <w:rPr>
                <w:rFonts w:eastAsia="Calibri"/>
                <w:szCs w:val="24"/>
                <w:lang w:val="en-US"/>
              </w:rPr>
            </w:pPr>
            <w:r>
              <w:rPr>
                <w:rFonts w:eastAsia="Calibri"/>
                <w:szCs w:val="24"/>
                <w:lang w:val="en-US"/>
              </w:rPr>
              <w:t>171</w:t>
            </w:r>
          </w:p>
        </w:tc>
        <w:tc>
          <w:tcPr>
            <w:tcW w:w="784" w:type="pct"/>
            <w:shd w:val="clear" w:color="auto" w:fill="auto"/>
          </w:tcPr>
          <w:p w14:paraId="46090B46" w14:textId="77777777" w:rsidR="00E659A5" w:rsidRDefault="00C21592" w:rsidP="00C168EA">
            <w:pPr>
              <w:widowControl w:val="0"/>
              <w:autoSpaceDE w:val="0"/>
              <w:autoSpaceDN w:val="0"/>
              <w:spacing w:line="253" w:lineRule="exact"/>
              <w:ind w:left="107"/>
              <w:jc w:val="center"/>
              <w:rPr>
                <w:rFonts w:eastAsia="Calibri"/>
                <w:szCs w:val="24"/>
                <w:lang w:val="en-US"/>
              </w:rPr>
            </w:pPr>
            <w:r>
              <w:rPr>
                <w:rFonts w:eastAsia="Calibri"/>
                <w:szCs w:val="24"/>
                <w:lang w:val="en-US"/>
              </w:rPr>
              <w:t>241.5</w:t>
            </w:r>
          </w:p>
          <w:p w14:paraId="6402670D" w14:textId="77777777" w:rsidR="00E659A5" w:rsidRDefault="00C21592" w:rsidP="00C168EA">
            <w:pPr>
              <w:widowControl w:val="0"/>
              <w:autoSpaceDE w:val="0"/>
              <w:autoSpaceDN w:val="0"/>
              <w:spacing w:line="233" w:lineRule="exact"/>
              <w:ind w:left="107"/>
              <w:jc w:val="center"/>
              <w:rPr>
                <w:rFonts w:eastAsia="Calibri"/>
                <w:szCs w:val="24"/>
                <w:lang w:val="en-US"/>
              </w:rPr>
            </w:pPr>
            <w:r>
              <w:rPr>
                <w:rFonts w:eastAsia="Calibri"/>
                <w:szCs w:val="24"/>
                <w:lang w:val="en-US"/>
              </w:rPr>
              <w:t>(105-484)</w:t>
            </w:r>
          </w:p>
        </w:tc>
        <w:tc>
          <w:tcPr>
            <w:tcW w:w="297" w:type="pct"/>
            <w:shd w:val="clear" w:color="auto" w:fill="auto"/>
          </w:tcPr>
          <w:p w14:paraId="4B3849C5" w14:textId="77777777" w:rsidR="00E659A5" w:rsidRDefault="00C21592" w:rsidP="00C168EA">
            <w:pPr>
              <w:widowControl w:val="0"/>
              <w:autoSpaceDE w:val="0"/>
              <w:autoSpaceDN w:val="0"/>
              <w:spacing w:line="253" w:lineRule="exact"/>
              <w:ind w:left="107"/>
              <w:jc w:val="center"/>
              <w:rPr>
                <w:rFonts w:eastAsia="Calibri"/>
                <w:szCs w:val="24"/>
                <w:lang w:val="en-US"/>
              </w:rPr>
            </w:pPr>
            <w:r>
              <w:rPr>
                <w:rFonts w:eastAsia="Calibri"/>
                <w:szCs w:val="24"/>
                <w:lang w:val="en-US"/>
              </w:rPr>
              <w:t>24</w:t>
            </w:r>
          </w:p>
        </w:tc>
        <w:tc>
          <w:tcPr>
            <w:tcW w:w="768" w:type="pct"/>
            <w:shd w:val="clear" w:color="auto" w:fill="auto"/>
          </w:tcPr>
          <w:p w14:paraId="4972E18F" w14:textId="77777777" w:rsidR="00E659A5" w:rsidRDefault="00C21592" w:rsidP="00C168EA">
            <w:pPr>
              <w:widowControl w:val="0"/>
              <w:autoSpaceDE w:val="0"/>
              <w:autoSpaceDN w:val="0"/>
              <w:spacing w:line="253" w:lineRule="exact"/>
              <w:ind w:left="106"/>
              <w:jc w:val="center"/>
              <w:rPr>
                <w:rFonts w:eastAsia="Calibri"/>
                <w:szCs w:val="24"/>
                <w:lang w:val="en-US"/>
              </w:rPr>
            </w:pPr>
            <w:r>
              <w:rPr>
                <w:rFonts w:eastAsia="Calibri"/>
                <w:szCs w:val="24"/>
                <w:lang w:val="en-US"/>
              </w:rPr>
              <w:t>229.7</w:t>
            </w:r>
          </w:p>
          <w:p w14:paraId="5744005E" w14:textId="77777777" w:rsidR="00E659A5" w:rsidRDefault="00C21592" w:rsidP="00C168EA">
            <w:pPr>
              <w:widowControl w:val="0"/>
              <w:autoSpaceDE w:val="0"/>
              <w:autoSpaceDN w:val="0"/>
              <w:spacing w:line="233" w:lineRule="exact"/>
              <w:ind w:left="106"/>
              <w:jc w:val="center"/>
              <w:rPr>
                <w:rFonts w:eastAsia="Calibri"/>
                <w:szCs w:val="24"/>
                <w:lang w:val="en-US"/>
              </w:rPr>
            </w:pPr>
            <w:r>
              <w:rPr>
                <w:rFonts w:eastAsia="Calibri"/>
                <w:szCs w:val="24"/>
                <w:lang w:val="en-US"/>
              </w:rPr>
              <w:t>(91.5-777)</w:t>
            </w:r>
          </w:p>
        </w:tc>
        <w:tc>
          <w:tcPr>
            <w:tcW w:w="233" w:type="pct"/>
            <w:shd w:val="clear" w:color="auto" w:fill="auto"/>
          </w:tcPr>
          <w:p w14:paraId="66CEF2AF" w14:textId="77777777" w:rsidR="00E659A5" w:rsidRDefault="00E659A5" w:rsidP="00C168EA">
            <w:pPr>
              <w:widowControl w:val="0"/>
              <w:autoSpaceDE w:val="0"/>
              <w:autoSpaceDN w:val="0"/>
              <w:jc w:val="center"/>
              <w:rPr>
                <w:rFonts w:eastAsia="Calibri"/>
                <w:szCs w:val="24"/>
                <w:lang w:val="en-US"/>
              </w:rPr>
            </w:pPr>
          </w:p>
        </w:tc>
        <w:tc>
          <w:tcPr>
            <w:tcW w:w="787" w:type="pct"/>
            <w:shd w:val="clear" w:color="auto" w:fill="auto"/>
          </w:tcPr>
          <w:p w14:paraId="2C4109EE" w14:textId="77777777" w:rsidR="00E659A5" w:rsidRDefault="00E659A5" w:rsidP="00C168EA">
            <w:pPr>
              <w:widowControl w:val="0"/>
              <w:autoSpaceDE w:val="0"/>
              <w:autoSpaceDN w:val="0"/>
              <w:jc w:val="center"/>
              <w:rPr>
                <w:rFonts w:eastAsia="Calibri"/>
                <w:szCs w:val="24"/>
                <w:lang w:val="en-US"/>
              </w:rPr>
            </w:pPr>
          </w:p>
        </w:tc>
        <w:tc>
          <w:tcPr>
            <w:tcW w:w="230" w:type="pct"/>
            <w:shd w:val="clear" w:color="auto" w:fill="auto"/>
          </w:tcPr>
          <w:p w14:paraId="5626A795" w14:textId="77777777" w:rsidR="00E659A5" w:rsidRDefault="00E659A5" w:rsidP="00C168EA">
            <w:pPr>
              <w:widowControl w:val="0"/>
              <w:autoSpaceDE w:val="0"/>
              <w:autoSpaceDN w:val="0"/>
              <w:jc w:val="center"/>
              <w:rPr>
                <w:rFonts w:eastAsia="Calibri"/>
                <w:szCs w:val="24"/>
                <w:lang w:val="en-US"/>
              </w:rPr>
            </w:pPr>
          </w:p>
        </w:tc>
        <w:tc>
          <w:tcPr>
            <w:tcW w:w="899" w:type="pct"/>
            <w:shd w:val="clear" w:color="auto" w:fill="auto"/>
          </w:tcPr>
          <w:p w14:paraId="23F7DAD8" w14:textId="77777777" w:rsidR="00E659A5" w:rsidRDefault="00E659A5" w:rsidP="00C168EA">
            <w:pPr>
              <w:widowControl w:val="0"/>
              <w:autoSpaceDE w:val="0"/>
              <w:autoSpaceDN w:val="0"/>
              <w:jc w:val="center"/>
              <w:rPr>
                <w:rFonts w:eastAsia="Calibri"/>
                <w:szCs w:val="24"/>
                <w:lang w:val="en-US"/>
              </w:rPr>
            </w:pPr>
          </w:p>
        </w:tc>
      </w:tr>
      <w:tr w:rsidR="00E659A5" w14:paraId="4C1C2D26" w14:textId="77777777">
        <w:trPr>
          <w:trHeight w:val="504"/>
        </w:trPr>
        <w:tc>
          <w:tcPr>
            <w:tcW w:w="704" w:type="pct"/>
            <w:shd w:val="clear" w:color="auto" w:fill="auto"/>
          </w:tcPr>
          <w:p w14:paraId="0C8556DD" w14:textId="77777777" w:rsidR="00E659A5" w:rsidRDefault="00C21592">
            <w:pPr>
              <w:widowControl w:val="0"/>
              <w:autoSpaceDE w:val="0"/>
              <w:autoSpaceDN w:val="0"/>
              <w:spacing w:line="253" w:lineRule="exact"/>
              <w:ind w:left="107"/>
              <w:rPr>
                <w:rFonts w:eastAsia="Calibri"/>
                <w:szCs w:val="24"/>
                <w:lang w:val="en-US"/>
              </w:rPr>
            </w:pPr>
            <w:r>
              <w:rPr>
                <w:rFonts w:eastAsia="Calibri"/>
                <w:szCs w:val="24"/>
                <w:lang w:val="en-US"/>
              </w:rPr>
              <w:t>20</w:t>
            </w:r>
            <w:r w:rsidR="00B24B41">
              <w:rPr>
                <w:rFonts w:eastAsia="Calibri"/>
                <w:szCs w:val="24"/>
                <w:lang w:val="en-US"/>
              </w:rPr>
              <w:t xml:space="preserve"> </w:t>
            </w:r>
            <w:r>
              <w:rPr>
                <w:rFonts w:eastAsia="Calibri"/>
                <w:szCs w:val="24"/>
                <w:lang w:val="en-US"/>
              </w:rPr>
              <w:t>-</w:t>
            </w:r>
            <w:r w:rsidR="00B24B41">
              <w:rPr>
                <w:rFonts w:eastAsia="Calibri"/>
                <w:szCs w:val="24"/>
                <w:lang w:val="en-US"/>
              </w:rPr>
              <w:t xml:space="preserve"> </w:t>
            </w:r>
            <w:r>
              <w:rPr>
                <w:rFonts w:eastAsia="Calibri"/>
                <w:szCs w:val="24"/>
                <w:lang w:val="en-US"/>
              </w:rPr>
              <w:t>24h post</w:t>
            </w:r>
          </w:p>
        </w:tc>
        <w:tc>
          <w:tcPr>
            <w:tcW w:w="298" w:type="pct"/>
            <w:shd w:val="clear" w:color="auto" w:fill="auto"/>
          </w:tcPr>
          <w:p w14:paraId="72620DA9" w14:textId="77777777" w:rsidR="00E659A5" w:rsidRDefault="00C21592">
            <w:pPr>
              <w:widowControl w:val="0"/>
              <w:autoSpaceDE w:val="0"/>
              <w:autoSpaceDN w:val="0"/>
              <w:spacing w:line="253" w:lineRule="exact"/>
              <w:ind w:left="107"/>
              <w:rPr>
                <w:rFonts w:eastAsia="Calibri"/>
                <w:szCs w:val="24"/>
                <w:lang w:val="en-US"/>
              </w:rPr>
            </w:pPr>
            <w:r>
              <w:rPr>
                <w:rFonts w:eastAsia="Calibri"/>
                <w:szCs w:val="24"/>
                <w:lang w:val="en-US"/>
              </w:rPr>
              <w:t>151</w:t>
            </w:r>
          </w:p>
        </w:tc>
        <w:tc>
          <w:tcPr>
            <w:tcW w:w="784" w:type="pct"/>
            <w:shd w:val="clear" w:color="auto" w:fill="auto"/>
          </w:tcPr>
          <w:p w14:paraId="36B30122" w14:textId="77777777" w:rsidR="00E659A5" w:rsidRDefault="00C21592" w:rsidP="00C168EA">
            <w:pPr>
              <w:widowControl w:val="0"/>
              <w:autoSpaceDE w:val="0"/>
              <w:autoSpaceDN w:val="0"/>
              <w:spacing w:line="252" w:lineRule="exact"/>
              <w:ind w:left="107"/>
              <w:jc w:val="center"/>
              <w:rPr>
                <w:rFonts w:eastAsia="Calibri"/>
                <w:szCs w:val="24"/>
                <w:lang w:val="en-US"/>
              </w:rPr>
            </w:pPr>
            <w:r>
              <w:rPr>
                <w:rFonts w:eastAsia="Calibri"/>
                <w:szCs w:val="24"/>
                <w:lang w:val="en-US"/>
              </w:rPr>
              <w:t>20.6</w:t>
            </w:r>
          </w:p>
          <w:p w14:paraId="0C3F4F32" w14:textId="77777777" w:rsidR="00E659A5" w:rsidRDefault="00C21592" w:rsidP="00C168EA">
            <w:pPr>
              <w:widowControl w:val="0"/>
              <w:autoSpaceDE w:val="0"/>
              <w:autoSpaceDN w:val="0"/>
              <w:spacing w:line="233" w:lineRule="exact"/>
              <w:ind w:left="107"/>
              <w:jc w:val="center"/>
              <w:rPr>
                <w:rFonts w:eastAsia="Calibri"/>
                <w:szCs w:val="24"/>
                <w:lang w:val="en-US"/>
              </w:rPr>
            </w:pPr>
            <w:r>
              <w:rPr>
                <w:rFonts w:eastAsia="Calibri"/>
                <w:szCs w:val="24"/>
                <w:lang w:val="en-US"/>
              </w:rPr>
              <w:t>(5.69-66.5)</w:t>
            </w:r>
          </w:p>
        </w:tc>
        <w:tc>
          <w:tcPr>
            <w:tcW w:w="297" w:type="pct"/>
            <w:shd w:val="clear" w:color="auto" w:fill="auto"/>
          </w:tcPr>
          <w:p w14:paraId="73CDDC78" w14:textId="77777777" w:rsidR="00E659A5" w:rsidRDefault="00C21592" w:rsidP="00C168EA">
            <w:pPr>
              <w:widowControl w:val="0"/>
              <w:autoSpaceDE w:val="0"/>
              <w:autoSpaceDN w:val="0"/>
              <w:spacing w:line="253" w:lineRule="exact"/>
              <w:ind w:left="107"/>
              <w:jc w:val="center"/>
              <w:rPr>
                <w:rFonts w:eastAsia="Calibri"/>
                <w:szCs w:val="24"/>
                <w:lang w:val="en-US"/>
              </w:rPr>
            </w:pPr>
            <w:r>
              <w:rPr>
                <w:rFonts w:eastAsia="Calibri"/>
                <w:szCs w:val="24"/>
                <w:lang w:val="en-US"/>
              </w:rPr>
              <w:t>24</w:t>
            </w:r>
          </w:p>
        </w:tc>
        <w:tc>
          <w:tcPr>
            <w:tcW w:w="768" w:type="pct"/>
            <w:shd w:val="clear" w:color="auto" w:fill="auto"/>
          </w:tcPr>
          <w:p w14:paraId="3B8FE759" w14:textId="77777777" w:rsidR="00E659A5" w:rsidRDefault="00C21592" w:rsidP="00C168EA">
            <w:pPr>
              <w:widowControl w:val="0"/>
              <w:autoSpaceDE w:val="0"/>
              <w:autoSpaceDN w:val="0"/>
              <w:spacing w:line="252" w:lineRule="exact"/>
              <w:ind w:left="106"/>
              <w:jc w:val="center"/>
              <w:rPr>
                <w:rFonts w:eastAsia="Calibri"/>
                <w:szCs w:val="24"/>
                <w:lang w:val="en-US"/>
              </w:rPr>
            </w:pPr>
            <w:r>
              <w:rPr>
                <w:rFonts w:eastAsia="Calibri"/>
                <w:szCs w:val="24"/>
                <w:lang w:val="en-US"/>
              </w:rPr>
              <w:t>15.9</w:t>
            </w:r>
          </w:p>
          <w:p w14:paraId="1AAB0FA2" w14:textId="77777777" w:rsidR="00E659A5" w:rsidRDefault="00C21592" w:rsidP="00C168EA">
            <w:pPr>
              <w:widowControl w:val="0"/>
              <w:autoSpaceDE w:val="0"/>
              <w:autoSpaceDN w:val="0"/>
              <w:spacing w:line="233" w:lineRule="exact"/>
              <w:ind w:left="106"/>
              <w:jc w:val="center"/>
              <w:rPr>
                <w:rFonts w:eastAsia="Calibri"/>
                <w:szCs w:val="24"/>
                <w:lang w:val="en-US"/>
              </w:rPr>
            </w:pPr>
            <w:r>
              <w:rPr>
                <w:rFonts w:eastAsia="Calibri"/>
                <w:szCs w:val="24"/>
                <w:lang w:val="en-US"/>
              </w:rPr>
              <w:t>(3.42-45.5)</w:t>
            </w:r>
          </w:p>
        </w:tc>
        <w:tc>
          <w:tcPr>
            <w:tcW w:w="233" w:type="pct"/>
            <w:shd w:val="clear" w:color="auto" w:fill="auto"/>
          </w:tcPr>
          <w:p w14:paraId="2F838C93" w14:textId="77777777" w:rsidR="00E659A5" w:rsidRDefault="00E659A5" w:rsidP="00C168EA">
            <w:pPr>
              <w:widowControl w:val="0"/>
              <w:autoSpaceDE w:val="0"/>
              <w:autoSpaceDN w:val="0"/>
              <w:jc w:val="center"/>
              <w:rPr>
                <w:rFonts w:eastAsia="Calibri"/>
                <w:szCs w:val="24"/>
                <w:lang w:val="en-US"/>
              </w:rPr>
            </w:pPr>
          </w:p>
        </w:tc>
        <w:tc>
          <w:tcPr>
            <w:tcW w:w="787" w:type="pct"/>
            <w:shd w:val="clear" w:color="auto" w:fill="auto"/>
          </w:tcPr>
          <w:p w14:paraId="64B4AB42" w14:textId="77777777" w:rsidR="00E659A5" w:rsidRDefault="00E659A5" w:rsidP="00C168EA">
            <w:pPr>
              <w:widowControl w:val="0"/>
              <w:autoSpaceDE w:val="0"/>
              <w:autoSpaceDN w:val="0"/>
              <w:jc w:val="center"/>
              <w:rPr>
                <w:rFonts w:eastAsia="Calibri"/>
                <w:szCs w:val="24"/>
                <w:lang w:val="en-US"/>
              </w:rPr>
            </w:pPr>
          </w:p>
        </w:tc>
        <w:tc>
          <w:tcPr>
            <w:tcW w:w="230" w:type="pct"/>
            <w:shd w:val="clear" w:color="auto" w:fill="auto"/>
          </w:tcPr>
          <w:p w14:paraId="021AE43D" w14:textId="77777777" w:rsidR="00E659A5" w:rsidRDefault="00E659A5" w:rsidP="00C168EA">
            <w:pPr>
              <w:widowControl w:val="0"/>
              <w:autoSpaceDE w:val="0"/>
              <w:autoSpaceDN w:val="0"/>
              <w:jc w:val="center"/>
              <w:rPr>
                <w:rFonts w:eastAsia="Calibri"/>
                <w:szCs w:val="24"/>
                <w:lang w:val="en-US"/>
              </w:rPr>
            </w:pPr>
          </w:p>
        </w:tc>
        <w:tc>
          <w:tcPr>
            <w:tcW w:w="899" w:type="pct"/>
            <w:shd w:val="clear" w:color="auto" w:fill="auto"/>
          </w:tcPr>
          <w:p w14:paraId="5CB2A2CB" w14:textId="77777777" w:rsidR="00E659A5" w:rsidRDefault="00E659A5" w:rsidP="00C168EA">
            <w:pPr>
              <w:widowControl w:val="0"/>
              <w:autoSpaceDE w:val="0"/>
              <w:autoSpaceDN w:val="0"/>
              <w:jc w:val="center"/>
              <w:rPr>
                <w:rFonts w:eastAsia="Calibri"/>
                <w:szCs w:val="24"/>
                <w:lang w:val="en-US"/>
              </w:rPr>
            </w:pPr>
          </w:p>
        </w:tc>
      </w:tr>
      <w:tr w:rsidR="00E659A5" w14:paraId="51CE8723" w14:textId="77777777">
        <w:trPr>
          <w:trHeight w:val="254"/>
        </w:trPr>
        <w:tc>
          <w:tcPr>
            <w:tcW w:w="704" w:type="pct"/>
            <w:shd w:val="clear" w:color="auto" w:fill="auto"/>
          </w:tcPr>
          <w:p w14:paraId="6FFCEEC2" w14:textId="77777777" w:rsidR="00E659A5" w:rsidRDefault="00C21592">
            <w:pPr>
              <w:widowControl w:val="0"/>
              <w:autoSpaceDE w:val="0"/>
              <w:autoSpaceDN w:val="0"/>
              <w:spacing w:before="1" w:line="233" w:lineRule="exact"/>
              <w:ind w:left="107"/>
              <w:rPr>
                <w:rFonts w:eastAsia="Calibri"/>
                <w:b/>
                <w:szCs w:val="24"/>
                <w:lang w:val="en-US"/>
              </w:rPr>
            </w:pPr>
            <w:r>
              <w:rPr>
                <w:rFonts w:eastAsia="Calibri"/>
                <w:b/>
                <w:szCs w:val="24"/>
                <w:lang w:val="en-US"/>
              </w:rPr>
              <w:t>dva puta</w:t>
            </w:r>
          </w:p>
          <w:p w14:paraId="55606E27" w14:textId="77777777" w:rsidR="00E659A5" w:rsidRDefault="00C21592">
            <w:pPr>
              <w:widowControl w:val="0"/>
              <w:autoSpaceDE w:val="0"/>
              <w:autoSpaceDN w:val="0"/>
              <w:spacing w:before="1" w:line="233" w:lineRule="exact"/>
              <w:ind w:left="107"/>
              <w:rPr>
                <w:rFonts w:eastAsia="Calibri"/>
                <w:b/>
                <w:szCs w:val="24"/>
                <w:lang w:val="en-US"/>
              </w:rPr>
            </w:pPr>
            <w:r>
              <w:rPr>
                <w:rFonts w:eastAsia="Calibri"/>
                <w:b/>
                <w:szCs w:val="24"/>
                <w:lang w:val="en-US"/>
              </w:rPr>
              <w:t>dnevno</w:t>
            </w:r>
          </w:p>
        </w:tc>
        <w:tc>
          <w:tcPr>
            <w:tcW w:w="298" w:type="pct"/>
            <w:shd w:val="clear" w:color="auto" w:fill="auto"/>
          </w:tcPr>
          <w:p w14:paraId="6F6EBABD" w14:textId="77777777" w:rsidR="00E659A5" w:rsidRDefault="00C21592">
            <w:pPr>
              <w:widowControl w:val="0"/>
              <w:autoSpaceDE w:val="0"/>
              <w:autoSpaceDN w:val="0"/>
              <w:spacing w:before="1" w:line="233" w:lineRule="exact"/>
              <w:ind w:left="107"/>
              <w:rPr>
                <w:rFonts w:eastAsia="Calibri"/>
                <w:b/>
                <w:szCs w:val="24"/>
                <w:lang w:val="en-US"/>
              </w:rPr>
            </w:pPr>
            <w:r>
              <w:rPr>
                <w:rFonts w:eastAsia="Calibri"/>
                <w:b/>
                <w:w w:val="99"/>
                <w:szCs w:val="24"/>
                <w:lang w:val="en-US"/>
              </w:rPr>
              <w:t>N</w:t>
            </w:r>
          </w:p>
        </w:tc>
        <w:tc>
          <w:tcPr>
            <w:tcW w:w="784" w:type="pct"/>
            <w:shd w:val="clear" w:color="auto" w:fill="auto"/>
          </w:tcPr>
          <w:p w14:paraId="05FEC612" w14:textId="77777777" w:rsidR="00E659A5" w:rsidRDefault="00C21592" w:rsidP="00C168EA">
            <w:pPr>
              <w:widowControl w:val="0"/>
              <w:autoSpaceDE w:val="0"/>
              <w:autoSpaceDN w:val="0"/>
              <w:spacing w:before="1" w:line="233" w:lineRule="exact"/>
              <w:ind w:left="107"/>
              <w:jc w:val="center"/>
              <w:rPr>
                <w:rFonts w:eastAsia="Calibri"/>
                <w:b/>
                <w:szCs w:val="24"/>
                <w:lang w:val="en-US"/>
              </w:rPr>
            </w:pPr>
            <w:r>
              <w:rPr>
                <w:rFonts w:eastAsia="Calibri"/>
                <w:b/>
                <w:szCs w:val="24"/>
                <w:lang w:val="en-US"/>
              </w:rPr>
              <w:t>6 -&lt; 12 godina</w:t>
            </w:r>
          </w:p>
        </w:tc>
        <w:tc>
          <w:tcPr>
            <w:tcW w:w="297" w:type="pct"/>
            <w:shd w:val="clear" w:color="auto" w:fill="auto"/>
          </w:tcPr>
          <w:p w14:paraId="1A01591D" w14:textId="77777777" w:rsidR="00E659A5" w:rsidRDefault="00C21592" w:rsidP="00C168EA">
            <w:pPr>
              <w:widowControl w:val="0"/>
              <w:autoSpaceDE w:val="0"/>
              <w:autoSpaceDN w:val="0"/>
              <w:spacing w:before="1" w:line="233" w:lineRule="exact"/>
              <w:ind w:left="107"/>
              <w:jc w:val="center"/>
              <w:rPr>
                <w:rFonts w:eastAsia="Calibri"/>
                <w:b/>
                <w:szCs w:val="24"/>
                <w:lang w:val="en-US"/>
              </w:rPr>
            </w:pPr>
            <w:r>
              <w:rPr>
                <w:rFonts w:eastAsia="Calibri"/>
                <w:b/>
                <w:w w:val="99"/>
                <w:szCs w:val="24"/>
                <w:lang w:val="en-US"/>
              </w:rPr>
              <w:t>N</w:t>
            </w:r>
          </w:p>
        </w:tc>
        <w:tc>
          <w:tcPr>
            <w:tcW w:w="768" w:type="pct"/>
            <w:shd w:val="clear" w:color="auto" w:fill="auto"/>
          </w:tcPr>
          <w:p w14:paraId="40C46655" w14:textId="77777777" w:rsidR="00E659A5" w:rsidRDefault="00C21592" w:rsidP="00C168EA">
            <w:pPr>
              <w:widowControl w:val="0"/>
              <w:autoSpaceDE w:val="0"/>
              <w:autoSpaceDN w:val="0"/>
              <w:spacing w:before="1" w:line="233" w:lineRule="exact"/>
              <w:ind w:left="106"/>
              <w:jc w:val="center"/>
              <w:rPr>
                <w:rFonts w:eastAsia="Calibri"/>
                <w:b/>
                <w:szCs w:val="24"/>
                <w:lang w:val="en-US"/>
              </w:rPr>
            </w:pPr>
            <w:r>
              <w:rPr>
                <w:rFonts w:eastAsia="Calibri"/>
                <w:b/>
                <w:szCs w:val="24"/>
                <w:lang w:val="en-US"/>
              </w:rPr>
              <w:t>2 -&lt; 6 godina</w:t>
            </w:r>
          </w:p>
        </w:tc>
        <w:tc>
          <w:tcPr>
            <w:tcW w:w="233" w:type="pct"/>
            <w:shd w:val="clear" w:color="auto" w:fill="auto"/>
          </w:tcPr>
          <w:p w14:paraId="49969894" w14:textId="77777777" w:rsidR="00E659A5" w:rsidRDefault="00C21592" w:rsidP="00C168EA">
            <w:pPr>
              <w:widowControl w:val="0"/>
              <w:autoSpaceDE w:val="0"/>
              <w:autoSpaceDN w:val="0"/>
              <w:spacing w:before="1" w:line="233" w:lineRule="exact"/>
              <w:ind w:left="107"/>
              <w:jc w:val="center"/>
              <w:rPr>
                <w:rFonts w:eastAsia="Calibri"/>
                <w:b/>
                <w:szCs w:val="24"/>
                <w:lang w:val="en-US"/>
              </w:rPr>
            </w:pPr>
            <w:r>
              <w:rPr>
                <w:rFonts w:eastAsia="Calibri"/>
                <w:b/>
                <w:w w:val="99"/>
                <w:szCs w:val="24"/>
                <w:lang w:val="en-US"/>
              </w:rPr>
              <w:t>N</w:t>
            </w:r>
          </w:p>
        </w:tc>
        <w:tc>
          <w:tcPr>
            <w:tcW w:w="787" w:type="pct"/>
            <w:shd w:val="clear" w:color="auto" w:fill="auto"/>
          </w:tcPr>
          <w:p w14:paraId="31684D78" w14:textId="77777777" w:rsidR="00E659A5" w:rsidRDefault="00C21592" w:rsidP="00C168EA">
            <w:pPr>
              <w:widowControl w:val="0"/>
              <w:autoSpaceDE w:val="0"/>
              <w:autoSpaceDN w:val="0"/>
              <w:spacing w:before="1" w:line="233" w:lineRule="exact"/>
              <w:ind w:left="106"/>
              <w:jc w:val="center"/>
              <w:rPr>
                <w:rFonts w:eastAsia="Calibri"/>
                <w:b/>
                <w:szCs w:val="24"/>
                <w:lang w:val="en-US"/>
              </w:rPr>
            </w:pPr>
            <w:r>
              <w:rPr>
                <w:rFonts w:eastAsia="Calibri"/>
                <w:b/>
                <w:szCs w:val="24"/>
                <w:lang w:val="en-US"/>
              </w:rPr>
              <w:t>0.5 -&lt; 2 godine</w:t>
            </w:r>
          </w:p>
        </w:tc>
        <w:tc>
          <w:tcPr>
            <w:tcW w:w="230" w:type="pct"/>
            <w:shd w:val="clear" w:color="auto" w:fill="auto"/>
          </w:tcPr>
          <w:p w14:paraId="0970B70F" w14:textId="77777777" w:rsidR="00E659A5" w:rsidRDefault="00E659A5" w:rsidP="00C168EA">
            <w:pPr>
              <w:widowControl w:val="0"/>
              <w:autoSpaceDE w:val="0"/>
              <w:autoSpaceDN w:val="0"/>
              <w:jc w:val="center"/>
              <w:rPr>
                <w:rFonts w:eastAsia="Calibri"/>
                <w:szCs w:val="24"/>
                <w:lang w:val="en-US"/>
              </w:rPr>
            </w:pPr>
          </w:p>
        </w:tc>
        <w:tc>
          <w:tcPr>
            <w:tcW w:w="899" w:type="pct"/>
            <w:shd w:val="clear" w:color="auto" w:fill="auto"/>
          </w:tcPr>
          <w:p w14:paraId="442B7259" w14:textId="77777777" w:rsidR="00E659A5" w:rsidRDefault="00E659A5" w:rsidP="00C168EA">
            <w:pPr>
              <w:widowControl w:val="0"/>
              <w:autoSpaceDE w:val="0"/>
              <w:autoSpaceDN w:val="0"/>
              <w:jc w:val="center"/>
              <w:rPr>
                <w:rFonts w:eastAsia="Calibri"/>
                <w:szCs w:val="24"/>
                <w:lang w:val="en-US"/>
              </w:rPr>
            </w:pPr>
          </w:p>
        </w:tc>
      </w:tr>
      <w:tr w:rsidR="00E659A5" w14:paraId="0C16224F" w14:textId="77777777">
        <w:trPr>
          <w:trHeight w:val="505"/>
        </w:trPr>
        <w:tc>
          <w:tcPr>
            <w:tcW w:w="704" w:type="pct"/>
            <w:shd w:val="clear" w:color="auto" w:fill="auto"/>
          </w:tcPr>
          <w:p w14:paraId="7B233C80" w14:textId="77777777" w:rsidR="00E659A5" w:rsidRDefault="00C21592">
            <w:pPr>
              <w:widowControl w:val="0"/>
              <w:autoSpaceDE w:val="0"/>
              <w:autoSpaceDN w:val="0"/>
              <w:spacing w:line="253" w:lineRule="exact"/>
              <w:ind w:left="107"/>
              <w:rPr>
                <w:rFonts w:eastAsia="Calibri"/>
                <w:szCs w:val="24"/>
                <w:lang w:val="en-US"/>
              </w:rPr>
            </w:pPr>
            <w:r>
              <w:rPr>
                <w:rFonts w:eastAsia="Calibri"/>
                <w:szCs w:val="24"/>
                <w:lang w:val="en-US"/>
              </w:rPr>
              <w:t>2.5</w:t>
            </w:r>
            <w:r w:rsidR="00B24B41">
              <w:rPr>
                <w:rFonts w:eastAsia="Calibri"/>
                <w:szCs w:val="24"/>
                <w:lang w:val="en-US"/>
              </w:rPr>
              <w:t xml:space="preserve"> </w:t>
            </w:r>
            <w:r>
              <w:rPr>
                <w:rFonts w:eastAsia="Calibri"/>
                <w:szCs w:val="24"/>
                <w:lang w:val="en-US"/>
              </w:rPr>
              <w:t>-</w:t>
            </w:r>
            <w:r w:rsidR="00B24B41">
              <w:rPr>
                <w:rFonts w:eastAsia="Calibri"/>
                <w:szCs w:val="24"/>
                <w:lang w:val="en-US"/>
              </w:rPr>
              <w:t xml:space="preserve"> </w:t>
            </w:r>
            <w:r>
              <w:rPr>
                <w:rFonts w:eastAsia="Calibri"/>
                <w:szCs w:val="24"/>
                <w:lang w:val="en-US"/>
              </w:rPr>
              <w:t>4h post</w:t>
            </w:r>
          </w:p>
        </w:tc>
        <w:tc>
          <w:tcPr>
            <w:tcW w:w="298" w:type="pct"/>
            <w:shd w:val="clear" w:color="auto" w:fill="auto"/>
          </w:tcPr>
          <w:p w14:paraId="11D50532" w14:textId="77777777" w:rsidR="00E659A5" w:rsidRDefault="00C21592">
            <w:pPr>
              <w:widowControl w:val="0"/>
              <w:autoSpaceDE w:val="0"/>
              <w:autoSpaceDN w:val="0"/>
              <w:spacing w:line="253" w:lineRule="exact"/>
              <w:ind w:left="107"/>
              <w:rPr>
                <w:rFonts w:eastAsia="Calibri"/>
                <w:szCs w:val="24"/>
                <w:lang w:val="en-US"/>
              </w:rPr>
            </w:pPr>
            <w:r>
              <w:rPr>
                <w:rFonts w:eastAsia="Calibri"/>
                <w:szCs w:val="24"/>
                <w:lang w:val="en-US"/>
              </w:rPr>
              <w:t>36</w:t>
            </w:r>
          </w:p>
        </w:tc>
        <w:tc>
          <w:tcPr>
            <w:tcW w:w="784" w:type="pct"/>
            <w:shd w:val="clear" w:color="auto" w:fill="auto"/>
          </w:tcPr>
          <w:p w14:paraId="34350B08" w14:textId="77777777" w:rsidR="00E659A5" w:rsidRDefault="00C21592" w:rsidP="00C168EA">
            <w:pPr>
              <w:widowControl w:val="0"/>
              <w:autoSpaceDE w:val="0"/>
              <w:autoSpaceDN w:val="0"/>
              <w:spacing w:line="253" w:lineRule="exact"/>
              <w:ind w:left="107"/>
              <w:jc w:val="center"/>
              <w:rPr>
                <w:rFonts w:eastAsia="Calibri"/>
                <w:szCs w:val="24"/>
                <w:lang w:val="en-US"/>
              </w:rPr>
            </w:pPr>
            <w:r>
              <w:rPr>
                <w:rFonts w:eastAsia="Calibri"/>
                <w:szCs w:val="24"/>
                <w:lang w:val="en-US"/>
              </w:rPr>
              <w:t>145.4</w:t>
            </w:r>
          </w:p>
          <w:p w14:paraId="71F510C3" w14:textId="77777777" w:rsidR="00E659A5" w:rsidRDefault="00C21592" w:rsidP="00C168EA">
            <w:pPr>
              <w:widowControl w:val="0"/>
              <w:autoSpaceDE w:val="0"/>
              <w:autoSpaceDN w:val="0"/>
              <w:spacing w:line="233" w:lineRule="exact"/>
              <w:ind w:left="107"/>
              <w:jc w:val="center"/>
              <w:rPr>
                <w:rFonts w:eastAsia="Calibri"/>
                <w:szCs w:val="24"/>
                <w:lang w:val="en-US"/>
              </w:rPr>
            </w:pPr>
            <w:r>
              <w:rPr>
                <w:rFonts w:eastAsia="Calibri"/>
                <w:szCs w:val="24"/>
                <w:lang w:val="en-US"/>
              </w:rPr>
              <w:t>(46.0-343)</w:t>
            </w:r>
          </w:p>
        </w:tc>
        <w:tc>
          <w:tcPr>
            <w:tcW w:w="297" w:type="pct"/>
            <w:shd w:val="clear" w:color="auto" w:fill="auto"/>
          </w:tcPr>
          <w:p w14:paraId="61910764" w14:textId="77777777" w:rsidR="00E659A5" w:rsidRDefault="00C21592" w:rsidP="00C168EA">
            <w:pPr>
              <w:widowControl w:val="0"/>
              <w:autoSpaceDE w:val="0"/>
              <w:autoSpaceDN w:val="0"/>
              <w:spacing w:line="253" w:lineRule="exact"/>
              <w:ind w:left="107"/>
              <w:jc w:val="center"/>
              <w:rPr>
                <w:rFonts w:eastAsia="Calibri"/>
                <w:szCs w:val="24"/>
                <w:lang w:val="en-US"/>
              </w:rPr>
            </w:pPr>
            <w:r>
              <w:rPr>
                <w:rFonts w:eastAsia="Calibri"/>
                <w:szCs w:val="24"/>
                <w:lang w:val="en-US"/>
              </w:rPr>
              <w:t>38</w:t>
            </w:r>
          </w:p>
        </w:tc>
        <w:tc>
          <w:tcPr>
            <w:tcW w:w="768" w:type="pct"/>
            <w:shd w:val="clear" w:color="auto" w:fill="auto"/>
          </w:tcPr>
          <w:p w14:paraId="13D57F97" w14:textId="77777777" w:rsidR="00E659A5" w:rsidRDefault="00C21592" w:rsidP="00C168EA">
            <w:pPr>
              <w:widowControl w:val="0"/>
              <w:autoSpaceDE w:val="0"/>
              <w:autoSpaceDN w:val="0"/>
              <w:spacing w:line="253" w:lineRule="exact"/>
              <w:ind w:left="106"/>
              <w:jc w:val="center"/>
              <w:rPr>
                <w:rFonts w:eastAsia="Calibri"/>
                <w:szCs w:val="24"/>
                <w:lang w:val="en-US"/>
              </w:rPr>
            </w:pPr>
            <w:r>
              <w:rPr>
                <w:rFonts w:eastAsia="Calibri"/>
                <w:szCs w:val="24"/>
                <w:lang w:val="en-US"/>
              </w:rPr>
              <w:t>171.8</w:t>
            </w:r>
          </w:p>
          <w:p w14:paraId="008C8BCA" w14:textId="77777777" w:rsidR="00E659A5" w:rsidRDefault="00C21592" w:rsidP="00C168EA">
            <w:pPr>
              <w:widowControl w:val="0"/>
              <w:autoSpaceDE w:val="0"/>
              <w:autoSpaceDN w:val="0"/>
              <w:spacing w:line="233" w:lineRule="exact"/>
              <w:ind w:left="106"/>
              <w:jc w:val="center"/>
              <w:rPr>
                <w:rFonts w:eastAsia="Calibri"/>
                <w:szCs w:val="24"/>
                <w:lang w:val="en-US"/>
              </w:rPr>
            </w:pPr>
            <w:r>
              <w:rPr>
                <w:rFonts w:eastAsia="Calibri"/>
                <w:szCs w:val="24"/>
                <w:lang w:val="en-US"/>
              </w:rPr>
              <w:t>(70.7-438)</w:t>
            </w:r>
          </w:p>
        </w:tc>
        <w:tc>
          <w:tcPr>
            <w:tcW w:w="233" w:type="pct"/>
            <w:shd w:val="clear" w:color="auto" w:fill="auto"/>
          </w:tcPr>
          <w:p w14:paraId="2ADB863F" w14:textId="77777777" w:rsidR="00E659A5" w:rsidRDefault="00C21592" w:rsidP="00C168EA">
            <w:pPr>
              <w:widowControl w:val="0"/>
              <w:autoSpaceDE w:val="0"/>
              <w:autoSpaceDN w:val="0"/>
              <w:spacing w:line="253" w:lineRule="exact"/>
              <w:ind w:left="107"/>
              <w:jc w:val="center"/>
              <w:rPr>
                <w:rFonts w:eastAsia="Calibri"/>
                <w:szCs w:val="24"/>
                <w:lang w:val="en-US"/>
              </w:rPr>
            </w:pPr>
            <w:r>
              <w:rPr>
                <w:rFonts w:eastAsia="Calibri"/>
                <w:w w:val="99"/>
                <w:szCs w:val="24"/>
                <w:lang w:val="en-US"/>
              </w:rPr>
              <w:t>2</w:t>
            </w:r>
          </w:p>
        </w:tc>
        <w:tc>
          <w:tcPr>
            <w:tcW w:w="787" w:type="pct"/>
            <w:shd w:val="clear" w:color="auto" w:fill="auto"/>
          </w:tcPr>
          <w:p w14:paraId="42B9EBC4" w14:textId="77777777" w:rsidR="00E659A5" w:rsidRDefault="00C21592" w:rsidP="00C168EA">
            <w:pPr>
              <w:widowControl w:val="0"/>
              <w:autoSpaceDE w:val="0"/>
              <w:autoSpaceDN w:val="0"/>
              <w:spacing w:line="253" w:lineRule="exact"/>
              <w:ind w:left="106"/>
              <w:jc w:val="center"/>
              <w:rPr>
                <w:rFonts w:eastAsia="Calibri"/>
                <w:szCs w:val="24"/>
                <w:lang w:val="en-US"/>
              </w:rPr>
            </w:pPr>
            <w:r>
              <w:rPr>
                <w:rFonts w:eastAsia="Calibri"/>
                <w:szCs w:val="24"/>
                <w:lang w:val="en-US"/>
              </w:rPr>
              <w:t>n.i.</w:t>
            </w:r>
          </w:p>
        </w:tc>
        <w:tc>
          <w:tcPr>
            <w:tcW w:w="230" w:type="pct"/>
            <w:shd w:val="clear" w:color="auto" w:fill="auto"/>
          </w:tcPr>
          <w:p w14:paraId="71968B1D" w14:textId="77777777" w:rsidR="00E659A5" w:rsidRDefault="00E659A5" w:rsidP="00C168EA">
            <w:pPr>
              <w:widowControl w:val="0"/>
              <w:autoSpaceDE w:val="0"/>
              <w:autoSpaceDN w:val="0"/>
              <w:jc w:val="center"/>
              <w:rPr>
                <w:rFonts w:eastAsia="Calibri"/>
                <w:szCs w:val="24"/>
                <w:lang w:val="en-US"/>
              </w:rPr>
            </w:pPr>
          </w:p>
        </w:tc>
        <w:tc>
          <w:tcPr>
            <w:tcW w:w="899" w:type="pct"/>
            <w:shd w:val="clear" w:color="auto" w:fill="auto"/>
          </w:tcPr>
          <w:p w14:paraId="3763D604" w14:textId="77777777" w:rsidR="00E659A5" w:rsidRDefault="00E659A5" w:rsidP="00C168EA">
            <w:pPr>
              <w:widowControl w:val="0"/>
              <w:autoSpaceDE w:val="0"/>
              <w:autoSpaceDN w:val="0"/>
              <w:jc w:val="center"/>
              <w:rPr>
                <w:rFonts w:eastAsia="Calibri"/>
                <w:szCs w:val="24"/>
                <w:lang w:val="en-US"/>
              </w:rPr>
            </w:pPr>
          </w:p>
        </w:tc>
      </w:tr>
      <w:tr w:rsidR="00E659A5" w14:paraId="6657363A" w14:textId="77777777">
        <w:trPr>
          <w:trHeight w:val="506"/>
        </w:trPr>
        <w:tc>
          <w:tcPr>
            <w:tcW w:w="704" w:type="pct"/>
            <w:shd w:val="clear" w:color="auto" w:fill="auto"/>
          </w:tcPr>
          <w:p w14:paraId="482EF5C8" w14:textId="77777777" w:rsidR="00E659A5" w:rsidRDefault="00C21592">
            <w:pPr>
              <w:widowControl w:val="0"/>
              <w:autoSpaceDE w:val="0"/>
              <w:autoSpaceDN w:val="0"/>
              <w:spacing w:line="253" w:lineRule="exact"/>
              <w:ind w:left="107"/>
              <w:rPr>
                <w:rFonts w:eastAsia="Calibri"/>
                <w:szCs w:val="24"/>
                <w:lang w:val="en-US"/>
              </w:rPr>
            </w:pPr>
            <w:r>
              <w:rPr>
                <w:rFonts w:eastAsia="Calibri"/>
                <w:szCs w:val="24"/>
                <w:lang w:val="en-US"/>
              </w:rPr>
              <w:t>10</w:t>
            </w:r>
            <w:r w:rsidR="00B24B41">
              <w:rPr>
                <w:rFonts w:eastAsia="Calibri"/>
                <w:szCs w:val="24"/>
                <w:lang w:val="en-US"/>
              </w:rPr>
              <w:t xml:space="preserve"> </w:t>
            </w:r>
            <w:r>
              <w:rPr>
                <w:rFonts w:eastAsia="Calibri"/>
                <w:szCs w:val="24"/>
                <w:lang w:val="en-US"/>
              </w:rPr>
              <w:t>-</w:t>
            </w:r>
            <w:r w:rsidR="00B24B41">
              <w:rPr>
                <w:rFonts w:eastAsia="Calibri"/>
                <w:szCs w:val="24"/>
                <w:lang w:val="en-US"/>
              </w:rPr>
              <w:t xml:space="preserve"> </w:t>
            </w:r>
            <w:r>
              <w:rPr>
                <w:rFonts w:eastAsia="Calibri"/>
                <w:szCs w:val="24"/>
                <w:lang w:val="en-US"/>
              </w:rPr>
              <w:t>16h post</w:t>
            </w:r>
          </w:p>
        </w:tc>
        <w:tc>
          <w:tcPr>
            <w:tcW w:w="298" w:type="pct"/>
            <w:shd w:val="clear" w:color="auto" w:fill="auto"/>
          </w:tcPr>
          <w:p w14:paraId="4C97E5A1" w14:textId="77777777" w:rsidR="00E659A5" w:rsidRDefault="00C21592">
            <w:pPr>
              <w:widowControl w:val="0"/>
              <w:autoSpaceDE w:val="0"/>
              <w:autoSpaceDN w:val="0"/>
              <w:spacing w:line="253" w:lineRule="exact"/>
              <w:ind w:left="107"/>
              <w:rPr>
                <w:rFonts w:eastAsia="Calibri"/>
                <w:szCs w:val="24"/>
                <w:lang w:val="en-US"/>
              </w:rPr>
            </w:pPr>
            <w:r>
              <w:rPr>
                <w:rFonts w:eastAsia="Calibri"/>
                <w:szCs w:val="24"/>
                <w:lang w:val="en-US"/>
              </w:rPr>
              <w:t>33</w:t>
            </w:r>
          </w:p>
        </w:tc>
        <w:tc>
          <w:tcPr>
            <w:tcW w:w="784" w:type="pct"/>
            <w:shd w:val="clear" w:color="auto" w:fill="auto"/>
          </w:tcPr>
          <w:p w14:paraId="7A512182" w14:textId="77777777" w:rsidR="00E659A5" w:rsidRDefault="00C21592" w:rsidP="00C168EA">
            <w:pPr>
              <w:widowControl w:val="0"/>
              <w:autoSpaceDE w:val="0"/>
              <w:autoSpaceDN w:val="0"/>
              <w:spacing w:line="253" w:lineRule="exact"/>
              <w:ind w:left="107"/>
              <w:jc w:val="center"/>
              <w:rPr>
                <w:rFonts w:eastAsia="Calibri"/>
                <w:szCs w:val="24"/>
                <w:lang w:val="en-US"/>
              </w:rPr>
            </w:pPr>
            <w:r>
              <w:rPr>
                <w:rFonts w:eastAsia="Calibri"/>
                <w:szCs w:val="24"/>
                <w:lang w:val="en-US"/>
              </w:rPr>
              <w:t>26.0</w:t>
            </w:r>
          </w:p>
          <w:p w14:paraId="157F7822" w14:textId="77777777" w:rsidR="00E659A5" w:rsidRDefault="00C21592" w:rsidP="00C168EA">
            <w:pPr>
              <w:widowControl w:val="0"/>
              <w:autoSpaceDE w:val="0"/>
              <w:autoSpaceDN w:val="0"/>
              <w:spacing w:line="233" w:lineRule="exact"/>
              <w:ind w:left="107"/>
              <w:jc w:val="center"/>
              <w:rPr>
                <w:rFonts w:eastAsia="Calibri"/>
                <w:szCs w:val="24"/>
                <w:lang w:val="en-US"/>
              </w:rPr>
            </w:pPr>
            <w:r>
              <w:rPr>
                <w:rFonts w:eastAsia="Calibri"/>
                <w:szCs w:val="24"/>
                <w:lang w:val="en-US"/>
              </w:rPr>
              <w:t>(7.99-94.9)</w:t>
            </w:r>
          </w:p>
        </w:tc>
        <w:tc>
          <w:tcPr>
            <w:tcW w:w="297" w:type="pct"/>
            <w:shd w:val="clear" w:color="auto" w:fill="auto"/>
          </w:tcPr>
          <w:p w14:paraId="56306639" w14:textId="77777777" w:rsidR="00E659A5" w:rsidRDefault="00C21592" w:rsidP="00C168EA">
            <w:pPr>
              <w:widowControl w:val="0"/>
              <w:autoSpaceDE w:val="0"/>
              <w:autoSpaceDN w:val="0"/>
              <w:spacing w:line="253" w:lineRule="exact"/>
              <w:ind w:left="107"/>
              <w:jc w:val="center"/>
              <w:rPr>
                <w:rFonts w:eastAsia="Calibri"/>
                <w:szCs w:val="24"/>
                <w:lang w:val="en-US"/>
              </w:rPr>
            </w:pPr>
            <w:r>
              <w:rPr>
                <w:rFonts w:eastAsia="Calibri"/>
                <w:szCs w:val="24"/>
                <w:lang w:val="en-US"/>
              </w:rPr>
              <w:t>37</w:t>
            </w:r>
          </w:p>
        </w:tc>
        <w:tc>
          <w:tcPr>
            <w:tcW w:w="768" w:type="pct"/>
            <w:shd w:val="clear" w:color="auto" w:fill="auto"/>
          </w:tcPr>
          <w:p w14:paraId="19CE898D" w14:textId="77777777" w:rsidR="00E659A5" w:rsidRDefault="00C21592" w:rsidP="00C168EA">
            <w:pPr>
              <w:widowControl w:val="0"/>
              <w:autoSpaceDE w:val="0"/>
              <w:autoSpaceDN w:val="0"/>
              <w:spacing w:line="253" w:lineRule="exact"/>
              <w:ind w:left="106"/>
              <w:jc w:val="center"/>
              <w:rPr>
                <w:rFonts w:eastAsia="Calibri"/>
                <w:szCs w:val="24"/>
                <w:lang w:val="en-US"/>
              </w:rPr>
            </w:pPr>
            <w:r>
              <w:rPr>
                <w:rFonts w:eastAsia="Calibri"/>
                <w:szCs w:val="24"/>
                <w:lang w:val="en-US"/>
              </w:rPr>
              <w:t>22.2</w:t>
            </w:r>
          </w:p>
          <w:p w14:paraId="237FAED5" w14:textId="77777777" w:rsidR="00E659A5" w:rsidRDefault="00C21592" w:rsidP="00C168EA">
            <w:pPr>
              <w:widowControl w:val="0"/>
              <w:autoSpaceDE w:val="0"/>
              <w:autoSpaceDN w:val="0"/>
              <w:spacing w:line="233" w:lineRule="exact"/>
              <w:ind w:left="106"/>
              <w:jc w:val="center"/>
              <w:rPr>
                <w:rFonts w:eastAsia="Calibri"/>
                <w:szCs w:val="24"/>
                <w:lang w:val="en-US"/>
              </w:rPr>
            </w:pPr>
            <w:r>
              <w:rPr>
                <w:rFonts w:eastAsia="Calibri"/>
                <w:szCs w:val="24"/>
                <w:lang w:val="en-US"/>
              </w:rPr>
              <w:t>(0.25-127)</w:t>
            </w:r>
          </w:p>
        </w:tc>
        <w:tc>
          <w:tcPr>
            <w:tcW w:w="233" w:type="pct"/>
            <w:shd w:val="clear" w:color="auto" w:fill="auto"/>
          </w:tcPr>
          <w:p w14:paraId="7462D53A" w14:textId="77777777" w:rsidR="00E659A5" w:rsidRDefault="00C21592" w:rsidP="00C168EA">
            <w:pPr>
              <w:widowControl w:val="0"/>
              <w:autoSpaceDE w:val="0"/>
              <w:autoSpaceDN w:val="0"/>
              <w:spacing w:line="253" w:lineRule="exact"/>
              <w:ind w:left="107"/>
              <w:jc w:val="center"/>
              <w:rPr>
                <w:rFonts w:eastAsia="Calibri"/>
                <w:szCs w:val="24"/>
                <w:lang w:val="en-US"/>
              </w:rPr>
            </w:pPr>
            <w:r>
              <w:rPr>
                <w:rFonts w:eastAsia="Calibri"/>
                <w:w w:val="99"/>
                <w:szCs w:val="24"/>
                <w:lang w:val="en-US"/>
              </w:rPr>
              <w:t>3</w:t>
            </w:r>
          </w:p>
        </w:tc>
        <w:tc>
          <w:tcPr>
            <w:tcW w:w="787" w:type="pct"/>
            <w:shd w:val="clear" w:color="auto" w:fill="auto"/>
          </w:tcPr>
          <w:p w14:paraId="0E9B0696" w14:textId="77777777" w:rsidR="00E659A5" w:rsidRDefault="00C21592" w:rsidP="00C168EA">
            <w:pPr>
              <w:widowControl w:val="0"/>
              <w:autoSpaceDE w:val="0"/>
              <w:autoSpaceDN w:val="0"/>
              <w:spacing w:line="253" w:lineRule="exact"/>
              <w:ind w:left="106"/>
              <w:jc w:val="center"/>
              <w:rPr>
                <w:rFonts w:eastAsia="Calibri"/>
                <w:szCs w:val="24"/>
                <w:lang w:val="en-US"/>
              </w:rPr>
            </w:pPr>
            <w:r>
              <w:rPr>
                <w:rFonts w:eastAsia="Calibri"/>
                <w:szCs w:val="24"/>
                <w:lang w:val="en-US"/>
              </w:rPr>
              <w:t>10.7</w:t>
            </w:r>
          </w:p>
          <w:p w14:paraId="6C586D59" w14:textId="77777777" w:rsidR="00E659A5" w:rsidRDefault="00C21592" w:rsidP="00C168EA">
            <w:pPr>
              <w:widowControl w:val="0"/>
              <w:autoSpaceDE w:val="0"/>
              <w:autoSpaceDN w:val="0"/>
              <w:spacing w:line="233" w:lineRule="exact"/>
              <w:ind w:left="106"/>
              <w:jc w:val="center"/>
              <w:rPr>
                <w:rFonts w:eastAsia="Calibri"/>
                <w:szCs w:val="24"/>
                <w:lang w:val="en-US"/>
              </w:rPr>
            </w:pPr>
            <w:r>
              <w:rPr>
                <w:rFonts w:eastAsia="Calibri"/>
                <w:szCs w:val="24"/>
                <w:lang w:val="en-US"/>
              </w:rPr>
              <w:t>(n.i.-n.i.)</w:t>
            </w:r>
          </w:p>
        </w:tc>
        <w:tc>
          <w:tcPr>
            <w:tcW w:w="230" w:type="pct"/>
            <w:shd w:val="clear" w:color="auto" w:fill="auto"/>
          </w:tcPr>
          <w:p w14:paraId="1767ECC4" w14:textId="77777777" w:rsidR="00E659A5" w:rsidRDefault="00E659A5" w:rsidP="00C168EA">
            <w:pPr>
              <w:widowControl w:val="0"/>
              <w:autoSpaceDE w:val="0"/>
              <w:autoSpaceDN w:val="0"/>
              <w:jc w:val="center"/>
              <w:rPr>
                <w:rFonts w:eastAsia="Calibri"/>
                <w:szCs w:val="24"/>
                <w:lang w:val="en-US"/>
              </w:rPr>
            </w:pPr>
          </w:p>
        </w:tc>
        <w:tc>
          <w:tcPr>
            <w:tcW w:w="899" w:type="pct"/>
            <w:shd w:val="clear" w:color="auto" w:fill="auto"/>
          </w:tcPr>
          <w:p w14:paraId="08F2D161" w14:textId="77777777" w:rsidR="00E659A5" w:rsidRDefault="00E659A5" w:rsidP="00C168EA">
            <w:pPr>
              <w:widowControl w:val="0"/>
              <w:autoSpaceDE w:val="0"/>
              <w:autoSpaceDN w:val="0"/>
              <w:jc w:val="center"/>
              <w:rPr>
                <w:rFonts w:eastAsia="Calibri"/>
                <w:szCs w:val="24"/>
                <w:lang w:val="en-US"/>
              </w:rPr>
            </w:pPr>
          </w:p>
        </w:tc>
      </w:tr>
      <w:tr w:rsidR="00E659A5" w14:paraId="2810FD0A" w14:textId="77777777">
        <w:trPr>
          <w:trHeight w:val="505"/>
        </w:trPr>
        <w:tc>
          <w:tcPr>
            <w:tcW w:w="704" w:type="pct"/>
            <w:shd w:val="clear" w:color="auto" w:fill="auto"/>
          </w:tcPr>
          <w:p w14:paraId="3AC82D8E" w14:textId="77777777" w:rsidR="00E659A5" w:rsidRDefault="00C21592">
            <w:pPr>
              <w:widowControl w:val="0"/>
              <w:autoSpaceDE w:val="0"/>
              <w:autoSpaceDN w:val="0"/>
              <w:spacing w:line="253" w:lineRule="exact"/>
              <w:ind w:left="107"/>
              <w:rPr>
                <w:rFonts w:eastAsia="Calibri"/>
                <w:b/>
                <w:szCs w:val="24"/>
                <w:lang w:val="en-US"/>
              </w:rPr>
            </w:pPr>
            <w:r>
              <w:rPr>
                <w:rFonts w:eastAsia="Calibri"/>
                <w:b/>
                <w:szCs w:val="24"/>
                <w:lang w:val="en-US"/>
              </w:rPr>
              <w:t>tri puta</w:t>
            </w:r>
          </w:p>
          <w:p w14:paraId="2C887C4D" w14:textId="77777777" w:rsidR="00E659A5" w:rsidRDefault="00C21592">
            <w:pPr>
              <w:widowControl w:val="0"/>
              <w:autoSpaceDE w:val="0"/>
              <w:autoSpaceDN w:val="0"/>
              <w:spacing w:line="253" w:lineRule="exact"/>
              <w:ind w:left="107"/>
              <w:rPr>
                <w:rFonts w:eastAsia="Calibri"/>
                <w:b/>
                <w:szCs w:val="24"/>
                <w:lang w:val="en-US"/>
              </w:rPr>
            </w:pPr>
            <w:r>
              <w:rPr>
                <w:rFonts w:eastAsia="Calibri"/>
                <w:b/>
                <w:szCs w:val="24"/>
                <w:lang w:val="en-US"/>
              </w:rPr>
              <w:t>dnevno</w:t>
            </w:r>
          </w:p>
        </w:tc>
        <w:tc>
          <w:tcPr>
            <w:tcW w:w="298" w:type="pct"/>
            <w:shd w:val="clear" w:color="auto" w:fill="auto"/>
          </w:tcPr>
          <w:p w14:paraId="0B15560A" w14:textId="77777777" w:rsidR="00E659A5" w:rsidRDefault="00C21592">
            <w:pPr>
              <w:widowControl w:val="0"/>
              <w:autoSpaceDE w:val="0"/>
              <w:autoSpaceDN w:val="0"/>
              <w:spacing w:line="253" w:lineRule="exact"/>
              <w:ind w:left="107"/>
              <w:rPr>
                <w:rFonts w:eastAsia="Calibri"/>
                <w:b/>
                <w:szCs w:val="24"/>
                <w:lang w:val="en-US"/>
              </w:rPr>
            </w:pPr>
            <w:r>
              <w:rPr>
                <w:rFonts w:eastAsia="Calibri"/>
                <w:b/>
                <w:w w:val="99"/>
                <w:szCs w:val="24"/>
                <w:lang w:val="en-US"/>
              </w:rPr>
              <w:t>N</w:t>
            </w:r>
          </w:p>
        </w:tc>
        <w:tc>
          <w:tcPr>
            <w:tcW w:w="784" w:type="pct"/>
            <w:shd w:val="clear" w:color="auto" w:fill="auto"/>
          </w:tcPr>
          <w:p w14:paraId="4C927CB9" w14:textId="77777777" w:rsidR="00E659A5" w:rsidRDefault="00C21592" w:rsidP="00C168EA">
            <w:pPr>
              <w:widowControl w:val="0"/>
              <w:autoSpaceDE w:val="0"/>
              <w:autoSpaceDN w:val="0"/>
              <w:spacing w:line="253" w:lineRule="exact"/>
              <w:ind w:left="107"/>
              <w:jc w:val="center"/>
              <w:rPr>
                <w:rFonts w:eastAsia="Calibri"/>
                <w:b/>
                <w:szCs w:val="24"/>
                <w:lang w:val="en-US"/>
              </w:rPr>
            </w:pPr>
            <w:r>
              <w:rPr>
                <w:rFonts w:eastAsia="Calibri"/>
                <w:b/>
                <w:szCs w:val="24"/>
                <w:lang w:val="en-US"/>
              </w:rPr>
              <w:t>2 -&lt; 6 godina</w:t>
            </w:r>
          </w:p>
        </w:tc>
        <w:tc>
          <w:tcPr>
            <w:tcW w:w="297" w:type="pct"/>
            <w:shd w:val="clear" w:color="auto" w:fill="auto"/>
          </w:tcPr>
          <w:p w14:paraId="2AC79CCD" w14:textId="77777777" w:rsidR="00E659A5" w:rsidRDefault="00C21592" w:rsidP="00C168EA">
            <w:pPr>
              <w:widowControl w:val="0"/>
              <w:autoSpaceDE w:val="0"/>
              <w:autoSpaceDN w:val="0"/>
              <w:spacing w:line="253" w:lineRule="exact"/>
              <w:ind w:left="107"/>
              <w:jc w:val="center"/>
              <w:rPr>
                <w:rFonts w:eastAsia="Calibri"/>
                <w:b/>
                <w:szCs w:val="24"/>
                <w:lang w:val="en-US"/>
              </w:rPr>
            </w:pPr>
            <w:r>
              <w:rPr>
                <w:rFonts w:eastAsia="Calibri"/>
                <w:b/>
                <w:w w:val="99"/>
                <w:szCs w:val="24"/>
                <w:lang w:val="en-US"/>
              </w:rPr>
              <w:t>N</w:t>
            </w:r>
          </w:p>
        </w:tc>
        <w:tc>
          <w:tcPr>
            <w:tcW w:w="768" w:type="pct"/>
            <w:shd w:val="clear" w:color="auto" w:fill="auto"/>
          </w:tcPr>
          <w:p w14:paraId="46D724E9" w14:textId="77777777" w:rsidR="00E659A5" w:rsidRDefault="00C21592" w:rsidP="00C168EA">
            <w:pPr>
              <w:widowControl w:val="0"/>
              <w:autoSpaceDE w:val="0"/>
              <w:autoSpaceDN w:val="0"/>
              <w:spacing w:line="253" w:lineRule="exact"/>
              <w:ind w:left="106"/>
              <w:jc w:val="center"/>
              <w:rPr>
                <w:rFonts w:eastAsia="Calibri"/>
                <w:b/>
                <w:szCs w:val="24"/>
                <w:lang w:val="en-US"/>
              </w:rPr>
            </w:pPr>
            <w:r>
              <w:rPr>
                <w:rFonts w:eastAsia="Calibri"/>
                <w:b/>
                <w:szCs w:val="24"/>
                <w:lang w:val="en-US"/>
              </w:rPr>
              <w:t>Birth -</w:t>
            </w:r>
          </w:p>
          <w:p w14:paraId="46AFE093" w14:textId="77777777" w:rsidR="00E659A5" w:rsidRDefault="00C21592" w:rsidP="00C168EA">
            <w:pPr>
              <w:widowControl w:val="0"/>
              <w:autoSpaceDE w:val="0"/>
              <w:autoSpaceDN w:val="0"/>
              <w:spacing w:line="233" w:lineRule="exact"/>
              <w:ind w:left="106"/>
              <w:jc w:val="center"/>
              <w:rPr>
                <w:rFonts w:eastAsia="Calibri"/>
                <w:b/>
                <w:szCs w:val="24"/>
                <w:lang w:val="en-US"/>
              </w:rPr>
            </w:pPr>
            <w:r>
              <w:rPr>
                <w:rFonts w:eastAsia="Calibri"/>
                <w:b/>
                <w:szCs w:val="24"/>
                <w:lang w:val="en-US"/>
              </w:rPr>
              <w:t>&lt; 2 godina</w:t>
            </w:r>
          </w:p>
        </w:tc>
        <w:tc>
          <w:tcPr>
            <w:tcW w:w="233" w:type="pct"/>
            <w:shd w:val="clear" w:color="auto" w:fill="auto"/>
          </w:tcPr>
          <w:p w14:paraId="644750C0" w14:textId="77777777" w:rsidR="00E659A5" w:rsidRDefault="00C21592" w:rsidP="00C168EA">
            <w:pPr>
              <w:widowControl w:val="0"/>
              <w:autoSpaceDE w:val="0"/>
              <w:autoSpaceDN w:val="0"/>
              <w:spacing w:line="253" w:lineRule="exact"/>
              <w:ind w:left="107"/>
              <w:jc w:val="center"/>
              <w:rPr>
                <w:rFonts w:eastAsia="Calibri"/>
                <w:b/>
                <w:szCs w:val="24"/>
                <w:lang w:val="en-US"/>
              </w:rPr>
            </w:pPr>
            <w:r>
              <w:rPr>
                <w:rFonts w:eastAsia="Calibri"/>
                <w:b/>
                <w:w w:val="99"/>
                <w:szCs w:val="24"/>
                <w:lang w:val="en-US"/>
              </w:rPr>
              <w:t>N</w:t>
            </w:r>
          </w:p>
        </w:tc>
        <w:tc>
          <w:tcPr>
            <w:tcW w:w="787" w:type="pct"/>
            <w:shd w:val="clear" w:color="auto" w:fill="auto"/>
          </w:tcPr>
          <w:p w14:paraId="1EF1BE6D" w14:textId="77777777" w:rsidR="00E659A5" w:rsidRDefault="00C21592" w:rsidP="00C168EA">
            <w:pPr>
              <w:widowControl w:val="0"/>
              <w:autoSpaceDE w:val="0"/>
              <w:autoSpaceDN w:val="0"/>
              <w:spacing w:line="253" w:lineRule="exact"/>
              <w:ind w:left="106"/>
              <w:jc w:val="center"/>
              <w:rPr>
                <w:rFonts w:eastAsia="Calibri"/>
                <w:b/>
                <w:szCs w:val="24"/>
                <w:lang w:val="en-US"/>
              </w:rPr>
            </w:pPr>
            <w:r>
              <w:rPr>
                <w:rFonts w:eastAsia="Calibri"/>
                <w:b/>
                <w:szCs w:val="24"/>
                <w:lang w:val="en-US"/>
              </w:rPr>
              <w:t>0.5 -&lt; 2 godine</w:t>
            </w:r>
          </w:p>
        </w:tc>
        <w:tc>
          <w:tcPr>
            <w:tcW w:w="230" w:type="pct"/>
            <w:shd w:val="clear" w:color="auto" w:fill="auto"/>
          </w:tcPr>
          <w:p w14:paraId="3B232BEC" w14:textId="77777777" w:rsidR="00E659A5" w:rsidRDefault="00C21592" w:rsidP="00B24B41">
            <w:pPr>
              <w:widowControl w:val="0"/>
              <w:autoSpaceDE w:val="0"/>
              <w:autoSpaceDN w:val="0"/>
              <w:spacing w:line="253" w:lineRule="exact"/>
              <w:jc w:val="center"/>
              <w:rPr>
                <w:rFonts w:eastAsia="Calibri"/>
                <w:b/>
                <w:szCs w:val="24"/>
                <w:lang w:val="en-US"/>
              </w:rPr>
            </w:pPr>
            <w:r>
              <w:rPr>
                <w:rFonts w:eastAsia="Calibri"/>
                <w:b/>
                <w:w w:val="99"/>
                <w:szCs w:val="24"/>
                <w:lang w:val="en-US"/>
              </w:rPr>
              <w:t>N</w:t>
            </w:r>
          </w:p>
        </w:tc>
        <w:tc>
          <w:tcPr>
            <w:tcW w:w="899" w:type="pct"/>
            <w:shd w:val="clear" w:color="auto" w:fill="auto"/>
          </w:tcPr>
          <w:p w14:paraId="4F58CBC8" w14:textId="77777777" w:rsidR="00E659A5" w:rsidRDefault="00C21592" w:rsidP="00C168EA">
            <w:pPr>
              <w:widowControl w:val="0"/>
              <w:autoSpaceDE w:val="0"/>
              <w:autoSpaceDN w:val="0"/>
              <w:spacing w:line="253" w:lineRule="exact"/>
              <w:ind w:left="106"/>
              <w:jc w:val="center"/>
              <w:rPr>
                <w:rFonts w:eastAsia="Calibri"/>
                <w:b/>
                <w:szCs w:val="24"/>
                <w:lang w:val="en-US"/>
              </w:rPr>
            </w:pPr>
            <w:r>
              <w:rPr>
                <w:rFonts w:eastAsia="Calibri"/>
                <w:b/>
                <w:szCs w:val="24"/>
                <w:lang w:val="en-US"/>
              </w:rPr>
              <w:t>Birth -</w:t>
            </w:r>
          </w:p>
          <w:p w14:paraId="1C8EA9B3" w14:textId="77777777" w:rsidR="00E659A5" w:rsidRDefault="00C21592" w:rsidP="00C168EA">
            <w:pPr>
              <w:widowControl w:val="0"/>
              <w:autoSpaceDE w:val="0"/>
              <w:autoSpaceDN w:val="0"/>
              <w:spacing w:line="233" w:lineRule="exact"/>
              <w:ind w:left="106"/>
              <w:jc w:val="center"/>
              <w:rPr>
                <w:rFonts w:eastAsia="Calibri"/>
                <w:b/>
                <w:szCs w:val="24"/>
                <w:lang w:val="en-US"/>
              </w:rPr>
            </w:pPr>
            <w:r>
              <w:rPr>
                <w:rFonts w:eastAsia="Calibri"/>
                <w:b/>
                <w:szCs w:val="24"/>
                <w:lang w:val="en-US"/>
              </w:rPr>
              <w:t>&lt; 0.5 godina</w:t>
            </w:r>
          </w:p>
        </w:tc>
      </w:tr>
      <w:tr w:rsidR="00E659A5" w14:paraId="74364B86" w14:textId="77777777">
        <w:trPr>
          <w:trHeight w:val="504"/>
        </w:trPr>
        <w:tc>
          <w:tcPr>
            <w:tcW w:w="704" w:type="pct"/>
            <w:shd w:val="clear" w:color="auto" w:fill="auto"/>
          </w:tcPr>
          <w:p w14:paraId="2EC82746" w14:textId="77777777" w:rsidR="00E659A5" w:rsidRDefault="00C21592">
            <w:pPr>
              <w:widowControl w:val="0"/>
              <w:autoSpaceDE w:val="0"/>
              <w:autoSpaceDN w:val="0"/>
              <w:spacing w:line="253" w:lineRule="exact"/>
              <w:ind w:left="107"/>
              <w:rPr>
                <w:rFonts w:eastAsia="Calibri"/>
                <w:szCs w:val="24"/>
                <w:lang w:val="en-US"/>
              </w:rPr>
            </w:pPr>
            <w:r>
              <w:rPr>
                <w:rFonts w:eastAsia="Calibri"/>
                <w:szCs w:val="24"/>
                <w:lang w:val="en-US"/>
              </w:rPr>
              <w:t>0.5</w:t>
            </w:r>
            <w:r w:rsidR="00B24B41">
              <w:rPr>
                <w:rFonts w:eastAsia="Calibri"/>
                <w:szCs w:val="24"/>
                <w:lang w:val="en-US"/>
              </w:rPr>
              <w:t xml:space="preserve"> </w:t>
            </w:r>
            <w:r>
              <w:rPr>
                <w:rFonts w:eastAsia="Calibri"/>
                <w:szCs w:val="24"/>
                <w:lang w:val="en-US"/>
              </w:rPr>
              <w:t>-</w:t>
            </w:r>
            <w:r w:rsidR="00B24B41">
              <w:rPr>
                <w:rFonts w:eastAsia="Calibri"/>
                <w:szCs w:val="24"/>
                <w:lang w:val="en-US"/>
              </w:rPr>
              <w:t xml:space="preserve"> </w:t>
            </w:r>
            <w:r>
              <w:rPr>
                <w:rFonts w:eastAsia="Calibri"/>
                <w:szCs w:val="24"/>
                <w:lang w:val="en-US"/>
              </w:rPr>
              <w:t>3h post</w:t>
            </w:r>
          </w:p>
        </w:tc>
        <w:tc>
          <w:tcPr>
            <w:tcW w:w="298" w:type="pct"/>
            <w:shd w:val="clear" w:color="auto" w:fill="auto"/>
          </w:tcPr>
          <w:p w14:paraId="4F977C93" w14:textId="77777777" w:rsidR="00E659A5" w:rsidRDefault="00C21592">
            <w:pPr>
              <w:widowControl w:val="0"/>
              <w:autoSpaceDE w:val="0"/>
              <w:autoSpaceDN w:val="0"/>
              <w:spacing w:line="253" w:lineRule="exact"/>
              <w:ind w:left="107"/>
              <w:rPr>
                <w:rFonts w:eastAsia="Calibri"/>
                <w:szCs w:val="24"/>
                <w:lang w:val="en-US"/>
              </w:rPr>
            </w:pPr>
            <w:r>
              <w:rPr>
                <w:rFonts w:eastAsia="Calibri"/>
                <w:w w:val="99"/>
                <w:szCs w:val="24"/>
                <w:lang w:val="en-US"/>
              </w:rPr>
              <w:t>5</w:t>
            </w:r>
          </w:p>
        </w:tc>
        <w:tc>
          <w:tcPr>
            <w:tcW w:w="784" w:type="pct"/>
            <w:shd w:val="clear" w:color="auto" w:fill="auto"/>
          </w:tcPr>
          <w:p w14:paraId="0192EC92" w14:textId="77777777" w:rsidR="00E659A5" w:rsidRDefault="00C21592" w:rsidP="00C168EA">
            <w:pPr>
              <w:widowControl w:val="0"/>
              <w:autoSpaceDE w:val="0"/>
              <w:autoSpaceDN w:val="0"/>
              <w:spacing w:line="252" w:lineRule="exact"/>
              <w:ind w:left="107"/>
              <w:jc w:val="center"/>
              <w:rPr>
                <w:rFonts w:eastAsia="Calibri"/>
                <w:szCs w:val="24"/>
                <w:lang w:val="en-US"/>
              </w:rPr>
            </w:pPr>
            <w:r>
              <w:rPr>
                <w:rFonts w:eastAsia="Calibri"/>
                <w:szCs w:val="24"/>
                <w:lang w:val="en-US"/>
              </w:rPr>
              <w:t>164.7</w:t>
            </w:r>
          </w:p>
          <w:p w14:paraId="7C8A565B" w14:textId="77777777" w:rsidR="00E659A5" w:rsidRDefault="00C21592" w:rsidP="00C168EA">
            <w:pPr>
              <w:widowControl w:val="0"/>
              <w:autoSpaceDE w:val="0"/>
              <w:autoSpaceDN w:val="0"/>
              <w:spacing w:line="233" w:lineRule="exact"/>
              <w:ind w:left="107"/>
              <w:jc w:val="center"/>
              <w:rPr>
                <w:rFonts w:eastAsia="Calibri"/>
                <w:szCs w:val="24"/>
                <w:lang w:val="en-US"/>
              </w:rPr>
            </w:pPr>
            <w:r>
              <w:rPr>
                <w:rFonts w:eastAsia="Calibri"/>
                <w:szCs w:val="24"/>
                <w:lang w:val="en-US"/>
              </w:rPr>
              <w:t>(108-283)</w:t>
            </w:r>
          </w:p>
        </w:tc>
        <w:tc>
          <w:tcPr>
            <w:tcW w:w="297" w:type="pct"/>
            <w:shd w:val="clear" w:color="auto" w:fill="auto"/>
          </w:tcPr>
          <w:p w14:paraId="621FDF89" w14:textId="77777777" w:rsidR="00E659A5" w:rsidRDefault="00C21592" w:rsidP="00C168EA">
            <w:pPr>
              <w:widowControl w:val="0"/>
              <w:autoSpaceDE w:val="0"/>
              <w:autoSpaceDN w:val="0"/>
              <w:spacing w:line="253" w:lineRule="exact"/>
              <w:ind w:left="107"/>
              <w:jc w:val="center"/>
              <w:rPr>
                <w:rFonts w:eastAsia="Calibri"/>
                <w:szCs w:val="24"/>
                <w:lang w:val="en-US"/>
              </w:rPr>
            </w:pPr>
            <w:r>
              <w:rPr>
                <w:rFonts w:eastAsia="Calibri"/>
                <w:szCs w:val="24"/>
                <w:lang w:val="en-US"/>
              </w:rPr>
              <w:t>25</w:t>
            </w:r>
          </w:p>
        </w:tc>
        <w:tc>
          <w:tcPr>
            <w:tcW w:w="768" w:type="pct"/>
            <w:shd w:val="clear" w:color="auto" w:fill="auto"/>
          </w:tcPr>
          <w:p w14:paraId="7BCF8786" w14:textId="77777777" w:rsidR="00E659A5" w:rsidRDefault="00C21592" w:rsidP="00C168EA">
            <w:pPr>
              <w:widowControl w:val="0"/>
              <w:autoSpaceDE w:val="0"/>
              <w:autoSpaceDN w:val="0"/>
              <w:spacing w:line="252" w:lineRule="exact"/>
              <w:ind w:left="106"/>
              <w:jc w:val="center"/>
              <w:rPr>
                <w:rFonts w:eastAsia="Calibri"/>
                <w:szCs w:val="24"/>
                <w:lang w:val="en-US"/>
              </w:rPr>
            </w:pPr>
            <w:r>
              <w:rPr>
                <w:rFonts w:eastAsia="Calibri"/>
                <w:szCs w:val="24"/>
                <w:lang w:val="en-US"/>
              </w:rPr>
              <w:t>111.2</w:t>
            </w:r>
          </w:p>
          <w:p w14:paraId="638F0A13" w14:textId="77777777" w:rsidR="00E659A5" w:rsidRDefault="00C21592" w:rsidP="00C168EA">
            <w:pPr>
              <w:widowControl w:val="0"/>
              <w:autoSpaceDE w:val="0"/>
              <w:autoSpaceDN w:val="0"/>
              <w:spacing w:line="233" w:lineRule="exact"/>
              <w:ind w:left="106"/>
              <w:jc w:val="center"/>
              <w:rPr>
                <w:rFonts w:eastAsia="Calibri"/>
                <w:szCs w:val="24"/>
                <w:lang w:val="en-US"/>
              </w:rPr>
            </w:pPr>
            <w:r>
              <w:rPr>
                <w:rFonts w:eastAsia="Calibri"/>
                <w:szCs w:val="24"/>
                <w:lang w:val="en-US"/>
              </w:rPr>
              <w:t>(22.9-320)</w:t>
            </w:r>
          </w:p>
        </w:tc>
        <w:tc>
          <w:tcPr>
            <w:tcW w:w="233" w:type="pct"/>
            <w:shd w:val="clear" w:color="auto" w:fill="auto"/>
          </w:tcPr>
          <w:p w14:paraId="01827869" w14:textId="77777777" w:rsidR="00E659A5" w:rsidRDefault="00C21592" w:rsidP="00C168EA">
            <w:pPr>
              <w:widowControl w:val="0"/>
              <w:autoSpaceDE w:val="0"/>
              <w:autoSpaceDN w:val="0"/>
              <w:spacing w:line="253" w:lineRule="exact"/>
              <w:ind w:left="107"/>
              <w:jc w:val="center"/>
              <w:rPr>
                <w:rFonts w:eastAsia="Calibri"/>
                <w:szCs w:val="24"/>
                <w:lang w:val="en-US"/>
              </w:rPr>
            </w:pPr>
            <w:r>
              <w:rPr>
                <w:rFonts w:eastAsia="Calibri"/>
                <w:szCs w:val="24"/>
                <w:lang w:val="en-US"/>
              </w:rPr>
              <w:t>13</w:t>
            </w:r>
          </w:p>
        </w:tc>
        <w:tc>
          <w:tcPr>
            <w:tcW w:w="787" w:type="pct"/>
            <w:shd w:val="clear" w:color="auto" w:fill="auto"/>
          </w:tcPr>
          <w:p w14:paraId="05521124" w14:textId="77777777" w:rsidR="00E659A5" w:rsidRDefault="00C21592" w:rsidP="00C168EA">
            <w:pPr>
              <w:widowControl w:val="0"/>
              <w:autoSpaceDE w:val="0"/>
              <w:autoSpaceDN w:val="0"/>
              <w:spacing w:line="252" w:lineRule="exact"/>
              <w:ind w:left="106"/>
              <w:jc w:val="center"/>
              <w:rPr>
                <w:rFonts w:eastAsia="Calibri"/>
                <w:szCs w:val="24"/>
                <w:lang w:val="en-US"/>
              </w:rPr>
            </w:pPr>
            <w:r>
              <w:rPr>
                <w:rFonts w:eastAsia="Calibri"/>
                <w:szCs w:val="24"/>
                <w:lang w:val="en-US"/>
              </w:rPr>
              <w:t>114.3</w:t>
            </w:r>
          </w:p>
          <w:p w14:paraId="38684003" w14:textId="77777777" w:rsidR="00E659A5" w:rsidRDefault="00C21592" w:rsidP="00C168EA">
            <w:pPr>
              <w:widowControl w:val="0"/>
              <w:autoSpaceDE w:val="0"/>
              <w:autoSpaceDN w:val="0"/>
              <w:spacing w:line="233" w:lineRule="exact"/>
              <w:ind w:left="106"/>
              <w:jc w:val="center"/>
              <w:rPr>
                <w:rFonts w:eastAsia="Calibri"/>
                <w:szCs w:val="24"/>
                <w:lang w:val="en-US"/>
              </w:rPr>
            </w:pPr>
            <w:r>
              <w:rPr>
                <w:rFonts w:eastAsia="Calibri"/>
                <w:szCs w:val="24"/>
                <w:lang w:val="en-US"/>
              </w:rPr>
              <w:t>(22.9-346)</w:t>
            </w:r>
          </w:p>
        </w:tc>
        <w:tc>
          <w:tcPr>
            <w:tcW w:w="230" w:type="pct"/>
            <w:shd w:val="clear" w:color="auto" w:fill="auto"/>
          </w:tcPr>
          <w:p w14:paraId="126C7F54" w14:textId="77777777" w:rsidR="00E659A5" w:rsidRDefault="00C21592" w:rsidP="00B24B41">
            <w:pPr>
              <w:widowControl w:val="0"/>
              <w:autoSpaceDE w:val="0"/>
              <w:autoSpaceDN w:val="0"/>
              <w:spacing w:line="253" w:lineRule="exact"/>
              <w:ind w:left="88"/>
              <w:jc w:val="center"/>
              <w:rPr>
                <w:rFonts w:eastAsia="Calibri"/>
                <w:szCs w:val="24"/>
                <w:lang w:val="en-US"/>
              </w:rPr>
            </w:pPr>
            <w:r>
              <w:rPr>
                <w:rFonts w:eastAsia="Calibri"/>
                <w:szCs w:val="24"/>
                <w:lang w:val="en-US"/>
              </w:rPr>
              <w:t>12</w:t>
            </w:r>
          </w:p>
        </w:tc>
        <w:tc>
          <w:tcPr>
            <w:tcW w:w="899" w:type="pct"/>
            <w:shd w:val="clear" w:color="auto" w:fill="auto"/>
          </w:tcPr>
          <w:p w14:paraId="675D71A3" w14:textId="77777777" w:rsidR="00E659A5" w:rsidRDefault="00C21592" w:rsidP="00C168EA">
            <w:pPr>
              <w:widowControl w:val="0"/>
              <w:autoSpaceDE w:val="0"/>
              <w:autoSpaceDN w:val="0"/>
              <w:spacing w:line="252" w:lineRule="exact"/>
              <w:ind w:left="106"/>
              <w:jc w:val="center"/>
              <w:rPr>
                <w:rFonts w:eastAsia="Calibri"/>
                <w:szCs w:val="24"/>
                <w:lang w:val="en-US"/>
              </w:rPr>
            </w:pPr>
            <w:r>
              <w:rPr>
                <w:rFonts w:eastAsia="Calibri"/>
                <w:szCs w:val="24"/>
                <w:lang w:val="en-US"/>
              </w:rPr>
              <w:t>108.0</w:t>
            </w:r>
          </w:p>
          <w:p w14:paraId="06DD55EE" w14:textId="77777777" w:rsidR="00E659A5" w:rsidRDefault="00C21592" w:rsidP="00C168EA">
            <w:pPr>
              <w:widowControl w:val="0"/>
              <w:autoSpaceDE w:val="0"/>
              <w:autoSpaceDN w:val="0"/>
              <w:spacing w:line="233" w:lineRule="exact"/>
              <w:ind w:left="106"/>
              <w:jc w:val="center"/>
              <w:rPr>
                <w:rFonts w:eastAsia="Calibri"/>
                <w:szCs w:val="24"/>
                <w:lang w:val="en-US"/>
              </w:rPr>
            </w:pPr>
            <w:r>
              <w:rPr>
                <w:rFonts w:eastAsia="Calibri"/>
                <w:szCs w:val="24"/>
                <w:lang w:val="en-US"/>
              </w:rPr>
              <w:t>(19.2-320)</w:t>
            </w:r>
          </w:p>
        </w:tc>
      </w:tr>
      <w:tr w:rsidR="00E659A5" w14:paraId="53900A7A" w14:textId="77777777">
        <w:trPr>
          <w:trHeight w:val="505"/>
        </w:trPr>
        <w:tc>
          <w:tcPr>
            <w:tcW w:w="704" w:type="pct"/>
            <w:shd w:val="clear" w:color="auto" w:fill="auto"/>
          </w:tcPr>
          <w:p w14:paraId="61FC3922" w14:textId="77777777" w:rsidR="00E659A5" w:rsidRDefault="00C21592">
            <w:pPr>
              <w:widowControl w:val="0"/>
              <w:autoSpaceDE w:val="0"/>
              <w:autoSpaceDN w:val="0"/>
              <w:spacing w:before="1"/>
              <w:ind w:left="107"/>
              <w:rPr>
                <w:rFonts w:eastAsia="Calibri"/>
                <w:szCs w:val="24"/>
                <w:lang w:val="en-US"/>
              </w:rPr>
            </w:pPr>
            <w:r>
              <w:rPr>
                <w:rFonts w:eastAsia="Calibri"/>
                <w:szCs w:val="24"/>
                <w:lang w:val="en-US"/>
              </w:rPr>
              <w:t>7</w:t>
            </w:r>
            <w:r w:rsidR="00B24B41">
              <w:rPr>
                <w:rFonts w:eastAsia="Calibri"/>
                <w:szCs w:val="24"/>
                <w:lang w:val="en-US"/>
              </w:rPr>
              <w:t xml:space="preserve"> </w:t>
            </w:r>
            <w:r>
              <w:rPr>
                <w:rFonts w:eastAsia="Calibri"/>
                <w:szCs w:val="24"/>
                <w:lang w:val="en-US"/>
              </w:rPr>
              <w:t>-</w:t>
            </w:r>
            <w:r w:rsidR="00B24B41">
              <w:rPr>
                <w:rFonts w:eastAsia="Calibri"/>
                <w:szCs w:val="24"/>
                <w:lang w:val="en-US"/>
              </w:rPr>
              <w:t xml:space="preserve"> </w:t>
            </w:r>
            <w:r>
              <w:rPr>
                <w:rFonts w:eastAsia="Calibri"/>
                <w:szCs w:val="24"/>
                <w:lang w:val="en-US"/>
              </w:rPr>
              <w:t>8h post</w:t>
            </w:r>
          </w:p>
        </w:tc>
        <w:tc>
          <w:tcPr>
            <w:tcW w:w="298" w:type="pct"/>
            <w:shd w:val="clear" w:color="auto" w:fill="auto"/>
          </w:tcPr>
          <w:p w14:paraId="2428A518" w14:textId="77777777" w:rsidR="00E659A5" w:rsidRDefault="00C21592">
            <w:pPr>
              <w:widowControl w:val="0"/>
              <w:autoSpaceDE w:val="0"/>
              <w:autoSpaceDN w:val="0"/>
              <w:spacing w:before="1"/>
              <w:ind w:left="107"/>
              <w:rPr>
                <w:rFonts w:eastAsia="Calibri"/>
                <w:szCs w:val="24"/>
                <w:lang w:val="en-US"/>
              </w:rPr>
            </w:pPr>
            <w:r>
              <w:rPr>
                <w:rFonts w:eastAsia="Calibri"/>
                <w:w w:val="99"/>
                <w:szCs w:val="24"/>
                <w:lang w:val="en-US"/>
              </w:rPr>
              <w:t>5</w:t>
            </w:r>
          </w:p>
        </w:tc>
        <w:tc>
          <w:tcPr>
            <w:tcW w:w="784" w:type="pct"/>
            <w:shd w:val="clear" w:color="auto" w:fill="auto"/>
          </w:tcPr>
          <w:p w14:paraId="46525818" w14:textId="77777777" w:rsidR="00E659A5" w:rsidRDefault="00C21592" w:rsidP="00C168EA">
            <w:pPr>
              <w:widowControl w:val="0"/>
              <w:autoSpaceDE w:val="0"/>
              <w:autoSpaceDN w:val="0"/>
              <w:spacing w:before="1" w:line="252" w:lineRule="exact"/>
              <w:ind w:left="107"/>
              <w:jc w:val="center"/>
              <w:rPr>
                <w:rFonts w:eastAsia="Calibri"/>
                <w:szCs w:val="24"/>
                <w:lang w:val="en-US"/>
              </w:rPr>
            </w:pPr>
            <w:r>
              <w:rPr>
                <w:rFonts w:eastAsia="Calibri"/>
                <w:szCs w:val="24"/>
                <w:lang w:val="en-US"/>
              </w:rPr>
              <w:t>33.2</w:t>
            </w:r>
          </w:p>
          <w:p w14:paraId="600A6A68" w14:textId="77777777" w:rsidR="00E659A5" w:rsidRDefault="00C21592" w:rsidP="00C168EA">
            <w:pPr>
              <w:widowControl w:val="0"/>
              <w:autoSpaceDE w:val="0"/>
              <w:autoSpaceDN w:val="0"/>
              <w:spacing w:line="233" w:lineRule="exact"/>
              <w:ind w:left="107"/>
              <w:jc w:val="center"/>
              <w:rPr>
                <w:rFonts w:eastAsia="Calibri"/>
                <w:szCs w:val="24"/>
                <w:lang w:val="en-US"/>
              </w:rPr>
            </w:pPr>
            <w:r>
              <w:rPr>
                <w:rFonts w:eastAsia="Calibri"/>
                <w:szCs w:val="24"/>
                <w:lang w:val="en-US"/>
              </w:rPr>
              <w:t>(18.7-99.7)</w:t>
            </w:r>
          </w:p>
        </w:tc>
        <w:tc>
          <w:tcPr>
            <w:tcW w:w="297" w:type="pct"/>
            <w:shd w:val="clear" w:color="auto" w:fill="auto"/>
          </w:tcPr>
          <w:p w14:paraId="0AA101E2" w14:textId="77777777" w:rsidR="00E659A5" w:rsidRDefault="00C21592" w:rsidP="00C168EA">
            <w:pPr>
              <w:widowControl w:val="0"/>
              <w:autoSpaceDE w:val="0"/>
              <w:autoSpaceDN w:val="0"/>
              <w:spacing w:before="1"/>
              <w:ind w:left="107"/>
              <w:jc w:val="center"/>
              <w:rPr>
                <w:rFonts w:eastAsia="Calibri"/>
                <w:szCs w:val="24"/>
                <w:lang w:val="en-US"/>
              </w:rPr>
            </w:pPr>
            <w:r>
              <w:rPr>
                <w:rFonts w:eastAsia="Calibri"/>
                <w:szCs w:val="24"/>
                <w:lang w:val="en-US"/>
              </w:rPr>
              <w:t>23</w:t>
            </w:r>
          </w:p>
        </w:tc>
        <w:tc>
          <w:tcPr>
            <w:tcW w:w="768" w:type="pct"/>
            <w:shd w:val="clear" w:color="auto" w:fill="auto"/>
          </w:tcPr>
          <w:p w14:paraId="5DD1F65E" w14:textId="77777777" w:rsidR="00E659A5" w:rsidRDefault="00C21592" w:rsidP="00C168EA">
            <w:pPr>
              <w:widowControl w:val="0"/>
              <w:autoSpaceDE w:val="0"/>
              <w:autoSpaceDN w:val="0"/>
              <w:spacing w:before="1" w:line="252" w:lineRule="exact"/>
              <w:ind w:left="106"/>
              <w:jc w:val="center"/>
              <w:rPr>
                <w:rFonts w:eastAsia="Calibri"/>
                <w:szCs w:val="24"/>
                <w:lang w:val="en-US"/>
              </w:rPr>
            </w:pPr>
            <w:r>
              <w:rPr>
                <w:rFonts w:eastAsia="Calibri"/>
                <w:szCs w:val="24"/>
                <w:lang w:val="en-US"/>
              </w:rPr>
              <w:t>18.7</w:t>
            </w:r>
          </w:p>
          <w:p w14:paraId="5AE567FC" w14:textId="77777777" w:rsidR="00E659A5" w:rsidRDefault="00C21592" w:rsidP="00C168EA">
            <w:pPr>
              <w:widowControl w:val="0"/>
              <w:autoSpaceDE w:val="0"/>
              <w:autoSpaceDN w:val="0"/>
              <w:spacing w:line="233" w:lineRule="exact"/>
              <w:ind w:left="106"/>
              <w:jc w:val="center"/>
              <w:rPr>
                <w:rFonts w:eastAsia="Calibri"/>
                <w:szCs w:val="24"/>
                <w:lang w:val="en-US"/>
              </w:rPr>
            </w:pPr>
            <w:r>
              <w:rPr>
                <w:rFonts w:eastAsia="Calibri"/>
                <w:szCs w:val="24"/>
                <w:lang w:val="en-US"/>
              </w:rPr>
              <w:t>(10.1-36.5)</w:t>
            </w:r>
          </w:p>
        </w:tc>
        <w:tc>
          <w:tcPr>
            <w:tcW w:w="233" w:type="pct"/>
            <w:shd w:val="clear" w:color="auto" w:fill="auto"/>
          </w:tcPr>
          <w:p w14:paraId="2DD327B5" w14:textId="77777777" w:rsidR="00E659A5" w:rsidRDefault="00C21592" w:rsidP="00C168EA">
            <w:pPr>
              <w:widowControl w:val="0"/>
              <w:autoSpaceDE w:val="0"/>
              <w:autoSpaceDN w:val="0"/>
              <w:spacing w:before="1"/>
              <w:ind w:left="107"/>
              <w:jc w:val="center"/>
              <w:rPr>
                <w:rFonts w:eastAsia="Calibri"/>
                <w:szCs w:val="24"/>
                <w:lang w:val="en-US"/>
              </w:rPr>
            </w:pPr>
            <w:r>
              <w:rPr>
                <w:rFonts w:eastAsia="Calibri"/>
                <w:szCs w:val="24"/>
                <w:lang w:val="en-US"/>
              </w:rPr>
              <w:t>12</w:t>
            </w:r>
          </w:p>
        </w:tc>
        <w:tc>
          <w:tcPr>
            <w:tcW w:w="787" w:type="pct"/>
            <w:shd w:val="clear" w:color="auto" w:fill="auto"/>
          </w:tcPr>
          <w:p w14:paraId="18A71995" w14:textId="77777777" w:rsidR="00E659A5" w:rsidRDefault="00C21592" w:rsidP="00C168EA">
            <w:pPr>
              <w:widowControl w:val="0"/>
              <w:autoSpaceDE w:val="0"/>
              <w:autoSpaceDN w:val="0"/>
              <w:spacing w:before="1" w:line="252" w:lineRule="exact"/>
              <w:ind w:left="106"/>
              <w:jc w:val="center"/>
              <w:rPr>
                <w:rFonts w:eastAsia="Calibri"/>
                <w:szCs w:val="24"/>
                <w:lang w:val="en-US"/>
              </w:rPr>
            </w:pPr>
            <w:r>
              <w:rPr>
                <w:rFonts w:eastAsia="Calibri"/>
                <w:szCs w:val="24"/>
                <w:lang w:val="en-US"/>
              </w:rPr>
              <w:t>21.4</w:t>
            </w:r>
          </w:p>
          <w:p w14:paraId="5D8D1FE6" w14:textId="77777777" w:rsidR="00E659A5" w:rsidRDefault="00C21592" w:rsidP="00C168EA">
            <w:pPr>
              <w:widowControl w:val="0"/>
              <w:autoSpaceDE w:val="0"/>
              <w:autoSpaceDN w:val="0"/>
              <w:spacing w:line="233" w:lineRule="exact"/>
              <w:ind w:left="106"/>
              <w:jc w:val="center"/>
              <w:rPr>
                <w:rFonts w:eastAsia="Calibri"/>
                <w:szCs w:val="24"/>
                <w:lang w:val="en-US"/>
              </w:rPr>
            </w:pPr>
            <w:r>
              <w:rPr>
                <w:rFonts w:eastAsia="Calibri"/>
                <w:szCs w:val="24"/>
                <w:lang w:val="en-US"/>
              </w:rPr>
              <w:t>(10.5-65.6)</w:t>
            </w:r>
          </w:p>
        </w:tc>
        <w:tc>
          <w:tcPr>
            <w:tcW w:w="230" w:type="pct"/>
            <w:shd w:val="clear" w:color="auto" w:fill="auto"/>
          </w:tcPr>
          <w:p w14:paraId="0A0DB24B" w14:textId="77777777" w:rsidR="00E659A5" w:rsidRDefault="00C21592" w:rsidP="00B24B41">
            <w:pPr>
              <w:widowControl w:val="0"/>
              <w:autoSpaceDE w:val="0"/>
              <w:autoSpaceDN w:val="0"/>
              <w:spacing w:before="1"/>
              <w:ind w:left="88"/>
              <w:jc w:val="center"/>
              <w:rPr>
                <w:rFonts w:eastAsia="Calibri"/>
                <w:szCs w:val="24"/>
                <w:lang w:val="en-US"/>
              </w:rPr>
            </w:pPr>
            <w:r>
              <w:rPr>
                <w:rFonts w:eastAsia="Calibri"/>
                <w:szCs w:val="24"/>
                <w:lang w:val="en-US"/>
              </w:rPr>
              <w:t>11</w:t>
            </w:r>
          </w:p>
        </w:tc>
        <w:tc>
          <w:tcPr>
            <w:tcW w:w="899" w:type="pct"/>
            <w:shd w:val="clear" w:color="auto" w:fill="auto"/>
          </w:tcPr>
          <w:p w14:paraId="4A7DA4C3" w14:textId="77777777" w:rsidR="00E659A5" w:rsidRDefault="00C21592" w:rsidP="00C168EA">
            <w:pPr>
              <w:widowControl w:val="0"/>
              <w:autoSpaceDE w:val="0"/>
              <w:autoSpaceDN w:val="0"/>
              <w:spacing w:before="1" w:line="252" w:lineRule="exact"/>
              <w:ind w:left="106"/>
              <w:jc w:val="center"/>
              <w:rPr>
                <w:rFonts w:eastAsia="Calibri"/>
                <w:szCs w:val="24"/>
                <w:lang w:val="en-US"/>
              </w:rPr>
            </w:pPr>
            <w:r>
              <w:rPr>
                <w:rFonts w:eastAsia="Calibri"/>
                <w:szCs w:val="24"/>
                <w:lang w:val="en-US"/>
              </w:rPr>
              <w:t>16.1</w:t>
            </w:r>
          </w:p>
          <w:p w14:paraId="5126AB8C" w14:textId="77777777" w:rsidR="00E659A5" w:rsidRDefault="00C21592" w:rsidP="00C168EA">
            <w:pPr>
              <w:widowControl w:val="0"/>
              <w:autoSpaceDE w:val="0"/>
              <w:autoSpaceDN w:val="0"/>
              <w:spacing w:line="233" w:lineRule="exact"/>
              <w:ind w:left="106"/>
              <w:jc w:val="center"/>
              <w:rPr>
                <w:rFonts w:eastAsia="Calibri"/>
                <w:szCs w:val="24"/>
                <w:lang w:val="en-US"/>
              </w:rPr>
            </w:pPr>
            <w:r>
              <w:rPr>
                <w:rFonts w:eastAsia="Calibri"/>
                <w:szCs w:val="24"/>
                <w:lang w:val="en-US"/>
              </w:rPr>
              <w:t>(1.03-33.6)</w:t>
            </w:r>
          </w:p>
        </w:tc>
      </w:tr>
    </w:tbl>
    <w:p w14:paraId="57EEC462" w14:textId="77777777" w:rsidR="00E659A5" w:rsidRDefault="00C21592">
      <w:pPr>
        <w:widowControl w:val="0"/>
        <w:jc w:val="both"/>
        <w:rPr>
          <w:rFonts w:eastAsia="Calibri"/>
        </w:rPr>
      </w:pPr>
      <w:r>
        <w:rPr>
          <w:rFonts w:eastAsia="Calibri"/>
          <w:lang w:val="mk-MK"/>
        </w:rPr>
        <w:t>n.i. = nije izra</w:t>
      </w:r>
      <w:r>
        <w:rPr>
          <w:rFonts w:eastAsia="Calibri" w:hint="eastAsia"/>
          <w:lang w:val="mk-MK"/>
        </w:rPr>
        <w:t>č</w:t>
      </w:r>
      <w:r>
        <w:rPr>
          <w:rFonts w:eastAsia="Calibri"/>
          <w:lang w:val="mk-MK"/>
        </w:rPr>
        <w:t>unato, post = nakon doziranja</w:t>
      </w:r>
      <w:r>
        <w:rPr>
          <w:rFonts w:eastAsia="Calibri"/>
        </w:rPr>
        <w:t xml:space="preserve"> </w:t>
      </w:r>
    </w:p>
    <w:p w14:paraId="3AC70903" w14:textId="7182C6A3" w:rsidR="00E659A5" w:rsidRDefault="00C21592">
      <w:pPr>
        <w:widowControl w:val="0"/>
        <w:jc w:val="both"/>
        <w:rPr>
          <w:rFonts w:eastAsia="Calibri"/>
          <w:lang w:val="mk-MK"/>
        </w:rPr>
      </w:pPr>
      <w:r>
        <w:rPr>
          <w:rFonts w:eastAsia="Calibri"/>
          <w:lang w:val="mk-MK"/>
        </w:rPr>
        <w:lastRenderedPageBreak/>
        <w:t>Vr</w:t>
      </w:r>
      <w:r>
        <w:rPr>
          <w:rFonts w:eastAsia="Calibri"/>
          <w:lang w:val="sr-Latn-ME"/>
        </w:rPr>
        <w:t>ij</w:t>
      </w:r>
      <w:r>
        <w:rPr>
          <w:rFonts w:eastAsia="Calibri"/>
          <w:lang w:val="mk-MK"/>
        </w:rPr>
        <w:t xml:space="preserve">ednosti manje od donje granice kvantifikacije (engl. </w:t>
      </w:r>
      <w:r>
        <w:rPr>
          <w:rFonts w:eastAsia="Calibri"/>
          <w:i/>
          <w:iCs/>
          <w:lang w:val="mk-MK"/>
        </w:rPr>
        <w:t>lower limit of quantification</w:t>
      </w:r>
      <w:r>
        <w:rPr>
          <w:rFonts w:eastAsia="Calibri"/>
          <w:lang w:val="mk-MK"/>
        </w:rPr>
        <w:t>, LLOQ) bile su</w:t>
      </w:r>
      <w:r w:rsidR="00B24B41">
        <w:rPr>
          <w:rFonts w:eastAsia="Calibri"/>
          <w:lang w:val="sr-Latn-ME"/>
        </w:rPr>
        <w:t xml:space="preserve"> </w:t>
      </w:r>
      <w:r>
        <w:rPr>
          <w:rFonts w:eastAsia="Calibri"/>
          <w:lang w:val="mk-MK"/>
        </w:rPr>
        <w:t>zam</w:t>
      </w:r>
      <w:r>
        <w:rPr>
          <w:rFonts w:eastAsia="Calibri"/>
          <w:lang w:val="sr-Latn-ME"/>
        </w:rPr>
        <w:t>ij</w:t>
      </w:r>
      <w:r>
        <w:rPr>
          <w:rFonts w:eastAsia="Calibri"/>
          <w:lang w:val="mk-MK"/>
        </w:rPr>
        <w:t>enjene vr</w:t>
      </w:r>
      <w:r>
        <w:rPr>
          <w:rFonts w:eastAsia="Calibri"/>
          <w:lang w:val="sr-Latn-ME"/>
        </w:rPr>
        <w:t>ij</w:t>
      </w:r>
      <w:r>
        <w:rPr>
          <w:rFonts w:eastAsia="Calibri"/>
          <w:lang w:val="mk-MK"/>
        </w:rPr>
        <w:t>ednostima 1/2 LLOQ za izra</w:t>
      </w:r>
      <w:r>
        <w:rPr>
          <w:rFonts w:eastAsia="Calibri" w:hint="eastAsia"/>
          <w:lang w:val="mk-MK"/>
        </w:rPr>
        <w:t>č</w:t>
      </w:r>
      <w:r>
        <w:rPr>
          <w:rFonts w:eastAsia="Calibri"/>
          <w:lang w:val="mk-MK"/>
        </w:rPr>
        <w:t>unavanje statisti</w:t>
      </w:r>
      <w:r>
        <w:rPr>
          <w:rFonts w:eastAsia="Calibri" w:hint="eastAsia"/>
          <w:lang w:val="mk-MK"/>
        </w:rPr>
        <w:t>č</w:t>
      </w:r>
      <w:r>
        <w:rPr>
          <w:rFonts w:eastAsia="Calibri"/>
          <w:lang w:val="mk-MK"/>
        </w:rPr>
        <w:t>kih podataka (LLOQ = 0,5</w:t>
      </w:r>
      <w:r w:rsidR="00B24B41">
        <w:rPr>
          <w:rFonts w:eastAsia="Calibri"/>
          <w:lang w:val="sr-Latn-ME"/>
        </w:rPr>
        <w:t xml:space="preserve"> </w:t>
      </w:r>
      <w:r>
        <w:rPr>
          <w:rFonts w:eastAsia="Calibri"/>
          <w:lang w:val="mk-MK"/>
        </w:rPr>
        <w:t>mikrograma/</w:t>
      </w:r>
      <w:r>
        <w:rPr>
          <w:rFonts w:eastAsia="Calibri"/>
          <w:lang w:val="sr-Latn-ME"/>
        </w:rPr>
        <w:t>l</w:t>
      </w:r>
      <w:r>
        <w:rPr>
          <w:rFonts w:eastAsia="Calibri"/>
          <w:lang w:val="mk-MK"/>
        </w:rPr>
        <w:t>).</w:t>
      </w:r>
    </w:p>
    <w:p w14:paraId="00B17948" w14:textId="77777777" w:rsidR="00E659A5" w:rsidRDefault="00E659A5">
      <w:pPr>
        <w:widowControl w:val="0"/>
        <w:jc w:val="both"/>
        <w:rPr>
          <w:rFonts w:eastAsia="Calibri"/>
        </w:rPr>
      </w:pPr>
    </w:p>
    <w:p w14:paraId="338673AF" w14:textId="77777777" w:rsidR="00E659A5" w:rsidRDefault="00C21592">
      <w:pPr>
        <w:pStyle w:val="Default"/>
        <w:jc w:val="both"/>
        <w:rPr>
          <w:sz w:val="22"/>
          <w:szCs w:val="22"/>
          <w:u w:val="single"/>
          <w:lang w:val="hr-HR"/>
        </w:rPr>
      </w:pPr>
      <w:r>
        <w:rPr>
          <w:sz w:val="22"/>
          <w:szCs w:val="22"/>
          <w:u w:val="single"/>
          <w:lang w:val="hr-HR"/>
        </w:rPr>
        <w:t>Farmakokinetičko/farmakodinamski odnos</w:t>
      </w:r>
    </w:p>
    <w:p w14:paraId="4810C0B7" w14:textId="77777777" w:rsidR="00E659A5" w:rsidRDefault="00C21592">
      <w:pPr>
        <w:widowControl w:val="0"/>
        <w:jc w:val="both"/>
        <w:rPr>
          <w:rFonts w:eastAsia="Calibri"/>
        </w:rPr>
      </w:pPr>
      <w:r>
        <w:t>Farmakokinetičko/farmakodinamski (PK/PD) odnos između koncentracija rivaroksabana u plazmi i nekih ciljnih farmakodinamskih parametara (inhibicija faktora Xa, PT, aPTT, Heptest) ispitivan je nakon primjene širokog raspona doza (5-30 mg dva puta na dan). Odnos između koncentracije rivaroksabana i aktivnosti faktora Xa najbolje se može opisati modelom E</w:t>
      </w:r>
      <w:r>
        <w:rPr>
          <w:vertAlign w:val="subscript"/>
        </w:rPr>
        <w:t>max</w:t>
      </w:r>
      <w:r>
        <w:t xml:space="preserve">. U principu, za PT, vrijednosti bolje opisuje linearni model (engl. </w:t>
      </w:r>
      <w:r>
        <w:rPr>
          <w:i/>
        </w:rPr>
        <w:t>linear intercept model</w:t>
      </w:r>
      <w:r>
        <w:t>). Nagib značajno varira u zavisnosti od toga koji je PT reagens korišćen za mjerenje PT. Kada se za mjerenje PT koristio Neoplastin, početna vrijednost PT iznosila je oko 13 s, a nagib je bio oko 3-4 s/(100 mcg/l). Rezultati PK/PD analize u studijama faze II i III bili su u skladu sa podacima dobijenim kod zdravih ispitanika.</w:t>
      </w:r>
    </w:p>
    <w:p w14:paraId="45BDFE0A" w14:textId="77777777" w:rsidR="00E659A5" w:rsidRDefault="00E659A5">
      <w:pPr>
        <w:widowControl w:val="0"/>
        <w:jc w:val="both"/>
        <w:rPr>
          <w:rFonts w:eastAsia="Calibri"/>
        </w:rPr>
      </w:pPr>
    </w:p>
    <w:p w14:paraId="24C7A7CA" w14:textId="77777777" w:rsidR="00E659A5" w:rsidRDefault="00C21592">
      <w:pPr>
        <w:pStyle w:val="Default"/>
        <w:jc w:val="both"/>
        <w:rPr>
          <w:sz w:val="22"/>
          <w:szCs w:val="22"/>
          <w:u w:val="single"/>
          <w:lang w:val="hr-HR"/>
        </w:rPr>
      </w:pPr>
      <w:r>
        <w:rPr>
          <w:sz w:val="22"/>
          <w:szCs w:val="22"/>
          <w:u w:val="single"/>
          <w:lang w:val="hr-HR"/>
        </w:rPr>
        <w:t>Pedijatrijska populacija</w:t>
      </w:r>
    </w:p>
    <w:p w14:paraId="401C01BE" w14:textId="410B60E3" w:rsidR="00E659A5" w:rsidRDefault="00C21592">
      <w:pPr>
        <w:widowControl w:val="0"/>
        <w:tabs>
          <w:tab w:val="left" w:pos="8114"/>
        </w:tabs>
        <w:jc w:val="both"/>
        <w:rPr>
          <w:lang w:val="mk-MK"/>
        </w:rPr>
      </w:pPr>
      <w:r>
        <w:t>Bezbjednost i efikasnost kod djece i adolescenata uzrasta do 18 godina ni</w:t>
      </w:r>
      <w:r w:rsidR="00B24B41">
        <w:t>je</w:t>
      </w:r>
      <w:r>
        <w:t xml:space="preserve">su ustanovljeni </w:t>
      </w:r>
      <w:r>
        <w:rPr>
          <w:lang w:val="mk-MK"/>
        </w:rPr>
        <w:t>za prim</w:t>
      </w:r>
      <w:r>
        <w:rPr>
          <w:lang w:val="sr-Latn-ME"/>
        </w:rPr>
        <w:t>j</w:t>
      </w:r>
      <w:r>
        <w:rPr>
          <w:lang w:val="mk-MK"/>
        </w:rPr>
        <w:t>enu u</w:t>
      </w:r>
      <w:r w:rsidR="00B24B41">
        <w:rPr>
          <w:lang w:val="sr-Latn-ME"/>
        </w:rPr>
        <w:t xml:space="preserve"> </w:t>
      </w:r>
      <w:r>
        <w:rPr>
          <w:lang w:val="mk-MK"/>
        </w:rPr>
        <w:t>prevenciji mo</w:t>
      </w:r>
      <w:r>
        <w:rPr>
          <w:rFonts w:hint="eastAsia"/>
          <w:lang w:val="mk-MK"/>
        </w:rPr>
        <w:t>ž</w:t>
      </w:r>
      <w:r>
        <w:rPr>
          <w:lang w:val="mk-MK"/>
        </w:rPr>
        <w:t>danog udara i sistemske embolije kod pacijenata sa nevalvularnom atrijalnom</w:t>
      </w:r>
      <w:r>
        <w:rPr>
          <w:lang w:val="sr-Latn-ME"/>
        </w:rPr>
        <w:t xml:space="preserve"> </w:t>
      </w:r>
      <w:r>
        <w:rPr>
          <w:lang w:val="mk-MK"/>
        </w:rPr>
        <w:t>fibrilacijom.</w:t>
      </w:r>
      <w:r>
        <w:t xml:space="preserve"> </w:t>
      </w:r>
    </w:p>
    <w:p w14:paraId="0D7BA779" w14:textId="77777777" w:rsidR="00E659A5" w:rsidRDefault="00E659A5">
      <w:pPr>
        <w:widowControl w:val="0"/>
        <w:tabs>
          <w:tab w:val="left" w:pos="8114"/>
        </w:tabs>
        <w:jc w:val="both"/>
        <w:rPr>
          <w:rFonts w:eastAsia="Calibri"/>
        </w:rPr>
      </w:pPr>
    </w:p>
    <w:p w14:paraId="5BD49171" w14:textId="77777777" w:rsidR="00E659A5" w:rsidRDefault="00C21592">
      <w:pPr>
        <w:widowControl w:val="0"/>
        <w:jc w:val="both"/>
        <w:rPr>
          <w:b/>
        </w:rPr>
      </w:pPr>
      <w:r>
        <w:rPr>
          <w:b/>
        </w:rPr>
        <w:t>5.3</w:t>
      </w:r>
      <w:r>
        <w:rPr>
          <w:b/>
        </w:rPr>
        <w:tab/>
        <w:t>Pretklinički podaci o bezbjednosti</w:t>
      </w:r>
    </w:p>
    <w:p w14:paraId="04DC76A5" w14:textId="77777777" w:rsidR="00E659A5" w:rsidRDefault="00E659A5">
      <w:pPr>
        <w:widowControl w:val="0"/>
        <w:jc w:val="both"/>
        <w:rPr>
          <w:rFonts w:eastAsia="Calibri"/>
        </w:rPr>
      </w:pPr>
    </w:p>
    <w:p w14:paraId="18C03C36" w14:textId="77777777" w:rsidR="00E659A5" w:rsidRDefault="00C21592">
      <w:pPr>
        <w:pStyle w:val="Default"/>
        <w:jc w:val="both"/>
        <w:rPr>
          <w:sz w:val="22"/>
          <w:szCs w:val="22"/>
          <w:lang w:val="hr-HR"/>
        </w:rPr>
      </w:pPr>
      <w:r>
        <w:rPr>
          <w:sz w:val="22"/>
          <w:szCs w:val="22"/>
          <w:lang w:val="hr-HR"/>
        </w:rPr>
        <w:t>Pretklini</w:t>
      </w:r>
      <w:r>
        <w:rPr>
          <w:sz w:val="22"/>
          <w:szCs w:val="22"/>
          <w:lang w:val="sr-Latn-RS"/>
        </w:rPr>
        <w:t xml:space="preserve">čki </w:t>
      </w:r>
      <w:r>
        <w:rPr>
          <w:sz w:val="22"/>
          <w:szCs w:val="22"/>
          <w:lang w:val="hr-HR"/>
        </w:rPr>
        <w:t>podaci nisi otkrili poseban rizik za ljude na osnovu standardnih pretkliničkih studija bezbjednosti, studija toksičnosti jedne doze, fototoksičnosti, genotoksičnosti, karcinogenog potencijala i juvenilne toksičnosti.</w:t>
      </w:r>
    </w:p>
    <w:p w14:paraId="21D293CC" w14:textId="77777777" w:rsidR="00E659A5" w:rsidRDefault="00C21592">
      <w:pPr>
        <w:pStyle w:val="Default"/>
        <w:jc w:val="both"/>
        <w:rPr>
          <w:sz w:val="22"/>
          <w:szCs w:val="22"/>
          <w:lang w:val="hr-HR"/>
        </w:rPr>
      </w:pPr>
      <w:r>
        <w:rPr>
          <w:sz w:val="22"/>
          <w:szCs w:val="22"/>
          <w:lang w:val="hr-HR"/>
        </w:rPr>
        <w:t>Efekti dobijeni u studijama toksičnosti ponovljene doze uglavnom su posljedica pojačane farmakodinamske aktivnosti rivaroksabana. Kod pacova je primijećeno povećanje nivoa IgG i IgA u plazmi pri klinički značajnim nivoima ekspozicije.</w:t>
      </w:r>
    </w:p>
    <w:p w14:paraId="267CCB15" w14:textId="77777777" w:rsidR="00E659A5" w:rsidRDefault="00C21592">
      <w:pPr>
        <w:widowControl w:val="0"/>
        <w:jc w:val="both"/>
        <w:rPr>
          <w:noProof/>
        </w:rPr>
      </w:pPr>
      <w:r>
        <w:t>Kod pacova nije primijećen uticaj na plodnost ni mužjaka ni ženki. Studije na životinjama pokazale su reproduktivnu toksičnost koja je rezultat farmakodinamskog mehanizma dejstva rivaroksabana (npr. hemoragijske komplikacije). Pri klinički značajnim koncentracijama lijeka u plazmi primijećene su embrio-fetalna toksičnost (gubitak poslije implantacije, usporena/uznapredovala osifikacija, multiple svijetle mrlje na jetri), povećana učestalost uobičajenih malformacija, kao i promjene na placenti. U studijama prenatalnog i postnatalnog razvoja na pacovima primijećana je smanjena sposobnost preživljavanja okota pri dozama koje su bile toksične za gravidne ženke.</w:t>
      </w:r>
    </w:p>
    <w:p w14:paraId="1C87B388" w14:textId="77777777" w:rsidR="00E659A5" w:rsidRDefault="00E659A5">
      <w:pPr>
        <w:widowControl w:val="0"/>
        <w:jc w:val="both"/>
      </w:pPr>
    </w:p>
    <w:p w14:paraId="1CFF2626" w14:textId="77777777" w:rsidR="00E659A5" w:rsidRDefault="00C21592">
      <w:pPr>
        <w:widowControl w:val="0"/>
        <w:jc w:val="both"/>
        <w:rPr>
          <w:lang w:val="mk-MK"/>
        </w:rPr>
      </w:pPr>
      <w:r>
        <w:rPr>
          <w:lang w:val="mk-MK"/>
        </w:rPr>
        <w:t>Rivaroksaban je ispitan na mladim pacovima tretiranim od 4. postnatalnog dana u trajanju do 3 m</w:t>
      </w:r>
      <w:r>
        <w:rPr>
          <w:lang w:val="sr-Latn-ME"/>
        </w:rPr>
        <w:t>j</w:t>
      </w:r>
      <w:r>
        <w:rPr>
          <w:lang w:val="mk-MK"/>
        </w:rPr>
        <w:t>eseca,</w:t>
      </w:r>
      <w:r>
        <w:rPr>
          <w:lang w:val="sr-Latn-ME"/>
        </w:rPr>
        <w:t xml:space="preserve"> </w:t>
      </w:r>
      <w:r>
        <w:rPr>
          <w:lang w:val="mk-MK"/>
        </w:rPr>
        <w:t>pokazuju</w:t>
      </w:r>
      <w:r>
        <w:rPr>
          <w:rFonts w:hint="eastAsia"/>
          <w:lang w:val="mk-MK"/>
        </w:rPr>
        <w:t>ć</w:t>
      </w:r>
      <w:r>
        <w:rPr>
          <w:lang w:val="mk-MK"/>
        </w:rPr>
        <w:t>i pove</w:t>
      </w:r>
      <w:r>
        <w:rPr>
          <w:rFonts w:hint="eastAsia"/>
          <w:lang w:val="mk-MK"/>
        </w:rPr>
        <w:t>ć</w:t>
      </w:r>
      <w:r>
        <w:rPr>
          <w:lang w:val="mk-MK"/>
        </w:rPr>
        <w:t>anje krvarenja u periinsularnom podru</w:t>
      </w:r>
      <w:r>
        <w:rPr>
          <w:rFonts w:hint="eastAsia"/>
          <w:lang w:val="mk-MK"/>
        </w:rPr>
        <w:t>č</w:t>
      </w:r>
      <w:r>
        <w:rPr>
          <w:lang w:val="mk-MK"/>
        </w:rPr>
        <w:t>ju, koje nije zavisno od doze. Ni</w:t>
      </w:r>
      <w:r>
        <w:rPr>
          <w:lang w:val="sr-Latn-ME"/>
        </w:rPr>
        <w:t>je</w:t>
      </w:r>
      <w:r>
        <w:rPr>
          <w:lang w:val="mk-MK"/>
        </w:rPr>
        <w:t>su zapa</w:t>
      </w:r>
      <w:r>
        <w:rPr>
          <w:rFonts w:hint="eastAsia"/>
          <w:lang w:val="mk-MK"/>
        </w:rPr>
        <w:t>ž</w:t>
      </w:r>
      <w:r>
        <w:rPr>
          <w:lang w:val="mk-MK"/>
        </w:rPr>
        <w:t>eni</w:t>
      </w:r>
      <w:r>
        <w:rPr>
          <w:lang w:val="sr-Latn-ME"/>
        </w:rPr>
        <w:t xml:space="preserve"> </w:t>
      </w:r>
      <w:r>
        <w:rPr>
          <w:lang w:val="mk-MK"/>
        </w:rPr>
        <w:t>znaci toksi</w:t>
      </w:r>
      <w:r>
        <w:rPr>
          <w:rFonts w:hint="eastAsia"/>
          <w:lang w:val="mk-MK"/>
        </w:rPr>
        <w:t>č</w:t>
      </w:r>
      <w:r>
        <w:rPr>
          <w:lang w:val="mk-MK"/>
        </w:rPr>
        <w:t>nosti za neki odre</w:t>
      </w:r>
      <w:r>
        <w:rPr>
          <w:rFonts w:hint="eastAsia"/>
          <w:lang w:val="mk-MK"/>
        </w:rPr>
        <w:t>đ</w:t>
      </w:r>
      <w:r>
        <w:rPr>
          <w:lang w:val="mk-MK"/>
        </w:rPr>
        <w:t>eni organ.</w:t>
      </w:r>
    </w:p>
    <w:p w14:paraId="03674D0F" w14:textId="77777777" w:rsidR="00E659A5" w:rsidRDefault="00E659A5">
      <w:pPr>
        <w:widowControl w:val="0"/>
        <w:jc w:val="both"/>
      </w:pPr>
    </w:p>
    <w:p w14:paraId="2D03F657" w14:textId="77777777" w:rsidR="00E659A5" w:rsidRDefault="00C21592">
      <w:pPr>
        <w:widowControl w:val="0"/>
        <w:jc w:val="both"/>
        <w:rPr>
          <w:b/>
        </w:rPr>
      </w:pPr>
      <w:r>
        <w:rPr>
          <w:b/>
        </w:rPr>
        <w:t>6.</w:t>
      </w:r>
      <w:r>
        <w:rPr>
          <w:b/>
        </w:rPr>
        <w:tab/>
        <w:t>FARMACEUTSKI PODACI</w:t>
      </w:r>
    </w:p>
    <w:p w14:paraId="0C0E42CC" w14:textId="77777777" w:rsidR="00E659A5" w:rsidRDefault="00E659A5">
      <w:pPr>
        <w:widowControl w:val="0"/>
        <w:jc w:val="both"/>
      </w:pPr>
    </w:p>
    <w:p w14:paraId="1A2541C3" w14:textId="77777777" w:rsidR="00E659A5" w:rsidRDefault="00C21592">
      <w:pPr>
        <w:widowControl w:val="0"/>
        <w:jc w:val="both"/>
        <w:rPr>
          <w:b/>
        </w:rPr>
      </w:pPr>
      <w:r>
        <w:rPr>
          <w:b/>
        </w:rPr>
        <w:t>6.1</w:t>
      </w:r>
      <w:r>
        <w:rPr>
          <w:b/>
        </w:rPr>
        <w:tab/>
        <w:t>Lista pomoćnih supstanci (ekscipijenasa)</w:t>
      </w:r>
    </w:p>
    <w:p w14:paraId="22588B6A" w14:textId="77777777" w:rsidR="00E659A5" w:rsidRDefault="00E659A5">
      <w:pPr>
        <w:widowControl w:val="0"/>
        <w:jc w:val="both"/>
      </w:pPr>
    </w:p>
    <w:p w14:paraId="39E9367A" w14:textId="77777777" w:rsidR="00E659A5" w:rsidRDefault="00C21592">
      <w:pPr>
        <w:widowControl w:val="0"/>
        <w:jc w:val="both"/>
        <w:outlineLvl w:val="0"/>
        <w:rPr>
          <w:i/>
          <w:noProof/>
        </w:rPr>
      </w:pPr>
      <w:r>
        <w:rPr>
          <w:i/>
        </w:rPr>
        <w:t>Jezgro:</w:t>
      </w:r>
    </w:p>
    <w:p w14:paraId="42DBBF69" w14:textId="77777777" w:rsidR="00E659A5" w:rsidRDefault="00C21592">
      <w:pPr>
        <w:widowControl w:val="0"/>
        <w:tabs>
          <w:tab w:val="left" w:pos="2925"/>
        </w:tabs>
        <w:jc w:val="both"/>
        <w:outlineLvl w:val="0"/>
        <w:rPr>
          <w:noProof/>
        </w:rPr>
      </w:pPr>
      <w:r>
        <w:rPr>
          <w:noProof/>
        </w:rPr>
        <w:t>Manitol</w:t>
      </w:r>
    </w:p>
    <w:p w14:paraId="034AF7DD" w14:textId="77777777" w:rsidR="00E659A5" w:rsidRDefault="00C21592">
      <w:pPr>
        <w:widowControl w:val="0"/>
        <w:tabs>
          <w:tab w:val="left" w:pos="2925"/>
        </w:tabs>
        <w:jc w:val="both"/>
        <w:outlineLvl w:val="0"/>
        <w:rPr>
          <w:noProof/>
        </w:rPr>
      </w:pPr>
      <w:r>
        <w:rPr>
          <w:noProof/>
        </w:rPr>
        <w:t>Celuloza, mikrokristalna</w:t>
      </w:r>
    </w:p>
    <w:p w14:paraId="6E138F28" w14:textId="77777777" w:rsidR="00E659A5" w:rsidRDefault="00C21592">
      <w:pPr>
        <w:widowControl w:val="0"/>
        <w:tabs>
          <w:tab w:val="left" w:pos="2925"/>
        </w:tabs>
        <w:jc w:val="both"/>
        <w:outlineLvl w:val="0"/>
        <w:rPr>
          <w:noProof/>
        </w:rPr>
      </w:pPr>
      <w:r>
        <w:rPr>
          <w:noProof/>
        </w:rPr>
        <w:t>Makrogol 8000</w:t>
      </w:r>
    </w:p>
    <w:p w14:paraId="7F67E25F" w14:textId="77777777" w:rsidR="00E659A5" w:rsidRDefault="00C21592">
      <w:pPr>
        <w:widowControl w:val="0"/>
        <w:tabs>
          <w:tab w:val="left" w:pos="2925"/>
        </w:tabs>
        <w:jc w:val="both"/>
        <w:outlineLvl w:val="0"/>
        <w:rPr>
          <w:noProof/>
        </w:rPr>
      </w:pPr>
      <w:r>
        <w:rPr>
          <w:noProof/>
        </w:rPr>
        <w:t>Poloksamer</w:t>
      </w:r>
    </w:p>
    <w:p w14:paraId="4F645C8F" w14:textId="77777777" w:rsidR="00E659A5" w:rsidRDefault="00C21592">
      <w:pPr>
        <w:widowControl w:val="0"/>
        <w:tabs>
          <w:tab w:val="left" w:pos="2925"/>
        </w:tabs>
        <w:jc w:val="both"/>
        <w:outlineLvl w:val="0"/>
        <w:rPr>
          <w:noProof/>
        </w:rPr>
      </w:pPr>
      <w:r>
        <w:rPr>
          <w:noProof/>
        </w:rPr>
        <w:t>Natrijum laurilsulfat</w:t>
      </w:r>
    </w:p>
    <w:p w14:paraId="583FB223" w14:textId="77777777" w:rsidR="00E659A5" w:rsidRDefault="00C21592">
      <w:pPr>
        <w:widowControl w:val="0"/>
        <w:tabs>
          <w:tab w:val="left" w:pos="2925"/>
        </w:tabs>
        <w:jc w:val="both"/>
        <w:outlineLvl w:val="0"/>
        <w:rPr>
          <w:noProof/>
        </w:rPr>
      </w:pPr>
      <w:r>
        <w:rPr>
          <w:noProof/>
        </w:rPr>
        <w:t>Kroskarmeloza natrijum</w:t>
      </w:r>
    </w:p>
    <w:p w14:paraId="1EA1E0E7" w14:textId="77777777" w:rsidR="00E659A5" w:rsidRDefault="00C21592">
      <w:pPr>
        <w:widowControl w:val="0"/>
        <w:tabs>
          <w:tab w:val="left" w:pos="2925"/>
        </w:tabs>
        <w:jc w:val="both"/>
        <w:outlineLvl w:val="0"/>
        <w:rPr>
          <w:noProof/>
        </w:rPr>
      </w:pPr>
      <w:r>
        <w:rPr>
          <w:noProof/>
        </w:rPr>
        <w:t>Silicijum dioksid, koloidni, bezvodni</w:t>
      </w:r>
    </w:p>
    <w:p w14:paraId="433DBEE2" w14:textId="77777777" w:rsidR="00E659A5" w:rsidRDefault="00C21592">
      <w:pPr>
        <w:widowControl w:val="0"/>
        <w:tabs>
          <w:tab w:val="left" w:pos="2925"/>
        </w:tabs>
        <w:jc w:val="both"/>
        <w:outlineLvl w:val="0"/>
        <w:rPr>
          <w:noProof/>
        </w:rPr>
      </w:pPr>
      <w:r>
        <w:rPr>
          <w:noProof/>
        </w:rPr>
        <w:t>Natrijum stearil fumarat</w:t>
      </w:r>
    </w:p>
    <w:p w14:paraId="32D0AA16" w14:textId="77777777" w:rsidR="00E659A5" w:rsidRDefault="00E659A5">
      <w:pPr>
        <w:widowControl w:val="0"/>
        <w:tabs>
          <w:tab w:val="left" w:pos="2925"/>
        </w:tabs>
        <w:jc w:val="both"/>
        <w:outlineLvl w:val="0"/>
        <w:rPr>
          <w:noProof/>
          <w:highlight w:val="yellow"/>
        </w:rPr>
      </w:pPr>
    </w:p>
    <w:p w14:paraId="0A19DA7F" w14:textId="77777777" w:rsidR="00E659A5" w:rsidRDefault="00C21592">
      <w:pPr>
        <w:widowControl w:val="0"/>
        <w:tabs>
          <w:tab w:val="left" w:pos="2925"/>
        </w:tabs>
        <w:jc w:val="both"/>
        <w:outlineLvl w:val="0"/>
        <w:rPr>
          <w:i/>
          <w:noProof/>
        </w:rPr>
      </w:pPr>
      <w:r>
        <w:rPr>
          <w:i/>
        </w:rPr>
        <w:t>Obloga (film) tablete:</w:t>
      </w:r>
    </w:p>
    <w:p w14:paraId="1CDFFF13" w14:textId="77777777" w:rsidR="00E659A5" w:rsidRDefault="00C21592">
      <w:pPr>
        <w:widowControl w:val="0"/>
        <w:jc w:val="both"/>
        <w:rPr>
          <w:iCs/>
          <w:noProof/>
        </w:rPr>
      </w:pPr>
      <w:r>
        <w:t>Hipromeloza</w:t>
      </w:r>
    </w:p>
    <w:p w14:paraId="58493393" w14:textId="77777777" w:rsidR="00E659A5" w:rsidRDefault="00C21592">
      <w:pPr>
        <w:widowControl w:val="0"/>
        <w:jc w:val="both"/>
        <w:rPr>
          <w:iCs/>
          <w:noProof/>
        </w:rPr>
      </w:pPr>
      <w:r>
        <w:rPr>
          <w:iCs/>
          <w:noProof/>
        </w:rPr>
        <w:t>Makrogol 4000</w:t>
      </w:r>
    </w:p>
    <w:p w14:paraId="0B4C66AC" w14:textId="77777777" w:rsidR="00E659A5" w:rsidRDefault="00C21592">
      <w:pPr>
        <w:widowControl w:val="0"/>
        <w:jc w:val="both"/>
        <w:rPr>
          <w:iCs/>
          <w:noProof/>
        </w:rPr>
      </w:pPr>
      <w:r>
        <w:rPr>
          <w:color w:val="000000"/>
          <w:lang w:eastAsia="zh-CN"/>
        </w:rPr>
        <w:lastRenderedPageBreak/>
        <w:t xml:space="preserve">Titanijum dioksid </w:t>
      </w:r>
      <w:r>
        <w:rPr>
          <w:iCs/>
          <w:noProof/>
        </w:rPr>
        <w:t>(E171)</w:t>
      </w:r>
    </w:p>
    <w:p w14:paraId="0D0B86EA" w14:textId="77777777" w:rsidR="00E659A5" w:rsidRDefault="00C21592">
      <w:pPr>
        <w:widowControl w:val="0"/>
        <w:jc w:val="both"/>
      </w:pPr>
      <w:r>
        <w:rPr>
          <w:iCs/>
        </w:rPr>
        <w:t xml:space="preserve">Gvožđe </w:t>
      </w:r>
      <w:r>
        <w:rPr>
          <w:lang w:val="sr-Latn-ME"/>
        </w:rPr>
        <w:t xml:space="preserve">(III) </w:t>
      </w:r>
      <w:r>
        <w:rPr>
          <w:iCs/>
        </w:rPr>
        <w:t xml:space="preserve">oksid, crveni </w:t>
      </w:r>
      <w:r>
        <w:t>(E172)</w:t>
      </w:r>
    </w:p>
    <w:p w14:paraId="0E437BDA" w14:textId="77777777" w:rsidR="00E659A5" w:rsidRDefault="00E659A5">
      <w:pPr>
        <w:widowControl w:val="0"/>
        <w:jc w:val="both"/>
      </w:pPr>
    </w:p>
    <w:p w14:paraId="4DF3208D" w14:textId="77777777" w:rsidR="00E659A5" w:rsidRDefault="00C21592">
      <w:pPr>
        <w:widowControl w:val="0"/>
        <w:jc w:val="both"/>
        <w:rPr>
          <w:b/>
        </w:rPr>
      </w:pPr>
      <w:r>
        <w:rPr>
          <w:b/>
        </w:rPr>
        <w:t>6.2</w:t>
      </w:r>
      <w:r>
        <w:rPr>
          <w:b/>
        </w:rPr>
        <w:tab/>
        <w:t>Inkompatibilnosti</w:t>
      </w:r>
    </w:p>
    <w:p w14:paraId="0334B092" w14:textId="77777777" w:rsidR="00E659A5" w:rsidRDefault="00E659A5">
      <w:pPr>
        <w:widowControl w:val="0"/>
        <w:jc w:val="both"/>
      </w:pPr>
    </w:p>
    <w:p w14:paraId="1766815F" w14:textId="77777777" w:rsidR="00E659A5" w:rsidRDefault="00C21592">
      <w:pPr>
        <w:widowControl w:val="0"/>
        <w:jc w:val="both"/>
      </w:pPr>
      <w:r>
        <w:t>Nije primjenjivo.</w:t>
      </w:r>
    </w:p>
    <w:p w14:paraId="527DD30F" w14:textId="77777777" w:rsidR="00E659A5" w:rsidRDefault="00E659A5">
      <w:pPr>
        <w:widowControl w:val="0"/>
        <w:jc w:val="both"/>
      </w:pPr>
    </w:p>
    <w:p w14:paraId="4016C41C" w14:textId="77777777" w:rsidR="00E659A5" w:rsidRDefault="00C21592">
      <w:pPr>
        <w:widowControl w:val="0"/>
        <w:jc w:val="both"/>
        <w:rPr>
          <w:b/>
        </w:rPr>
      </w:pPr>
      <w:r>
        <w:rPr>
          <w:b/>
        </w:rPr>
        <w:t>6.3</w:t>
      </w:r>
      <w:r>
        <w:rPr>
          <w:b/>
        </w:rPr>
        <w:tab/>
        <w:t>Rok upotrebe</w:t>
      </w:r>
    </w:p>
    <w:p w14:paraId="446E41F6" w14:textId="77777777" w:rsidR="00E659A5" w:rsidRDefault="00E659A5">
      <w:pPr>
        <w:widowControl w:val="0"/>
        <w:jc w:val="both"/>
      </w:pPr>
    </w:p>
    <w:p w14:paraId="54E54166" w14:textId="77777777" w:rsidR="00E659A5" w:rsidRDefault="00C21592">
      <w:pPr>
        <w:widowControl w:val="0"/>
        <w:jc w:val="both"/>
        <w:rPr>
          <w:iCs/>
        </w:rPr>
      </w:pPr>
      <w:r>
        <w:rPr>
          <w:lang w:val="sr-Latn-ME"/>
        </w:rPr>
        <w:t>3 godine</w:t>
      </w:r>
    </w:p>
    <w:p w14:paraId="7A0AC762" w14:textId="77777777" w:rsidR="00E659A5" w:rsidRDefault="00E659A5">
      <w:pPr>
        <w:widowControl w:val="0"/>
        <w:jc w:val="both"/>
        <w:rPr>
          <w:b/>
        </w:rPr>
      </w:pPr>
    </w:p>
    <w:p w14:paraId="0A8FF8EF" w14:textId="77777777" w:rsidR="00E659A5" w:rsidRDefault="00C21592">
      <w:pPr>
        <w:widowControl w:val="0"/>
        <w:jc w:val="both"/>
        <w:rPr>
          <w:b/>
        </w:rPr>
      </w:pPr>
      <w:r>
        <w:rPr>
          <w:b/>
        </w:rPr>
        <w:t>6.4</w:t>
      </w:r>
      <w:r>
        <w:rPr>
          <w:b/>
        </w:rPr>
        <w:tab/>
        <w:t>Posebne mjere upozprenja pri čuvanju lijeka</w:t>
      </w:r>
    </w:p>
    <w:p w14:paraId="504DA5E4" w14:textId="77777777" w:rsidR="00E659A5" w:rsidRDefault="00E659A5">
      <w:pPr>
        <w:widowControl w:val="0"/>
        <w:jc w:val="both"/>
        <w:rPr>
          <w:iCs/>
        </w:rPr>
      </w:pPr>
    </w:p>
    <w:p w14:paraId="4DE1F717" w14:textId="77777777" w:rsidR="00E659A5" w:rsidRDefault="00C21592">
      <w:pPr>
        <w:widowControl w:val="0"/>
        <w:jc w:val="both"/>
        <w:rPr>
          <w:noProof/>
        </w:rPr>
      </w:pPr>
      <w:r>
        <w:rPr>
          <w:noProof/>
        </w:rPr>
        <w:t>Lijek ne zahtijeva posebne uslove čuvanja.</w:t>
      </w:r>
    </w:p>
    <w:p w14:paraId="70D11055" w14:textId="77777777" w:rsidR="00E659A5" w:rsidRDefault="00E659A5">
      <w:pPr>
        <w:widowControl w:val="0"/>
        <w:jc w:val="both"/>
        <w:rPr>
          <w:noProof/>
        </w:rPr>
      </w:pPr>
    </w:p>
    <w:p w14:paraId="1F6C8B0F" w14:textId="77777777" w:rsidR="00E659A5" w:rsidRDefault="00C21592">
      <w:pPr>
        <w:widowControl w:val="0"/>
        <w:jc w:val="both"/>
        <w:rPr>
          <w:b/>
        </w:rPr>
      </w:pPr>
      <w:r>
        <w:rPr>
          <w:b/>
        </w:rPr>
        <w:t>6.5</w:t>
      </w:r>
      <w:r>
        <w:rPr>
          <w:b/>
        </w:rPr>
        <w:tab/>
        <w:t>Vrsta i sadržaj pakovanja</w:t>
      </w:r>
    </w:p>
    <w:p w14:paraId="221F93CB" w14:textId="77777777" w:rsidR="00E659A5" w:rsidRDefault="00E659A5">
      <w:pPr>
        <w:widowControl w:val="0"/>
        <w:jc w:val="both"/>
      </w:pPr>
    </w:p>
    <w:p w14:paraId="3075A851" w14:textId="77777777" w:rsidR="00E659A5" w:rsidRDefault="00C21592">
      <w:pPr>
        <w:widowControl w:val="0"/>
        <w:jc w:val="both"/>
      </w:pPr>
      <w:r>
        <w:t>Blister (PVC/PVDC/PVC prozirna folija//Al folija), kalendarska pakovanja: 28 (2x14) film tableta, u kutiji.</w:t>
      </w:r>
    </w:p>
    <w:p w14:paraId="2CC6EF89" w14:textId="77777777" w:rsidR="00E659A5" w:rsidRDefault="00E659A5">
      <w:pPr>
        <w:widowControl w:val="0"/>
        <w:jc w:val="both"/>
      </w:pPr>
    </w:p>
    <w:p w14:paraId="66E038E1" w14:textId="77777777" w:rsidR="00E659A5" w:rsidRDefault="00C21592">
      <w:pPr>
        <w:widowControl w:val="0"/>
        <w:jc w:val="both"/>
      </w:pPr>
      <w:r>
        <w:rPr>
          <w:iCs/>
        </w:rPr>
        <w:t>Kartica sa upozorenjima za pacijenta nalazi se u svakom pakovanju lijeka</w:t>
      </w:r>
      <w:r>
        <w:t>.</w:t>
      </w:r>
    </w:p>
    <w:p w14:paraId="42F2EEF9" w14:textId="77777777" w:rsidR="00E659A5" w:rsidRDefault="00E659A5">
      <w:pPr>
        <w:widowControl w:val="0"/>
        <w:jc w:val="both"/>
        <w:rPr>
          <w:highlight w:val="yellow"/>
        </w:rPr>
      </w:pPr>
    </w:p>
    <w:p w14:paraId="7CC69B1F" w14:textId="77777777" w:rsidR="00E659A5" w:rsidRDefault="00C21592">
      <w:pPr>
        <w:widowControl w:val="0"/>
        <w:jc w:val="both"/>
        <w:outlineLvl w:val="0"/>
        <w:rPr>
          <w:b/>
          <w:bCs/>
          <w:lang w:val="sr-Latn-ME"/>
        </w:rPr>
      </w:pPr>
      <w:r>
        <w:rPr>
          <w:b/>
          <w:lang w:val="sr-Latn-ME"/>
        </w:rPr>
        <w:t>6.6</w:t>
      </w:r>
      <w:r>
        <w:rPr>
          <w:b/>
          <w:lang w:val="sr-Latn-ME"/>
        </w:rPr>
        <w:tab/>
      </w:r>
      <w:r>
        <w:rPr>
          <w:b/>
          <w:bCs/>
          <w:lang w:val="sr-Latn-ME"/>
        </w:rPr>
        <w:t>Posebne mjere opreza pri odlaganju materijala koji treba odbaciti nakon primjene</w:t>
      </w:r>
      <w:bookmarkStart w:id="0" w:name="OLE_LINK2"/>
    </w:p>
    <w:bookmarkEnd w:id="0"/>
    <w:p w14:paraId="6A39FE34" w14:textId="77777777" w:rsidR="00E659A5" w:rsidRDefault="00C21592">
      <w:pPr>
        <w:widowControl w:val="0"/>
        <w:jc w:val="both"/>
        <w:outlineLvl w:val="0"/>
        <w:rPr>
          <w:lang w:val="sr-Latn-ME"/>
        </w:rPr>
      </w:pPr>
      <w:r>
        <w:rPr>
          <w:b/>
          <w:bCs/>
          <w:lang w:val="sr-Latn-ME"/>
        </w:rPr>
        <w:t>lijeka (i druga uputstva za rukovanje lijekom)</w:t>
      </w:r>
    </w:p>
    <w:p w14:paraId="4DD9FA2A" w14:textId="77777777" w:rsidR="00E659A5" w:rsidRDefault="00E659A5">
      <w:pPr>
        <w:widowControl w:val="0"/>
        <w:jc w:val="both"/>
        <w:rPr>
          <w:highlight w:val="yellow"/>
          <w:lang w:val="sr-Latn-ME"/>
        </w:rPr>
      </w:pPr>
    </w:p>
    <w:p w14:paraId="3E5EFEF7" w14:textId="77777777" w:rsidR="00E659A5" w:rsidRDefault="00C21592">
      <w:pPr>
        <w:widowControl w:val="0"/>
        <w:jc w:val="both"/>
        <w:rPr>
          <w:lang w:val="sr-Latn-ME"/>
        </w:rPr>
      </w:pPr>
      <w:r>
        <w:rPr>
          <w:lang w:val="sr-Latn-ME"/>
        </w:rPr>
        <w:t>Neupotrijebljeni lijek se uništava u skladu sa važećim propisima.</w:t>
      </w:r>
    </w:p>
    <w:p w14:paraId="5D681E2C" w14:textId="77777777" w:rsidR="00E659A5" w:rsidRDefault="00E659A5">
      <w:pPr>
        <w:widowControl w:val="0"/>
        <w:jc w:val="both"/>
        <w:rPr>
          <w:lang w:val="sr-Latn-ME"/>
        </w:rPr>
      </w:pPr>
    </w:p>
    <w:p w14:paraId="7E5A7305" w14:textId="77777777" w:rsidR="00E659A5" w:rsidRDefault="00E659A5">
      <w:pPr>
        <w:widowControl w:val="0"/>
        <w:jc w:val="both"/>
        <w:rPr>
          <w:lang w:val="sr-Latn-ME"/>
        </w:rPr>
      </w:pPr>
    </w:p>
    <w:p w14:paraId="6EFB7C60" w14:textId="77777777" w:rsidR="00E659A5" w:rsidRDefault="00C21592">
      <w:pPr>
        <w:widowControl w:val="0"/>
        <w:ind w:left="567" w:hanging="567"/>
        <w:jc w:val="both"/>
        <w:rPr>
          <w:lang w:val="sr-Latn-ME"/>
        </w:rPr>
      </w:pPr>
      <w:r>
        <w:rPr>
          <w:b/>
          <w:lang w:val="sr-Latn-ME"/>
        </w:rPr>
        <w:t>7.</w:t>
      </w:r>
      <w:r>
        <w:rPr>
          <w:b/>
          <w:lang w:val="sr-Latn-ME"/>
        </w:rPr>
        <w:tab/>
      </w:r>
      <w:r>
        <w:rPr>
          <w:b/>
          <w:bCs/>
          <w:lang w:val="sr-Latn-ME"/>
        </w:rPr>
        <w:t>NOSILAC DOZVOLE</w:t>
      </w:r>
    </w:p>
    <w:p w14:paraId="40DF6EED" w14:textId="77777777" w:rsidR="00E659A5" w:rsidRDefault="00E659A5">
      <w:pPr>
        <w:widowControl w:val="0"/>
        <w:jc w:val="both"/>
        <w:rPr>
          <w:lang w:val="sr-Latn-ME"/>
        </w:rPr>
      </w:pPr>
    </w:p>
    <w:p w14:paraId="56AF6445" w14:textId="77777777" w:rsidR="00E659A5" w:rsidRDefault="00C21592">
      <w:pPr>
        <w:autoSpaceDE w:val="0"/>
        <w:autoSpaceDN w:val="0"/>
        <w:adjustRightInd w:val="0"/>
        <w:ind w:left="1985" w:hanging="1985"/>
        <w:jc w:val="both"/>
        <w:rPr>
          <w:lang w:val="sr-Latn-ME"/>
        </w:rPr>
      </w:pPr>
      <w:r>
        <w:rPr>
          <w:lang w:val="sr-Latn-ME"/>
        </w:rPr>
        <w:t>D.S.D. „KRKA, d.d., Novo mesto“ - predstavništvo Podgorica</w:t>
      </w:r>
    </w:p>
    <w:p w14:paraId="21A693AB" w14:textId="77777777" w:rsidR="00E659A5" w:rsidRDefault="00C21592">
      <w:pPr>
        <w:autoSpaceDE w:val="0"/>
        <w:autoSpaceDN w:val="0"/>
        <w:adjustRightInd w:val="0"/>
        <w:ind w:right="71"/>
        <w:jc w:val="both"/>
        <w:rPr>
          <w:lang w:val="sr-Latn-ME"/>
        </w:rPr>
      </w:pPr>
      <w:r>
        <w:rPr>
          <w:lang w:val="sr-Latn-ME"/>
        </w:rPr>
        <w:t>Svetlane Kane Radević br. 3, 81000 Podgorica, Crna Gora</w:t>
      </w:r>
    </w:p>
    <w:p w14:paraId="0E7BD07B" w14:textId="77777777" w:rsidR="00E659A5" w:rsidRDefault="00E659A5">
      <w:pPr>
        <w:widowControl w:val="0"/>
        <w:jc w:val="both"/>
        <w:rPr>
          <w:lang w:val="sr-Latn-ME"/>
        </w:rPr>
      </w:pPr>
    </w:p>
    <w:p w14:paraId="3EF9AB7E" w14:textId="77777777" w:rsidR="00E659A5" w:rsidRDefault="00E659A5">
      <w:pPr>
        <w:widowControl w:val="0"/>
        <w:jc w:val="both"/>
        <w:rPr>
          <w:lang w:val="sr-Latn-ME"/>
        </w:rPr>
      </w:pPr>
    </w:p>
    <w:p w14:paraId="0B34CC14" w14:textId="77777777" w:rsidR="00E659A5" w:rsidRDefault="00C21592">
      <w:pPr>
        <w:tabs>
          <w:tab w:val="clear" w:pos="567"/>
          <w:tab w:val="left" w:pos="540"/>
          <w:tab w:val="left" w:pos="569"/>
        </w:tabs>
        <w:jc w:val="both"/>
        <w:rPr>
          <w:b/>
          <w:bCs/>
          <w:lang w:val="sr-Latn-ME"/>
        </w:rPr>
      </w:pPr>
      <w:r>
        <w:rPr>
          <w:b/>
          <w:bCs/>
          <w:lang w:val="sr-Latn-ME"/>
        </w:rPr>
        <w:t xml:space="preserve">8. </w:t>
      </w:r>
      <w:r>
        <w:rPr>
          <w:b/>
          <w:bCs/>
          <w:lang w:val="sr-Latn-ME"/>
        </w:rPr>
        <w:tab/>
        <w:t>BROJ DOZVOLE ZA STAVLJANJE LIJEKA U PROMET</w:t>
      </w:r>
    </w:p>
    <w:p w14:paraId="0385E3CD" w14:textId="77777777" w:rsidR="00E659A5" w:rsidRDefault="00E659A5">
      <w:pPr>
        <w:tabs>
          <w:tab w:val="clear" w:pos="567"/>
          <w:tab w:val="left" w:pos="540"/>
          <w:tab w:val="left" w:pos="569"/>
        </w:tabs>
        <w:jc w:val="both"/>
        <w:rPr>
          <w:b/>
          <w:bCs/>
          <w:lang w:val="sr-Latn-ME"/>
        </w:rPr>
      </w:pPr>
    </w:p>
    <w:p w14:paraId="4280DC5B" w14:textId="77777777" w:rsidR="00E659A5" w:rsidRDefault="00C21592">
      <w:pPr>
        <w:tabs>
          <w:tab w:val="clear" w:pos="567"/>
          <w:tab w:val="left" w:pos="540"/>
          <w:tab w:val="left" w:pos="569"/>
        </w:tabs>
        <w:jc w:val="both"/>
        <w:rPr>
          <w:lang w:val="sr-Latn-ME"/>
        </w:rPr>
      </w:pPr>
      <w:r>
        <w:rPr>
          <w:lang w:val="sr-Latn-ME"/>
        </w:rPr>
        <w:t>Xerdoxo, film tableta, 20 mg, blister, 28 (2x14) film tableta: 2030/22/999 - 3450</w:t>
      </w:r>
    </w:p>
    <w:p w14:paraId="64926154" w14:textId="77777777" w:rsidR="00E659A5" w:rsidRDefault="00E659A5">
      <w:pPr>
        <w:tabs>
          <w:tab w:val="clear" w:pos="567"/>
          <w:tab w:val="left" w:pos="540"/>
          <w:tab w:val="left" w:pos="569"/>
        </w:tabs>
        <w:jc w:val="both"/>
        <w:rPr>
          <w:bCs/>
          <w:lang w:val="sr-Latn-ME"/>
        </w:rPr>
      </w:pPr>
    </w:p>
    <w:p w14:paraId="5EACBE49" w14:textId="77777777" w:rsidR="00E659A5" w:rsidRDefault="00E659A5">
      <w:pPr>
        <w:tabs>
          <w:tab w:val="clear" w:pos="567"/>
          <w:tab w:val="left" w:pos="540"/>
          <w:tab w:val="left" w:pos="569"/>
        </w:tabs>
        <w:jc w:val="both"/>
        <w:rPr>
          <w:bCs/>
          <w:lang w:val="sr-Latn-ME"/>
        </w:rPr>
      </w:pPr>
    </w:p>
    <w:p w14:paraId="240CF081" w14:textId="77777777" w:rsidR="00E659A5" w:rsidRDefault="00C21592">
      <w:pPr>
        <w:tabs>
          <w:tab w:val="clear" w:pos="567"/>
          <w:tab w:val="left" w:pos="540"/>
          <w:tab w:val="left" w:pos="569"/>
        </w:tabs>
        <w:jc w:val="both"/>
        <w:rPr>
          <w:b/>
          <w:bCs/>
          <w:lang w:val="sr-Latn-ME"/>
        </w:rPr>
      </w:pPr>
      <w:r>
        <w:rPr>
          <w:b/>
          <w:bCs/>
          <w:lang w:val="sr-Latn-ME"/>
        </w:rPr>
        <w:t xml:space="preserve">9. </w:t>
      </w:r>
      <w:r>
        <w:rPr>
          <w:b/>
          <w:bCs/>
          <w:lang w:val="sr-Latn-ME"/>
        </w:rPr>
        <w:tab/>
        <w:t>DATUM PRVE DOZVOLE/ OBNOVE DOZVOLE ZA STAVLJANJE LIJEKA U PROMET</w:t>
      </w:r>
    </w:p>
    <w:p w14:paraId="1F73539D" w14:textId="77777777" w:rsidR="00E659A5" w:rsidRDefault="00E659A5">
      <w:pPr>
        <w:tabs>
          <w:tab w:val="clear" w:pos="567"/>
          <w:tab w:val="left" w:pos="540"/>
          <w:tab w:val="left" w:pos="569"/>
        </w:tabs>
        <w:jc w:val="both"/>
        <w:rPr>
          <w:b/>
          <w:bCs/>
          <w:lang w:val="sr-Latn-ME"/>
        </w:rPr>
      </w:pPr>
    </w:p>
    <w:p w14:paraId="265B8434" w14:textId="77777777" w:rsidR="00E659A5" w:rsidRDefault="00C21592">
      <w:pPr>
        <w:tabs>
          <w:tab w:val="clear" w:pos="567"/>
          <w:tab w:val="left" w:pos="540"/>
          <w:tab w:val="left" w:pos="569"/>
        </w:tabs>
        <w:jc w:val="both"/>
        <w:rPr>
          <w:lang w:val="sr-Latn-ME"/>
        </w:rPr>
      </w:pPr>
      <w:r>
        <w:rPr>
          <w:lang w:val="sr-Latn-ME"/>
        </w:rPr>
        <w:t>Xerdoxo, film tableta, 20 mg, blister, 28 (2x14) film tableta: 09.05.2022. godine</w:t>
      </w:r>
    </w:p>
    <w:p w14:paraId="1FEB9463" w14:textId="77777777" w:rsidR="00E659A5" w:rsidRDefault="00E659A5">
      <w:pPr>
        <w:tabs>
          <w:tab w:val="clear" w:pos="567"/>
          <w:tab w:val="left" w:pos="540"/>
          <w:tab w:val="left" w:pos="569"/>
        </w:tabs>
        <w:jc w:val="both"/>
        <w:rPr>
          <w:bCs/>
          <w:lang w:val="sr-Latn-ME"/>
        </w:rPr>
      </w:pPr>
    </w:p>
    <w:p w14:paraId="2BA8571C" w14:textId="77777777" w:rsidR="00E659A5" w:rsidRDefault="00E659A5">
      <w:pPr>
        <w:tabs>
          <w:tab w:val="clear" w:pos="567"/>
          <w:tab w:val="left" w:pos="540"/>
          <w:tab w:val="left" w:pos="569"/>
        </w:tabs>
        <w:jc w:val="both"/>
        <w:rPr>
          <w:bCs/>
          <w:lang w:val="sr-Latn-ME"/>
        </w:rPr>
      </w:pPr>
    </w:p>
    <w:p w14:paraId="74228909" w14:textId="77777777" w:rsidR="00E659A5" w:rsidRDefault="00C21592">
      <w:pPr>
        <w:tabs>
          <w:tab w:val="clear" w:pos="567"/>
          <w:tab w:val="left" w:pos="540"/>
          <w:tab w:val="left" w:pos="569"/>
        </w:tabs>
        <w:ind w:left="540" w:hanging="540"/>
        <w:jc w:val="both"/>
        <w:rPr>
          <w:b/>
          <w:bCs/>
          <w:lang w:val="sr-Latn-ME"/>
        </w:rPr>
      </w:pPr>
      <w:r>
        <w:rPr>
          <w:b/>
          <w:bCs/>
          <w:lang w:val="sr-Latn-ME"/>
        </w:rPr>
        <w:t xml:space="preserve">10. </w:t>
      </w:r>
      <w:r>
        <w:rPr>
          <w:b/>
          <w:bCs/>
          <w:lang w:val="sr-Latn-ME"/>
        </w:rPr>
        <w:tab/>
        <w:t xml:space="preserve">DATUM  REVIZIJE TEKSTA </w:t>
      </w:r>
    </w:p>
    <w:p w14:paraId="6BF0237D" w14:textId="77777777" w:rsidR="00E659A5" w:rsidRDefault="00E659A5">
      <w:pPr>
        <w:tabs>
          <w:tab w:val="clear" w:pos="567"/>
          <w:tab w:val="left" w:pos="540"/>
          <w:tab w:val="left" w:pos="569"/>
        </w:tabs>
        <w:ind w:left="540" w:hanging="540"/>
        <w:jc w:val="both"/>
        <w:rPr>
          <w:b/>
          <w:bCs/>
          <w:lang w:val="sr-Latn-ME"/>
        </w:rPr>
      </w:pPr>
    </w:p>
    <w:p w14:paraId="768E711C" w14:textId="204DE460" w:rsidR="00E659A5" w:rsidRDefault="006733BF">
      <w:pPr>
        <w:widowControl w:val="0"/>
        <w:ind w:left="567" w:hanging="567"/>
        <w:jc w:val="both"/>
        <w:outlineLvl w:val="0"/>
        <w:rPr>
          <w:noProof/>
        </w:rPr>
      </w:pPr>
      <w:r>
        <w:rPr>
          <w:noProof/>
        </w:rPr>
        <w:t>Decembar, 2024. godine</w:t>
      </w:r>
      <w:bookmarkStart w:id="1" w:name="_GoBack"/>
      <w:bookmarkEnd w:id="1"/>
    </w:p>
    <w:p w14:paraId="5196455E" w14:textId="77777777" w:rsidR="00E659A5" w:rsidRDefault="00E659A5"/>
    <w:sectPr w:rsidR="00E659A5">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27F1D" w14:textId="77777777" w:rsidR="00D52155" w:rsidRDefault="00D52155">
      <w:pPr>
        <w:spacing w:line="240" w:lineRule="auto"/>
      </w:pPr>
      <w:r>
        <w:separator/>
      </w:r>
    </w:p>
  </w:endnote>
  <w:endnote w:type="continuationSeparator" w:id="0">
    <w:p w14:paraId="4AC4C4BC" w14:textId="77777777" w:rsidR="00D52155" w:rsidRDefault="00D521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S Joey">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310AD" w14:textId="77777777" w:rsidR="00585B9B" w:rsidRDefault="00585B9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B9BC7" w14:textId="4D63FCE9" w:rsidR="00585B9B" w:rsidRDefault="00585B9B">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6733BF">
      <w:rPr>
        <w:rStyle w:val="PageNumber"/>
        <w:rFonts w:cs="Arial"/>
      </w:rPr>
      <w:t>33</w:t>
    </w:r>
    <w:r>
      <w:rPr>
        <w:rStyle w:val="PageNumber"/>
        <w:rFonts w:cs="Arial"/>
      </w:rPr>
      <w:fldChar w:fldCharType="end"/>
    </w:r>
    <w:r>
      <w:rPr>
        <w:rStyle w:val="PageNumber"/>
        <w:rFonts w:cs="Arial"/>
      </w:rPr>
      <w:t xml:space="preserve"> / 28</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FC60D" w14:textId="77777777" w:rsidR="00585B9B" w:rsidRDefault="00585B9B">
    <w:pPr>
      <w:pStyle w:val="Footer"/>
      <w:tabs>
        <w:tab w:val="right" w:pos="8931"/>
      </w:tabs>
      <w:ind w:right="96"/>
      <w:jc w:val="center"/>
      <w:rPr>
        <w:rFonts w:ascii="Times New Roman" w:hAnsi="Times New Roman"/>
        <w:sz w:val="18"/>
        <w:szCs w:val="18"/>
      </w:rPr>
    </w:pPr>
    <w:r>
      <w:fldChar w:fldCharType="begin"/>
    </w:r>
    <w:r>
      <w:instrText xml:space="preserve"> EQ </w:instrTex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F2CB47" w14:textId="77777777" w:rsidR="00D52155" w:rsidRDefault="00D52155">
      <w:pPr>
        <w:spacing w:line="240" w:lineRule="auto"/>
      </w:pPr>
      <w:r>
        <w:separator/>
      </w:r>
    </w:p>
  </w:footnote>
  <w:footnote w:type="continuationSeparator" w:id="0">
    <w:p w14:paraId="1EDE3777" w14:textId="77777777" w:rsidR="00D52155" w:rsidRDefault="00D5215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49CC9" w14:textId="77777777" w:rsidR="00585B9B" w:rsidRDefault="00585B9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97572" w14:textId="77777777" w:rsidR="00585B9B" w:rsidRDefault="00585B9B">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4259B" w14:textId="77777777" w:rsidR="00585B9B" w:rsidRDefault="00585B9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E649D9"/>
    <w:multiLevelType w:val="hybridMultilevel"/>
    <w:tmpl w:val="B1E2C5EE"/>
    <w:lvl w:ilvl="0" w:tplc="FFFFFFFF">
      <w:start w:val="1"/>
      <w:numFmt w:val="bullet"/>
      <w:lvlText w:val="-"/>
      <w:lvlJc w:val="left"/>
      <w:pPr>
        <w:ind w:left="720" w:hanging="360"/>
      </w:pPr>
    </w:lvl>
    <w:lvl w:ilvl="1" w:tplc="FFFFFFFF">
      <w:start w:val="1"/>
      <w:numFmt w:val="bullet"/>
      <w:lvlText w:val="-"/>
      <w:lvlJc w:val="left"/>
      <w:pPr>
        <w:ind w:left="1650" w:hanging="570"/>
      </w:pPr>
      <w:rPr>
        <w:rFonts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F386C23"/>
    <w:multiLevelType w:val="hybridMultilevel"/>
    <w:tmpl w:val="B046FB0A"/>
    <w:lvl w:ilvl="0" w:tplc="4EDEEBBC">
      <w:numFmt w:val="bullet"/>
      <w:lvlText w:val="-"/>
      <w:lvlJc w:val="left"/>
      <w:pPr>
        <w:ind w:left="806" w:hanging="568"/>
      </w:pPr>
      <w:rPr>
        <w:rFonts w:ascii="Times New Roman" w:eastAsia="Times New Roman" w:hAnsi="Times New Roman" w:cs="Times New Roman" w:hint="default"/>
        <w:w w:val="99"/>
        <w:sz w:val="22"/>
        <w:szCs w:val="22"/>
        <w:lang w:val="en-US" w:eastAsia="en-US" w:bidi="ar-SA"/>
      </w:rPr>
    </w:lvl>
    <w:lvl w:ilvl="1" w:tplc="0CF6AEC4">
      <w:numFmt w:val="bullet"/>
      <w:lvlText w:val="•"/>
      <w:lvlJc w:val="left"/>
      <w:pPr>
        <w:ind w:left="1748" w:hanging="568"/>
      </w:pPr>
      <w:rPr>
        <w:rFonts w:hint="default"/>
        <w:lang w:val="en-US" w:eastAsia="en-US" w:bidi="ar-SA"/>
      </w:rPr>
    </w:lvl>
    <w:lvl w:ilvl="2" w:tplc="3D7076E6">
      <w:numFmt w:val="bullet"/>
      <w:lvlText w:val="•"/>
      <w:lvlJc w:val="left"/>
      <w:pPr>
        <w:ind w:left="2697" w:hanging="568"/>
      </w:pPr>
      <w:rPr>
        <w:rFonts w:hint="default"/>
        <w:lang w:val="en-US" w:eastAsia="en-US" w:bidi="ar-SA"/>
      </w:rPr>
    </w:lvl>
    <w:lvl w:ilvl="3" w:tplc="F67C9E9A">
      <w:numFmt w:val="bullet"/>
      <w:lvlText w:val="•"/>
      <w:lvlJc w:val="left"/>
      <w:pPr>
        <w:ind w:left="3646" w:hanging="568"/>
      </w:pPr>
      <w:rPr>
        <w:rFonts w:hint="default"/>
        <w:lang w:val="en-US" w:eastAsia="en-US" w:bidi="ar-SA"/>
      </w:rPr>
    </w:lvl>
    <w:lvl w:ilvl="4" w:tplc="0356605C">
      <w:numFmt w:val="bullet"/>
      <w:lvlText w:val="•"/>
      <w:lvlJc w:val="left"/>
      <w:pPr>
        <w:ind w:left="4595" w:hanging="568"/>
      </w:pPr>
      <w:rPr>
        <w:rFonts w:hint="default"/>
        <w:lang w:val="en-US" w:eastAsia="en-US" w:bidi="ar-SA"/>
      </w:rPr>
    </w:lvl>
    <w:lvl w:ilvl="5" w:tplc="14F6A970">
      <w:numFmt w:val="bullet"/>
      <w:lvlText w:val="•"/>
      <w:lvlJc w:val="left"/>
      <w:pPr>
        <w:ind w:left="5543" w:hanging="568"/>
      </w:pPr>
      <w:rPr>
        <w:rFonts w:hint="default"/>
        <w:lang w:val="en-US" w:eastAsia="en-US" w:bidi="ar-SA"/>
      </w:rPr>
    </w:lvl>
    <w:lvl w:ilvl="6" w:tplc="A1386AEA">
      <w:numFmt w:val="bullet"/>
      <w:lvlText w:val="•"/>
      <w:lvlJc w:val="left"/>
      <w:pPr>
        <w:ind w:left="6492" w:hanging="568"/>
      </w:pPr>
      <w:rPr>
        <w:rFonts w:hint="default"/>
        <w:lang w:val="en-US" w:eastAsia="en-US" w:bidi="ar-SA"/>
      </w:rPr>
    </w:lvl>
    <w:lvl w:ilvl="7" w:tplc="0B029C68">
      <w:numFmt w:val="bullet"/>
      <w:lvlText w:val="•"/>
      <w:lvlJc w:val="left"/>
      <w:pPr>
        <w:ind w:left="7441" w:hanging="568"/>
      </w:pPr>
      <w:rPr>
        <w:rFonts w:hint="default"/>
        <w:lang w:val="en-US" w:eastAsia="en-US" w:bidi="ar-SA"/>
      </w:rPr>
    </w:lvl>
    <w:lvl w:ilvl="8" w:tplc="A76686D0">
      <w:numFmt w:val="bullet"/>
      <w:lvlText w:val="•"/>
      <w:lvlJc w:val="left"/>
      <w:pPr>
        <w:ind w:left="8390" w:hanging="568"/>
      </w:pPr>
      <w:rPr>
        <w:rFonts w:hint="default"/>
        <w:lang w:val="en-US" w:eastAsia="en-US" w:bidi="ar-SA"/>
      </w:rPr>
    </w:lvl>
  </w:abstractNum>
  <w:abstractNum w:abstractNumId="2" w15:restartNumberingAfterBreak="0">
    <w:nsid w:val="41CD2790"/>
    <w:multiLevelType w:val="hybridMultilevel"/>
    <w:tmpl w:val="01628504"/>
    <w:lvl w:ilvl="0" w:tplc="FFFFFFFF">
      <w:start w:val="1"/>
      <w:numFmt w:val="bullet"/>
      <w:lvlText w:val="-"/>
      <w:lvlJc w:val="left"/>
      <w:pPr>
        <w:ind w:left="720" w:hanging="360"/>
      </w:pPr>
      <w:rPr>
        <w:rFont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 w15:restartNumberingAfterBreak="0">
    <w:nsid w:val="5E18174C"/>
    <w:multiLevelType w:val="hybridMultilevel"/>
    <w:tmpl w:val="F1980B90"/>
    <w:lvl w:ilvl="0" w:tplc="FFFFFFFF">
      <w:start w:val="1"/>
      <w:numFmt w:val="bullet"/>
      <w:lvlText w:val="-"/>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E659A5"/>
    <w:rsid w:val="000138F2"/>
    <w:rsid w:val="002356B3"/>
    <w:rsid w:val="00482493"/>
    <w:rsid w:val="004F6139"/>
    <w:rsid w:val="00585B9B"/>
    <w:rsid w:val="006733BF"/>
    <w:rsid w:val="00712250"/>
    <w:rsid w:val="0083135E"/>
    <w:rsid w:val="00883C05"/>
    <w:rsid w:val="00B24B41"/>
    <w:rsid w:val="00BB57F8"/>
    <w:rsid w:val="00BC6CEA"/>
    <w:rsid w:val="00C168EA"/>
    <w:rsid w:val="00C21592"/>
    <w:rsid w:val="00CE6F76"/>
    <w:rsid w:val="00D21AD9"/>
    <w:rsid w:val="00D52155"/>
    <w:rsid w:val="00DF5F37"/>
    <w:rsid w:val="00E30508"/>
    <w:rsid w:val="00E659A5"/>
    <w:rsid w:val="00E849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E1F498"/>
  <w15:docId w15:val="{7CD070D8-7EC9-4FE0-9277-7C5BB5B5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mk-MK" w:eastAsia="mk-M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567"/>
      </w:tabs>
      <w:spacing w:line="260" w:lineRule="exact"/>
    </w:pPr>
    <w:rPr>
      <w:rFonts w:eastAsia="Times New Roman"/>
      <w:sz w:val="22"/>
      <w:lang w:val="en-GB" w:eastAsia="en-US"/>
    </w:rPr>
  </w:style>
  <w:style w:type="paragraph" w:styleId="Heading1">
    <w:name w:val="heading 1"/>
    <w:basedOn w:val="Normal"/>
    <w:next w:val="Normal"/>
    <w:link w:val="Heading1Char"/>
    <w:qFormat/>
    <w:pPr>
      <w:keepNext/>
      <w:tabs>
        <w:tab w:val="clear" w:pos="567"/>
      </w:tabs>
      <w:spacing w:before="240" w:after="60" w:line="240" w:lineRule="auto"/>
      <w:outlineLvl w:val="0"/>
    </w:pPr>
    <w:rPr>
      <w:rFonts w:ascii="Arial" w:hAnsi="Arial" w:cs="Arial"/>
      <w:b/>
      <w:bCs/>
      <w:kern w:val="32"/>
      <w:sz w:val="32"/>
      <w:szCs w:val="32"/>
      <w:lang w:val="sl-SI" w:eastAsia="sl-SI"/>
    </w:rPr>
  </w:style>
  <w:style w:type="paragraph" w:styleId="Heading2">
    <w:name w:val="heading 2"/>
    <w:basedOn w:val="Normal"/>
    <w:next w:val="Normal"/>
    <w:link w:val="Heading2Char"/>
    <w:qFormat/>
    <w:pPr>
      <w:keepNext/>
      <w:tabs>
        <w:tab w:val="clear" w:pos="567"/>
        <w:tab w:val="left" w:pos="4300"/>
        <w:tab w:val="left" w:pos="5940"/>
        <w:tab w:val="left" w:pos="8180"/>
      </w:tabs>
      <w:spacing w:line="360" w:lineRule="atLeast"/>
      <w:outlineLvl w:val="1"/>
    </w:pPr>
    <w:rPr>
      <w:b/>
      <w:szCs w:val="22"/>
      <w:u w:val="single"/>
      <w:lang w:val="en-US" w:eastAsia="sl-SI"/>
    </w:rPr>
  </w:style>
  <w:style w:type="paragraph" w:styleId="Heading3">
    <w:name w:val="heading 3"/>
    <w:basedOn w:val="Normal"/>
    <w:next w:val="Normal"/>
    <w:link w:val="Heading3Char"/>
    <w:qFormat/>
    <w:pPr>
      <w:keepNext/>
      <w:tabs>
        <w:tab w:val="clear" w:pos="567"/>
        <w:tab w:val="decimal" w:pos="6760"/>
      </w:tabs>
      <w:spacing w:line="480" w:lineRule="atLeast"/>
      <w:outlineLvl w:val="2"/>
    </w:pPr>
    <w:rPr>
      <w:b/>
      <w:szCs w:val="22"/>
      <w:lang w:val="en-US" w:eastAsia="sl-SI"/>
    </w:rPr>
  </w:style>
  <w:style w:type="paragraph" w:styleId="Heading4">
    <w:name w:val="heading 4"/>
    <w:basedOn w:val="Normal"/>
    <w:next w:val="Normal"/>
    <w:link w:val="Heading4Char"/>
    <w:qFormat/>
    <w:pPr>
      <w:keepNext/>
      <w:tabs>
        <w:tab w:val="clear" w:pos="567"/>
      </w:tabs>
      <w:spacing w:before="240" w:after="60" w:line="240" w:lineRule="auto"/>
      <w:outlineLvl w:val="3"/>
    </w:pPr>
    <w:rPr>
      <w:b/>
      <w:bCs/>
      <w:sz w:val="28"/>
      <w:szCs w:val="28"/>
      <w:lang w:val="sl-SI" w:eastAsia="sl-SI"/>
    </w:rPr>
  </w:style>
  <w:style w:type="paragraph" w:styleId="Heading6">
    <w:name w:val="heading 6"/>
    <w:basedOn w:val="Normal"/>
    <w:next w:val="Normal"/>
    <w:link w:val="Heading6Char"/>
    <w:qFormat/>
    <w:pPr>
      <w:keepNext/>
      <w:keepLines/>
      <w:tabs>
        <w:tab w:val="clear" w:pos="567"/>
        <w:tab w:val="right" w:pos="4536"/>
        <w:tab w:val="left" w:pos="5180"/>
        <w:tab w:val="left" w:pos="5380"/>
        <w:tab w:val="left" w:pos="8222"/>
      </w:tabs>
      <w:spacing w:line="240" w:lineRule="auto"/>
      <w:outlineLvl w:val="5"/>
    </w:pPr>
    <w:rPr>
      <w:b/>
      <w:szCs w:val="22"/>
      <w:lang w:val="en-US"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link w:val="HeaderChar"/>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pPr>
      <w:tabs>
        <w:tab w:val="clear" w:pos="567"/>
      </w:tabs>
      <w:spacing w:line="240" w:lineRule="auto"/>
    </w:pPr>
    <w:rPr>
      <w:i/>
      <w:color w:val="008000"/>
    </w:rPr>
  </w:style>
  <w:style w:type="paragraph" w:styleId="CommentText">
    <w:name w:val="annotation text"/>
    <w:basedOn w:val="Normal"/>
    <w:link w:val="CommentTextChar"/>
    <w:semiHidden/>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link w:val="BalloonTextChar"/>
    <w:uiPriority w:val="99"/>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lang w:val="en-GB" w:eastAsia="en-GB"/>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link w:val="CommentText"/>
    <w:semiHidden/>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val="en-GB" w:eastAsia="en-US"/>
    </w:rPr>
  </w:style>
  <w:style w:type="character" w:customStyle="1" w:styleId="Heading1Char">
    <w:name w:val="Heading 1 Char"/>
    <w:link w:val="Heading1"/>
    <w:rPr>
      <w:rFonts w:ascii="Arial" w:eastAsia="Times New Roman" w:hAnsi="Arial" w:cs="Arial"/>
      <w:b/>
      <w:bCs/>
      <w:kern w:val="32"/>
      <w:sz w:val="32"/>
      <w:szCs w:val="32"/>
      <w:lang w:val="sl-SI" w:eastAsia="sl-SI"/>
    </w:rPr>
  </w:style>
  <w:style w:type="character" w:customStyle="1" w:styleId="Heading2Char">
    <w:name w:val="Heading 2 Char"/>
    <w:link w:val="Heading2"/>
    <w:rPr>
      <w:rFonts w:eastAsia="Times New Roman"/>
      <w:b/>
      <w:sz w:val="22"/>
      <w:szCs w:val="22"/>
      <w:u w:val="single"/>
      <w:lang w:val="en-US" w:eastAsia="sl-SI"/>
    </w:rPr>
  </w:style>
  <w:style w:type="character" w:customStyle="1" w:styleId="Heading3Char">
    <w:name w:val="Heading 3 Char"/>
    <w:link w:val="Heading3"/>
    <w:rPr>
      <w:rFonts w:eastAsia="Times New Roman"/>
      <w:b/>
      <w:sz w:val="22"/>
      <w:szCs w:val="22"/>
      <w:lang w:val="en-US" w:eastAsia="sl-SI"/>
    </w:rPr>
  </w:style>
  <w:style w:type="character" w:customStyle="1" w:styleId="Heading4Char">
    <w:name w:val="Heading 4 Char"/>
    <w:link w:val="Heading4"/>
    <w:rPr>
      <w:rFonts w:eastAsia="Times New Roman"/>
      <w:b/>
      <w:bCs/>
      <w:sz w:val="28"/>
      <w:szCs w:val="28"/>
      <w:lang w:val="sl-SI" w:eastAsia="sl-SI"/>
    </w:rPr>
  </w:style>
  <w:style w:type="character" w:customStyle="1" w:styleId="Heading6Char">
    <w:name w:val="Heading 6 Char"/>
    <w:link w:val="Heading6"/>
    <w:rPr>
      <w:rFonts w:eastAsia="Times New Roman"/>
      <w:b/>
      <w:sz w:val="22"/>
      <w:szCs w:val="22"/>
      <w:lang w:val="en-US" w:eastAsia="sl-SI"/>
    </w:rPr>
  </w:style>
  <w:style w:type="table" w:styleId="TableGrid">
    <w:name w:val="Table Grid"/>
    <w:basedOn w:val="TableNormal"/>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paragraph" w:styleId="PlainText">
    <w:name w:val="Plain Text"/>
    <w:basedOn w:val="Normal"/>
    <w:link w:val="PlainTextChar"/>
    <w:pPr>
      <w:tabs>
        <w:tab w:val="clear" w:pos="567"/>
      </w:tabs>
      <w:spacing w:line="240" w:lineRule="auto"/>
    </w:pPr>
    <w:rPr>
      <w:rFonts w:ascii="Courier New" w:hAnsi="Courier New"/>
      <w:sz w:val="20"/>
      <w:szCs w:val="22"/>
      <w:lang w:eastAsia="sl-SI"/>
    </w:rPr>
  </w:style>
  <w:style w:type="character" w:customStyle="1" w:styleId="PlainTextChar">
    <w:name w:val="Plain Text Char"/>
    <w:link w:val="PlainText"/>
    <w:rPr>
      <w:rFonts w:ascii="Courier New" w:eastAsia="Times New Roman" w:hAnsi="Courier New"/>
      <w:szCs w:val="22"/>
      <w:lang w:eastAsia="sl-SI"/>
    </w:rPr>
  </w:style>
  <w:style w:type="paragraph" w:styleId="Caption">
    <w:name w:val="caption"/>
    <w:basedOn w:val="Normal"/>
    <w:next w:val="Normal"/>
    <w:qFormat/>
    <w:pPr>
      <w:tabs>
        <w:tab w:val="clear" w:pos="567"/>
      </w:tabs>
      <w:spacing w:line="240" w:lineRule="auto"/>
      <w:jc w:val="both"/>
    </w:pPr>
    <w:rPr>
      <w:szCs w:val="22"/>
      <w:lang w:eastAsia="sl-SI"/>
    </w:rPr>
  </w:style>
  <w:style w:type="paragraph" w:customStyle="1" w:styleId="Naslov1">
    <w:name w:val="Naslov1"/>
    <w:basedOn w:val="Heading1"/>
    <w:pPr>
      <w:spacing w:before="0" w:after="0"/>
    </w:pPr>
    <w:rPr>
      <w:rFonts w:ascii="Times New Roman" w:hAnsi="Times New Roman" w:cs="Times New Roman"/>
      <w:bCs w:val="0"/>
      <w:kern w:val="0"/>
      <w:sz w:val="22"/>
      <w:szCs w:val="20"/>
      <w:u w:val="single"/>
    </w:rPr>
  </w:style>
  <w:style w:type="paragraph" w:styleId="TOC1">
    <w:name w:val="toc 1"/>
    <w:basedOn w:val="Normal"/>
    <w:next w:val="Normal"/>
    <w:autoRedefine/>
    <w:pPr>
      <w:tabs>
        <w:tab w:val="clear" w:pos="567"/>
      </w:tabs>
      <w:spacing w:before="120" w:line="240" w:lineRule="auto"/>
    </w:pPr>
    <w:rPr>
      <w:b/>
      <w:bCs/>
      <w:i/>
      <w:iCs/>
      <w:szCs w:val="28"/>
      <w:lang w:val="sl-SI" w:eastAsia="sl-SI"/>
    </w:rPr>
  </w:style>
  <w:style w:type="paragraph" w:styleId="BodyText2">
    <w:name w:val="Body Text 2"/>
    <w:basedOn w:val="Normal"/>
    <w:link w:val="BodyText2Char"/>
    <w:pPr>
      <w:tabs>
        <w:tab w:val="clear" w:pos="567"/>
      </w:tabs>
      <w:spacing w:after="120" w:line="480" w:lineRule="auto"/>
    </w:pPr>
    <w:rPr>
      <w:szCs w:val="22"/>
      <w:lang w:val="sl-SI" w:eastAsia="sl-SI"/>
    </w:rPr>
  </w:style>
  <w:style w:type="character" w:customStyle="1" w:styleId="BodyText2Char">
    <w:name w:val="Body Text 2 Char"/>
    <w:link w:val="BodyText2"/>
    <w:rPr>
      <w:rFonts w:eastAsia="Times New Roman"/>
      <w:sz w:val="22"/>
      <w:szCs w:val="22"/>
      <w:lang w:val="sl-SI" w:eastAsia="sl-SI"/>
    </w:rPr>
  </w:style>
  <w:style w:type="paragraph" w:customStyle="1" w:styleId="Default">
    <w:name w:val="Default"/>
    <w:pPr>
      <w:autoSpaceDE w:val="0"/>
      <w:autoSpaceDN w:val="0"/>
      <w:adjustRightInd w:val="0"/>
    </w:pPr>
    <w:rPr>
      <w:rFonts w:eastAsia="Times New Roman"/>
      <w:color w:val="000000"/>
      <w:sz w:val="24"/>
      <w:szCs w:val="24"/>
      <w:lang w:val="sl-SI" w:eastAsia="sl-SI"/>
    </w:rPr>
  </w:style>
  <w:style w:type="numbering" w:customStyle="1" w:styleId="Brezseznama1">
    <w:name w:val="Brez seznama1"/>
    <w:next w:val="NoList"/>
    <w:semiHidden/>
  </w:style>
  <w:style w:type="paragraph" w:styleId="EndnoteText">
    <w:name w:val="endnote text"/>
    <w:basedOn w:val="Normal"/>
    <w:link w:val="EndnoteTextChar"/>
    <w:pPr>
      <w:spacing w:line="240" w:lineRule="auto"/>
    </w:pPr>
    <w:rPr>
      <w:szCs w:val="22"/>
    </w:rPr>
  </w:style>
  <w:style w:type="character" w:customStyle="1" w:styleId="EndnoteTextChar">
    <w:name w:val="Endnote Text Char"/>
    <w:link w:val="EndnoteText"/>
    <w:rPr>
      <w:rFonts w:eastAsia="Times New Roman"/>
      <w:sz w:val="22"/>
      <w:szCs w:val="22"/>
      <w:lang w:eastAsia="en-US"/>
    </w:rPr>
  </w:style>
  <w:style w:type="numbering" w:customStyle="1" w:styleId="Brezseznama2">
    <w:name w:val="Brez seznama2"/>
    <w:next w:val="NoList"/>
    <w:semiHidden/>
  </w:style>
  <w:style w:type="numbering" w:customStyle="1" w:styleId="Brezseznama3">
    <w:name w:val="Brez seznama3"/>
    <w:next w:val="NoList"/>
    <w:semiHidden/>
  </w:style>
  <w:style w:type="paragraph" w:styleId="Title">
    <w:name w:val="Title"/>
    <w:basedOn w:val="Normal"/>
    <w:link w:val="TitleChar"/>
    <w:qFormat/>
    <w:pPr>
      <w:tabs>
        <w:tab w:val="clear" w:pos="567"/>
      </w:tabs>
      <w:spacing w:line="240" w:lineRule="auto"/>
      <w:jc w:val="center"/>
    </w:pPr>
    <w:rPr>
      <w:b/>
      <w:szCs w:val="22"/>
    </w:rPr>
  </w:style>
  <w:style w:type="character" w:customStyle="1" w:styleId="TitleChar">
    <w:name w:val="Title Char"/>
    <w:link w:val="Title"/>
    <w:rPr>
      <w:rFonts w:eastAsia="Times New Roman"/>
      <w:b/>
      <w:sz w:val="22"/>
      <w:szCs w:val="22"/>
      <w:lang w:eastAsia="en-US"/>
    </w:rPr>
  </w:style>
  <w:style w:type="numbering" w:customStyle="1" w:styleId="Brezseznama4">
    <w:name w:val="Brez seznama4"/>
    <w:next w:val="NoList"/>
    <w:semiHidden/>
  </w:style>
  <w:style w:type="numbering" w:customStyle="1" w:styleId="Brezseznama5">
    <w:name w:val="Brez seznama5"/>
    <w:next w:val="NoList"/>
    <w:uiPriority w:val="99"/>
    <w:semiHidden/>
    <w:unhideWhenUsed/>
  </w:style>
  <w:style w:type="character" w:customStyle="1" w:styleId="HeaderChar">
    <w:name w:val="Header Char"/>
    <w:link w:val="Header"/>
    <w:rPr>
      <w:rFonts w:ascii="Arial" w:eastAsia="Times New Roman" w:hAnsi="Arial"/>
      <w:lang w:eastAsia="en-US"/>
    </w:rPr>
  </w:style>
  <w:style w:type="paragraph" w:customStyle="1" w:styleId="TitleB">
    <w:name w:val="Title B"/>
    <w:basedOn w:val="Normal"/>
    <w:qFormat/>
    <w:pPr>
      <w:widowControl w:val="0"/>
      <w:spacing w:line="240" w:lineRule="auto"/>
      <w:ind w:left="567" w:hanging="567"/>
    </w:pPr>
    <w:rPr>
      <w:b/>
      <w:bCs/>
      <w:noProof/>
      <w:szCs w:val="22"/>
      <w:lang w:val="en-US"/>
    </w:rPr>
  </w:style>
  <w:style w:type="paragraph" w:customStyle="1" w:styleId="TitleA">
    <w:name w:val="Title A"/>
    <w:basedOn w:val="Normal"/>
    <w:qFormat/>
    <w:pPr>
      <w:widowControl w:val="0"/>
      <w:tabs>
        <w:tab w:val="clear" w:pos="567"/>
      </w:tabs>
      <w:spacing w:line="240" w:lineRule="auto"/>
      <w:jc w:val="center"/>
      <w:outlineLvl w:val="0"/>
    </w:pPr>
    <w:rPr>
      <w:b/>
      <w:noProof/>
      <w:szCs w:val="22"/>
    </w:rPr>
  </w:style>
  <w:style w:type="character" w:customStyle="1" w:styleId="BalloonTextChar">
    <w:name w:val="Balloon Text Char"/>
    <w:link w:val="BalloonText"/>
    <w:uiPriority w:val="99"/>
    <w:rPr>
      <w:rFonts w:ascii="Tahoma" w:eastAsia="Times New Roman" w:hAnsi="Tahoma" w:cs="Tahoma"/>
      <w:sz w:val="16"/>
      <w:szCs w:val="16"/>
      <w:lang w:eastAsia="en-US"/>
    </w:rPr>
  </w:style>
  <w:style w:type="numbering" w:customStyle="1" w:styleId="Brezseznama6">
    <w:name w:val="Brez seznama6"/>
    <w:next w:val="NoList"/>
    <w:uiPriority w:val="99"/>
    <w:semiHidden/>
    <w:unhideWhenUsed/>
  </w:style>
  <w:style w:type="numbering" w:customStyle="1" w:styleId="Brezseznama7">
    <w:name w:val="Brez seznama7"/>
    <w:next w:val="NoList"/>
    <w:uiPriority w:val="99"/>
    <w:semiHidden/>
    <w:unhideWhenUsed/>
  </w:style>
  <w:style w:type="numbering" w:customStyle="1" w:styleId="Brezseznama8">
    <w:name w:val="Brez seznama8"/>
    <w:next w:val="NoList"/>
    <w:uiPriority w:val="99"/>
    <w:semiHidden/>
    <w:unhideWhenUsed/>
  </w:style>
  <w:style w:type="numbering" w:customStyle="1" w:styleId="Brezseznama9">
    <w:name w:val="Brez seznama9"/>
    <w:next w:val="NoList"/>
    <w:uiPriority w:val="99"/>
    <w:semiHidden/>
    <w:unhideWhenUsed/>
  </w:style>
  <w:style w:type="numbering" w:customStyle="1" w:styleId="Brezseznama10">
    <w:name w:val="Brez seznama10"/>
    <w:next w:val="NoList"/>
    <w:uiPriority w:val="99"/>
    <w:semiHidden/>
    <w:unhideWhenUsed/>
  </w:style>
  <w:style w:type="numbering" w:customStyle="1" w:styleId="Brezseznama11">
    <w:name w:val="Brez seznama11"/>
    <w:next w:val="NoList"/>
    <w:uiPriority w:val="99"/>
    <w:semiHidden/>
    <w:unhideWhenUsed/>
  </w:style>
  <w:style w:type="numbering" w:customStyle="1" w:styleId="Brezseznama12">
    <w:name w:val="Brez seznama12"/>
    <w:next w:val="NoList"/>
    <w:uiPriority w:val="99"/>
    <w:semiHidden/>
    <w:unhideWhenUsed/>
  </w:style>
  <w:style w:type="paragraph" w:styleId="ListParagraph">
    <w:name w:val="List Paragraph"/>
    <w:basedOn w:val="Normal"/>
    <w:uiPriority w:val="1"/>
    <w:qFormat/>
    <w:pPr>
      <w:widowControl w:val="0"/>
      <w:tabs>
        <w:tab w:val="clear" w:pos="567"/>
      </w:tabs>
      <w:autoSpaceDE w:val="0"/>
      <w:autoSpaceDN w:val="0"/>
      <w:adjustRightInd w:val="0"/>
      <w:spacing w:line="240" w:lineRule="auto"/>
      <w:ind w:left="1164" w:hanging="566"/>
    </w:pPr>
    <w:rPr>
      <w:sz w:val="24"/>
      <w:szCs w:val="24"/>
      <w:lang w:val="en-US" w:eastAsia="sl-SI"/>
    </w:rPr>
  </w:style>
  <w:style w:type="character" w:customStyle="1" w:styleId="A1">
    <w:name w:val="A1"/>
    <w:uiPriority w:val="99"/>
    <w:rPr>
      <w:rFonts w:cs="FS Joey"/>
      <w:color w:val="000000"/>
      <w:sz w:val="18"/>
      <w:szCs w:val="18"/>
    </w:rPr>
  </w:style>
  <w:style w:type="paragraph" w:customStyle="1" w:styleId="Pa3">
    <w:name w:val="Pa3"/>
    <w:basedOn w:val="Default"/>
    <w:next w:val="Default"/>
    <w:uiPriority w:val="99"/>
    <w:pPr>
      <w:spacing w:line="241" w:lineRule="atLeast"/>
    </w:pPr>
    <w:rPr>
      <w:rFonts w:ascii="FS Joey" w:hAnsi="FS Joey"/>
      <w:color w:val="auto"/>
    </w:rPr>
  </w:style>
  <w:style w:type="paragraph" w:styleId="NormalWeb">
    <w:name w:val="Normal (Web)"/>
    <w:basedOn w:val="Normal"/>
    <w:pPr>
      <w:tabs>
        <w:tab w:val="clear" w:pos="567"/>
      </w:tabs>
      <w:spacing w:before="100" w:beforeAutospacing="1" w:after="69" w:line="240" w:lineRule="auto"/>
    </w:pPr>
    <w:rPr>
      <w:color w:val="000000"/>
      <w:sz w:val="24"/>
      <w:szCs w:val="24"/>
      <w:lang w:val="en-US"/>
    </w:rPr>
  </w:style>
  <w:style w:type="paragraph" w:styleId="NoSpacing">
    <w:name w:val="No Spacing"/>
    <w:uiPriority w:val="1"/>
    <w:qFormat/>
    <w:rPr>
      <w:rFonts w:eastAsia="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vigiflow-eforms.who-umc.org/me/meadr"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33</Pages>
  <Words>15758</Words>
  <Characters>89825</Characters>
  <Application>Microsoft Office Word</Application>
  <DocSecurity>0</DocSecurity>
  <Lines>748</Lines>
  <Paragraphs>210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105373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Nevena Mandić</dc:creator>
  <cp:lastModifiedBy>Aleksandra Ljumović</cp:lastModifiedBy>
  <cp:revision>3</cp:revision>
  <dcterms:created xsi:type="dcterms:W3CDTF">2024-12-11T10:32:00Z</dcterms:created>
  <dcterms:modified xsi:type="dcterms:W3CDTF">2024-12-11T10:32:00Z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MSIP_Label_0eea11ca-d417-4147-80ed-01a58412c458_ActionId">
    <vt:lpwstr/>
  </property>
  <property fmtid="{D5CDD505-2E9C-101B-9397-08002B2CF9AE}" pid="46" name="MSIP_Label_0eea11ca-d417-4147-80ed-01a58412c458_Application">
    <vt:lpwstr/>
  </property>
  <property fmtid="{D5CDD505-2E9C-101B-9397-08002B2CF9AE}" pid="47" name="MSIP_Label_0eea11ca-d417-4147-80ed-01a58412c458_Enabled">
    <vt:lpwstr/>
  </property>
  <property fmtid="{D5CDD505-2E9C-101B-9397-08002B2CF9AE}" pid="48" name="MSIP_Label_0eea11ca-d417-4147-80ed-01a58412c458_Extended_MSFT_Method">
    <vt:lpwstr/>
  </property>
  <property fmtid="{D5CDD505-2E9C-101B-9397-08002B2CF9AE}" pid="49" name="MSIP_Label_0eea11ca-d417-4147-80ed-01a58412c458_Name">
    <vt:lpwstr/>
  </property>
  <property fmtid="{D5CDD505-2E9C-101B-9397-08002B2CF9AE}" pid="50" name="MSIP_Label_0eea11ca-d417-4147-80ed-01a58412c458_Owner">
    <vt:lpwstr/>
  </property>
  <property fmtid="{D5CDD505-2E9C-101B-9397-08002B2CF9AE}" pid="51" name="MSIP_Label_0eea11ca-d417-4147-80ed-01a58412c458_Parent">
    <vt:lpwstr/>
  </property>
  <property fmtid="{D5CDD505-2E9C-101B-9397-08002B2CF9AE}" pid="52" name="MSIP_Label_0eea11ca-d417-4147-80ed-01a58412c458_SetDate">
    <vt:lpwstr/>
  </property>
  <property fmtid="{D5CDD505-2E9C-101B-9397-08002B2CF9AE}" pid="53" name="MSIP_Label_0eea11ca-d417-4147-80ed-01a58412c458_SiteId">
    <vt:lpwstr/>
  </property>
  <property fmtid="{D5CDD505-2E9C-101B-9397-08002B2CF9AE}" pid="54" name="MSIP_Label_afe1b31d-cec0-4074-b4bd-f07689e43d84_ActionId">
    <vt:lpwstr/>
  </property>
  <property fmtid="{D5CDD505-2E9C-101B-9397-08002B2CF9AE}" pid="55" name="MSIP_Label_afe1b31d-cec0-4074-b4bd-f07689e43d84_Application">
    <vt:lpwstr/>
  </property>
  <property fmtid="{D5CDD505-2E9C-101B-9397-08002B2CF9AE}" pid="56" name="MSIP_Label_afe1b31d-cec0-4074-b4bd-f07689e43d84_Enabled">
    <vt:lpwstr/>
  </property>
  <property fmtid="{D5CDD505-2E9C-101B-9397-08002B2CF9AE}" pid="57" name="MSIP_Label_afe1b31d-cec0-4074-b4bd-f07689e43d84_Extended_MSFT_Method">
    <vt:lpwstr/>
  </property>
  <property fmtid="{D5CDD505-2E9C-101B-9397-08002B2CF9AE}" pid="58" name="MSIP_Label_afe1b31d-cec0-4074-b4bd-f07689e43d84_Name">
    <vt:lpwstr/>
  </property>
  <property fmtid="{D5CDD505-2E9C-101B-9397-08002B2CF9AE}" pid="59" name="MSIP_Label_afe1b31d-cec0-4074-b4bd-f07689e43d84_Owner">
    <vt:lpwstr/>
  </property>
  <property fmtid="{D5CDD505-2E9C-101B-9397-08002B2CF9AE}" pid="60" name="MSIP_Label_afe1b31d-cec0-4074-b4bd-f07689e43d84_SetDate">
    <vt:lpwstr/>
  </property>
  <property fmtid="{D5CDD505-2E9C-101B-9397-08002B2CF9AE}" pid="61" name="MSIP_Label_afe1b31d-cec0-4074-b4bd-f07689e43d84_SiteId">
    <vt:lpwstr/>
  </property>
</Properties>
</file>