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25272" w14:textId="77777777" w:rsidR="005F7A91" w:rsidRDefault="007C7639">
      <w:pPr>
        <w:widowControl w:val="0"/>
        <w:tabs>
          <w:tab w:val="clear" w:pos="567"/>
        </w:tabs>
        <w:spacing w:line="240" w:lineRule="auto"/>
        <w:jc w:val="center"/>
        <w:rPr>
          <w:b/>
          <w:bCs/>
          <w:iCs/>
          <w:szCs w:val="22"/>
          <w:u w:val="single"/>
          <w:lang w:val="sr-Latn-ME" w:eastAsia="sl-SI"/>
        </w:rPr>
      </w:pPr>
      <w:r>
        <w:rPr>
          <w:b/>
          <w:bCs/>
          <w:iCs/>
          <w:szCs w:val="22"/>
          <w:u w:val="single"/>
          <w:lang w:val="sr-Latn-ME" w:eastAsia="sl-SI"/>
        </w:rPr>
        <w:t>SAŽETAK KARAKTERISTIKA LIJEKA</w:t>
      </w:r>
    </w:p>
    <w:p w14:paraId="7121A087" w14:textId="77777777" w:rsidR="005F7A91" w:rsidRDefault="005F7A91">
      <w:pPr>
        <w:widowControl w:val="0"/>
        <w:tabs>
          <w:tab w:val="clear" w:pos="567"/>
        </w:tabs>
        <w:spacing w:line="240" w:lineRule="auto"/>
        <w:jc w:val="center"/>
        <w:rPr>
          <w:b/>
          <w:szCs w:val="22"/>
          <w:lang w:val="sl-SI" w:eastAsia="sl-SI"/>
        </w:rPr>
      </w:pPr>
    </w:p>
    <w:p w14:paraId="321845F8" w14:textId="77777777" w:rsidR="005F7A91" w:rsidRDefault="007C7639">
      <w:pPr>
        <w:widowControl w:val="0"/>
        <w:tabs>
          <w:tab w:val="clear" w:pos="567"/>
        </w:tabs>
        <w:spacing w:line="240" w:lineRule="auto"/>
        <w:jc w:val="both"/>
        <w:rPr>
          <w:szCs w:val="22"/>
          <w:lang w:val="sl-SI" w:eastAsia="sl-SI"/>
        </w:rPr>
      </w:pPr>
      <w:r>
        <w:rPr>
          <w:b/>
          <w:szCs w:val="22"/>
          <w:lang w:val="sl-SI" w:eastAsia="sl-SI"/>
        </w:rPr>
        <w:t>1.</w:t>
      </w:r>
      <w:r>
        <w:rPr>
          <w:b/>
          <w:szCs w:val="22"/>
          <w:lang w:val="sl-SI" w:eastAsia="sl-SI"/>
        </w:rPr>
        <w:tab/>
        <w:t>NAZIV LIJEKA</w:t>
      </w:r>
    </w:p>
    <w:p w14:paraId="6840F65C" w14:textId="77777777" w:rsidR="005F7A91" w:rsidRDefault="005F7A91">
      <w:pPr>
        <w:widowControl w:val="0"/>
        <w:tabs>
          <w:tab w:val="clear" w:pos="567"/>
        </w:tabs>
        <w:spacing w:line="240" w:lineRule="auto"/>
        <w:jc w:val="both"/>
        <w:rPr>
          <w:rFonts w:eastAsia="Calibri"/>
          <w:szCs w:val="22"/>
          <w:lang w:val="sl-SI"/>
        </w:rPr>
      </w:pPr>
    </w:p>
    <w:p w14:paraId="1F381B43" w14:textId="77777777" w:rsidR="005F7A91" w:rsidRDefault="007C7639">
      <w:pPr>
        <w:widowControl w:val="0"/>
        <w:spacing w:line="240" w:lineRule="auto"/>
        <w:jc w:val="both"/>
        <w:rPr>
          <w:szCs w:val="22"/>
          <w:lang w:val="sl-SI"/>
        </w:rPr>
      </w:pPr>
      <w:r>
        <w:rPr>
          <w:noProof/>
          <w:szCs w:val="22"/>
          <w:lang w:val="sl-SI"/>
        </w:rPr>
        <w:t>Xerdoxo</w:t>
      </w:r>
      <w:r>
        <w:rPr>
          <w:bCs/>
          <w:noProof/>
          <w:szCs w:val="22"/>
          <w:lang w:val="sl-SI"/>
        </w:rPr>
        <w:t>,</w:t>
      </w:r>
      <w:r>
        <w:rPr>
          <w:noProof/>
          <w:szCs w:val="22"/>
          <w:lang w:val="sl-SI"/>
        </w:rPr>
        <w:t xml:space="preserve"> </w:t>
      </w:r>
      <w:r>
        <w:rPr>
          <w:szCs w:val="22"/>
          <w:lang w:val="sl-SI" w:eastAsia="sl-SI"/>
        </w:rPr>
        <w:t xml:space="preserve">10 mg, </w:t>
      </w:r>
      <w:r>
        <w:rPr>
          <w:szCs w:val="22"/>
          <w:lang w:val="sl-SI"/>
        </w:rPr>
        <w:t>film tableta</w:t>
      </w:r>
    </w:p>
    <w:p w14:paraId="467AAC23" w14:textId="77777777" w:rsidR="005F7A91" w:rsidRDefault="005F7A91">
      <w:pPr>
        <w:widowControl w:val="0"/>
        <w:spacing w:line="240" w:lineRule="auto"/>
        <w:jc w:val="both"/>
        <w:rPr>
          <w:iCs/>
          <w:szCs w:val="22"/>
          <w:lang w:val="sl-SI"/>
        </w:rPr>
      </w:pPr>
    </w:p>
    <w:p w14:paraId="6B2A8989" w14:textId="77777777" w:rsidR="005F7A91" w:rsidRDefault="007C7639">
      <w:pPr>
        <w:widowControl w:val="0"/>
        <w:tabs>
          <w:tab w:val="clear" w:pos="567"/>
        </w:tabs>
        <w:spacing w:line="240" w:lineRule="auto"/>
        <w:jc w:val="both"/>
        <w:rPr>
          <w:rFonts w:eastAsia="Calibri"/>
          <w:szCs w:val="22"/>
          <w:lang w:val="sl-SI"/>
        </w:rPr>
      </w:pPr>
      <w:r>
        <w:rPr>
          <w:rFonts w:eastAsia="Calibri"/>
          <w:szCs w:val="22"/>
          <w:lang w:val="sl-SI"/>
        </w:rPr>
        <w:t>INN: rivaroksaban</w:t>
      </w:r>
    </w:p>
    <w:p w14:paraId="59EB5044" w14:textId="77777777" w:rsidR="005F7A91" w:rsidRDefault="005F7A91">
      <w:pPr>
        <w:widowControl w:val="0"/>
        <w:tabs>
          <w:tab w:val="clear" w:pos="567"/>
        </w:tabs>
        <w:spacing w:line="240" w:lineRule="auto"/>
        <w:jc w:val="both"/>
        <w:rPr>
          <w:rFonts w:eastAsia="Calibri"/>
          <w:szCs w:val="22"/>
          <w:lang w:val="sl-SI"/>
        </w:rPr>
      </w:pPr>
    </w:p>
    <w:p w14:paraId="33733884" w14:textId="77777777" w:rsidR="005F7A91" w:rsidRDefault="005F7A91">
      <w:pPr>
        <w:widowControl w:val="0"/>
        <w:tabs>
          <w:tab w:val="clear" w:pos="567"/>
        </w:tabs>
        <w:spacing w:line="240" w:lineRule="auto"/>
        <w:jc w:val="both"/>
        <w:rPr>
          <w:rFonts w:eastAsia="Calibri"/>
          <w:szCs w:val="22"/>
          <w:lang w:val="sl-SI"/>
        </w:rPr>
      </w:pPr>
    </w:p>
    <w:p w14:paraId="664BE470" w14:textId="77777777" w:rsidR="005F7A91" w:rsidRDefault="007C7639">
      <w:pPr>
        <w:widowControl w:val="0"/>
        <w:spacing w:line="240" w:lineRule="auto"/>
        <w:jc w:val="both"/>
        <w:rPr>
          <w:b/>
          <w:szCs w:val="22"/>
          <w:lang w:val="sl-SI"/>
        </w:rPr>
      </w:pPr>
      <w:r>
        <w:rPr>
          <w:b/>
          <w:szCs w:val="22"/>
          <w:lang w:val="sl-SI"/>
        </w:rPr>
        <w:t>2.</w:t>
      </w:r>
      <w:r>
        <w:rPr>
          <w:b/>
          <w:szCs w:val="22"/>
          <w:lang w:val="sl-SI"/>
        </w:rPr>
        <w:tab/>
        <w:t>KVALITATIVNI I KVANTITATIVNI SASTAV</w:t>
      </w:r>
    </w:p>
    <w:p w14:paraId="08877748" w14:textId="77777777" w:rsidR="005F7A91" w:rsidRDefault="005F7A91">
      <w:pPr>
        <w:widowControl w:val="0"/>
        <w:tabs>
          <w:tab w:val="clear" w:pos="567"/>
        </w:tabs>
        <w:autoSpaceDE w:val="0"/>
        <w:autoSpaceDN w:val="0"/>
        <w:adjustRightInd w:val="0"/>
        <w:spacing w:line="240" w:lineRule="auto"/>
        <w:jc w:val="both"/>
        <w:rPr>
          <w:szCs w:val="22"/>
          <w:lang w:val="sl-SI"/>
        </w:rPr>
      </w:pPr>
    </w:p>
    <w:p w14:paraId="4FF7A96C" w14:textId="77777777" w:rsidR="005F7A91" w:rsidRDefault="007C7639">
      <w:pPr>
        <w:widowControl w:val="0"/>
        <w:tabs>
          <w:tab w:val="clear" w:pos="567"/>
        </w:tabs>
        <w:autoSpaceDE w:val="0"/>
        <w:autoSpaceDN w:val="0"/>
        <w:adjustRightInd w:val="0"/>
        <w:spacing w:line="240" w:lineRule="auto"/>
        <w:jc w:val="both"/>
        <w:rPr>
          <w:szCs w:val="22"/>
          <w:lang w:val="sl-SI"/>
        </w:rPr>
      </w:pPr>
      <w:r>
        <w:rPr>
          <w:szCs w:val="22"/>
          <w:lang w:val="sl-SI"/>
        </w:rPr>
        <w:t>Svaka film tableta sadrži 10 mg rivaroksabana.</w:t>
      </w:r>
    </w:p>
    <w:p w14:paraId="6B2B6AC6" w14:textId="77777777" w:rsidR="005F7A91" w:rsidRDefault="005F7A91">
      <w:pPr>
        <w:widowControl w:val="0"/>
        <w:tabs>
          <w:tab w:val="clear" w:pos="567"/>
        </w:tabs>
        <w:autoSpaceDE w:val="0"/>
        <w:autoSpaceDN w:val="0"/>
        <w:adjustRightInd w:val="0"/>
        <w:spacing w:line="240" w:lineRule="auto"/>
        <w:jc w:val="both"/>
        <w:rPr>
          <w:bCs/>
          <w:noProof/>
          <w:szCs w:val="22"/>
          <w:lang w:val="sl-SI"/>
        </w:rPr>
      </w:pPr>
    </w:p>
    <w:p w14:paraId="7BAC2643" w14:textId="77777777" w:rsidR="005F7A91" w:rsidRDefault="007C7639">
      <w:pPr>
        <w:widowControl w:val="0"/>
        <w:spacing w:line="240" w:lineRule="auto"/>
        <w:jc w:val="both"/>
        <w:rPr>
          <w:szCs w:val="22"/>
          <w:lang w:val="sl-SI"/>
        </w:rPr>
      </w:pPr>
      <w:r>
        <w:rPr>
          <w:szCs w:val="22"/>
          <w:lang w:val="sl-SI"/>
        </w:rPr>
        <w:t>Za spisak svih ekscipijenasa, pogledati dio 6.1.</w:t>
      </w:r>
    </w:p>
    <w:p w14:paraId="1644CDC1" w14:textId="77777777" w:rsidR="005F7A91" w:rsidRDefault="005F7A91">
      <w:pPr>
        <w:widowControl w:val="0"/>
        <w:tabs>
          <w:tab w:val="clear" w:pos="567"/>
        </w:tabs>
        <w:spacing w:line="240" w:lineRule="auto"/>
        <w:jc w:val="both"/>
        <w:rPr>
          <w:rFonts w:eastAsia="Calibri"/>
          <w:szCs w:val="22"/>
          <w:lang w:val="sl-SI"/>
        </w:rPr>
      </w:pPr>
    </w:p>
    <w:p w14:paraId="689630DD" w14:textId="77777777" w:rsidR="005F7A91" w:rsidRDefault="005F7A91">
      <w:pPr>
        <w:widowControl w:val="0"/>
        <w:tabs>
          <w:tab w:val="clear" w:pos="567"/>
        </w:tabs>
        <w:spacing w:line="240" w:lineRule="auto"/>
        <w:jc w:val="both"/>
        <w:rPr>
          <w:rFonts w:eastAsia="Calibri"/>
          <w:szCs w:val="22"/>
          <w:lang w:val="sl-SI"/>
        </w:rPr>
      </w:pPr>
    </w:p>
    <w:p w14:paraId="64DD80A0" w14:textId="77777777" w:rsidR="005F7A91" w:rsidRDefault="007C7639">
      <w:pPr>
        <w:widowControl w:val="0"/>
        <w:spacing w:line="240" w:lineRule="auto"/>
        <w:jc w:val="both"/>
        <w:rPr>
          <w:b/>
          <w:szCs w:val="22"/>
          <w:lang w:val="sl-SI"/>
        </w:rPr>
      </w:pPr>
      <w:r>
        <w:rPr>
          <w:b/>
          <w:szCs w:val="22"/>
          <w:lang w:val="sl-SI"/>
        </w:rPr>
        <w:t>3.</w:t>
      </w:r>
      <w:r>
        <w:rPr>
          <w:b/>
          <w:szCs w:val="22"/>
          <w:lang w:val="sl-SI"/>
        </w:rPr>
        <w:tab/>
        <w:t>FARMACEUTSKI OBLIK</w:t>
      </w:r>
    </w:p>
    <w:p w14:paraId="209C5B02" w14:textId="77777777" w:rsidR="005F7A91" w:rsidRDefault="005F7A91">
      <w:pPr>
        <w:widowControl w:val="0"/>
        <w:spacing w:line="240" w:lineRule="auto"/>
        <w:jc w:val="both"/>
        <w:rPr>
          <w:szCs w:val="22"/>
          <w:lang w:val="sl-SI"/>
        </w:rPr>
      </w:pPr>
    </w:p>
    <w:p w14:paraId="295C303F" w14:textId="77777777" w:rsidR="005F7A91" w:rsidRDefault="007C7639">
      <w:pPr>
        <w:widowControl w:val="0"/>
        <w:spacing w:line="240" w:lineRule="auto"/>
        <w:jc w:val="both"/>
        <w:rPr>
          <w:szCs w:val="22"/>
          <w:lang w:val="sl-SI"/>
        </w:rPr>
      </w:pPr>
      <w:r>
        <w:rPr>
          <w:szCs w:val="22"/>
          <w:lang w:val="sl-SI"/>
        </w:rPr>
        <w:t xml:space="preserve">Film tableta. </w:t>
      </w:r>
    </w:p>
    <w:p w14:paraId="50B3B687" w14:textId="77777777" w:rsidR="005F7A91" w:rsidRDefault="005F7A91">
      <w:pPr>
        <w:widowControl w:val="0"/>
        <w:spacing w:line="240" w:lineRule="auto"/>
        <w:jc w:val="both"/>
        <w:rPr>
          <w:szCs w:val="22"/>
          <w:highlight w:val="yellow"/>
          <w:lang w:val="sl-SI"/>
        </w:rPr>
      </w:pPr>
    </w:p>
    <w:p w14:paraId="196E4A7D" w14:textId="77777777" w:rsidR="005F7A91" w:rsidRDefault="007C7639">
      <w:pPr>
        <w:widowControl w:val="0"/>
        <w:spacing w:line="240" w:lineRule="auto"/>
        <w:rPr>
          <w:szCs w:val="22"/>
          <w:lang w:val="sl-SI"/>
        </w:rPr>
      </w:pPr>
      <w:r>
        <w:rPr>
          <w:szCs w:val="22"/>
          <w:lang w:val="sl-SI"/>
        </w:rPr>
        <w:t>Smeđkastocrvene, okrugle, blago bikonveksne, film tablete, sa urezanom oznakom 10 na jednoj strani tablete.</w:t>
      </w:r>
    </w:p>
    <w:p w14:paraId="372C5109" w14:textId="77777777" w:rsidR="005F7A91" w:rsidRDefault="007C7639">
      <w:pPr>
        <w:widowControl w:val="0"/>
        <w:spacing w:line="240" w:lineRule="auto"/>
        <w:jc w:val="both"/>
        <w:rPr>
          <w:szCs w:val="22"/>
          <w:lang w:val="sl-SI"/>
        </w:rPr>
      </w:pPr>
      <w:r>
        <w:rPr>
          <w:szCs w:val="22"/>
          <w:lang w:val="sl-SI"/>
        </w:rPr>
        <w:t>Dimenzije: promjer oko 6,5 mm.</w:t>
      </w:r>
    </w:p>
    <w:p w14:paraId="3A2DA5E1" w14:textId="77777777" w:rsidR="005F7A91" w:rsidRDefault="005F7A91">
      <w:pPr>
        <w:widowControl w:val="0"/>
        <w:tabs>
          <w:tab w:val="clear" w:pos="567"/>
        </w:tabs>
        <w:spacing w:line="240" w:lineRule="auto"/>
        <w:jc w:val="both"/>
        <w:rPr>
          <w:rFonts w:eastAsia="Calibri"/>
          <w:szCs w:val="22"/>
          <w:lang w:val="sl-SI"/>
        </w:rPr>
      </w:pPr>
    </w:p>
    <w:p w14:paraId="044179E4" w14:textId="77777777" w:rsidR="005F7A91" w:rsidRDefault="005F7A91">
      <w:pPr>
        <w:widowControl w:val="0"/>
        <w:tabs>
          <w:tab w:val="clear" w:pos="567"/>
        </w:tabs>
        <w:spacing w:line="240" w:lineRule="auto"/>
        <w:jc w:val="both"/>
        <w:rPr>
          <w:rFonts w:eastAsia="Calibri"/>
          <w:szCs w:val="22"/>
          <w:lang w:val="sl-SI"/>
        </w:rPr>
      </w:pPr>
    </w:p>
    <w:p w14:paraId="5EEDC870" w14:textId="77777777" w:rsidR="005F7A91" w:rsidRDefault="007C7639">
      <w:pPr>
        <w:widowControl w:val="0"/>
        <w:tabs>
          <w:tab w:val="clear" w:pos="567"/>
        </w:tabs>
        <w:spacing w:line="240" w:lineRule="auto"/>
        <w:ind w:left="567" w:hanging="567"/>
        <w:jc w:val="both"/>
        <w:rPr>
          <w:caps/>
          <w:szCs w:val="22"/>
          <w:lang w:val="sl-SI" w:eastAsia="sl-SI"/>
        </w:rPr>
      </w:pPr>
      <w:r>
        <w:rPr>
          <w:b/>
          <w:caps/>
          <w:szCs w:val="22"/>
          <w:lang w:val="sl-SI" w:eastAsia="sl-SI"/>
        </w:rPr>
        <w:t>4.</w:t>
      </w:r>
      <w:r>
        <w:rPr>
          <w:b/>
          <w:caps/>
          <w:szCs w:val="22"/>
          <w:lang w:val="sl-SI" w:eastAsia="sl-SI"/>
        </w:rPr>
        <w:tab/>
        <w:t>KLINIČKI PODACI</w:t>
      </w:r>
    </w:p>
    <w:p w14:paraId="632F5BC2" w14:textId="77777777" w:rsidR="005F7A91" w:rsidRDefault="005F7A91">
      <w:pPr>
        <w:widowControl w:val="0"/>
        <w:spacing w:line="240" w:lineRule="auto"/>
        <w:jc w:val="both"/>
        <w:rPr>
          <w:szCs w:val="22"/>
          <w:lang w:val="sl-SI"/>
        </w:rPr>
      </w:pPr>
    </w:p>
    <w:p w14:paraId="2AE010F9" w14:textId="77777777" w:rsidR="005F7A91" w:rsidRDefault="007C7639">
      <w:pPr>
        <w:widowControl w:val="0"/>
        <w:tabs>
          <w:tab w:val="clear" w:pos="567"/>
        </w:tabs>
        <w:spacing w:line="240" w:lineRule="auto"/>
        <w:ind w:left="567" w:hanging="567"/>
        <w:jc w:val="both"/>
        <w:outlineLvl w:val="0"/>
        <w:rPr>
          <w:szCs w:val="22"/>
          <w:lang w:val="sl-SI" w:eastAsia="sl-SI"/>
        </w:rPr>
      </w:pPr>
      <w:r>
        <w:rPr>
          <w:b/>
          <w:szCs w:val="22"/>
          <w:lang w:val="sl-SI" w:eastAsia="sl-SI"/>
        </w:rPr>
        <w:t>4.1</w:t>
      </w:r>
      <w:r>
        <w:rPr>
          <w:b/>
          <w:szCs w:val="22"/>
          <w:lang w:val="sl-SI" w:eastAsia="sl-SI"/>
        </w:rPr>
        <w:tab/>
        <w:t>Terapijske indikacije</w:t>
      </w:r>
    </w:p>
    <w:p w14:paraId="70F7DEB8" w14:textId="77777777" w:rsidR="005F7A91" w:rsidRDefault="005F7A91">
      <w:pPr>
        <w:widowControl w:val="0"/>
        <w:tabs>
          <w:tab w:val="clear" w:pos="567"/>
        </w:tabs>
        <w:spacing w:line="240" w:lineRule="auto"/>
        <w:jc w:val="both"/>
        <w:rPr>
          <w:rFonts w:eastAsia="Calibri"/>
          <w:szCs w:val="22"/>
          <w:lang w:val="sl-SI"/>
        </w:rPr>
      </w:pPr>
    </w:p>
    <w:p w14:paraId="702836DF"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Prevencija venske tromboembolije (VTE) kod odraslih pacijenata koji se podvrgavaju elektivnom hirurškom zahvatu zamjene kuka ili koljena (ugradnji vještačkog kuka ili koljena). </w:t>
      </w:r>
    </w:p>
    <w:p w14:paraId="51CDF6EE" w14:textId="77777777" w:rsidR="005F7A91" w:rsidRDefault="005F7A91">
      <w:pPr>
        <w:widowControl w:val="0"/>
        <w:tabs>
          <w:tab w:val="clear" w:pos="567"/>
        </w:tabs>
        <w:spacing w:line="240" w:lineRule="auto"/>
        <w:jc w:val="both"/>
        <w:rPr>
          <w:szCs w:val="22"/>
          <w:lang w:val="sl-SI" w:eastAsia="sl-SI"/>
        </w:rPr>
      </w:pPr>
    </w:p>
    <w:p w14:paraId="6586F448"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Terapija tromboze dubokih vena (TDV) i plućne embolije (PE) i prevencija rekurentne TDV i PE kod odraslih osoba (vidjeti dio 4.4 za hemodinamski nestabilne pacijente sa PE).</w:t>
      </w:r>
    </w:p>
    <w:p w14:paraId="0556569C" w14:textId="77777777" w:rsidR="005F7A91" w:rsidRDefault="005F7A91">
      <w:pPr>
        <w:widowControl w:val="0"/>
        <w:tabs>
          <w:tab w:val="clear" w:pos="567"/>
        </w:tabs>
        <w:spacing w:line="240" w:lineRule="auto"/>
        <w:jc w:val="both"/>
        <w:rPr>
          <w:rFonts w:eastAsia="Calibri"/>
          <w:szCs w:val="22"/>
          <w:lang w:val="sl-SI"/>
        </w:rPr>
      </w:pPr>
    </w:p>
    <w:p w14:paraId="5C455A17" w14:textId="77777777" w:rsidR="005F7A91" w:rsidRDefault="007C7639">
      <w:pPr>
        <w:widowControl w:val="0"/>
        <w:spacing w:line="240" w:lineRule="auto"/>
        <w:jc w:val="both"/>
        <w:rPr>
          <w:b/>
          <w:szCs w:val="22"/>
          <w:lang w:val="sl-SI"/>
        </w:rPr>
      </w:pPr>
      <w:r>
        <w:rPr>
          <w:b/>
          <w:szCs w:val="22"/>
          <w:lang w:val="sl-SI"/>
        </w:rPr>
        <w:t>4.2</w:t>
      </w:r>
      <w:r>
        <w:rPr>
          <w:b/>
          <w:szCs w:val="22"/>
          <w:lang w:val="sl-SI"/>
        </w:rPr>
        <w:tab/>
        <w:t>Doziranje i način primjene</w:t>
      </w:r>
    </w:p>
    <w:p w14:paraId="6B9DFFC4" w14:textId="77777777" w:rsidR="005F7A91" w:rsidRDefault="005F7A91">
      <w:pPr>
        <w:widowControl w:val="0"/>
        <w:tabs>
          <w:tab w:val="clear" w:pos="567"/>
        </w:tabs>
        <w:spacing w:line="240" w:lineRule="auto"/>
        <w:jc w:val="both"/>
        <w:rPr>
          <w:rFonts w:eastAsia="Calibri"/>
          <w:szCs w:val="22"/>
          <w:lang w:val="sl-SI"/>
        </w:rPr>
      </w:pPr>
    </w:p>
    <w:p w14:paraId="2769F31F"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Doziranje</w:t>
      </w:r>
    </w:p>
    <w:p w14:paraId="26A0BBEA" w14:textId="77777777" w:rsidR="005F7A91" w:rsidRDefault="005F7A91">
      <w:pPr>
        <w:tabs>
          <w:tab w:val="clear" w:pos="567"/>
        </w:tabs>
        <w:autoSpaceDE w:val="0"/>
        <w:autoSpaceDN w:val="0"/>
        <w:adjustRightInd w:val="0"/>
        <w:spacing w:line="240" w:lineRule="auto"/>
        <w:jc w:val="both"/>
        <w:rPr>
          <w:color w:val="000000"/>
          <w:szCs w:val="22"/>
          <w:u w:val="single"/>
          <w:lang w:val="hr-HR" w:eastAsia="sl-SI"/>
        </w:rPr>
      </w:pPr>
    </w:p>
    <w:p w14:paraId="7F55B6B4" w14:textId="77777777" w:rsidR="005F7A91" w:rsidRDefault="007C7639">
      <w:pPr>
        <w:widowControl w:val="0"/>
        <w:tabs>
          <w:tab w:val="clear" w:pos="567"/>
        </w:tabs>
        <w:spacing w:line="240" w:lineRule="auto"/>
        <w:jc w:val="both"/>
        <w:rPr>
          <w:i/>
          <w:szCs w:val="22"/>
          <w:lang w:val="sl-SI" w:eastAsia="sl-SI"/>
        </w:rPr>
      </w:pPr>
      <w:r>
        <w:rPr>
          <w:i/>
          <w:szCs w:val="22"/>
          <w:lang w:val="sl-SI" w:eastAsia="sl-SI"/>
        </w:rPr>
        <w:t xml:space="preserve">Prevencija VTE kod odraslih pacijenata koji se podvrgavaju elektivnom hirurškom zahvatu zamjene kuka ili koljena </w:t>
      </w:r>
    </w:p>
    <w:p w14:paraId="164F0829" w14:textId="77777777" w:rsidR="005F7A91" w:rsidRDefault="007C7639">
      <w:pPr>
        <w:widowControl w:val="0"/>
        <w:tabs>
          <w:tab w:val="clear" w:pos="567"/>
        </w:tabs>
        <w:spacing w:line="240" w:lineRule="auto"/>
        <w:jc w:val="both"/>
        <w:rPr>
          <w:szCs w:val="22"/>
          <w:lang w:val="sl-SI" w:eastAsia="sl-SI"/>
        </w:rPr>
      </w:pPr>
      <w:r>
        <w:rPr>
          <w:szCs w:val="22"/>
          <w:lang w:val="sl-SI" w:eastAsia="sl-SI"/>
        </w:rPr>
        <w:t>Preporučena doza rivaroksabana je 10 mg uzeta oralnim putem, jednom dnevno. Prvu dozu treba primijeniti 6-10 časova poslije hirurške intervencije, pod uslovom da je uspostavljena hemostaza. Dužina trajanja terapije zavisi od individualnog rizika pacijenta od pojave venske tromboembolije, što je uslovljeno vrstom ortopedske hirurške intervencije.</w:t>
      </w:r>
    </w:p>
    <w:p w14:paraId="70F8CE9B" w14:textId="77777777" w:rsidR="005F7A91" w:rsidRDefault="007C7639">
      <w:pPr>
        <w:widowControl w:val="0"/>
        <w:numPr>
          <w:ilvl w:val="0"/>
          <w:numId w:val="4"/>
        </w:numPr>
        <w:tabs>
          <w:tab w:val="clear" w:pos="567"/>
        </w:tabs>
        <w:spacing w:line="240" w:lineRule="auto"/>
        <w:jc w:val="both"/>
        <w:rPr>
          <w:szCs w:val="22"/>
          <w:lang w:val="sl-SI" w:eastAsia="sl-SI"/>
        </w:rPr>
      </w:pPr>
      <w:r>
        <w:rPr>
          <w:szCs w:val="22"/>
          <w:lang w:val="sl-SI" w:eastAsia="sl-SI"/>
        </w:rPr>
        <w:t>Kod pacijenata koji se podvrgavaju operaciji zamjene (ugradnje) kuka, preporučuje se da terapija traje 5 nedjelja.</w:t>
      </w:r>
    </w:p>
    <w:p w14:paraId="141AF59D" w14:textId="77777777" w:rsidR="005F7A91" w:rsidRDefault="007C7639">
      <w:pPr>
        <w:widowControl w:val="0"/>
        <w:numPr>
          <w:ilvl w:val="0"/>
          <w:numId w:val="4"/>
        </w:numPr>
        <w:tabs>
          <w:tab w:val="clear" w:pos="567"/>
        </w:tabs>
        <w:spacing w:line="240" w:lineRule="auto"/>
        <w:jc w:val="both"/>
        <w:rPr>
          <w:szCs w:val="22"/>
          <w:lang w:val="sl-SI" w:eastAsia="sl-SI"/>
        </w:rPr>
      </w:pPr>
      <w:r>
        <w:rPr>
          <w:szCs w:val="22"/>
          <w:lang w:val="sl-SI" w:eastAsia="sl-SI"/>
        </w:rPr>
        <w:t xml:space="preserve">Kod pacijenata koji se podvrgavaju operaciji zamjene (ugradnje) koljena, preporučuje se da terapija traje 2 nedjelje. </w:t>
      </w:r>
    </w:p>
    <w:p w14:paraId="694D51B0" w14:textId="77777777" w:rsidR="005F7A91" w:rsidRDefault="005F7A91">
      <w:pPr>
        <w:widowControl w:val="0"/>
        <w:tabs>
          <w:tab w:val="clear" w:pos="567"/>
        </w:tabs>
        <w:spacing w:line="240" w:lineRule="auto"/>
        <w:jc w:val="both"/>
        <w:rPr>
          <w:szCs w:val="22"/>
          <w:lang w:val="sl-SI" w:eastAsia="sl-SI"/>
        </w:rPr>
      </w:pPr>
    </w:p>
    <w:p w14:paraId="5643BBFB" w14:textId="77777777" w:rsidR="005F7A91" w:rsidRDefault="007C7639">
      <w:pPr>
        <w:widowControl w:val="0"/>
        <w:tabs>
          <w:tab w:val="clear" w:pos="567"/>
        </w:tabs>
        <w:spacing w:line="240" w:lineRule="auto"/>
        <w:jc w:val="both"/>
        <w:rPr>
          <w:szCs w:val="22"/>
          <w:lang w:val="sl-SI" w:eastAsia="sl-SI"/>
        </w:rPr>
      </w:pPr>
      <w:r>
        <w:rPr>
          <w:szCs w:val="22"/>
          <w:lang w:val="sl-SI" w:eastAsia="sl-SI"/>
        </w:rPr>
        <w:t>Propuštenu dozu lijeka Xerdoxo pacijent treba smjesta da nadoknadi, a zatim da od sljedećeg dana nastavi sa uzimanjem jedne doze lijeka dnevno, kao i prije.</w:t>
      </w:r>
    </w:p>
    <w:p w14:paraId="7F8F6D5D" w14:textId="77777777" w:rsidR="005F7A91" w:rsidRDefault="005F7A91">
      <w:pPr>
        <w:widowControl w:val="0"/>
        <w:tabs>
          <w:tab w:val="clear" w:pos="567"/>
        </w:tabs>
        <w:spacing w:line="240" w:lineRule="auto"/>
        <w:jc w:val="both"/>
        <w:rPr>
          <w:rFonts w:eastAsia="Calibri"/>
          <w:szCs w:val="22"/>
          <w:lang w:val="sl-SI"/>
        </w:rPr>
      </w:pPr>
    </w:p>
    <w:p w14:paraId="3C63792E"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Liječenje TDV, liječenje PE i prevencija rekurentne TDV i PE</w:t>
      </w:r>
    </w:p>
    <w:p w14:paraId="4F2C9EDF" w14:textId="77777777" w:rsidR="005F7A91" w:rsidRDefault="007C7639">
      <w:pPr>
        <w:widowControl w:val="0"/>
        <w:tabs>
          <w:tab w:val="clear" w:pos="567"/>
        </w:tabs>
        <w:spacing w:line="240" w:lineRule="auto"/>
        <w:ind w:right="219"/>
        <w:jc w:val="both"/>
        <w:rPr>
          <w:szCs w:val="22"/>
          <w:lang w:val="sl-SI"/>
        </w:rPr>
      </w:pPr>
      <w:r>
        <w:rPr>
          <w:szCs w:val="22"/>
          <w:lang w:val="sl-SI" w:eastAsia="sl-SI"/>
        </w:rPr>
        <w:t>Preporučena doza za inicijalno liječenje akutne TDV ili PE je 15 mg dva puta na dan tokom prve tri nedjelje. Zatim se za nastavak liječenja i prevenciju rekurentne TDV i PE uzima 20 mg jednom dnevno.</w:t>
      </w:r>
    </w:p>
    <w:p w14:paraId="7DD79D96" w14:textId="77777777" w:rsidR="005F7A91" w:rsidRDefault="005F7A91">
      <w:pPr>
        <w:widowControl w:val="0"/>
        <w:tabs>
          <w:tab w:val="clear" w:pos="567"/>
        </w:tabs>
        <w:spacing w:line="240" w:lineRule="auto"/>
        <w:ind w:right="219"/>
        <w:jc w:val="both"/>
        <w:rPr>
          <w:szCs w:val="22"/>
          <w:lang w:val="sl-SI"/>
        </w:rPr>
      </w:pPr>
    </w:p>
    <w:p w14:paraId="53C575C2"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Potrebno je razmotriti kratkotrajnu terapiju (najmanje 3 mjeseca) kod pacijenata sa TDV i PE provociranima glavnim prolaznim faktorima rizika (tj. nedavnim velikim hirurškim zahvatom ili traumom). Duže trajanje liječenja potrebno je razmotriti kod pacijenata sa provociranom TDV ili PE koje nisu povezane sa glavnim prolaznim faktorima rizika, neprovociranom TDV ili PE ili rekurentnom TDV ili PE u anamnezi.</w:t>
      </w:r>
    </w:p>
    <w:p w14:paraId="59436D77" w14:textId="77777777" w:rsidR="005F7A91" w:rsidRDefault="005F7A91">
      <w:pPr>
        <w:widowControl w:val="0"/>
        <w:tabs>
          <w:tab w:val="clear" w:pos="567"/>
        </w:tabs>
        <w:spacing w:line="240" w:lineRule="auto"/>
        <w:jc w:val="both"/>
        <w:rPr>
          <w:rFonts w:eastAsia="Calibri"/>
          <w:szCs w:val="22"/>
          <w:lang w:val="sl-SI"/>
        </w:rPr>
      </w:pPr>
    </w:p>
    <w:p w14:paraId="0ACB4DD8"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Kada je indikovana produžena prevencija rekurentne TDV ili PE (nakon završetka liječenja u trajanju od najmanje 6 mjeseci zbog TDV ili PE), preporučena doza je 10 mg jednom dnevno. Kod pacijenata kod kojih se smatra da je rizik od rekurentne TDV ili PE visok, kao što su oni sa komplikovanim komorbiditetima ili kod kojih je rekurentna TDV ili PE nastala tokom produžene prevencije lijekom Xerdoxo 10 mg jednom dnevno, potrebno je razmotriti primjenu lijeka Xerdoxo u dozi od 20 mg jednom dnevno.</w:t>
      </w:r>
    </w:p>
    <w:p w14:paraId="34760241"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2E414697" w14:textId="77777777" w:rsidR="005F7A91" w:rsidRDefault="007C7639">
      <w:pPr>
        <w:shd w:val="clear" w:color="auto" w:fill="FFFFFF"/>
        <w:tabs>
          <w:tab w:val="clear" w:pos="567"/>
        </w:tabs>
        <w:spacing w:line="240" w:lineRule="auto"/>
        <w:jc w:val="both"/>
        <w:rPr>
          <w:color w:val="000000"/>
          <w:szCs w:val="22"/>
          <w:lang w:val="sl-SI" w:eastAsia="sl-SI"/>
        </w:rPr>
      </w:pPr>
      <w:r>
        <w:rPr>
          <w:szCs w:val="22"/>
          <w:lang w:val="sl-SI" w:eastAsia="sl-SI"/>
        </w:rPr>
        <w:t>Trajanje liječenja i odabir doze treba da budu individualni, nakon pažljive procjene koristi od liječenja u odnosu na rizik od krvarenja (vidjeti dio 4.4).</w:t>
      </w:r>
    </w:p>
    <w:p w14:paraId="193DD391" w14:textId="77777777" w:rsidR="005F7A91" w:rsidRDefault="005F7A91">
      <w:pPr>
        <w:shd w:val="clear" w:color="auto" w:fill="FFFFFF"/>
        <w:tabs>
          <w:tab w:val="clear" w:pos="567"/>
        </w:tabs>
        <w:spacing w:line="240" w:lineRule="auto"/>
        <w:jc w:val="both"/>
        <w:rPr>
          <w:color w:val="000000"/>
          <w:szCs w:val="22"/>
          <w:lang w:val="sl-SI" w:eastAsia="sl-SI"/>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2"/>
        <w:gridCol w:w="2409"/>
        <w:gridCol w:w="2332"/>
      </w:tblGrid>
      <w:tr w:rsidR="005F7A91" w14:paraId="3B2EAFF0" w14:textId="77777777">
        <w:tc>
          <w:tcPr>
            <w:tcW w:w="1173" w:type="pct"/>
            <w:shd w:val="clear" w:color="auto" w:fill="auto"/>
            <w:hideMark/>
          </w:tcPr>
          <w:p w14:paraId="73EA2ACE" w14:textId="77777777" w:rsidR="005F7A91" w:rsidRDefault="005F7A91">
            <w:pPr>
              <w:tabs>
                <w:tab w:val="clear" w:pos="567"/>
              </w:tabs>
              <w:spacing w:line="240" w:lineRule="auto"/>
              <w:jc w:val="both"/>
              <w:rPr>
                <w:szCs w:val="22"/>
                <w:lang w:val="sl-SI" w:eastAsia="sl-SI"/>
              </w:rPr>
            </w:pPr>
          </w:p>
        </w:tc>
        <w:tc>
          <w:tcPr>
            <w:tcW w:w="1339" w:type="pct"/>
            <w:shd w:val="clear" w:color="auto" w:fill="auto"/>
            <w:hideMark/>
          </w:tcPr>
          <w:p w14:paraId="79790576" w14:textId="77777777" w:rsidR="005F7A91" w:rsidRDefault="007C7639">
            <w:pPr>
              <w:tabs>
                <w:tab w:val="clear" w:pos="567"/>
              </w:tabs>
              <w:spacing w:line="240" w:lineRule="auto"/>
              <w:jc w:val="both"/>
              <w:rPr>
                <w:szCs w:val="22"/>
                <w:lang w:val="sl-SI" w:eastAsia="sl-SI"/>
              </w:rPr>
            </w:pPr>
            <w:r>
              <w:rPr>
                <w:b/>
                <w:bCs/>
                <w:szCs w:val="22"/>
                <w:lang w:val="sl-SI" w:eastAsia="sl-SI"/>
              </w:rPr>
              <w:t>Vremenski period</w:t>
            </w:r>
          </w:p>
        </w:tc>
        <w:tc>
          <w:tcPr>
            <w:tcW w:w="1264" w:type="pct"/>
            <w:shd w:val="clear" w:color="auto" w:fill="auto"/>
            <w:hideMark/>
          </w:tcPr>
          <w:p w14:paraId="32D37DF9" w14:textId="77777777" w:rsidR="005F7A91" w:rsidRDefault="007C7639">
            <w:pPr>
              <w:tabs>
                <w:tab w:val="clear" w:pos="567"/>
              </w:tabs>
              <w:spacing w:line="240" w:lineRule="auto"/>
              <w:jc w:val="both"/>
              <w:rPr>
                <w:szCs w:val="22"/>
                <w:lang w:val="sl-SI" w:eastAsia="sl-SI"/>
              </w:rPr>
            </w:pPr>
            <w:r>
              <w:rPr>
                <w:b/>
                <w:bCs/>
                <w:szCs w:val="22"/>
                <w:lang w:val="sl-SI" w:eastAsia="sl-SI"/>
              </w:rPr>
              <w:t>Doziranje</w:t>
            </w:r>
          </w:p>
        </w:tc>
        <w:tc>
          <w:tcPr>
            <w:tcW w:w="1224" w:type="pct"/>
            <w:shd w:val="clear" w:color="auto" w:fill="auto"/>
            <w:hideMark/>
          </w:tcPr>
          <w:p w14:paraId="769487E7" w14:textId="77777777" w:rsidR="005F7A91" w:rsidRDefault="007C7639">
            <w:pPr>
              <w:tabs>
                <w:tab w:val="clear" w:pos="567"/>
              </w:tabs>
              <w:spacing w:line="240" w:lineRule="auto"/>
              <w:jc w:val="both"/>
              <w:rPr>
                <w:szCs w:val="22"/>
                <w:lang w:val="sl-SI" w:eastAsia="sl-SI"/>
              </w:rPr>
            </w:pPr>
            <w:r>
              <w:rPr>
                <w:b/>
                <w:bCs/>
                <w:szCs w:val="22"/>
                <w:lang w:val="sl-SI" w:eastAsia="sl-SI"/>
              </w:rPr>
              <w:t>Ukupna dnevna doza</w:t>
            </w:r>
          </w:p>
        </w:tc>
      </w:tr>
      <w:tr w:rsidR="005F7A91" w14:paraId="076EC1EF" w14:textId="77777777">
        <w:tc>
          <w:tcPr>
            <w:tcW w:w="1173" w:type="pct"/>
            <w:vMerge w:val="restart"/>
            <w:shd w:val="clear" w:color="auto" w:fill="auto"/>
            <w:hideMark/>
          </w:tcPr>
          <w:p w14:paraId="09207052"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Liječenje i prevencija rekurentne TDV i PE</w:t>
            </w:r>
          </w:p>
        </w:tc>
        <w:tc>
          <w:tcPr>
            <w:tcW w:w="1339" w:type="pct"/>
            <w:shd w:val="clear" w:color="auto" w:fill="auto"/>
            <w:hideMark/>
          </w:tcPr>
          <w:p w14:paraId="3C819D02" w14:textId="77777777" w:rsidR="005F7A91" w:rsidRDefault="007C7639">
            <w:pPr>
              <w:tabs>
                <w:tab w:val="clear" w:pos="567"/>
              </w:tabs>
              <w:spacing w:line="240" w:lineRule="auto"/>
              <w:jc w:val="both"/>
              <w:rPr>
                <w:szCs w:val="22"/>
                <w:lang w:val="sl-SI" w:eastAsia="sl-SI"/>
              </w:rPr>
            </w:pPr>
            <w:r>
              <w:rPr>
                <w:szCs w:val="22"/>
                <w:lang w:val="sl-SI" w:eastAsia="sl-SI"/>
              </w:rPr>
              <w:t>1.–21. dan</w:t>
            </w:r>
          </w:p>
        </w:tc>
        <w:tc>
          <w:tcPr>
            <w:tcW w:w="1264" w:type="pct"/>
            <w:shd w:val="clear" w:color="auto" w:fill="auto"/>
            <w:hideMark/>
          </w:tcPr>
          <w:p w14:paraId="53711770" w14:textId="77777777" w:rsidR="005F7A91" w:rsidRDefault="007C7639">
            <w:pPr>
              <w:tabs>
                <w:tab w:val="clear" w:pos="567"/>
              </w:tabs>
              <w:spacing w:line="240" w:lineRule="auto"/>
              <w:jc w:val="both"/>
              <w:rPr>
                <w:szCs w:val="22"/>
                <w:lang w:val="sl-SI" w:eastAsia="sl-SI"/>
              </w:rPr>
            </w:pPr>
            <w:r>
              <w:rPr>
                <w:szCs w:val="22"/>
                <w:lang w:val="sl-SI" w:eastAsia="sl-SI"/>
              </w:rPr>
              <w:t>15 mg dva puta na dan</w:t>
            </w:r>
          </w:p>
        </w:tc>
        <w:tc>
          <w:tcPr>
            <w:tcW w:w="1224" w:type="pct"/>
            <w:shd w:val="clear" w:color="auto" w:fill="auto"/>
            <w:hideMark/>
          </w:tcPr>
          <w:p w14:paraId="349D08FE" w14:textId="77777777" w:rsidR="005F7A91" w:rsidRDefault="007C7639">
            <w:pPr>
              <w:tabs>
                <w:tab w:val="clear" w:pos="567"/>
              </w:tabs>
              <w:spacing w:line="240" w:lineRule="auto"/>
              <w:jc w:val="both"/>
              <w:rPr>
                <w:szCs w:val="22"/>
                <w:lang w:val="sl-SI" w:eastAsia="sl-SI"/>
              </w:rPr>
            </w:pPr>
            <w:r>
              <w:rPr>
                <w:szCs w:val="22"/>
                <w:lang w:val="sl-SI" w:eastAsia="sl-SI"/>
              </w:rPr>
              <w:t>30 mg</w:t>
            </w:r>
          </w:p>
        </w:tc>
      </w:tr>
      <w:tr w:rsidR="005F7A91" w14:paraId="37AF5210" w14:textId="77777777">
        <w:tc>
          <w:tcPr>
            <w:tcW w:w="1173" w:type="pct"/>
            <w:vMerge/>
            <w:shd w:val="clear" w:color="auto" w:fill="auto"/>
            <w:hideMark/>
          </w:tcPr>
          <w:p w14:paraId="3F129024" w14:textId="77777777" w:rsidR="005F7A91" w:rsidRDefault="005F7A91">
            <w:pPr>
              <w:tabs>
                <w:tab w:val="clear" w:pos="567"/>
              </w:tabs>
              <w:spacing w:line="240" w:lineRule="auto"/>
              <w:jc w:val="both"/>
              <w:rPr>
                <w:szCs w:val="22"/>
                <w:lang w:val="sl-SI" w:eastAsia="sl-SI"/>
              </w:rPr>
            </w:pPr>
          </w:p>
        </w:tc>
        <w:tc>
          <w:tcPr>
            <w:tcW w:w="1339" w:type="pct"/>
            <w:shd w:val="clear" w:color="auto" w:fill="auto"/>
            <w:hideMark/>
          </w:tcPr>
          <w:p w14:paraId="46309643" w14:textId="77777777" w:rsidR="005F7A91" w:rsidRDefault="007C7639">
            <w:pPr>
              <w:tabs>
                <w:tab w:val="clear" w:pos="567"/>
              </w:tabs>
              <w:spacing w:line="240" w:lineRule="auto"/>
              <w:jc w:val="both"/>
              <w:rPr>
                <w:szCs w:val="22"/>
                <w:lang w:val="sl-SI" w:eastAsia="sl-SI"/>
              </w:rPr>
            </w:pPr>
            <w:r>
              <w:rPr>
                <w:szCs w:val="22"/>
                <w:lang w:val="sl-SI" w:eastAsia="sl-SI"/>
              </w:rPr>
              <w:t>Od 22. dana nadalje</w:t>
            </w:r>
          </w:p>
        </w:tc>
        <w:tc>
          <w:tcPr>
            <w:tcW w:w="1264" w:type="pct"/>
            <w:shd w:val="clear" w:color="auto" w:fill="auto"/>
            <w:hideMark/>
          </w:tcPr>
          <w:p w14:paraId="5101525E" w14:textId="77777777" w:rsidR="005F7A91" w:rsidRDefault="007C7639">
            <w:pPr>
              <w:tabs>
                <w:tab w:val="clear" w:pos="567"/>
              </w:tabs>
              <w:spacing w:line="240" w:lineRule="auto"/>
              <w:jc w:val="both"/>
              <w:rPr>
                <w:szCs w:val="22"/>
                <w:lang w:val="sl-SI" w:eastAsia="sl-SI"/>
              </w:rPr>
            </w:pPr>
            <w:r>
              <w:rPr>
                <w:szCs w:val="22"/>
                <w:lang w:val="sl-SI" w:eastAsia="sl-SI"/>
              </w:rPr>
              <w:t>20 mg jednom dnevno</w:t>
            </w:r>
          </w:p>
        </w:tc>
        <w:tc>
          <w:tcPr>
            <w:tcW w:w="1224" w:type="pct"/>
            <w:shd w:val="clear" w:color="auto" w:fill="auto"/>
            <w:hideMark/>
          </w:tcPr>
          <w:p w14:paraId="3AC1CBAC" w14:textId="77777777" w:rsidR="005F7A91" w:rsidRDefault="007C7639">
            <w:pPr>
              <w:tabs>
                <w:tab w:val="clear" w:pos="567"/>
              </w:tabs>
              <w:spacing w:line="240" w:lineRule="auto"/>
              <w:jc w:val="both"/>
              <w:rPr>
                <w:szCs w:val="22"/>
                <w:lang w:val="sl-SI" w:eastAsia="sl-SI"/>
              </w:rPr>
            </w:pPr>
            <w:r>
              <w:rPr>
                <w:szCs w:val="22"/>
                <w:lang w:val="sl-SI" w:eastAsia="sl-SI"/>
              </w:rPr>
              <w:t>20 mg</w:t>
            </w:r>
          </w:p>
        </w:tc>
      </w:tr>
      <w:tr w:rsidR="005F7A91" w14:paraId="1869ECB3" w14:textId="77777777">
        <w:tc>
          <w:tcPr>
            <w:tcW w:w="1173" w:type="pct"/>
            <w:shd w:val="clear" w:color="auto" w:fill="auto"/>
            <w:hideMark/>
          </w:tcPr>
          <w:p w14:paraId="5BEBFBB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Prevencija rekurentne TDV i PE</w:t>
            </w:r>
          </w:p>
        </w:tc>
        <w:tc>
          <w:tcPr>
            <w:tcW w:w="1339" w:type="pct"/>
            <w:shd w:val="clear" w:color="auto" w:fill="auto"/>
            <w:hideMark/>
          </w:tcPr>
          <w:p w14:paraId="07247566"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Nakon završetka najmanje 6 mjeseci liječenja zbog TDV i PE</w:t>
            </w:r>
          </w:p>
        </w:tc>
        <w:tc>
          <w:tcPr>
            <w:tcW w:w="1264" w:type="pct"/>
            <w:shd w:val="clear" w:color="auto" w:fill="auto"/>
            <w:hideMark/>
          </w:tcPr>
          <w:p w14:paraId="1CB87C56" w14:textId="77777777" w:rsidR="005F7A91" w:rsidRDefault="007C7639">
            <w:pPr>
              <w:tabs>
                <w:tab w:val="clear" w:pos="567"/>
              </w:tabs>
              <w:spacing w:line="240" w:lineRule="auto"/>
              <w:jc w:val="both"/>
              <w:rPr>
                <w:szCs w:val="22"/>
                <w:lang w:val="sl-SI" w:eastAsia="sl-SI"/>
              </w:rPr>
            </w:pPr>
            <w:r>
              <w:rPr>
                <w:szCs w:val="22"/>
                <w:lang w:val="sl-SI" w:eastAsia="sl-SI"/>
              </w:rPr>
              <w:t>10 mg jednom dnevno</w:t>
            </w:r>
          </w:p>
          <w:p w14:paraId="6C869E25" w14:textId="77777777" w:rsidR="005F7A91" w:rsidRDefault="007C7639">
            <w:pPr>
              <w:tabs>
                <w:tab w:val="clear" w:pos="567"/>
              </w:tabs>
              <w:spacing w:line="240" w:lineRule="auto"/>
              <w:jc w:val="both"/>
              <w:rPr>
                <w:szCs w:val="22"/>
                <w:lang w:val="sl-SI" w:eastAsia="sl-SI"/>
              </w:rPr>
            </w:pPr>
            <w:r>
              <w:rPr>
                <w:szCs w:val="22"/>
                <w:lang w:val="sl-SI" w:eastAsia="sl-SI"/>
              </w:rPr>
              <w:t>ili 20 mg jednom dnevno</w:t>
            </w:r>
          </w:p>
        </w:tc>
        <w:tc>
          <w:tcPr>
            <w:tcW w:w="1224" w:type="pct"/>
            <w:shd w:val="clear" w:color="auto" w:fill="auto"/>
            <w:hideMark/>
          </w:tcPr>
          <w:p w14:paraId="036DE669" w14:textId="77777777" w:rsidR="005F7A91" w:rsidRDefault="007C7639">
            <w:pPr>
              <w:tabs>
                <w:tab w:val="clear" w:pos="567"/>
              </w:tabs>
              <w:spacing w:line="240" w:lineRule="auto"/>
              <w:jc w:val="both"/>
              <w:rPr>
                <w:szCs w:val="22"/>
                <w:lang w:val="sl-SI" w:eastAsia="sl-SI"/>
              </w:rPr>
            </w:pPr>
            <w:r>
              <w:rPr>
                <w:szCs w:val="22"/>
                <w:lang w:val="sl-SI" w:eastAsia="sl-SI"/>
              </w:rPr>
              <w:t>10 mg</w:t>
            </w:r>
          </w:p>
          <w:p w14:paraId="2A2CEC17" w14:textId="77777777" w:rsidR="005F7A91" w:rsidRDefault="007C7639">
            <w:pPr>
              <w:tabs>
                <w:tab w:val="clear" w:pos="567"/>
              </w:tabs>
              <w:spacing w:line="240" w:lineRule="auto"/>
              <w:jc w:val="both"/>
              <w:rPr>
                <w:szCs w:val="22"/>
                <w:lang w:val="sl-SI" w:eastAsia="sl-SI"/>
              </w:rPr>
            </w:pPr>
            <w:r>
              <w:rPr>
                <w:szCs w:val="22"/>
                <w:lang w:val="sl-SI" w:eastAsia="sl-SI"/>
              </w:rPr>
              <w:t>ili 20 mg</w:t>
            </w:r>
          </w:p>
        </w:tc>
      </w:tr>
    </w:tbl>
    <w:p w14:paraId="32AA474D" w14:textId="77777777" w:rsidR="005F7A91" w:rsidRDefault="005F7A91">
      <w:pPr>
        <w:widowControl w:val="0"/>
        <w:tabs>
          <w:tab w:val="clear" w:pos="567"/>
        </w:tabs>
        <w:spacing w:line="240" w:lineRule="auto"/>
        <w:jc w:val="both"/>
        <w:rPr>
          <w:rFonts w:eastAsia="Calibri"/>
          <w:szCs w:val="22"/>
          <w:lang w:val="sl-SI"/>
        </w:rPr>
      </w:pPr>
    </w:p>
    <w:p w14:paraId="497E1842" w14:textId="77777777" w:rsidR="005F7A91" w:rsidRDefault="007C7639">
      <w:pPr>
        <w:widowControl w:val="0"/>
        <w:tabs>
          <w:tab w:val="clear" w:pos="567"/>
        </w:tabs>
        <w:spacing w:line="240" w:lineRule="auto"/>
        <w:jc w:val="both"/>
        <w:rPr>
          <w:szCs w:val="22"/>
          <w:lang w:val="sl-SI" w:eastAsia="sl-SI"/>
        </w:rPr>
      </w:pPr>
      <w:r>
        <w:rPr>
          <w:szCs w:val="22"/>
          <w:lang w:val="sl-SI" w:eastAsia="sl-SI"/>
        </w:rPr>
        <w:t>Dostupno je pakovanje lijeka u jačini od 15 mg i 20 mg.</w:t>
      </w:r>
    </w:p>
    <w:p w14:paraId="05757A2A"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Ukoliko pacijent propusti dozu u periodu uzimanja lijeka u dozi od 15 mg dva puta na dan (od 1. do 21. dana), mora uzeti lijek Xerdoxo odmah kako bi osigurao unos od 30 mg lijeka Xerdoxo u tom danu. U tom slučaju, mogu se odjednom uzeti dvije tablete od 15 mg. Sljedećeg dana pacijent mora da nastavi da redovno uzima 15 mg dva puta na dan, kao što je preporučeno.</w:t>
      </w:r>
    </w:p>
    <w:p w14:paraId="06DC5D1A" w14:textId="77777777" w:rsidR="005F7A91" w:rsidRDefault="005F7A91">
      <w:pPr>
        <w:widowControl w:val="0"/>
        <w:tabs>
          <w:tab w:val="clear" w:pos="567"/>
        </w:tabs>
        <w:spacing w:line="240" w:lineRule="auto"/>
        <w:jc w:val="both"/>
        <w:rPr>
          <w:rFonts w:eastAsia="Calibri"/>
          <w:szCs w:val="22"/>
          <w:lang w:val="sl-SI"/>
        </w:rPr>
      </w:pPr>
    </w:p>
    <w:p w14:paraId="4EEC58A1"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Ukoliko pacijent propusti da uzme dozu u periodu uzimanja lijeka jednom dnevno, mora da uzme lijek Xerdoxo odmah i da sljedeći dan nastavi sa uzimanjem doze jednom dnevno, kao što je preporučeno. U istom danu se ne smiju uzeti 2 doze kako bi se nadoknadila propuštena doza.</w:t>
      </w:r>
    </w:p>
    <w:p w14:paraId="5C10FC71" w14:textId="77777777" w:rsidR="005F7A91" w:rsidRDefault="005F7A91">
      <w:pPr>
        <w:widowControl w:val="0"/>
        <w:tabs>
          <w:tab w:val="clear" w:pos="567"/>
        </w:tabs>
        <w:spacing w:line="240" w:lineRule="auto"/>
        <w:jc w:val="both"/>
        <w:rPr>
          <w:rFonts w:eastAsia="Calibri"/>
          <w:szCs w:val="22"/>
          <w:lang w:val="sl-SI"/>
        </w:rPr>
      </w:pPr>
    </w:p>
    <w:p w14:paraId="12B160B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Prelazak sa antagonista vitamina K (VKA) na lijek Xerdoxo</w:t>
      </w:r>
    </w:p>
    <w:p w14:paraId="39D8AC11"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Pacijenti koji su na terapiji TDV, PE i u prevenciji ponovnog javljanja, terapiju sa VKA treba da prekinu, a terapiju lijekom Xerdoxo treba da započnu kada je INR ≤ 2,5. </w:t>
      </w:r>
    </w:p>
    <w:p w14:paraId="484DE29D" w14:textId="77777777" w:rsidR="005F7A91" w:rsidRDefault="005F7A91">
      <w:pPr>
        <w:widowControl w:val="0"/>
        <w:tabs>
          <w:tab w:val="clear" w:pos="567"/>
        </w:tabs>
        <w:spacing w:line="240" w:lineRule="auto"/>
        <w:jc w:val="both"/>
        <w:rPr>
          <w:szCs w:val="22"/>
          <w:lang w:val="sl-SI" w:eastAsia="sl-SI"/>
        </w:rPr>
      </w:pPr>
    </w:p>
    <w:p w14:paraId="6EFB8416" w14:textId="77777777" w:rsidR="005F7A91" w:rsidRDefault="007C7639">
      <w:pPr>
        <w:widowControl w:val="0"/>
        <w:tabs>
          <w:tab w:val="clear" w:pos="567"/>
        </w:tabs>
        <w:spacing w:line="240" w:lineRule="auto"/>
        <w:jc w:val="both"/>
        <w:rPr>
          <w:szCs w:val="22"/>
          <w:lang w:val="sl-SI" w:eastAsia="sl-SI"/>
        </w:rPr>
      </w:pPr>
      <w:r>
        <w:rPr>
          <w:szCs w:val="22"/>
          <w:lang w:val="sl-SI" w:eastAsia="sl-SI"/>
        </w:rPr>
        <w:t>Prilikom prelaska pacijenta sa VKA na lijek Xerdoxo, INR vrijednosti će nakon unosa lijeka Xerdoxo biti lažno povećane. INR nije validna mjera za mjerenje antikoagulantne aktivnosti lijeka Xerdoxo i stoga ga ne treba koristiti (vidjeti dio 4.5).</w:t>
      </w:r>
    </w:p>
    <w:p w14:paraId="42074524" w14:textId="77777777" w:rsidR="005F7A91" w:rsidRDefault="005F7A91">
      <w:pPr>
        <w:widowControl w:val="0"/>
        <w:tabs>
          <w:tab w:val="clear" w:pos="567"/>
        </w:tabs>
        <w:spacing w:line="240" w:lineRule="auto"/>
        <w:jc w:val="both"/>
        <w:rPr>
          <w:rFonts w:eastAsia="Calibri"/>
          <w:szCs w:val="22"/>
          <w:lang w:val="sl-SI"/>
        </w:rPr>
      </w:pPr>
    </w:p>
    <w:p w14:paraId="2BF44760"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Prelazak sa lijeka Xerdoxo na antagoniste vitamina K (VKA)</w:t>
      </w:r>
    </w:p>
    <w:p w14:paraId="55630AC9"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Postoji mogućnost za neadekvatnu antikoagulaciju tokom prelaska sa lijeka Xerdoxo na VKA. Tokom prelaska na zamjenski antikoagulans potrebno je osigurati neprekidnu adekvatnu antikoagulaciju. Mora se uzeti u obzir da lijek Xerdoxo može doprinijeti povišenom INR-u.</w:t>
      </w:r>
    </w:p>
    <w:p w14:paraId="53A1A3D9"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Ako pacijent prelazi sa lijeka Xerdoxo na VKA, oba lijeka se moraju davati istovremeno dok vrijednost INR ne bude ≥ 2,0. Tokom prva dva dana perioda prelaska mora se koristiti standardno početno doziranje VKA, nakon čega slijedi doziranje VKA prema rezultatima mjerenja INR. Dok pacijenti istovremeno uzimaju lijek Xerdoxo i VKA, INR se ne smije određivati ako je prošlo manje od 24 sata od prethodne doze, nego se mora odrediti prije sljedeće doze lijeka Xerdoxo. Nakon što se lijek Xerdoxo ukine, INR se može pouzdano izmjeriti najmanje 24 sata nakon posljednje doze (vidjeti djelove 4.5 i 5.2).</w:t>
      </w:r>
    </w:p>
    <w:p w14:paraId="7B17AC12" w14:textId="77777777" w:rsidR="005F7A91" w:rsidRDefault="005F7A91">
      <w:pPr>
        <w:widowControl w:val="0"/>
        <w:tabs>
          <w:tab w:val="clear" w:pos="567"/>
        </w:tabs>
        <w:spacing w:line="240" w:lineRule="auto"/>
        <w:ind w:right="-20"/>
        <w:jc w:val="both"/>
        <w:rPr>
          <w:szCs w:val="22"/>
          <w:lang w:val="sl-SI"/>
        </w:rPr>
      </w:pPr>
    </w:p>
    <w:p w14:paraId="5631327D"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Prelazak sa parenteralnih antikoagulansa na lijek Xerdoxo</w:t>
      </w:r>
    </w:p>
    <w:p w14:paraId="386ABA4E"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Kod pacijenata koji trenutno primaju parenteralni antikoagulans, mora se prekinuti sa primjenom parenteralnog antikoagulansa i započeti sa primjenom lijeka Xerdoxo od 0 do 2 sata prije nego </w:t>
      </w:r>
      <w:r>
        <w:rPr>
          <w:szCs w:val="22"/>
          <w:lang w:val="sr-Latn-RS" w:eastAsia="sl-SI"/>
        </w:rPr>
        <w:t>što</w:t>
      </w:r>
      <w:r>
        <w:rPr>
          <w:szCs w:val="22"/>
          <w:lang w:val="sl-SI" w:eastAsia="sl-SI"/>
        </w:rPr>
        <w:t xml:space="preserve"> bi </w:t>
      </w:r>
      <w:r>
        <w:rPr>
          <w:szCs w:val="22"/>
          <w:lang w:val="sl-SI" w:eastAsia="sl-SI"/>
        </w:rPr>
        <w:lastRenderedPageBreak/>
        <w:t>bila sljedeća planirana primjena parenteralnog lijeka (npr. niskomolekularni heparini) ili u vrijeme ukidanja kontinuirano primjenjivanog parenteralnog lijeka (npr. intravenski nefrakcionisani heparin).</w:t>
      </w:r>
    </w:p>
    <w:p w14:paraId="717A1474" w14:textId="77777777" w:rsidR="005F7A91" w:rsidRDefault="005F7A91">
      <w:pPr>
        <w:widowControl w:val="0"/>
        <w:tabs>
          <w:tab w:val="clear" w:pos="567"/>
        </w:tabs>
        <w:spacing w:line="240" w:lineRule="auto"/>
        <w:jc w:val="both"/>
        <w:rPr>
          <w:rFonts w:eastAsia="Calibri"/>
          <w:szCs w:val="22"/>
          <w:lang w:val="sl-SI"/>
        </w:rPr>
      </w:pPr>
    </w:p>
    <w:p w14:paraId="736FA956"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Prelazak sa lijeka Xerdoxo na parenteralne antikoagulanse</w:t>
      </w:r>
    </w:p>
    <w:p w14:paraId="1DC04A8B"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Prva doza parenteralnog antikoagulansa mora se dati u vrijeme kada bi se uzela sljedeća doza lijeka Xerdoxo.</w:t>
      </w:r>
    </w:p>
    <w:p w14:paraId="74F88B89" w14:textId="77777777" w:rsidR="005F7A91" w:rsidRDefault="005F7A91">
      <w:pPr>
        <w:widowControl w:val="0"/>
        <w:tabs>
          <w:tab w:val="clear" w:pos="567"/>
        </w:tabs>
        <w:spacing w:line="240" w:lineRule="auto"/>
        <w:jc w:val="both"/>
        <w:rPr>
          <w:rFonts w:eastAsia="Calibri"/>
          <w:szCs w:val="22"/>
          <w:lang w:val="sl-SI"/>
        </w:rPr>
      </w:pPr>
    </w:p>
    <w:p w14:paraId="7E0E0D30"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iCs/>
          <w:color w:val="000000"/>
          <w:szCs w:val="22"/>
          <w:u w:val="single"/>
          <w:lang w:val="hr-HR" w:eastAsia="sl-SI"/>
        </w:rPr>
        <w:t>Posebne grupe pacijenata</w:t>
      </w:r>
    </w:p>
    <w:p w14:paraId="7C1CE58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Oštećenje funkcije bubrega</w:t>
      </w:r>
    </w:p>
    <w:p w14:paraId="7B9EF01E"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Ograničeni klinički podaci za pacijente sa teškim oštećenjem funkcije bubrega (klirens kreatinina 15 - 29 ml/min) ukazuju na to da su koncentracije rivaroksabana u plazmi značajno povišene. Stoga se lijek Xerdoxo kod tih pacijenata mora primjenjivati sa oprezom. Ne preporučuje se primjena lijeka kod pacijenata sa klirensom kreatinina &lt; 15 ml/min (vidjeti djelove 4.4 i 5.2).</w:t>
      </w:r>
    </w:p>
    <w:p w14:paraId="1B6E9B06"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7D3DECD9" w14:textId="77777777" w:rsidR="005F7A91" w:rsidRDefault="007C7639">
      <w:pPr>
        <w:numPr>
          <w:ilvl w:val="0"/>
          <w:numId w:val="1"/>
        </w:numPr>
        <w:tabs>
          <w:tab w:val="clear" w:pos="567"/>
          <w:tab w:val="left" w:pos="0"/>
        </w:tabs>
        <w:autoSpaceDE w:val="0"/>
        <w:autoSpaceDN w:val="0"/>
        <w:adjustRightInd w:val="0"/>
        <w:spacing w:line="240" w:lineRule="auto"/>
        <w:ind w:left="0" w:firstLine="0"/>
        <w:jc w:val="both"/>
        <w:rPr>
          <w:color w:val="000000"/>
          <w:szCs w:val="22"/>
          <w:lang w:val="sl-SI" w:eastAsia="hr-HR"/>
        </w:rPr>
      </w:pPr>
      <w:r>
        <w:rPr>
          <w:szCs w:val="22"/>
          <w:lang w:val="sl-SI" w:eastAsia="sl-SI"/>
        </w:rPr>
        <w:t>Za prevenciju VTE kod odraslih pacijenata koji se podvrgavaju elektivnom hirurškom zahvatu zamjene kuka ili koljena, nije potrebno mijenjati dozu lijeka kod pacijenata sa blagim (klirens kreatinina 50-80 ml/min) ili umjerenim oštećenjem funkcije bubrega (klirens kreatinina 30-49 ml/min) (vidjeti dio 5.2).</w:t>
      </w:r>
    </w:p>
    <w:p w14:paraId="4BB43F76" w14:textId="77777777" w:rsidR="005F7A91" w:rsidRDefault="005F7A91">
      <w:pPr>
        <w:tabs>
          <w:tab w:val="clear" w:pos="567"/>
          <w:tab w:val="left" w:pos="0"/>
        </w:tabs>
        <w:autoSpaceDE w:val="0"/>
        <w:autoSpaceDN w:val="0"/>
        <w:adjustRightInd w:val="0"/>
        <w:spacing w:line="240" w:lineRule="auto"/>
        <w:jc w:val="both"/>
        <w:rPr>
          <w:color w:val="000000"/>
          <w:szCs w:val="22"/>
          <w:lang w:val="sl-SI" w:eastAsia="hr-HR"/>
        </w:rPr>
      </w:pPr>
    </w:p>
    <w:p w14:paraId="5CF36ACE" w14:textId="77777777" w:rsidR="005F7A91" w:rsidRDefault="007C7639">
      <w:pPr>
        <w:widowControl w:val="0"/>
        <w:numPr>
          <w:ilvl w:val="0"/>
          <w:numId w:val="1"/>
        </w:numPr>
        <w:tabs>
          <w:tab w:val="clear" w:pos="567"/>
          <w:tab w:val="left" w:pos="0"/>
        </w:tabs>
        <w:spacing w:line="240" w:lineRule="auto"/>
        <w:ind w:left="0" w:firstLine="0"/>
        <w:jc w:val="both"/>
        <w:rPr>
          <w:rFonts w:eastAsia="Calibri"/>
          <w:szCs w:val="22"/>
          <w:lang w:val="sl-SI"/>
        </w:rPr>
      </w:pPr>
      <w:r>
        <w:rPr>
          <w:szCs w:val="22"/>
          <w:lang w:val="sl-SI" w:eastAsia="sl-SI"/>
        </w:rPr>
        <w:t>Za terapiju TDV, terapiju PE i prevenciju rekurentnih TDV i PE, nije potrebno mijenjati preporučenu dozu kod pacijenata sa blagim oštećenjem funkcije bubrega (klirens kreatinina 50-80 ml/min) (vidjeti dio 5.2). Kod pacijenata sa umjerenim (30-39 ml/min) ili teškim (15-29 ml/min) oštećenjem funkcije bubrega: pacijente treba liječiti sa 15 mg dva puta dnevno tokom prve 3 nedjelje. Poslije toga, kada je preporučena doza 20 mg jednom dnevno, treba razmotriti smanjenje doze sa 20 mg jednom dnevno na 15 mg jednom dnevno, ukoliko se procijeni da rizik za pojavu krvarenja prevazilazi rizik od rekurentne TDV i PE. Preporuka za primjenu 15 mg zasnovana je na farmakokinetičkom modelu i nije ispitivana u ovim kliničkim okolnostima (vidjeti djelove 4.4, 5.1 i 5.2). Kada je preporučena doza 10 mg jednom dnevno, nije potrebno dodatno prilagođavanje preporučene doze.</w:t>
      </w:r>
    </w:p>
    <w:p w14:paraId="015551FB" w14:textId="77777777" w:rsidR="005F7A91" w:rsidRDefault="005F7A91">
      <w:pPr>
        <w:widowControl w:val="0"/>
        <w:tabs>
          <w:tab w:val="clear" w:pos="567"/>
        </w:tabs>
        <w:spacing w:line="240" w:lineRule="auto"/>
        <w:jc w:val="both"/>
        <w:rPr>
          <w:rFonts w:eastAsia="Calibri"/>
          <w:szCs w:val="22"/>
          <w:lang w:val="sl-SI"/>
        </w:rPr>
      </w:pPr>
    </w:p>
    <w:p w14:paraId="4136C84D" w14:textId="77777777" w:rsidR="005F7A91" w:rsidRDefault="007C7639">
      <w:pPr>
        <w:widowControl w:val="0"/>
        <w:tabs>
          <w:tab w:val="clear" w:pos="567"/>
        </w:tabs>
        <w:spacing w:line="240" w:lineRule="auto"/>
        <w:ind w:right="-20"/>
        <w:jc w:val="both"/>
        <w:rPr>
          <w:szCs w:val="22"/>
          <w:lang w:val="sl-SI"/>
        </w:rPr>
      </w:pPr>
      <w:r>
        <w:rPr>
          <w:i/>
          <w:szCs w:val="22"/>
          <w:lang w:val="sl-SI"/>
        </w:rPr>
        <w:t>Oštećenje funkcije jetre</w:t>
      </w:r>
    </w:p>
    <w:p w14:paraId="6DAEFBB3"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Lijek Xerdoxo je kontraindikovan kod pacijenata sa bolešću jetre povezanom sa koagulopatijom i sa klinički značajnim rizikom od krvarenja, uključujući pacijnete sa cirozom jetre </w:t>
      </w:r>
      <w:r>
        <w:rPr>
          <w:i/>
          <w:szCs w:val="22"/>
          <w:lang w:val="sl-SI" w:eastAsia="sl-SI"/>
        </w:rPr>
        <w:t>Child-Pugh</w:t>
      </w:r>
      <w:r>
        <w:rPr>
          <w:szCs w:val="22"/>
          <w:lang w:val="sl-SI" w:eastAsia="sl-SI"/>
        </w:rPr>
        <w:t xml:space="preserve"> stadijuma B i C (vidjeti djelove 4.3 i 5.2).</w:t>
      </w:r>
    </w:p>
    <w:p w14:paraId="6CFB0380" w14:textId="77777777" w:rsidR="005F7A91" w:rsidRDefault="005F7A91">
      <w:pPr>
        <w:widowControl w:val="0"/>
        <w:tabs>
          <w:tab w:val="clear" w:pos="567"/>
        </w:tabs>
        <w:spacing w:line="240" w:lineRule="auto"/>
        <w:jc w:val="both"/>
        <w:rPr>
          <w:rFonts w:eastAsia="Calibri"/>
          <w:szCs w:val="22"/>
          <w:lang w:val="sl-SI"/>
        </w:rPr>
      </w:pPr>
    </w:p>
    <w:p w14:paraId="74C240E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Starija populacija</w:t>
      </w:r>
    </w:p>
    <w:p w14:paraId="5B40E46A"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Dozu ne treba prilagođavati (vidjeti dio 5.2).</w:t>
      </w:r>
    </w:p>
    <w:p w14:paraId="63879225"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62FE74E6"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Tjelesna masa</w:t>
      </w:r>
    </w:p>
    <w:p w14:paraId="56D78521"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Dozu ne treba prilagođavati (vidjeti </w:t>
      </w:r>
      <w:r>
        <w:rPr>
          <w:szCs w:val="22"/>
          <w:lang w:val="hr-HR" w:eastAsia="sl-SI"/>
        </w:rPr>
        <w:t>dio</w:t>
      </w:r>
      <w:r>
        <w:rPr>
          <w:szCs w:val="22"/>
          <w:lang w:val="sl-SI" w:eastAsia="sl-SI"/>
        </w:rPr>
        <w:t xml:space="preserve"> 5.2).</w:t>
      </w:r>
    </w:p>
    <w:p w14:paraId="251B1A35" w14:textId="77777777" w:rsidR="005F7A91" w:rsidRDefault="005F7A91">
      <w:pPr>
        <w:widowControl w:val="0"/>
        <w:tabs>
          <w:tab w:val="clear" w:pos="567"/>
        </w:tabs>
        <w:spacing w:line="240" w:lineRule="auto"/>
        <w:jc w:val="both"/>
        <w:rPr>
          <w:rFonts w:eastAsia="Calibri"/>
          <w:szCs w:val="22"/>
          <w:lang w:val="sl-SI"/>
        </w:rPr>
      </w:pPr>
    </w:p>
    <w:p w14:paraId="1BC9273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Pol</w:t>
      </w:r>
    </w:p>
    <w:p w14:paraId="0EF23928"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Dozu ne treba prilagođavati (vidjeti dio 5.2).</w:t>
      </w:r>
    </w:p>
    <w:p w14:paraId="7D8774A4"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5092B1DC"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Pedijatrijska populacija</w:t>
      </w:r>
    </w:p>
    <w:p w14:paraId="26BE2F8C"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Bezbjednost i efikasnost rivaroksabana kod djece uzrasta od 0 do 18 godina nisu ustanovljene. Nema dostupnih podataka. Stoga se primjena lijeka Xerdoxo ne preporučuje kod djece mlađe od 18 godina.</w:t>
      </w:r>
    </w:p>
    <w:p w14:paraId="6932D38A" w14:textId="77777777" w:rsidR="005F7A91" w:rsidRDefault="005F7A91">
      <w:pPr>
        <w:widowControl w:val="0"/>
        <w:tabs>
          <w:tab w:val="clear" w:pos="567"/>
        </w:tabs>
        <w:spacing w:line="240" w:lineRule="auto"/>
        <w:jc w:val="both"/>
        <w:rPr>
          <w:rFonts w:eastAsia="Calibri"/>
          <w:szCs w:val="22"/>
          <w:lang w:val="sl-SI"/>
        </w:rPr>
      </w:pPr>
    </w:p>
    <w:p w14:paraId="5DEA527D"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Način primjene</w:t>
      </w:r>
    </w:p>
    <w:p w14:paraId="016B5AD5"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Lijek Xerdoxo je namijenjen za oralnu primjenu.</w:t>
      </w:r>
    </w:p>
    <w:p w14:paraId="0E88538E"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Tablete lijeka Xerdoxo se mogu uzimati sa hranom ili bez nje (vidjeti djelove 4.5 i 5.2).</w:t>
      </w:r>
    </w:p>
    <w:p w14:paraId="1EFA2E94"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7ED9A763" w14:textId="77777777" w:rsidR="005F7A91" w:rsidRDefault="007C7639">
      <w:pPr>
        <w:widowControl w:val="0"/>
        <w:tabs>
          <w:tab w:val="clear" w:pos="567"/>
        </w:tabs>
        <w:spacing w:line="240" w:lineRule="auto"/>
        <w:jc w:val="both"/>
        <w:rPr>
          <w:i/>
          <w:iCs/>
          <w:color w:val="000000"/>
          <w:szCs w:val="22"/>
          <w:lang w:val="hr-HR" w:eastAsia="sl-SI"/>
        </w:rPr>
      </w:pPr>
      <w:r>
        <w:rPr>
          <w:i/>
          <w:iCs/>
          <w:color w:val="000000"/>
          <w:szCs w:val="22"/>
          <w:lang w:val="hr-HR" w:eastAsia="sl-SI"/>
        </w:rPr>
        <w:t xml:space="preserve">Usitnjavanje tableta </w:t>
      </w:r>
    </w:p>
    <w:p w14:paraId="7EF76B52" w14:textId="77777777" w:rsidR="005F7A91" w:rsidRDefault="007C7639">
      <w:pPr>
        <w:widowControl w:val="0"/>
        <w:tabs>
          <w:tab w:val="clear" w:pos="567"/>
        </w:tabs>
        <w:spacing w:line="240" w:lineRule="auto"/>
        <w:jc w:val="both"/>
        <w:rPr>
          <w:szCs w:val="22"/>
          <w:lang w:val="sl-SI" w:eastAsia="sl-SI"/>
        </w:rPr>
      </w:pPr>
      <w:r>
        <w:rPr>
          <w:szCs w:val="22"/>
          <w:lang w:val="sl-SI" w:eastAsia="sl-SI"/>
        </w:rPr>
        <w:t>Kod pacijenata koji ne mogu da progutaju cijelu tabletu, tableta lijeka Xerdoxo može da se usitni i pomiješa sa vodom ili kašom od jabuke, neposredno prije oralne primjene lijeka. Usitnjena tableta lijeka takođe može biti primijenjena kroz gastričnu cijev (</w:t>
      </w:r>
      <w:r>
        <w:rPr>
          <w:szCs w:val="22"/>
          <w:lang w:val="en-US"/>
        </w:rPr>
        <w:t>vidjeti djelove 5.2 i 6.6</w:t>
      </w:r>
      <w:r>
        <w:rPr>
          <w:szCs w:val="22"/>
          <w:lang w:val="sl-SI" w:eastAsia="sl-SI"/>
        </w:rPr>
        <w:t>).</w:t>
      </w:r>
    </w:p>
    <w:p w14:paraId="74DD3607" w14:textId="77777777" w:rsidR="005F7A91" w:rsidRDefault="005F7A91">
      <w:pPr>
        <w:widowControl w:val="0"/>
        <w:tabs>
          <w:tab w:val="clear" w:pos="567"/>
        </w:tabs>
        <w:spacing w:line="240" w:lineRule="auto"/>
        <w:jc w:val="both"/>
        <w:rPr>
          <w:rFonts w:eastAsia="Calibri"/>
          <w:szCs w:val="22"/>
          <w:lang w:val="sl-SI"/>
        </w:rPr>
      </w:pPr>
    </w:p>
    <w:p w14:paraId="656E9384" w14:textId="77777777" w:rsidR="005F7A91" w:rsidRDefault="007C7639">
      <w:pPr>
        <w:widowControl w:val="0"/>
        <w:spacing w:line="240" w:lineRule="auto"/>
        <w:jc w:val="both"/>
        <w:rPr>
          <w:b/>
          <w:szCs w:val="22"/>
          <w:lang w:val="sl-SI"/>
        </w:rPr>
      </w:pPr>
      <w:r>
        <w:rPr>
          <w:b/>
          <w:szCs w:val="22"/>
          <w:lang w:val="sl-SI"/>
        </w:rPr>
        <w:t>4.3</w:t>
      </w:r>
      <w:r>
        <w:rPr>
          <w:b/>
          <w:szCs w:val="22"/>
          <w:lang w:val="sl-SI"/>
        </w:rPr>
        <w:tab/>
        <w:t>Kontraindikacije</w:t>
      </w:r>
    </w:p>
    <w:p w14:paraId="5E1E1B39" w14:textId="77777777" w:rsidR="005F7A91" w:rsidRDefault="005F7A91">
      <w:pPr>
        <w:widowControl w:val="0"/>
        <w:tabs>
          <w:tab w:val="clear" w:pos="567"/>
        </w:tabs>
        <w:spacing w:line="240" w:lineRule="auto"/>
        <w:jc w:val="both"/>
        <w:rPr>
          <w:rFonts w:eastAsia="Calibri"/>
          <w:szCs w:val="22"/>
          <w:lang w:val="sl-SI"/>
        </w:rPr>
      </w:pPr>
    </w:p>
    <w:p w14:paraId="4407459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Preosjetljivost na aktivnu supstancu ili na neku od pomoćnih supstanci navedenih u dijelu 6.1.</w:t>
      </w:r>
    </w:p>
    <w:p w14:paraId="6606145D"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12481173" w14:textId="77777777" w:rsidR="005F7A91" w:rsidRDefault="007C7639">
      <w:pPr>
        <w:widowControl w:val="0"/>
        <w:tabs>
          <w:tab w:val="clear" w:pos="567"/>
        </w:tabs>
        <w:spacing w:line="240" w:lineRule="auto"/>
        <w:ind w:right="1427"/>
        <w:jc w:val="both"/>
        <w:rPr>
          <w:szCs w:val="22"/>
          <w:lang w:val="sl-SI"/>
        </w:rPr>
      </w:pPr>
      <w:r>
        <w:rPr>
          <w:szCs w:val="22"/>
          <w:lang w:val="sl-SI" w:eastAsia="sl-SI"/>
        </w:rPr>
        <w:t>Klinički značajno aktivno krvarenje.</w:t>
      </w:r>
    </w:p>
    <w:p w14:paraId="71D21E33" w14:textId="77777777" w:rsidR="005F7A91" w:rsidRDefault="005F7A91">
      <w:pPr>
        <w:widowControl w:val="0"/>
        <w:tabs>
          <w:tab w:val="clear" w:pos="567"/>
        </w:tabs>
        <w:spacing w:line="240" w:lineRule="auto"/>
        <w:ind w:right="1427"/>
        <w:jc w:val="both"/>
        <w:rPr>
          <w:szCs w:val="22"/>
          <w:lang w:val="sl-SI"/>
        </w:rPr>
      </w:pPr>
    </w:p>
    <w:p w14:paraId="24DD77ED" w14:textId="77777777" w:rsidR="005F7A91" w:rsidRDefault="007C7639">
      <w:pPr>
        <w:tabs>
          <w:tab w:val="clear" w:pos="567"/>
        </w:tabs>
        <w:autoSpaceDE w:val="0"/>
        <w:autoSpaceDN w:val="0"/>
        <w:adjustRightInd w:val="0"/>
        <w:spacing w:line="240" w:lineRule="auto"/>
        <w:jc w:val="both"/>
        <w:rPr>
          <w:rFonts w:ascii="Arial" w:hAnsi="Arial" w:cs="Arial"/>
          <w:color w:val="000000"/>
          <w:szCs w:val="22"/>
          <w:lang w:val="hr-HR" w:eastAsia="sl-SI"/>
        </w:rPr>
      </w:pPr>
      <w:r>
        <w:rPr>
          <w:color w:val="000000"/>
          <w:szCs w:val="22"/>
          <w:lang w:val="hr-HR" w:eastAsia="sl-SI"/>
        </w:rPr>
        <w:t>Lezije ili stanja sa značajnim rizikom za pojavu ozbiljnih krvarenja, kao što su postojeći ili nedavni gastrointestinalni ulkus, prisutnost malignih neoplazmi sa visokim rizikom od krvarenja, nedavna povreda mozga ili kičmene moždine, nedavni hirurški zahvat na mozgu, kičmenoj moždini ili oku, nedavno intrakranijalno krvarenje, potvrđeni ili suspektni ezofagelani variksi, arterio-venske malformacije, aneurizme krvnih sudova ili velike intraspinalne i intracerebralne vaskularne anomalije.</w:t>
      </w:r>
    </w:p>
    <w:p w14:paraId="5F4E7A11" w14:textId="77777777" w:rsidR="005F7A91" w:rsidRDefault="005F7A91">
      <w:pPr>
        <w:widowControl w:val="0"/>
        <w:tabs>
          <w:tab w:val="clear" w:pos="567"/>
        </w:tabs>
        <w:spacing w:line="240" w:lineRule="auto"/>
        <w:jc w:val="both"/>
        <w:rPr>
          <w:rFonts w:eastAsia="Calibri"/>
          <w:szCs w:val="22"/>
          <w:lang w:val="sl-SI"/>
        </w:rPr>
      </w:pPr>
    </w:p>
    <w:p w14:paraId="60ADB624"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Istovremeno liječenje sa nekim od antikoagulantnih ljekova, npr. nefrakcionisanim heparinom, niskomolekularnim heparinima (enoksaparin, dalteparin i drugi), derivatima heparina (fondaparinuks i drugi), oralnim antikoagulansima (varfarin, dabigatran eteksilat, apiksaban i drugi) osim u specifičnim situacijama kada se mijenja antikoagulantna terapija (vidjeti dio 4.2) ili kada se nefrakcionisani heparin daje u dozama potrebnim za održavanje otvorenog centralnog venskog ili arterijskog katetera (vidjeti dio 4.5).</w:t>
      </w:r>
    </w:p>
    <w:p w14:paraId="0331665D"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1930A4C0"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Bolest jetre udružena sa koagulopatijom i klinički značajnim rizikom od krvarenja, uključujući pacijente sa cirozom jetre </w:t>
      </w:r>
      <w:r>
        <w:rPr>
          <w:i/>
          <w:color w:val="000000"/>
          <w:szCs w:val="22"/>
          <w:lang w:val="hr-HR" w:eastAsia="sl-SI"/>
        </w:rPr>
        <w:t>Child-Pugh</w:t>
      </w:r>
      <w:r>
        <w:rPr>
          <w:color w:val="000000"/>
          <w:szCs w:val="22"/>
          <w:lang w:val="hr-HR" w:eastAsia="sl-SI"/>
        </w:rPr>
        <w:t xml:space="preserve"> stadijuma B i C (vidjeti dio 5.2).</w:t>
      </w:r>
    </w:p>
    <w:p w14:paraId="7A2D1E9C"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2FFC34BE"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Trudnoća i dojenje (vidjeti </w:t>
      </w:r>
      <w:r>
        <w:rPr>
          <w:szCs w:val="22"/>
          <w:lang w:val="hr-HR" w:eastAsia="sl-SI"/>
        </w:rPr>
        <w:t xml:space="preserve">dio </w:t>
      </w:r>
      <w:r>
        <w:rPr>
          <w:szCs w:val="22"/>
          <w:lang w:val="sl-SI" w:eastAsia="sl-SI"/>
        </w:rPr>
        <w:t>4.6).</w:t>
      </w:r>
    </w:p>
    <w:p w14:paraId="7980306A" w14:textId="77777777" w:rsidR="005F7A91" w:rsidRDefault="005F7A91">
      <w:pPr>
        <w:widowControl w:val="0"/>
        <w:tabs>
          <w:tab w:val="clear" w:pos="567"/>
        </w:tabs>
        <w:spacing w:line="240" w:lineRule="auto"/>
        <w:jc w:val="both"/>
        <w:rPr>
          <w:rFonts w:eastAsia="Calibri"/>
          <w:szCs w:val="22"/>
          <w:lang w:val="sl-SI"/>
        </w:rPr>
      </w:pPr>
    </w:p>
    <w:p w14:paraId="45CE5914" w14:textId="77777777" w:rsidR="005F7A91" w:rsidRDefault="007C7639">
      <w:pPr>
        <w:widowControl w:val="0"/>
        <w:spacing w:line="240" w:lineRule="auto"/>
        <w:jc w:val="both"/>
        <w:rPr>
          <w:b/>
          <w:szCs w:val="22"/>
          <w:lang w:val="sl-SI"/>
        </w:rPr>
      </w:pPr>
      <w:r>
        <w:rPr>
          <w:b/>
          <w:szCs w:val="22"/>
          <w:lang w:val="sl-SI"/>
        </w:rPr>
        <w:t>4.4</w:t>
      </w:r>
      <w:r>
        <w:rPr>
          <w:b/>
          <w:szCs w:val="22"/>
          <w:lang w:val="sl-SI"/>
        </w:rPr>
        <w:tab/>
        <w:t>Posebna upozorenja i mjere opreza pri upotrebi lijeka</w:t>
      </w:r>
    </w:p>
    <w:p w14:paraId="183C36CD" w14:textId="77777777" w:rsidR="005F7A91" w:rsidRDefault="005F7A91">
      <w:pPr>
        <w:widowControl w:val="0"/>
        <w:tabs>
          <w:tab w:val="clear" w:pos="567"/>
        </w:tabs>
        <w:spacing w:line="240" w:lineRule="auto"/>
        <w:jc w:val="both"/>
        <w:rPr>
          <w:rFonts w:eastAsia="Calibri"/>
          <w:szCs w:val="22"/>
          <w:lang w:val="sl-SI"/>
        </w:rPr>
      </w:pPr>
    </w:p>
    <w:p w14:paraId="590F047A" w14:textId="77777777" w:rsidR="005F7A91" w:rsidRDefault="007C7639">
      <w:pPr>
        <w:widowControl w:val="0"/>
        <w:tabs>
          <w:tab w:val="clear" w:pos="567"/>
        </w:tabs>
        <w:spacing w:line="240" w:lineRule="auto"/>
        <w:jc w:val="both"/>
        <w:rPr>
          <w:szCs w:val="22"/>
          <w:lang w:val="sl-SI" w:eastAsia="sl-SI"/>
        </w:rPr>
      </w:pPr>
      <w:r>
        <w:rPr>
          <w:szCs w:val="22"/>
          <w:lang w:val="sl-SI" w:eastAsia="sl-SI"/>
        </w:rPr>
        <w:t>Preporučuje se klinički nadzor u skladu sa antikoagulacionom praksom tokom trajanja čitave terapije.</w:t>
      </w:r>
    </w:p>
    <w:p w14:paraId="302BAA64" w14:textId="77777777" w:rsidR="005F7A91" w:rsidRDefault="005F7A91">
      <w:pPr>
        <w:widowControl w:val="0"/>
        <w:tabs>
          <w:tab w:val="clear" w:pos="567"/>
        </w:tabs>
        <w:spacing w:line="240" w:lineRule="auto"/>
        <w:jc w:val="both"/>
        <w:rPr>
          <w:szCs w:val="22"/>
          <w:lang w:val="sl-SI"/>
        </w:rPr>
      </w:pPr>
    </w:p>
    <w:p w14:paraId="163491A7"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Rizik od krvarenja</w:t>
      </w:r>
    </w:p>
    <w:p w14:paraId="79C4668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Kao i sa drugim antikoagulansima, kod pacijenata koji uzimaju lijek Xerdoxo mora se paziti na znakove krvarenja. Preporučuje se njegova pažljiva primjena u stanjima sa povišenim rizikom od krvarenja. Primjena lijeka Xerdoxo mora se prekinuti ako se pojavi ozbiljno krvarenje (vidjeti dio 4.9).</w:t>
      </w:r>
    </w:p>
    <w:p w14:paraId="7E9EC925"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2C978AF3"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U kliničkim ispitivanjima krvarenje mukoza (tj. epistaksa, krvarenje desni, gastrointestinalno krvarenje i genitourinarno krvarenje uključujući abnormalno vaginalno ili pojačano menstrualno krvarenje) i anemija zabilježeni su češće tokom dugotrajnog liječenja rivaroksabanom u poređenju sa liječenjem VKA. Stoga, osim adekvatnog kliničkog praćenja, laboratorijsko određivanje hemoglobina/hematokrita može biti značajno za otkrivanje okultnog krvarenja i određivanje kliničkog značaja vidljivog krvarenja, kada se to procijeni odgovarajućim.</w:t>
      </w:r>
    </w:p>
    <w:p w14:paraId="4CBA6584"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25D55F9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Kako je detaljnije prikazano u daljem tekstu, kod više podgrupa pacijenata postoji povećan rizik od krvarenja. Kod tih pacijenata treba pažljivo pratiti pratiti pojavu znakova i simptoma komplikacija zbog krvarenja i anemije nakon započinjanja terapije (vidjeti dio 4.8). </w:t>
      </w:r>
      <w:r>
        <w:rPr>
          <w:color w:val="000000"/>
          <w:szCs w:val="22"/>
          <w:lang w:val="sl-SI" w:eastAsia="sl-SI"/>
        </w:rPr>
        <w:t>Kod pacijenata koji uzimaju lijek Xerdoxo za prevenciju VTE poslije elektivnog hirurškog zahvata koljena ili kuka, to se može postići redovnim pregledima pacijenata, temeljnom kontrolom drenaže hirurške rane i povremenim mjerenjem koncentracije hemoglobina.</w:t>
      </w:r>
    </w:p>
    <w:p w14:paraId="05C1914F"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Kod svakog neobjašnjivog pada vrijednosti hemoglobina ili krvnog pritiska potrebno je potražiti mjesto krvarenja.</w:t>
      </w:r>
    </w:p>
    <w:p w14:paraId="6DF02890"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3151043D" w14:textId="77777777" w:rsidR="005F7A91" w:rsidRDefault="007C7639">
      <w:pPr>
        <w:tabs>
          <w:tab w:val="clear" w:pos="567"/>
        </w:tabs>
        <w:autoSpaceDE w:val="0"/>
        <w:autoSpaceDN w:val="0"/>
        <w:adjustRightInd w:val="0"/>
        <w:spacing w:line="240" w:lineRule="auto"/>
        <w:jc w:val="both"/>
        <w:rPr>
          <w:color w:val="000000"/>
          <w:szCs w:val="22"/>
          <w:lang w:val="sl-SI" w:eastAsia="sl-SI"/>
        </w:rPr>
      </w:pPr>
      <w:r>
        <w:rPr>
          <w:color w:val="000000"/>
          <w:szCs w:val="22"/>
          <w:lang w:val="sl-SI" w:eastAsia="sl-SI"/>
        </w:rPr>
        <w:t xml:space="preserve">Iako terapija rivaroksabanom ne zahtijeva rutinski monitoring izloženosti lijeku, koncentracije rivaroksabana mjerene kalibrisanom kvantitativnom metodom za anti-faktor Xa mogu biti od koristi u izuzetnim situacijama gdje znanje o izloženosti rivaroksabanu može pomoći kao informacija u kliničkom odlučivanju, npr. kod predoziranja ili stanja koja zahtijevaju urgentnu hiruršku intervenciju (vidjeti djelove 5.1 i 5.2). </w:t>
      </w:r>
    </w:p>
    <w:p w14:paraId="0C1C6F9B" w14:textId="77777777" w:rsidR="005F7A91" w:rsidRDefault="005F7A91">
      <w:pPr>
        <w:tabs>
          <w:tab w:val="clear" w:pos="567"/>
        </w:tabs>
        <w:autoSpaceDE w:val="0"/>
        <w:autoSpaceDN w:val="0"/>
        <w:adjustRightInd w:val="0"/>
        <w:spacing w:line="240" w:lineRule="auto"/>
        <w:jc w:val="both"/>
        <w:rPr>
          <w:color w:val="000000"/>
          <w:sz w:val="24"/>
          <w:szCs w:val="24"/>
          <w:lang w:val="sl-SI" w:eastAsia="sl-SI"/>
        </w:rPr>
      </w:pPr>
    </w:p>
    <w:p w14:paraId="39F23FD0"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Oštećenje funkcije bubrega</w:t>
      </w:r>
    </w:p>
    <w:p w14:paraId="1D86D260"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Kod pacijenata sa teškim oštećenjem funkcije bubrega (klirens kreatinina &lt; 30 ml/min) mogu se značajno povećati koncentracije rivaroksabana u plazmi (prosječno 1,6 puta), što može dovesti do </w:t>
      </w:r>
      <w:r>
        <w:rPr>
          <w:szCs w:val="22"/>
          <w:lang w:val="sl-SI" w:eastAsia="sl-SI"/>
        </w:rPr>
        <w:lastRenderedPageBreak/>
        <w:t>povećanog rizika od krvarenja. Lijek Xerdoxo se mora primjenjivati sa oprezom kod pacijenata sa klirensom kreatinina 15 – 29 ml/min. Primjena lijeka se ne preporučuje kod pacijenata sa klirensom kreatinina &lt; 15 ml/min (vidjeti djelove 4.2 i 5.2). Lijek Xerdoxo treba oprezno primjenjivati kod pacijenata sa umjereno oštećenom funkcijom bubrega (klirens kreatinina 30-49 ml/min) ukoliko oni istovremeno primaju druge ljekove koji povećavaju koncentracije rivaroksabana u plazmi (vidjeti dio 4.5).</w:t>
      </w:r>
    </w:p>
    <w:p w14:paraId="58416F1C" w14:textId="77777777" w:rsidR="005F7A91" w:rsidRDefault="005F7A91">
      <w:pPr>
        <w:widowControl w:val="0"/>
        <w:tabs>
          <w:tab w:val="clear" w:pos="567"/>
        </w:tabs>
        <w:spacing w:line="240" w:lineRule="auto"/>
        <w:jc w:val="both"/>
        <w:rPr>
          <w:rFonts w:eastAsia="Calibri"/>
          <w:szCs w:val="22"/>
          <w:lang w:val="sl-SI"/>
        </w:rPr>
      </w:pPr>
    </w:p>
    <w:p w14:paraId="615074E3"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Interakcije sa drugim ljekovima</w:t>
      </w:r>
    </w:p>
    <w:p w14:paraId="66A121FF"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Primjena lijeka Xerdoxo se ne preporučuje kod pacijenata koji istovremeno primaju azolne antimikotike za sistemsku primjenu (kao što su ketokonazol, itrakonazol, vorikonazol i posakonazol) ili inhibitore HIV proteaze (npr. ritonavir). Te aktivne supstance su snažni inhibitori CYP3A4 i P-gp, pa stoga mogu klinički značajno povećati koncentraciju rivaroksabana u plazmi (prosječno 2,6 puta), što može dovesti do povećanog rizika od krvarenja (vidjeti </w:t>
      </w:r>
      <w:r>
        <w:rPr>
          <w:szCs w:val="22"/>
          <w:lang w:val="hr-HR" w:eastAsia="sl-SI"/>
        </w:rPr>
        <w:t xml:space="preserve">dio </w:t>
      </w:r>
      <w:r>
        <w:rPr>
          <w:szCs w:val="22"/>
          <w:lang w:val="sl-SI" w:eastAsia="sl-SI"/>
        </w:rPr>
        <w:t>4.5).</w:t>
      </w:r>
    </w:p>
    <w:p w14:paraId="4EA2254D" w14:textId="77777777" w:rsidR="005F7A91" w:rsidRDefault="005F7A91">
      <w:pPr>
        <w:widowControl w:val="0"/>
        <w:tabs>
          <w:tab w:val="clear" w:pos="567"/>
        </w:tabs>
        <w:spacing w:line="240" w:lineRule="auto"/>
        <w:jc w:val="both"/>
        <w:rPr>
          <w:rFonts w:eastAsia="Calibri"/>
          <w:szCs w:val="22"/>
          <w:lang w:val="sl-SI"/>
        </w:rPr>
      </w:pPr>
    </w:p>
    <w:p w14:paraId="3D7DE9DE"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Neophodan je oprez ako su pacijenti istovremeno liječeni ljekovima koji utiču na hemostazu, kao što su nesteroidni antiinflamatorni ljekovi (NSAIL), acetilsalicilna kiselina i inhibitori agregacije trombocita ili selektivni inhibitori ponovnog preuzimanja serotonina (SSRI) i inhibitori ponovnog preuzimanja serotonina i noradrenalina (SNRI). Kod pacijenata koji imaju rizik od razvoja ulcerozne gastrointestinalne bolesti potrebno je razmotriti uvođenje odgovarajuće profilaktičke terapije (vidjeti dio 4.5).</w:t>
      </w:r>
    </w:p>
    <w:p w14:paraId="2281BCE5" w14:textId="77777777" w:rsidR="005F7A91" w:rsidRDefault="005F7A91">
      <w:pPr>
        <w:widowControl w:val="0"/>
        <w:tabs>
          <w:tab w:val="clear" w:pos="567"/>
        </w:tabs>
        <w:spacing w:line="240" w:lineRule="auto"/>
        <w:jc w:val="both"/>
        <w:rPr>
          <w:rFonts w:eastAsia="Calibri"/>
          <w:szCs w:val="22"/>
          <w:lang w:val="sl-SI"/>
        </w:rPr>
      </w:pPr>
    </w:p>
    <w:p w14:paraId="66386F76"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Ostali faktori rizika za pojavu krvarenja</w:t>
      </w:r>
    </w:p>
    <w:p w14:paraId="1E18ECA4"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Kao i druga antikoagulantna sredstva, rivaroksaban se ne preporučuje kod pacijenata sa povećanim rizikom od krvarenja, kao što su pacijenti sa:</w:t>
      </w:r>
    </w:p>
    <w:p w14:paraId="3D3B2333" w14:textId="77777777" w:rsidR="005F7A91" w:rsidRDefault="007C7639">
      <w:pPr>
        <w:numPr>
          <w:ilvl w:val="1"/>
          <w:numId w:val="2"/>
        </w:numPr>
        <w:tabs>
          <w:tab w:val="clear" w:pos="567"/>
        </w:tabs>
        <w:autoSpaceDE w:val="0"/>
        <w:autoSpaceDN w:val="0"/>
        <w:adjustRightInd w:val="0"/>
        <w:spacing w:line="240" w:lineRule="auto"/>
        <w:ind w:left="567" w:hanging="567"/>
        <w:jc w:val="both"/>
        <w:rPr>
          <w:color w:val="000000"/>
          <w:szCs w:val="22"/>
          <w:lang w:val="hr-HR" w:eastAsia="sl-SI"/>
        </w:rPr>
      </w:pPr>
      <w:r>
        <w:rPr>
          <w:color w:val="000000"/>
          <w:szCs w:val="22"/>
          <w:lang w:val="hr-HR" w:eastAsia="sl-SI"/>
        </w:rPr>
        <w:t>urođenim ili stečenim poremećajima krvarenja,</w:t>
      </w:r>
    </w:p>
    <w:p w14:paraId="20C22A47" w14:textId="77777777" w:rsidR="005F7A91" w:rsidRDefault="007C7639">
      <w:pPr>
        <w:numPr>
          <w:ilvl w:val="1"/>
          <w:numId w:val="2"/>
        </w:numPr>
        <w:tabs>
          <w:tab w:val="clear" w:pos="567"/>
        </w:tabs>
        <w:autoSpaceDE w:val="0"/>
        <w:autoSpaceDN w:val="0"/>
        <w:adjustRightInd w:val="0"/>
        <w:spacing w:line="240" w:lineRule="auto"/>
        <w:ind w:left="567" w:hanging="567"/>
        <w:jc w:val="both"/>
        <w:rPr>
          <w:color w:val="000000"/>
          <w:szCs w:val="22"/>
          <w:lang w:val="hr-HR" w:eastAsia="sl-SI"/>
        </w:rPr>
      </w:pPr>
      <w:r>
        <w:rPr>
          <w:color w:val="000000"/>
          <w:szCs w:val="22"/>
          <w:lang w:val="hr-HR" w:eastAsia="sl-SI"/>
        </w:rPr>
        <w:t>nekontrolisanom teškom arterijskom hipertenzijom,</w:t>
      </w:r>
    </w:p>
    <w:p w14:paraId="53DCBBF6" w14:textId="77777777" w:rsidR="005F7A91" w:rsidRDefault="007C7639">
      <w:pPr>
        <w:numPr>
          <w:ilvl w:val="1"/>
          <w:numId w:val="2"/>
        </w:numPr>
        <w:tabs>
          <w:tab w:val="clear" w:pos="567"/>
        </w:tabs>
        <w:autoSpaceDE w:val="0"/>
        <w:autoSpaceDN w:val="0"/>
        <w:adjustRightInd w:val="0"/>
        <w:spacing w:line="240" w:lineRule="auto"/>
        <w:ind w:left="567" w:hanging="567"/>
        <w:jc w:val="both"/>
        <w:rPr>
          <w:color w:val="000000"/>
          <w:szCs w:val="22"/>
          <w:lang w:val="hr-HR" w:eastAsia="sl-SI"/>
        </w:rPr>
      </w:pPr>
      <w:r>
        <w:rPr>
          <w:color w:val="000000"/>
          <w:szCs w:val="22"/>
          <w:lang w:val="hr-HR" w:eastAsia="sl-SI"/>
        </w:rPr>
        <w:t>drugom gastrointestinalnom bolešću bez aktivnog ulkusa koja može dovesti do komplikacija sa krvarenjem (npr. zapaljenska bolest crijeva, ezofagitis, gastritis i gastroezofagealna refluksna bolest),</w:t>
      </w:r>
    </w:p>
    <w:p w14:paraId="5623A1DC" w14:textId="77777777" w:rsidR="005F7A91" w:rsidRDefault="007C7639">
      <w:pPr>
        <w:numPr>
          <w:ilvl w:val="1"/>
          <w:numId w:val="2"/>
        </w:numPr>
        <w:tabs>
          <w:tab w:val="clear" w:pos="567"/>
        </w:tabs>
        <w:autoSpaceDE w:val="0"/>
        <w:autoSpaceDN w:val="0"/>
        <w:adjustRightInd w:val="0"/>
        <w:spacing w:line="240" w:lineRule="auto"/>
        <w:ind w:left="567" w:hanging="567"/>
        <w:jc w:val="both"/>
        <w:rPr>
          <w:color w:val="000000"/>
          <w:szCs w:val="22"/>
          <w:lang w:val="hr-HR" w:eastAsia="sl-SI"/>
        </w:rPr>
      </w:pPr>
      <w:r>
        <w:rPr>
          <w:color w:val="000000"/>
          <w:szCs w:val="22"/>
          <w:lang w:val="hr-HR" w:eastAsia="sl-SI"/>
        </w:rPr>
        <w:t>vaskularnom retinopatijom,</w:t>
      </w:r>
    </w:p>
    <w:p w14:paraId="3005586E" w14:textId="77777777" w:rsidR="005F7A91" w:rsidRDefault="007C7639">
      <w:pPr>
        <w:numPr>
          <w:ilvl w:val="1"/>
          <w:numId w:val="2"/>
        </w:numPr>
        <w:tabs>
          <w:tab w:val="clear" w:pos="567"/>
        </w:tabs>
        <w:autoSpaceDE w:val="0"/>
        <w:autoSpaceDN w:val="0"/>
        <w:adjustRightInd w:val="0"/>
        <w:spacing w:line="240" w:lineRule="auto"/>
        <w:ind w:left="567" w:hanging="567"/>
        <w:jc w:val="both"/>
        <w:rPr>
          <w:color w:val="000000"/>
          <w:szCs w:val="22"/>
          <w:lang w:val="hr-HR" w:eastAsia="sl-SI"/>
        </w:rPr>
      </w:pPr>
      <w:r>
        <w:rPr>
          <w:color w:val="000000"/>
          <w:szCs w:val="22"/>
          <w:lang w:val="hr-HR" w:eastAsia="sl-SI"/>
        </w:rPr>
        <w:t>bronhiektazijama ili anamnezom plućnog krvarenja.</w:t>
      </w:r>
    </w:p>
    <w:p w14:paraId="581E2FD4" w14:textId="77777777" w:rsidR="005F7A91" w:rsidRDefault="005F7A91">
      <w:pPr>
        <w:widowControl w:val="0"/>
        <w:tabs>
          <w:tab w:val="clear" w:pos="567"/>
        </w:tabs>
        <w:spacing w:line="240" w:lineRule="auto"/>
        <w:rPr>
          <w:szCs w:val="22"/>
          <w:lang w:val="sl-SI" w:eastAsia="sl-SI"/>
        </w:rPr>
      </w:pPr>
    </w:p>
    <w:p w14:paraId="191DB6E1" w14:textId="77777777" w:rsidR="005F7A91" w:rsidRDefault="007C7639">
      <w:pPr>
        <w:tabs>
          <w:tab w:val="clear" w:pos="567"/>
        </w:tabs>
        <w:autoSpaceDE w:val="0"/>
        <w:autoSpaceDN w:val="0"/>
        <w:adjustRightInd w:val="0"/>
        <w:spacing w:line="240" w:lineRule="auto"/>
        <w:jc w:val="both"/>
        <w:rPr>
          <w:color w:val="000000"/>
          <w:szCs w:val="22"/>
          <w:u w:val="single"/>
          <w:lang w:val="sr-Latn-ME" w:eastAsia="sl-SI"/>
        </w:rPr>
      </w:pPr>
      <w:r>
        <w:rPr>
          <w:color w:val="000000"/>
          <w:szCs w:val="22"/>
          <w:u w:val="single"/>
          <w:lang w:val="sr-Latn-ME" w:eastAsia="sl-SI"/>
        </w:rPr>
        <w:t>Pacijenti sa karcinomom</w:t>
      </w:r>
    </w:p>
    <w:p w14:paraId="23FD8791" w14:textId="77777777" w:rsidR="005F7A91" w:rsidRDefault="007C7639">
      <w:pPr>
        <w:tabs>
          <w:tab w:val="clear" w:pos="567"/>
        </w:tabs>
        <w:autoSpaceDE w:val="0"/>
        <w:autoSpaceDN w:val="0"/>
        <w:adjustRightInd w:val="0"/>
        <w:spacing w:line="240" w:lineRule="auto"/>
        <w:jc w:val="both"/>
        <w:rPr>
          <w:color w:val="000000"/>
          <w:szCs w:val="22"/>
          <w:lang w:val="en-US" w:eastAsia="sl-SI"/>
        </w:rPr>
      </w:pPr>
      <w:r>
        <w:rPr>
          <w:color w:val="000000"/>
          <w:szCs w:val="22"/>
          <w:lang w:val="en-US" w:eastAsia="sl-SI"/>
        </w:rPr>
        <w:t>Pacijenti sa malignim oboljenjima mogu istovremeno imati povišen rizik i od krvarenja i od tromboze. Procjenu nadilazi li korist antitrombotske terapije rizik od krvarenja potrebno je sprovesti zasebno za svakog pacijenta s aktivnom malignom bolešću, a zavisno od lokacije tumora, antineoplastične terapije i stadijuma bolesti. Tumori locirani u gastrointestinalnom ili genitourinarnom traktu bili su povezani s povišenim rizikom od krvarenja tokom terapije rivaroksabanom. Kod pacijenata sa malignim neoplazmama s visokim rizikom od krvarenja, primjena rivaroksabana je kontraindikovana (vidjeti dio 4.3)</w:t>
      </w:r>
    </w:p>
    <w:p w14:paraId="5046977F" w14:textId="77777777" w:rsidR="005F7A91" w:rsidRDefault="005F7A91">
      <w:pPr>
        <w:tabs>
          <w:tab w:val="clear" w:pos="567"/>
        </w:tabs>
        <w:autoSpaceDE w:val="0"/>
        <w:autoSpaceDN w:val="0"/>
        <w:adjustRightInd w:val="0"/>
        <w:spacing w:line="240" w:lineRule="auto"/>
        <w:jc w:val="both"/>
        <w:rPr>
          <w:color w:val="000000"/>
          <w:szCs w:val="22"/>
          <w:lang w:val="en-US" w:eastAsia="sl-SI"/>
        </w:rPr>
      </w:pPr>
    </w:p>
    <w:p w14:paraId="3F2ECA77"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Pacijenti sa vještačkim srčanim zaliscima</w:t>
      </w:r>
    </w:p>
    <w:p w14:paraId="0119FD38"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Rivaroksaban se ne smije primjenjivati za tromboprofilaksu kod pacijenata koji su nedavno podvrgnuti transkateterskoj zamjeni aortnog zaliska (eng. </w:t>
      </w:r>
      <w:r>
        <w:rPr>
          <w:i/>
          <w:iCs/>
          <w:szCs w:val="22"/>
          <w:lang w:val="sl-SI" w:eastAsia="sl-SI"/>
        </w:rPr>
        <w:t>transcatheter aortic valve replacement</w:t>
      </w:r>
      <w:r>
        <w:rPr>
          <w:szCs w:val="22"/>
          <w:lang w:val="sl-SI" w:eastAsia="sl-SI"/>
        </w:rPr>
        <w:t xml:space="preserve"> – TAVR). Bezbjednost i efikasnost rivaroksabana nisu ispitivane kod pacijenata sa vještačkim srčanim zaliscima, stoga nema podataka u prilog tome da rivaroksaban osigurava adekvatnu antikoagulaciju kod ove populacije pacijenata. Liječenje lijekom Xerdoxo se ne preporučuje kod tih pacijenata.</w:t>
      </w:r>
    </w:p>
    <w:p w14:paraId="5D13F37B" w14:textId="77777777" w:rsidR="005F7A91" w:rsidRDefault="005F7A91">
      <w:pPr>
        <w:widowControl w:val="0"/>
        <w:tabs>
          <w:tab w:val="clear" w:pos="567"/>
        </w:tabs>
        <w:spacing w:line="240" w:lineRule="auto"/>
        <w:jc w:val="both"/>
        <w:rPr>
          <w:rFonts w:eastAsia="Calibri"/>
          <w:szCs w:val="22"/>
          <w:lang w:val="sl-SI"/>
        </w:rPr>
      </w:pPr>
    </w:p>
    <w:p w14:paraId="6170A0FB"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Pacijenti sa antifosfolipidnim sindromom</w:t>
      </w:r>
    </w:p>
    <w:p w14:paraId="38DCA6AF" w14:textId="77777777" w:rsidR="005F7A91" w:rsidRDefault="007C7639">
      <w:pPr>
        <w:widowControl w:val="0"/>
        <w:tabs>
          <w:tab w:val="clear" w:pos="567"/>
        </w:tabs>
        <w:spacing w:line="240" w:lineRule="auto"/>
        <w:jc w:val="both"/>
        <w:rPr>
          <w:szCs w:val="22"/>
          <w:lang w:val="sl-SI"/>
        </w:rPr>
      </w:pPr>
      <w:r>
        <w:rPr>
          <w:szCs w:val="22"/>
          <w:lang w:val="sl-SI" w:eastAsia="sl-SI"/>
        </w:rPr>
        <w:t xml:space="preserve">Direktno djelujući oralni antikoagulansi (eng. </w:t>
      </w:r>
      <w:r>
        <w:rPr>
          <w:i/>
          <w:iCs/>
          <w:szCs w:val="22"/>
          <w:lang w:val="sl-SI" w:eastAsia="sl-SI"/>
        </w:rPr>
        <w:t>direct acting oral anticoagulants</w:t>
      </w:r>
      <w:r>
        <w:rPr>
          <w:szCs w:val="22"/>
          <w:lang w:val="sl-SI" w:eastAsia="sl-SI"/>
        </w:rPr>
        <w:t xml:space="preserve"> – DOAC), uključujući rivaroksaban, ne preporučuju se pacijentima koji u anamnezi imaju trombozu, a postavljena im je dijagnoza antifosfolipidnog sindroma. Posebno se ne preporučuju kod pacijenata koji su trostruko pozitivni (na lupus antikoagulans, antikardiolipinska antitijela i anti-beta2-glikoprotein-I antitijela), kod kojih bi liječenje direktno djelujućim oralnim antikoagulansima moglo biti povezano sa povećanom stopom rekurentnih trombotičkih događaja u poređenju sa terapijom VKA.</w:t>
      </w:r>
    </w:p>
    <w:p w14:paraId="03F357D4" w14:textId="77777777" w:rsidR="005F7A91" w:rsidRDefault="005F7A91">
      <w:pPr>
        <w:widowControl w:val="0"/>
        <w:tabs>
          <w:tab w:val="clear" w:pos="567"/>
        </w:tabs>
        <w:spacing w:line="240" w:lineRule="auto"/>
        <w:jc w:val="both"/>
        <w:rPr>
          <w:szCs w:val="22"/>
          <w:lang w:val="sl-SI"/>
        </w:rPr>
      </w:pPr>
    </w:p>
    <w:p w14:paraId="297D01BC" w14:textId="77777777" w:rsidR="005F7A91" w:rsidRDefault="007C7639">
      <w:pPr>
        <w:widowControl w:val="0"/>
        <w:tabs>
          <w:tab w:val="clear" w:pos="567"/>
        </w:tabs>
        <w:spacing w:line="240" w:lineRule="auto"/>
        <w:jc w:val="both"/>
        <w:rPr>
          <w:szCs w:val="22"/>
          <w:u w:val="single"/>
          <w:lang w:val="sl-SI" w:eastAsia="sl-SI"/>
        </w:rPr>
      </w:pPr>
      <w:r>
        <w:rPr>
          <w:szCs w:val="22"/>
          <w:u w:val="single"/>
          <w:lang w:val="sl-SI" w:eastAsia="sl-SI"/>
        </w:rPr>
        <w:t>Hirurški zahvat zbog preloma kuka</w:t>
      </w:r>
    </w:p>
    <w:p w14:paraId="3BB85919" w14:textId="77777777" w:rsidR="005F7A91" w:rsidRDefault="007C7639">
      <w:pPr>
        <w:widowControl w:val="0"/>
        <w:tabs>
          <w:tab w:val="clear" w:pos="567"/>
        </w:tabs>
        <w:spacing w:line="240" w:lineRule="auto"/>
        <w:jc w:val="both"/>
        <w:rPr>
          <w:szCs w:val="22"/>
          <w:lang w:val="sl-SI" w:eastAsia="sl-SI"/>
        </w:rPr>
      </w:pPr>
      <w:r>
        <w:rPr>
          <w:szCs w:val="22"/>
          <w:lang w:val="sl-SI" w:eastAsia="sl-SI"/>
        </w:rPr>
        <w:lastRenderedPageBreak/>
        <w:t xml:space="preserve">Primjena rivaroksabana nije ispitivana u interventnim kliničkim ispitivanjima u kojima bi bila utvrđena efikasnost i bezbjednost lijeka kod pacijenata koji se podvrgavaju hirurškom zbrinjavanju zbog preloma kuka. </w:t>
      </w:r>
    </w:p>
    <w:p w14:paraId="2A3ED8B8" w14:textId="77777777" w:rsidR="005F7A91" w:rsidRDefault="005F7A91">
      <w:pPr>
        <w:widowControl w:val="0"/>
        <w:tabs>
          <w:tab w:val="clear" w:pos="567"/>
        </w:tabs>
        <w:spacing w:line="240" w:lineRule="auto"/>
        <w:jc w:val="both"/>
        <w:rPr>
          <w:rFonts w:eastAsia="Calibri"/>
          <w:szCs w:val="22"/>
          <w:lang w:val="sl-SI"/>
        </w:rPr>
      </w:pPr>
    </w:p>
    <w:p w14:paraId="480CCD01"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Hemodinamski nestabilni pacijenti sa PE ili pacijenti čije stanje zahtijeva trombolizu ili pulmonalnu embolektomiju</w:t>
      </w:r>
    </w:p>
    <w:p w14:paraId="2E21881D"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Lijek Xerdoxo se ne preporučuje kao alternativa nefrakcionisanom heparinu kod pacijenata sa PE koji su hemodinamiski nestabilni ili bi mogli dobiti trombolizu ili pulmonalnu embolektomiju, jer bezbjednost i efikasnost rivaroksabana u tim kliničkim situacijama nisu potvrđene.</w:t>
      </w:r>
    </w:p>
    <w:p w14:paraId="576F97D3" w14:textId="77777777" w:rsidR="005F7A91" w:rsidRDefault="005F7A91">
      <w:pPr>
        <w:widowControl w:val="0"/>
        <w:tabs>
          <w:tab w:val="clear" w:pos="567"/>
        </w:tabs>
        <w:spacing w:line="240" w:lineRule="auto"/>
        <w:jc w:val="both"/>
        <w:rPr>
          <w:rFonts w:eastAsia="Calibri"/>
          <w:szCs w:val="22"/>
          <w:lang w:val="sl-SI"/>
        </w:rPr>
      </w:pPr>
    </w:p>
    <w:p w14:paraId="6F206AF1"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Spinalna/epiduralna anestezija ili punkcija</w:t>
      </w:r>
    </w:p>
    <w:p w14:paraId="49B391F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Pri izvođenju neuroaksijalne anestezije (spinalna/epiduralna anestezija) ili spinalne/epiduralne punkcije, pacijenti koji primaju antitrombotike za prevenciju tromboembolijskih komplikacija izloženi su riziku od pojave epiduralnog ili spinalnog hematoma, koji mogu dovesti do dugotrajne ili trajne paralize. Rizik od tih događaja može se povećati postoperativnim korišćenjem trajnih epiduralnih katetera ili istovremenom primjenom ljekova koji utiču na hemostazu. Rizik se može povećati i zbog traumatske ili ponavljane epiduralne ili spinalne punkcije. Kod pacijenata treba često pratiti pojavu znakova i simptoma neurološkog oštećenja (npr. utrnulost ili slabost u nogama, disfunkcija crijeva ili mokraćne bešike). Ukoliko se uoči neurološki poremećaj, potrebna je hitna dijagnostička obrada i liječenje. Kod pacijenata koji primaju antikoagulanse ili koji će ih primati za tromboprofilaksu, ljekar mora prije neuroaksijalne intervencije da razmotri potencijalnu korist u odnosu na rizik. </w:t>
      </w:r>
    </w:p>
    <w:p w14:paraId="08F398A9"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Da bi se smanjio potencijalni rizik od krvarenja povezan sa istovremenom primjenom rivaroksabana i neuroaksijalne (epiduralne/spinalne) anestezije ili spinalne punkcije, mora se uzeti u obzir farmakokinetički profil rivaroksabana. Postavljanje ili vađenje epiduralnog katetera ili lumbalna punkcija najbolje se sprovode kad je antikoagulantni efekat rivaroksabana procijenjen kao nizak (vidjeti dio 5.2). </w:t>
      </w:r>
    </w:p>
    <w:p w14:paraId="04343C67"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62FDE6F3" w14:textId="77777777" w:rsidR="005F7A91" w:rsidRDefault="007C7639">
      <w:pPr>
        <w:widowControl w:val="0"/>
        <w:tabs>
          <w:tab w:val="clear" w:pos="567"/>
        </w:tabs>
        <w:spacing w:line="240" w:lineRule="auto"/>
        <w:jc w:val="both"/>
        <w:rPr>
          <w:szCs w:val="22"/>
          <w:lang w:val="sl-SI" w:eastAsia="sl-SI"/>
        </w:rPr>
      </w:pPr>
      <w:r>
        <w:rPr>
          <w:szCs w:val="22"/>
          <w:lang w:val="sl-SI" w:eastAsia="sl-SI"/>
        </w:rPr>
        <w:t>Mora proći najmanje 18 sati poslije posljednje primjene rivaroksabana do vađenja epiduralnog katetera. Nakon vađenja katetera, mora proći najmanje 6 sati prije primjene sljedeće doze rivaroksabana. Ukoliko dođe do traumatske punkcije, primjenu rivaroksabana treba odložiti za 24 časa.</w:t>
      </w:r>
    </w:p>
    <w:p w14:paraId="4191E692" w14:textId="77777777" w:rsidR="005F7A91" w:rsidRDefault="005F7A91">
      <w:pPr>
        <w:widowControl w:val="0"/>
        <w:tabs>
          <w:tab w:val="clear" w:pos="567"/>
        </w:tabs>
        <w:spacing w:line="240" w:lineRule="auto"/>
        <w:jc w:val="both"/>
        <w:rPr>
          <w:rFonts w:eastAsia="Calibri"/>
          <w:szCs w:val="22"/>
          <w:lang w:val="sl-SI"/>
        </w:rPr>
      </w:pPr>
    </w:p>
    <w:p w14:paraId="15475744"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 xml:space="preserve">Preporuke za doziranje prije i nakon invazivnih procedura i hirurškog zahvata </w:t>
      </w:r>
      <w:r>
        <w:rPr>
          <w:color w:val="000000"/>
          <w:szCs w:val="22"/>
          <w:u w:val="single"/>
          <w:lang w:val="sl-SI" w:eastAsia="sl-SI"/>
        </w:rPr>
        <w:t>koji nije elektivna operacija zamene kuka ili koljena</w:t>
      </w:r>
      <w:r>
        <w:rPr>
          <w:color w:val="000000"/>
          <w:sz w:val="24"/>
          <w:szCs w:val="24"/>
          <w:lang w:val="sl-SI" w:eastAsia="sl-SI"/>
        </w:rPr>
        <w:t xml:space="preserve"> </w:t>
      </w:r>
    </w:p>
    <w:p w14:paraId="6CEB9894"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Ukoliko je potrebno sprovesti invazivnu proceduru ili hiruršku intervenciju, terapiju lijekom Xerdoxo 10 mg treba prekinuti najmanje 24 sata prije intervencije, ako je to moguće, što mora biti zasnovano na kliničkoj procjeni ljekara. Ako se procedura ne može odložiti, mora se procijeniti povećani rizik od krvarenja u odnosu na hitnost intervencije.</w:t>
      </w:r>
    </w:p>
    <w:p w14:paraId="25494D8B"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Terapiju lijekom Xerdoxo treba ponovo započeti što prije nakon invazivne procedure ili hirurške intervencije, pod uslovom da to dopušta klinička situacija i da je uspostavljena odgovarajuća hemostaza prema ocjeni ljekara (vidjeti </w:t>
      </w:r>
      <w:r>
        <w:rPr>
          <w:szCs w:val="22"/>
          <w:lang w:val="hr-HR" w:eastAsia="sl-SI"/>
        </w:rPr>
        <w:t xml:space="preserve">dio </w:t>
      </w:r>
      <w:r>
        <w:rPr>
          <w:szCs w:val="22"/>
          <w:lang w:val="sl-SI" w:eastAsia="sl-SI"/>
        </w:rPr>
        <w:t>5.2).</w:t>
      </w:r>
    </w:p>
    <w:p w14:paraId="08309701" w14:textId="77777777" w:rsidR="005F7A91" w:rsidRDefault="005F7A91">
      <w:pPr>
        <w:widowControl w:val="0"/>
        <w:tabs>
          <w:tab w:val="clear" w:pos="567"/>
        </w:tabs>
        <w:spacing w:line="240" w:lineRule="auto"/>
        <w:jc w:val="both"/>
        <w:rPr>
          <w:rFonts w:eastAsia="Calibri"/>
          <w:szCs w:val="22"/>
          <w:lang w:val="sl-SI"/>
        </w:rPr>
      </w:pPr>
    </w:p>
    <w:p w14:paraId="4B1DBC1B"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Starija populacija</w:t>
      </w:r>
    </w:p>
    <w:p w14:paraId="4EC6413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Sa starošču može biti povećan rizik od krvarenja (vidjeti dio 5.2).</w:t>
      </w:r>
    </w:p>
    <w:p w14:paraId="26C16414"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64291F77"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Dermatološke reakcije</w:t>
      </w:r>
    </w:p>
    <w:p w14:paraId="18A90E05"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U toku postmarketinškog praćenja lijeka, prijavljene su ozbiljne kožne reakcije povezane sa primjenom rivaroksabana, uključujući </w:t>
      </w:r>
      <w:r>
        <w:rPr>
          <w:i/>
          <w:color w:val="000000"/>
          <w:szCs w:val="22"/>
          <w:lang w:val="hr-HR" w:eastAsia="sl-SI"/>
        </w:rPr>
        <w:t>Stevens-Johnson</w:t>
      </w:r>
      <w:r>
        <w:rPr>
          <w:color w:val="000000"/>
          <w:szCs w:val="22"/>
          <w:lang w:val="hr-HR" w:eastAsia="sl-SI"/>
        </w:rPr>
        <w:t xml:space="preserve">-ov sindrom/toksičnu epidermalnu nekrolizu i reakciju na lijek sa eozinofilijom i sistemskim simptomima, DRESS (eng. </w:t>
      </w:r>
      <w:r>
        <w:rPr>
          <w:i/>
          <w:iCs/>
          <w:color w:val="000000"/>
          <w:szCs w:val="22"/>
          <w:lang w:val="hr-HR" w:eastAsia="sl-SI"/>
        </w:rPr>
        <w:t>drug reaction with eosinophilia and systemic symptoms</w:t>
      </w:r>
      <w:r>
        <w:rPr>
          <w:color w:val="000000"/>
          <w:szCs w:val="22"/>
          <w:lang w:val="hr-HR" w:eastAsia="sl-SI"/>
        </w:rPr>
        <w:t>) sindrom (vidjeti dio 4.8). Pacijenti su izgleda pod najvišim rizikom od ovih reakcija na početku terapije: reakcije nastupaju u većini slučajeva tokom prvih nedjelja liječenja. Potrebno je prekinuti primjenu rivaroksabana pri prvoj pojavi teškog kožnog osipa (npr. koji se širi, intenzivan je i/ili praćen stvaranjem mjehurića) ili na bilo koji drugi znak preosjetljivosti povezane sa mukoznim lezijama.</w:t>
      </w:r>
    </w:p>
    <w:p w14:paraId="288B9DF9"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0F38303A" w14:textId="77777777" w:rsidR="005F7A91" w:rsidRDefault="007C7639">
      <w:pPr>
        <w:widowControl w:val="0"/>
        <w:tabs>
          <w:tab w:val="clear" w:pos="567"/>
        </w:tabs>
        <w:spacing w:line="240" w:lineRule="auto"/>
        <w:jc w:val="both"/>
        <w:rPr>
          <w:rFonts w:eastAsia="Calibri"/>
          <w:szCs w:val="22"/>
          <w:u w:val="single"/>
          <w:lang w:val="sl-SI"/>
        </w:rPr>
      </w:pPr>
      <w:r>
        <w:rPr>
          <w:szCs w:val="22"/>
          <w:u w:val="single"/>
          <w:lang w:val="sl-SI" w:eastAsia="sl-SI"/>
        </w:rPr>
        <w:t>Informacije o pomoćnim supstancama sa potvrđenim dejstvom</w:t>
      </w:r>
    </w:p>
    <w:p w14:paraId="799EE195" w14:textId="77777777" w:rsidR="005F7A91" w:rsidRDefault="007C7639">
      <w:pPr>
        <w:widowControl w:val="0"/>
        <w:spacing w:line="240" w:lineRule="auto"/>
        <w:jc w:val="both"/>
        <w:rPr>
          <w:szCs w:val="22"/>
          <w:lang w:val="sl-SI"/>
        </w:rPr>
      </w:pPr>
      <w:r>
        <w:rPr>
          <w:szCs w:val="22"/>
          <w:lang w:val="sl-SI"/>
        </w:rPr>
        <w:t>Ovaj lijek sadrži manje od 1 mmol natrijuma (23 mg) po film tableti, odnosno suštinski je „bez natrijuma“.</w:t>
      </w:r>
    </w:p>
    <w:p w14:paraId="5F40FA07" w14:textId="77777777" w:rsidR="005F7A91" w:rsidRDefault="005F7A91">
      <w:pPr>
        <w:widowControl w:val="0"/>
        <w:spacing w:line="240" w:lineRule="auto"/>
        <w:jc w:val="both"/>
        <w:rPr>
          <w:rFonts w:eastAsia="Calibri"/>
          <w:szCs w:val="22"/>
          <w:lang w:val="sl-SI"/>
        </w:rPr>
      </w:pPr>
    </w:p>
    <w:p w14:paraId="5AC4C3C5" w14:textId="77777777" w:rsidR="005F7A91" w:rsidRDefault="007C7639">
      <w:pPr>
        <w:widowControl w:val="0"/>
        <w:spacing w:line="240" w:lineRule="auto"/>
        <w:jc w:val="both"/>
        <w:rPr>
          <w:szCs w:val="22"/>
          <w:lang w:val="sl-SI"/>
        </w:rPr>
      </w:pPr>
      <w:r>
        <w:rPr>
          <w:b/>
          <w:szCs w:val="22"/>
          <w:lang w:val="sl-SI"/>
        </w:rPr>
        <w:t>4.5</w:t>
      </w:r>
      <w:r>
        <w:rPr>
          <w:b/>
          <w:szCs w:val="22"/>
          <w:lang w:val="sl-SI"/>
        </w:rPr>
        <w:tab/>
        <w:t>Interakcije sa drugim ljekovima i druge vrste interakcija</w:t>
      </w:r>
    </w:p>
    <w:p w14:paraId="4997459E" w14:textId="77777777" w:rsidR="005F7A91" w:rsidRDefault="005F7A91">
      <w:pPr>
        <w:widowControl w:val="0"/>
        <w:tabs>
          <w:tab w:val="clear" w:pos="567"/>
        </w:tabs>
        <w:spacing w:line="240" w:lineRule="auto"/>
        <w:jc w:val="both"/>
        <w:rPr>
          <w:rFonts w:eastAsia="Calibri"/>
          <w:szCs w:val="22"/>
          <w:lang w:val="sl-SI"/>
        </w:rPr>
      </w:pPr>
    </w:p>
    <w:p w14:paraId="4B568B33"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Inhibitori CYP3A4 i P-gp transportera</w:t>
      </w:r>
    </w:p>
    <w:p w14:paraId="52270455" w14:textId="77777777" w:rsidR="005F7A91" w:rsidRDefault="007C7639">
      <w:pPr>
        <w:tabs>
          <w:tab w:val="clear" w:pos="567"/>
        </w:tabs>
        <w:autoSpaceDE w:val="0"/>
        <w:autoSpaceDN w:val="0"/>
        <w:adjustRightInd w:val="0"/>
        <w:spacing w:line="240" w:lineRule="auto"/>
        <w:jc w:val="both"/>
        <w:rPr>
          <w:rFonts w:ascii="Arial" w:hAnsi="Arial" w:cs="Arial"/>
          <w:color w:val="000000"/>
          <w:szCs w:val="22"/>
          <w:lang w:val="hr-HR" w:eastAsia="sl-SI"/>
        </w:rPr>
      </w:pPr>
      <w:r>
        <w:rPr>
          <w:color w:val="000000"/>
          <w:szCs w:val="22"/>
          <w:lang w:val="hr-HR" w:eastAsia="sl-SI"/>
        </w:rPr>
        <w:t>Istovremena primjena rivaroksabana sa ketokonazolom (400 mg jednom dnevno) ili ritonavirom (600 mg dva puta na dan) dovela je do porasta srednje PIK vrijednosti rivaroksabana za 2,6 puta/2,5 puta, kao i do porasta srednje C</w:t>
      </w:r>
      <w:r>
        <w:rPr>
          <w:color w:val="000000"/>
          <w:szCs w:val="22"/>
          <w:vertAlign w:val="subscript"/>
          <w:lang w:val="hr-HR" w:eastAsia="sl-SI"/>
        </w:rPr>
        <w:t>max</w:t>
      </w:r>
      <w:r>
        <w:rPr>
          <w:color w:val="000000"/>
          <w:szCs w:val="22"/>
          <w:lang w:val="hr-HR" w:eastAsia="sl-SI"/>
        </w:rPr>
        <w:t xml:space="preserve"> vrijednosti rivaroksabana za 1,7 puta/1,6 puta, uz značajno povećanje farmakodinamskih efekata, što može dovesti do povećanog rizika od krvarenja. Stoga se primjena lijeka Xerdoxo ne preporučuje kod pacijenata koji istvremeno primaju azolne antimikotike za sistemsku primjenu, poput ketokonazola, itrakonazola, vorikonazola i posakonazola, ili inhibitore HIV proteaza. Ove aktivne supstance su snažni inhibitori CYP3A4 i P-gp transportera (vidjeti dio 4.4).</w:t>
      </w:r>
    </w:p>
    <w:p w14:paraId="3DDE24CB" w14:textId="77777777" w:rsidR="005F7A91" w:rsidRDefault="005F7A91">
      <w:pPr>
        <w:widowControl w:val="0"/>
        <w:tabs>
          <w:tab w:val="clear" w:pos="567"/>
        </w:tabs>
        <w:spacing w:line="240" w:lineRule="auto"/>
        <w:jc w:val="both"/>
        <w:rPr>
          <w:rFonts w:eastAsia="Calibri"/>
          <w:szCs w:val="22"/>
          <w:lang w:val="sl-SI"/>
        </w:rPr>
      </w:pPr>
    </w:p>
    <w:p w14:paraId="0E365983"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Očekuje se da aktivne supstance koje snažno inhibiraju samo jedan od puteva eliminacije rivaroksabana, bilo CYP3A4 ili P-gp transporter, u manjoj mjeri povećavaju koncentraciju rivaroksabana u plazmi. Na primjer, klaritromicin (500 mg dva puta na dan), koji se smatra jakim inhibitorom CYP3A4 i umjerenim inhibitorom P-gp transportera, doveo je do povećanja srednje PIK vrijednosti rivaroksabana 1,5 puta, a C</w:t>
      </w:r>
      <w:r>
        <w:rPr>
          <w:szCs w:val="22"/>
          <w:vertAlign w:val="subscript"/>
          <w:lang w:val="sl-SI" w:eastAsia="sl-SI"/>
        </w:rPr>
        <w:t>max</w:t>
      </w:r>
      <w:r>
        <w:rPr>
          <w:szCs w:val="22"/>
          <w:lang w:val="sl-SI" w:eastAsia="sl-SI"/>
        </w:rPr>
        <w:t xml:space="preserve"> 1,4 puta. Interakcija sa klaritromicinom vjerovatno nije klinički značajna kod većine pacijenata, ali može biti potencijalno značajna kod visoko rizičnih pacijenata (za pacijente sa oštećenjem funkcije bubrega: vidjeti </w:t>
      </w:r>
      <w:r>
        <w:rPr>
          <w:szCs w:val="22"/>
          <w:lang w:val="hr-HR" w:eastAsia="sl-SI"/>
        </w:rPr>
        <w:t>dio</w:t>
      </w:r>
      <w:r>
        <w:rPr>
          <w:szCs w:val="22"/>
          <w:lang w:val="sl-SI" w:eastAsia="sl-SI"/>
        </w:rPr>
        <w:t xml:space="preserve"> 4.4).</w:t>
      </w:r>
    </w:p>
    <w:p w14:paraId="5614C14B" w14:textId="77777777" w:rsidR="005F7A91" w:rsidRDefault="005F7A91">
      <w:pPr>
        <w:widowControl w:val="0"/>
        <w:tabs>
          <w:tab w:val="clear" w:pos="567"/>
        </w:tabs>
        <w:spacing w:line="240" w:lineRule="auto"/>
        <w:jc w:val="both"/>
        <w:rPr>
          <w:rFonts w:eastAsia="Calibri"/>
          <w:szCs w:val="22"/>
          <w:lang w:val="sl-SI"/>
        </w:rPr>
      </w:pPr>
    </w:p>
    <w:p w14:paraId="754837C1"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Eritromicin (500 mg tri puta na dan), koji umjereno inhibira CYP3A4 i P-gp transporter, doveo je do povećanja srednje PIK i C</w:t>
      </w:r>
      <w:r>
        <w:rPr>
          <w:color w:val="000000"/>
          <w:szCs w:val="22"/>
          <w:vertAlign w:val="subscript"/>
          <w:lang w:val="hr-HR" w:eastAsia="sl-SI"/>
        </w:rPr>
        <w:t>max</w:t>
      </w:r>
      <w:r>
        <w:rPr>
          <w:color w:val="000000"/>
          <w:szCs w:val="22"/>
          <w:lang w:val="hr-HR" w:eastAsia="sl-SI"/>
        </w:rPr>
        <w:t xml:space="preserve"> vrijednosti rivaroksabana 1,3 puta. Interakcija sa eritromicinom vjerovatno nije klinički značajna kod većine pacijenata, ali može biti potencijalno značajna kod visoko rizičnih pacijenata. Kod ispitanika sa blagim oštećenjem funkcije bubrega, eritromicin (500 mg tri puta na dan) je doveo do povećanja srednje PIK vrijednosti rivaroksabana 1,8 puta i do povećanja C</w:t>
      </w:r>
      <w:r>
        <w:rPr>
          <w:color w:val="000000"/>
          <w:szCs w:val="22"/>
          <w:vertAlign w:val="subscript"/>
          <w:lang w:val="hr-HR" w:eastAsia="sl-SI"/>
        </w:rPr>
        <w:t>max</w:t>
      </w:r>
      <w:r>
        <w:rPr>
          <w:color w:val="000000"/>
          <w:szCs w:val="22"/>
          <w:lang w:val="hr-HR" w:eastAsia="sl-SI"/>
        </w:rPr>
        <w:t xml:space="preserve"> 1,6 puta u poređenju sa ispitanicima sa normalnom funkcijom bubrega. Kod ispitanika sa umjerenim oštećenjem funkcije bubrega, eritromicin je doveo do povećanja srednje PIK vrijednosti rivaroksabana 2,0 puta i do povećanja C</w:t>
      </w:r>
      <w:r>
        <w:rPr>
          <w:color w:val="000000"/>
          <w:szCs w:val="22"/>
          <w:vertAlign w:val="subscript"/>
          <w:lang w:val="hr-HR" w:eastAsia="sl-SI"/>
        </w:rPr>
        <w:t>max</w:t>
      </w:r>
      <w:r>
        <w:rPr>
          <w:color w:val="000000"/>
          <w:szCs w:val="22"/>
          <w:lang w:val="hr-HR" w:eastAsia="sl-SI"/>
        </w:rPr>
        <w:t xml:space="preserve"> 1,6 puta u poređenju sa ispitanicima sa normalnom funkcijom bubrega. Efekat eritromicina je aditivan efektu oštećenja funkcije bubrega (vidjeti dio 4.4).</w:t>
      </w:r>
    </w:p>
    <w:p w14:paraId="6E8FDB53" w14:textId="77777777" w:rsidR="005F7A91" w:rsidRDefault="005F7A91">
      <w:pPr>
        <w:widowControl w:val="0"/>
        <w:tabs>
          <w:tab w:val="clear" w:pos="567"/>
        </w:tabs>
        <w:spacing w:line="240" w:lineRule="auto"/>
        <w:jc w:val="both"/>
        <w:rPr>
          <w:rFonts w:eastAsia="Calibri"/>
          <w:szCs w:val="22"/>
          <w:lang w:val="sl-SI"/>
        </w:rPr>
      </w:pPr>
    </w:p>
    <w:p w14:paraId="1FDDF4DE"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Flukonazol (400 mg jednom dnevno), koji se smatra umjerenim inhibitorom CYP3A4, doveo je do povećanja srednje PIK vrijednosti rivaroksabana 1,4 puta i srednje C</w:t>
      </w:r>
      <w:r>
        <w:rPr>
          <w:szCs w:val="22"/>
          <w:vertAlign w:val="subscript"/>
          <w:lang w:val="sl-SI" w:eastAsia="sl-SI"/>
        </w:rPr>
        <w:t>max</w:t>
      </w:r>
      <w:r>
        <w:rPr>
          <w:szCs w:val="22"/>
          <w:lang w:val="sl-SI" w:eastAsia="sl-SI"/>
        </w:rPr>
        <w:t xml:space="preserve"> vrijednosti 1,3 puta. Interakcija sa flukonazolom vjerovatno nije klinički značajna kod većine pacijenata, ali može biti potencijalno značajna kod visoko rizičnih pacijenata (za pacijente sa oštećenjem funkcije bubrega: vidjeti </w:t>
      </w:r>
      <w:r>
        <w:rPr>
          <w:szCs w:val="22"/>
          <w:lang w:val="hr-HR" w:eastAsia="sl-SI"/>
        </w:rPr>
        <w:t>dio</w:t>
      </w:r>
      <w:r>
        <w:rPr>
          <w:szCs w:val="22"/>
          <w:lang w:val="sl-SI" w:eastAsia="sl-SI"/>
        </w:rPr>
        <w:t xml:space="preserve"> 4.4).</w:t>
      </w:r>
    </w:p>
    <w:p w14:paraId="2107A9EA" w14:textId="77777777" w:rsidR="005F7A91" w:rsidRDefault="005F7A91">
      <w:pPr>
        <w:widowControl w:val="0"/>
        <w:tabs>
          <w:tab w:val="clear" w:pos="567"/>
        </w:tabs>
        <w:spacing w:line="240" w:lineRule="auto"/>
        <w:jc w:val="both"/>
        <w:rPr>
          <w:rFonts w:eastAsia="Calibri"/>
          <w:szCs w:val="22"/>
          <w:lang w:val="sl-SI"/>
        </w:rPr>
      </w:pPr>
    </w:p>
    <w:p w14:paraId="3E0E3180"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S obzirom na to da su dostupni klinički podaci sa dronedaronom ograničeni, istovremena primjena sa rivaroksabanom mora se izbjegavati.</w:t>
      </w:r>
    </w:p>
    <w:p w14:paraId="418DDDE2" w14:textId="77777777" w:rsidR="005F7A91" w:rsidRDefault="005F7A91">
      <w:pPr>
        <w:widowControl w:val="0"/>
        <w:tabs>
          <w:tab w:val="clear" w:pos="567"/>
        </w:tabs>
        <w:spacing w:line="240" w:lineRule="auto"/>
        <w:jc w:val="both"/>
        <w:rPr>
          <w:rFonts w:eastAsia="Calibri"/>
          <w:szCs w:val="22"/>
          <w:lang w:val="sl-SI"/>
        </w:rPr>
      </w:pPr>
    </w:p>
    <w:p w14:paraId="7A85ED88"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Antikoagulansi</w:t>
      </w:r>
    </w:p>
    <w:p w14:paraId="7EF670B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Nakon kombinovane primjene enoksaparina (40 mg, jedna doza) i rivaroksabana (10 mg, jedna doza) uočen je aditivni efekat na potiskivanje aktivnosti faktora Xa, bez ikakvih dodatnih efekata na rezultate testova koagulacije (PT, aPTT). Enoksaparin nije uticao na farmakokinetiku rivaroksabana.</w:t>
      </w:r>
    </w:p>
    <w:p w14:paraId="4F4F157D" w14:textId="77777777" w:rsidR="005F7A91" w:rsidRDefault="007C7639">
      <w:pPr>
        <w:widowControl w:val="0"/>
        <w:tabs>
          <w:tab w:val="clear" w:pos="567"/>
        </w:tabs>
        <w:spacing w:line="240" w:lineRule="auto"/>
        <w:ind w:right="-20"/>
        <w:jc w:val="both"/>
        <w:rPr>
          <w:szCs w:val="22"/>
          <w:u w:val="single" w:color="000000"/>
          <w:lang w:val="sl-SI"/>
        </w:rPr>
      </w:pPr>
      <w:r>
        <w:rPr>
          <w:szCs w:val="22"/>
          <w:lang w:val="sl-SI" w:eastAsia="sl-SI"/>
        </w:rPr>
        <w:t>Zbog povećanog rizika od krvarenja, neophodan je oprez ako su pacijenti istovremeno liječeni bilo kojim drugim antikoagulansom (vidjeti djelove 4.3 i 4.4).</w:t>
      </w:r>
    </w:p>
    <w:p w14:paraId="27F843BD" w14:textId="77777777" w:rsidR="005F7A91" w:rsidRDefault="005F7A91">
      <w:pPr>
        <w:widowControl w:val="0"/>
        <w:tabs>
          <w:tab w:val="clear" w:pos="567"/>
        </w:tabs>
        <w:spacing w:line="240" w:lineRule="auto"/>
        <w:ind w:right="-20"/>
        <w:jc w:val="both"/>
        <w:rPr>
          <w:szCs w:val="22"/>
          <w:u w:val="single" w:color="000000"/>
          <w:lang w:val="sl-SI"/>
        </w:rPr>
      </w:pPr>
    </w:p>
    <w:p w14:paraId="7A4B6FA4"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NSAIL/inhibitori agregacije trombocita</w:t>
      </w:r>
    </w:p>
    <w:p w14:paraId="3B06D972"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Nakon istovremene primjene rivaroksabana (15 mg) sa naproksenom u dozi od 500 mg nije uočeno klinički značajno produženje vremena krvarenja. Ipak, moguće je da ima osoba kod kojih će farmakodinamski odgovor biti izraženiji.</w:t>
      </w:r>
    </w:p>
    <w:p w14:paraId="10D0AF6D"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Kad se rivaroksaban primijenio istovremeno sa 500 mg acetilsalicilne kiseline, nisu bile uočene klinički značajne farmakokinetičke ni farmakodinamske interakcije.</w:t>
      </w:r>
    </w:p>
    <w:p w14:paraId="30E6A73D"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Klopidogrel (početna doza od 300 mg, a zatim doza održavanja od 75 mg) nije pokazao farmakokinetičku interakciju sa rivaroksabanom (15 mg), ali je uočeno značajno produženje vremena krvarenja u podgrupi pacijenata, koje nije bilo u korelaciji sa agregacijom trombocita, sa nivoima P-selektina ili GPIIb/IIIa-receptora.</w:t>
      </w:r>
    </w:p>
    <w:p w14:paraId="1BAAA34F"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Neophodan je oprez ako su pacijenti istovremeno liječeni NSAIL (uključujući acetilsalicilnu kiselinu) i inhibitorima agregacije trombocita, jer je za ove ljekove karakteristično da povećavaju rizik od krvarenja </w:t>
      </w:r>
      <w:r>
        <w:rPr>
          <w:szCs w:val="22"/>
          <w:lang w:val="sl-SI" w:eastAsia="sl-SI"/>
        </w:rPr>
        <w:lastRenderedPageBreak/>
        <w:t xml:space="preserve">(vidjeti </w:t>
      </w:r>
      <w:r>
        <w:rPr>
          <w:szCs w:val="22"/>
          <w:lang w:val="hr-HR" w:eastAsia="sl-SI"/>
        </w:rPr>
        <w:t>dio</w:t>
      </w:r>
      <w:r>
        <w:rPr>
          <w:szCs w:val="22"/>
          <w:lang w:val="sl-SI" w:eastAsia="sl-SI"/>
        </w:rPr>
        <w:t xml:space="preserve"> 4.4).</w:t>
      </w:r>
    </w:p>
    <w:p w14:paraId="7C47C07F" w14:textId="77777777" w:rsidR="005F7A91" w:rsidRDefault="005F7A91">
      <w:pPr>
        <w:widowControl w:val="0"/>
        <w:tabs>
          <w:tab w:val="clear" w:pos="567"/>
        </w:tabs>
        <w:spacing w:line="240" w:lineRule="auto"/>
        <w:jc w:val="both"/>
        <w:rPr>
          <w:rFonts w:eastAsia="Calibri"/>
          <w:szCs w:val="22"/>
          <w:lang w:val="sl-SI"/>
        </w:rPr>
      </w:pPr>
    </w:p>
    <w:p w14:paraId="67B0CE2E"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SSRI/SNRI</w:t>
      </w:r>
    </w:p>
    <w:p w14:paraId="04E2B945" w14:textId="77777777" w:rsidR="005F7A91" w:rsidRDefault="007C7639">
      <w:pPr>
        <w:tabs>
          <w:tab w:val="clear" w:pos="567"/>
        </w:tabs>
        <w:autoSpaceDE w:val="0"/>
        <w:autoSpaceDN w:val="0"/>
        <w:adjustRightInd w:val="0"/>
        <w:spacing w:line="240" w:lineRule="auto"/>
        <w:jc w:val="both"/>
        <w:rPr>
          <w:rFonts w:ascii="Arial" w:hAnsi="Arial" w:cs="Arial"/>
          <w:color w:val="000000"/>
          <w:szCs w:val="22"/>
          <w:lang w:val="hr-HR" w:eastAsia="sl-SI"/>
        </w:rPr>
      </w:pPr>
      <w:r>
        <w:rPr>
          <w:color w:val="000000"/>
          <w:szCs w:val="22"/>
          <w:lang w:val="hr-HR" w:eastAsia="sl-SI"/>
        </w:rPr>
        <w:t>Kao i kod drugih antikoagulanasa, može postojati mogućnost povećanog rizika od krvarenja kod pacijenata u slučaju istovremene primjene sa SSRI i SNRI zbog njihovog zabilježenog efekta na trombocite. Kada su se istovremeno primjenjivali u kliničkom ispitivanju rivaroksabana, bile su primijećene brojčano više stope većih i manjih klinički značajnih krvarenja u svim terapijskim grupama.</w:t>
      </w:r>
    </w:p>
    <w:p w14:paraId="08EA3787" w14:textId="77777777" w:rsidR="005F7A91" w:rsidRDefault="005F7A91">
      <w:pPr>
        <w:widowControl w:val="0"/>
        <w:tabs>
          <w:tab w:val="clear" w:pos="567"/>
        </w:tabs>
        <w:spacing w:line="240" w:lineRule="auto"/>
        <w:jc w:val="both"/>
        <w:rPr>
          <w:rFonts w:eastAsia="Calibri"/>
          <w:szCs w:val="22"/>
          <w:lang w:val="sl-SI"/>
        </w:rPr>
      </w:pPr>
    </w:p>
    <w:p w14:paraId="1C60F702" w14:textId="77777777" w:rsidR="005F7A91" w:rsidRDefault="007C7639">
      <w:pPr>
        <w:keepNext/>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Varfarin</w:t>
      </w:r>
    </w:p>
    <w:p w14:paraId="4EF0CDB6"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Prelaskom pacijenta sa antagonista vitamina K, varfarina (INR 2,0 do 3,0) na rivaroksaban (20 mg) ili sa rivaroksabana (20 mg) na varfarin (INR 2,0 do 3,0), produženo je protrombinsko vrijeme/INR (Neoplastin) više nego aditivno (mogu se uočiti pojedinačne vrijednosti INR do 12), dok su efekti na aPTT, inhibiciju aktivnosti faktora Xa i endogeni trombin potencijal bili aditivni.</w:t>
      </w:r>
    </w:p>
    <w:p w14:paraId="07108B9F"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Ako se žele ispitati farmakodinamički efekti rivaroksabana tokom prelaznog perioda, mogu se koristiti mjerenja aktivnosti anti-faktora Xa, PCT i Heptest, jer na njih varfarin ne utiče. Četvrtog dana nakon posljednje doze varfarina, svi testovi (uključujući PT, aPTT, inhibiciju aktivnosti faktora Xa i ETP) su odražavali samo efekat rivaroksabana.</w:t>
      </w:r>
    </w:p>
    <w:p w14:paraId="20C917B3"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Ako se žele ispitati farmakodinamski efekti varfarina tokom prelaznog perioda, može se koristiti mjerenje INR kod C</w:t>
      </w:r>
      <w:r>
        <w:rPr>
          <w:color w:val="000000"/>
          <w:szCs w:val="22"/>
          <w:vertAlign w:val="subscript"/>
          <w:lang w:val="hr-HR" w:eastAsia="sl-SI"/>
        </w:rPr>
        <w:t>min</w:t>
      </w:r>
      <w:r>
        <w:rPr>
          <w:color w:val="000000"/>
          <w:szCs w:val="22"/>
          <w:lang w:val="hr-HR" w:eastAsia="sl-SI"/>
        </w:rPr>
        <w:t xml:space="preserve"> rivaroksabana (24 sata nakon prethodnog uzimanja rivaroksabana) jer rivaroksaban minimalno utiče na ovaj test u to vrijeme.</w:t>
      </w:r>
    </w:p>
    <w:p w14:paraId="5D9EE5B3"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Nije uočena farmakokinetička interakcija između varfarina i rivaroksabana.</w:t>
      </w:r>
    </w:p>
    <w:p w14:paraId="33DEDC4B" w14:textId="77777777" w:rsidR="005F7A91" w:rsidRDefault="005F7A91">
      <w:pPr>
        <w:tabs>
          <w:tab w:val="clear" w:pos="567"/>
        </w:tabs>
        <w:autoSpaceDE w:val="0"/>
        <w:autoSpaceDN w:val="0"/>
        <w:adjustRightInd w:val="0"/>
        <w:spacing w:line="240" w:lineRule="auto"/>
        <w:jc w:val="both"/>
        <w:rPr>
          <w:color w:val="000000"/>
          <w:szCs w:val="22"/>
          <w:u w:val="single"/>
          <w:lang w:val="hr-HR" w:eastAsia="sl-SI"/>
        </w:rPr>
      </w:pPr>
    </w:p>
    <w:p w14:paraId="07B6020A"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Induktori CYP3A4</w:t>
      </w:r>
    </w:p>
    <w:p w14:paraId="6C78F679"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Istovremena primjena rivaroksabana sa jakim induktorom CYP3A4, rifampicinom, dovela je do smanjenja srednje PIK vrijednosti rivaroksabana za oko 50%, uz istovremeno slabljenje njegovih farmakodinamskih efekata. Istovremena primjena rivaroksabana sa drugim jakim induktorima CYP3A4 (npr. fenitoinom, karbamazepinom, fenobarbitonom ili kantarionom </w:t>
      </w:r>
      <w:r>
        <w:rPr>
          <w:iCs/>
          <w:szCs w:val="22"/>
          <w:lang w:val="sl-SI" w:eastAsia="sl-SI"/>
        </w:rPr>
        <w:t>(</w:t>
      </w:r>
      <w:r>
        <w:rPr>
          <w:i/>
          <w:iCs/>
          <w:szCs w:val="22"/>
          <w:lang w:val="sl-SI" w:eastAsia="sl-SI"/>
        </w:rPr>
        <w:t>Hypericum perforatum</w:t>
      </w:r>
      <w:r>
        <w:rPr>
          <w:iCs/>
          <w:szCs w:val="22"/>
          <w:lang w:val="sl-SI" w:eastAsia="sl-SI"/>
        </w:rPr>
        <w:t>)</w:t>
      </w:r>
      <w:r>
        <w:rPr>
          <w:szCs w:val="22"/>
          <w:lang w:val="sl-SI" w:eastAsia="sl-SI"/>
        </w:rPr>
        <w:t>) takođe može dovesti do smanjene koncentracije rivaroksabana u plazmi. Stoga se istovremena primjena jakih induktora CYP3A4 mora izbjegavati, osim ako pacijent nije pod stalnim praćenjem, zbog moguće pojave znakova i simptoma tromboze.</w:t>
      </w:r>
    </w:p>
    <w:p w14:paraId="77946CAD" w14:textId="77777777" w:rsidR="005F7A91" w:rsidRDefault="005F7A91">
      <w:pPr>
        <w:widowControl w:val="0"/>
        <w:tabs>
          <w:tab w:val="clear" w:pos="567"/>
        </w:tabs>
        <w:spacing w:line="240" w:lineRule="auto"/>
        <w:jc w:val="both"/>
        <w:rPr>
          <w:rFonts w:eastAsia="Calibri"/>
          <w:szCs w:val="22"/>
          <w:lang w:val="sl-SI"/>
        </w:rPr>
      </w:pPr>
    </w:p>
    <w:p w14:paraId="141A1845"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Interakcije sa ostalim ljekovima</w:t>
      </w:r>
    </w:p>
    <w:p w14:paraId="4821C670"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Pri istovremenoj primjeni rivaroksabana sa midazolamom (supstrat za CYP3A4), digoksinom (supstrat za P-gp transporter), atorvastatinom (supstrat za CYP3A4 i P-gp transporter) ili omeprazolom (inhibitor protonske pumpe) nisu uočene klinički značajne farmakokinetičke ni farmakodinamske interakcije. Rivaroksaban ne dovodi do inhibicije niti do indukcije bilo kog važnijeg izoenzima CYP, poput CYP3A4.</w:t>
      </w:r>
    </w:p>
    <w:p w14:paraId="52C69971"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sl-SI" w:eastAsia="sl-SI"/>
        </w:rPr>
        <w:t>Nije bilo klinički značajnih interakcija sa sastojcima hrane (vidjeti dio 4.2).</w:t>
      </w:r>
    </w:p>
    <w:p w14:paraId="27F96D54" w14:textId="77777777" w:rsidR="005F7A91" w:rsidRDefault="005F7A91">
      <w:pPr>
        <w:tabs>
          <w:tab w:val="clear" w:pos="567"/>
        </w:tabs>
        <w:autoSpaceDE w:val="0"/>
        <w:autoSpaceDN w:val="0"/>
        <w:adjustRightInd w:val="0"/>
        <w:spacing w:line="240" w:lineRule="auto"/>
        <w:jc w:val="both"/>
        <w:rPr>
          <w:color w:val="000000"/>
          <w:szCs w:val="22"/>
          <w:u w:val="single"/>
          <w:lang w:val="hr-HR" w:eastAsia="sl-SI"/>
        </w:rPr>
      </w:pPr>
    </w:p>
    <w:p w14:paraId="26E3EADC"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Laboratorijski parametri</w:t>
      </w:r>
    </w:p>
    <w:p w14:paraId="10B5CE5F" w14:textId="77777777" w:rsidR="005F7A91" w:rsidRDefault="007C7639">
      <w:pPr>
        <w:widowControl w:val="0"/>
        <w:tabs>
          <w:tab w:val="clear" w:pos="567"/>
        </w:tabs>
        <w:spacing w:line="240" w:lineRule="auto"/>
        <w:ind w:right="687"/>
        <w:jc w:val="both"/>
        <w:rPr>
          <w:szCs w:val="22"/>
          <w:lang w:val="sl-SI"/>
        </w:rPr>
      </w:pPr>
      <w:r>
        <w:rPr>
          <w:szCs w:val="22"/>
          <w:lang w:val="sl-SI" w:eastAsia="sl-SI"/>
        </w:rPr>
        <w:t xml:space="preserve">Uočen je efekat na parametre koagulacije (npr. na PT, aPTT, Heptest), kao što se i očekivalo s obzirom na način djelovanja rivaroksabana (vidjeti </w:t>
      </w:r>
      <w:r>
        <w:rPr>
          <w:szCs w:val="22"/>
          <w:lang w:val="hr-HR" w:eastAsia="sl-SI"/>
        </w:rPr>
        <w:t>dio</w:t>
      </w:r>
      <w:r>
        <w:rPr>
          <w:szCs w:val="22"/>
          <w:lang w:val="sl-SI" w:eastAsia="sl-SI"/>
        </w:rPr>
        <w:t xml:space="preserve"> 5.1).</w:t>
      </w:r>
    </w:p>
    <w:p w14:paraId="29BABAD3" w14:textId="77777777" w:rsidR="005F7A91" w:rsidRDefault="005F7A91">
      <w:pPr>
        <w:widowControl w:val="0"/>
        <w:tabs>
          <w:tab w:val="clear" w:pos="567"/>
        </w:tabs>
        <w:spacing w:line="240" w:lineRule="auto"/>
        <w:ind w:right="687"/>
        <w:jc w:val="both"/>
        <w:rPr>
          <w:szCs w:val="22"/>
          <w:lang w:val="sl-SI"/>
        </w:rPr>
      </w:pPr>
    </w:p>
    <w:p w14:paraId="7B9DFFD9" w14:textId="77777777" w:rsidR="005F7A91" w:rsidRDefault="007C7639">
      <w:pPr>
        <w:widowControl w:val="0"/>
        <w:tabs>
          <w:tab w:val="clear" w:pos="567"/>
        </w:tabs>
        <w:spacing w:line="240" w:lineRule="auto"/>
        <w:ind w:left="567" w:hanging="567"/>
        <w:jc w:val="both"/>
        <w:outlineLvl w:val="0"/>
        <w:rPr>
          <w:b/>
          <w:szCs w:val="22"/>
          <w:lang w:val="sl-SI" w:eastAsia="sl-SI"/>
        </w:rPr>
      </w:pPr>
      <w:r>
        <w:rPr>
          <w:b/>
          <w:szCs w:val="22"/>
          <w:lang w:val="sl-SI" w:eastAsia="sl-SI"/>
        </w:rPr>
        <w:t>4.6</w:t>
      </w:r>
      <w:r>
        <w:rPr>
          <w:b/>
          <w:szCs w:val="22"/>
          <w:lang w:val="sl-SI" w:eastAsia="sl-SI"/>
        </w:rPr>
        <w:tab/>
        <w:t>Plodnost, trudnoća i dojenje</w:t>
      </w:r>
    </w:p>
    <w:p w14:paraId="776D27CE" w14:textId="77777777" w:rsidR="005F7A91" w:rsidRDefault="005F7A91">
      <w:pPr>
        <w:widowControl w:val="0"/>
        <w:tabs>
          <w:tab w:val="clear" w:pos="567"/>
        </w:tabs>
        <w:spacing w:line="240" w:lineRule="auto"/>
        <w:jc w:val="both"/>
        <w:rPr>
          <w:rFonts w:eastAsia="Calibri"/>
          <w:szCs w:val="22"/>
          <w:lang w:val="sl-SI"/>
        </w:rPr>
      </w:pPr>
    </w:p>
    <w:p w14:paraId="319D1355" w14:textId="77777777" w:rsidR="005F7A91" w:rsidRDefault="007C7639">
      <w:pPr>
        <w:widowControl w:val="0"/>
        <w:shd w:val="clear" w:color="auto" w:fill="FFFFFF"/>
        <w:tabs>
          <w:tab w:val="clear" w:pos="567"/>
        </w:tabs>
        <w:spacing w:line="240" w:lineRule="auto"/>
        <w:jc w:val="both"/>
        <w:rPr>
          <w:color w:val="000000"/>
          <w:szCs w:val="22"/>
          <w:u w:val="single"/>
          <w:lang w:val="hr-HR"/>
        </w:rPr>
      </w:pPr>
      <w:r>
        <w:rPr>
          <w:color w:val="000000"/>
          <w:szCs w:val="22"/>
          <w:u w:val="single"/>
          <w:lang w:val="hr-HR"/>
        </w:rPr>
        <w:t>Trudnoća</w:t>
      </w:r>
    </w:p>
    <w:p w14:paraId="71FB635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Bezbjednost i efikasnost rivaroksabana kod trudnica nisu ustanovljeni. Studije na životinjama pokazale su reproduktivnu toksičnost (vidjeti dio 5.3). Zbog potencijalne reproduktivne toksičnosti, intrinzičnog rizika od krvarenja i dokaza da rivaroksaban prolazi kroz placentu, lijek Xerdoxo je kontraindikovan tokom trudnoće (vidjeti dio 4.3).</w:t>
      </w:r>
    </w:p>
    <w:p w14:paraId="541EFB0A" w14:textId="77777777" w:rsidR="005F7A91" w:rsidRDefault="007C7639">
      <w:pPr>
        <w:widowControl w:val="0"/>
        <w:tabs>
          <w:tab w:val="clear" w:pos="567"/>
        </w:tabs>
        <w:spacing w:line="240" w:lineRule="auto"/>
        <w:jc w:val="both"/>
        <w:rPr>
          <w:szCs w:val="22"/>
          <w:lang w:val="sl-SI" w:eastAsia="sl-SI"/>
        </w:rPr>
      </w:pPr>
      <w:r>
        <w:rPr>
          <w:szCs w:val="22"/>
          <w:lang w:val="sl-SI" w:eastAsia="sl-SI"/>
        </w:rPr>
        <w:t>Žene u reproduktivnom periodu moraju izbjegavati trudnoću tokom liječenja rivaroksabanom.</w:t>
      </w:r>
    </w:p>
    <w:p w14:paraId="439180FB" w14:textId="77777777" w:rsidR="005F7A91" w:rsidRDefault="005F7A91">
      <w:pPr>
        <w:widowControl w:val="0"/>
        <w:tabs>
          <w:tab w:val="clear" w:pos="567"/>
        </w:tabs>
        <w:spacing w:line="240" w:lineRule="auto"/>
        <w:jc w:val="both"/>
        <w:rPr>
          <w:rFonts w:eastAsia="Calibri"/>
          <w:szCs w:val="22"/>
          <w:lang w:val="sl-SI"/>
        </w:rPr>
      </w:pPr>
    </w:p>
    <w:p w14:paraId="400DE890" w14:textId="77777777" w:rsidR="005F7A91" w:rsidRDefault="007C7639">
      <w:pPr>
        <w:widowControl w:val="0"/>
        <w:shd w:val="clear" w:color="auto" w:fill="FFFFFF"/>
        <w:tabs>
          <w:tab w:val="clear" w:pos="567"/>
        </w:tabs>
        <w:spacing w:line="240" w:lineRule="auto"/>
        <w:jc w:val="both"/>
        <w:rPr>
          <w:color w:val="000000"/>
          <w:szCs w:val="22"/>
          <w:u w:val="single"/>
          <w:lang w:val="hr-HR"/>
        </w:rPr>
      </w:pPr>
      <w:r>
        <w:rPr>
          <w:color w:val="000000"/>
          <w:szCs w:val="22"/>
          <w:u w:val="single"/>
          <w:lang w:val="hr-HR"/>
        </w:rPr>
        <w:t>Dojenje</w:t>
      </w:r>
    </w:p>
    <w:p w14:paraId="709FABCF"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Bezbjednost i efikasnost rivaroksabana kod dojilja nisu ustanovljeni. Podaci na životinjama ukazuju da se rivaroksaban izlučuje u mlijeko. Stoga je lijek Xerdoxo kontraindikovan tokom dojenja (vidjeti </w:t>
      </w:r>
      <w:r>
        <w:rPr>
          <w:szCs w:val="22"/>
          <w:lang w:val="hr-HR" w:eastAsia="sl-SI"/>
        </w:rPr>
        <w:t>dio</w:t>
      </w:r>
      <w:r>
        <w:rPr>
          <w:szCs w:val="22"/>
          <w:lang w:val="sl-SI" w:eastAsia="sl-SI"/>
        </w:rPr>
        <w:t xml:space="preserve"> 4.3). Potrebno je da se donese odluka da li će se prekinuti dojenje ili napraviti prekid/pauza u terapiji.</w:t>
      </w:r>
    </w:p>
    <w:p w14:paraId="388F19B0" w14:textId="77777777" w:rsidR="005F7A91" w:rsidRDefault="005F7A91">
      <w:pPr>
        <w:widowControl w:val="0"/>
        <w:tabs>
          <w:tab w:val="clear" w:pos="567"/>
        </w:tabs>
        <w:spacing w:line="240" w:lineRule="auto"/>
        <w:jc w:val="both"/>
        <w:rPr>
          <w:rFonts w:eastAsia="Calibri"/>
          <w:szCs w:val="22"/>
          <w:lang w:val="sl-SI"/>
        </w:rPr>
      </w:pPr>
    </w:p>
    <w:p w14:paraId="64D94795" w14:textId="77777777" w:rsidR="005F7A91" w:rsidRDefault="007C7639">
      <w:pPr>
        <w:widowControl w:val="0"/>
        <w:shd w:val="clear" w:color="auto" w:fill="FFFFFF"/>
        <w:tabs>
          <w:tab w:val="clear" w:pos="567"/>
        </w:tabs>
        <w:spacing w:line="240" w:lineRule="auto"/>
        <w:jc w:val="both"/>
        <w:rPr>
          <w:color w:val="000000"/>
          <w:szCs w:val="22"/>
          <w:u w:val="single"/>
          <w:lang w:val="hr-HR"/>
        </w:rPr>
      </w:pPr>
      <w:r>
        <w:rPr>
          <w:color w:val="000000"/>
          <w:szCs w:val="22"/>
          <w:u w:val="single"/>
          <w:lang w:val="hr-HR"/>
        </w:rPr>
        <w:lastRenderedPageBreak/>
        <w:t>Plodnost</w:t>
      </w:r>
    </w:p>
    <w:p w14:paraId="7E9C0660"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Specifične studije sa rivaroksabanom kod ljudi u cilju procjene efekata na plodnost nisu rađene. U studijama efekata na plodnost mužjaka i ženki pacova nije uočen nikakav efekat (vidjeti </w:t>
      </w:r>
      <w:r>
        <w:rPr>
          <w:szCs w:val="22"/>
          <w:lang w:val="hr-HR" w:eastAsia="sl-SI"/>
        </w:rPr>
        <w:t>dio</w:t>
      </w:r>
      <w:r>
        <w:rPr>
          <w:szCs w:val="22"/>
          <w:lang w:val="sl-SI" w:eastAsia="sl-SI"/>
        </w:rPr>
        <w:t xml:space="preserve"> 5.3).</w:t>
      </w:r>
    </w:p>
    <w:p w14:paraId="42AD9C9E" w14:textId="77777777" w:rsidR="005F7A91" w:rsidRDefault="005F7A91">
      <w:pPr>
        <w:widowControl w:val="0"/>
        <w:tabs>
          <w:tab w:val="clear" w:pos="567"/>
        </w:tabs>
        <w:spacing w:line="240" w:lineRule="auto"/>
        <w:jc w:val="both"/>
        <w:rPr>
          <w:rFonts w:eastAsia="Calibri"/>
          <w:szCs w:val="22"/>
          <w:lang w:val="sl-SI"/>
        </w:rPr>
      </w:pPr>
    </w:p>
    <w:p w14:paraId="195E2A19" w14:textId="77777777" w:rsidR="005F7A91" w:rsidRDefault="007C7639">
      <w:pPr>
        <w:widowControl w:val="0"/>
        <w:spacing w:line="240" w:lineRule="auto"/>
        <w:jc w:val="both"/>
        <w:rPr>
          <w:b/>
          <w:szCs w:val="22"/>
          <w:lang w:val="sl-SI"/>
        </w:rPr>
      </w:pPr>
      <w:r>
        <w:rPr>
          <w:b/>
          <w:szCs w:val="22"/>
          <w:lang w:val="sl-SI"/>
        </w:rPr>
        <w:t>4.7</w:t>
      </w:r>
      <w:r>
        <w:rPr>
          <w:b/>
          <w:szCs w:val="22"/>
          <w:lang w:val="sl-SI"/>
        </w:rPr>
        <w:tab/>
        <w:t>Uticaj na sposobnost upravljanja vozilima i rukovanje mašinama</w:t>
      </w:r>
    </w:p>
    <w:p w14:paraId="4C81CC9C" w14:textId="77777777" w:rsidR="005F7A91" w:rsidRDefault="005F7A91">
      <w:pPr>
        <w:widowControl w:val="0"/>
        <w:tabs>
          <w:tab w:val="clear" w:pos="567"/>
        </w:tabs>
        <w:spacing w:line="240" w:lineRule="auto"/>
        <w:jc w:val="both"/>
        <w:rPr>
          <w:rFonts w:eastAsia="Calibri"/>
          <w:szCs w:val="22"/>
          <w:lang w:val="sl-SI"/>
        </w:rPr>
      </w:pPr>
    </w:p>
    <w:p w14:paraId="2A935A1C"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Rivaroksaban ima mali uticaj na sposobnost upravljanja vozilima i rukovanja mašinama. Prijavljena su neželjena dejstva poput sinkope (učestalost: povremeno) i vrtoglavice (učestalost: često) (vidjeti </w:t>
      </w:r>
      <w:r>
        <w:rPr>
          <w:szCs w:val="22"/>
          <w:lang w:val="hr-HR" w:eastAsia="sl-SI"/>
        </w:rPr>
        <w:t>dio</w:t>
      </w:r>
      <w:r>
        <w:rPr>
          <w:szCs w:val="22"/>
          <w:lang w:val="sl-SI" w:eastAsia="sl-SI"/>
        </w:rPr>
        <w:t xml:space="preserve"> 4.8). Pacijenti kod kojih se jave ta neželjena dejstva ne smiju upravljati vozilima niti rukovati mašinama.</w:t>
      </w:r>
    </w:p>
    <w:p w14:paraId="71F4AB0D" w14:textId="77777777" w:rsidR="005F7A91" w:rsidRDefault="005F7A91">
      <w:pPr>
        <w:widowControl w:val="0"/>
        <w:tabs>
          <w:tab w:val="clear" w:pos="567"/>
        </w:tabs>
        <w:spacing w:line="240" w:lineRule="auto"/>
        <w:jc w:val="both"/>
        <w:rPr>
          <w:rFonts w:eastAsia="Calibri"/>
          <w:szCs w:val="22"/>
          <w:lang w:val="sl-SI"/>
        </w:rPr>
      </w:pPr>
    </w:p>
    <w:p w14:paraId="52530B7B" w14:textId="77777777" w:rsidR="005F7A91" w:rsidRDefault="007C7639">
      <w:pPr>
        <w:widowControl w:val="0"/>
        <w:spacing w:line="240" w:lineRule="auto"/>
        <w:jc w:val="both"/>
        <w:rPr>
          <w:b/>
          <w:bCs/>
          <w:szCs w:val="22"/>
          <w:lang w:val="sl-SI"/>
        </w:rPr>
      </w:pPr>
      <w:r>
        <w:rPr>
          <w:b/>
          <w:bCs/>
          <w:szCs w:val="22"/>
          <w:lang w:val="sl-SI"/>
        </w:rPr>
        <w:t>4.8</w:t>
      </w:r>
      <w:r>
        <w:rPr>
          <w:b/>
          <w:bCs/>
          <w:szCs w:val="22"/>
          <w:lang w:val="sl-SI"/>
        </w:rPr>
        <w:tab/>
        <w:t>Neželjena dejstva</w:t>
      </w:r>
    </w:p>
    <w:p w14:paraId="56EC4DF7" w14:textId="77777777" w:rsidR="005F7A91" w:rsidRDefault="005F7A91">
      <w:pPr>
        <w:widowControl w:val="0"/>
        <w:tabs>
          <w:tab w:val="clear" w:pos="567"/>
        </w:tabs>
        <w:spacing w:line="240" w:lineRule="auto"/>
        <w:jc w:val="both"/>
        <w:rPr>
          <w:rFonts w:eastAsia="Calibri"/>
          <w:szCs w:val="22"/>
          <w:lang w:val="sl-SI"/>
        </w:rPr>
      </w:pPr>
    </w:p>
    <w:p w14:paraId="4277E63B"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Sažetak bezbjednosnog profila</w:t>
      </w:r>
    </w:p>
    <w:p w14:paraId="0CC835AF" w14:textId="77777777" w:rsidR="005F7A91" w:rsidRDefault="007C7639" w:rsidP="00804AC8">
      <w:pPr>
        <w:widowControl w:val="0"/>
        <w:tabs>
          <w:tab w:val="clear" w:pos="567"/>
          <w:tab w:val="left" w:pos="6521"/>
          <w:tab w:val="left" w:pos="6946"/>
        </w:tabs>
        <w:spacing w:line="240" w:lineRule="auto"/>
        <w:ind w:right="-1"/>
        <w:jc w:val="both"/>
        <w:rPr>
          <w:szCs w:val="22"/>
          <w:lang w:val="sl-SI" w:eastAsia="sl-SI"/>
        </w:rPr>
      </w:pPr>
      <w:r>
        <w:rPr>
          <w:szCs w:val="22"/>
          <w:lang w:val="sl-SI" w:eastAsia="sl-SI"/>
        </w:rPr>
        <w:t xml:space="preserve">Bezbjednost rivaroksabana procjenjivana je u trinaest </w:t>
      </w:r>
      <w:r>
        <w:rPr>
          <w:szCs w:val="22"/>
          <w:lang w:val="sr-Latn-ME"/>
        </w:rPr>
        <w:t xml:space="preserve">pivotalnih </w:t>
      </w:r>
      <w:r>
        <w:rPr>
          <w:szCs w:val="22"/>
          <w:lang w:val="sl-SI" w:eastAsia="sl-SI"/>
        </w:rPr>
        <w:t>studija faze III (vidjeti Tabelu 1).</w:t>
      </w:r>
    </w:p>
    <w:p w14:paraId="77C042A7" w14:textId="77777777" w:rsidR="005F7A91" w:rsidRDefault="005F7A91">
      <w:pPr>
        <w:widowControl w:val="0"/>
        <w:tabs>
          <w:tab w:val="clear" w:pos="567"/>
        </w:tabs>
        <w:spacing w:line="240" w:lineRule="auto"/>
        <w:ind w:right="368"/>
        <w:jc w:val="both"/>
        <w:rPr>
          <w:szCs w:val="22"/>
          <w:lang w:val="sl-SI" w:eastAsia="sl-SI"/>
        </w:rPr>
      </w:pPr>
    </w:p>
    <w:p w14:paraId="25C9F6D5" w14:textId="77777777" w:rsidR="005F7A91" w:rsidRDefault="007C7639" w:rsidP="00804AC8">
      <w:pPr>
        <w:widowControl w:val="0"/>
        <w:tabs>
          <w:tab w:val="clear" w:pos="567"/>
        </w:tabs>
        <w:autoSpaceDE w:val="0"/>
        <w:autoSpaceDN w:val="0"/>
        <w:spacing w:line="240" w:lineRule="auto"/>
        <w:ind w:right="-1"/>
        <w:jc w:val="both"/>
        <w:rPr>
          <w:szCs w:val="22"/>
          <w:lang w:val="sr-Latn-RS"/>
        </w:rPr>
      </w:pPr>
      <w:r>
        <w:rPr>
          <w:szCs w:val="22"/>
          <w:lang w:val="sr-Latn-ME"/>
        </w:rPr>
        <w:t xml:space="preserve">Ukupno 69608 odraslih pacijenata </w:t>
      </w:r>
      <w:r>
        <w:rPr>
          <w:szCs w:val="22"/>
        </w:rPr>
        <w:t xml:space="preserve">u devetnaest studija faze III </w:t>
      </w:r>
      <w:r>
        <w:rPr>
          <w:szCs w:val="22"/>
          <w:lang w:val="sr-Latn-ME"/>
        </w:rPr>
        <w:t xml:space="preserve">i 488 </w:t>
      </w:r>
      <w:r>
        <w:rPr>
          <w:szCs w:val="22"/>
        </w:rPr>
        <w:t xml:space="preserve">pedijatrijskih pacijenata u dva ispitivanja faze II i dva ispitivanja faze III </w:t>
      </w:r>
      <w:r>
        <w:rPr>
          <w:szCs w:val="22"/>
          <w:lang w:val="sr-Latn-ME"/>
        </w:rPr>
        <w:t>bilo je izloženo rivaroksabanu.</w:t>
      </w:r>
    </w:p>
    <w:p w14:paraId="6C9C517C" w14:textId="77777777" w:rsidR="005F7A91" w:rsidRDefault="005F7A91">
      <w:pPr>
        <w:widowControl w:val="0"/>
        <w:tabs>
          <w:tab w:val="clear" w:pos="567"/>
        </w:tabs>
        <w:spacing w:line="240" w:lineRule="auto"/>
        <w:ind w:right="368"/>
        <w:jc w:val="both"/>
        <w:rPr>
          <w:szCs w:val="22"/>
          <w:lang w:val="sl-SI"/>
        </w:rPr>
      </w:pPr>
    </w:p>
    <w:p w14:paraId="43EEE6AD" w14:textId="77777777" w:rsidR="005F7A91" w:rsidRDefault="007C7639" w:rsidP="00473C8C">
      <w:pPr>
        <w:widowControl w:val="0"/>
        <w:tabs>
          <w:tab w:val="clear" w:pos="567"/>
        </w:tabs>
        <w:spacing w:line="240" w:lineRule="auto"/>
        <w:jc w:val="center"/>
        <w:rPr>
          <w:szCs w:val="22"/>
          <w:lang w:val="sl-SI"/>
        </w:rPr>
      </w:pPr>
      <w:r>
        <w:rPr>
          <w:b/>
          <w:bCs/>
          <w:szCs w:val="22"/>
          <w:lang w:val="sl-SI" w:eastAsia="sl-SI"/>
        </w:rPr>
        <w:t xml:space="preserve">Tabela 1: Broj pacijenata, ukupna dnevna doza i maksimalno trajanje terapije u studijama faze III </w:t>
      </w:r>
      <w:r>
        <w:rPr>
          <w:b/>
          <w:bCs/>
          <w:szCs w:val="22"/>
          <w:lang w:val="sr-Latn-ME" w:eastAsia="sl-SI"/>
        </w:rPr>
        <w:t>kod odraslih i pedijatrijskih pacijenata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1304"/>
        <w:gridCol w:w="2955"/>
        <w:gridCol w:w="1390"/>
      </w:tblGrid>
      <w:tr w:rsidR="005F7A91" w14:paraId="0268B40F" w14:textId="77777777" w:rsidTr="00473C8C">
        <w:trPr>
          <w:trHeight w:val="530"/>
        </w:trPr>
        <w:tc>
          <w:tcPr>
            <w:tcW w:w="1909" w:type="pct"/>
            <w:shd w:val="clear" w:color="auto" w:fill="auto"/>
            <w:hideMark/>
          </w:tcPr>
          <w:p w14:paraId="3F145297"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Indikacija</w:t>
            </w:r>
          </w:p>
        </w:tc>
        <w:tc>
          <w:tcPr>
            <w:tcW w:w="719" w:type="pct"/>
            <w:shd w:val="clear" w:color="auto" w:fill="auto"/>
            <w:hideMark/>
          </w:tcPr>
          <w:p w14:paraId="09B1393C"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Broj pacijenata*</w:t>
            </w:r>
          </w:p>
        </w:tc>
        <w:tc>
          <w:tcPr>
            <w:tcW w:w="1653" w:type="pct"/>
            <w:shd w:val="clear" w:color="auto" w:fill="auto"/>
            <w:hideMark/>
          </w:tcPr>
          <w:p w14:paraId="6EED661F"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Ukupna dnevna doza</w:t>
            </w:r>
          </w:p>
        </w:tc>
        <w:tc>
          <w:tcPr>
            <w:tcW w:w="719" w:type="pct"/>
            <w:shd w:val="clear" w:color="auto" w:fill="auto"/>
            <w:hideMark/>
          </w:tcPr>
          <w:p w14:paraId="24739D5D"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Maksimalno trajanje terapije</w:t>
            </w:r>
          </w:p>
        </w:tc>
      </w:tr>
      <w:tr w:rsidR="005F7A91" w14:paraId="29825C7C" w14:textId="77777777" w:rsidTr="00473C8C">
        <w:tc>
          <w:tcPr>
            <w:tcW w:w="1909" w:type="pct"/>
            <w:shd w:val="clear" w:color="auto" w:fill="auto"/>
            <w:hideMark/>
          </w:tcPr>
          <w:p w14:paraId="05D04A91"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Prevencija venske tromboembolije (VTE) kod odraslih pacijenata koji su podvrgnuti elektivnom hirurškom zahvatu zamjene kuka ili koljena</w:t>
            </w:r>
          </w:p>
        </w:tc>
        <w:tc>
          <w:tcPr>
            <w:tcW w:w="719" w:type="pct"/>
            <w:shd w:val="clear" w:color="auto" w:fill="auto"/>
            <w:hideMark/>
          </w:tcPr>
          <w:p w14:paraId="22C9491D" w14:textId="77777777" w:rsidR="005F7A91" w:rsidRDefault="007C7639" w:rsidP="00473C8C">
            <w:pPr>
              <w:tabs>
                <w:tab w:val="clear" w:pos="567"/>
              </w:tabs>
              <w:spacing w:line="240" w:lineRule="auto"/>
              <w:rPr>
                <w:szCs w:val="22"/>
                <w:lang w:val="sl-SI" w:eastAsia="sl-SI"/>
              </w:rPr>
            </w:pPr>
            <w:r>
              <w:rPr>
                <w:szCs w:val="22"/>
                <w:lang w:val="sl-SI" w:eastAsia="sl-SI"/>
              </w:rPr>
              <w:t>6097</w:t>
            </w:r>
          </w:p>
        </w:tc>
        <w:tc>
          <w:tcPr>
            <w:tcW w:w="1653" w:type="pct"/>
            <w:shd w:val="clear" w:color="auto" w:fill="auto"/>
            <w:hideMark/>
          </w:tcPr>
          <w:p w14:paraId="1F069CFE" w14:textId="77777777" w:rsidR="005F7A91" w:rsidRDefault="007C7639" w:rsidP="00473C8C">
            <w:pPr>
              <w:tabs>
                <w:tab w:val="clear" w:pos="567"/>
              </w:tabs>
              <w:spacing w:line="240" w:lineRule="auto"/>
              <w:rPr>
                <w:szCs w:val="22"/>
                <w:lang w:val="sl-SI" w:eastAsia="sl-SI"/>
              </w:rPr>
            </w:pPr>
            <w:r>
              <w:rPr>
                <w:szCs w:val="22"/>
                <w:lang w:val="sl-SI" w:eastAsia="sl-SI"/>
              </w:rPr>
              <w:t>10 mg</w:t>
            </w:r>
          </w:p>
        </w:tc>
        <w:tc>
          <w:tcPr>
            <w:tcW w:w="719" w:type="pct"/>
            <w:shd w:val="clear" w:color="auto" w:fill="auto"/>
            <w:hideMark/>
          </w:tcPr>
          <w:p w14:paraId="5BC18118" w14:textId="77777777" w:rsidR="005F7A91" w:rsidRDefault="007C7639" w:rsidP="00473C8C">
            <w:pPr>
              <w:tabs>
                <w:tab w:val="clear" w:pos="567"/>
              </w:tabs>
              <w:spacing w:line="240" w:lineRule="auto"/>
              <w:rPr>
                <w:szCs w:val="22"/>
                <w:lang w:val="sl-SI" w:eastAsia="sl-SI"/>
              </w:rPr>
            </w:pPr>
            <w:r>
              <w:rPr>
                <w:szCs w:val="22"/>
                <w:lang w:val="sl-SI" w:eastAsia="sl-SI"/>
              </w:rPr>
              <w:t>39 dana</w:t>
            </w:r>
          </w:p>
        </w:tc>
      </w:tr>
      <w:tr w:rsidR="005F7A91" w14:paraId="25364A25" w14:textId="77777777" w:rsidTr="00473C8C">
        <w:tc>
          <w:tcPr>
            <w:tcW w:w="1909" w:type="pct"/>
            <w:shd w:val="clear" w:color="auto" w:fill="auto"/>
            <w:hideMark/>
          </w:tcPr>
          <w:p w14:paraId="0922CC47"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Prevencija venske tromboembolije (VTE) kod hospitalizovanih nehirurških pacijenata</w:t>
            </w:r>
          </w:p>
        </w:tc>
        <w:tc>
          <w:tcPr>
            <w:tcW w:w="719" w:type="pct"/>
            <w:shd w:val="clear" w:color="auto" w:fill="auto"/>
            <w:hideMark/>
          </w:tcPr>
          <w:p w14:paraId="1703815C" w14:textId="77777777" w:rsidR="005F7A91" w:rsidRDefault="007C7639" w:rsidP="00473C8C">
            <w:pPr>
              <w:tabs>
                <w:tab w:val="clear" w:pos="567"/>
              </w:tabs>
              <w:spacing w:line="240" w:lineRule="auto"/>
              <w:rPr>
                <w:szCs w:val="22"/>
                <w:lang w:val="sl-SI" w:eastAsia="sl-SI"/>
              </w:rPr>
            </w:pPr>
            <w:r>
              <w:rPr>
                <w:szCs w:val="22"/>
                <w:lang w:val="sl-SI" w:eastAsia="sl-SI"/>
              </w:rPr>
              <w:t>3997</w:t>
            </w:r>
          </w:p>
        </w:tc>
        <w:tc>
          <w:tcPr>
            <w:tcW w:w="1653" w:type="pct"/>
            <w:shd w:val="clear" w:color="auto" w:fill="auto"/>
            <w:hideMark/>
          </w:tcPr>
          <w:p w14:paraId="7C86576C" w14:textId="77777777" w:rsidR="005F7A91" w:rsidRDefault="007C7639" w:rsidP="00473C8C">
            <w:pPr>
              <w:tabs>
                <w:tab w:val="clear" w:pos="567"/>
              </w:tabs>
              <w:spacing w:line="240" w:lineRule="auto"/>
              <w:rPr>
                <w:szCs w:val="22"/>
                <w:lang w:val="sl-SI" w:eastAsia="sl-SI"/>
              </w:rPr>
            </w:pPr>
            <w:r>
              <w:rPr>
                <w:szCs w:val="22"/>
                <w:lang w:val="sl-SI" w:eastAsia="sl-SI"/>
              </w:rPr>
              <w:t>10 mg</w:t>
            </w:r>
          </w:p>
        </w:tc>
        <w:tc>
          <w:tcPr>
            <w:tcW w:w="719" w:type="pct"/>
            <w:shd w:val="clear" w:color="auto" w:fill="auto"/>
            <w:hideMark/>
          </w:tcPr>
          <w:p w14:paraId="48D4C27E" w14:textId="77777777" w:rsidR="005F7A91" w:rsidRDefault="007C7639" w:rsidP="00473C8C">
            <w:pPr>
              <w:tabs>
                <w:tab w:val="clear" w:pos="567"/>
              </w:tabs>
              <w:spacing w:line="240" w:lineRule="auto"/>
              <w:rPr>
                <w:szCs w:val="22"/>
                <w:lang w:val="sl-SI" w:eastAsia="sl-SI"/>
              </w:rPr>
            </w:pPr>
            <w:r>
              <w:rPr>
                <w:szCs w:val="22"/>
                <w:lang w:val="sl-SI" w:eastAsia="sl-SI"/>
              </w:rPr>
              <w:t>39 dana</w:t>
            </w:r>
          </w:p>
        </w:tc>
      </w:tr>
      <w:tr w:rsidR="005F7A91" w14:paraId="5A7B851B" w14:textId="77777777" w:rsidTr="00473C8C">
        <w:tc>
          <w:tcPr>
            <w:tcW w:w="1909" w:type="pct"/>
            <w:shd w:val="clear" w:color="auto" w:fill="auto"/>
            <w:hideMark/>
          </w:tcPr>
          <w:p w14:paraId="2EC73646"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Terapija TDV, PE i prevencija njihovih recidiva</w:t>
            </w:r>
          </w:p>
        </w:tc>
        <w:tc>
          <w:tcPr>
            <w:tcW w:w="719" w:type="pct"/>
            <w:shd w:val="clear" w:color="auto" w:fill="auto"/>
            <w:hideMark/>
          </w:tcPr>
          <w:p w14:paraId="2B79E430" w14:textId="77777777" w:rsidR="005F7A91" w:rsidRDefault="007C7639" w:rsidP="00473C8C">
            <w:pPr>
              <w:tabs>
                <w:tab w:val="clear" w:pos="567"/>
              </w:tabs>
              <w:spacing w:line="240" w:lineRule="auto"/>
              <w:rPr>
                <w:szCs w:val="22"/>
                <w:lang w:val="sl-SI" w:eastAsia="sl-SI"/>
              </w:rPr>
            </w:pPr>
            <w:r>
              <w:rPr>
                <w:szCs w:val="22"/>
                <w:lang w:val="sl-SI" w:eastAsia="sl-SI"/>
              </w:rPr>
              <w:t>6790</w:t>
            </w:r>
          </w:p>
        </w:tc>
        <w:tc>
          <w:tcPr>
            <w:tcW w:w="1653" w:type="pct"/>
            <w:shd w:val="clear" w:color="auto" w:fill="auto"/>
            <w:hideMark/>
          </w:tcPr>
          <w:p w14:paraId="7E33C739" w14:textId="77777777" w:rsidR="005F7A91" w:rsidRDefault="007C7639" w:rsidP="00473C8C">
            <w:pPr>
              <w:tabs>
                <w:tab w:val="clear" w:pos="567"/>
              </w:tabs>
              <w:spacing w:line="240" w:lineRule="auto"/>
              <w:rPr>
                <w:szCs w:val="22"/>
                <w:lang w:val="sl-SI" w:eastAsia="sl-SI"/>
              </w:rPr>
            </w:pPr>
            <w:r>
              <w:rPr>
                <w:szCs w:val="22"/>
                <w:lang w:val="sl-SI" w:eastAsia="sl-SI"/>
              </w:rPr>
              <w:t>Od 1. do 21. dana: 30 mg</w:t>
            </w:r>
          </w:p>
          <w:p w14:paraId="236EC1FB" w14:textId="77777777" w:rsidR="005F7A91" w:rsidRDefault="007C7639" w:rsidP="00473C8C">
            <w:pPr>
              <w:tabs>
                <w:tab w:val="clear" w:pos="567"/>
              </w:tabs>
              <w:spacing w:line="240" w:lineRule="auto"/>
              <w:rPr>
                <w:szCs w:val="22"/>
                <w:lang w:val="sl-SI" w:eastAsia="sl-SI"/>
              </w:rPr>
            </w:pPr>
            <w:r>
              <w:rPr>
                <w:szCs w:val="22"/>
                <w:lang w:val="sl-SI" w:eastAsia="sl-SI"/>
              </w:rPr>
              <w:t>Od 22. dana nadalje: 20 mg</w:t>
            </w:r>
          </w:p>
          <w:p w14:paraId="6B147FCA" w14:textId="77777777" w:rsidR="005F7A91" w:rsidRDefault="007C7639" w:rsidP="00473C8C">
            <w:pPr>
              <w:tabs>
                <w:tab w:val="clear" w:pos="567"/>
              </w:tabs>
              <w:spacing w:line="240" w:lineRule="auto"/>
              <w:rPr>
                <w:szCs w:val="22"/>
                <w:lang w:val="sl-SI" w:eastAsia="sl-SI"/>
              </w:rPr>
            </w:pPr>
            <w:r>
              <w:rPr>
                <w:szCs w:val="22"/>
                <w:lang w:val="sl-SI" w:eastAsia="sl-SI"/>
              </w:rPr>
              <w:t>Nakon najmanje 6 mjeseci: 10 mg ili 20 mg</w:t>
            </w:r>
          </w:p>
        </w:tc>
        <w:tc>
          <w:tcPr>
            <w:tcW w:w="719" w:type="pct"/>
            <w:shd w:val="clear" w:color="auto" w:fill="auto"/>
            <w:hideMark/>
          </w:tcPr>
          <w:p w14:paraId="0C775EC6" w14:textId="77777777" w:rsidR="005F7A91" w:rsidRDefault="007C7639" w:rsidP="00473C8C">
            <w:pPr>
              <w:tabs>
                <w:tab w:val="clear" w:pos="567"/>
              </w:tabs>
              <w:spacing w:line="240" w:lineRule="auto"/>
              <w:rPr>
                <w:szCs w:val="22"/>
                <w:lang w:val="sl-SI" w:eastAsia="sl-SI"/>
              </w:rPr>
            </w:pPr>
            <w:r>
              <w:rPr>
                <w:szCs w:val="22"/>
                <w:lang w:val="sl-SI" w:eastAsia="sl-SI"/>
              </w:rPr>
              <w:t>21 mjesec</w:t>
            </w:r>
          </w:p>
        </w:tc>
      </w:tr>
      <w:tr w:rsidR="005F7A91" w14:paraId="4AC5CAA9" w14:textId="77777777" w:rsidTr="00473C8C">
        <w:tc>
          <w:tcPr>
            <w:tcW w:w="1909" w:type="pct"/>
            <w:shd w:val="clear" w:color="auto" w:fill="auto"/>
          </w:tcPr>
          <w:p w14:paraId="4FAE38F8"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eastAsia="sl-SI"/>
              </w:rPr>
              <w:t>Terapija VTE-a i prevencija ponavljajućeg VTE-a kod novorođenčadi i djece uzrasta mlađih od 18 godina nakon početka standardnog antikoagulacijskog liječenja</w:t>
            </w:r>
          </w:p>
        </w:tc>
        <w:tc>
          <w:tcPr>
            <w:tcW w:w="719" w:type="pct"/>
            <w:shd w:val="clear" w:color="auto" w:fill="auto"/>
          </w:tcPr>
          <w:p w14:paraId="69CC6BF7" w14:textId="77777777" w:rsidR="005F7A91" w:rsidRDefault="007C7639" w:rsidP="00473C8C">
            <w:pPr>
              <w:tabs>
                <w:tab w:val="clear" w:pos="567"/>
              </w:tabs>
              <w:spacing w:line="240" w:lineRule="auto"/>
              <w:rPr>
                <w:szCs w:val="22"/>
                <w:lang w:val="sl-SI" w:eastAsia="sl-SI"/>
              </w:rPr>
            </w:pPr>
            <w:r>
              <w:rPr>
                <w:szCs w:val="22"/>
                <w:lang w:val="sl-SI" w:eastAsia="sl-SI"/>
              </w:rPr>
              <w:t>329</w:t>
            </w:r>
          </w:p>
        </w:tc>
        <w:tc>
          <w:tcPr>
            <w:tcW w:w="1653" w:type="pct"/>
            <w:shd w:val="clear" w:color="auto" w:fill="auto"/>
          </w:tcPr>
          <w:p w14:paraId="6256D5D2" w14:textId="498BE1E5" w:rsidR="005F7A91" w:rsidRDefault="007C7639" w:rsidP="00473C8C">
            <w:pPr>
              <w:tabs>
                <w:tab w:val="clear" w:pos="567"/>
              </w:tabs>
              <w:spacing w:line="240" w:lineRule="auto"/>
              <w:rPr>
                <w:szCs w:val="22"/>
                <w:lang w:val="sl-SI" w:eastAsia="sl-SI"/>
              </w:rPr>
            </w:pPr>
            <w:r>
              <w:rPr>
                <w:szCs w:val="22"/>
                <w:lang w:eastAsia="sl-SI"/>
              </w:rPr>
              <w:t xml:space="preserve">Doza prilagođena tjelesnoj </w:t>
            </w:r>
            <w:r w:rsidR="00804AC8">
              <w:rPr>
                <w:szCs w:val="22"/>
                <w:lang w:eastAsia="sl-SI"/>
              </w:rPr>
              <w:t xml:space="preserve">masi </w:t>
            </w:r>
            <w:r>
              <w:rPr>
                <w:szCs w:val="22"/>
                <w:lang w:eastAsia="sl-SI"/>
              </w:rPr>
              <w:t xml:space="preserve">radi postizanja izloženosti slične onoj </w:t>
            </w:r>
            <w:r w:rsidR="00804AC8">
              <w:rPr>
                <w:szCs w:val="22"/>
                <w:lang w:eastAsia="sl-SI"/>
              </w:rPr>
              <w:t>za</w:t>
            </w:r>
            <w:r>
              <w:rPr>
                <w:szCs w:val="22"/>
                <w:lang w:eastAsia="sl-SI"/>
              </w:rPr>
              <w:t>paženoj kod odraslih liječenih zbog DVT-a primjenom 20 mg rivaroksabana jednom dnevno</w:t>
            </w:r>
          </w:p>
        </w:tc>
        <w:tc>
          <w:tcPr>
            <w:tcW w:w="719" w:type="pct"/>
            <w:shd w:val="clear" w:color="auto" w:fill="auto"/>
          </w:tcPr>
          <w:p w14:paraId="3855B321" w14:textId="77777777" w:rsidR="005F7A91" w:rsidRDefault="007C7639" w:rsidP="00473C8C">
            <w:pPr>
              <w:tabs>
                <w:tab w:val="clear" w:pos="567"/>
              </w:tabs>
              <w:spacing w:line="240" w:lineRule="auto"/>
              <w:rPr>
                <w:szCs w:val="22"/>
                <w:lang w:val="sl-SI" w:eastAsia="sl-SI"/>
              </w:rPr>
            </w:pPr>
            <w:r>
              <w:rPr>
                <w:szCs w:val="22"/>
                <w:lang w:val="sl-SI" w:eastAsia="sl-SI"/>
              </w:rPr>
              <w:t>12 mjeseci</w:t>
            </w:r>
          </w:p>
        </w:tc>
      </w:tr>
      <w:tr w:rsidR="005F7A91" w14:paraId="29E15678" w14:textId="77777777" w:rsidTr="00473C8C">
        <w:tc>
          <w:tcPr>
            <w:tcW w:w="1909" w:type="pct"/>
            <w:shd w:val="clear" w:color="auto" w:fill="auto"/>
            <w:hideMark/>
          </w:tcPr>
          <w:p w14:paraId="20FC8EC9" w14:textId="77777777" w:rsidR="005F7A91" w:rsidRDefault="007C7639" w:rsidP="00804AC8">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Prevencija moždanog udara i sistemske embolije kod pacijenata sa nevalvularnom atrijalnom fibrilacijom</w:t>
            </w:r>
          </w:p>
        </w:tc>
        <w:tc>
          <w:tcPr>
            <w:tcW w:w="719" w:type="pct"/>
            <w:shd w:val="clear" w:color="auto" w:fill="auto"/>
            <w:hideMark/>
          </w:tcPr>
          <w:p w14:paraId="13FE833F" w14:textId="77777777" w:rsidR="005F7A91" w:rsidRDefault="007C7639" w:rsidP="00473C8C">
            <w:pPr>
              <w:tabs>
                <w:tab w:val="clear" w:pos="567"/>
              </w:tabs>
              <w:spacing w:line="240" w:lineRule="auto"/>
              <w:rPr>
                <w:szCs w:val="22"/>
                <w:lang w:val="sl-SI" w:eastAsia="sl-SI"/>
              </w:rPr>
            </w:pPr>
            <w:r>
              <w:rPr>
                <w:szCs w:val="22"/>
                <w:lang w:val="sl-SI" w:eastAsia="sl-SI"/>
              </w:rPr>
              <w:t>7750</w:t>
            </w:r>
          </w:p>
        </w:tc>
        <w:tc>
          <w:tcPr>
            <w:tcW w:w="1653" w:type="pct"/>
            <w:shd w:val="clear" w:color="auto" w:fill="auto"/>
            <w:hideMark/>
          </w:tcPr>
          <w:p w14:paraId="25FDD3A4" w14:textId="77777777" w:rsidR="005F7A91" w:rsidRDefault="007C7639" w:rsidP="00473C8C">
            <w:pPr>
              <w:tabs>
                <w:tab w:val="clear" w:pos="567"/>
              </w:tabs>
              <w:spacing w:line="240" w:lineRule="auto"/>
              <w:rPr>
                <w:szCs w:val="22"/>
                <w:lang w:val="sl-SI" w:eastAsia="sl-SI"/>
              </w:rPr>
            </w:pPr>
            <w:r>
              <w:rPr>
                <w:szCs w:val="22"/>
                <w:lang w:val="sl-SI" w:eastAsia="sl-SI"/>
              </w:rPr>
              <w:t>20 mg</w:t>
            </w:r>
          </w:p>
        </w:tc>
        <w:tc>
          <w:tcPr>
            <w:tcW w:w="719" w:type="pct"/>
            <w:shd w:val="clear" w:color="auto" w:fill="auto"/>
            <w:hideMark/>
          </w:tcPr>
          <w:p w14:paraId="15AD068F" w14:textId="77777777" w:rsidR="005F7A91" w:rsidRDefault="007C7639" w:rsidP="00473C8C">
            <w:pPr>
              <w:tabs>
                <w:tab w:val="clear" w:pos="567"/>
              </w:tabs>
              <w:spacing w:line="240" w:lineRule="auto"/>
              <w:rPr>
                <w:szCs w:val="22"/>
                <w:lang w:val="sl-SI" w:eastAsia="sl-SI"/>
              </w:rPr>
            </w:pPr>
            <w:r>
              <w:rPr>
                <w:szCs w:val="22"/>
                <w:lang w:val="sl-SI" w:eastAsia="sl-SI"/>
              </w:rPr>
              <w:t>41 mjesec</w:t>
            </w:r>
          </w:p>
        </w:tc>
      </w:tr>
      <w:tr w:rsidR="005F7A91" w14:paraId="57EED9EF" w14:textId="77777777" w:rsidTr="00473C8C">
        <w:tc>
          <w:tcPr>
            <w:tcW w:w="1909" w:type="pct"/>
            <w:shd w:val="clear" w:color="auto" w:fill="auto"/>
            <w:hideMark/>
          </w:tcPr>
          <w:p w14:paraId="44BF0E1D" w14:textId="77777777" w:rsidR="005F7A91" w:rsidRDefault="007C7639" w:rsidP="00804AC8">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Prevencija aterotrombotičnih događaja kod pacijenata nakon akutnog koronarnog sindroma (AKS)</w:t>
            </w:r>
          </w:p>
        </w:tc>
        <w:tc>
          <w:tcPr>
            <w:tcW w:w="719" w:type="pct"/>
            <w:shd w:val="clear" w:color="auto" w:fill="auto"/>
            <w:hideMark/>
          </w:tcPr>
          <w:p w14:paraId="708D442D" w14:textId="77777777" w:rsidR="005F7A91" w:rsidRDefault="007C7639" w:rsidP="00473C8C">
            <w:pPr>
              <w:tabs>
                <w:tab w:val="clear" w:pos="567"/>
              </w:tabs>
              <w:spacing w:line="240" w:lineRule="auto"/>
              <w:rPr>
                <w:szCs w:val="22"/>
                <w:lang w:val="sl-SI" w:eastAsia="sl-SI"/>
              </w:rPr>
            </w:pPr>
            <w:r>
              <w:rPr>
                <w:szCs w:val="22"/>
                <w:lang w:val="sl-SI" w:eastAsia="sl-SI"/>
              </w:rPr>
              <w:t>10 225</w:t>
            </w:r>
          </w:p>
        </w:tc>
        <w:tc>
          <w:tcPr>
            <w:tcW w:w="1653" w:type="pct"/>
            <w:shd w:val="clear" w:color="auto" w:fill="auto"/>
            <w:hideMark/>
          </w:tcPr>
          <w:p w14:paraId="767D63C9" w14:textId="77777777" w:rsidR="005F7A91" w:rsidRDefault="007C7639" w:rsidP="00804AC8">
            <w:pPr>
              <w:tabs>
                <w:tab w:val="clear" w:pos="567"/>
              </w:tabs>
              <w:spacing w:line="240" w:lineRule="auto"/>
              <w:rPr>
                <w:szCs w:val="22"/>
                <w:lang w:val="sl-SI" w:eastAsia="sl-SI"/>
              </w:rPr>
            </w:pPr>
            <w:r>
              <w:rPr>
                <w:szCs w:val="22"/>
                <w:lang w:val="sl-SI" w:eastAsia="sl-SI"/>
              </w:rPr>
              <w:t>5 mg ili 10 mg primijenjenih istovremeno uz acetilsalicilnu kiselinu ili acetilsalicilnu kiselinu i klopidogrel ili tiklopidin</w:t>
            </w:r>
          </w:p>
        </w:tc>
        <w:tc>
          <w:tcPr>
            <w:tcW w:w="719" w:type="pct"/>
            <w:shd w:val="clear" w:color="auto" w:fill="auto"/>
            <w:hideMark/>
          </w:tcPr>
          <w:p w14:paraId="436A1686" w14:textId="77777777" w:rsidR="005F7A91" w:rsidRDefault="007C7639" w:rsidP="00473C8C">
            <w:pPr>
              <w:tabs>
                <w:tab w:val="clear" w:pos="567"/>
              </w:tabs>
              <w:spacing w:line="240" w:lineRule="auto"/>
              <w:rPr>
                <w:szCs w:val="22"/>
                <w:lang w:val="sl-SI" w:eastAsia="sl-SI"/>
              </w:rPr>
            </w:pPr>
            <w:r>
              <w:rPr>
                <w:szCs w:val="22"/>
                <w:lang w:val="sl-SI" w:eastAsia="sl-SI"/>
              </w:rPr>
              <w:t>31 mjesec</w:t>
            </w:r>
          </w:p>
        </w:tc>
      </w:tr>
      <w:tr w:rsidR="005F7A91" w14:paraId="214CEC7C" w14:textId="77777777" w:rsidTr="00473C8C">
        <w:tc>
          <w:tcPr>
            <w:tcW w:w="1909" w:type="pct"/>
            <w:vMerge w:val="restart"/>
            <w:shd w:val="clear" w:color="auto" w:fill="auto"/>
            <w:hideMark/>
          </w:tcPr>
          <w:p w14:paraId="012B9C11" w14:textId="77777777" w:rsidR="005F7A91" w:rsidRDefault="007C7639" w:rsidP="00804AC8">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Prevencija aterotrombotičnih događaja kod pacijenata sa BKA/BPA</w:t>
            </w:r>
          </w:p>
        </w:tc>
        <w:tc>
          <w:tcPr>
            <w:tcW w:w="719" w:type="pct"/>
            <w:shd w:val="clear" w:color="auto" w:fill="auto"/>
            <w:hideMark/>
          </w:tcPr>
          <w:p w14:paraId="010EDD6B" w14:textId="77777777" w:rsidR="005F7A91" w:rsidRDefault="007C7639" w:rsidP="00473C8C">
            <w:pPr>
              <w:tabs>
                <w:tab w:val="clear" w:pos="567"/>
              </w:tabs>
              <w:spacing w:line="240" w:lineRule="auto"/>
              <w:rPr>
                <w:szCs w:val="22"/>
                <w:lang w:val="sl-SI" w:eastAsia="sl-SI"/>
              </w:rPr>
            </w:pPr>
            <w:r>
              <w:rPr>
                <w:szCs w:val="22"/>
                <w:lang w:val="sl-SI" w:eastAsia="sl-SI"/>
              </w:rPr>
              <w:t>18 244</w:t>
            </w:r>
          </w:p>
        </w:tc>
        <w:tc>
          <w:tcPr>
            <w:tcW w:w="1653" w:type="pct"/>
            <w:shd w:val="clear" w:color="auto" w:fill="auto"/>
            <w:hideMark/>
          </w:tcPr>
          <w:p w14:paraId="32510FEA" w14:textId="77777777" w:rsidR="005F7A91" w:rsidRDefault="007C7639" w:rsidP="00804AC8">
            <w:pPr>
              <w:tabs>
                <w:tab w:val="clear" w:pos="567"/>
              </w:tabs>
              <w:spacing w:line="240" w:lineRule="auto"/>
              <w:rPr>
                <w:szCs w:val="22"/>
                <w:lang w:val="sl-SI" w:eastAsia="sl-SI"/>
              </w:rPr>
            </w:pPr>
            <w:r>
              <w:rPr>
                <w:szCs w:val="22"/>
                <w:lang w:val="sl-SI" w:eastAsia="sl-SI"/>
              </w:rPr>
              <w:t>5 mg primijenjenih istovremeno uz acetilsalicilnu kiselinu ili 10 mg u monoterapiji</w:t>
            </w:r>
          </w:p>
        </w:tc>
        <w:tc>
          <w:tcPr>
            <w:tcW w:w="719" w:type="pct"/>
            <w:shd w:val="clear" w:color="auto" w:fill="auto"/>
            <w:hideMark/>
          </w:tcPr>
          <w:p w14:paraId="6ADC5244" w14:textId="77777777" w:rsidR="005F7A91" w:rsidRDefault="007C7639" w:rsidP="00473C8C">
            <w:pPr>
              <w:tabs>
                <w:tab w:val="clear" w:pos="567"/>
              </w:tabs>
              <w:spacing w:line="240" w:lineRule="auto"/>
              <w:rPr>
                <w:szCs w:val="22"/>
                <w:lang w:val="sl-SI" w:eastAsia="sl-SI"/>
              </w:rPr>
            </w:pPr>
            <w:r>
              <w:rPr>
                <w:szCs w:val="22"/>
                <w:lang w:val="sl-SI" w:eastAsia="sl-SI"/>
              </w:rPr>
              <w:t>47 mjeseci</w:t>
            </w:r>
          </w:p>
        </w:tc>
      </w:tr>
      <w:tr w:rsidR="005F7A91" w14:paraId="449E9159" w14:textId="77777777" w:rsidTr="00473C8C">
        <w:tc>
          <w:tcPr>
            <w:tcW w:w="1909" w:type="pct"/>
            <w:vMerge/>
            <w:shd w:val="clear" w:color="auto" w:fill="auto"/>
          </w:tcPr>
          <w:p w14:paraId="1F1910F7" w14:textId="77777777" w:rsidR="005F7A91" w:rsidRDefault="005F7A91" w:rsidP="00473C8C">
            <w:pPr>
              <w:tabs>
                <w:tab w:val="clear" w:pos="567"/>
              </w:tabs>
              <w:autoSpaceDE w:val="0"/>
              <w:autoSpaceDN w:val="0"/>
              <w:adjustRightInd w:val="0"/>
              <w:spacing w:line="240" w:lineRule="auto"/>
              <w:rPr>
                <w:color w:val="000000"/>
                <w:szCs w:val="22"/>
                <w:lang w:val="hr-HR" w:eastAsia="sl-SI"/>
              </w:rPr>
            </w:pPr>
          </w:p>
        </w:tc>
        <w:tc>
          <w:tcPr>
            <w:tcW w:w="719" w:type="pct"/>
            <w:shd w:val="clear" w:color="auto" w:fill="auto"/>
          </w:tcPr>
          <w:p w14:paraId="1FAC84E3" w14:textId="77777777" w:rsidR="005F7A91" w:rsidRDefault="007C7639" w:rsidP="00473C8C">
            <w:pPr>
              <w:tabs>
                <w:tab w:val="clear" w:pos="567"/>
              </w:tabs>
              <w:spacing w:line="240" w:lineRule="auto"/>
              <w:rPr>
                <w:szCs w:val="22"/>
                <w:lang w:val="sl-SI" w:eastAsia="sl-SI"/>
              </w:rPr>
            </w:pPr>
            <w:r>
              <w:rPr>
                <w:szCs w:val="22"/>
                <w:lang w:val="sl-SI" w:eastAsia="sl-SI"/>
              </w:rPr>
              <w:t>3,256**</w:t>
            </w:r>
          </w:p>
        </w:tc>
        <w:tc>
          <w:tcPr>
            <w:tcW w:w="1653" w:type="pct"/>
            <w:shd w:val="clear" w:color="auto" w:fill="auto"/>
          </w:tcPr>
          <w:p w14:paraId="3872B1F0" w14:textId="77777777" w:rsidR="005F7A91" w:rsidRDefault="007C7639" w:rsidP="00804AC8">
            <w:pPr>
              <w:tabs>
                <w:tab w:val="clear" w:pos="567"/>
              </w:tabs>
              <w:spacing w:line="240" w:lineRule="auto"/>
              <w:rPr>
                <w:szCs w:val="22"/>
                <w:lang w:val="sl-SI" w:eastAsia="sl-SI"/>
              </w:rPr>
            </w:pPr>
            <w:r>
              <w:rPr>
                <w:szCs w:val="22"/>
                <w:lang w:val="en-US"/>
              </w:rPr>
              <w:t>5 mg primijenjenih istovremeno sa ASK</w:t>
            </w:r>
          </w:p>
        </w:tc>
        <w:tc>
          <w:tcPr>
            <w:tcW w:w="719" w:type="pct"/>
            <w:shd w:val="clear" w:color="auto" w:fill="auto"/>
          </w:tcPr>
          <w:p w14:paraId="232103E1" w14:textId="77777777" w:rsidR="005F7A91" w:rsidRDefault="007C7639" w:rsidP="00473C8C">
            <w:pPr>
              <w:tabs>
                <w:tab w:val="clear" w:pos="567"/>
              </w:tabs>
              <w:spacing w:line="240" w:lineRule="auto"/>
              <w:rPr>
                <w:szCs w:val="22"/>
                <w:lang w:val="sl-SI" w:eastAsia="sl-SI"/>
              </w:rPr>
            </w:pPr>
            <w:r>
              <w:rPr>
                <w:szCs w:val="22"/>
                <w:lang w:val="sl-SI" w:eastAsia="sl-SI"/>
              </w:rPr>
              <w:t>42 mjeseca</w:t>
            </w:r>
          </w:p>
        </w:tc>
      </w:tr>
    </w:tbl>
    <w:p w14:paraId="123AEF88" w14:textId="77777777" w:rsidR="005F7A91" w:rsidRDefault="007C7639">
      <w:pPr>
        <w:widowControl w:val="0"/>
        <w:tabs>
          <w:tab w:val="clear" w:pos="567"/>
        </w:tabs>
        <w:spacing w:line="240" w:lineRule="auto"/>
        <w:jc w:val="both"/>
        <w:rPr>
          <w:szCs w:val="22"/>
          <w:lang w:val="sl-SI" w:eastAsia="sl-SI"/>
        </w:rPr>
      </w:pPr>
      <w:r>
        <w:rPr>
          <w:rFonts w:eastAsia="Calibri"/>
          <w:szCs w:val="22"/>
          <w:lang w:val="sl-SI"/>
        </w:rPr>
        <w:lastRenderedPageBreak/>
        <w:t xml:space="preserve">* </w:t>
      </w:r>
      <w:r>
        <w:rPr>
          <w:szCs w:val="22"/>
          <w:lang w:val="sl-SI" w:eastAsia="sl-SI"/>
        </w:rPr>
        <w:t>Pacijenti koji su primili najmanje jednu dozu rivaroksabana</w:t>
      </w:r>
    </w:p>
    <w:p w14:paraId="7A03F2F8" w14:textId="77777777" w:rsidR="005F7A91" w:rsidRDefault="007C7639">
      <w:pPr>
        <w:tabs>
          <w:tab w:val="clear" w:pos="567"/>
        </w:tabs>
        <w:spacing w:line="240" w:lineRule="auto"/>
        <w:ind w:right="850"/>
        <w:jc w:val="both"/>
        <w:rPr>
          <w:szCs w:val="22"/>
          <w:lang w:val="sr-Latn-ME"/>
        </w:rPr>
      </w:pPr>
      <w:r>
        <w:rPr>
          <w:szCs w:val="22"/>
          <w:lang w:val="sl-SI" w:eastAsia="sl-SI"/>
        </w:rPr>
        <w:t xml:space="preserve">** </w:t>
      </w:r>
      <w:r>
        <w:rPr>
          <w:szCs w:val="22"/>
          <w:lang w:val="sr-Latn-ME"/>
        </w:rPr>
        <w:t>Iz VOYAGER PAD studije</w:t>
      </w:r>
    </w:p>
    <w:p w14:paraId="048D07A3" w14:textId="77777777" w:rsidR="005F7A91" w:rsidRDefault="005F7A91">
      <w:pPr>
        <w:widowControl w:val="0"/>
        <w:tabs>
          <w:tab w:val="clear" w:pos="567"/>
        </w:tabs>
        <w:spacing w:line="240" w:lineRule="auto"/>
        <w:jc w:val="both"/>
        <w:rPr>
          <w:szCs w:val="22"/>
          <w:lang w:val="sl-SI" w:eastAsia="sl-SI"/>
        </w:rPr>
      </w:pPr>
    </w:p>
    <w:p w14:paraId="316AAF4A" w14:textId="77777777" w:rsidR="005F7A91" w:rsidRDefault="007C7639" w:rsidP="00804AC8">
      <w:pPr>
        <w:widowControl w:val="0"/>
        <w:tabs>
          <w:tab w:val="clear" w:pos="567"/>
        </w:tabs>
        <w:spacing w:line="240" w:lineRule="auto"/>
        <w:ind w:right="-1"/>
        <w:jc w:val="both"/>
        <w:rPr>
          <w:szCs w:val="22"/>
          <w:lang w:val="sl-SI"/>
        </w:rPr>
      </w:pPr>
      <w:r>
        <w:rPr>
          <w:szCs w:val="22"/>
          <w:lang w:val="sl-SI" w:eastAsia="sl-SI"/>
        </w:rPr>
        <w:t>Najčešće prijavljene neželjene reakcije kod pacijenta koji su primali rivaroksaban su bile  krvarenja (vidjeti takođe dio 4.4 i „Opis odabranih neželjenih dejstava“) (Tabela 2). Najčešće prijavljena krvarenja bila su epistaksa (4,5%) i krvarenje iz gastrointestinalnog trakta (3,8%).</w:t>
      </w:r>
    </w:p>
    <w:p w14:paraId="64D370C3" w14:textId="77777777" w:rsidR="005F7A91" w:rsidRDefault="005F7A91">
      <w:pPr>
        <w:widowControl w:val="0"/>
        <w:tabs>
          <w:tab w:val="clear" w:pos="567"/>
        </w:tabs>
        <w:spacing w:line="240" w:lineRule="auto"/>
        <w:ind w:right="485"/>
        <w:jc w:val="both"/>
        <w:rPr>
          <w:szCs w:val="22"/>
          <w:lang w:val="sl-SI"/>
        </w:rPr>
      </w:pPr>
    </w:p>
    <w:p w14:paraId="1E99E29A" w14:textId="77777777" w:rsidR="005F7A91" w:rsidRDefault="007C7639" w:rsidP="00473C8C">
      <w:pPr>
        <w:shd w:val="clear" w:color="auto" w:fill="FFFFFF"/>
        <w:tabs>
          <w:tab w:val="clear" w:pos="567"/>
        </w:tabs>
        <w:spacing w:line="240" w:lineRule="auto"/>
        <w:jc w:val="center"/>
        <w:rPr>
          <w:b/>
          <w:bCs/>
          <w:color w:val="000000"/>
          <w:szCs w:val="22"/>
          <w:lang w:val="sl-SI" w:eastAsia="sl-SI"/>
        </w:rPr>
      </w:pPr>
      <w:r>
        <w:rPr>
          <w:b/>
          <w:bCs/>
          <w:color w:val="000000"/>
          <w:szCs w:val="22"/>
          <w:lang w:val="sl-SI" w:eastAsia="sl-SI"/>
        </w:rPr>
        <w:t xml:space="preserve">Tabela 2: Stope krvarenja* i anemija kod </w:t>
      </w:r>
      <w:r>
        <w:rPr>
          <w:b/>
          <w:bCs/>
          <w:color w:val="000000"/>
          <w:szCs w:val="22"/>
          <w:lang w:val="sr-Latn-ME" w:eastAsia="sl-SI"/>
        </w:rPr>
        <w:t xml:space="preserve">kod </w:t>
      </w:r>
      <w:r>
        <w:rPr>
          <w:b/>
          <w:bCs/>
          <w:color w:val="000000"/>
          <w:szCs w:val="22"/>
          <w:lang w:val="en-US" w:eastAsia="sl-SI"/>
        </w:rPr>
        <w:t xml:space="preserve">odraslih i pedijatrijskih </w:t>
      </w:r>
      <w:r>
        <w:rPr>
          <w:b/>
          <w:bCs/>
          <w:color w:val="000000"/>
          <w:szCs w:val="22"/>
          <w:lang w:val="sl-SI" w:eastAsia="sl-SI"/>
        </w:rPr>
        <w:t>pacijenata koji su primali rivaroksaban u završenim studijama Faze III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2347"/>
        <w:gridCol w:w="1587"/>
      </w:tblGrid>
      <w:tr w:rsidR="005F7A91" w14:paraId="7D96A3F1" w14:textId="77777777" w:rsidTr="00473C8C">
        <w:tc>
          <w:tcPr>
            <w:tcW w:w="2831" w:type="pct"/>
            <w:shd w:val="clear" w:color="auto" w:fill="auto"/>
            <w:hideMark/>
          </w:tcPr>
          <w:p w14:paraId="1096E7CB" w14:textId="77777777" w:rsidR="005F7A91" w:rsidRDefault="007C7639">
            <w:pPr>
              <w:tabs>
                <w:tab w:val="clear" w:pos="567"/>
              </w:tabs>
              <w:spacing w:line="240" w:lineRule="auto"/>
              <w:jc w:val="both"/>
              <w:rPr>
                <w:szCs w:val="22"/>
                <w:lang w:val="sl-SI" w:eastAsia="sl-SI"/>
              </w:rPr>
            </w:pPr>
            <w:r>
              <w:rPr>
                <w:b/>
                <w:bCs/>
                <w:szCs w:val="22"/>
                <w:lang w:val="sl-SI" w:eastAsia="sl-SI"/>
              </w:rPr>
              <w:t>Indikacija</w:t>
            </w:r>
          </w:p>
        </w:tc>
        <w:tc>
          <w:tcPr>
            <w:tcW w:w="1294" w:type="pct"/>
            <w:shd w:val="clear" w:color="auto" w:fill="auto"/>
            <w:hideMark/>
          </w:tcPr>
          <w:p w14:paraId="084712EB" w14:textId="77777777" w:rsidR="005F7A91" w:rsidRDefault="007C7639">
            <w:pPr>
              <w:tabs>
                <w:tab w:val="clear" w:pos="567"/>
              </w:tabs>
              <w:spacing w:line="240" w:lineRule="auto"/>
              <w:jc w:val="both"/>
              <w:rPr>
                <w:szCs w:val="22"/>
                <w:lang w:val="sl-SI" w:eastAsia="sl-SI"/>
              </w:rPr>
            </w:pPr>
            <w:r>
              <w:rPr>
                <w:b/>
                <w:bCs/>
                <w:szCs w:val="22"/>
                <w:lang w:val="sl-SI" w:eastAsia="sl-SI"/>
              </w:rPr>
              <w:t>Krvarenje</w:t>
            </w:r>
          </w:p>
        </w:tc>
        <w:tc>
          <w:tcPr>
            <w:tcW w:w="876" w:type="pct"/>
            <w:shd w:val="clear" w:color="auto" w:fill="auto"/>
            <w:hideMark/>
          </w:tcPr>
          <w:p w14:paraId="29AD6F61" w14:textId="77777777" w:rsidR="005F7A91" w:rsidRDefault="007C7639">
            <w:pPr>
              <w:tabs>
                <w:tab w:val="clear" w:pos="567"/>
              </w:tabs>
              <w:spacing w:line="240" w:lineRule="auto"/>
              <w:jc w:val="both"/>
              <w:rPr>
                <w:szCs w:val="22"/>
                <w:lang w:val="sl-SI" w:eastAsia="sl-SI"/>
              </w:rPr>
            </w:pPr>
            <w:r>
              <w:rPr>
                <w:b/>
                <w:bCs/>
                <w:szCs w:val="22"/>
                <w:lang w:val="sl-SI" w:eastAsia="sl-SI"/>
              </w:rPr>
              <w:t>Anemija</w:t>
            </w:r>
          </w:p>
        </w:tc>
      </w:tr>
      <w:tr w:rsidR="005F7A91" w14:paraId="341569BB" w14:textId="77777777" w:rsidTr="00473C8C">
        <w:tc>
          <w:tcPr>
            <w:tcW w:w="2831" w:type="pct"/>
            <w:shd w:val="clear" w:color="auto" w:fill="auto"/>
            <w:hideMark/>
          </w:tcPr>
          <w:p w14:paraId="171C4E3D"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 xml:space="preserve">Prevencija VTE kod odraslih </w:t>
            </w:r>
            <w:r>
              <w:rPr>
                <w:color w:val="000000"/>
                <w:sz w:val="24"/>
                <w:szCs w:val="24"/>
                <w:lang w:val="sl-SI" w:eastAsia="sl-SI"/>
              </w:rPr>
              <w:t xml:space="preserve">pacijenata </w:t>
            </w:r>
            <w:r>
              <w:rPr>
                <w:color w:val="000000"/>
                <w:szCs w:val="22"/>
                <w:lang w:val="hr-HR" w:eastAsia="sl-SI"/>
              </w:rPr>
              <w:t>podvrgnutih elektivnom hirurškom zahvatu zamjene kuka ili koljena</w:t>
            </w:r>
          </w:p>
        </w:tc>
        <w:tc>
          <w:tcPr>
            <w:tcW w:w="1294" w:type="pct"/>
            <w:shd w:val="clear" w:color="auto" w:fill="auto"/>
            <w:hideMark/>
          </w:tcPr>
          <w:p w14:paraId="33F22D0A" w14:textId="77777777" w:rsidR="005F7A91" w:rsidRDefault="007C7639" w:rsidP="00473C8C">
            <w:pPr>
              <w:tabs>
                <w:tab w:val="clear" w:pos="567"/>
              </w:tabs>
              <w:spacing w:line="240" w:lineRule="auto"/>
              <w:rPr>
                <w:szCs w:val="22"/>
                <w:lang w:val="sl-SI" w:eastAsia="sl-SI"/>
              </w:rPr>
            </w:pPr>
            <w:r>
              <w:rPr>
                <w:szCs w:val="22"/>
                <w:lang w:val="sl-SI" w:eastAsia="sl-SI"/>
              </w:rPr>
              <w:t>6,8% pacijenata</w:t>
            </w:r>
          </w:p>
        </w:tc>
        <w:tc>
          <w:tcPr>
            <w:tcW w:w="876" w:type="pct"/>
            <w:shd w:val="clear" w:color="auto" w:fill="auto"/>
            <w:hideMark/>
          </w:tcPr>
          <w:p w14:paraId="6CB698EB" w14:textId="77777777" w:rsidR="005F7A91" w:rsidRDefault="007C7639" w:rsidP="00473C8C">
            <w:pPr>
              <w:tabs>
                <w:tab w:val="clear" w:pos="567"/>
              </w:tabs>
              <w:spacing w:line="240" w:lineRule="auto"/>
              <w:rPr>
                <w:szCs w:val="22"/>
                <w:lang w:val="sl-SI" w:eastAsia="sl-SI"/>
              </w:rPr>
            </w:pPr>
            <w:r>
              <w:rPr>
                <w:szCs w:val="22"/>
                <w:lang w:val="sl-SI" w:eastAsia="sl-SI"/>
              </w:rPr>
              <w:t>5,9% pacijenata</w:t>
            </w:r>
          </w:p>
        </w:tc>
      </w:tr>
      <w:tr w:rsidR="005F7A91" w14:paraId="47E33C21" w14:textId="77777777" w:rsidTr="00473C8C">
        <w:tc>
          <w:tcPr>
            <w:tcW w:w="2831" w:type="pct"/>
            <w:shd w:val="clear" w:color="auto" w:fill="auto"/>
            <w:hideMark/>
          </w:tcPr>
          <w:p w14:paraId="3485F63D"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Prevencija VTE kod hospitalizovanih nehirurških pacijenata</w:t>
            </w:r>
          </w:p>
        </w:tc>
        <w:tc>
          <w:tcPr>
            <w:tcW w:w="1294" w:type="pct"/>
            <w:shd w:val="clear" w:color="auto" w:fill="auto"/>
            <w:hideMark/>
          </w:tcPr>
          <w:p w14:paraId="12444AB2" w14:textId="77777777" w:rsidR="005F7A91" w:rsidRDefault="007C7639" w:rsidP="00473C8C">
            <w:pPr>
              <w:tabs>
                <w:tab w:val="clear" w:pos="567"/>
              </w:tabs>
              <w:spacing w:line="240" w:lineRule="auto"/>
              <w:rPr>
                <w:szCs w:val="22"/>
                <w:lang w:val="sl-SI" w:eastAsia="sl-SI"/>
              </w:rPr>
            </w:pPr>
            <w:r>
              <w:rPr>
                <w:szCs w:val="22"/>
                <w:lang w:val="sl-SI" w:eastAsia="sl-SI"/>
              </w:rPr>
              <w:t>12,6% pacijenata</w:t>
            </w:r>
          </w:p>
        </w:tc>
        <w:tc>
          <w:tcPr>
            <w:tcW w:w="876" w:type="pct"/>
            <w:shd w:val="clear" w:color="auto" w:fill="auto"/>
            <w:hideMark/>
          </w:tcPr>
          <w:p w14:paraId="60F23B8B" w14:textId="77777777" w:rsidR="005F7A91" w:rsidRDefault="007C7639" w:rsidP="00473C8C">
            <w:pPr>
              <w:tabs>
                <w:tab w:val="clear" w:pos="567"/>
              </w:tabs>
              <w:spacing w:line="240" w:lineRule="auto"/>
              <w:rPr>
                <w:szCs w:val="22"/>
                <w:lang w:val="sl-SI" w:eastAsia="sl-SI"/>
              </w:rPr>
            </w:pPr>
            <w:r>
              <w:rPr>
                <w:szCs w:val="22"/>
                <w:lang w:val="sl-SI" w:eastAsia="sl-SI"/>
              </w:rPr>
              <w:t>2,1% pacijenata</w:t>
            </w:r>
          </w:p>
        </w:tc>
      </w:tr>
      <w:tr w:rsidR="005F7A91" w14:paraId="3B86A091" w14:textId="77777777" w:rsidTr="00473C8C">
        <w:tc>
          <w:tcPr>
            <w:tcW w:w="2831" w:type="pct"/>
            <w:shd w:val="clear" w:color="auto" w:fill="auto"/>
            <w:hideMark/>
          </w:tcPr>
          <w:p w14:paraId="7386A8C2"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Terapija TDV, PE i prevencija njihovih recidiva</w:t>
            </w:r>
          </w:p>
        </w:tc>
        <w:tc>
          <w:tcPr>
            <w:tcW w:w="1294" w:type="pct"/>
            <w:shd w:val="clear" w:color="auto" w:fill="auto"/>
            <w:hideMark/>
          </w:tcPr>
          <w:p w14:paraId="10051477" w14:textId="77777777" w:rsidR="005F7A91" w:rsidRDefault="007C7639" w:rsidP="00473C8C">
            <w:pPr>
              <w:tabs>
                <w:tab w:val="clear" w:pos="567"/>
              </w:tabs>
              <w:spacing w:line="240" w:lineRule="auto"/>
              <w:rPr>
                <w:szCs w:val="22"/>
                <w:lang w:val="sl-SI" w:eastAsia="sl-SI"/>
              </w:rPr>
            </w:pPr>
            <w:r>
              <w:rPr>
                <w:szCs w:val="22"/>
                <w:lang w:val="sl-SI" w:eastAsia="sl-SI"/>
              </w:rPr>
              <w:t>23% pacijenata</w:t>
            </w:r>
          </w:p>
        </w:tc>
        <w:tc>
          <w:tcPr>
            <w:tcW w:w="876" w:type="pct"/>
            <w:shd w:val="clear" w:color="auto" w:fill="auto"/>
            <w:hideMark/>
          </w:tcPr>
          <w:p w14:paraId="2DEEC19E" w14:textId="77777777" w:rsidR="005F7A91" w:rsidRDefault="007C7639" w:rsidP="00473C8C">
            <w:pPr>
              <w:tabs>
                <w:tab w:val="clear" w:pos="567"/>
              </w:tabs>
              <w:spacing w:line="240" w:lineRule="auto"/>
              <w:rPr>
                <w:szCs w:val="22"/>
                <w:lang w:val="sl-SI" w:eastAsia="sl-SI"/>
              </w:rPr>
            </w:pPr>
            <w:r>
              <w:rPr>
                <w:szCs w:val="22"/>
                <w:lang w:val="sl-SI" w:eastAsia="sl-SI"/>
              </w:rPr>
              <w:t>1,6% pacijenata</w:t>
            </w:r>
          </w:p>
        </w:tc>
      </w:tr>
      <w:tr w:rsidR="005F7A91" w14:paraId="7EABB66A" w14:textId="77777777" w:rsidTr="00473C8C">
        <w:tc>
          <w:tcPr>
            <w:tcW w:w="2831" w:type="pct"/>
            <w:shd w:val="clear" w:color="auto" w:fill="auto"/>
          </w:tcPr>
          <w:p w14:paraId="36CAB02B"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eastAsia="sl-SI"/>
              </w:rPr>
              <w:t>Terapija VTE-a i prevencija ponavljajućeg VTE-a kod novorođenčadi i djece uzrasta mlađih od 18 godina nakon početka standardnog antikoagulacijskog liječenja</w:t>
            </w:r>
          </w:p>
        </w:tc>
        <w:tc>
          <w:tcPr>
            <w:tcW w:w="1294" w:type="pct"/>
            <w:shd w:val="clear" w:color="auto" w:fill="auto"/>
          </w:tcPr>
          <w:p w14:paraId="18D54521" w14:textId="77777777" w:rsidR="005F7A91" w:rsidRDefault="007C7639" w:rsidP="00473C8C">
            <w:pPr>
              <w:tabs>
                <w:tab w:val="clear" w:pos="567"/>
              </w:tabs>
              <w:spacing w:line="240" w:lineRule="auto"/>
              <w:rPr>
                <w:szCs w:val="22"/>
                <w:lang w:val="sl-SI" w:eastAsia="sl-SI"/>
              </w:rPr>
            </w:pPr>
            <w:r>
              <w:rPr>
                <w:szCs w:val="22"/>
                <w:lang w:val="sl-SI" w:eastAsia="sl-SI"/>
              </w:rPr>
              <w:t>39.5% pacijenata</w:t>
            </w:r>
          </w:p>
        </w:tc>
        <w:tc>
          <w:tcPr>
            <w:tcW w:w="876" w:type="pct"/>
            <w:shd w:val="clear" w:color="auto" w:fill="auto"/>
          </w:tcPr>
          <w:p w14:paraId="48C9BEDB" w14:textId="77777777" w:rsidR="005F7A91" w:rsidRDefault="007C7639" w:rsidP="00473C8C">
            <w:pPr>
              <w:tabs>
                <w:tab w:val="clear" w:pos="567"/>
              </w:tabs>
              <w:spacing w:line="240" w:lineRule="auto"/>
              <w:rPr>
                <w:szCs w:val="22"/>
                <w:lang w:val="sl-SI" w:eastAsia="sl-SI"/>
              </w:rPr>
            </w:pPr>
            <w:r>
              <w:rPr>
                <w:szCs w:val="22"/>
                <w:lang w:val="sl-SI" w:eastAsia="sl-SI"/>
              </w:rPr>
              <w:t>4.6% pacijenata</w:t>
            </w:r>
          </w:p>
        </w:tc>
      </w:tr>
      <w:tr w:rsidR="005F7A91" w14:paraId="38FEF496" w14:textId="77777777" w:rsidTr="00473C8C">
        <w:tc>
          <w:tcPr>
            <w:tcW w:w="2831" w:type="pct"/>
            <w:shd w:val="clear" w:color="auto" w:fill="auto"/>
            <w:hideMark/>
          </w:tcPr>
          <w:p w14:paraId="1C81FF10"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 xml:space="preserve">Prevencija moždanog udara i sistemske embolije kod pacijenata sa nevalvularnom atrijalnom fibrilacijom </w:t>
            </w:r>
          </w:p>
        </w:tc>
        <w:tc>
          <w:tcPr>
            <w:tcW w:w="1294" w:type="pct"/>
            <w:shd w:val="clear" w:color="auto" w:fill="auto"/>
            <w:hideMark/>
          </w:tcPr>
          <w:p w14:paraId="4222DAB6" w14:textId="77777777" w:rsidR="005F7A91" w:rsidRDefault="007C7639" w:rsidP="00473C8C">
            <w:pPr>
              <w:tabs>
                <w:tab w:val="clear" w:pos="567"/>
              </w:tabs>
              <w:spacing w:line="240" w:lineRule="auto"/>
              <w:rPr>
                <w:szCs w:val="22"/>
                <w:lang w:val="sl-SI" w:eastAsia="sl-SI"/>
              </w:rPr>
            </w:pPr>
            <w:r>
              <w:rPr>
                <w:szCs w:val="22"/>
                <w:lang w:val="sl-SI" w:eastAsia="sl-SI"/>
              </w:rPr>
              <w:t>28 na 100 pacijent-godina</w:t>
            </w:r>
          </w:p>
        </w:tc>
        <w:tc>
          <w:tcPr>
            <w:tcW w:w="876" w:type="pct"/>
            <w:shd w:val="clear" w:color="auto" w:fill="auto"/>
            <w:hideMark/>
          </w:tcPr>
          <w:p w14:paraId="4E2D400C" w14:textId="77777777" w:rsidR="005F7A91" w:rsidRDefault="007C7639" w:rsidP="00473C8C">
            <w:pPr>
              <w:tabs>
                <w:tab w:val="clear" w:pos="567"/>
              </w:tabs>
              <w:spacing w:line="240" w:lineRule="auto"/>
              <w:rPr>
                <w:szCs w:val="22"/>
                <w:lang w:val="sl-SI" w:eastAsia="sl-SI"/>
              </w:rPr>
            </w:pPr>
            <w:r>
              <w:rPr>
                <w:szCs w:val="22"/>
                <w:lang w:val="sl-SI" w:eastAsia="sl-SI"/>
              </w:rPr>
              <w:t>2,5 na 100 pacijent-godina</w:t>
            </w:r>
          </w:p>
        </w:tc>
      </w:tr>
      <w:tr w:rsidR="005F7A91" w14:paraId="578E4A2E" w14:textId="77777777" w:rsidTr="00473C8C">
        <w:tc>
          <w:tcPr>
            <w:tcW w:w="2831" w:type="pct"/>
            <w:shd w:val="clear" w:color="auto" w:fill="auto"/>
            <w:hideMark/>
          </w:tcPr>
          <w:p w14:paraId="27F9EB5F"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Prevencija aterotrombotičnih događaja kod pacijenata nakon akutnog koronarnog sindroma (AKS)</w:t>
            </w:r>
          </w:p>
        </w:tc>
        <w:tc>
          <w:tcPr>
            <w:tcW w:w="1294" w:type="pct"/>
            <w:shd w:val="clear" w:color="auto" w:fill="auto"/>
            <w:hideMark/>
          </w:tcPr>
          <w:p w14:paraId="39C75CED" w14:textId="77777777" w:rsidR="005F7A91" w:rsidRDefault="007C7639" w:rsidP="00473C8C">
            <w:pPr>
              <w:tabs>
                <w:tab w:val="clear" w:pos="567"/>
              </w:tabs>
              <w:spacing w:line="240" w:lineRule="auto"/>
              <w:rPr>
                <w:szCs w:val="22"/>
                <w:lang w:val="sl-SI" w:eastAsia="sl-SI"/>
              </w:rPr>
            </w:pPr>
            <w:r>
              <w:rPr>
                <w:szCs w:val="22"/>
                <w:lang w:val="sl-SI" w:eastAsia="sl-SI"/>
              </w:rPr>
              <w:t>22 na 100 pacijent-godina</w:t>
            </w:r>
          </w:p>
        </w:tc>
        <w:tc>
          <w:tcPr>
            <w:tcW w:w="876" w:type="pct"/>
            <w:shd w:val="clear" w:color="auto" w:fill="auto"/>
            <w:hideMark/>
          </w:tcPr>
          <w:p w14:paraId="3044B987" w14:textId="77777777" w:rsidR="005F7A91" w:rsidRDefault="007C7639" w:rsidP="00473C8C">
            <w:pPr>
              <w:tabs>
                <w:tab w:val="clear" w:pos="567"/>
              </w:tabs>
              <w:spacing w:line="240" w:lineRule="auto"/>
              <w:rPr>
                <w:szCs w:val="22"/>
                <w:lang w:val="sl-SI" w:eastAsia="sl-SI"/>
              </w:rPr>
            </w:pPr>
            <w:r>
              <w:rPr>
                <w:szCs w:val="22"/>
                <w:lang w:val="sl-SI" w:eastAsia="sl-SI"/>
              </w:rPr>
              <w:t>1,4 na 100 pacijent-godina</w:t>
            </w:r>
          </w:p>
        </w:tc>
      </w:tr>
      <w:tr w:rsidR="005F7A91" w14:paraId="52FBEBAE" w14:textId="77777777" w:rsidTr="00473C8C">
        <w:tc>
          <w:tcPr>
            <w:tcW w:w="2831" w:type="pct"/>
            <w:vMerge w:val="restart"/>
            <w:shd w:val="clear" w:color="auto" w:fill="auto"/>
            <w:hideMark/>
          </w:tcPr>
          <w:p w14:paraId="08C0B443" w14:textId="77777777" w:rsidR="005F7A91" w:rsidRDefault="007C7639" w:rsidP="00473C8C">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Prevencija aterotrombotičnih događaja kod pacijenata sa BKA/BPA</w:t>
            </w:r>
          </w:p>
        </w:tc>
        <w:tc>
          <w:tcPr>
            <w:tcW w:w="1294" w:type="pct"/>
            <w:shd w:val="clear" w:color="auto" w:fill="auto"/>
            <w:hideMark/>
          </w:tcPr>
          <w:p w14:paraId="63D010E1" w14:textId="77777777" w:rsidR="005F7A91" w:rsidRDefault="007C7639" w:rsidP="00473C8C">
            <w:pPr>
              <w:tabs>
                <w:tab w:val="clear" w:pos="567"/>
              </w:tabs>
              <w:spacing w:line="240" w:lineRule="auto"/>
              <w:rPr>
                <w:szCs w:val="22"/>
                <w:lang w:val="sl-SI" w:eastAsia="sl-SI"/>
              </w:rPr>
            </w:pPr>
            <w:r>
              <w:rPr>
                <w:szCs w:val="22"/>
                <w:lang w:val="sl-SI" w:eastAsia="sl-SI"/>
              </w:rPr>
              <w:t>6,7 na 100 pacijent-godina</w:t>
            </w:r>
          </w:p>
        </w:tc>
        <w:tc>
          <w:tcPr>
            <w:tcW w:w="876" w:type="pct"/>
            <w:shd w:val="clear" w:color="auto" w:fill="auto"/>
            <w:hideMark/>
          </w:tcPr>
          <w:p w14:paraId="40247DD3" w14:textId="77777777" w:rsidR="005F7A91" w:rsidRDefault="007C7639" w:rsidP="00473C8C">
            <w:pPr>
              <w:tabs>
                <w:tab w:val="clear" w:pos="567"/>
              </w:tabs>
              <w:spacing w:line="240" w:lineRule="auto"/>
              <w:rPr>
                <w:szCs w:val="22"/>
                <w:lang w:val="sl-SI" w:eastAsia="sl-SI"/>
              </w:rPr>
            </w:pPr>
            <w:r>
              <w:rPr>
                <w:szCs w:val="22"/>
                <w:lang w:val="sl-SI" w:eastAsia="sl-SI"/>
              </w:rPr>
              <w:t>0,15 na 100 pacijent-godina**</w:t>
            </w:r>
          </w:p>
        </w:tc>
      </w:tr>
      <w:tr w:rsidR="005F7A91" w14:paraId="7BE382BF" w14:textId="77777777" w:rsidTr="00473C8C">
        <w:tc>
          <w:tcPr>
            <w:tcW w:w="2831" w:type="pct"/>
            <w:vMerge/>
            <w:shd w:val="clear" w:color="auto" w:fill="auto"/>
          </w:tcPr>
          <w:p w14:paraId="258D5EDC" w14:textId="77777777" w:rsidR="005F7A91" w:rsidRDefault="005F7A91" w:rsidP="00473C8C">
            <w:pPr>
              <w:tabs>
                <w:tab w:val="clear" w:pos="567"/>
              </w:tabs>
              <w:autoSpaceDE w:val="0"/>
              <w:autoSpaceDN w:val="0"/>
              <w:adjustRightInd w:val="0"/>
              <w:spacing w:line="240" w:lineRule="auto"/>
              <w:rPr>
                <w:color w:val="000000"/>
                <w:szCs w:val="22"/>
                <w:lang w:val="hr-HR" w:eastAsia="sl-SI"/>
              </w:rPr>
            </w:pPr>
          </w:p>
        </w:tc>
        <w:tc>
          <w:tcPr>
            <w:tcW w:w="1294" w:type="pct"/>
            <w:shd w:val="clear" w:color="auto" w:fill="auto"/>
          </w:tcPr>
          <w:p w14:paraId="3B7CDFEF" w14:textId="77777777" w:rsidR="005F7A91" w:rsidRDefault="007C7639" w:rsidP="00473C8C">
            <w:pPr>
              <w:tabs>
                <w:tab w:val="clear" w:pos="567"/>
              </w:tabs>
              <w:spacing w:line="240" w:lineRule="auto"/>
              <w:rPr>
                <w:szCs w:val="22"/>
                <w:lang w:val="sl-SI" w:eastAsia="sl-SI"/>
              </w:rPr>
            </w:pPr>
            <w:r>
              <w:rPr>
                <w:szCs w:val="22"/>
                <w:lang w:val="en-US"/>
              </w:rPr>
              <w:t xml:space="preserve">8.38 na 100 </w:t>
            </w:r>
            <w:r>
              <w:rPr>
                <w:szCs w:val="22"/>
                <w:lang w:val="sr-Latn-ME"/>
              </w:rPr>
              <w:t>pacijent - godina</w:t>
            </w:r>
            <w:r>
              <w:rPr>
                <w:szCs w:val="22"/>
                <w:lang w:val="en-US"/>
              </w:rPr>
              <w:t xml:space="preserve"> #</w:t>
            </w:r>
          </w:p>
        </w:tc>
        <w:tc>
          <w:tcPr>
            <w:tcW w:w="876" w:type="pct"/>
            <w:shd w:val="clear" w:color="auto" w:fill="auto"/>
          </w:tcPr>
          <w:p w14:paraId="40A7AEA3" w14:textId="77777777" w:rsidR="005F7A91" w:rsidRDefault="007C7639" w:rsidP="00473C8C">
            <w:pPr>
              <w:tabs>
                <w:tab w:val="clear" w:pos="567"/>
              </w:tabs>
              <w:spacing w:line="240" w:lineRule="auto"/>
              <w:rPr>
                <w:szCs w:val="22"/>
                <w:lang w:val="sl-SI" w:eastAsia="sl-SI"/>
              </w:rPr>
            </w:pPr>
            <w:r>
              <w:rPr>
                <w:szCs w:val="22"/>
                <w:lang w:val="en-US"/>
              </w:rPr>
              <w:t xml:space="preserve">0.74 </w:t>
            </w:r>
            <w:r>
              <w:rPr>
                <w:szCs w:val="22"/>
                <w:lang w:val="sr-Latn-ME"/>
              </w:rPr>
              <w:t>na 100 pacijent- godina</w:t>
            </w:r>
            <w:r>
              <w:rPr>
                <w:szCs w:val="22"/>
                <w:lang w:val="en-US"/>
              </w:rPr>
              <w:t xml:space="preserve"> *** #</w:t>
            </w:r>
          </w:p>
        </w:tc>
      </w:tr>
    </w:tbl>
    <w:p w14:paraId="621BC9ED"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Prikupljena su, zabilježena i procijenjena sva krvarenja u svim studijama rivaroksabana.</w:t>
      </w:r>
    </w:p>
    <w:p w14:paraId="5F1E82B4"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U ispitivanju COMPASS, incidencija anemije je niska jer je primijenjen selektivni pristup u prikupljanju prijava neželjenih događaja.</w:t>
      </w:r>
    </w:p>
    <w:p w14:paraId="30892C07" w14:textId="77777777" w:rsidR="005F7A91" w:rsidRDefault="007C7639">
      <w:pPr>
        <w:tabs>
          <w:tab w:val="clear" w:pos="567"/>
        </w:tabs>
        <w:autoSpaceDE w:val="0"/>
        <w:autoSpaceDN w:val="0"/>
        <w:adjustRightInd w:val="0"/>
        <w:spacing w:line="240" w:lineRule="auto"/>
        <w:jc w:val="both"/>
        <w:rPr>
          <w:szCs w:val="22"/>
          <w:lang w:val="sr-Latn-ME"/>
        </w:rPr>
      </w:pPr>
      <w:r>
        <w:rPr>
          <w:color w:val="000000"/>
          <w:szCs w:val="22"/>
          <w:lang w:val="hr-HR" w:eastAsia="sl-SI"/>
        </w:rPr>
        <w:t xml:space="preserve">*** </w:t>
      </w:r>
      <w:r>
        <w:rPr>
          <w:szCs w:val="22"/>
          <w:lang w:val="en-US"/>
        </w:rPr>
        <w:t>U prikupljanju prijava neželjenih događaja primijenjen je selektivan pristup.</w:t>
      </w:r>
      <w:r>
        <w:rPr>
          <w:szCs w:val="22"/>
          <w:lang w:val="sr-Latn-ME"/>
        </w:rPr>
        <w:t xml:space="preserve"> </w:t>
      </w:r>
    </w:p>
    <w:p w14:paraId="196ACCF5"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 </w:t>
      </w:r>
      <w:r>
        <w:rPr>
          <w:szCs w:val="22"/>
          <w:lang w:val="sr-Latn-ME"/>
        </w:rPr>
        <w:t>Iz VOYAGER PAD studije</w:t>
      </w:r>
    </w:p>
    <w:p w14:paraId="31458043" w14:textId="77777777" w:rsidR="005F7A91" w:rsidRDefault="005F7A91">
      <w:pPr>
        <w:widowControl w:val="0"/>
        <w:tabs>
          <w:tab w:val="clear" w:pos="567"/>
        </w:tabs>
        <w:spacing w:line="240" w:lineRule="auto"/>
        <w:jc w:val="both"/>
        <w:rPr>
          <w:rFonts w:eastAsia="Calibri"/>
          <w:szCs w:val="22"/>
          <w:lang w:val="sl-SI"/>
        </w:rPr>
      </w:pPr>
    </w:p>
    <w:p w14:paraId="52565917" w14:textId="77777777" w:rsidR="005F7A91" w:rsidRDefault="007C7639">
      <w:pPr>
        <w:tabs>
          <w:tab w:val="clear" w:pos="567"/>
        </w:tabs>
        <w:autoSpaceDE w:val="0"/>
        <w:autoSpaceDN w:val="0"/>
        <w:adjustRightInd w:val="0"/>
        <w:spacing w:line="240" w:lineRule="auto"/>
        <w:jc w:val="both"/>
        <w:rPr>
          <w:b/>
          <w:color w:val="000000"/>
          <w:szCs w:val="22"/>
          <w:u w:val="single"/>
          <w:lang w:val="hr-HR" w:eastAsia="sl-SI"/>
        </w:rPr>
      </w:pPr>
      <w:r>
        <w:rPr>
          <w:b/>
          <w:color w:val="000000"/>
          <w:szCs w:val="22"/>
          <w:u w:val="single"/>
          <w:lang w:val="hr-HR" w:eastAsia="sl-SI"/>
        </w:rPr>
        <w:t>Tabelarni prikaz neželjenih reakcija</w:t>
      </w:r>
    </w:p>
    <w:p w14:paraId="55A49D86" w14:textId="77777777" w:rsidR="005F7A91" w:rsidRDefault="005F7A91">
      <w:pPr>
        <w:tabs>
          <w:tab w:val="clear" w:pos="567"/>
        </w:tabs>
        <w:autoSpaceDE w:val="0"/>
        <w:autoSpaceDN w:val="0"/>
        <w:adjustRightInd w:val="0"/>
        <w:spacing w:line="240" w:lineRule="auto"/>
        <w:jc w:val="both"/>
        <w:rPr>
          <w:b/>
          <w:color w:val="000000"/>
          <w:szCs w:val="22"/>
          <w:u w:val="single"/>
          <w:lang w:val="hr-HR" w:eastAsia="sl-SI"/>
        </w:rPr>
      </w:pPr>
    </w:p>
    <w:p w14:paraId="273BF32D"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Učestalost neželjenih reakcija za rivaroksaban </w:t>
      </w:r>
      <w:r>
        <w:rPr>
          <w:szCs w:val="22"/>
          <w:lang w:val="sr-Latn-ME" w:eastAsia="sl-SI"/>
        </w:rPr>
        <w:t xml:space="preserve">kod odraslih i pedijatrijskih pacijenata </w:t>
      </w:r>
      <w:r>
        <w:rPr>
          <w:szCs w:val="22"/>
          <w:lang w:val="sl-SI" w:eastAsia="sl-SI"/>
        </w:rPr>
        <w:t>je prikazana u Tabeli 3, prema klasi sistema organa (MedDRA), kao i prema učestalosti.</w:t>
      </w:r>
    </w:p>
    <w:p w14:paraId="41ECC27D" w14:textId="77777777" w:rsidR="005F7A91" w:rsidRDefault="005F7A91">
      <w:pPr>
        <w:widowControl w:val="0"/>
        <w:tabs>
          <w:tab w:val="clear" w:pos="567"/>
        </w:tabs>
        <w:spacing w:line="240" w:lineRule="auto"/>
        <w:jc w:val="both"/>
        <w:rPr>
          <w:rFonts w:eastAsia="Calibri"/>
          <w:szCs w:val="22"/>
          <w:lang w:val="sl-SI"/>
        </w:rPr>
      </w:pPr>
    </w:p>
    <w:p w14:paraId="32EE17A4" w14:textId="77777777" w:rsidR="005F7A91" w:rsidRDefault="007C7639">
      <w:pPr>
        <w:widowControl w:val="0"/>
        <w:tabs>
          <w:tab w:val="clear" w:pos="567"/>
        </w:tabs>
        <w:spacing w:line="240" w:lineRule="auto"/>
        <w:jc w:val="both"/>
        <w:rPr>
          <w:szCs w:val="22"/>
          <w:lang w:val="sl-SI"/>
        </w:rPr>
      </w:pPr>
      <w:r>
        <w:rPr>
          <w:szCs w:val="22"/>
          <w:lang w:val="sl-SI"/>
        </w:rPr>
        <w:t>Učestalost je definisana na sljedeći način:</w:t>
      </w:r>
    </w:p>
    <w:p w14:paraId="730DCD6F" w14:textId="77777777" w:rsidR="005F7A91" w:rsidRDefault="007C7639">
      <w:pPr>
        <w:widowControl w:val="0"/>
        <w:tabs>
          <w:tab w:val="clear" w:pos="567"/>
        </w:tabs>
        <w:spacing w:line="240" w:lineRule="auto"/>
        <w:jc w:val="both"/>
        <w:rPr>
          <w:szCs w:val="22"/>
          <w:lang w:val="sl-SI"/>
        </w:rPr>
      </w:pPr>
      <w:r>
        <w:rPr>
          <w:szCs w:val="22"/>
          <w:lang w:val="sl-SI" w:eastAsia="sl-SI"/>
        </w:rPr>
        <w:t xml:space="preserve">Veoma često: </w:t>
      </w:r>
      <w:r>
        <w:rPr>
          <w:szCs w:val="22"/>
          <w:lang w:val="sl-SI"/>
        </w:rPr>
        <w:t>≥ 1/10</w:t>
      </w:r>
    </w:p>
    <w:p w14:paraId="738F19E0" w14:textId="77777777" w:rsidR="005F7A91" w:rsidRDefault="007C7639">
      <w:pPr>
        <w:widowControl w:val="0"/>
        <w:tabs>
          <w:tab w:val="clear" w:pos="567"/>
        </w:tabs>
        <w:spacing w:line="240" w:lineRule="auto"/>
        <w:jc w:val="both"/>
        <w:rPr>
          <w:szCs w:val="22"/>
          <w:lang w:val="sl-SI"/>
        </w:rPr>
      </w:pPr>
      <w:r>
        <w:rPr>
          <w:szCs w:val="22"/>
          <w:lang w:val="sl-SI" w:eastAsia="sl-SI"/>
        </w:rPr>
        <w:t>Često</w:t>
      </w:r>
      <w:r>
        <w:rPr>
          <w:szCs w:val="22"/>
          <w:lang w:val="sl-SI"/>
        </w:rPr>
        <w:t>: ≥ 1/100 do &lt; 1/10</w:t>
      </w:r>
    </w:p>
    <w:p w14:paraId="53E09EA2" w14:textId="77777777" w:rsidR="005F7A91" w:rsidRDefault="007C7639">
      <w:pPr>
        <w:widowControl w:val="0"/>
        <w:tabs>
          <w:tab w:val="clear" w:pos="567"/>
        </w:tabs>
        <w:spacing w:line="240" w:lineRule="auto"/>
        <w:jc w:val="both"/>
        <w:rPr>
          <w:szCs w:val="22"/>
          <w:lang w:val="sl-SI"/>
        </w:rPr>
      </w:pPr>
      <w:r>
        <w:rPr>
          <w:szCs w:val="22"/>
          <w:lang w:val="sl-SI" w:eastAsia="sl-SI"/>
        </w:rPr>
        <w:t>Povremeno:</w:t>
      </w:r>
      <w:r>
        <w:rPr>
          <w:szCs w:val="22"/>
          <w:lang w:val="sl-SI"/>
        </w:rPr>
        <w:t xml:space="preserve"> ≥ 1/1000 do &lt; 1/100</w:t>
      </w:r>
    </w:p>
    <w:p w14:paraId="6B329B38" w14:textId="1665E4A9" w:rsidR="005F7A91" w:rsidRDefault="007C7639">
      <w:pPr>
        <w:widowControl w:val="0"/>
        <w:tabs>
          <w:tab w:val="clear" w:pos="567"/>
        </w:tabs>
        <w:spacing w:line="240" w:lineRule="auto"/>
        <w:jc w:val="both"/>
        <w:rPr>
          <w:szCs w:val="22"/>
          <w:lang w:val="sl-SI"/>
        </w:rPr>
      </w:pPr>
      <w:r>
        <w:rPr>
          <w:szCs w:val="22"/>
          <w:lang w:val="sl-SI" w:eastAsia="sl-SI"/>
        </w:rPr>
        <w:t>Rijetko:</w:t>
      </w:r>
      <w:r>
        <w:rPr>
          <w:szCs w:val="22"/>
          <w:lang w:val="sl-SI"/>
        </w:rPr>
        <w:t xml:space="preserve"> ≥ 1/10</w:t>
      </w:r>
      <w:r w:rsidR="00147FF4">
        <w:rPr>
          <w:szCs w:val="22"/>
          <w:lang w:val="sl-SI"/>
        </w:rPr>
        <w:t xml:space="preserve"> </w:t>
      </w:r>
      <w:r>
        <w:rPr>
          <w:szCs w:val="22"/>
          <w:lang w:val="sl-SI"/>
        </w:rPr>
        <w:t>000 do &lt; 1/1000</w:t>
      </w:r>
    </w:p>
    <w:p w14:paraId="0F79A28A" w14:textId="77777777" w:rsidR="005F7A91" w:rsidRDefault="007C7639">
      <w:pPr>
        <w:widowControl w:val="0"/>
        <w:tabs>
          <w:tab w:val="clear" w:pos="567"/>
        </w:tabs>
        <w:spacing w:line="240" w:lineRule="auto"/>
        <w:jc w:val="both"/>
        <w:rPr>
          <w:szCs w:val="22"/>
          <w:lang w:val="sl-SI"/>
        </w:rPr>
      </w:pPr>
      <w:r>
        <w:rPr>
          <w:szCs w:val="22"/>
          <w:lang w:val="sl-SI" w:eastAsia="sl-SI"/>
        </w:rPr>
        <w:t xml:space="preserve">Veoma rijetko: </w:t>
      </w:r>
      <w:r>
        <w:rPr>
          <w:szCs w:val="22"/>
          <w:lang w:val="sl-SI"/>
        </w:rPr>
        <w:t>&lt; 1/10</w:t>
      </w:r>
      <w:r w:rsidR="00147FF4">
        <w:rPr>
          <w:szCs w:val="22"/>
          <w:lang w:val="sl-SI"/>
        </w:rPr>
        <w:t xml:space="preserve"> </w:t>
      </w:r>
      <w:r>
        <w:rPr>
          <w:szCs w:val="22"/>
          <w:lang w:val="sl-SI"/>
        </w:rPr>
        <w:t>000</w:t>
      </w:r>
    </w:p>
    <w:p w14:paraId="485D50E3" w14:textId="77777777" w:rsidR="005F7A91" w:rsidRDefault="007C7639">
      <w:pPr>
        <w:widowControl w:val="0"/>
        <w:tabs>
          <w:tab w:val="clear" w:pos="567"/>
        </w:tabs>
        <w:spacing w:line="240" w:lineRule="auto"/>
        <w:jc w:val="both"/>
        <w:rPr>
          <w:szCs w:val="22"/>
          <w:lang w:val="sl-SI"/>
        </w:rPr>
      </w:pPr>
      <w:r>
        <w:rPr>
          <w:szCs w:val="22"/>
          <w:lang w:val="sl-SI"/>
        </w:rPr>
        <w:t>Nepoznato: ne može se procijeniti na osnovu dostupnih podataka.</w:t>
      </w:r>
    </w:p>
    <w:p w14:paraId="3EF4FC9E" w14:textId="77777777" w:rsidR="005F7A91" w:rsidRDefault="005F7A91">
      <w:pPr>
        <w:widowControl w:val="0"/>
        <w:tabs>
          <w:tab w:val="clear" w:pos="567"/>
        </w:tabs>
        <w:spacing w:line="240" w:lineRule="auto"/>
        <w:jc w:val="both"/>
        <w:rPr>
          <w:rFonts w:eastAsia="Calibri"/>
          <w:szCs w:val="22"/>
          <w:lang w:val="sl-SI"/>
        </w:rPr>
      </w:pPr>
    </w:p>
    <w:p w14:paraId="578BFF4E" w14:textId="77777777" w:rsidR="005F7A91" w:rsidRDefault="007C7639" w:rsidP="00473C8C">
      <w:pPr>
        <w:shd w:val="clear" w:color="auto" w:fill="FFFFFF"/>
        <w:tabs>
          <w:tab w:val="clear" w:pos="567"/>
        </w:tabs>
        <w:spacing w:line="240" w:lineRule="auto"/>
        <w:jc w:val="center"/>
        <w:rPr>
          <w:b/>
          <w:bCs/>
          <w:color w:val="000000"/>
          <w:szCs w:val="22"/>
          <w:lang w:eastAsia="sl-SI"/>
        </w:rPr>
      </w:pPr>
      <w:r>
        <w:rPr>
          <w:b/>
          <w:bCs/>
          <w:color w:val="000000"/>
          <w:szCs w:val="22"/>
          <w:lang w:val="sl-SI" w:eastAsia="sl-SI"/>
        </w:rPr>
        <w:t xml:space="preserve">Tabela 3: Sve neželjene reakcije prijavljene kod pacijenata uključenih u studije Faze III ili tokom postmarketinškog praćenja* </w:t>
      </w:r>
      <w:r>
        <w:rPr>
          <w:b/>
          <w:bCs/>
          <w:color w:val="000000"/>
          <w:szCs w:val="22"/>
          <w:lang w:eastAsia="sl-SI"/>
        </w:rPr>
        <w:t>i kod pedijatrijskih pacijenata u dva ispitivanja faze II i dva ispitivanja faze III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2210"/>
        <w:gridCol w:w="1934"/>
        <w:gridCol w:w="1291"/>
        <w:gridCol w:w="1702"/>
      </w:tblGrid>
      <w:tr w:rsidR="005F7A91" w14:paraId="1BD0A3E7" w14:textId="77777777" w:rsidTr="00473C8C">
        <w:trPr>
          <w:tblHeader/>
        </w:trPr>
        <w:tc>
          <w:tcPr>
            <w:tcW w:w="1125" w:type="pct"/>
            <w:shd w:val="clear" w:color="auto" w:fill="auto"/>
            <w:hideMark/>
          </w:tcPr>
          <w:p w14:paraId="30CE3F3C"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Često</w:t>
            </w:r>
          </w:p>
        </w:tc>
        <w:tc>
          <w:tcPr>
            <w:tcW w:w="1200" w:type="pct"/>
            <w:shd w:val="clear" w:color="auto" w:fill="auto"/>
            <w:hideMark/>
          </w:tcPr>
          <w:p w14:paraId="735CA9D9"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Povremeno</w:t>
            </w:r>
          </w:p>
        </w:tc>
        <w:tc>
          <w:tcPr>
            <w:tcW w:w="1050" w:type="pct"/>
            <w:shd w:val="clear" w:color="auto" w:fill="auto"/>
            <w:hideMark/>
          </w:tcPr>
          <w:p w14:paraId="44ECEDDB"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Rijetko</w:t>
            </w:r>
          </w:p>
        </w:tc>
        <w:tc>
          <w:tcPr>
            <w:tcW w:w="701" w:type="pct"/>
            <w:shd w:val="clear" w:color="auto" w:fill="auto"/>
            <w:hideMark/>
          </w:tcPr>
          <w:p w14:paraId="506DC67F"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Veoma rijetko</w:t>
            </w:r>
          </w:p>
        </w:tc>
        <w:tc>
          <w:tcPr>
            <w:tcW w:w="924" w:type="pct"/>
            <w:shd w:val="clear" w:color="auto" w:fill="auto"/>
            <w:hideMark/>
          </w:tcPr>
          <w:p w14:paraId="1E64CB1C" w14:textId="77777777" w:rsidR="005F7A91" w:rsidRDefault="007C7639" w:rsidP="00473C8C">
            <w:pPr>
              <w:tabs>
                <w:tab w:val="clear" w:pos="567"/>
              </w:tabs>
              <w:spacing w:line="240" w:lineRule="auto"/>
              <w:jc w:val="center"/>
              <w:rPr>
                <w:szCs w:val="22"/>
                <w:lang w:val="sl-SI" w:eastAsia="sl-SI"/>
              </w:rPr>
            </w:pPr>
            <w:r>
              <w:rPr>
                <w:b/>
                <w:bCs/>
                <w:szCs w:val="22"/>
                <w:lang w:val="sl-SI" w:eastAsia="sl-SI"/>
              </w:rPr>
              <w:t>Nepoznato</w:t>
            </w:r>
          </w:p>
        </w:tc>
      </w:tr>
      <w:tr w:rsidR="005F7A91" w14:paraId="7D4E3E4D" w14:textId="77777777" w:rsidTr="00473C8C">
        <w:tc>
          <w:tcPr>
            <w:tcW w:w="5000" w:type="pct"/>
            <w:gridSpan w:val="5"/>
            <w:shd w:val="clear" w:color="auto" w:fill="auto"/>
            <w:hideMark/>
          </w:tcPr>
          <w:p w14:paraId="2E2C8745"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Poremećaji krvi i limfnog sistema</w:t>
            </w:r>
          </w:p>
        </w:tc>
      </w:tr>
      <w:tr w:rsidR="005F7A91" w14:paraId="4511E95D" w14:textId="77777777" w:rsidTr="00473C8C">
        <w:tc>
          <w:tcPr>
            <w:tcW w:w="1125" w:type="pct"/>
            <w:shd w:val="clear" w:color="auto" w:fill="auto"/>
            <w:hideMark/>
          </w:tcPr>
          <w:p w14:paraId="3DB900D1"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lastRenderedPageBreak/>
              <w:t>Anemija (uključujući odgovarajuće laboratorijske parametre)</w:t>
            </w:r>
          </w:p>
        </w:tc>
        <w:tc>
          <w:tcPr>
            <w:tcW w:w="1200" w:type="pct"/>
            <w:shd w:val="clear" w:color="auto" w:fill="auto"/>
            <w:hideMark/>
          </w:tcPr>
          <w:p w14:paraId="7D611AAD" w14:textId="77777777" w:rsidR="005F7A91" w:rsidRDefault="007C7639">
            <w:pPr>
              <w:tabs>
                <w:tab w:val="clear" w:pos="567"/>
              </w:tabs>
              <w:spacing w:line="240" w:lineRule="auto"/>
              <w:rPr>
                <w:szCs w:val="22"/>
                <w:lang w:val="sl-SI" w:eastAsia="sl-SI"/>
              </w:rPr>
            </w:pPr>
            <w:r>
              <w:rPr>
                <w:szCs w:val="22"/>
                <w:lang w:val="sl-SI" w:eastAsia="sl-SI"/>
              </w:rPr>
              <w:t>Trombocitoza (uključujući povećan broj trombocita)</w:t>
            </w:r>
            <w:r>
              <w:rPr>
                <w:szCs w:val="22"/>
                <w:vertAlign w:val="superscript"/>
                <w:lang w:val="sl-SI" w:eastAsia="sl-SI"/>
              </w:rPr>
              <w:t>A</w:t>
            </w:r>
            <w:r>
              <w:rPr>
                <w:szCs w:val="22"/>
                <w:lang w:val="sl-SI" w:eastAsia="sl-SI"/>
              </w:rPr>
              <w:t>, trombocitopenija</w:t>
            </w:r>
          </w:p>
        </w:tc>
        <w:tc>
          <w:tcPr>
            <w:tcW w:w="1050" w:type="pct"/>
            <w:shd w:val="clear" w:color="auto" w:fill="auto"/>
            <w:hideMark/>
          </w:tcPr>
          <w:p w14:paraId="11496D5D"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48F54ED8"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05DE87F1" w14:textId="77777777" w:rsidR="005F7A91" w:rsidRDefault="005F7A91">
            <w:pPr>
              <w:tabs>
                <w:tab w:val="clear" w:pos="567"/>
              </w:tabs>
              <w:spacing w:line="240" w:lineRule="auto"/>
              <w:jc w:val="both"/>
              <w:rPr>
                <w:szCs w:val="22"/>
                <w:lang w:val="sl-SI" w:eastAsia="sl-SI"/>
              </w:rPr>
            </w:pPr>
          </w:p>
        </w:tc>
      </w:tr>
      <w:tr w:rsidR="005F7A91" w14:paraId="397A19E9" w14:textId="77777777" w:rsidTr="00473C8C">
        <w:tc>
          <w:tcPr>
            <w:tcW w:w="5000" w:type="pct"/>
            <w:gridSpan w:val="5"/>
            <w:shd w:val="clear" w:color="auto" w:fill="auto"/>
            <w:hideMark/>
          </w:tcPr>
          <w:p w14:paraId="5B327332"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Poremećaji imunskog sistema</w:t>
            </w:r>
          </w:p>
        </w:tc>
      </w:tr>
      <w:tr w:rsidR="005F7A91" w14:paraId="37F2D4D7" w14:textId="77777777" w:rsidTr="00473C8C">
        <w:tc>
          <w:tcPr>
            <w:tcW w:w="1125" w:type="pct"/>
            <w:shd w:val="clear" w:color="auto" w:fill="auto"/>
            <w:hideMark/>
          </w:tcPr>
          <w:p w14:paraId="1C40C3D5" w14:textId="77777777" w:rsidR="005F7A91" w:rsidRDefault="005F7A91">
            <w:pPr>
              <w:tabs>
                <w:tab w:val="clear" w:pos="567"/>
              </w:tabs>
              <w:spacing w:line="240" w:lineRule="auto"/>
              <w:jc w:val="both"/>
              <w:rPr>
                <w:szCs w:val="22"/>
                <w:lang w:val="sl-SI" w:eastAsia="sl-SI"/>
              </w:rPr>
            </w:pPr>
          </w:p>
        </w:tc>
        <w:tc>
          <w:tcPr>
            <w:tcW w:w="1200" w:type="pct"/>
            <w:shd w:val="clear" w:color="auto" w:fill="auto"/>
            <w:hideMark/>
          </w:tcPr>
          <w:p w14:paraId="7BA58117" w14:textId="77777777" w:rsidR="005F7A91" w:rsidRDefault="007C7639">
            <w:pPr>
              <w:tabs>
                <w:tab w:val="clear" w:pos="567"/>
              </w:tabs>
              <w:spacing w:line="240" w:lineRule="auto"/>
              <w:rPr>
                <w:szCs w:val="22"/>
                <w:lang w:val="sl-SI" w:eastAsia="sl-SI"/>
              </w:rPr>
            </w:pPr>
            <w:r>
              <w:rPr>
                <w:szCs w:val="22"/>
                <w:lang w:val="sl-SI" w:eastAsia="sl-SI"/>
              </w:rPr>
              <w:t>Alergijska reakcija, alergijski dermatitis, angioedem i alergijski edem</w:t>
            </w:r>
          </w:p>
        </w:tc>
        <w:tc>
          <w:tcPr>
            <w:tcW w:w="1050" w:type="pct"/>
            <w:shd w:val="clear" w:color="auto" w:fill="auto"/>
            <w:hideMark/>
          </w:tcPr>
          <w:p w14:paraId="175650D6"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6567D06C" w14:textId="77777777" w:rsidR="005F7A91" w:rsidRDefault="007C7639">
            <w:pPr>
              <w:tabs>
                <w:tab w:val="clear" w:pos="567"/>
              </w:tabs>
              <w:spacing w:line="240" w:lineRule="auto"/>
              <w:jc w:val="both"/>
              <w:rPr>
                <w:szCs w:val="22"/>
                <w:lang w:val="sl-SI" w:eastAsia="sl-SI"/>
              </w:rPr>
            </w:pPr>
            <w:r>
              <w:rPr>
                <w:szCs w:val="22"/>
                <w:lang w:val="sl-SI" w:eastAsia="sl-SI"/>
              </w:rPr>
              <w:t>Anafilaktička reakcija, uključujući anafilaktički šok</w:t>
            </w:r>
          </w:p>
        </w:tc>
        <w:tc>
          <w:tcPr>
            <w:tcW w:w="924" w:type="pct"/>
            <w:shd w:val="clear" w:color="auto" w:fill="auto"/>
            <w:hideMark/>
          </w:tcPr>
          <w:p w14:paraId="5AB39F4B" w14:textId="77777777" w:rsidR="005F7A91" w:rsidRDefault="005F7A91">
            <w:pPr>
              <w:tabs>
                <w:tab w:val="clear" w:pos="567"/>
              </w:tabs>
              <w:spacing w:line="240" w:lineRule="auto"/>
              <w:jc w:val="both"/>
              <w:rPr>
                <w:szCs w:val="22"/>
                <w:lang w:val="sl-SI" w:eastAsia="sl-SI"/>
              </w:rPr>
            </w:pPr>
          </w:p>
        </w:tc>
      </w:tr>
      <w:tr w:rsidR="005F7A91" w14:paraId="0BAD11CE" w14:textId="77777777" w:rsidTr="00473C8C">
        <w:tc>
          <w:tcPr>
            <w:tcW w:w="5000" w:type="pct"/>
            <w:gridSpan w:val="5"/>
            <w:shd w:val="clear" w:color="auto" w:fill="auto"/>
            <w:hideMark/>
          </w:tcPr>
          <w:p w14:paraId="79DC18B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Poremećaji nervnog sistema</w:t>
            </w:r>
          </w:p>
        </w:tc>
      </w:tr>
      <w:tr w:rsidR="005F7A91" w14:paraId="206DE952" w14:textId="77777777" w:rsidTr="00473C8C">
        <w:trPr>
          <w:trHeight w:val="839"/>
        </w:trPr>
        <w:tc>
          <w:tcPr>
            <w:tcW w:w="1125" w:type="pct"/>
            <w:shd w:val="clear" w:color="auto" w:fill="auto"/>
            <w:hideMark/>
          </w:tcPr>
          <w:p w14:paraId="0990BFEA" w14:textId="77777777" w:rsidR="005F7A91" w:rsidRDefault="007C7639">
            <w:pPr>
              <w:tabs>
                <w:tab w:val="clear" w:pos="567"/>
              </w:tabs>
              <w:spacing w:line="240" w:lineRule="auto"/>
              <w:jc w:val="both"/>
              <w:rPr>
                <w:szCs w:val="22"/>
                <w:lang w:val="sl-SI" w:eastAsia="sl-SI"/>
              </w:rPr>
            </w:pPr>
            <w:r>
              <w:rPr>
                <w:szCs w:val="22"/>
                <w:lang w:val="sl-SI" w:eastAsia="sl-SI"/>
              </w:rPr>
              <w:t>Vrtoglavica, glavobolja</w:t>
            </w:r>
          </w:p>
        </w:tc>
        <w:tc>
          <w:tcPr>
            <w:tcW w:w="1200" w:type="pct"/>
            <w:shd w:val="clear" w:color="auto" w:fill="auto"/>
            <w:hideMark/>
          </w:tcPr>
          <w:p w14:paraId="111F30B4" w14:textId="77777777" w:rsidR="005F7A91" w:rsidRDefault="007C7639">
            <w:pPr>
              <w:tabs>
                <w:tab w:val="clear" w:pos="567"/>
              </w:tabs>
              <w:spacing w:line="240" w:lineRule="auto"/>
              <w:jc w:val="both"/>
              <w:rPr>
                <w:szCs w:val="22"/>
                <w:lang w:val="sl-SI" w:eastAsia="sl-SI"/>
              </w:rPr>
            </w:pPr>
            <w:r>
              <w:rPr>
                <w:szCs w:val="22"/>
                <w:lang w:val="sl-SI" w:eastAsia="sl-SI"/>
              </w:rPr>
              <w:t>Cerebralno i intrakranijalno krvarenje, sinkopa</w:t>
            </w:r>
          </w:p>
        </w:tc>
        <w:tc>
          <w:tcPr>
            <w:tcW w:w="1050" w:type="pct"/>
            <w:shd w:val="clear" w:color="auto" w:fill="auto"/>
            <w:hideMark/>
          </w:tcPr>
          <w:p w14:paraId="749C21CF"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24C9F9C9"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738069F6" w14:textId="77777777" w:rsidR="005F7A91" w:rsidRDefault="005F7A91">
            <w:pPr>
              <w:tabs>
                <w:tab w:val="clear" w:pos="567"/>
              </w:tabs>
              <w:spacing w:line="240" w:lineRule="auto"/>
              <w:jc w:val="both"/>
              <w:rPr>
                <w:szCs w:val="22"/>
                <w:lang w:val="sl-SI" w:eastAsia="sl-SI"/>
              </w:rPr>
            </w:pPr>
          </w:p>
        </w:tc>
      </w:tr>
      <w:tr w:rsidR="005F7A91" w14:paraId="1E5CB619" w14:textId="77777777" w:rsidTr="00473C8C">
        <w:tc>
          <w:tcPr>
            <w:tcW w:w="5000" w:type="pct"/>
            <w:gridSpan w:val="5"/>
            <w:shd w:val="clear" w:color="auto" w:fill="auto"/>
            <w:hideMark/>
          </w:tcPr>
          <w:p w14:paraId="339CB872" w14:textId="77777777" w:rsidR="005F7A91" w:rsidRDefault="007C7639">
            <w:pPr>
              <w:tabs>
                <w:tab w:val="clear" w:pos="567"/>
              </w:tabs>
              <w:spacing w:line="240" w:lineRule="auto"/>
              <w:jc w:val="both"/>
              <w:rPr>
                <w:szCs w:val="22"/>
                <w:lang w:val="sl-SI" w:eastAsia="sl-SI"/>
              </w:rPr>
            </w:pPr>
            <w:r>
              <w:rPr>
                <w:b/>
                <w:bCs/>
                <w:szCs w:val="22"/>
                <w:lang w:val="sl-SI" w:eastAsia="sl-SI"/>
              </w:rPr>
              <w:t>Poremećaji oka</w:t>
            </w:r>
          </w:p>
        </w:tc>
      </w:tr>
      <w:tr w:rsidR="005F7A91" w14:paraId="2A42D444" w14:textId="77777777" w:rsidTr="00473C8C">
        <w:tc>
          <w:tcPr>
            <w:tcW w:w="1125" w:type="pct"/>
            <w:shd w:val="clear" w:color="auto" w:fill="auto"/>
            <w:hideMark/>
          </w:tcPr>
          <w:p w14:paraId="65C297E6" w14:textId="77777777" w:rsidR="005F7A91" w:rsidRDefault="007C7639">
            <w:pPr>
              <w:tabs>
                <w:tab w:val="clear" w:pos="567"/>
              </w:tabs>
              <w:spacing w:line="240" w:lineRule="auto"/>
              <w:rPr>
                <w:szCs w:val="22"/>
                <w:lang w:val="sl-SI" w:eastAsia="sl-SI"/>
              </w:rPr>
            </w:pPr>
            <w:r>
              <w:rPr>
                <w:szCs w:val="22"/>
                <w:lang w:val="sl-SI" w:eastAsia="sl-SI"/>
              </w:rPr>
              <w:t>Krvarenje oka (uključujući krvarenje konjunktive)</w:t>
            </w:r>
          </w:p>
        </w:tc>
        <w:tc>
          <w:tcPr>
            <w:tcW w:w="1200" w:type="pct"/>
            <w:shd w:val="clear" w:color="auto" w:fill="auto"/>
            <w:hideMark/>
          </w:tcPr>
          <w:p w14:paraId="754A42F2" w14:textId="77777777" w:rsidR="005F7A91" w:rsidRDefault="005F7A91">
            <w:pPr>
              <w:tabs>
                <w:tab w:val="clear" w:pos="567"/>
              </w:tabs>
              <w:spacing w:line="240" w:lineRule="auto"/>
              <w:jc w:val="both"/>
              <w:rPr>
                <w:szCs w:val="22"/>
                <w:lang w:val="sl-SI" w:eastAsia="sl-SI"/>
              </w:rPr>
            </w:pPr>
          </w:p>
        </w:tc>
        <w:tc>
          <w:tcPr>
            <w:tcW w:w="1050" w:type="pct"/>
            <w:shd w:val="clear" w:color="auto" w:fill="auto"/>
            <w:hideMark/>
          </w:tcPr>
          <w:p w14:paraId="3CF72970"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70FD7A56"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474B2E7A" w14:textId="77777777" w:rsidR="005F7A91" w:rsidRDefault="005F7A91">
            <w:pPr>
              <w:tabs>
                <w:tab w:val="clear" w:pos="567"/>
              </w:tabs>
              <w:spacing w:line="240" w:lineRule="auto"/>
              <w:jc w:val="both"/>
              <w:rPr>
                <w:szCs w:val="22"/>
                <w:lang w:val="sl-SI" w:eastAsia="sl-SI"/>
              </w:rPr>
            </w:pPr>
          </w:p>
        </w:tc>
      </w:tr>
      <w:tr w:rsidR="005F7A91" w14:paraId="0B3007C1" w14:textId="77777777" w:rsidTr="00473C8C">
        <w:tc>
          <w:tcPr>
            <w:tcW w:w="5000" w:type="pct"/>
            <w:gridSpan w:val="5"/>
            <w:shd w:val="clear" w:color="auto" w:fill="auto"/>
            <w:hideMark/>
          </w:tcPr>
          <w:p w14:paraId="60D5F54A" w14:textId="77777777" w:rsidR="005F7A91" w:rsidRDefault="007C7639">
            <w:pPr>
              <w:tabs>
                <w:tab w:val="clear" w:pos="567"/>
              </w:tabs>
              <w:spacing w:line="240" w:lineRule="auto"/>
              <w:jc w:val="both"/>
              <w:rPr>
                <w:szCs w:val="22"/>
                <w:lang w:val="sl-SI" w:eastAsia="sl-SI"/>
              </w:rPr>
            </w:pPr>
            <w:r>
              <w:rPr>
                <w:b/>
                <w:bCs/>
                <w:szCs w:val="22"/>
                <w:lang w:val="sl-SI" w:eastAsia="sl-SI"/>
              </w:rPr>
              <w:t>Kardiološki poremećaji</w:t>
            </w:r>
          </w:p>
        </w:tc>
      </w:tr>
      <w:tr w:rsidR="005F7A91" w14:paraId="12D9A0BA" w14:textId="77777777" w:rsidTr="00473C8C">
        <w:tc>
          <w:tcPr>
            <w:tcW w:w="1125" w:type="pct"/>
            <w:shd w:val="clear" w:color="auto" w:fill="auto"/>
            <w:hideMark/>
          </w:tcPr>
          <w:p w14:paraId="4CA631DB" w14:textId="77777777" w:rsidR="005F7A91" w:rsidRDefault="005F7A91">
            <w:pPr>
              <w:tabs>
                <w:tab w:val="clear" w:pos="567"/>
              </w:tabs>
              <w:spacing w:line="240" w:lineRule="auto"/>
              <w:jc w:val="both"/>
              <w:rPr>
                <w:szCs w:val="22"/>
                <w:lang w:val="sl-SI" w:eastAsia="sl-SI"/>
              </w:rPr>
            </w:pPr>
          </w:p>
        </w:tc>
        <w:tc>
          <w:tcPr>
            <w:tcW w:w="1200" w:type="pct"/>
            <w:shd w:val="clear" w:color="auto" w:fill="auto"/>
            <w:hideMark/>
          </w:tcPr>
          <w:p w14:paraId="1ED387FC" w14:textId="77777777" w:rsidR="005F7A91" w:rsidRDefault="007C7639">
            <w:pPr>
              <w:tabs>
                <w:tab w:val="clear" w:pos="567"/>
              </w:tabs>
              <w:spacing w:line="240" w:lineRule="auto"/>
              <w:jc w:val="both"/>
              <w:rPr>
                <w:szCs w:val="22"/>
                <w:lang w:val="sl-SI" w:eastAsia="sl-SI"/>
              </w:rPr>
            </w:pPr>
            <w:r>
              <w:rPr>
                <w:szCs w:val="22"/>
                <w:lang w:val="sl-SI" w:eastAsia="sl-SI"/>
              </w:rPr>
              <w:t>Tahikardija</w:t>
            </w:r>
          </w:p>
        </w:tc>
        <w:tc>
          <w:tcPr>
            <w:tcW w:w="1050" w:type="pct"/>
            <w:shd w:val="clear" w:color="auto" w:fill="auto"/>
            <w:hideMark/>
          </w:tcPr>
          <w:p w14:paraId="341497D4"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15116C38"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58716FC4" w14:textId="77777777" w:rsidR="005F7A91" w:rsidRDefault="005F7A91">
            <w:pPr>
              <w:tabs>
                <w:tab w:val="clear" w:pos="567"/>
              </w:tabs>
              <w:spacing w:line="240" w:lineRule="auto"/>
              <w:jc w:val="both"/>
              <w:rPr>
                <w:szCs w:val="22"/>
                <w:lang w:val="sl-SI" w:eastAsia="sl-SI"/>
              </w:rPr>
            </w:pPr>
          </w:p>
        </w:tc>
      </w:tr>
      <w:tr w:rsidR="005F7A91" w14:paraId="5626CA55" w14:textId="77777777" w:rsidTr="00473C8C">
        <w:tc>
          <w:tcPr>
            <w:tcW w:w="5000" w:type="pct"/>
            <w:gridSpan w:val="5"/>
            <w:shd w:val="clear" w:color="auto" w:fill="auto"/>
            <w:hideMark/>
          </w:tcPr>
          <w:p w14:paraId="41F7AFF9" w14:textId="77777777" w:rsidR="005F7A91" w:rsidRDefault="007C7639">
            <w:pPr>
              <w:tabs>
                <w:tab w:val="clear" w:pos="567"/>
              </w:tabs>
              <w:spacing w:line="240" w:lineRule="auto"/>
              <w:jc w:val="both"/>
              <w:rPr>
                <w:szCs w:val="22"/>
                <w:lang w:val="sl-SI" w:eastAsia="sl-SI"/>
              </w:rPr>
            </w:pPr>
            <w:r>
              <w:rPr>
                <w:b/>
                <w:bCs/>
                <w:szCs w:val="22"/>
                <w:lang w:val="sl-SI" w:eastAsia="sl-SI"/>
              </w:rPr>
              <w:t>Vaskularni poremećaji</w:t>
            </w:r>
          </w:p>
        </w:tc>
      </w:tr>
      <w:tr w:rsidR="005F7A91" w14:paraId="1FFFDF8C" w14:textId="77777777" w:rsidTr="00473C8C">
        <w:tc>
          <w:tcPr>
            <w:tcW w:w="1125" w:type="pct"/>
            <w:shd w:val="clear" w:color="auto" w:fill="auto"/>
            <w:hideMark/>
          </w:tcPr>
          <w:p w14:paraId="292D07C8" w14:textId="77777777" w:rsidR="005F7A91" w:rsidRDefault="007C7639">
            <w:pPr>
              <w:tabs>
                <w:tab w:val="clear" w:pos="567"/>
              </w:tabs>
              <w:spacing w:line="240" w:lineRule="auto"/>
              <w:jc w:val="both"/>
              <w:rPr>
                <w:szCs w:val="22"/>
                <w:lang w:val="sl-SI" w:eastAsia="sl-SI"/>
              </w:rPr>
            </w:pPr>
            <w:r>
              <w:rPr>
                <w:szCs w:val="22"/>
                <w:lang w:val="sl-SI" w:eastAsia="sl-SI"/>
              </w:rPr>
              <w:t>Hipotenzija, hematom</w:t>
            </w:r>
          </w:p>
        </w:tc>
        <w:tc>
          <w:tcPr>
            <w:tcW w:w="1200" w:type="pct"/>
            <w:shd w:val="clear" w:color="auto" w:fill="auto"/>
            <w:hideMark/>
          </w:tcPr>
          <w:p w14:paraId="3F904285" w14:textId="77777777" w:rsidR="005F7A91" w:rsidRDefault="005F7A91">
            <w:pPr>
              <w:tabs>
                <w:tab w:val="clear" w:pos="567"/>
              </w:tabs>
              <w:spacing w:line="240" w:lineRule="auto"/>
              <w:jc w:val="both"/>
              <w:rPr>
                <w:szCs w:val="22"/>
                <w:lang w:val="sl-SI" w:eastAsia="sl-SI"/>
              </w:rPr>
            </w:pPr>
          </w:p>
        </w:tc>
        <w:tc>
          <w:tcPr>
            <w:tcW w:w="1050" w:type="pct"/>
            <w:shd w:val="clear" w:color="auto" w:fill="auto"/>
            <w:hideMark/>
          </w:tcPr>
          <w:p w14:paraId="1C54D15E"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7CF0CFF2"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3D667E16" w14:textId="77777777" w:rsidR="005F7A91" w:rsidRDefault="005F7A91">
            <w:pPr>
              <w:tabs>
                <w:tab w:val="clear" w:pos="567"/>
              </w:tabs>
              <w:spacing w:line="240" w:lineRule="auto"/>
              <w:jc w:val="both"/>
              <w:rPr>
                <w:szCs w:val="22"/>
                <w:lang w:val="sl-SI" w:eastAsia="sl-SI"/>
              </w:rPr>
            </w:pPr>
          </w:p>
        </w:tc>
      </w:tr>
      <w:tr w:rsidR="005F7A91" w14:paraId="5EB0220B" w14:textId="77777777" w:rsidTr="00473C8C">
        <w:tc>
          <w:tcPr>
            <w:tcW w:w="5000" w:type="pct"/>
            <w:gridSpan w:val="5"/>
            <w:shd w:val="clear" w:color="auto" w:fill="auto"/>
            <w:hideMark/>
          </w:tcPr>
          <w:p w14:paraId="362FB143"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Respiratorni, torakalni i mediastinalni poremećaji</w:t>
            </w:r>
          </w:p>
        </w:tc>
      </w:tr>
      <w:tr w:rsidR="005F7A91" w14:paraId="29867669" w14:textId="77777777" w:rsidTr="00473C8C">
        <w:tc>
          <w:tcPr>
            <w:tcW w:w="1125" w:type="pct"/>
            <w:shd w:val="clear" w:color="auto" w:fill="auto"/>
            <w:hideMark/>
          </w:tcPr>
          <w:p w14:paraId="2616DD82" w14:textId="77777777" w:rsidR="005F7A91" w:rsidRDefault="007C7639">
            <w:pPr>
              <w:tabs>
                <w:tab w:val="clear" w:pos="567"/>
              </w:tabs>
              <w:spacing w:line="240" w:lineRule="auto"/>
              <w:jc w:val="both"/>
              <w:rPr>
                <w:szCs w:val="22"/>
                <w:lang w:val="sl-SI" w:eastAsia="sl-SI"/>
              </w:rPr>
            </w:pPr>
            <w:r>
              <w:rPr>
                <w:szCs w:val="22"/>
                <w:lang w:val="sl-SI" w:eastAsia="sl-SI"/>
              </w:rPr>
              <w:t>Epistaksa, hemoptiza</w:t>
            </w:r>
          </w:p>
        </w:tc>
        <w:tc>
          <w:tcPr>
            <w:tcW w:w="1200" w:type="pct"/>
            <w:shd w:val="clear" w:color="auto" w:fill="auto"/>
            <w:hideMark/>
          </w:tcPr>
          <w:p w14:paraId="563C9213" w14:textId="77777777" w:rsidR="005F7A91" w:rsidRDefault="005F7A91">
            <w:pPr>
              <w:tabs>
                <w:tab w:val="clear" w:pos="567"/>
              </w:tabs>
              <w:spacing w:line="240" w:lineRule="auto"/>
              <w:jc w:val="both"/>
              <w:rPr>
                <w:szCs w:val="22"/>
                <w:lang w:val="sl-SI" w:eastAsia="sl-SI"/>
              </w:rPr>
            </w:pPr>
          </w:p>
        </w:tc>
        <w:tc>
          <w:tcPr>
            <w:tcW w:w="1050" w:type="pct"/>
            <w:shd w:val="clear" w:color="auto" w:fill="auto"/>
            <w:hideMark/>
          </w:tcPr>
          <w:p w14:paraId="6CBCD88A"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23CC06B8" w14:textId="77777777" w:rsidR="005F7A91" w:rsidRDefault="007C7639">
            <w:pPr>
              <w:tabs>
                <w:tab w:val="clear" w:pos="567"/>
              </w:tabs>
              <w:spacing w:line="240" w:lineRule="auto"/>
              <w:jc w:val="both"/>
              <w:rPr>
                <w:szCs w:val="22"/>
                <w:lang w:val="sl-SI" w:eastAsia="sl-SI"/>
              </w:rPr>
            </w:pPr>
            <w:r>
              <w:rPr>
                <w:szCs w:val="22"/>
                <w:lang w:eastAsia="sl-SI"/>
              </w:rPr>
              <w:t>Eozinofilna pneumonija</w:t>
            </w:r>
          </w:p>
        </w:tc>
        <w:tc>
          <w:tcPr>
            <w:tcW w:w="924" w:type="pct"/>
            <w:shd w:val="clear" w:color="auto" w:fill="auto"/>
            <w:hideMark/>
          </w:tcPr>
          <w:p w14:paraId="652A7990" w14:textId="77777777" w:rsidR="005F7A91" w:rsidRDefault="005F7A91">
            <w:pPr>
              <w:tabs>
                <w:tab w:val="clear" w:pos="567"/>
              </w:tabs>
              <w:spacing w:line="240" w:lineRule="auto"/>
              <w:jc w:val="both"/>
              <w:rPr>
                <w:szCs w:val="22"/>
                <w:lang w:val="sl-SI" w:eastAsia="sl-SI"/>
              </w:rPr>
            </w:pPr>
          </w:p>
        </w:tc>
      </w:tr>
      <w:tr w:rsidR="005F7A91" w14:paraId="19557F66" w14:textId="77777777" w:rsidTr="00473C8C">
        <w:tc>
          <w:tcPr>
            <w:tcW w:w="5000" w:type="pct"/>
            <w:gridSpan w:val="5"/>
            <w:shd w:val="clear" w:color="auto" w:fill="auto"/>
            <w:hideMark/>
          </w:tcPr>
          <w:p w14:paraId="26795F9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Gastrointestinalni poremećaji</w:t>
            </w:r>
          </w:p>
        </w:tc>
      </w:tr>
      <w:tr w:rsidR="005F7A91" w14:paraId="46EF1FA3" w14:textId="77777777" w:rsidTr="00473C8C">
        <w:tc>
          <w:tcPr>
            <w:tcW w:w="1125" w:type="pct"/>
            <w:shd w:val="clear" w:color="auto" w:fill="auto"/>
            <w:hideMark/>
          </w:tcPr>
          <w:p w14:paraId="0005277A" w14:textId="77777777" w:rsidR="005F7A91" w:rsidRDefault="007C7639">
            <w:pPr>
              <w:tabs>
                <w:tab w:val="clear" w:pos="567"/>
              </w:tabs>
              <w:spacing w:line="240" w:lineRule="auto"/>
              <w:rPr>
                <w:szCs w:val="22"/>
                <w:lang w:val="sl-SI" w:eastAsia="sl-SI"/>
              </w:rPr>
            </w:pPr>
            <w:r>
              <w:rPr>
                <w:szCs w:val="22"/>
                <w:lang w:val="sl-SI" w:eastAsia="sl-SI"/>
              </w:rPr>
              <w:t>Krvarenje iz desni, krvarenje u gastrointestinalnom traktu (uključujući rektalno krvarenje), bolovi u gastrointestinalnom traktu i abdomenu, dispepsija, mučnina, konstipacija</w:t>
            </w:r>
            <w:r>
              <w:rPr>
                <w:szCs w:val="22"/>
                <w:vertAlign w:val="superscript"/>
                <w:lang w:val="sl-SI" w:eastAsia="sl-SI"/>
              </w:rPr>
              <w:t>A</w:t>
            </w:r>
            <w:r>
              <w:rPr>
                <w:szCs w:val="22"/>
                <w:lang w:val="sl-SI" w:eastAsia="sl-SI"/>
              </w:rPr>
              <w:t>, dijareja, povraćanje</w:t>
            </w:r>
            <w:r>
              <w:rPr>
                <w:szCs w:val="22"/>
                <w:vertAlign w:val="superscript"/>
                <w:lang w:val="sl-SI" w:eastAsia="sl-SI"/>
              </w:rPr>
              <w:t>A</w:t>
            </w:r>
          </w:p>
        </w:tc>
        <w:tc>
          <w:tcPr>
            <w:tcW w:w="1200" w:type="pct"/>
            <w:shd w:val="clear" w:color="auto" w:fill="auto"/>
            <w:hideMark/>
          </w:tcPr>
          <w:p w14:paraId="60C8285E" w14:textId="77777777" w:rsidR="005F7A91" w:rsidRDefault="007C7639">
            <w:pPr>
              <w:tabs>
                <w:tab w:val="clear" w:pos="567"/>
              </w:tabs>
              <w:spacing w:line="240" w:lineRule="auto"/>
              <w:jc w:val="both"/>
              <w:rPr>
                <w:szCs w:val="22"/>
                <w:lang w:val="sl-SI" w:eastAsia="sl-SI"/>
              </w:rPr>
            </w:pPr>
            <w:r>
              <w:rPr>
                <w:szCs w:val="22"/>
                <w:lang w:val="sl-SI" w:eastAsia="sl-SI"/>
              </w:rPr>
              <w:t>Suva usta</w:t>
            </w:r>
          </w:p>
        </w:tc>
        <w:tc>
          <w:tcPr>
            <w:tcW w:w="1050" w:type="pct"/>
            <w:shd w:val="clear" w:color="auto" w:fill="auto"/>
            <w:hideMark/>
          </w:tcPr>
          <w:p w14:paraId="79C18F10"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119A5C9D"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69DFB9FD" w14:textId="77777777" w:rsidR="005F7A91" w:rsidRDefault="005F7A91">
            <w:pPr>
              <w:tabs>
                <w:tab w:val="clear" w:pos="567"/>
              </w:tabs>
              <w:spacing w:line="240" w:lineRule="auto"/>
              <w:jc w:val="both"/>
              <w:rPr>
                <w:szCs w:val="22"/>
                <w:lang w:val="sl-SI" w:eastAsia="sl-SI"/>
              </w:rPr>
            </w:pPr>
          </w:p>
        </w:tc>
      </w:tr>
      <w:tr w:rsidR="005F7A91" w14:paraId="5D1C48E0" w14:textId="77777777" w:rsidTr="00473C8C">
        <w:tc>
          <w:tcPr>
            <w:tcW w:w="5000" w:type="pct"/>
            <w:gridSpan w:val="5"/>
            <w:shd w:val="clear" w:color="auto" w:fill="auto"/>
            <w:hideMark/>
          </w:tcPr>
          <w:p w14:paraId="5E9D8C4D"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Hepatobilijarni poremećaji</w:t>
            </w:r>
          </w:p>
        </w:tc>
      </w:tr>
      <w:tr w:rsidR="005F7A91" w14:paraId="4B4D163F" w14:textId="77777777" w:rsidTr="00473C8C">
        <w:tc>
          <w:tcPr>
            <w:tcW w:w="1125" w:type="pct"/>
            <w:shd w:val="clear" w:color="auto" w:fill="auto"/>
            <w:hideMark/>
          </w:tcPr>
          <w:p w14:paraId="2124B097" w14:textId="77777777" w:rsidR="005F7A91" w:rsidRDefault="007C7639">
            <w:pPr>
              <w:tabs>
                <w:tab w:val="clear" w:pos="567"/>
              </w:tabs>
              <w:spacing w:line="240" w:lineRule="auto"/>
              <w:jc w:val="both"/>
              <w:rPr>
                <w:szCs w:val="22"/>
                <w:lang w:val="sl-SI" w:eastAsia="sl-SI"/>
              </w:rPr>
            </w:pPr>
            <w:r>
              <w:rPr>
                <w:szCs w:val="22"/>
                <w:lang w:val="sl-SI" w:eastAsia="sl-SI"/>
              </w:rPr>
              <w:t>Povišene transaminaze</w:t>
            </w:r>
          </w:p>
        </w:tc>
        <w:tc>
          <w:tcPr>
            <w:tcW w:w="1200" w:type="pct"/>
            <w:shd w:val="clear" w:color="auto" w:fill="auto"/>
            <w:hideMark/>
          </w:tcPr>
          <w:p w14:paraId="179743F6" w14:textId="77777777" w:rsidR="005F7A91" w:rsidRDefault="007C7639">
            <w:pPr>
              <w:tabs>
                <w:tab w:val="clear" w:pos="567"/>
              </w:tabs>
              <w:spacing w:line="240" w:lineRule="auto"/>
              <w:rPr>
                <w:szCs w:val="22"/>
                <w:lang w:val="sl-SI" w:eastAsia="sl-SI"/>
              </w:rPr>
            </w:pPr>
            <w:r>
              <w:rPr>
                <w:szCs w:val="22"/>
                <w:lang w:val="sl-SI" w:eastAsia="sl-SI"/>
              </w:rPr>
              <w:t>Oštećenje funkcije jetre, povećana koncentracija bilirubina, povišena vrijednost alkalne fosfataze u krvi</w:t>
            </w:r>
            <w:r>
              <w:rPr>
                <w:szCs w:val="22"/>
                <w:vertAlign w:val="superscript"/>
                <w:lang w:val="sl-SI" w:eastAsia="sl-SI"/>
              </w:rPr>
              <w:t>A</w:t>
            </w:r>
            <w:r>
              <w:rPr>
                <w:szCs w:val="22"/>
                <w:lang w:val="sl-SI" w:eastAsia="sl-SI"/>
              </w:rPr>
              <w:t>, povišena vrijednost GGT</w:t>
            </w:r>
            <w:r>
              <w:rPr>
                <w:szCs w:val="22"/>
                <w:vertAlign w:val="superscript"/>
                <w:lang w:val="sl-SI" w:eastAsia="sl-SI"/>
              </w:rPr>
              <w:t>A</w:t>
            </w:r>
          </w:p>
        </w:tc>
        <w:tc>
          <w:tcPr>
            <w:tcW w:w="1050" w:type="pct"/>
            <w:shd w:val="clear" w:color="auto" w:fill="auto"/>
            <w:hideMark/>
          </w:tcPr>
          <w:p w14:paraId="2116E333" w14:textId="77777777" w:rsidR="005F7A91" w:rsidRDefault="007C7639">
            <w:pPr>
              <w:tabs>
                <w:tab w:val="clear" w:pos="567"/>
              </w:tabs>
              <w:spacing w:line="240" w:lineRule="auto"/>
              <w:rPr>
                <w:szCs w:val="22"/>
                <w:lang w:val="sl-SI" w:eastAsia="sl-SI"/>
              </w:rPr>
            </w:pPr>
            <w:r>
              <w:rPr>
                <w:szCs w:val="22"/>
                <w:lang w:val="sl-SI" w:eastAsia="sl-SI"/>
              </w:rPr>
              <w:t>Žutica, povećana koncentracija konjugovanog bilirubina (sa ili bez istovremenog povećanja vrijednosti ALT-a), holestaza, hepatitis (uključujući hepatocelularne povrede)</w:t>
            </w:r>
          </w:p>
        </w:tc>
        <w:tc>
          <w:tcPr>
            <w:tcW w:w="701" w:type="pct"/>
            <w:shd w:val="clear" w:color="auto" w:fill="auto"/>
            <w:hideMark/>
          </w:tcPr>
          <w:p w14:paraId="0616E32A"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3715683F" w14:textId="77777777" w:rsidR="005F7A91" w:rsidRDefault="005F7A91">
            <w:pPr>
              <w:tabs>
                <w:tab w:val="clear" w:pos="567"/>
              </w:tabs>
              <w:spacing w:line="240" w:lineRule="auto"/>
              <w:jc w:val="both"/>
              <w:rPr>
                <w:szCs w:val="22"/>
                <w:lang w:val="sl-SI" w:eastAsia="sl-SI"/>
              </w:rPr>
            </w:pPr>
          </w:p>
        </w:tc>
      </w:tr>
      <w:tr w:rsidR="005F7A91" w14:paraId="35DF03C6" w14:textId="77777777" w:rsidTr="00473C8C">
        <w:tc>
          <w:tcPr>
            <w:tcW w:w="5000" w:type="pct"/>
            <w:gridSpan w:val="5"/>
            <w:shd w:val="clear" w:color="auto" w:fill="auto"/>
            <w:hideMark/>
          </w:tcPr>
          <w:p w14:paraId="675B5529"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Poremećaji kože i potkožnog tkiva</w:t>
            </w:r>
          </w:p>
        </w:tc>
      </w:tr>
      <w:tr w:rsidR="005F7A91" w14:paraId="4151F5A9" w14:textId="77777777" w:rsidTr="00473C8C">
        <w:tc>
          <w:tcPr>
            <w:tcW w:w="1125" w:type="pct"/>
            <w:shd w:val="clear" w:color="auto" w:fill="auto"/>
            <w:hideMark/>
          </w:tcPr>
          <w:p w14:paraId="47A0A2C3" w14:textId="77777777" w:rsidR="005F7A91" w:rsidRDefault="007C7639">
            <w:pPr>
              <w:tabs>
                <w:tab w:val="clear" w:pos="567"/>
              </w:tabs>
              <w:spacing w:line="240" w:lineRule="auto"/>
              <w:rPr>
                <w:szCs w:val="22"/>
                <w:lang w:val="sl-SI" w:eastAsia="sl-SI"/>
              </w:rPr>
            </w:pPr>
            <w:r>
              <w:rPr>
                <w:szCs w:val="22"/>
                <w:lang w:val="sl-SI" w:eastAsia="sl-SI"/>
              </w:rPr>
              <w:lastRenderedPageBreak/>
              <w:t>Pruritus (uključujući neuobičajene slučajeve generalizovanog pruritusa), osip, ekhimoza, kutano i subkutano krvarenje</w:t>
            </w:r>
          </w:p>
        </w:tc>
        <w:tc>
          <w:tcPr>
            <w:tcW w:w="1200" w:type="pct"/>
            <w:shd w:val="clear" w:color="auto" w:fill="auto"/>
            <w:hideMark/>
          </w:tcPr>
          <w:p w14:paraId="7890F8E4" w14:textId="77777777" w:rsidR="005F7A91" w:rsidRDefault="007C7639">
            <w:pPr>
              <w:tabs>
                <w:tab w:val="clear" w:pos="567"/>
              </w:tabs>
              <w:spacing w:line="240" w:lineRule="auto"/>
              <w:jc w:val="both"/>
              <w:rPr>
                <w:szCs w:val="22"/>
                <w:lang w:val="sl-SI" w:eastAsia="sl-SI"/>
              </w:rPr>
            </w:pPr>
            <w:r>
              <w:rPr>
                <w:szCs w:val="22"/>
                <w:lang w:val="sl-SI" w:eastAsia="sl-SI"/>
              </w:rPr>
              <w:t>Urtikarija</w:t>
            </w:r>
          </w:p>
        </w:tc>
        <w:tc>
          <w:tcPr>
            <w:tcW w:w="1050" w:type="pct"/>
            <w:shd w:val="clear" w:color="auto" w:fill="auto"/>
            <w:hideMark/>
          </w:tcPr>
          <w:p w14:paraId="6CA92BCD"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310243BF" w14:textId="77777777" w:rsidR="005F7A91" w:rsidRDefault="007C7639">
            <w:pPr>
              <w:tabs>
                <w:tab w:val="clear" w:pos="567"/>
              </w:tabs>
              <w:spacing w:line="240" w:lineRule="auto"/>
              <w:jc w:val="both"/>
              <w:rPr>
                <w:szCs w:val="22"/>
                <w:lang w:val="sl-SI" w:eastAsia="sl-SI"/>
              </w:rPr>
            </w:pPr>
            <w:r>
              <w:rPr>
                <w:i/>
                <w:szCs w:val="22"/>
                <w:lang w:val="sl-SI" w:eastAsia="sl-SI"/>
              </w:rPr>
              <w:t>Stevens-Johnson</w:t>
            </w:r>
            <w:r>
              <w:rPr>
                <w:szCs w:val="22"/>
                <w:lang w:val="sl-SI" w:eastAsia="sl-SI"/>
              </w:rPr>
              <w:t xml:space="preserve"> sindrom/ toksična epidermalna nekroliza, DRESS sindrom</w:t>
            </w:r>
          </w:p>
        </w:tc>
        <w:tc>
          <w:tcPr>
            <w:tcW w:w="924" w:type="pct"/>
            <w:shd w:val="clear" w:color="auto" w:fill="auto"/>
            <w:hideMark/>
          </w:tcPr>
          <w:p w14:paraId="3EEDBBFF" w14:textId="77777777" w:rsidR="005F7A91" w:rsidRDefault="005F7A91">
            <w:pPr>
              <w:tabs>
                <w:tab w:val="clear" w:pos="567"/>
              </w:tabs>
              <w:spacing w:line="240" w:lineRule="auto"/>
              <w:jc w:val="both"/>
              <w:rPr>
                <w:szCs w:val="22"/>
                <w:lang w:val="sl-SI" w:eastAsia="sl-SI"/>
              </w:rPr>
            </w:pPr>
          </w:p>
        </w:tc>
      </w:tr>
      <w:tr w:rsidR="005F7A91" w14:paraId="38D105FD" w14:textId="77777777" w:rsidTr="00473C8C">
        <w:tc>
          <w:tcPr>
            <w:tcW w:w="5000" w:type="pct"/>
            <w:gridSpan w:val="5"/>
            <w:shd w:val="clear" w:color="auto" w:fill="auto"/>
            <w:hideMark/>
          </w:tcPr>
          <w:p w14:paraId="004A2DF0"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Poremećaji mišićno-koštanog sistema i vezivnog tkiva</w:t>
            </w:r>
          </w:p>
        </w:tc>
      </w:tr>
      <w:tr w:rsidR="005F7A91" w14:paraId="4AAD4F7B" w14:textId="77777777" w:rsidTr="00473C8C">
        <w:tc>
          <w:tcPr>
            <w:tcW w:w="1125" w:type="pct"/>
            <w:shd w:val="clear" w:color="auto" w:fill="auto"/>
            <w:hideMark/>
          </w:tcPr>
          <w:p w14:paraId="45DF7E6C" w14:textId="77777777" w:rsidR="005F7A91" w:rsidRDefault="007C7639">
            <w:pPr>
              <w:tabs>
                <w:tab w:val="clear" w:pos="567"/>
              </w:tabs>
              <w:spacing w:line="240" w:lineRule="auto"/>
              <w:rPr>
                <w:szCs w:val="22"/>
                <w:lang w:val="sl-SI" w:eastAsia="sl-SI"/>
              </w:rPr>
            </w:pPr>
            <w:r>
              <w:rPr>
                <w:szCs w:val="22"/>
                <w:lang w:val="sl-SI" w:eastAsia="sl-SI"/>
              </w:rPr>
              <w:t>Bol u ekstremitetima</w:t>
            </w:r>
            <w:r>
              <w:rPr>
                <w:szCs w:val="22"/>
                <w:vertAlign w:val="superscript"/>
                <w:lang w:val="sl-SI" w:eastAsia="sl-SI"/>
              </w:rPr>
              <w:t>A</w:t>
            </w:r>
          </w:p>
        </w:tc>
        <w:tc>
          <w:tcPr>
            <w:tcW w:w="1200" w:type="pct"/>
            <w:shd w:val="clear" w:color="auto" w:fill="auto"/>
            <w:hideMark/>
          </w:tcPr>
          <w:p w14:paraId="2A01D059" w14:textId="77777777" w:rsidR="005F7A91" w:rsidRDefault="007C7639">
            <w:pPr>
              <w:tabs>
                <w:tab w:val="clear" w:pos="567"/>
              </w:tabs>
              <w:spacing w:line="240" w:lineRule="auto"/>
              <w:jc w:val="both"/>
              <w:rPr>
                <w:szCs w:val="22"/>
                <w:lang w:val="sl-SI" w:eastAsia="sl-SI"/>
              </w:rPr>
            </w:pPr>
            <w:r>
              <w:rPr>
                <w:szCs w:val="22"/>
                <w:lang w:val="sl-SI" w:eastAsia="sl-SI"/>
              </w:rPr>
              <w:t>Hemartroza</w:t>
            </w:r>
          </w:p>
        </w:tc>
        <w:tc>
          <w:tcPr>
            <w:tcW w:w="1050" w:type="pct"/>
            <w:shd w:val="clear" w:color="auto" w:fill="auto"/>
            <w:hideMark/>
          </w:tcPr>
          <w:p w14:paraId="22A2BB61" w14:textId="77777777" w:rsidR="005F7A91" w:rsidRDefault="007C7639">
            <w:pPr>
              <w:tabs>
                <w:tab w:val="clear" w:pos="567"/>
              </w:tabs>
              <w:spacing w:line="240" w:lineRule="auto"/>
              <w:rPr>
                <w:szCs w:val="22"/>
                <w:lang w:val="sl-SI" w:eastAsia="sl-SI"/>
              </w:rPr>
            </w:pPr>
            <w:r>
              <w:rPr>
                <w:szCs w:val="22"/>
                <w:lang w:val="sl-SI" w:eastAsia="sl-SI"/>
              </w:rPr>
              <w:t>Krvarenje iz mišića</w:t>
            </w:r>
          </w:p>
        </w:tc>
        <w:tc>
          <w:tcPr>
            <w:tcW w:w="701" w:type="pct"/>
            <w:shd w:val="clear" w:color="auto" w:fill="auto"/>
            <w:hideMark/>
          </w:tcPr>
          <w:p w14:paraId="57FB31EF" w14:textId="77777777" w:rsidR="005F7A91" w:rsidRDefault="005F7A91">
            <w:pPr>
              <w:tabs>
                <w:tab w:val="clear" w:pos="567"/>
              </w:tabs>
              <w:spacing w:line="240" w:lineRule="auto"/>
              <w:rPr>
                <w:szCs w:val="22"/>
                <w:lang w:val="sl-SI" w:eastAsia="sl-SI"/>
              </w:rPr>
            </w:pPr>
          </w:p>
        </w:tc>
        <w:tc>
          <w:tcPr>
            <w:tcW w:w="924" w:type="pct"/>
            <w:shd w:val="clear" w:color="auto" w:fill="auto"/>
            <w:hideMark/>
          </w:tcPr>
          <w:p w14:paraId="5AB7726B" w14:textId="77777777" w:rsidR="005F7A91" w:rsidRDefault="007C7639">
            <w:pPr>
              <w:tabs>
                <w:tab w:val="clear" w:pos="567"/>
              </w:tabs>
              <w:spacing w:line="240" w:lineRule="auto"/>
              <w:rPr>
                <w:szCs w:val="22"/>
                <w:lang w:val="sl-SI" w:eastAsia="sl-SI"/>
              </w:rPr>
            </w:pPr>
            <w:r>
              <w:rPr>
                <w:szCs w:val="22"/>
                <w:lang w:val="sl-SI" w:eastAsia="sl-SI"/>
              </w:rPr>
              <w:t>Kompartment sndrom kao posljedica krvarenja</w:t>
            </w:r>
          </w:p>
        </w:tc>
      </w:tr>
      <w:tr w:rsidR="005F7A91" w14:paraId="237F73BB" w14:textId="77777777" w:rsidTr="00473C8C">
        <w:tc>
          <w:tcPr>
            <w:tcW w:w="5000" w:type="pct"/>
            <w:gridSpan w:val="5"/>
            <w:shd w:val="clear" w:color="auto" w:fill="auto"/>
            <w:hideMark/>
          </w:tcPr>
          <w:p w14:paraId="75CF0F00"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Poremećaji bubrega i urinarnog sistema</w:t>
            </w:r>
          </w:p>
        </w:tc>
      </w:tr>
      <w:tr w:rsidR="005F7A91" w14:paraId="6FDFAF70" w14:textId="77777777" w:rsidTr="00473C8C">
        <w:tc>
          <w:tcPr>
            <w:tcW w:w="1125" w:type="pct"/>
            <w:shd w:val="clear" w:color="auto" w:fill="auto"/>
            <w:hideMark/>
          </w:tcPr>
          <w:p w14:paraId="6B8782CE" w14:textId="77777777" w:rsidR="005F7A91" w:rsidRDefault="007C7639">
            <w:pPr>
              <w:tabs>
                <w:tab w:val="clear" w:pos="567"/>
              </w:tabs>
              <w:spacing w:line="240" w:lineRule="auto"/>
              <w:rPr>
                <w:szCs w:val="22"/>
                <w:lang w:val="sl-SI" w:eastAsia="sl-SI"/>
              </w:rPr>
            </w:pPr>
            <w:r>
              <w:rPr>
                <w:szCs w:val="22"/>
                <w:lang w:val="sl-SI" w:eastAsia="sl-SI"/>
              </w:rPr>
              <w:t>Krvarenje  urogenitalnog trakta (uključujući hematuriju i menoragiju</w:t>
            </w:r>
            <w:r>
              <w:rPr>
                <w:szCs w:val="22"/>
                <w:vertAlign w:val="superscript"/>
                <w:lang w:val="sl-SI" w:eastAsia="sl-SI"/>
              </w:rPr>
              <w:t>B</w:t>
            </w:r>
            <w:r>
              <w:rPr>
                <w:szCs w:val="22"/>
                <w:lang w:val="sl-SI" w:eastAsia="sl-SI"/>
              </w:rPr>
              <w:t>), oštećenje funkcije bubrega (uključujući povećanu koncentraciju kreatinina u krvi i uree u krvi)</w:t>
            </w:r>
          </w:p>
        </w:tc>
        <w:tc>
          <w:tcPr>
            <w:tcW w:w="1200" w:type="pct"/>
            <w:shd w:val="clear" w:color="auto" w:fill="auto"/>
            <w:hideMark/>
          </w:tcPr>
          <w:p w14:paraId="48B209AE" w14:textId="77777777" w:rsidR="005F7A91" w:rsidRDefault="005F7A91">
            <w:pPr>
              <w:tabs>
                <w:tab w:val="clear" w:pos="567"/>
              </w:tabs>
              <w:spacing w:line="240" w:lineRule="auto"/>
              <w:jc w:val="both"/>
              <w:rPr>
                <w:szCs w:val="22"/>
                <w:lang w:val="sl-SI" w:eastAsia="sl-SI"/>
              </w:rPr>
            </w:pPr>
          </w:p>
        </w:tc>
        <w:tc>
          <w:tcPr>
            <w:tcW w:w="1050" w:type="pct"/>
            <w:shd w:val="clear" w:color="auto" w:fill="auto"/>
            <w:hideMark/>
          </w:tcPr>
          <w:p w14:paraId="712A20F7"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783F8BE1"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38E62329" w14:textId="77777777" w:rsidR="005F7A91" w:rsidRDefault="007C7639">
            <w:pPr>
              <w:tabs>
                <w:tab w:val="clear" w:pos="567"/>
              </w:tabs>
              <w:spacing w:line="240" w:lineRule="auto"/>
              <w:rPr>
                <w:szCs w:val="22"/>
                <w:lang w:val="sl-SI" w:eastAsia="sl-SI"/>
              </w:rPr>
            </w:pPr>
            <w:r>
              <w:rPr>
                <w:szCs w:val="22"/>
                <w:lang w:val="sl-SI" w:eastAsia="sl-SI"/>
              </w:rPr>
              <w:t>Insuficijencija bubrega/akutna insuficijencija bubrega kao posljedica krvarenja koje je dovoljno da izazove hipoperfuziju,</w:t>
            </w:r>
            <w:r>
              <w:t xml:space="preserve"> </w:t>
            </w:r>
            <w:r>
              <w:rPr>
                <w:szCs w:val="22"/>
                <w:lang w:eastAsia="sl-SI"/>
              </w:rPr>
              <w:t>nefropatija povezana sa primjenom antikoagulansa</w:t>
            </w:r>
          </w:p>
        </w:tc>
      </w:tr>
      <w:tr w:rsidR="005F7A91" w14:paraId="69CF4AD1" w14:textId="77777777" w:rsidTr="00473C8C">
        <w:tc>
          <w:tcPr>
            <w:tcW w:w="5000" w:type="pct"/>
            <w:gridSpan w:val="5"/>
            <w:shd w:val="clear" w:color="auto" w:fill="auto"/>
            <w:hideMark/>
          </w:tcPr>
          <w:p w14:paraId="735A49D4"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Opšti poremećaji i reakcije na mjestu primjene</w:t>
            </w:r>
          </w:p>
        </w:tc>
      </w:tr>
      <w:tr w:rsidR="005F7A91" w14:paraId="3D830BDB" w14:textId="77777777" w:rsidTr="00473C8C">
        <w:tc>
          <w:tcPr>
            <w:tcW w:w="1125" w:type="pct"/>
            <w:shd w:val="clear" w:color="auto" w:fill="auto"/>
            <w:hideMark/>
          </w:tcPr>
          <w:p w14:paraId="5076170E" w14:textId="77777777" w:rsidR="005F7A91" w:rsidRDefault="007C7639">
            <w:pPr>
              <w:tabs>
                <w:tab w:val="clear" w:pos="567"/>
              </w:tabs>
              <w:spacing w:line="240" w:lineRule="auto"/>
              <w:rPr>
                <w:szCs w:val="22"/>
                <w:lang w:val="sl-SI" w:eastAsia="sl-SI"/>
              </w:rPr>
            </w:pPr>
            <w:r>
              <w:rPr>
                <w:szCs w:val="22"/>
                <w:lang w:val="sl-SI" w:eastAsia="sl-SI"/>
              </w:rPr>
              <w:t>Povišena tjelesna temperatura</w:t>
            </w:r>
            <w:r>
              <w:rPr>
                <w:szCs w:val="22"/>
                <w:vertAlign w:val="superscript"/>
                <w:lang w:val="sl-SI" w:eastAsia="sl-SI"/>
              </w:rPr>
              <w:t>A</w:t>
            </w:r>
            <w:r>
              <w:rPr>
                <w:szCs w:val="22"/>
                <w:lang w:val="sl-SI" w:eastAsia="sl-SI"/>
              </w:rPr>
              <w:t>, periferni edem, smanjena opšta snaga i energija (uključujući umor i asteniju)</w:t>
            </w:r>
          </w:p>
        </w:tc>
        <w:tc>
          <w:tcPr>
            <w:tcW w:w="1200" w:type="pct"/>
            <w:shd w:val="clear" w:color="auto" w:fill="auto"/>
            <w:hideMark/>
          </w:tcPr>
          <w:p w14:paraId="5D5F59D6" w14:textId="77777777" w:rsidR="005F7A91" w:rsidRDefault="007C7639">
            <w:pPr>
              <w:tabs>
                <w:tab w:val="clear" w:pos="567"/>
              </w:tabs>
              <w:spacing w:line="240" w:lineRule="auto"/>
              <w:rPr>
                <w:szCs w:val="22"/>
                <w:lang w:val="sl-SI" w:eastAsia="sl-SI"/>
              </w:rPr>
            </w:pPr>
            <w:r>
              <w:rPr>
                <w:szCs w:val="22"/>
                <w:lang w:val="sl-SI" w:eastAsia="sl-SI"/>
              </w:rPr>
              <w:t>Opšte loše stanje (uključujući malaksalost)</w:t>
            </w:r>
          </w:p>
        </w:tc>
        <w:tc>
          <w:tcPr>
            <w:tcW w:w="1050" w:type="pct"/>
            <w:shd w:val="clear" w:color="auto" w:fill="auto"/>
            <w:hideMark/>
          </w:tcPr>
          <w:p w14:paraId="2E065A35" w14:textId="77777777" w:rsidR="005F7A91" w:rsidRDefault="007C7639">
            <w:pPr>
              <w:tabs>
                <w:tab w:val="clear" w:pos="567"/>
              </w:tabs>
              <w:spacing w:line="240" w:lineRule="auto"/>
              <w:jc w:val="both"/>
              <w:rPr>
                <w:szCs w:val="22"/>
                <w:lang w:val="sl-SI" w:eastAsia="sl-SI"/>
              </w:rPr>
            </w:pPr>
            <w:r>
              <w:rPr>
                <w:szCs w:val="22"/>
                <w:lang w:val="sl-SI" w:eastAsia="sl-SI"/>
              </w:rPr>
              <w:t>Lokalizovan edem</w:t>
            </w:r>
            <w:r>
              <w:rPr>
                <w:szCs w:val="22"/>
                <w:vertAlign w:val="superscript"/>
                <w:lang w:val="sl-SI" w:eastAsia="sl-SI"/>
              </w:rPr>
              <w:t>A</w:t>
            </w:r>
          </w:p>
        </w:tc>
        <w:tc>
          <w:tcPr>
            <w:tcW w:w="701" w:type="pct"/>
            <w:shd w:val="clear" w:color="auto" w:fill="auto"/>
            <w:hideMark/>
          </w:tcPr>
          <w:p w14:paraId="44BF7992"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00A7B979" w14:textId="77777777" w:rsidR="005F7A91" w:rsidRDefault="005F7A91">
            <w:pPr>
              <w:tabs>
                <w:tab w:val="clear" w:pos="567"/>
              </w:tabs>
              <w:spacing w:line="240" w:lineRule="auto"/>
              <w:jc w:val="both"/>
              <w:rPr>
                <w:szCs w:val="22"/>
                <w:lang w:val="sl-SI" w:eastAsia="sl-SI"/>
              </w:rPr>
            </w:pPr>
          </w:p>
        </w:tc>
      </w:tr>
      <w:tr w:rsidR="005F7A91" w14:paraId="0376986B" w14:textId="77777777" w:rsidTr="00473C8C">
        <w:tc>
          <w:tcPr>
            <w:tcW w:w="5000" w:type="pct"/>
            <w:gridSpan w:val="5"/>
            <w:shd w:val="clear" w:color="auto" w:fill="auto"/>
            <w:hideMark/>
          </w:tcPr>
          <w:p w14:paraId="676AB38A" w14:textId="77777777" w:rsidR="005F7A91" w:rsidRDefault="007C7639">
            <w:pPr>
              <w:tabs>
                <w:tab w:val="clear" w:pos="567"/>
              </w:tabs>
              <w:spacing w:line="240" w:lineRule="auto"/>
              <w:jc w:val="both"/>
              <w:rPr>
                <w:szCs w:val="22"/>
                <w:lang w:val="sl-SI" w:eastAsia="sl-SI"/>
              </w:rPr>
            </w:pPr>
            <w:r>
              <w:rPr>
                <w:b/>
                <w:bCs/>
                <w:szCs w:val="22"/>
                <w:lang w:val="sl-SI" w:eastAsia="sl-SI"/>
              </w:rPr>
              <w:t>Ispitivanja</w:t>
            </w:r>
          </w:p>
        </w:tc>
      </w:tr>
      <w:tr w:rsidR="005F7A91" w14:paraId="2171323B" w14:textId="77777777" w:rsidTr="00473C8C">
        <w:tc>
          <w:tcPr>
            <w:tcW w:w="1125" w:type="pct"/>
            <w:shd w:val="clear" w:color="auto" w:fill="auto"/>
            <w:hideMark/>
          </w:tcPr>
          <w:p w14:paraId="77C1E7D5" w14:textId="77777777" w:rsidR="005F7A91" w:rsidRDefault="005F7A91">
            <w:pPr>
              <w:tabs>
                <w:tab w:val="clear" w:pos="567"/>
              </w:tabs>
              <w:spacing w:line="240" w:lineRule="auto"/>
              <w:jc w:val="both"/>
              <w:rPr>
                <w:szCs w:val="22"/>
                <w:lang w:val="sl-SI" w:eastAsia="sl-SI"/>
              </w:rPr>
            </w:pPr>
          </w:p>
        </w:tc>
        <w:tc>
          <w:tcPr>
            <w:tcW w:w="1200" w:type="pct"/>
            <w:shd w:val="clear" w:color="auto" w:fill="auto"/>
            <w:hideMark/>
          </w:tcPr>
          <w:p w14:paraId="64E7C199" w14:textId="77777777" w:rsidR="005F7A91" w:rsidRDefault="007C7639">
            <w:pPr>
              <w:tabs>
                <w:tab w:val="clear" w:pos="567"/>
              </w:tabs>
              <w:spacing w:line="240" w:lineRule="auto"/>
              <w:rPr>
                <w:szCs w:val="22"/>
                <w:lang w:val="sl-SI" w:eastAsia="sl-SI"/>
              </w:rPr>
            </w:pPr>
            <w:r>
              <w:rPr>
                <w:szCs w:val="22"/>
                <w:lang w:val="sl-SI" w:eastAsia="sl-SI"/>
              </w:rPr>
              <w:t>Povišena vrijednost LDH</w:t>
            </w:r>
            <w:r>
              <w:rPr>
                <w:szCs w:val="22"/>
                <w:vertAlign w:val="superscript"/>
                <w:lang w:val="sl-SI" w:eastAsia="sl-SI"/>
              </w:rPr>
              <w:t>A</w:t>
            </w:r>
            <w:r>
              <w:rPr>
                <w:szCs w:val="22"/>
                <w:lang w:val="sl-SI" w:eastAsia="sl-SI"/>
              </w:rPr>
              <w:t>, povišena vrijednost lipaze</w:t>
            </w:r>
            <w:r>
              <w:rPr>
                <w:szCs w:val="22"/>
                <w:vertAlign w:val="superscript"/>
                <w:lang w:val="sl-SI" w:eastAsia="sl-SI"/>
              </w:rPr>
              <w:t>A</w:t>
            </w:r>
            <w:r>
              <w:rPr>
                <w:szCs w:val="22"/>
                <w:lang w:val="sl-SI" w:eastAsia="sl-SI"/>
              </w:rPr>
              <w:t>, povišena vrijednost amilaze</w:t>
            </w:r>
            <w:r>
              <w:rPr>
                <w:szCs w:val="22"/>
                <w:vertAlign w:val="superscript"/>
                <w:lang w:val="sl-SI" w:eastAsia="sl-SI"/>
              </w:rPr>
              <w:t>A</w:t>
            </w:r>
          </w:p>
        </w:tc>
        <w:tc>
          <w:tcPr>
            <w:tcW w:w="1050" w:type="pct"/>
            <w:shd w:val="clear" w:color="auto" w:fill="auto"/>
            <w:hideMark/>
          </w:tcPr>
          <w:p w14:paraId="29FB0817" w14:textId="77777777" w:rsidR="005F7A91" w:rsidRDefault="005F7A91">
            <w:pPr>
              <w:tabs>
                <w:tab w:val="clear" w:pos="567"/>
              </w:tabs>
              <w:spacing w:line="240" w:lineRule="auto"/>
              <w:jc w:val="both"/>
              <w:rPr>
                <w:szCs w:val="22"/>
                <w:lang w:val="sl-SI" w:eastAsia="sl-SI"/>
              </w:rPr>
            </w:pPr>
          </w:p>
        </w:tc>
        <w:tc>
          <w:tcPr>
            <w:tcW w:w="701" w:type="pct"/>
            <w:shd w:val="clear" w:color="auto" w:fill="auto"/>
            <w:hideMark/>
          </w:tcPr>
          <w:p w14:paraId="1E721759"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19F685A1" w14:textId="77777777" w:rsidR="005F7A91" w:rsidRDefault="005F7A91">
            <w:pPr>
              <w:tabs>
                <w:tab w:val="clear" w:pos="567"/>
              </w:tabs>
              <w:spacing w:line="240" w:lineRule="auto"/>
              <w:jc w:val="both"/>
              <w:rPr>
                <w:szCs w:val="22"/>
                <w:lang w:val="sl-SI" w:eastAsia="sl-SI"/>
              </w:rPr>
            </w:pPr>
          </w:p>
        </w:tc>
      </w:tr>
      <w:tr w:rsidR="005F7A91" w14:paraId="45ED2474" w14:textId="77777777" w:rsidTr="00473C8C">
        <w:tc>
          <w:tcPr>
            <w:tcW w:w="5000" w:type="pct"/>
            <w:gridSpan w:val="5"/>
            <w:shd w:val="clear" w:color="auto" w:fill="auto"/>
            <w:hideMark/>
          </w:tcPr>
          <w:p w14:paraId="0EA0B284"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Povrede, trovanja i proceduralne komplikacije</w:t>
            </w:r>
          </w:p>
        </w:tc>
      </w:tr>
      <w:tr w:rsidR="005F7A91" w14:paraId="087D4E0F" w14:textId="77777777" w:rsidTr="00473C8C">
        <w:tc>
          <w:tcPr>
            <w:tcW w:w="1125" w:type="pct"/>
            <w:shd w:val="clear" w:color="auto" w:fill="auto"/>
            <w:hideMark/>
          </w:tcPr>
          <w:p w14:paraId="359C6051" w14:textId="77777777" w:rsidR="005F7A91" w:rsidRDefault="007C7639">
            <w:pPr>
              <w:tabs>
                <w:tab w:val="clear" w:pos="567"/>
              </w:tabs>
              <w:spacing w:line="240" w:lineRule="auto"/>
              <w:rPr>
                <w:szCs w:val="22"/>
                <w:lang w:val="sl-SI" w:eastAsia="sl-SI"/>
              </w:rPr>
            </w:pPr>
            <w:r>
              <w:rPr>
                <w:szCs w:val="22"/>
                <w:lang w:val="sl-SI" w:eastAsia="sl-SI"/>
              </w:rPr>
              <w:t>Postintervencijsko krvarenje (uključujući postoperativnu anemiju i krvarenje rana), kontuzija, sekrecija iz rane</w:t>
            </w:r>
            <w:r>
              <w:rPr>
                <w:szCs w:val="22"/>
                <w:vertAlign w:val="superscript"/>
                <w:lang w:val="sl-SI" w:eastAsia="sl-SI"/>
              </w:rPr>
              <w:t>A</w:t>
            </w:r>
          </w:p>
        </w:tc>
        <w:tc>
          <w:tcPr>
            <w:tcW w:w="1200" w:type="pct"/>
            <w:shd w:val="clear" w:color="auto" w:fill="auto"/>
            <w:hideMark/>
          </w:tcPr>
          <w:p w14:paraId="4B27C5A9" w14:textId="77777777" w:rsidR="005F7A91" w:rsidRDefault="005F7A91">
            <w:pPr>
              <w:tabs>
                <w:tab w:val="clear" w:pos="567"/>
              </w:tabs>
              <w:spacing w:line="240" w:lineRule="auto"/>
              <w:jc w:val="both"/>
              <w:rPr>
                <w:szCs w:val="22"/>
                <w:lang w:val="sl-SI" w:eastAsia="sl-SI"/>
              </w:rPr>
            </w:pPr>
          </w:p>
        </w:tc>
        <w:tc>
          <w:tcPr>
            <w:tcW w:w="1050" w:type="pct"/>
            <w:shd w:val="clear" w:color="auto" w:fill="auto"/>
            <w:hideMark/>
          </w:tcPr>
          <w:p w14:paraId="4FD6D41D" w14:textId="77777777" w:rsidR="005F7A91" w:rsidRDefault="007C7639">
            <w:pPr>
              <w:tabs>
                <w:tab w:val="clear" w:pos="567"/>
              </w:tabs>
              <w:spacing w:line="240" w:lineRule="auto"/>
              <w:jc w:val="both"/>
              <w:rPr>
                <w:szCs w:val="22"/>
                <w:lang w:val="sl-SI" w:eastAsia="sl-SI"/>
              </w:rPr>
            </w:pPr>
            <w:r>
              <w:rPr>
                <w:szCs w:val="22"/>
                <w:lang w:val="sl-SI" w:eastAsia="sl-SI"/>
              </w:rPr>
              <w:t>Vaskularna pseudoaneurizma</w:t>
            </w:r>
            <w:r>
              <w:rPr>
                <w:szCs w:val="22"/>
                <w:vertAlign w:val="superscript"/>
                <w:lang w:val="sl-SI" w:eastAsia="sl-SI"/>
              </w:rPr>
              <w:t>C</w:t>
            </w:r>
          </w:p>
        </w:tc>
        <w:tc>
          <w:tcPr>
            <w:tcW w:w="701" w:type="pct"/>
            <w:shd w:val="clear" w:color="auto" w:fill="auto"/>
            <w:hideMark/>
          </w:tcPr>
          <w:p w14:paraId="7F942FB4" w14:textId="77777777" w:rsidR="005F7A91" w:rsidRDefault="005F7A91">
            <w:pPr>
              <w:tabs>
                <w:tab w:val="clear" w:pos="567"/>
              </w:tabs>
              <w:spacing w:line="240" w:lineRule="auto"/>
              <w:jc w:val="both"/>
              <w:rPr>
                <w:szCs w:val="22"/>
                <w:lang w:val="sl-SI" w:eastAsia="sl-SI"/>
              </w:rPr>
            </w:pPr>
          </w:p>
        </w:tc>
        <w:tc>
          <w:tcPr>
            <w:tcW w:w="924" w:type="pct"/>
            <w:shd w:val="clear" w:color="auto" w:fill="auto"/>
            <w:hideMark/>
          </w:tcPr>
          <w:p w14:paraId="72F6FE0E" w14:textId="77777777" w:rsidR="005F7A91" w:rsidRDefault="005F7A91">
            <w:pPr>
              <w:tabs>
                <w:tab w:val="clear" w:pos="567"/>
              </w:tabs>
              <w:spacing w:line="240" w:lineRule="auto"/>
              <w:jc w:val="both"/>
              <w:rPr>
                <w:szCs w:val="22"/>
                <w:lang w:val="sl-SI" w:eastAsia="sl-SI"/>
              </w:rPr>
            </w:pPr>
          </w:p>
        </w:tc>
      </w:tr>
    </w:tbl>
    <w:p w14:paraId="4A284960" w14:textId="77777777" w:rsidR="005F7A91" w:rsidRDefault="007C7639">
      <w:pPr>
        <w:tabs>
          <w:tab w:val="clear" w:pos="567"/>
        </w:tabs>
        <w:spacing w:line="240" w:lineRule="auto"/>
        <w:jc w:val="both"/>
        <w:rPr>
          <w:szCs w:val="22"/>
          <w:lang w:val="sl-SI" w:eastAsia="sl-SI"/>
        </w:rPr>
      </w:pPr>
      <w:r>
        <w:rPr>
          <w:szCs w:val="22"/>
          <w:lang w:val="sl-SI" w:eastAsia="sl-SI"/>
        </w:rPr>
        <w:t xml:space="preserve">A: Uočeno u prevenciji VTE kod odraslih </w:t>
      </w:r>
      <w:r>
        <w:rPr>
          <w:szCs w:val="22"/>
          <w:lang w:val="hr-HR" w:eastAsia="sl-SI"/>
        </w:rPr>
        <w:t>pacijenata</w:t>
      </w:r>
      <w:r>
        <w:rPr>
          <w:szCs w:val="22"/>
          <w:lang w:val="sl-SI" w:eastAsia="sl-SI"/>
        </w:rPr>
        <w:t xml:space="preserve"> koji se podvrgavaju elektivnom hirurškom zahvatu zamjene kuka ili koljena.</w:t>
      </w:r>
    </w:p>
    <w:p w14:paraId="0693BCFF" w14:textId="77777777" w:rsidR="005F7A91" w:rsidRDefault="007C7639">
      <w:pPr>
        <w:tabs>
          <w:tab w:val="clear" w:pos="567"/>
        </w:tabs>
        <w:spacing w:line="240" w:lineRule="auto"/>
        <w:jc w:val="both"/>
        <w:rPr>
          <w:szCs w:val="22"/>
          <w:lang w:val="sl-SI" w:eastAsia="sl-SI"/>
        </w:rPr>
      </w:pPr>
      <w:r>
        <w:rPr>
          <w:szCs w:val="22"/>
          <w:lang w:val="sl-SI" w:eastAsia="sl-SI"/>
        </w:rPr>
        <w:t>B: Uočeno u terapiji TDV, PE i prevencije njihovih recidiva kao veoma često kod žena &lt; 55 godina.</w:t>
      </w:r>
    </w:p>
    <w:p w14:paraId="6CC6434C" w14:textId="77777777" w:rsidR="005F7A91" w:rsidRDefault="007C7639">
      <w:pPr>
        <w:tabs>
          <w:tab w:val="clear" w:pos="567"/>
        </w:tabs>
        <w:spacing w:line="240" w:lineRule="auto"/>
        <w:jc w:val="both"/>
        <w:rPr>
          <w:szCs w:val="22"/>
          <w:lang w:val="sl-SI" w:eastAsia="sl-SI"/>
        </w:rPr>
      </w:pPr>
      <w:r>
        <w:rPr>
          <w:szCs w:val="22"/>
          <w:lang w:val="sl-SI" w:eastAsia="sl-SI"/>
        </w:rPr>
        <w:t xml:space="preserve">C: Uočeno kao povremeno u prevenciji aterotrombotičkih događaja kod </w:t>
      </w:r>
      <w:r>
        <w:rPr>
          <w:szCs w:val="22"/>
          <w:lang w:val="hr-HR" w:eastAsia="sl-SI"/>
        </w:rPr>
        <w:t>pacijenata</w:t>
      </w:r>
      <w:r>
        <w:rPr>
          <w:szCs w:val="22"/>
          <w:lang w:val="sl-SI" w:eastAsia="sl-SI"/>
        </w:rPr>
        <w:t xml:space="preserve"> nakon akutnog koronarnog sindroma (AKS) (nakon perkutane koronarne intervencije).</w:t>
      </w:r>
    </w:p>
    <w:p w14:paraId="0D10B173" w14:textId="77777777" w:rsidR="005F7A91" w:rsidRDefault="007C7639">
      <w:pPr>
        <w:tabs>
          <w:tab w:val="clear" w:pos="567"/>
          <w:tab w:val="left" w:pos="10080"/>
        </w:tabs>
        <w:spacing w:line="240" w:lineRule="auto"/>
        <w:ind w:right="1024"/>
        <w:jc w:val="both"/>
        <w:rPr>
          <w:szCs w:val="22"/>
          <w:lang w:val="sr-Latn-ME"/>
        </w:rPr>
      </w:pPr>
      <w:r>
        <w:rPr>
          <w:szCs w:val="22"/>
          <w:lang w:val="sl-SI" w:eastAsia="sl-SI"/>
        </w:rPr>
        <w:lastRenderedPageBreak/>
        <w:t xml:space="preserve">* </w:t>
      </w:r>
      <w:r>
        <w:rPr>
          <w:szCs w:val="22"/>
          <w:lang w:val="sl-SI"/>
        </w:rPr>
        <w:t>U odabranim ispitivanjima faze III primijenjen je unaprijed određen selektivni pristup u prikupljanju prijava neželjenih dejstava. Nakon analize tih ispitivanja incidencija neželjenih dejstava se nije povećala i nije utvrđeno nikakvo novo neželjeno dejstvo.</w:t>
      </w:r>
    </w:p>
    <w:p w14:paraId="54743F8D" w14:textId="77777777" w:rsidR="005F7A91" w:rsidRDefault="005F7A91">
      <w:pPr>
        <w:widowControl w:val="0"/>
        <w:tabs>
          <w:tab w:val="clear" w:pos="567"/>
        </w:tabs>
        <w:spacing w:line="240" w:lineRule="auto"/>
        <w:jc w:val="both"/>
        <w:rPr>
          <w:rFonts w:eastAsia="Calibri"/>
          <w:szCs w:val="22"/>
          <w:lang w:val="sl-SI"/>
        </w:rPr>
      </w:pPr>
    </w:p>
    <w:p w14:paraId="0AB6D599"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Opis odabranih neželjenih reakcija</w:t>
      </w:r>
    </w:p>
    <w:p w14:paraId="232D0C1A" w14:textId="77777777" w:rsidR="005F7A91" w:rsidRDefault="005F7A91">
      <w:pPr>
        <w:tabs>
          <w:tab w:val="clear" w:pos="567"/>
        </w:tabs>
        <w:autoSpaceDE w:val="0"/>
        <w:autoSpaceDN w:val="0"/>
        <w:adjustRightInd w:val="0"/>
        <w:spacing w:line="240" w:lineRule="auto"/>
        <w:jc w:val="both"/>
        <w:rPr>
          <w:color w:val="000000"/>
          <w:szCs w:val="22"/>
          <w:u w:val="single"/>
          <w:lang w:val="hr-HR" w:eastAsia="sl-SI"/>
        </w:rPr>
      </w:pPr>
    </w:p>
    <w:p w14:paraId="1235F9C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Usljed farmakološkog mehanizma dejstva, primjena rivaroksabana može biti povezana sa povećanim rizikom od okultnog ili vidljivog krvarenja iz bilo kog tkiva ili organa, što može dovesti do posthemoragijske anemije. Znaci, simptomi i težina (uključujući smrtni ishod) će varirati u zavisnosti od lokalizaije i stepena ili obima krvarenja i/ili anemije (vidjeti dio 4.9 „Postupak u slučaju krvarenja“). U kliničkim ispitivanjima krvarenje mukoza (tj. epistaksa, krvarenje desni, gastrointestinalno krvarenje, genitourinarno krvarenje uključujući abnormalno vaginalno ili pojačano menstrualno krvarenje) i anemija su zabilježeni češće tokom dugotrajnog liječenja rivaroksabanom u poređenju sa liječenjem antagonistima vitamina K. Stoga, osim adekvatnog kliničkog praćenja, laboratorijsko određivanje hemoglobina/hematokrita može biti značajno za otkrivanje okultnog krvarenja i određivanje kliničkog značaja vidljivog krvarenja, ukoliko se procijeni adekvatnim. Rizik od krvarenja može biti povećan kod nekih grupa pacijenata, npr. kod pacijenata sa jakom, nekontrolisanom arterijskom hipertenzijom i/ili kod onih koji istovremeno uzimaju druge ljekove koji utiču na hemostazu (vidjeti dio 4.4 „Rizik od krvarenja“). Menstrualno krvarenje može biti pojačano i/ili produženo. Komplikacije zbog krvarenja mogu se manifestovati kao slabost, bljedilo, vrtoglavica, glavobolja ili neobjašnjivi otok, dispneja i neobjašnjivi šok. U nekim slučajevima, kao posljedica anemije, uočeni su simptomi srčane ishemije poput bola u grudima ili angine pektoris.</w:t>
      </w:r>
    </w:p>
    <w:p w14:paraId="3BBCAB00"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Kod primjene rivaroksabana prijavljene su poznate komplikacije kao sekundarna posljedica teškog krvarenja, kao što su kompartment sindrom i insuficijencija bubrega zbog hipoperfuzije, </w:t>
      </w:r>
      <w:r>
        <w:rPr>
          <w:color w:val="000000"/>
          <w:szCs w:val="22"/>
          <w:lang w:val="sr-Latn-ME" w:eastAsia="sl-SI"/>
        </w:rPr>
        <w:t>ili nefropatije povezane sa antikoagulansima</w:t>
      </w:r>
      <w:r>
        <w:rPr>
          <w:color w:val="000000"/>
          <w:szCs w:val="22"/>
          <w:lang w:val="hr-HR" w:eastAsia="sl-SI"/>
        </w:rPr>
        <w:t>. Prema tome, mora se uzeti u obzir mogućnost pojave krvarenja prilikom evaluacije stanja svakog pacijenta na antikoagulantnoj terapiji.</w:t>
      </w:r>
    </w:p>
    <w:p w14:paraId="4FF8F910" w14:textId="77777777" w:rsidR="005F7A91" w:rsidRDefault="005F7A91">
      <w:pPr>
        <w:widowControl w:val="0"/>
        <w:tabs>
          <w:tab w:val="clear" w:pos="567"/>
        </w:tabs>
        <w:spacing w:line="240" w:lineRule="auto"/>
        <w:jc w:val="both"/>
        <w:rPr>
          <w:rFonts w:eastAsia="Calibri"/>
          <w:szCs w:val="22"/>
          <w:lang w:val="sl-SI"/>
        </w:rPr>
      </w:pPr>
    </w:p>
    <w:p w14:paraId="1D77C164" w14:textId="77777777" w:rsidR="005F7A91" w:rsidRDefault="007C7639">
      <w:pPr>
        <w:tabs>
          <w:tab w:val="clear" w:pos="567"/>
        </w:tabs>
        <w:spacing w:after="200" w:line="276" w:lineRule="auto"/>
        <w:jc w:val="both"/>
        <w:rPr>
          <w:rFonts w:eastAsia="Calibri"/>
          <w:szCs w:val="22"/>
          <w:u w:val="single"/>
          <w:lang w:val="sr-Latn-ME" w:eastAsia="sl-SI"/>
        </w:rPr>
      </w:pPr>
      <w:r>
        <w:rPr>
          <w:rFonts w:eastAsia="Calibri"/>
          <w:szCs w:val="22"/>
          <w:u w:val="single"/>
          <w:lang w:val="sr-Latn-ME" w:eastAsia="sl-SI"/>
        </w:rPr>
        <w:t>Prijavljivanje sumnji na neželjena dejstva</w:t>
      </w:r>
    </w:p>
    <w:p w14:paraId="1642E65B" w14:textId="77777777" w:rsidR="005F7A91" w:rsidRDefault="007C7639">
      <w:pPr>
        <w:tabs>
          <w:tab w:val="clear" w:pos="567"/>
        </w:tabs>
        <w:spacing w:after="200" w:line="240" w:lineRule="auto"/>
        <w:jc w:val="both"/>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F8C0069" w14:textId="77777777" w:rsidR="005F7A91" w:rsidRDefault="007C7639">
      <w:pPr>
        <w:tabs>
          <w:tab w:val="clear" w:pos="567"/>
        </w:tabs>
        <w:spacing w:line="240" w:lineRule="auto"/>
        <w:jc w:val="both"/>
        <w:rPr>
          <w:rFonts w:eastAsia="Calibri"/>
          <w:szCs w:val="22"/>
          <w:lang w:val="sr-Latn-RS"/>
        </w:rPr>
      </w:pPr>
      <w:r>
        <w:rPr>
          <w:rFonts w:eastAsia="Calibri"/>
          <w:szCs w:val="22"/>
          <w:lang w:val="sr-Latn-RS"/>
        </w:rPr>
        <w:t xml:space="preserve">Institut za ljekove i medicinska sredstva </w:t>
      </w:r>
    </w:p>
    <w:p w14:paraId="58F87D55" w14:textId="77777777" w:rsidR="005F7A91" w:rsidRDefault="007C7639">
      <w:pPr>
        <w:tabs>
          <w:tab w:val="clear" w:pos="567"/>
        </w:tabs>
        <w:spacing w:line="240" w:lineRule="auto"/>
        <w:jc w:val="both"/>
        <w:rPr>
          <w:rFonts w:eastAsia="Calibri"/>
          <w:szCs w:val="22"/>
          <w:lang w:val="sr-Latn-RS"/>
        </w:rPr>
      </w:pPr>
      <w:r>
        <w:rPr>
          <w:rFonts w:eastAsia="Calibri"/>
          <w:szCs w:val="22"/>
          <w:lang w:val="sr-Latn-RS"/>
        </w:rPr>
        <w:t>Odjeljenje za farmakovigilancu</w:t>
      </w:r>
    </w:p>
    <w:p w14:paraId="4FED00C4" w14:textId="77777777" w:rsidR="005F7A91" w:rsidRDefault="007C7639">
      <w:pPr>
        <w:tabs>
          <w:tab w:val="clear" w:pos="567"/>
        </w:tabs>
        <w:spacing w:line="240" w:lineRule="auto"/>
        <w:jc w:val="both"/>
        <w:rPr>
          <w:rFonts w:eastAsia="Calibri"/>
          <w:szCs w:val="22"/>
          <w:lang w:val="sr-Latn-RS"/>
        </w:rPr>
      </w:pPr>
      <w:r>
        <w:rPr>
          <w:rFonts w:eastAsia="Calibri"/>
          <w:szCs w:val="22"/>
          <w:lang w:val="sr-Latn-RS"/>
        </w:rPr>
        <w:t>Bulevar Ivana Crnojevića 64a, 81000 Podgorica</w:t>
      </w:r>
    </w:p>
    <w:p w14:paraId="524345B4" w14:textId="77777777" w:rsidR="005F7A91" w:rsidRDefault="005F7A91">
      <w:pPr>
        <w:tabs>
          <w:tab w:val="clear" w:pos="567"/>
        </w:tabs>
        <w:spacing w:line="240" w:lineRule="auto"/>
        <w:rPr>
          <w:rFonts w:eastAsia="Calibri"/>
          <w:szCs w:val="22"/>
          <w:lang w:val="sr-Latn-RS"/>
        </w:rPr>
      </w:pPr>
    </w:p>
    <w:p w14:paraId="79D5F6CF" w14:textId="77777777" w:rsidR="005F7A91" w:rsidRDefault="007C7639">
      <w:pPr>
        <w:tabs>
          <w:tab w:val="clear" w:pos="567"/>
        </w:tabs>
        <w:spacing w:line="240" w:lineRule="auto"/>
        <w:jc w:val="both"/>
        <w:rPr>
          <w:rFonts w:eastAsia="Calibri"/>
          <w:szCs w:val="22"/>
          <w:lang w:val="sr-Latn-RS"/>
        </w:rPr>
      </w:pPr>
      <w:r>
        <w:rPr>
          <w:rFonts w:eastAsia="Calibri"/>
          <w:szCs w:val="22"/>
          <w:lang w:val="sr-Latn-RS"/>
        </w:rPr>
        <w:t>tel: +382 (0) 20 310 280</w:t>
      </w:r>
    </w:p>
    <w:p w14:paraId="206A5D09" w14:textId="77777777" w:rsidR="005F7A91" w:rsidRDefault="007C7639">
      <w:pPr>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14:paraId="2B7FE33C" w14:textId="77777777" w:rsidR="005F7A91" w:rsidRDefault="00DB6092">
      <w:pPr>
        <w:tabs>
          <w:tab w:val="clear" w:pos="567"/>
        </w:tabs>
        <w:spacing w:line="240" w:lineRule="auto"/>
        <w:jc w:val="both"/>
        <w:rPr>
          <w:rFonts w:eastAsia="Calibri"/>
          <w:szCs w:val="22"/>
          <w:lang w:val="sr-Latn-RS"/>
        </w:rPr>
      </w:pPr>
      <w:hyperlink r:id="rId7" w:history="1">
        <w:r w:rsidR="007C7639">
          <w:rPr>
            <w:rFonts w:eastAsia="Calibri"/>
            <w:color w:val="0563C1"/>
            <w:szCs w:val="22"/>
            <w:u w:val="single"/>
            <w:lang w:val="sr-Latn-RS"/>
          </w:rPr>
          <w:t>www.cinmed.me</w:t>
        </w:r>
      </w:hyperlink>
    </w:p>
    <w:p w14:paraId="643D3AC7" w14:textId="77777777" w:rsidR="005F7A91" w:rsidRDefault="00DB6092">
      <w:pPr>
        <w:tabs>
          <w:tab w:val="clear" w:pos="567"/>
        </w:tabs>
        <w:spacing w:line="240" w:lineRule="auto"/>
        <w:jc w:val="both"/>
        <w:rPr>
          <w:rFonts w:eastAsia="Calibri"/>
          <w:color w:val="0000FF"/>
          <w:szCs w:val="22"/>
          <w:u w:val="single"/>
          <w:lang w:val="sr-Latn-RS"/>
        </w:rPr>
      </w:pPr>
      <w:hyperlink r:id="rId8" w:history="1">
        <w:r w:rsidR="007C7639">
          <w:rPr>
            <w:rFonts w:eastAsia="Calibri"/>
            <w:color w:val="0563C1"/>
            <w:szCs w:val="22"/>
            <w:u w:val="single"/>
            <w:lang w:val="sr-Latn-RS"/>
          </w:rPr>
          <w:t>nezeljenadejstva@cinmed.me</w:t>
        </w:r>
      </w:hyperlink>
    </w:p>
    <w:p w14:paraId="1C04D729" w14:textId="77777777" w:rsidR="005F7A91" w:rsidRDefault="007C7639">
      <w:pPr>
        <w:tabs>
          <w:tab w:val="clear" w:pos="567"/>
        </w:tabs>
        <w:spacing w:line="240" w:lineRule="auto"/>
        <w:jc w:val="both"/>
        <w:rPr>
          <w:rFonts w:eastAsia="Calibri"/>
          <w:szCs w:val="22"/>
          <w:lang w:val="sr-Latn-RS"/>
        </w:rPr>
      </w:pPr>
      <w:r>
        <w:rPr>
          <w:rFonts w:eastAsia="Calibri"/>
          <w:szCs w:val="22"/>
          <w:lang w:val="sr-Latn-RS"/>
        </w:rPr>
        <w:t>putem IS zdravstvene zaštite</w:t>
      </w:r>
    </w:p>
    <w:p w14:paraId="00BF04D5" w14:textId="77777777" w:rsidR="005F7A91" w:rsidRDefault="007C7639">
      <w:pPr>
        <w:tabs>
          <w:tab w:val="clear" w:pos="567"/>
        </w:tabs>
        <w:spacing w:line="240" w:lineRule="auto"/>
        <w:jc w:val="both"/>
        <w:rPr>
          <w:rFonts w:eastAsia="Calibri"/>
          <w:szCs w:val="22"/>
          <w:lang w:val="sr-Latn-RS"/>
        </w:rPr>
      </w:pPr>
      <w:r>
        <w:rPr>
          <w:rFonts w:eastAsia="Calibri"/>
          <w:szCs w:val="22"/>
          <w:lang w:val="sr-Latn-RS"/>
        </w:rPr>
        <w:t>QR kod za online prijavu sumnje na neželjeno dejstvo lijeka:</w:t>
      </w:r>
    </w:p>
    <w:p w14:paraId="3B29170D" w14:textId="77777777" w:rsidR="005F7A91" w:rsidRDefault="005F7A91">
      <w:pPr>
        <w:tabs>
          <w:tab w:val="clear" w:pos="567"/>
        </w:tabs>
        <w:spacing w:line="240" w:lineRule="auto"/>
        <w:jc w:val="both"/>
        <w:rPr>
          <w:rFonts w:eastAsia="Calibri"/>
          <w:szCs w:val="22"/>
          <w:lang w:val="sr-Latn-RS"/>
        </w:rPr>
      </w:pPr>
    </w:p>
    <w:p w14:paraId="326625FE" w14:textId="5E01F265" w:rsidR="005F7A91" w:rsidRDefault="00147FF4">
      <w:pPr>
        <w:tabs>
          <w:tab w:val="clear" w:pos="567"/>
        </w:tabs>
        <w:spacing w:line="240" w:lineRule="auto"/>
        <w:rPr>
          <w:rFonts w:eastAsia="Calibri"/>
          <w:szCs w:val="22"/>
          <w:lang w:val="sr-Latn-RS"/>
        </w:rPr>
      </w:pPr>
      <w:r w:rsidRPr="007F661E">
        <w:rPr>
          <w:b/>
          <w:bCs/>
          <w:noProof/>
          <w:szCs w:val="22"/>
          <w:lang w:val="en-US"/>
        </w:rPr>
        <w:drawing>
          <wp:inline distT="0" distB="0" distL="0" distR="0" wp14:anchorId="028C3298" wp14:editId="577DA298">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3CC3F2B" w14:textId="77777777" w:rsidR="005F7A91" w:rsidRDefault="005F7A91">
      <w:pPr>
        <w:tabs>
          <w:tab w:val="left" w:pos="540"/>
        </w:tabs>
        <w:spacing w:line="240" w:lineRule="auto"/>
        <w:rPr>
          <w:b/>
          <w:bCs/>
          <w:szCs w:val="22"/>
          <w:lang w:val="en-US"/>
        </w:rPr>
      </w:pPr>
    </w:p>
    <w:p w14:paraId="1DA00973" w14:textId="77777777" w:rsidR="005F7A91" w:rsidRDefault="005F7A91">
      <w:pPr>
        <w:widowControl w:val="0"/>
        <w:tabs>
          <w:tab w:val="clear" w:pos="567"/>
        </w:tabs>
        <w:spacing w:line="240" w:lineRule="auto"/>
        <w:jc w:val="both"/>
        <w:rPr>
          <w:rFonts w:eastAsia="Calibri"/>
          <w:szCs w:val="22"/>
          <w:lang w:val="sl-SI"/>
        </w:rPr>
      </w:pPr>
    </w:p>
    <w:p w14:paraId="1F97366E" w14:textId="77777777" w:rsidR="005F7A91" w:rsidRDefault="007C7639">
      <w:pPr>
        <w:widowControl w:val="0"/>
        <w:spacing w:line="240" w:lineRule="auto"/>
        <w:jc w:val="both"/>
        <w:rPr>
          <w:b/>
          <w:szCs w:val="22"/>
          <w:lang w:val="sl-SI"/>
        </w:rPr>
      </w:pPr>
      <w:r>
        <w:rPr>
          <w:b/>
          <w:szCs w:val="22"/>
          <w:lang w:val="sl-SI"/>
        </w:rPr>
        <w:t>4.9</w:t>
      </w:r>
      <w:r>
        <w:rPr>
          <w:b/>
          <w:szCs w:val="22"/>
          <w:lang w:val="sl-SI"/>
        </w:rPr>
        <w:tab/>
        <w:t>Predoziranje</w:t>
      </w:r>
    </w:p>
    <w:p w14:paraId="070FCF8A" w14:textId="77777777" w:rsidR="005F7A91" w:rsidRDefault="005F7A91">
      <w:pPr>
        <w:widowControl w:val="0"/>
        <w:tabs>
          <w:tab w:val="clear" w:pos="567"/>
        </w:tabs>
        <w:spacing w:line="240" w:lineRule="auto"/>
        <w:jc w:val="both"/>
        <w:rPr>
          <w:rFonts w:eastAsia="Calibri"/>
          <w:szCs w:val="22"/>
          <w:lang w:val="sl-SI"/>
        </w:rPr>
      </w:pPr>
    </w:p>
    <w:p w14:paraId="04998FBE"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Prijavljeni su rijetki slučajevi predoziranja dozama do 1960 mg.</w:t>
      </w:r>
      <w:r>
        <w:rPr>
          <w:szCs w:val="22"/>
          <w:lang w:val="sr-Latn-RS"/>
        </w:rPr>
        <w:t xml:space="preserve"> U slučaju predoziranja, pacijenta treba pažljivo pratiti zbog komplikacije krvarenja ili drugih neželjenih dejstava (vidjeti dio „Postupak u slučaju krvarenja“).</w:t>
      </w:r>
      <w:r>
        <w:rPr>
          <w:szCs w:val="22"/>
          <w:lang w:val="sr-Latn-ME"/>
        </w:rPr>
        <w:t xml:space="preserve"> </w:t>
      </w:r>
      <w:r>
        <w:rPr>
          <w:szCs w:val="22"/>
          <w:lang w:val="sl-SI" w:eastAsia="sl-SI"/>
        </w:rPr>
        <w:t xml:space="preserve">Zbog ograničene resorpcije, očekuje se efekat plafona bez daljeg povećanja </w:t>
      </w:r>
      <w:r>
        <w:rPr>
          <w:szCs w:val="22"/>
          <w:lang w:val="sl-SI" w:eastAsia="sl-SI"/>
        </w:rPr>
        <w:lastRenderedPageBreak/>
        <w:t>prosječne izloženosti u plazmi kod doza koje su veće od terapijskih, a to je 50 mg rivaroksabana ili više.</w:t>
      </w:r>
    </w:p>
    <w:p w14:paraId="122C1EC1"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Dostupan je specifični agens za reverziju (andeksanet alfa), koji djeluje antagonistički na farmakodinamski efekat rivaroksabana (vidjeti sažetak karakteristika lijeka za andeksanet alfa).</w:t>
      </w:r>
    </w:p>
    <w:p w14:paraId="41A48477" w14:textId="77777777" w:rsidR="005F7A91" w:rsidRDefault="007C7639">
      <w:pPr>
        <w:widowControl w:val="0"/>
        <w:tabs>
          <w:tab w:val="clear" w:pos="567"/>
        </w:tabs>
        <w:spacing w:line="240" w:lineRule="auto"/>
        <w:ind w:right="-20"/>
        <w:jc w:val="both"/>
        <w:rPr>
          <w:szCs w:val="22"/>
          <w:u w:val="single" w:color="000000"/>
          <w:lang w:val="sl-SI"/>
        </w:rPr>
      </w:pPr>
      <w:r>
        <w:rPr>
          <w:szCs w:val="22"/>
          <w:lang w:val="sl-SI" w:eastAsia="sl-SI"/>
        </w:rPr>
        <w:t>U slučaju predoziranja rivaroksabanom, može se razmotriti upotreba aktivnog (medicinskog) uglja kako bi se smanjila resorpcija.</w:t>
      </w:r>
    </w:p>
    <w:p w14:paraId="5F7AA577" w14:textId="77777777" w:rsidR="005F7A91" w:rsidRDefault="005F7A91">
      <w:pPr>
        <w:widowControl w:val="0"/>
        <w:tabs>
          <w:tab w:val="clear" w:pos="567"/>
        </w:tabs>
        <w:spacing w:line="240" w:lineRule="auto"/>
        <w:jc w:val="both"/>
        <w:rPr>
          <w:rFonts w:eastAsia="Calibri"/>
          <w:szCs w:val="22"/>
          <w:lang w:val="sl-SI"/>
        </w:rPr>
      </w:pPr>
    </w:p>
    <w:p w14:paraId="7F2AB712"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Postupak u slučaju krvarenja</w:t>
      </w:r>
    </w:p>
    <w:p w14:paraId="24BE1C83"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Ukoliko dođe do komplikacija sa krvarenjem kod pacijenata koji uzimaju rivaroksaban, sljedeća primjena rivaroksabana se mora odložiti ili se terapija mora prekinuti na odgovarajući način. Rivaroksaban ima poluvrijeme eliminacije od približno 5 do 13 sati (vidjeti dio 5.2). Postupak treba prilagoditi svakom pacijentu pojedinačno, prema ozbiljnosti i mjestu krvarenja. Po potrebi se može primijeniti primjereno simptomatsko liječenje, poput mehaničke kompresije (npr. za tešku epistaksu), hirurške hemostaze sa procedurama kontrole krvarenja, nadoknade tečnosti i hemodinamske suportivne terapije, primjene derivata krvi (pakovani eritrociti ili svježe zamrznuta plazma, u zavisnosti od pridružene anemije ili koagulopatije) ili trombocita.</w:t>
      </w:r>
    </w:p>
    <w:p w14:paraId="2C588184"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Ako se krvarenje ne može kontrolisati navedenim mjerama, mora se razmotriti primjena ili specifičnog agensa za reverziju inhibitora faktora Xa (andeksanet alfa), koji djeluje antagonistički na farmakodinamski efekat rivaroksabana, ili specifičnog prokoagulantnog sredstva poput koncentrata protrombinskog kompleksa (PCC), aktiviranog protrombin kompleksa (APCC) ili rekombinantnog faktora VIIa (r-FVIIa). Međutim, trenutno je vrlo ograničeno kliničko iskustvo primjene ovih ljekova kod pacijenata koji primaju rivaroksaban. Preporuka se takođe zasniva i na ograničenim pretkliničkim podacima. Ponovno doziranje rekombinantnog faktora VIIa se mora razmotriti i titririrati u zavisnosti od poboljšanja stanja krvarenja. U zavisnosti od lokalne dostupnosti, u slučaju većih krvarenja potrebno je razmotriti savjetovanje sa hematologom (vidjeti dio 5.1).</w:t>
      </w:r>
    </w:p>
    <w:p w14:paraId="5A6D7A12"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34F0EB91" w14:textId="77777777" w:rsidR="005F7A91" w:rsidRDefault="007C7639">
      <w:pPr>
        <w:widowControl w:val="0"/>
        <w:spacing w:line="240" w:lineRule="auto"/>
        <w:jc w:val="both"/>
        <w:rPr>
          <w:szCs w:val="22"/>
          <w:lang w:val="sl-SI"/>
        </w:rPr>
      </w:pPr>
      <w:r>
        <w:rPr>
          <w:szCs w:val="22"/>
          <w:lang w:val="sl-SI" w:eastAsia="sl-SI"/>
        </w:rPr>
        <w:t>Ne očekuje se da bi protamin sulfat ili vitamin K uticali na antikoagulantnu aktivnost rivaroksabana. Iskustvo sa primjenom traneksamične kiseline je ograničeno, dok nema iskustva sa primjenom aminokaproinske kiseline i aprotinina kod pacijenata koji primaju rivaroksaban. Nema ni naučnog osnova za korist, niti iskustva sa primjenom sistemskog hemostatika dezmopresina kod pacijenata koji primaju rivaroksaban. Zbog visokog stepena vezivanja za proteine plazme, ne očekuje se da bi se rivaroksaban mogao ukloniti dijalizom iz organizma.</w:t>
      </w:r>
    </w:p>
    <w:p w14:paraId="1989EA27" w14:textId="77777777" w:rsidR="005F7A91" w:rsidRDefault="005F7A91">
      <w:pPr>
        <w:widowControl w:val="0"/>
        <w:tabs>
          <w:tab w:val="clear" w:pos="567"/>
        </w:tabs>
        <w:spacing w:line="240" w:lineRule="auto"/>
        <w:jc w:val="both"/>
        <w:rPr>
          <w:rFonts w:eastAsia="Calibri"/>
          <w:szCs w:val="22"/>
          <w:lang w:val="sl-SI"/>
        </w:rPr>
      </w:pPr>
    </w:p>
    <w:p w14:paraId="5AE890CA" w14:textId="77777777" w:rsidR="005F7A91" w:rsidRDefault="007C7639">
      <w:pPr>
        <w:widowControl w:val="0"/>
        <w:spacing w:line="240" w:lineRule="auto"/>
        <w:jc w:val="both"/>
        <w:rPr>
          <w:b/>
          <w:szCs w:val="22"/>
          <w:lang w:val="sl-SI"/>
        </w:rPr>
      </w:pPr>
      <w:r>
        <w:rPr>
          <w:b/>
          <w:szCs w:val="22"/>
          <w:lang w:val="sl-SI"/>
        </w:rPr>
        <w:t>5.</w:t>
      </w:r>
      <w:r>
        <w:rPr>
          <w:b/>
          <w:szCs w:val="22"/>
          <w:lang w:val="sl-SI"/>
        </w:rPr>
        <w:tab/>
        <w:t>FARMAKOLOŠKI PODACI</w:t>
      </w:r>
    </w:p>
    <w:p w14:paraId="27077F2F" w14:textId="77777777" w:rsidR="005F7A91" w:rsidRDefault="005F7A91">
      <w:pPr>
        <w:widowControl w:val="0"/>
        <w:spacing w:line="240" w:lineRule="auto"/>
        <w:jc w:val="both"/>
        <w:rPr>
          <w:szCs w:val="22"/>
          <w:lang w:val="sl-SI"/>
        </w:rPr>
      </w:pPr>
    </w:p>
    <w:p w14:paraId="65A6F3D5" w14:textId="77777777" w:rsidR="005F7A91" w:rsidRDefault="007C7639">
      <w:pPr>
        <w:widowControl w:val="0"/>
        <w:spacing w:line="240" w:lineRule="auto"/>
        <w:jc w:val="both"/>
        <w:rPr>
          <w:b/>
          <w:szCs w:val="22"/>
          <w:lang w:val="sl-SI"/>
        </w:rPr>
      </w:pPr>
      <w:r>
        <w:rPr>
          <w:b/>
          <w:szCs w:val="22"/>
          <w:lang w:val="sl-SI"/>
        </w:rPr>
        <w:t>5.1</w:t>
      </w:r>
      <w:r>
        <w:rPr>
          <w:b/>
          <w:szCs w:val="22"/>
          <w:lang w:val="sl-SI"/>
        </w:rPr>
        <w:tab/>
        <w:t>Farmakodinamski podaci</w:t>
      </w:r>
    </w:p>
    <w:p w14:paraId="50E51057" w14:textId="77777777" w:rsidR="005F7A91" w:rsidRDefault="005F7A91">
      <w:pPr>
        <w:widowControl w:val="0"/>
        <w:tabs>
          <w:tab w:val="clear" w:pos="567"/>
        </w:tabs>
        <w:spacing w:line="240" w:lineRule="auto"/>
        <w:jc w:val="both"/>
        <w:rPr>
          <w:rFonts w:eastAsia="Calibri"/>
          <w:szCs w:val="22"/>
          <w:lang w:val="sl-SI"/>
        </w:rPr>
      </w:pPr>
    </w:p>
    <w:p w14:paraId="7EB0AAE6" w14:textId="77777777" w:rsidR="005F7A91" w:rsidRDefault="007C7639">
      <w:pPr>
        <w:widowControl w:val="0"/>
        <w:tabs>
          <w:tab w:val="clear" w:pos="567"/>
        </w:tabs>
        <w:spacing w:line="240" w:lineRule="auto"/>
        <w:ind w:right="-20"/>
        <w:jc w:val="both"/>
        <w:rPr>
          <w:szCs w:val="22"/>
          <w:lang w:val="sl-SI"/>
        </w:rPr>
      </w:pPr>
      <w:r>
        <w:rPr>
          <w:szCs w:val="22"/>
          <w:lang w:val="sl-SI" w:eastAsia="sl-SI"/>
        </w:rPr>
        <w:t>Farmakoterapijska grupa</w:t>
      </w:r>
      <w:r>
        <w:rPr>
          <w:szCs w:val="22"/>
          <w:lang w:val="sl-SI"/>
        </w:rPr>
        <w:t xml:space="preserve">: antitrombotička sredstva </w:t>
      </w:r>
      <w:r>
        <w:rPr>
          <w:szCs w:val="22"/>
          <w:lang w:val="sr-Latn-RS"/>
        </w:rPr>
        <w:t>(antikoagulansi)</w:t>
      </w:r>
      <w:r>
        <w:rPr>
          <w:szCs w:val="22"/>
          <w:lang w:val="sl-SI"/>
        </w:rPr>
        <w:t>; direktni inhibitori faktora Xa</w:t>
      </w:r>
    </w:p>
    <w:p w14:paraId="5A993CD4" w14:textId="77777777" w:rsidR="005F7A91" w:rsidRDefault="005F7A91">
      <w:pPr>
        <w:widowControl w:val="0"/>
        <w:tabs>
          <w:tab w:val="clear" w:pos="567"/>
        </w:tabs>
        <w:spacing w:line="240" w:lineRule="auto"/>
        <w:ind w:right="-20"/>
        <w:jc w:val="both"/>
        <w:rPr>
          <w:szCs w:val="22"/>
          <w:lang w:val="sl-SI"/>
        </w:rPr>
      </w:pPr>
    </w:p>
    <w:p w14:paraId="43BF73D9" w14:textId="77777777" w:rsidR="005F7A91" w:rsidRDefault="007C7639">
      <w:pPr>
        <w:widowControl w:val="0"/>
        <w:tabs>
          <w:tab w:val="clear" w:pos="567"/>
        </w:tabs>
        <w:spacing w:line="240" w:lineRule="auto"/>
        <w:ind w:right="-20"/>
        <w:jc w:val="both"/>
        <w:rPr>
          <w:szCs w:val="22"/>
          <w:lang w:val="sl-SI"/>
        </w:rPr>
      </w:pPr>
      <w:r>
        <w:rPr>
          <w:szCs w:val="22"/>
          <w:lang w:val="sl-SI"/>
        </w:rPr>
        <w:t>ATC kod: B01AF01</w:t>
      </w:r>
    </w:p>
    <w:p w14:paraId="22CC15B7" w14:textId="77777777" w:rsidR="005F7A91" w:rsidRDefault="005F7A91">
      <w:pPr>
        <w:widowControl w:val="0"/>
        <w:tabs>
          <w:tab w:val="clear" w:pos="567"/>
        </w:tabs>
        <w:spacing w:line="240" w:lineRule="auto"/>
        <w:jc w:val="both"/>
        <w:rPr>
          <w:rFonts w:eastAsia="Calibri"/>
          <w:szCs w:val="22"/>
          <w:lang w:val="sl-SI"/>
        </w:rPr>
      </w:pPr>
    </w:p>
    <w:p w14:paraId="0A69C4B5" w14:textId="77777777" w:rsidR="005F7A91" w:rsidRDefault="007C7639">
      <w:pPr>
        <w:widowControl w:val="0"/>
        <w:tabs>
          <w:tab w:val="clear" w:pos="567"/>
        </w:tabs>
        <w:autoSpaceDE w:val="0"/>
        <w:autoSpaceDN w:val="0"/>
        <w:adjustRightInd w:val="0"/>
        <w:spacing w:line="240" w:lineRule="auto"/>
        <w:jc w:val="both"/>
        <w:rPr>
          <w:color w:val="000000"/>
          <w:szCs w:val="22"/>
          <w:u w:val="single"/>
          <w:lang w:val="sl-SI" w:eastAsia="sl-SI"/>
        </w:rPr>
      </w:pPr>
      <w:r>
        <w:rPr>
          <w:color w:val="000000"/>
          <w:szCs w:val="22"/>
          <w:u w:val="single"/>
          <w:lang w:val="sl-SI" w:eastAsia="sl-SI"/>
        </w:rPr>
        <w:t>Mehanizam dejstva</w:t>
      </w:r>
    </w:p>
    <w:p w14:paraId="16AC0236"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Rivaroksaban je visokoselektivni, direktni inhibitor faktora Xa, bioraspoloživ nakon oralne primjene. Inhibicijom faktora Xa prekida se intrizički (unutrašnji) i ekstrinzički (spoljašnji) put kaskade zgrušavanja krvi, čime se inhibira stvaranje trombina i formiranje tromba. Rivaroksaban ne inhibira trombin (aktivirani faktor II), a nisu pokazani ni efekti na trombocite.</w:t>
      </w:r>
    </w:p>
    <w:p w14:paraId="5FDD9CC5" w14:textId="77777777" w:rsidR="005F7A91" w:rsidRDefault="005F7A91">
      <w:pPr>
        <w:widowControl w:val="0"/>
        <w:tabs>
          <w:tab w:val="clear" w:pos="567"/>
        </w:tabs>
        <w:spacing w:line="240" w:lineRule="auto"/>
        <w:ind w:right="-20"/>
        <w:jc w:val="both"/>
        <w:rPr>
          <w:szCs w:val="22"/>
          <w:u w:val="single" w:color="000000"/>
          <w:lang w:val="sl-SI"/>
        </w:rPr>
      </w:pPr>
    </w:p>
    <w:p w14:paraId="53D41286"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Farmakodinamski efekti</w:t>
      </w:r>
    </w:p>
    <w:p w14:paraId="09D77A2C"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Kod ljudi, primijećena je dozno-zavisna inhibicija aktivnosti faktor Xa. Rivaroksaban dozno-zavisno utiče na protrombinsko vrijeme (engl. </w:t>
      </w:r>
      <w:r>
        <w:rPr>
          <w:i/>
          <w:szCs w:val="22"/>
          <w:lang w:val="sl-SI" w:eastAsia="sl-SI"/>
        </w:rPr>
        <w:t>Prothrombin Time</w:t>
      </w:r>
      <w:r>
        <w:rPr>
          <w:szCs w:val="22"/>
          <w:lang w:val="sl-SI" w:eastAsia="sl-SI"/>
        </w:rPr>
        <w:t xml:space="preserve"> - PT), što značajno korelira sa koncentracijama u plazmi (r iznosi 0,98) ukoliko se za test koristi Neoplastin. Drugi reagensi mogu dati drugačije rezultate. PT treba očitavati u sekundama, pošto je INR (engl. </w:t>
      </w:r>
      <w:r>
        <w:rPr>
          <w:i/>
          <w:szCs w:val="22"/>
          <w:lang w:val="sl-SI" w:eastAsia="sl-SI"/>
        </w:rPr>
        <w:t>International Normalized Ratio</w:t>
      </w:r>
      <w:r>
        <w:rPr>
          <w:szCs w:val="22"/>
          <w:lang w:val="sl-SI" w:eastAsia="sl-SI"/>
        </w:rPr>
        <w:t xml:space="preserve">) kalibrisan i validiran za kumarine i ne može se koristiti za druge antikoagulanse. Kod pacijenata koji se podvrgavaju velikim ortopedskim intervencijama, 5/95 percentila PT vrijednosti (Neoplastin), 2-4 časa poslije uzimanja tablete (tj. u vrijeme postizanja maksimalnog efekta), obuhvata raspon od 13 do 25 s (početne vrijednosti prije hirurške intervencije iznose 12- 15 s). </w:t>
      </w:r>
    </w:p>
    <w:p w14:paraId="2A769525" w14:textId="77777777" w:rsidR="005F7A91" w:rsidRDefault="005F7A91">
      <w:pPr>
        <w:widowControl w:val="0"/>
        <w:tabs>
          <w:tab w:val="clear" w:pos="567"/>
        </w:tabs>
        <w:spacing w:line="240" w:lineRule="auto"/>
        <w:jc w:val="both"/>
        <w:rPr>
          <w:szCs w:val="22"/>
          <w:lang w:val="sl-SI" w:eastAsia="sl-SI"/>
        </w:rPr>
      </w:pPr>
    </w:p>
    <w:p w14:paraId="224477E5"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U kliničkoj farmakološkoj studiji reverzije farmakodinamike rivaroksabana kod zdravih odraslih </w:t>
      </w:r>
      <w:r>
        <w:rPr>
          <w:szCs w:val="22"/>
          <w:lang w:val="sl-SI" w:eastAsia="sl-SI"/>
        </w:rPr>
        <w:lastRenderedPageBreak/>
        <w:t>ispitanika (n=22), procjenjivani su efekti pojedinačnih doza (50 i.j./kg) dva različita tipa PCC-a, PCC sa 3 faktora (faktori II, IX i X) i PCC-a sa 4 faktora (faktori II, VII, IX i X). PCC sa 3 faktora je snizio srednje vrijednosti PT-a sa Neoplastinom za približno 1,0 sekundi unutar 30 minuta, u poređenju sa sniženjem od približno 3,5 sekundi koje je zapaženo kod PCC sa 4 faktora. Suprotno tome, PCC sa 3 faktora je imao veći i brži cjelokupni efekat na reverziju promjena u stvaranju endogenog trombina, u odnosu na PCC sa 4 faktora (vidjeti dio 4.9).</w:t>
      </w:r>
    </w:p>
    <w:p w14:paraId="37B862A9"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Aktivirano parcijalno tromboplastinsko vrijeme (engl. </w:t>
      </w:r>
      <w:r>
        <w:rPr>
          <w:i/>
          <w:szCs w:val="22"/>
          <w:lang w:val="sl-SI" w:eastAsia="sl-SI"/>
        </w:rPr>
        <w:t>Activated Partial Thromboplastin Time</w:t>
      </w:r>
      <w:r>
        <w:rPr>
          <w:szCs w:val="22"/>
          <w:lang w:val="sl-SI" w:eastAsia="sl-SI"/>
        </w:rPr>
        <w:t xml:space="preserve"> – a PTT) i HepTest, takođe su dozno-zavisno produženi; međutim, ne preporučuje se da se oni koriste za procjenu farmakodinamskih efekata rivaroksabana. Nema potrebe da se sprovodi rutinska klinička kontrola parametara koagulacije tokom liječenja rivaroksabanom. Međutim, ukoliko je klinički indikovano, nivo rivaroksabana se može odrediti kalibrisanim kvantitativnim anti-faktor Xa testovima (vidjeti odjeljak 5.2).</w:t>
      </w:r>
    </w:p>
    <w:p w14:paraId="37ADB866" w14:textId="77777777" w:rsidR="005F7A91" w:rsidRDefault="005F7A91">
      <w:pPr>
        <w:widowControl w:val="0"/>
        <w:tabs>
          <w:tab w:val="clear" w:pos="567"/>
        </w:tabs>
        <w:spacing w:line="240" w:lineRule="auto"/>
        <w:jc w:val="both"/>
        <w:rPr>
          <w:rFonts w:eastAsia="Calibri"/>
          <w:szCs w:val="22"/>
          <w:lang w:val="sl-SI"/>
        </w:rPr>
      </w:pPr>
    </w:p>
    <w:p w14:paraId="1E87F414"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Klinička efikasnost i bezbjednost</w:t>
      </w:r>
    </w:p>
    <w:p w14:paraId="60AB60A1" w14:textId="77777777" w:rsidR="005F7A91" w:rsidRDefault="007C7639">
      <w:pPr>
        <w:widowControl w:val="0"/>
        <w:tabs>
          <w:tab w:val="clear" w:pos="567"/>
        </w:tabs>
        <w:spacing w:line="240" w:lineRule="auto"/>
        <w:jc w:val="both"/>
        <w:rPr>
          <w:szCs w:val="22"/>
          <w:lang w:val="sl-SI" w:eastAsia="sl-SI"/>
        </w:rPr>
      </w:pPr>
      <w:r>
        <w:rPr>
          <w:i/>
          <w:szCs w:val="22"/>
          <w:lang w:val="sl-SI" w:eastAsia="sl-SI"/>
        </w:rPr>
        <w:t>Prevencija VTE kod odraslih pacijenata koji se podvrgavaju elektivnoj hirurgiji zamjene zgloba kuka ili koljena</w:t>
      </w:r>
      <w:r>
        <w:rPr>
          <w:szCs w:val="22"/>
          <w:lang w:val="sl-SI" w:eastAsia="sl-SI"/>
        </w:rPr>
        <w:t xml:space="preserve"> </w:t>
      </w:r>
    </w:p>
    <w:p w14:paraId="29A6F7A0"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Klinički program ispitivanja rivaroksabana dizajniran je tako da se pokaže efikasnost ovog lijeka u prevenciji venske tromboembolije (VTE), tj. proksimalne i distalne tromboze dubokih vena (TDV) i plućne embolije (PE) kod pacijenata koji se podvrgavaju velikim ortopedskim intervencijama donjih ekstremiteta. Više od 9500 pacijenata (7050 sa ugradnjom vještačkog kuka i 2531 sa ugradnjom vještačkog koljena) ispitivano je u randomizovanim kontrolisanim dvostruko-slijepim studijama faze III (RECORD program). Terapija rivaroksabanom (10 mg, jednom dnevno, prva doza primijenjena najmanje 6 časova poslije hirurške intervencije), poređena je sa terapijom enoksaparinom (40 mg, jednom dnevno, prva doza primijenjena 12 časova prije hirurške intervencije). </w:t>
      </w:r>
    </w:p>
    <w:p w14:paraId="057687A0" w14:textId="77777777" w:rsidR="005F7A91" w:rsidRDefault="007C7639">
      <w:pPr>
        <w:widowControl w:val="0"/>
        <w:tabs>
          <w:tab w:val="clear" w:pos="567"/>
        </w:tabs>
        <w:spacing w:line="240" w:lineRule="auto"/>
        <w:jc w:val="both"/>
        <w:rPr>
          <w:szCs w:val="22"/>
          <w:lang w:val="sl-SI" w:eastAsia="sl-SI"/>
        </w:rPr>
      </w:pPr>
      <w:r>
        <w:rPr>
          <w:szCs w:val="22"/>
          <w:lang w:val="sl-SI" w:eastAsia="sl-SI"/>
        </w:rPr>
        <w:t>U sve tri studije faze III (vidjeti Tabelu 4), rivaroksaban je značajno smanjivao učestalost svih VTE događaja, ukupno (bilo koja venografski dokazana ili simptomatska TDV, PE bez smrtnog ishoda i smrtni ishod) i učestalost glavnih VTE događaja (proksimalna TDV, PE bez smrtnog ishoda i smrtni ishod usljed VTE), kao unaprijed određenih primarnih i sekundarnih parametara efikasnosti. Osim toga, u sve tri studije, učestalost simptomatske VTE (simptomatska TDV, PE bez smrtnog ishoda, smrtni ishod usljed VTE) bila je manja kod pacijenata liječenih rivaroksabanom u poređenju sa pacijentima koji su dobijali enoksaparin. Glavni parametar bezbjednosti, učestalost ozbiljnih krvarenja, bila je slična kod pacijenata koji su liječeni rivaroksabanom 10 mg u poređenju sa onima koji su dobijali enoksaparin 40 mg.</w:t>
      </w:r>
    </w:p>
    <w:p w14:paraId="2F3DB814" w14:textId="77777777" w:rsidR="005F7A91" w:rsidRDefault="005F7A91">
      <w:pPr>
        <w:widowControl w:val="0"/>
        <w:tabs>
          <w:tab w:val="clear" w:pos="567"/>
        </w:tabs>
        <w:spacing w:line="240" w:lineRule="auto"/>
        <w:jc w:val="both"/>
        <w:rPr>
          <w:rFonts w:eastAsia="Calibri"/>
          <w:szCs w:val="22"/>
          <w:lang w:val="sl-SI"/>
        </w:rPr>
      </w:pPr>
    </w:p>
    <w:p w14:paraId="6DCB9E85" w14:textId="77777777" w:rsidR="005F7A91" w:rsidRDefault="007C7639">
      <w:pPr>
        <w:widowControl w:val="0"/>
        <w:tabs>
          <w:tab w:val="clear" w:pos="567"/>
        </w:tabs>
        <w:spacing w:line="240" w:lineRule="auto"/>
        <w:ind w:right="-20"/>
        <w:jc w:val="both"/>
        <w:rPr>
          <w:b/>
          <w:szCs w:val="22"/>
          <w:lang w:val="sl-SI"/>
        </w:rPr>
      </w:pPr>
      <w:r>
        <w:rPr>
          <w:b/>
          <w:bCs/>
          <w:szCs w:val="22"/>
          <w:lang w:val="sl-SI"/>
        </w:rPr>
        <w:t xml:space="preserve">Tabela 4: </w:t>
      </w:r>
      <w:r>
        <w:rPr>
          <w:b/>
          <w:bCs/>
          <w:szCs w:val="22"/>
          <w:lang w:val="sl-SI" w:eastAsia="sl-SI"/>
        </w:rPr>
        <w:t xml:space="preserve">Rezultati </w:t>
      </w:r>
      <w:r>
        <w:rPr>
          <w:b/>
          <w:szCs w:val="22"/>
          <w:lang w:val="sl-SI" w:eastAsia="sl-SI"/>
        </w:rPr>
        <w:t>ispitivanja efikasnosti i bezbjednosti u kliničkim studijama faze III</w:t>
      </w:r>
    </w:p>
    <w:p w14:paraId="378D4A8E" w14:textId="77777777" w:rsidR="005F7A91" w:rsidRDefault="005F7A91">
      <w:pPr>
        <w:widowControl w:val="0"/>
        <w:tabs>
          <w:tab w:val="clear" w:pos="567"/>
        </w:tabs>
        <w:spacing w:line="240" w:lineRule="auto"/>
        <w:ind w:right="-20"/>
        <w:jc w:val="both"/>
        <w:rPr>
          <w:bCs/>
          <w:szCs w:val="22"/>
          <w:lang w:val="sl-SI"/>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180"/>
        <w:gridCol w:w="1320"/>
        <w:gridCol w:w="1075"/>
        <w:gridCol w:w="936"/>
        <w:gridCol w:w="1028"/>
        <w:gridCol w:w="1087"/>
        <w:gridCol w:w="946"/>
        <w:gridCol w:w="1015"/>
        <w:gridCol w:w="1087"/>
        <w:gridCol w:w="645"/>
      </w:tblGrid>
      <w:tr w:rsidR="005F7A91" w14:paraId="3CCBCC51" w14:textId="77777777">
        <w:tc>
          <w:tcPr>
            <w:tcW w:w="448" w:type="pct"/>
            <w:shd w:val="clear" w:color="auto" w:fill="auto"/>
            <w:hideMark/>
          </w:tcPr>
          <w:p w14:paraId="4271F557" w14:textId="77777777" w:rsidR="005F7A91" w:rsidRDefault="005F7A91">
            <w:pPr>
              <w:tabs>
                <w:tab w:val="clear" w:pos="567"/>
              </w:tabs>
              <w:spacing w:line="240" w:lineRule="auto"/>
              <w:rPr>
                <w:szCs w:val="22"/>
                <w:lang w:val="sl-SI" w:eastAsia="sl-SI"/>
              </w:rPr>
            </w:pPr>
          </w:p>
        </w:tc>
        <w:tc>
          <w:tcPr>
            <w:tcW w:w="1715" w:type="pct"/>
            <w:gridSpan w:val="4"/>
            <w:shd w:val="clear" w:color="auto" w:fill="auto"/>
            <w:hideMark/>
          </w:tcPr>
          <w:p w14:paraId="28DDD696" w14:textId="77777777" w:rsidR="005F7A91" w:rsidRDefault="007C7639">
            <w:pPr>
              <w:tabs>
                <w:tab w:val="clear" w:pos="567"/>
              </w:tabs>
              <w:spacing w:line="240" w:lineRule="auto"/>
              <w:rPr>
                <w:szCs w:val="22"/>
                <w:lang w:val="sl-SI" w:eastAsia="sl-SI"/>
              </w:rPr>
            </w:pPr>
            <w:r>
              <w:rPr>
                <w:b/>
                <w:bCs/>
                <w:szCs w:val="22"/>
                <w:lang w:val="sl-SI" w:eastAsia="sl-SI"/>
              </w:rPr>
              <w:t>RECORD 1</w:t>
            </w:r>
          </w:p>
        </w:tc>
        <w:tc>
          <w:tcPr>
            <w:tcW w:w="1495" w:type="pct"/>
            <w:gridSpan w:val="3"/>
            <w:shd w:val="clear" w:color="auto" w:fill="auto"/>
            <w:hideMark/>
          </w:tcPr>
          <w:p w14:paraId="617DF302" w14:textId="77777777" w:rsidR="005F7A91" w:rsidRDefault="007C7639">
            <w:pPr>
              <w:tabs>
                <w:tab w:val="clear" w:pos="567"/>
              </w:tabs>
              <w:spacing w:line="240" w:lineRule="auto"/>
              <w:rPr>
                <w:szCs w:val="22"/>
                <w:lang w:val="sl-SI" w:eastAsia="sl-SI"/>
              </w:rPr>
            </w:pPr>
            <w:r>
              <w:rPr>
                <w:b/>
                <w:bCs/>
                <w:szCs w:val="22"/>
                <w:lang w:val="sl-SI" w:eastAsia="sl-SI"/>
              </w:rPr>
              <w:t>RECORD 2</w:t>
            </w:r>
          </w:p>
        </w:tc>
        <w:tc>
          <w:tcPr>
            <w:tcW w:w="1342" w:type="pct"/>
            <w:gridSpan w:val="3"/>
            <w:shd w:val="clear" w:color="auto" w:fill="auto"/>
            <w:hideMark/>
          </w:tcPr>
          <w:p w14:paraId="37E08E9C" w14:textId="77777777" w:rsidR="005F7A91" w:rsidRDefault="007C7639">
            <w:pPr>
              <w:tabs>
                <w:tab w:val="clear" w:pos="567"/>
              </w:tabs>
              <w:spacing w:line="240" w:lineRule="auto"/>
              <w:rPr>
                <w:szCs w:val="22"/>
                <w:lang w:val="sl-SI" w:eastAsia="sl-SI"/>
              </w:rPr>
            </w:pPr>
            <w:r>
              <w:rPr>
                <w:b/>
                <w:bCs/>
                <w:szCs w:val="22"/>
                <w:lang w:val="sl-SI" w:eastAsia="sl-SI"/>
              </w:rPr>
              <w:t>RECORD 3</w:t>
            </w:r>
          </w:p>
        </w:tc>
      </w:tr>
      <w:tr w:rsidR="005F7A91" w14:paraId="671DF969" w14:textId="77777777">
        <w:tc>
          <w:tcPr>
            <w:tcW w:w="536" w:type="pct"/>
            <w:gridSpan w:val="2"/>
            <w:shd w:val="clear" w:color="auto" w:fill="auto"/>
            <w:hideMark/>
          </w:tcPr>
          <w:p w14:paraId="716A0A80" w14:textId="77777777" w:rsidR="005F7A91" w:rsidRDefault="007C7639">
            <w:pPr>
              <w:tabs>
                <w:tab w:val="clear" w:pos="567"/>
              </w:tabs>
              <w:spacing w:line="240" w:lineRule="auto"/>
              <w:rPr>
                <w:szCs w:val="22"/>
                <w:lang w:val="sl-SI" w:eastAsia="sl-SI"/>
              </w:rPr>
            </w:pPr>
            <w:r>
              <w:rPr>
                <w:b/>
                <w:bCs/>
                <w:szCs w:val="22"/>
                <w:lang w:val="sl-SI" w:eastAsia="sl-SI"/>
              </w:rPr>
              <w:t>Populacija uključena u ispitivanje</w:t>
            </w:r>
          </w:p>
        </w:tc>
        <w:tc>
          <w:tcPr>
            <w:tcW w:w="1627" w:type="pct"/>
            <w:gridSpan w:val="3"/>
            <w:tcBorders>
              <w:bottom w:val="single" w:sz="4" w:space="0" w:color="auto"/>
            </w:tcBorders>
            <w:shd w:val="clear" w:color="auto" w:fill="auto"/>
            <w:hideMark/>
          </w:tcPr>
          <w:p w14:paraId="0C21D0DB" w14:textId="77777777" w:rsidR="005F7A91" w:rsidRDefault="007C7639">
            <w:pPr>
              <w:tabs>
                <w:tab w:val="clear" w:pos="567"/>
              </w:tabs>
              <w:spacing w:line="240" w:lineRule="auto"/>
              <w:rPr>
                <w:szCs w:val="22"/>
                <w:lang w:val="sl-SI" w:eastAsia="sl-SI"/>
              </w:rPr>
            </w:pPr>
            <w:r>
              <w:rPr>
                <w:b/>
                <w:bCs/>
                <w:szCs w:val="22"/>
                <w:lang w:val="sl-SI" w:eastAsia="sl-SI"/>
              </w:rPr>
              <w:t>4541 pacijent podvrgnut hirurškom zahvatu potpune zamjene kuka</w:t>
            </w:r>
          </w:p>
        </w:tc>
        <w:tc>
          <w:tcPr>
            <w:tcW w:w="1495" w:type="pct"/>
            <w:gridSpan w:val="3"/>
            <w:tcBorders>
              <w:bottom w:val="single" w:sz="4" w:space="0" w:color="auto"/>
            </w:tcBorders>
            <w:shd w:val="clear" w:color="auto" w:fill="auto"/>
            <w:hideMark/>
          </w:tcPr>
          <w:p w14:paraId="08561AE2" w14:textId="77777777" w:rsidR="005F7A91" w:rsidRDefault="007C7639">
            <w:pPr>
              <w:tabs>
                <w:tab w:val="clear" w:pos="567"/>
              </w:tabs>
              <w:spacing w:line="240" w:lineRule="auto"/>
              <w:rPr>
                <w:szCs w:val="22"/>
                <w:lang w:val="sl-SI" w:eastAsia="sl-SI"/>
              </w:rPr>
            </w:pPr>
            <w:r>
              <w:rPr>
                <w:b/>
                <w:bCs/>
                <w:szCs w:val="22"/>
                <w:lang w:val="sl-SI" w:eastAsia="sl-SI"/>
              </w:rPr>
              <w:t>2509 pacijenata podvrgnutih hirurškom zahvatu potpune zamjene kuka</w:t>
            </w:r>
          </w:p>
        </w:tc>
        <w:tc>
          <w:tcPr>
            <w:tcW w:w="1342" w:type="pct"/>
            <w:gridSpan w:val="3"/>
            <w:tcBorders>
              <w:bottom w:val="single" w:sz="4" w:space="0" w:color="auto"/>
            </w:tcBorders>
            <w:shd w:val="clear" w:color="auto" w:fill="auto"/>
            <w:hideMark/>
          </w:tcPr>
          <w:p w14:paraId="6A5201DA" w14:textId="77777777" w:rsidR="005F7A91" w:rsidRDefault="007C7639">
            <w:pPr>
              <w:tabs>
                <w:tab w:val="clear" w:pos="567"/>
              </w:tabs>
              <w:spacing w:line="240" w:lineRule="auto"/>
              <w:rPr>
                <w:szCs w:val="22"/>
                <w:lang w:val="sl-SI" w:eastAsia="sl-SI"/>
              </w:rPr>
            </w:pPr>
            <w:r>
              <w:rPr>
                <w:b/>
                <w:bCs/>
                <w:szCs w:val="22"/>
                <w:lang w:val="sl-SI" w:eastAsia="sl-SI"/>
              </w:rPr>
              <w:t>2531 pacijent podvrgnut hirurškom zahvatu potpune zamjene koljena</w:t>
            </w:r>
          </w:p>
        </w:tc>
      </w:tr>
      <w:tr w:rsidR="005F7A91" w14:paraId="1DFCA0EA" w14:textId="77777777">
        <w:tc>
          <w:tcPr>
            <w:tcW w:w="536" w:type="pct"/>
            <w:gridSpan w:val="2"/>
            <w:tcBorders>
              <w:right w:val="single" w:sz="4" w:space="0" w:color="auto"/>
            </w:tcBorders>
            <w:shd w:val="clear" w:color="auto" w:fill="auto"/>
            <w:hideMark/>
          </w:tcPr>
          <w:p w14:paraId="03F61C98" w14:textId="77777777" w:rsidR="005F7A91" w:rsidRDefault="007C7639">
            <w:pPr>
              <w:tabs>
                <w:tab w:val="clear" w:pos="567"/>
              </w:tabs>
              <w:autoSpaceDE w:val="0"/>
              <w:autoSpaceDN w:val="0"/>
              <w:adjustRightInd w:val="0"/>
              <w:spacing w:line="240" w:lineRule="auto"/>
              <w:rPr>
                <w:color w:val="000000"/>
                <w:szCs w:val="22"/>
                <w:lang w:val="hr-HR" w:eastAsia="sl-SI"/>
              </w:rPr>
            </w:pPr>
            <w:r>
              <w:rPr>
                <w:color w:val="000000"/>
                <w:szCs w:val="22"/>
                <w:lang w:val="hr-HR" w:eastAsia="sl-SI"/>
              </w:rPr>
              <w:t>Doza i trajanje liječenja nakon zahvata</w:t>
            </w:r>
          </w:p>
        </w:tc>
        <w:tc>
          <w:tcPr>
            <w:tcW w:w="645" w:type="pct"/>
            <w:tcBorders>
              <w:top w:val="single" w:sz="4" w:space="0" w:color="auto"/>
              <w:left w:val="single" w:sz="4" w:space="0" w:color="auto"/>
              <w:bottom w:val="single" w:sz="4" w:space="0" w:color="auto"/>
              <w:right w:val="nil"/>
            </w:tcBorders>
            <w:shd w:val="clear" w:color="auto" w:fill="auto"/>
            <w:hideMark/>
          </w:tcPr>
          <w:p w14:paraId="13B3B8D5" w14:textId="77777777" w:rsidR="005F7A91" w:rsidRDefault="007C7639">
            <w:pPr>
              <w:tabs>
                <w:tab w:val="clear" w:pos="567"/>
              </w:tabs>
              <w:spacing w:line="240" w:lineRule="auto"/>
              <w:jc w:val="center"/>
              <w:rPr>
                <w:szCs w:val="22"/>
                <w:lang w:val="sl-SI" w:eastAsia="sl-SI"/>
              </w:rPr>
            </w:pPr>
            <w:r>
              <w:rPr>
                <w:szCs w:val="22"/>
                <w:lang w:val="sl-SI" w:eastAsia="sl-SI"/>
              </w:rPr>
              <w:t>Rivaroksaban</w:t>
            </w:r>
          </w:p>
          <w:p w14:paraId="70C66D09" w14:textId="77777777" w:rsidR="005F7A91" w:rsidRDefault="007C7639">
            <w:pPr>
              <w:tabs>
                <w:tab w:val="clear" w:pos="567"/>
              </w:tabs>
              <w:spacing w:line="240" w:lineRule="auto"/>
              <w:jc w:val="center"/>
              <w:rPr>
                <w:szCs w:val="22"/>
                <w:lang w:val="sl-SI" w:eastAsia="sl-SI"/>
              </w:rPr>
            </w:pPr>
            <w:r>
              <w:rPr>
                <w:szCs w:val="22"/>
                <w:lang w:val="sl-SI" w:eastAsia="sl-SI"/>
              </w:rPr>
              <w:t>10 mg jednom dnevno</w:t>
            </w:r>
          </w:p>
          <w:p w14:paraId="0751F22D" w14:textId="77777777" w:rsidR="005F7A91" w:rsidRDefault="007C7639">
            <w:pPr>
              <w:tabs>
                <w:tab w:val="clear" w:pos="567"/>
              </w:tabs>
              <w:spacing w:line="240" w:lineRule="auto"/>
              <w:jc w:val="center"/>
              <w:rPr>
                <w:szCs w:val="22"/>
                <w:lang w:val="sl-SI" w:eastAsia="sl-SI"/>
              </w:rPr>
            </w:pPr>
            <w:r>
              <w:rPr>
                <w:szCs w:val="22"/>
                <w:lang w:val="sl-SI" w:eastAsia="sl-SI"/>
              </w:rPr>
              <w:t>35 ± 4 dana</w:t>
            </w:r>
          </w:p>
        </w:tc>
        <w:tc>
          <w:tcPr>
            <w:tcW w:w="525" w:type="pct"/>
            <w:tcBorders>
              <w:top w:val="single" w:sz="4" w:space="0" w:color="auto"/>
              <w:left w:val="nil"/>
              <w:bottom w:val="single" w:sz="4" w:space="0" w:color="auto"/>
              <w:right w:val="nil"/>
            </w:tcBorders>
            <w:shd w:val="clear" w:color="auto" w:fill="auto"/>
            <w:hideMark/>
          </w:tcPr>
          <w:p w14:paraId="6DC45E38" w14:textId="77777777" w:rsidR="005F7A91" w:rsidRDefault="007C7639">
            <w:pPr>
              <w:tabs>
                <w:tab w:val="clear" w:pos="567"/>
              </w:tabs>
              <w:spacing w:line="240" w:lineRule="auto"/>
              <w:jc w:val="center"/>
              <w:rPr>
                <w:szCs w:val="22"/>
                <w:lang w:val="sl-SI" w:eastAsia="sl-SI"/>
              </w:rPr>
            </w:pPr>
            <w:r>
              <w:rPr>
                <w:szCs w:val="22"/>
                <w:lang w:val="sl-SI" w:eastAsia="sl-SI"/>
              </w:rPr>
              <w:t>Enoksaparin</w:t>
            </w:r>
          </w:p>
          <w:p w14:paraId="215F7B30" w14:textId="77777777" w:rsidR="005F7A91" w:rsidRDefault="007C7639">
            <w:pPr>
              <w:tabs>
                <w:tab w:val="clear" w:pos="567"/>
              </w:tabs>
              <w:spacing w:line="240" w:lineRule="auto"/>
              <w:jc w:val="center"/>
              <w:rPr>
                <w:szCs w:val="22"/>
                <w:lang w:val="sl-SI" w:eastAsia="sl-SI"/>
              </w:rPr>
            </w:pPr>
            <w:r>
              <w:rPr>
                <w:szCs w:val="22"/>
                <w:lang w:val="sl-SI" w:eastAsia="sl-SI"/>
              </w:rPr>
              <w:t>40 mg jednom dnevno</w:t>
            </w:r>
          </w:p>
          <w:p w14:paraId="6705A931" w14:textId="77777777" w:rsidR="005F7A91" w:rsidRDefault="007C7639">
            <w:pPr>
              <w:tabs>
                <w:tab w:val="clear" w:pos="567"/>
              </w:tabs>
              <w:spacing w:line="240" w:lineRule="auto"/>
              <w:jc w:val="center"/>
              <w:rPr>
                <w:szCs w:val="22"/>
                <w:lang w:val="sl-SI" w:eastAsia="sl-SI"/>
              </w:rPr>
            </w:pPr>
            <w:r>
              <w:rPr>
                <w:szCs w:val="22"/>
                <w:lang w:val="sl-SI" w:eastAsia="sl-SI"/>
              </w:rPr>
              <w:t>35 ± 4 dana</w:t>
            </w:r>
          </w:p>
        </w:tc>
        <w:tc>
          <w:tcPr>
            <w:tcW w:w="457" w:type="pct"/>
            <w:tcBorders>
              <w:top w:val="single" w:sz="4" w:space="0" w:color="auto"/>
              <w:left w:val="nil"/>
              <w:bottom w:val="single" w:sz="4" w:space="0" w:color="auto"/>
              <w:right w:val="single" w:sz="4" w:space="0" w:color="auto"/>
            </w:tcBorders>
            <w:shd w:val="clear" w:color="auto" w:fill="auto"/>
            <w:hideMark/>
          </w:tcPr>
          <w:p w14:paraId="5F38A4F3" w14:textId="77777777" w:rsidR="005F7A91" w:rsidRDefault="007C7639">
            <w:pPr>
              <w:tabs>
                <w:tab w:val="clear" w:pos="567"/>
              </w:tabs>
              <w:spacing w:line="240" w:lineRule="auto"/>
              <w:jc w:val="center"/>
              <w:rPr>
                <w:szCs w:val="22"/>
                <w:lang w:val="sl-SI" w:eastAsia="sl-SI"/>
              </w:rPr>
            </w:pPr>
            <w:r>
              <w:rPr>
                <w:szCs w:val="22"/>
                <w:lang w:val="sl-SI" w:eastAsia="sl-SI"/>
              </w:rPr>
              <w:t>p</w:t>
            </w:r>
          </w:p>
        </w:tc>
        <w:tc>
          <w:tcPr>
            <w:tcW w:w="502" w:type="pct"/>
            <w:tcBorders>
              <w:top w:val="single" w:sz="4" w:space="0" w:color="auto"/>
              <w:left w:val="single" w:sz="4" w:space="0" w:color="auto"/>
              <w:bottom w:val="single" w:sz="4" w:space="0" w:color="auto"/>
              <w:right w:val="nil"/>
            </w:tcBorders>
            <w:shd w:val="clear" w:color="auto" w:fill="auto"/>
            <w:hideMark/>
          </w:tcPr>
          <w:p w14:paraId="1B1CEA8D" w14:textId="77777777" w:rsidR="005F7A91" w:rsidRDefault="007C7639">
            <w:pPr>
              <w:tabs>
                <w:tab w:val="clear" w:pos="567"/>
              </w:tabs>
              <w:spacing w:line="240" w:lineRule="auto"/>
              <w:jc w:val="center"/>
              <w:rPr>
                <w:szCs w:val="22"/>
                <w:lang w:val="sl-SI" w:eastAsia="sl-SI"/>
              </w:rPr>
            </w:pPr>
            <w:r>
              <w:rPr>
                <w:szCs w:val="22"/>
                <w:lang w:val="sl-SI" w:eastAsia="sl-SI"/>
              </w:rPr>
              <w:t>Rivaroksaban</w:t>
            </w:r>
          </w:p>
          <w:p w14:paraId="3F5EE8C2" w14:textId="77777777" w:rsidR="005F7A91" w:rsidRDefault="007C7639">
            <w:pPr>
              <w:tabs>
                <w:tab w:val="clear" w:pos="567"/>
              </w:tabs>
              <w:spacing w:line="240" w:lineRule="auto"/>
              <w:jc w:val="center"/>
              <w:rPr>
                <w:szCs w:val="22"/>
                <w:lang w:val="sl-SI" w:eastAsia="sl-SI"/>
              </w:rPr>
            </w:pPr>
            <w:r>
              <w:rPr>
                <w:szCs w:val="22"/>
                <w:lang w:val="sl-SI" w:eastAsia="sl-SI"/>
              </w:rPr>
              <w:t>10 mg jednom dnevno</w:t>
            </w:r>
          </w:p>
          <w:p w14:paraId="37142388" w14:textId="77777777" w:rsidR="005F7A91" w:rsidRDefault="007C7639">
            <w:pPr>
              <w:tabs>
                <w:tab w:val="clear" w:pos="567"/>
              </w:tabs>
              <w:spacing w:line="240" w:lineRule="auto"/>
              <w:jc w:val="center"/>
              <w:rPr>
                <w:szCs w:val="22"/>
                <w:lang w:val="sl-SI" w:eastAsia="sl-SI"/>
              </w:rPr>
            </w:pPr>
            <w:r>
              <w:rPr>
                <w:szCs w:val="22"/>
                <w:lang w:val="sl-SI" w:eastAsia="sl-SI"/>
              </w:rPr>
              <w:t>35 ± 4 dana</w:t>
            </w:r>
          </w:p>
        </w:tc>
        <w:tc>
          <w:tcPr>
            <w:tcW w:w="531" w:type="pct"/>
            <w:tcBorders>
              <w:top w:val="single" w:sz="4" w:space="0" w:color="auto"/>
              <w:left w:val="nil"/>
              <w:bottom w:val="single" w:sz="4" w:space="0" w:color="auto"/>
              <w:right w:val="nil"/>
            </w:tcBorders>
            <w:shd w:val="clear" w:color="auto" w:fill="auto"/>
            <w:hideMark/>
          </w:tcPr>
          <w:p w14:paraId="1AA3F612" w14:textId="77777777" w:rsidR="005F7A91" w:rsidRDefault="007C7639">
            <w:pPr>
              <w:tabs>
                <w:tab w:val="clear" w:pos="567"/>
              </w:tabs>
              <w:spacing w:line="240" w:lineRule="auto"/>
              <w:jc w:val="center"/>
              <w:rPr>
                <w:szCs w:val="22"/>
                <w:lang w:val="sl-SI" w:eastAsia="sl-SI"/>
              </w:rPr>
            </w:pPr>
            <w:r>
              <w:rPr>
                <w:szCs w:val="22"/>
                <w:lang w:val="sl-SI" w:eastAsia="sl-SI"/>
              </w:rPr>
              <w:t>Enoksaparin</w:t>
            </w:r>
          </w:p>
          <w:p w14:paraId="1F23C5F7" w14:textId="77777777" w:rsidR="005F7A91" w:rsidRDefault="007C7639">
            <w:pPr>
              <w:tabs>
                <w:tab w:val="clear" w:pos="567"/>
              </w:tabs>
              <w:spacing w:line="240" w:lineRule="auto"/>
              <w:jc w:val="center"/>
              <w:rPr>
                <w:szCs w:val="22"/>
                <w:lang w:val="sl-SI" w:eastAsia="sl-SI"/>
              </w:rPr>
            </w:pPr>
            <w:r>
              <w:rPr>
                <w:szCs w:val="22"/>
                <w:lang w:val="sl-SI" w:eastAsia="sl-SI"/>
              </w:rPr>
              <w:t>40 mg jednom dnevno</w:t>
            </w:r>
          </w:p>
          <w:p w14:paraId="3A6E5BC3" w14:textId="77777777" w:rsidR="005F7A91" w:rsidRDefault="007C7639">
            <w:pPr>
              <w:tabs>
                <w:tab w:val="clear" w:pos="567"/>
              </w:tabs>
              <w:spacing w:line="240" w:lineRule="auto"/>
              <w:jc w:val="center"/>
              <w:rPr>
                <w:szCs w:val="22"/>
                <w:lang w:val="sl-SI" w:eastAsia="sl-SI"/>
              </w:rPr>
            </w:pPr>
            <w:r>
              <w:rPr>
                <w:szCs w:val="22"/>
                <w:lang w:val="sl-SI" w:eastAsia="sl-SI"/>
              </w:rPr>
              <w:t>12 ± 2 dana</w:t>
            </w:r>
          </w:p>
        </w:tc>
        <w:tc>
          <w:tcPr>
            <w:tcW w:w="462" w:type="pct"/>
            <w:tcBorders>
              <w:top w:val="single" w:sz="4" w:space="0" w:color="auto"/>
              <w:left w:val="nil"/>
              <w:bottom w:val="single" w:sz="4" w:space="0" w:color="auto"/>
              <w:right w:val="single" w:sz="4" w:space="0" w:color="auto"/>
            </w:tcBorders>
            <w:shd w:val="clear" w:color="auto" w:fill="auto"/>
            <w:hideMark/>
          </w:tcPr>
          <w:p w14:paraId="36C3292C" w14:textId="77777777" w:rsidR="005F7A91" w:rsidRDefault="007C7639">
            <w:pPr>
              <w:tabs>
                <w:tab w:val="clear" w:pos="567"/>
              </w:tabs>
              <w:spacing w:line="240" w:lineRule="auto"/>
              <w:jc w:val="center"/>
              <w:rPr>
                <w:szCs w:val="22"/>
                <w:lang w:val="sl-SI" w:eastAsia="sl-SI"/>
              </w:rPr>
            </w:pPr>
            <w:r>
              <w:rPr>
                <w:szCs w:val="22"/>
                <w:lang w:val="sl-SI" w:eastAsia="sl-SI"/>
              </w:rPr>
              <w:t>p</w:t>
            </w:r>
          </w:p>
        </w:tc>
        <w:tc>
          <w:tcPr>
            <w:tcW w:w="496" w:type="pct"/>
            <w:tcBorders>
              <w:top w:val="single" w:sz="4" w:space="0" w:color="auto"/>
              <w:left w:val="single" w:sz="4" w:space="0" w:color="auto"/>
              <w:bottom w:val="single" w:sz="4" w:space="0" w:color="auto"/>
              <w:right w:val="nil"/>
            </w:tcBorders>
            <w:shd w:val="clear" w:color="auto" w:fill="auto"/>
            <w:hideMark/>
          </w:tcPr>
          <w:p w14:paraId="780F54F2" w14:textId="77777777" w:rsidR="005F7A91" w:rsidRDefault="007C7639">
            <w:pPr>
              <w:tabs>
                <w:tab w:val="clear" w:pos="567"/>
              </w:tabs>
              <w:spacing w:line="240" w:lineRule="auto"/>
              <w:jc w:val="center"/>
              <w:rPr>
                <w:szCs w:val="22"/>
                <w:lang w:val="sl-SI" w:eastAsia="sl-SI"/>
              </w:rPr>
            </w:pPr>
            <w:r>
              <w:rPr>
                <w:szCs w:val="22"/>
                <w:lang w:val="sl-SI" w:eastAsia="sl-SI"/>
              </w:rPr>
              <w:t>Rivaroksaban</w:t>
            </w:r>
          </w:p>
          <w:p w14:paraId="7F3AD18E" w14:textId="77777777" w:rsidR="005F7A91" w:rsidRDefault="007C7639">
            <w:pPr>
              <w:tabs>
                <w:tab w:val="clear" w:pos="567"/>
              </w:tabs>
              <w:spacing w:line="240" w:lineRule="auto"/>
              <w:jc w:val="center"/>
              <w:rPr>
                <w:szCs w:val="22"/>
                <w:lang w:val="sl-SI" w:eastAsia="sl-SI"/>
              </w:rPr>
            </w:pPr>
            <w:r>
              <w:rPr>
                <w:szCs w:val="22"/>
                <w:lang w:val="sl-SI" w:eastAsia="sl-SI"/>
              </w:rPr>
              <w:t>10 mg jednom dnevno</w:t>
            </w:r>
          </w:p>
          <w:p w14:paraId="0E86285A" w14:textId="77777777" w:rsidR="005F7A91" w:rsidRDefault="007C7639">
            <w:pPr>
              <w:tabs>
                <w:tab w:val="clear" w:pos="567"/>
              </w:tabs>
              <w:spacing w:line="240" w:lineRule="auto"/>
              <w:jc w:val="center"/>
              <w:rPr>
                <w:szCs w:val="22"/>
                <w:lang w:val="sl-SI" w:eastAsia="sl-SI"/>
              </w:rPr>
            </w:pPr>
            <w:r>
              <w:rPr>
                <w:szCs w:val="22"/>
                <w:lang w:val="sl-SI" w:eastAsia="sl-SI"/>
              </w:rPr>
              <w:t>12 ± 2 dana</w:t>
            </w:r>
          </w:p>
        </w:tc>
        <w:tc>
          <w:tcPr>
            <w:tcW w:w="531" w:type="pct"/>
            <w:tcBorders>
              <w:top w:val="single" w:sz="4" w:space="0" w:color="auto"/>
              <w:left w:val="nil"/>
              <w:bottom w:val="single" w:sz="4" w:space="0" w:color="auto"/>
              <w:right w:val="nil"/>
            </w:tcBorders>
            <w:shd w:val="clear" w:color="auto" w:fill="auto"/>
            <w:hideMark/>
          </w:tcPr>
          <w:p w14:paraId="4BC6D099" w14:textId="77777777" w:rsidR="005F7A91" w:rsidRDefault="007C7639">
            <w:pPr>
              <w:tabs>
                <w:tab w:val="clear" w:pos="567"/>
              </w:tabs>
              <w:spacing w:line="240" w:lineRule="auto"/>
              <w:jc w:val="center"/>
              <w:rPr>
                <w:szCs w:val="22"/>
                <w:lang w:val="sl-SI" w:eastAsia="sl-SI"/>
              </w:rPr>
            </w:pPr>
            <w:r>
              <w:rPr>
                <w:szCs w:val="22"/>
                <w:lang w:val="sl-SI" w:eastAsia="sl-SI"/>
              </w:rPr>
              <w:t>Enoksaparin</w:t>
            </w:r>
          </w:p>
          <w:p w14:paraId="253D577F" w14:textId="77777777" w:rsidR="005F7A91" w:rsidRDefault="007C7639">
            <w:pPr>
              <w:tabs>
                <w:tab w:val="clear" w:pos="567"/>
              </w:tabs>
              <w:spacing w:line="240" w:lineRule="auto"/>
              <w:jc w:val="center"/>
              <w:rPr>
                <w:szCs w:val="22"/>
                <w:lang w:val="sl-SI" w:eastAsia="sl-SI"/>
              </w:rPr>
            </w:pPr>
            <w:r>
              <w:rPr>
                <w:szCs w:val="22"/>
                <w:lang w:val="sl-SI" w:eastAsia="sl-SI"/>
              </w:rPr>
              <w:t>40 mg jednom dnevno</w:t>
            </w:r>
          </w:p>
          <w:p w14:paraId="3D527BC7" w14:textId="77777777" w:rsidR="005F7A91" w:rsidRDefault="007C7639">
            <w:pPr>
              <w:tabs>
                <w:tab w:val="clear" w:pos="567"/>
              </w:tabs>
              <w:spacing w:line="240" w:lineRule="auto"/>
              <w:jc w:val="center"/>
              <w:rPr>
                <w:szCs w:val="22"/>
                <w:lang w:val="sl-SI" w:eastAsia="sl-SI"/>
              </w:rPr>
            </w:pPr>
            <w:r>
              <w:rPr>
                <w:szCs w:val="22"/>
                <w:lang w:val="sl-SI" w:eastAsia="sl-SI"/>
              </w:rPr>
              <w:t>12 ± 2 dana</w:t>
            </w:r>
          </w:p>
        </w:tc>
        <w:tc>
          <w:tcPr>
            <w:tcW w:w="315" w:type="pct"/>
            <w:tcBorders>
              <w:top w:val="single" w:sz="4" w:space="0" w:color="auto"/>
              <w:left w:val="nil"/>
              <w:bottom w:val="single" w:sz="4" w:space="0" w:color="auto"/>
              <w:right w:val="single" w:sz="4" w:space="0" w:color="auto"/>
            </w:tcBorders>
            <w:shd w:val="clear" w:color="auto" w:fill="auto"/>
            <w:hideMark/>
          </w:tcPr>
          <w:p w14:paraId="20635690" w14:textId="77777777" w:rsidR="005F7A91" w:rsidRDefault="007C7639">
            <w:pPr>
              <w:tabs>
                <w:tab w:val="clear" w:pos="567"/>
              </w:tabs>
              <w:spacing w:line="240" w:lineRule="auto"/>
              <w:ind w:left="-240"/>
              <w:jc w:val="center"/>
              <w:rPr>
                <w:szCs w:val="22"/>
                <w:lang w:val="sl-SI" w:eastAsia="sl-SI"/>
              </w:rPr>
            </w:pPr>
            <w:r>
              <w:rPr>
                <w:szCs w:val="22"/>
                <w:lang w:val="sl-SI" w:eastAsia="sl-SI"/>
              </w:rPr>
              <w:t>p</w:t>
            </w:r>
          </w:p>
        </w:tc>
      </w:tr>
      <w:tr w:rsidR="005F7A91" w14:paraId="508E59B0" w14:textId="77777777">
        <w:tc>
          <w:tcPr>
            <w:tcW w:w="536" w:type="pct"/>
            <w:gridSpan w:val="2"/>
            <w:tcBorders>
              <w:right w:val="single" w:sz="4" w:space="0" w:color="auto"/>
            </w:tcBorders>
            <w:shd w:val="clear" w:color="auto" w:fill="auto"/>
            <w:hideMark/>
          </w:tcPr>
          <w:p w14:paraId="7FB5F93C" w14:textId="77777777" w:rsidR="005F7A91" w:rsidRDefault="007C7639">
            <w:pPr>
              <w:tabs>
                <w:tab w:val="clear" w:pos="567"/>
              </w:tabs>
              <w:spacing w:line="240" w:lineRule="auto"/>
              <w:rPr>
                <w:szCs w:val="22"/>
                <w:lang w:val="sl-SI" w:eastAsia="sl-SI"/>
              </w:rPr>
            </w:pPr>
            <w:r>
              <w:rPr>
                <w:szCs w:val="22"/>
                <w:lang w:val="sl-SI" w:eastAsia="sl-SI"/>
              </w:rPr>
              <w:t>Ukupni VTE događaji</w:t>
            </w:r>
          </w:p>
        </w:tc>
        <w:tc>
          <w:tcPr>
            <w:tcW w:w="645" w:type="pct"/>
            <w:tcBorders>
              <w:top w:val="single" w:sz="4" w:space="0" w:color="auto"/>
              <w:left w:val="single" w:sz="4" w:space="0" w:color="auto"/>
              <w:bottom w:val="single" w:sz="4" w:space="0" w:color="auto"/>
              <w:right w:val="nil"/>
            </w:tcBorders>
            <w:shd w:val="clear" w:color="auto" w:fill="auto"/>
            <w:hideMark/>
          </w:tcPr>
          <w:p w14:paraId="032776E6" w14:textId="77777777" w:rsidR="005F7A91" w:rsidRDefault="007C7639">
            <w:pPr>
              <w:tabs>
                <w:tab w:val="clear" w:pos="567"/>
              </w:tabs>
              <w:spacing w:line="240" w:lineRule="auto"/>
              <w:jc w:val="center"/>
              <w:rPr>
                <w:szCs w:val="22"/>
                <w:lang w:val="sl-SI" w:eastAsia="sl-SI"/>
              </w:rPr>
            </w:pPr>
            <w:r>
              <w:rPr>
                <w:szCs w:val="22"/>
                <w:lang w:val="sl-SI" w:eastAsia="sl-SI"/>
              </w:rPr>
              <w:t>18 (1,1%)</w:t>
            </w:r>
          </w:p>
        </w:tc>
        <w:tc>
          <w:tcPr>
            <w:tcW w:w="525" w:type="pct"/>
            <w:tcBorders>
              <w:top w:val="single" w:sz="4" w:space="0" w:color="auto"/>
              <w:left w:val="nil"/>
              <w:bottom w:val="single" w:sz="4" w:space="0" w:color="auto"/>
              <w:right w:val="nil"/>
            </w:tcBorders>
            <w:shd w:val="clear" w:color="auto" w:fill="auto"/>
            <w:hideMark/>
          </w:tcPr>
          <w:p w14:paraId="1C091206" w14:textId="77777777" w:rsidR="005F7A91" w:rsidRDefault="007C7639">
            <w:pPr>
              <w:tabs>
                <w:tab w:val="clear" w:pos="567"/>
              </w:tabs>
              <w:spacing w:line="240" w:lineRule="auto"/>
              <w:jc w:val="center"/>
              <w:rPr>
                <w:szCs w:val="22"/>
                <w:lang w:val="sl-SI" w:eastAsia="sl-SI"/>
              </w:rPr>
            </w:pPr>
            <w:r>
              <w:rPr>
                <w:szCs w:val="22"/>
                <w:lang w:val="sl-SI" w:eastAsia="sl-SI"/>
              </w:rPr>
              <w:t>58 (3,7%)</w:t>
            </w:r>
          </w:p>
        </w:tc>
        <w:tc>
          <w:tcPr>
            <w:tcW w:w="457" w:type="pct"/>
            <w:tcBorders>
              <w:top w:val="single" w:sz="4" w:space="0" w:color="auto"/>
              <w:left w:val="nil"/>
              <w:bottom w:val="single" w:sz="4" w:space="0" w:color="auto"/>
              <w:right w:val="single" w:sz="4" w:space="0" w:color="auto"/>
            </w:tcBorders>
            <w:shd w:val="clear" w:color="auto" w:fill="auto"/>
            <w:hideMark/>
          </w:tcPr>
          <w:p w14:paraId="23053A10" w14:textId="77777777" w:rsidR="005F7A91" w:rsidRDefault="007C7639">
            <w:pPr>
              <w:tabs>
                <w:tab w:val="clear" w:pos="567"/>
              </w:tabs>
              <w:spacing w:line="240" w:lineRule="auto"/>
              <w:jc w:val="center"/>
              <w:rPr>
                <w:szCs w:val="22"/>
                <w:lang w:val="sl-SI" w:eastAsia="sl-SI"/>
              </w:rPr>
            </w:pPr>
            <w:r>
              <w:rPr>
                <w:szCs w:val="22"/>
                <w:lang w:val="sl-SI" w:eastAsia="sl-SI"/>
              </w:rPr>
              <w:t>&lt; 0,001</w:t>
            </w:r>
          </w:p>
        </w:tc>
        <w:tc>
          <w:tcPr>
            <w:tcW w:w="502" w:type="pct"/>
            <w:tcBorders>
              <w:top w:val="single" w:sz="4" w:space="0" w:color="auto"/>
              <w:left w:val="single" w:sz="4" w:space="0" w:color="auto"/>
              <w:bottom w:val="single" w:sz="4" w:space="0" w:color="auto"/>
              <w:right w:val="nil"/>
            </w:tcBorders>
            <w:shd w:val="clear" w:color="auto" w:fill="auto"/>
            <w:hideMark/>
          </w:tcPr>
          <w:p w14:paraId="1A91460A" w14:textId="77777777" w:rsidR="005F7A91" w:rsidRDefault="007C7639">
            <w:pPr>
              <w:tabs>
                <w:tab w:val="clear" w:pos="567"/>
              </w:tabs>
              <w:spacing w:line="240" w:lineRule="auto"/>
              <w:jc w:val="center"/>
              <w:rPr>
                <w:szCs w:val="22"/>
                <w:lang w:val="sl-SI" w:eastAsia="sl-SI"/>
              </w:rPr>
            </w:pPr>
            <w:r>
              <w:rPr>
                <w:szCs w:val="22"/>
                <w:lang w:val="sl-SI" w:eastAsia="sl-SI"/>
              </w:rPr>
              <w:t>17 (2,0%)</w:t>
            </w:r>
          </w:p>
        </w:tc>
        <w:tc>
          <w:tcPr>
            <w:tcW w:w="531" w:type="pct"/>
            <w:tcBorders>
              <w:top w:val="single" w:sz="4" w:space="0" w:color="auto"/>
              <w:left w:val="nil"/>
              <w:bottom w:val="single" w:sz="4" w:space="0" w:color="auto"/>
              <w:right w:val="nil"/>
            </w:tcBorders>
            <w:shd w:val="clear" w:color="auto" w:fill="auto"/>
            <w:hideMark/>
          </w:tcPr>
          <w:p w14:paraId="5238B962" w14:textId="77777777" w:rsidR="005F7A91" w:rsidRDefault="007C7639">
            <w:pPr>
              <w:tabs>
                <w:tab w:val="clear" w:pos="567"/>
              </w:tabs>
              <w:spacing w:line="240" w:lineRule="auto"/>
              <w:jc w:val="center"/>
              <w:rPr>
                <w:szCs w:val="22"/>
                <w:lang w:val="sl-SI" w:eastAsia="sl-SI"/>
              </w:rPr>
            </w:pPr>
            <w:r>
              <w:rPr>
                <w:szCs w:val="22"/>
                <w:lang w:val="sl-SI" w:eastAsia="sl-SI"/>
              </w:rPr>
              <w:t>81 (9,3%)</w:t>
            </w:r>
          </w:p>
        </w:tc>
        <w:tc>
          <w:tcPr>
            <w:tcW w:w="462" w:type="pct"/>
            <w:tcBorders>
              <w:top w:val="single" w:sz="4" w:space="0" w:color="auto"/>
              <w:left w:val="nil"/>
              <w:bottom w:val="single" w:sz="4" w:space="0" w:color="auto"/>
              <w:right w:val="single" w:sz="4" w:space="0" w:color="auto"/>
            </w:tcBorders>
            <w:shd w:val="clear" w:color="auto" w:fill="auto"/>
            <w:hideMark/>
          </w:tcPr>
          <w:p w14:paraId="652CD6F1" w14:textId="77777777" w:rsidR="005F7A91" w:rsidRDefault="007C7639">
            <w:pPr>
              <w:tabs>
                <w:tab w:val="clear" w:pos="567"/>
              </w:tabs>
              <w:spacing w:line="240" w:lineRule="auto"/>
              <w:jc w:val="center"/>
              <w:rPr>
                <w:szCs w:val="22"/>
                <w:lang w:val="sl-SI" w:eastAsia="sl-SI"/>
              </w:rPr>
            </w:pPr>
            <w:r>
              <w:rPr>
                <w:szCs w:val="22"/>
                <w:lang w:val="sl-SI" w:eastAsia="sl-SI"/>
              </w:rPr>
              <w:t>&lt; 0,001</w:t>
            </w:r>
          </w:p>
        </w:tc>
        <w:tc>
          <w:tcPr>
            <w:tcW w:w="496" w:type="pct"/>
            <w:tcBorders>
              <w:top w:val="single" w:sz="4" w:space="0" w:color="auto"/>
              <w:left w:val="single" w:sz="4" w:space="0" w:color="auto"/>
              <w:bottom w:val="single" w:sz="4" w:space="0" w:color="auto"/>
              <w:right w:val="nil"/>
            </w:tcBorders>
            <w:shd w:val="clear" w:color="auto" w:fill="auto"/>
            <w:hideMark/>
          </w:tcPr>
          <w:p w14:paraId="043EBC70" w14:textId="77777777" w:rsidR="005F7A91" w:rsidRDefault="007C7639">
            <w:pPr>
              <w:tabs>
                <w:tab w:val="clear" w:pos="567"/>
              </w:tabs>
              <w:spacing w:line="240" w:lineRule="auto"/>
              <w:jc w:val="center"/>
              <w:rPr>
                <w:szCs w:val="22"/>
                <w:lang w:val="sl-SI" w:eastAsia="sl-SI"/>
              </w:rPr>
            </w:pPr>
            <w:r>
              <w:rPr>
                <w:szCs w:val="22"/>
                <w:lang w:val="sl-SI" w:eastAsia="sl-SI"/>
              </w:rPr>
              <w:t>79 (9,6%)</w:t>
            </w:r>
          </w:p>
        </w:tc>
        <w:tc>
          <w:tcPr>
            <w:tcW w:w="531" w:type="pct"/>
            <w:tcBorders>
              <w:top w:val="single" w:sz="4" w:space="0" w:color="auto"/>
              <w:left w:val="nil"/>
              <w:bottom w:val="single" w:sz="4" w:space="0" w:color="auto"/>
              <w:right w:val="nil"/>
            </w:tcBorders>
            <w:shd w:val="clear" w:color="auto" w:fill="auto"/>
            <w:hideMark/>
          </w:tcPr>
          <w:p w14:paraId="75CFC2D7" w14:textId="77777777" w:rsidR="005F7A91" w:rsidRDefault="007C7639">
            <w:pPr>
              <w:tabs>
                <w:tab w:val="clear" w:pos="567"/>
              </w:tabs>
              <w:spacing w:line="240" w:lineRule="auto"/>
              <w:jc w:val="center"/>
              <w:rPr>
                <w:szCs w:val="22"/>
                <w:lang w:val="sl-SI" w:eastAsia="sl-SI"/>
              </w:rPr>
            </w:pPr>
            <w:r>
              <w:rPr>
                <w:szCs w:val="22"/>
                <w:lang w:val="sl-SI" w:eastAsia="sl-SI"/>
              </w:rPr>
              <w:t>166 (18,9%)</w:t>
            </w:r>
          </w:p>
        </w:tc>
        <w:tc>
          <w:tcPr>
            <w:tcW w:w="315" w:type="pct"/>
            <w:tcBorders>
              <w:top w:val="single" w:sz="4" w:space="0" w:color="auto"/>
              <w:left w:val="nil"/>
              <w:bottom w:val="single" w:sz="4" w:space="0" w:color="auto"/>
              <w:right w:val="single" w:sz="4" w:space="0" w:color="auto"/>
            </w:tcBorders>
            <w:shd w:val="clear" w:color="auto" w:fill="auto"/>
            <w:hideMark/>
          </w:tcPr>
          <w:p w14:paraId="3E72AE1D" w14:textId="77777777" w:rsidR="005F7A91" w:rsidRDefault="007C7639">
            <w:pPr>
              <w:tabs>
                <w:tab w:val="clear" w:pos="567"/>
              </w:tabs>
              <w:spacing w:line="240" w:lineRule="auto"/>
              <w:ind w:left="-98"/>
              <w:rPr>
                <w:szCs w:val="22"/>
                <w:lang w:val="sl-SI" w:eastAsia="sl-SI"/>
              </w:rPr>
            </w:pPr>
            <w:r>
              <w:rPr>
                <w:szCs w:val="22"/>
                <w:lang w:val="sl-SI" w:eastAsia="sl-SI"/>
              </w:rPr>
              <w:t>&lt; 0,001</w:t>
            </w:r>
          </w:p>
        </w:tc>
      </w:tr>
      <w:tr w:rsidR="005F7A91" w14:paraId="46CB20FA" w14:textId="77777777">
        <w:tc>
          <w:tcPr>
            <w:tcW w:w="536" w:type="pct"/>
            <w:gridSpan w:val="2"/>
            <w:tcBorders>
              <w:right w:val="single" w:sz="4" w:space="0" w:color="auto"/>
            </w:tcBorders>
            <w:shd w:val="clear" w:color="auto" w:fill="auto"/>
            <w:hideMark/>
          </w:tcPr>
          <w:p w14:paraId="001395E6" w14:textId="77777777" w:rsidR="005F7A91" w:rsidRDefault="007C7639">
            <w:pPr>
              <w:tabs>
                <w:tab w:val="clear" w:pos="567"/>
              </w:tabs>
              <w:spacing w:line="240" w:lineRule="auto"/>
              <w:rPr>
                <w:szCs w:val="22"/>
                <w:lang w:val="sl-SI" w:eastAsia="sl-SI"/>
              </w:rPr>
            </w:pPr>
            <w:r>
              <w:rPr>
                <w:szCs w:val="22"/>
                <w:lang w:val="sl-SI" w:eastAsia="sl-SI"/>
              </w:rPr>
              <w:t>Glavni VTE događaji</w:t>
            </w:r>
          </w:p>
        </w:tc>
        <w:tc>
          <w:tcPr>
            <w:tcW w:w="645" w:type="pct"/>
            <w:tcBorders>
              <w:top w:val="single" w:sz="4" w:space="0" w:color="auto"/>
              <w:left w:val="single" w:sz="4" w:space="0" w:color="auto"/>
              <w:bottom w:val="single" w:sz="4" w:space="0" w:color="auto"/>
              <w:right w:val="nil"/>
            </w:tcBorders>
            <w:shd w:val="clear" w:color="auto" w:fill="auto"/>
            <w:hideMark/>
          </w:tcPr>
          <w:p w14:paraId="0A6A4DAF" w14:textId="77777777" w:rsidR="005F7A91" w:rsidRDefault="007C7639">
            <w:pPr>
              <w:tabs>
                <w:tab w:val="clear" w:pos="567"/>
              </w:tabs>
              <w:spacing w:line="240" w:lineRule="auto"/>
              <w:jc w:val="center"/>
              <w:rPr>
                <w:szCs w:val="22"/>
                <w:lang w:val="sl-SI" w:eastAsia="sl-SI"/>
              </w:rPr>
            </w:pPr>
            <w:r>
              <w:rPr>
                <w:szCs w:val="22"/>
                <w:lang w:val="sl-SI" w:eastAsia="sl-SI"/>
              </w:rPr>
              <w:t>4 (0,2%)</w:t>
            </w:r>
          </w:p>
        </w:tc>
        <w:tc>
          <w:tcPr>
            <w:tcW w:w="525" w:type="pct"/>
            <w:tcBorders>
              <w:top w:val="single" w:sz="4" w:space="0" w:color="auto"/>
              <w:left w:val="nil"/>
              <w:bottom w:val="single" w:sz="4" w:space="0" w:color="auto"/>
              <w:right w:val="nil"/>
            </w:tcBorders>
            <w:shd w:val="clear" w:color="auto" w:fill="auto"/>
            <w:hideMark/>
          </w:tcPr>
          <w:p w14:paraId="2B32DDBC" w14:textId="77777777" w:rsidR="005F7A91" w:rsidRDefault="007C7639">
            <w:pPr>
              <w:tabs>
                <w:tab w:val="clear" w:pos="567"/>
              </w:tabs>
              <w:spacing w:line="240" w:lineRule="auto"/>
              <w:jc w:val="center"/>
              <w:rPr>
                <w:szCs w:val="22"/>
                <w:lang w:val="sl-SI" w:eastAsia="sl-SI"/>
              </w:rPr>
            </w:pPr>
            <w:r>
              <w:rPr>
                <w:szCs w:val="22"/>
                <w:lang w:val="sl-SI" w:eastAsia="sl-SI"/>
              </w:rPr>
              <w:t>33 (2,0%)</w:t>
            </w:r>
          </w:p>
        </w:tc>
        <w:tc>
          <w:tcPr>
            <w:tcW w:w="457" w:type="pct"/>
            <w:tcBorders>
              <w:top w:val="single" w:sz="4" w:space="0" w:color="auto"/>
              <w:left w:val="nil"/>
              <w:bottom w:val="single" w:sz="4" w:space="0" w:color="auto"/>
              <w:right w:val="single" w:sz="4" w:space="0" w:color="auto"/>
            </w:tcBorders>
            <w:shd w:val="clear" w:color="auto" w:fill="auto"/>
            <w:hideMark/>
          </w:tcPr>
          <w:p w14:paraId="59714E67" w14:textId="77777777" w:rsidR="005F7A91" w:rsidRDefault="007C7639">
            <w:pPr>
              <w:tabs>
                <w:tab w:val="clear" w:pos="567"/>
              </w:tabs>
              <w:spacing w:line="240" w:lineRule="auto"/>
              <w:jc w:val="center"/>
              <w:rPr>
                <w:szCs w:val="22"/>
                <w:lang w:val="sl-SI" w:eastAsia="sl-SI"/>
              </w:rPr>
            </w:pPr>
            <w:r>
              <w:rPr>
                <w:szCs w:val="22"/>
                <w:lang w:val="sl-SI" w:eastAsia="sl-SI"/>
              </w:rPr>
              <w:t>&lt; 0,001</w:t>
            </w:r>
          </w:p>
        </w:tc>
        <w:tc>
          <w:tcPr>
            <w:tcW w:w="502" w:type="pct"/>
            <w:tcBorders>
              <w:top w:val="single" w:sz="4" w:space="0" w:color="auto"/>
              <w:left w:val="single" w:sz="4" w:space="0" w:color="auto"/>
              <w:bottom w:val="single" w:sz="4" w:space="0" w:color="auto"/>
              <w:right w:val="nil"/>
            </w:tcBorders>
            <w:shd w:val="clear" w:color="auto" w:fill="auto"/>
            <w:hideMark/>
          </w:tcPr>
          <w:p w14:paraId="6AD9BCA0" w14:textId="77777777" w:rsidR="005F7A91" w:rsidRDefault="007C7639">
            <w:pPr>
              <w:tabs>
                <w:tab w:val="clear" w:pos="567"/>
              </w:tabs>
              <w:spacing w:line="240" w:lineRule="auto"/>
              <w:jc w:val="center"/>
              <w:rPr>
                <w:szCs w:val="22"/>
                <w:lang w:val="sl-SI" w:eastAsia="sl-SI"/>
              </w:rPr>
            </w:pPr>
            <w:r>
              <w:rPr>
                <w:szCs w:val="22"/>
                <w:lang w:val="sl-SI" w:eastAsia="sl-SI"/>
              </w:rPr>
              <w:t>6 (0,6%)</w:t>
            </w:r>
          </w:p>
        </w:tc>
        <w:tc>
          <w:tcPr>
            <w:tcW w:w="531" w:type="pct"/>
            <w:tcBorders>
              <w:top w:val="single" w:sz="4" w:space="0" w:color="auto"/>
              <w:left w:val="nil"/>
              <w:bottom w:val="single" w:sz="4" w:space="0" w:color="auto"/>
              <w:right w:val="nil"/>
            </w:tcBorders>
            <w:shd w:val="clear" w:color="auto" w:fill="auto"/>
            <w:hideMark/>
          </w:tcPr>
          <w:p w14:paraId="3E2645F4" w14:textId="77777777" w:rsidR="005F7A91" w:rsidRDefault="007C7639">
            <w:pPr>
              <w:tabs>
                <w:tab w:val="clear" w:pos="567"/>
              </w:tabs>
              <w:spacing w:line="240" w:lineRule="auto"/>
              <w:jc w:val="center"/>
              <w:rPr>
                <w:szCs w:val="22"/>
                <w:lang w:val="sl-SI" w:eastAsia="sl-SI"/>
              </w:rPr>
            </w:pPr>
            <w:r>
              <w:rPr>
                <w:szCs w:val="22"/>
                <w:lang w:val="sl-SI" w:eastAsia="sl-SI"/>
              </w:rPr>
              <w:t>49 (5,1%)</w:t>
            </w:r>
          </w:p>
        </w:tc>
        <w:tc>
          <w:tcPr>
            <w:tcW w:w="462" w:type="pct"/>
            <w:tcBorders>
              <w:top w:val="single" w:sz="4" w:space="0" w:color="auto"/>
              <w:left w:val="nil"/>
              <w:bottom w:val="single" w:sz="4" w:space="0" w:color="auto"/>
              <w:right w:val="single" w:sz="4" w:space="0" w:color="auto"/>
            </w:tcBorders>
            <w:shd w:val="clear" w:color="auto" w:fill="auto"/>
            <w:hideMark/>
          </w:tcPr>
          <w:p w14:paraId="5D5676FC" w14:textId="77777777" w:rsidR="005F7A91" w:rsidRDefault="007C7639">
            <w:pPr>
              <w:tabs>
                <w:tab w:val="clear" w:pos="567"/>
              </w:tabs>
              <w:spacing w:line="240" w:lineRule="auto"/>
              <w:jc w:val="center"/>
              <w:rPr>
                <w:szCs w:val="22"/>
                <w:lang w:val="sl-SI" w:eastAsia="sl-SI"/>
              </w:rPr>
            </w:pPr>
            <w:r>
              <w:rPr>
                <w:szCs w:val="22"/>
                <w:lang w:val="sl-SI" w:eastAsia="sl-SI"/>
              </w:rPr>
              <w:t>&lt; 0,001</w:t>
            </w:r>
          </w:p>
        </w:tc>
        <w:tc>
          <w:tcPr>
            <w:tcW w:w="496" w:type="pct"/>
            <w:tcBorders>
              <w:top w:val="single" w:sz="4" w:space="0" w:color="auto"/>
              <w:left w:val="single" w:sz="4" w:space="0" w:color="auto"/>
              <w:bottom w:val="single" w:sz="4" w:space="0" w:color="auto"/>
              <w:right w:val="nil"/>
            </w:tcBorders>
            <w:shd w:val="clear" w:color="auto" w:fill="auto"/>
            <w:hideMark/>
          </w:tcPr>
          <w:p w14:paraId="591F771D" w14:textId="77777777" w:rsidR="005F7A91" w:rsidRDefault="007C7639">
            <w:pPr>
              <w:tabs>
                <w:tab w:val="clear" w:pos="567"/>
              </w:tabs>
              <w:spacing w:line="240" w:lineRule="auto"/>
              <w:jc w:val="center"/>
              <w:rPr>
                <w:szCs w:val="22"/>
                <w:lang w:val="sl-SI" w:eastAsia="sl-SI"/>
              </w:rPr>
            </w:pPr>
            <w:r>
              <w:rPr>
                <w:szCs w:val="22"/>
                <w:lang w:val="sl-SI" w:eastAsia="sl-SI"/>
              </w:rPr>
              <w:t>9 (1,0%)</w:t>
            </w:r>
          </w:p>
        </w:tc>
        <w:tc>
          <w:tcPr>
            <w:tcW w:w="531" w:type="pct"/>
            <w:tcBorders>
              <w:top w:val="single" w:sz="4" w:space="0" w:color="auto"/>
              <w:left w:val="nil"/>
              <w:bottom w:val="single" w:sz="4" w:space="0" w:color="auto"/>
              <w:right w:val="nil"/>
            </w:tcBorders>
            <w:shd w:val="clear" w:color="auto" w:fill="auto"/>
            <w:hideMark/>
          </w:tcPr>
          <w:p w14:paraId="27297E03" w14:textId="77777777" w:rsidR="005F7A91" w:rsidRDefault="007C7639">
            <w:pPr>
              <w:tabs>
                <w:tab w:val="clear" w:pos="567"/>
              </w:tabs>
              <w:spacing w:line="240" w:lineRule="auto"/>
              <w:jc w:val="center"/>
              <w:rPr>
                <w:szCs w:val="22"/>
                <w:lang w:val="sl-SI" w:eastAsia="sl-SI"/>
              </w:rPr>
            </w:pPr>
            <w:r>
              <w:rPr>
                <w:szCs w:val="22"/>
                <w:lang w:val="sl-SI" w:eastAsia="sl-SI"/>
              </w:rPr>
              <w:t>24 (2,6%)</w:t>
            </w:r>
          </w:p>
        </w:tc>
        <w:tc>
          <w:tcPr>
            <w:tcW w:w="315" w:type="pct"/>
            <w:tcBorders>
              <w:top w:val="single" w:sz="4" w:space="0" w:color="auto"/>
              <w:left w:val="nil"/>
              <w:bottom w:val="single" w:sz="4" w:space="0" w:color="auto"/>
              <w:right w:val="single" w:sz="4" w:space="0" w:color="auto"/>
            </w:tcBorders>
            <w:shd w:val="clear" w:color="auto" w:fill="auto"/>
            <w:hideMark/>
          </w:tcPr>
          <w:p w14:paraId="7DD3F0D5" w14:textId="77777777" w:rsidR="005F7A91" w:rsidRDefault="007C7639">
            <w:pPr>
              <w:tabs>
                <w:tab w:val="clear" w:pos="567"/>
              </w:tabs>
              <w:spacing w:line="240" w:lineRule="auto"/>
              <w:jc w:val="center"/>
              <w:rPr>
                <w:szCs w:val="22"/>
                <w:lang w:val="sl-SI" w:eastAsia="sl-SI"/>
              </w:rPr>
            </w:pPr>
            <w:r>
              <w:rPr>
                <w:szCs w:val="22"/>
                <w:lang w:val="sl-SI" w:eastAsia="sl-SI"/>
              </w:rPr>
              <w:t>0,01</w:t>
            </w:r>
          </w:p>
        </w:tc>
      </w:tr>
      <w:tr w:rsidR="005F7A91" w14:paraId="142A12A5" w14:textId="77777777">
        <w:tc>
          <w:tcPr>
            <w:tcW w:w="536" w:type="pct"/>
            <w:gridSpan w:val="2"/>
            <w:tcBorders>
              <w:right w:val="single" w:sz="4" w:space="0" w:color="auto"/>
            </w:tcBorders>
            <w:shd w:val="clear" w:color="auto" w:fill="auto"/>
            <w:hideMark/>
          </w:tcPr>
          <w:p w14:paraId="79BCEB90" w14:textId="77777777" w:rsidR="005F7A91" w:rsidRDefault="007C7639">
            <w:pPr>
              <w:tabs>
                <w:tab w:val="clear" w:pos="567"/>
              </w:tabs>
              <w:spacing w:line="240" w:lineRule="auto"/>
              <w:rPr>
                <w:szCs w:val="22"/>
                <w:lang w:val="sl-SI" w:eastAsia="sl-SI"/>
              </w:rPr>
            </w:pPr>
            <w:r>
              <w:rPr>
                <w:szCs w:val="22"/>
                <w:lang w:val="sl-SI" w:eastAsia="sl-SI"/>
              </w:rPr>
              <w:lastRenderedPageBreak/>
              <w:t>Simptomatski VTE događaji</w:t>
            </w:r>
          </w:p>
        </w:tc>
        <w:tc>
          <w:tcPr>
            <w:tcW w:w="645" w:type="pct"/>
            <w:tcBorders>
              <w:top w:val="single" w:sz="4" w:space="0" w:color="auto"/>
              <w:left w:val="single" w:sz="4" w:space="0" w:color="auto"/>
              <w:bottom w:val="single" w:sz="4" w:space="0" w:color="auto"/>
              <w:right w:val="nil"/>
            </w:tcBorders>
            <w:shd w:val="clear" w:color="auto" w:fill="auto"/>
            <w:hideMark/>
          </w:tcPr>
          <w:p w14:paraId="5FA5DDDC" w14:textId="77777777" w:rsidR="005F7A91" w:rsidRDefault="007C7639">
            <w:pPr>
              <w:tabs>
                <w:tab w:val="clear" w:pos="567"/>
              </w:tabs>
              <w:spacing w:line="240" w:lineRule="auto"/>
              <w:jc w:val="center"/>
              <w:rPr>
                <w:szCs w:val="22"/>
                <w:lang w:val="sl-SI" w:eastAsia="sl-SI"/>
              </w:rPr>
            </w:pPr>
            <w:r>
              <w:rPr>
                <w:szCs w:val="22"/>
                <w:lang w:val="sl-SI" w:eastAsia="sl-SI"/>
              </w:rPr>
              <w:t>6 (0,4%)</w:t>
            </w:r>
          </w:p>
        </w:tc>
        <w:tc>
          <w:tcPr>
            <w:tcW w:w="525" w:type="pct"/>
            <w:tcBorders>
              <w:top w:val="single" w:sz="4" w:space="0" w:color="auto"/>
              <w:left w:val="nil"/>
              <w:bottom w:val="single" w:sz="4" w:space="0" w:color="auto"/>
              <w:right w:val="nil"/>
            </w:tcBorders>
            <w:shd w:val="clear" w:color="auto" w:fill="auto"/>
            <w:hideMark/>
          </w:tcPr>
          <w:p w14:paraId="793D2626" w14:textId="77777777" w:rsidR="005F7A91" w:rsidRDefault="007C7639">
            <w:pPr>
              <w:tabs>
                <w:tab w:val="clear" w:pos="567"/>
              </w:tabs>
              <w:spacing w:line="240" w:lineRule="auto"/>
              <w:jc w:val="center"/>
              <w:rPr>
                <w:szCs w:val="22"/>
                <w:lang w:val="sl-SI" w:eastAsia="sl-SI"/>
              </w:rPr>
            </w:pPr>
            <w:r>
              <w:rPr>
                <w:szCs w:val="22"/>
                <w:lang w:val="sl-SI" w:eastAsia="sl-SI"/>
              </w:rPr>
              <w:t>11 (0,7%)</w:t>
            </w:r>
          </w:p>
        </w:tc>
        <w:tc>
          <w:tcPr>
            <w:tcW w:w="457" w:type="pct"/>
            <w:tcBorders>
              <w:top w:val="single" w:sz="4" w:space="0" w:color="auto"/>
              <w:left w:val="nil"/>
              <w:bottom w:val="single" w:sz="4" w:space="0" w:color="auto"/>
              <w:right w:val="single" w:sz="4" w:space="0" w:color="auto"/>
            </w:tcBorders>
            <w:shd w:val="clear" w:color="auto" w:fill="auto"/>
            <w:hideMark/>
          </w:tcPr>
          <w:p w14:paraId="39ED68DB" w14:textId="77777777" w:rsidR="005F7A91" w:rsidRDefault="005F7A91">
            <w:pPr>
              <w:tabs>
                <w:tab w:val="clear" w:pos="567"/>
              </w:tabs>
              <w:spacing w:line="240" w:lineRule="auto"/>
              <w:rPr>
                <w:szCs w:val="22"/>
                <w:lang w:val="sl-SI" w:eastAsia="sl-SI"/>
              </w:rPr>
            </w:pPr>
          </w:p>
        </w:tc>
        <w:tc>
          <w:tcPr>
            <w:tcW w:w="502" w:type="pct"/>
            <w:tcBorders>
              <w:top w:val="single" w:sz="4" w:space="0" w:color="auto"/>
              <w:left w:val="single" w:sz="4" w:space="0" w:color="auto"/>
              <w:bottom w:val="single" w:sz="4" w:space="0" w:color="auto"/>
              <w:right w:val="nil"/>
            </w:tcBorders>
            <w:shd w:val="clear" w:color="auto" w:fill="auto"/>
            <w:hideMark/>
          </w:tcPr>
          <w:p w14:paraId="63DC6682" w14:textId="77777777" w:rsidR="005F7A91" w:rsidRDefault="007C7639">
            <w:pPr>
              <w:tabs>
                <w:tab w:val="clear" w:pos="567"/>
              </w:tabs>
              <w:spacing w:line="240" w:lineRule="auto"/>
              <w:jc w:val="center"/>
              <w:rPr>
                <w:szCs w:val="22"/>
                <w:lang w:val="sl-SI" w:eastAsia="sl-SI"/>
              </w:rPr>
            </w:pPr>
            <w:r>
              <w:rPr>
                <w:szCs w:val="22"/>
                <w:lang w:val="sl-SI" w:eastAsia="sl-SI"/>
              </w:rPr>
              <w:t>3 (0,4%)</w:t>
            </w:r>
          </w:p>
        </w:tc>
        <w:tc>
          <w:tcPr>
            <w:tcW w:w="531" w:type="pct"/>
            <w:tcBorders>
              <w:top w:val="single" w:sz="4" w:space="0" w:color="auto"/>
              <w:left w:val="nil"/>
              <w:bottom w:val="single" w:sz="4" w:space="0" w:color="auto"/>
              <w:right w:val="nil"/>
            </w:tcBorders>
            <w:shd w:val="clear" w:color="auto" w:fill="auto"/>
            <w:hideMark/>
          </w:tcPr>
          <w:p w14:paraId="195577F9" w14:textId="77777777" w:rsidR="005F7A91" w:rsidRDefault="007C7639">
            <w:pPr>
              <w:tabs>
                <w:tab w:val="clear" w:pos="567"/>
              </w:tabs>
              <w:spacing w:line="240" w:lineRule="auto"/>
              <w:jc w:val="center"/>
              <w:rPr>
                <w:szCs w:val="22"/>
                <w:lang w:val="sl-SI" w:eastAsia="sl-SI"/>
              </w:rPr>
            </w:pPr>
            <w:r>
              <w:rPr>
                <w:szCs w:val="22"/>
                <w:lang w:val="sl-SI" w:eastAsia="sl-SI"/>
              </w:rPr>
              <w:t>15 (1,7%)</w:t>
            </w:r>
          </w:p>
        </w:tc>
        <w:tc>
          <w:tcPr>
            <w:tcW w:w="462" w:type="pct"/>
            <w:tcBorders>
              <w:top w:val="single" w:sz="4" w:space="0" w:color="auto"/>
              <w:left w:val="nil"/>
              <w:bottom w:val="single" w:sz="4" w:space="0" w:color="auto"/>
              <w:right w:val="single" w:sz="4" w:space="0" w:color="auto"/>
            </w:tcBorders>
            <w:shd w:val="clear" w:color="auto" w:fill="auto"/>
            <w:hideMark/>
          </w:tcPr>
          <w:p w14:paraId="7EE850C3" w14:textId="77777777" w:rsidR="005F7A91" w:rsidRDefault="005F7A91">
            <w:pPr>
              <w:tabs>
                <w:tab w:val="clear" w:pos="567"/>
              </w:tabs>
              <w:spacing w:line="240" w:lineRule="auto"/>
              <w:rPr>
                <w:szCs w:val="22"/>
                <w:lang w:val="sl-SI" w:eastAsia="sl-SI"/>
              </w:rPr>
            </w:pPr>
          </w:p>
        </w:tc>
        <w:tc>
          <w:tcPr>
            <w:tcW w:w="496" w:type="pct"/>
            <w:tcBorders>
              <w:top w:val="single" w:sz="4" w:space="0" w:color="auto"/>
              <w:left w:val="single" w:sz="4" w:space="0" w:color="auto"/>
              <w:bottom w:val="single" w:sz="4" w:space="0" w:color="auto"/>
              <w:right w:val="nil"/>
            </w:tcBorders>
            <w:shd w:val="clear" w:color="auto" w:fill="auto"/>
            <w:hideMark/>
          </w:tcPr>
          <w:p w14:paraId="316F49B8" w14:textId="77777777" w:rsidR="005F7A91" w:rsidRDefault="007C7639">
            <w:pPr>
              <w:tabs>
                <w:tab w:val="clear" w:pos="567"/>
              </w:tabs>
              <w:spacing w:line="240" w:lineRule="auto"/>
              <w:jc w:val="center"/>
              <w:rPr>
                <w:szCs w:val="22"/>
                <w:lang w:val="sl-SI" w:eastAsia="sl-SI"/>
              </w:rPr>
            </w:pPr>
            <w:r>
              <w:rPr>
                <w:szCs w:val="22"/>
                <w:lang w:val="sl-SI" w:eastAsia="sl-SI"/>
              </w:rPr>
              <w:t>8 (1,0%)</w:t>
            </w:r>
          </w:p>
        </w:tc>
        <w:tc>
          <w:tcPr>
            <w:tcW w:w="531" w:type="pct"/>
            <w:tcBorders>
              <w:top w:val="single" w:sz="4" w:space="0" w:color="auto"/>
              <w:left w:val="nil"/>
              <w:bottom w:val="single" w:sz="4" w:space="0" w:color="auto"/>
              <w:right w:val="nil"/>
            </w:tcBorders>
            <w:shd w:val="clear" w:color="auto" w:fill="auto"/>
            <w:hideMark/>
          </w:tcPr>
          <w:p w14:paraId="156BDB82" w14:textId="77777777" w:rsidR="005F7A91" w:rsidRDefault="007C7639">
            <w:pPr>
              <w:tabs>
                <w:tab w:val="clear" w:pos="567"/>
              </w:tabs>
              <w:spacing w:line="240" w:lineRule="auto"/>
              <w:jc w:val="center"/>
              <w:rPr>
                <w:szCs w:val="22"/>
                <w:lang w:val="sl-SI" w:eastAsia="sl-SI"/>
              </w:rPr>
            </w:pPr>
            <w:r>
              <w:rPr>
                <w:szCs w:val="22"/>
                <w:lang w:val="sl-SI" w:eastAsia="sl-SI"/>
              </w:rPr>
              <w:t>24 (2,7%)</w:t>
            </w:r>
          </w:p>
        </w:tc>
        <w:tc>
          <w:tcPr>
            <w:tcW w:w="315" w:type="pct"/>
            <w:tcBorders>
              <w:top w:val="single" w:sz="4" w:space="0" w:color="auto"/>
              <w:left w:val="nil"/>
              <w:bottom w:val="single" w:sz="4" w:space="0" w:color="auto"/>
              <w:right w:val="single" w:sz="4" w:space="0" w:color="auto"/>
            </w:tcBorders>
            <w:shd w:val="clear" w:color="auto" w:fill="auto"/>
            <w:hideMark/>
          </w:tcPr>
          <w:p w14:paraId="65D0BE86" w14:textId="77777777" w:rsidR="005F7A91" w:rsidRDefault="005F7A91">
            <w:pPr>
              <w:tabs>
                <w:tab w:val="clear" w:pos="567"/>
              </w:tabs>
              <w:spacing w:line="240" w:lineRule="auto"/>
              <w:rPr>
                <w:szCs w:val="22"/>
                <w:lang w:val="sl-SI" w:eastAsia="sl-SI"/>
              </w:rPr>
            </w:pPr>
          </w:p>
        </w:tc>
      </w:tr>
      <w:tr w:rsidR="005F7A91" w14:paraId="38E5AB45" w14:textId="77777777">
        <w:tc>
          <w:tcPr>
            <w:tcW w:w="536" w:type="pct"/>
            <w:gridSpan w:val="2"/>
            <w:tcBorders>
              <w:right w:val="single" w:sz="4" w:space="0" w:color="auto"/>
            </w:tcBorders>
            <w:shd w:val="clear" w:color="auto" w:fill="auto"/>
            <w:hideMark/>
          </w:tcPr>
          <w:p w14:paraId="2D19F000" w14:textId="77777777" w:rsidR="005F7A91" w:rsidRDefault="007C7639">
            <w:pPr>
              <w:tabs>
                <w:tab w:val="clear" w:pos="567"/>
              </w:tabs>
              <w:spacing w:line="240" w:lineRule="auto"/>
              <w:rPr>
                <w:szCs w:val="22"/>
                <w:lang w:val="sl-SI" w:eastAsia="sl-SI"/>
              </w:rPr>
            </w:pPr>
            <w:r>
              <w:rPr>
                <w:szCs w:val="22"/>
                <w:lang w:val="sl-SI" w:eastAsia="sl-SI"/>
              </w:rPr>
              <w:t>Ozbiljna krvarenja</w:t>
            </w:r>
          </w:p>
        </w:tc>
        <w:tc>
          <w:tcPr>
            <w:tcW w:w="645" w:type="pct"/>
            <w:tcBorders>
              <w:top w:val="single" w:sz="4" w:space="0" w:color="auto"/>
              <w:left w:val="single" w:sz="4" w:space="0" w:color="auto"/>
              <w:bottom w:val="single" w:sz="4" w:space="0" w:color="auto"/>
              <w:right w:val="nil"/>
            </w:tcBorders>
            <w:shd w:val="clear" w:color="auto" w:fill="auto"/>
            <w:hideMark/>
          </w:tcPr>
          <w:p w14:paraId="57190258" w14:textId="77777777" w:rsidR="005F7A91" w:rsidRDefault="007C7639">
            <w:pPr>
              <w:tabs>
                <w:tab w:val="clear" w:pos="567"/>
              </w:tabs>
              <w:spacing w:line="240" w:lineRule="auto"/>
              <w:jc w:val="center"/>
              <w:rPr>
                <w:szCs w:val="22"/>
                <w:lang w:val="sl-SI" w:eastAsia="sl-SI"/>
              </w:rPr>
            </w:pPr>
            <w:r>
              <w:rPr>
                <w:szCs w:val="22"/>
                <w:lang w:val="sl-SI" w:eastAsia="sl-SI"/>
              </w:rPr>
              <w:t>6 (0,3%)</w:t>
            </w:r>
          </w:p>
        </w:tc>
        <w:tc>
          <w:tcPr>
            <w:tcW w:w="525" w:type="pct"/>
            <w:tcBorders>
              <w:top w:val="single" w:sz="4" w:space="0" w:color="auto"/>
              <w:left w:val="nil"/>
              <w:bottom w:val="single" w:sz="4" w:space="0" w:color="auto"/>
              <w:right w:val="nil"/>
            </w:tcBorders>
            <w:shd w:val="clear" w:color="auto" w:fill="auto"/>
            <w:hideMark/>
          </w:tcPr>
          <w:p w14:paraId="757BDBB5" w14:textId="77777777" w:rsidR="005F7A91" w:rsidRDefault="007C7639">
            <w:pPr>
              <w:tabs>
                <w:tab w:val="clear" w:pos="567"/>
              </w:tabs>
              <w:spacing w:line="240" w:lineRule="auto"/>
              <w:jc w:val="center"/>
              <w:rPr>
                <w:szCs w:val="22"/>
                <w:lang w:val="sl-SI" w:eastAsia="sl-SI"/>
              </w:rPr>
            </w:pPr>
            <w:r>
              <w:rPr>
                <w:szCs w:val="22"/>
                <w:lang w:val="sl-SI" w:eastAsia="sl-SI"/>
              </w:rPr>
              <w:t>2 (0,1%)</w:t>
            </w:r>
          </w:p>
        </w:tc>
        <w:tc>
          <w:tcPr>
            <w:tcW w:w="457" w:type="pct"/>
            <w:tcBorders>
              <w:top w:val="single" w:sz="4" w:space="0" w:color="auto"/>
              <w:left w:val="nil"/>
              <w:bottom w:val="single" w:sz="4" w:space="0" w:color="auto"/>
              <w:right w:val="single" w:sz="4" w:space="0" w:color="auto"/>
            </w:tcBorders>
            <w:shd w:val="clear" w:color="auto" w:fill="auto"/>
            <w:hideMark/>
          </w:tcPr>
          <w:p w14:paraId="2BA8A49E" w14:textId="77777777" w:rsidR="005F7A91" w:rsidRDefault="005F7A91">
            <w:pPr>
              <w:tabs>
                <w:tab w:val="clear" w:pos="567"/>
              </w:tabs>
              <w:spacing w:line="240" w:lineRule="auto"/>
              <w:rPr>
                <w:szCs w:val="22"/>
                <w:lang w:val="sl-SI" w:eastAsia="sl-SI"/>
              </w:rPr>
            </w:pPr>
          </w:p>
        </w:tc>
        <w:tc>
          <w:tcPr>
            <w:tcW w:w="502" w:type="pct"/>
            <w:tcBorders>
              <w:top w:val="single" w:sz="4" w:space="0" w:color="auto"/>
              <w:left w:val="single" w:sz="4" w:space="0" w:color="auto"/>
              <w:bottom w:val="single" w:sz="4" w:space="0" w:color="auto"/>
              <w:right w:val="nil"/>
            </w:tcBorders>
            <w:shd w:val="clear" w:color="auto" w:fill="auto"/>
            <w:hideMark/>
          </w:tcPr>
          <w:p w14:paraId="7FC01098" w14:textId="77777777" w:rsidR="005F7A91" w:rsidRDefault="007C7639">
            <w:pPr>
              <w:tabs>
                <w:tab w:val="clear" w:pos="567"/>
              </w:tabs>
              <w:spacing w:line="240" w:lineRule="auto"/>
              <w:jc w:val="center"/>
              <w:rPr>
                <w:szCs w:val="22"/>
                <w:lang w:val="sl-SI" w:eastAsia="sl-SI"/>
              </w:rPr>
            </w:pPr>
            <w:r>
              <w:rPr>
                <w:szCs w:val="22"/>
                <w:lang w:val="sl-SI" w:eastAsia="sl-SI"/>
              </w:rPr>
              <w:t>1 (0,1%)</w:t>
            </w:r>
          </w:p>
        </w:tc>
        <w:tc>
          <w:tcPr>
            <w:tcW w:w="531" w:type="pct"/>
            <w:tcBorders>
              <w:top w:val="single" w:sz="4" w:space="0" w:color="auto"/>
              <w:left w:val="nil"/>
              <w:bottom w:val="single" w:sz="4" w:space="0" w:color="auto"/>
              <w:right w:val="nil"/>
            </w:tcBorders>
            <w:shd w:val="clear" w:color="auto" w:fill="auto"/>
            <w:hideMark/>
          </w:tcPr>
          <w:p w14:paraId="06499733" w14:textId="77777777" w:rsidR="005F7A91" w:rsidRDefault="007C7639">
            <w:pPr>
              <w:tabs>
                <w:tab w:val="clear" w:pos="567"/>
              </w:tabs>
              <w:spacing w:line="240" w:lineRule="auto"/>
              <w:jc w:val="center"/>
              <w:rPr>
                <w:szCs w:val="22"/>
                <w:lang w:val="sl-SI" w:eastAsia="sl-SI"/>
              </w:rPr>
            </w:pPr>
            <w:r>
              <w:rPr>
                <w:szCs w:val="22"/>
                <w:lang w:val="sl-SI" w:eastAsia="sl-SI"/>
              </w:rPr>
              <w:t>1 (0,1%)</w:t>
            </w:r>
          </w:p>
        </w:tc>
        <w:tc>
          <w:tcPr>
            <w:tcW w:w="462" w:type="pct"/>
            <w:tcBorders>
              <w:top w:val="single" w:sz="4" w:space="0" w:color="auto"/>
              <w:left w:val="nil"/>
              <w:bottom w:val="single" w:sz="4" w:space="0" w:color="auto"/>
              <w:right w:val="single" w:sz="4" w:space="0" w:color="auto"/>
            </w:tcBorders>
            <w:shd w:val="clear" w:color="auto" w:fill="auto"/>
            <w:hideMark/>
          </w:tcPr>
          <w:p w14:paraId="503A3C4B" w14:textId="77777777" w:rsidR="005F7A91" w:rsidRDefault="005F7A91">
            <w:pPr>
              <w:tabs>
                <w:tab w:val="clear" w:pos="567"/>
              </w:tabs>
              <w:spacing w:line="240" w:lineRule="auto"/>
              <w:rPr>
                <w:szCs w:val="22"/>
                <w:lang w:val="sl-SI" w:eastAsia="sl-SI"/>
              </w:rPr>
            </w:pPr>
          </w:p>
        </w:tc>
        <w:tc>
          <w:tcPr>
            <w:tcW w:w="496" w:type="pct"/>
            <w:tcBorders>
              <w:top w:val="single" w:sz="4" w:space="0" w:color="auto"/>
              <w:left w:val="single" w:sz="4" w:space="0" w:color="auto"/>
              <w:bottom w:val="single" w:sz="4" w:space="0" w:color="auto"/>
              <w:right w:val="nil"/>
            </w:tcBorders>
            <w:shd w:val="clear" w:color="auto" w:fill="auto"/>
            <w:hideMark/>
          </w:tcPr>
          <w:p w14:paraId="6527EEFF" w14:textId="77777777" w:rsidR="005F7A91" w:rsidRDefault="007C7639">
            <w:pPr>
              <w:tabs>
                <w:tab w:val="clear" w:pos="567"/>
              </w:tabs>
              <w:spacing w:line="240" w:lineRule="auto"/>
              <w:jc w:val="center"/>
              <w:rPr>
                <w:szCs w:val="22"/>
                <w:lang w:val="sl-SI" w:eastAsia="sl-SI"/>
              </w:rPr>
            </w:pPr>
            <w:r>
              <w:rPr>
                <w:szCs w:val="22"/>
                <w:lang w:val="sl-SI" w:eastAsia="sl-SI"/>
              </w:rPr>
              <w:t>7 (0,6%)</w:t>
            </w:r>
          </w:p>
        </w:tc>
        <w:tc>
          <w:tcPr>
            <w:tcW w:w="531" w:type="pct"/>
            <w:tcBorders>
              <w:top w:val="single" w:sz="4" w:space="0" w:color="auto"/>
              <w:left w:val="nil"/>
              <w:bottom w:val="single" w:sz="4" w:space="0" w:color="auto"/>
              <w:right w:val="nil"/>
            </w:tcBorders>
            <w:shd w:val="clear" w:color="auto" w:fill="auto"/>
            <w:hideMark/>
          </w:tcPr>
          <w:p w14:paraId="4808A01A" w14:textId="77777777" w:rsidR="005F7A91" w:rsidRDefault="007C7639">
            <w:pPr>
              <w:tabs>
                <w:tab w:val="clear" w:pos="567"/>
              </w:tabs>
              <w:spacing w:line="240" w:lineRule="auto"/>
              <w:jc w:val="center"/>
              <w:rPr>
                <w:szCs w:val="22"/>
                <w:lang w:val="sl-SI" w:eastAsia="sl-SI"/>
              </w:rPr>
            </w:pPr>
            <w:r>
              <w:rPr>
                <w:szCs w:val="22"/>
                <w:lang w:val="sl-SI" w:eastAsia="sl-SI"/>
              </w:rPr>
              <w:t>6 (0,5%)</w:t>
            </w:r>
          </w:p>
        </w:tc>
        <w:tc>
          <w:tcPr>
            <w:tcW w:w="315" w:type="pct"/>
            <w:tcBorders>
              <w:top w:val="single" w:sz="4" w:space="0" w:color="auto"/>
              <w:left w:val="nil"/>
              <w:bottom w:val="single" w:sz="4" w:space="0" w:color="auto"/>
              <w:right w:val="single" w:sz="4" w:space="0" w:color="auto"/>
            </w:tcBorders>
            <w:shd w:val="clear" w:color="auto" w:fill="auto"/>
            <w:hideMark/>
          </w:tcPr>
          <w:p w14:paraId="0DF2DBC4" w14:textId="77777777" w:rsidR="005F7A91" w:rsidRDefault="005F7A91">
            <w:pPr>
              <w:tabs>
                <w:tab w:val="clear" w:pos="567"/>
              </w:tabs>
              <w:spacing w:line="240" w:lineRule="auto"/>
              <w:rPr>
                <w:szCs w:val="22"/>
                <w:lang w:val="sl-SI" w:eastAsia="sl-SI"/>
              </w:rPr>
            </w:pPr>
          </w:p>
        </w:tc>
      </w:tr>
    </w:tbl>
    <w:p w14:paraId="5DE85154" w14:textId="77777777" w:rsidR="005F7A91" w:rsidRDefault="007C7639">
      <w:pPr>
        <w:widowControl w:val="0"/>
        <w:tabs>
          <w:tab w:val="clear" w:pos="567"/>
        </w:tabs>
        <w:spacing w:line="240" w:lineRule="auto"/>
        <w:ind w:right="-20"/>
        <w:jc w:val="both"/>
        <w:rPr>
          <w:szCs w:val="22"/>
          <w:lang w:val="sl-SI" w:eastAsia="sl-SI"/>
        </w:rPr>
      </w:pPr>
      <w:r>
        <w:rPr>
          <w:bCs/>
          <w:szCs w:val="22"/>
          <w:lang w:val="sl-SI"/>
        </w:rPr>
        <w:br w:type="page"/>
      </w:r>
      <w:r>
        <w:rPr>
          <w:szCs w:val="22"/>
          <w:lang w:val="sl-SI" w:eastAsia="sl-SI"/>
        </w:rPr>
        <w:lastRenderedPageBreak/>
        <w:t xml:space="preserve">Analiza objedinjenih rezultata studija faze III potvrdila je rezultate dobijene u pojedinačnim studijama u odnosu na smanjenje svih VTE događaja, glavnih VTE događaja i simptomatskih VTE događaja sa rivaroksabanom 10 mg, jednom dnevno, u poređenju sa enoksaparinom 40 mg, jednom dnevno. </w:t>
      </w:r>
    </w:p>
    <w:p w14:paraId="3484E67F" w14:textId="77777777" w:rsidR="005F7A91" w:rsidRDefault="005F7A91">
      <w:pPr>
        <w:widowControl w:val="0"/>
        <w:tabs>
          <w:tab w:val="clear" w:pos="567"/>
        </w:tabs>
        <w:spacing w:line="240" w:lineRule="auto"/>
        <w:ind w:right="-20"/>
        <w:jc w:val="both"/>
        <w:rPr>
          <w:szCs w:val="22"/>
          <w:lang w:val="sl-SI" w:eastAsia="sl-SI"/>
        </w:rPr>
      </w:pPr>
    </w:p>
    <w:p w14:paraId="698B6DF3"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Kao dodatak programu RECORD studija faze III, sprovedena je postmarketinška, neinterventna, otvorena, kohortna studija (XAMOS) nakon stavljanja lijeka u promet, kod 17413 pacijenata koji su bili podvrgnuti velikim ortopedskim hirurškim intervencijama kuka ili koljena, koja je poredila rivaroksaban sa drugim farmakološkim tromboprofilakticima (standard u terapiji) pri uobičajenim uslovima. Simptomatski VTE događaji su se javili kod 57 (0,6%) pacijenata koji su bili u grupi koja je primala rivaroksaban (n=8778) i 88 (1,0%) pacijenata koji su bili u grupi koja je primala standardnu terapiju (n=8635: HR 0,63; 95% CI 0,43- 0,91; populacija u kojoj je ispitivana bezbjednost). Velika krvarenja su se javila kod 35 (0,4%) pacijenata koji su bili u grupi koja je primala rivaroksaban i kod 29 (0,3%) pacijenata koji su bili u grupi koja je primala standardnu terapiju (HR 1,10: 95% CI 0,67-1,80). Prema tome, rezultati su dosljedni rezultatima pivotalnih randomizovanih studija.</w:t>
      </w:r>
    </w:p>
    <w:p w14:paraId="2505FEFC" w14:textId="77777777" w:rsidR="005F7A91" w:rsidRDefault="005F7A91">
      <w:pPr>
        <w:widowControl w:val="0"/>
        <w:tabs>
          <w:tab w:val="clear" w:pos="567"/>
        </w:tabs>
        <w:spacing w:line="240" w:lineRule="auto"/>
        <w:ind w:right="-20"/>
        <w:jc w:val="both"/>
        <w:rPr>
          <w:szCs w:val="22"/>
          <w:lang w:val="sl-SI" w:eastAsia="sl-SI"/>
        </w:rPr>
      </w:pPr>
    </w:p>
    <w:p w14:paraId="7213DF1D" w14:textId="77777777" w:rsidR="005F7A91" w:rsidRDefault="007C7639">
      <w:pPr>
        <w:widowControl w:val="0"/>
        <w:tabs>
          <w:tab w:val="clear" w:pos="567"/>
        </w:tabs>
        <w:spacing w:line="240" w:lineRule="auto"/>
        <w:ind w:right="-20"/>
        <w:jc w:val="both"/>
        <w:rPr>
          <w:i/>
          <w:szCs w:val="22"/>
          <w:lang w:val="sl-SI" w:eastAsia="sl-SI"/>
        </w:rPr>
      </w:pPr>
      <w:r>
        <w:rPr>
          <w:i/>
          <w:szCs w:val="22"/>
          <w:lang w:val="sl-SI" w:eastAsia="sl-SI"/>
        </w:rPr>
        <w:t>Terapija TDV, PE i prevencija rekurentne TDV i PE</w:t>
      </w:r>
    </w:p>
    <w:p w14:paraId="7F634601"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 xml:space="preserve"> Klinički program za rivaroksaban dizajniran je tako da pokaže efikasnost ovog lijeka u inicijalnom liječenju, nastavku terapije akutne TDV i PE i u prevenciji ponovnog javljanja.</w:t>
      </w:r>
    </w:p>
    <w:p w14:paraId="1E8198EA"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 xml:space="preserve"> U ispitivanja je uključeno preko 12800 pacijenata u četiri randomizovane kontrolisane kliničke studije faze III (Einstein DVT, Einstein PE, Einstein Extension i Einstein Choice), a dodatno je sprovedena i unaprijed definisana zbirna analiza Einstein DVT i Einstein PE studija. Ukupno zbirno trajanje terapije u svim studijama je bilo do 21 mjesec. </w:t>
      </w:r>
    </w:p>
    <w:p w14:paraId="6CD408EB" w14:textId="77777777" w:rsidR="005F7A91" w:rsidRDefault="005F7A91">
      <w:pPr>
        <w:widowControl w:val="0"/>
        <w:tabs>
          <w:tab w:val="clear" w:pos="567"/>
        </w:tabs>
        <w:spacing w:line="240" w:lineRule="auto"/>
        <w:ind w:right="-20"/>
        <w:jc w:val="both"/>
        <w:rPr>
          <w:szCs w:val="22"/>
          <w:lang w:val="sl-SI" w:eastAsia="sl-SI"/>
        </w:rPr>
      </w:pPr>
    </w:p>
    <w:p w14:paraId="1D671D41"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U Einstein DVT studiju uključeno je 3449 pacijenata sa akutnom TDV koji su bili na terapiji TDV i prevenciji rekurentne TDV i PE (pacijenti sa simptomatskom PE su bili isključeni iz ovog ispitivanja). Dužina terapije bila je 3, 6 ili 12 mjeseci, zavisno od kliničke procjene ispitivača.</w:t>
      </w:r>
    </w:p>
    <w:p w14:paraId="17DA0016"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 xml:space="preserve"> Tokom prve 3 nedjelje terapije akutne TDV, dat je rivaroksaban 15 mg dva puta dnevno, a potom 20 mg rivaroksabana jednom dnevno. </w:t>
      </w:r>
    </w:p>
    <w:p w14:paraId="21420BAF" w14:textId="77777777" w:rsidR="005F7A91" w:rsidRDefault="005F7A91">
      <w:pPr>
        <w:widowControl w:val="0"/>
        <w:tabs>
          <w:tab w:val="clear" w:pos="567"/>
        </w:tabs>
        <w:spacing w:line="240" w:lineRule="auto"/>
        <w:ind w:right="-20"/>
        <w:jc w:val="both"/>
        <w:rPr>
          <w:szCs w:val="22"/>
          <w:lang w:val="sl-SI" w:eastAsia="sl-SI"/>
        </w:rPr>
      </w:pPr>
    </w:p>
    <w:p w14:paraId="7DC6FB2F"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 xml:space="preserve">U Einstein PE studiju je uključeno 4832 pacijenta sa akutnom PE koji su bili na terapiji PE i prevenciji rekurentne TDV i PE. Dužina terapije bila je 3,6 ili 12 mjeseci, zavisno od kliničke procjene ispitivača. Za inicijalnu terapiju akutne PE dat je rivaroksaban 15 mg dva puta dnevno tokom tri nedjelje, a potom 20 mg rivaroksabana jednom dnevno. </w:t>
      </w:r>
    </w:p>
    <w:p w14:paraId="559F2645" w14:textId="77777777" w:rsidR="005F7A91" w:rsidRDefault="005F7A91">
      <w:pPr>
        <w:widowControl w:val="0"/>
        <w:tabs>
          <w:tab w:val="clear" w:pos="567"/>
        </w:tabs>
        <w:spacing w:line="240" w:lineRule="auto"/>
        <w:ind w:right="-20"/>
        <w:jc w:val="both"/>
        <w:rPr>
          <w:szCs w:val="22"/>
          <w:lang w:val="sl-SI" w:eastAsia="sl-SI"/>
        </w:rPr>
      </w:pPr>
    </w:p>
    <w:p w14:paraId="558C09FE"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U obje studije, Einstein DTV i Enstein PE, u kontrolnoj grupi se terapija sastojala od enoksaparina primijenjenog najmanje 5 dana u kombinaciji sa antagonistom vitamina K dok nije postignut PT/INR u terapijskom opsegu (</w:t>
      </w:r>
      <w:r>
        <w:rPr>
          <w:szCs w:val="22"/>
          <w:lang w:val="sl-SI" w:eastAsia="sl-SI"/>
        </w:rPr>
        <w:sym w:font="Symbol" w:char="F0B3"/>
      </w:r>
      <w:r>
        <w:rPr>
          <w:szCs w:val="22"/>
          <w:lang w:val="sl-SI" w:eastAsia="sl-SI"/>
        </w:rPr>
        <w:t xml:space="preserve"> 2,0). Terapija je nastavljena antagonistom vitamina K prilagođene doze radi održavanja PT/INR vrijednosti unutar terapijskog opsega od 2,0 do 3,0. </w:t>
      </w:r>
    </w:p>
    <w:p w14:paraId="786848CF" w14:textId="77777777" w:rsidR="005F7A91" w:rsidRDefault="005F7A91">
      <w:pPr>
        <w:widowControl w:val="0"/>
        <w:tabs>
          <w:tab w:val="clear" w:pos="567"/>
        </w:tabs>
        <w:spacing w:line="240" w:lineRule="auto"/>
        <w:ind w:right="-20"/>
        <w:jc w:val="both"/>
        <w:rPr>
          <w:szCs w:val="22"/>
          <w:lang w:val="sl-SI" w:eastAsia="sl-SI"/>
        </w:rPr>
      </w:pPr>
    </w:p>
    <w:p w14:paraId="53BE30D9"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 xml:space="preserve">U Einstein Extension studiji kod 1197 pacijenata sa TDV ili PE ispitivana je prevencija rekurentne TDV i PE. Dužina terapije trajala je dodatnih 6 ili 12 mjeseci, u zavisnosti od kliničke procjene ispitivača, a kod pacijenata koji su već završili 6 do 12 mjeseci terapije zbog venske tromboembolije. Terapija rivaroksabanom 20 mg jednom dnevno je upoređena sa placebom. </w:t>
      </w:r>
    </w:p>
    <w:p w14:paraId="4264D437" w14:textId="77777777" w:rsidR="005F7A91" w:rsidRDefault="005F7A91">
      <w:pPr>
        <w:widowControl w:val="0"/>
        <w:tabs>
          <w:tab w:val="clear" w:pos="567"/>
        </w:tabs>
        <w:spacing w:line="240" w:lineRule="auto"/>
        <w:ind w:right="-20"/>
        <w:jc w:val="both"/>
        <w:rPr>
          <w:szCs w:val="22"/>
          <w:lang w:val="sl-SI" w:eastAsia="sl-SI"/>
        </w:rPr>
      </w:pPr>
    </w:p>
    <w:p w14:paraId="312E2496"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U studijama Einstein DVT, PE i Extension korišćeni su isti unaprijed definisani primarni i sekundarni ishodi efikasnosti. Primarni ishod efikasnosti je bila simptomatska rekurentna VTE definisana kao zbir rekurentnih TDV ili fatalnih ili nefatalnih PE. Sekundarni ishod efikasnosti je definisan kao zbir rekurentnih TDV, nefatalnih PE i mortaliteta usljed svih uzroka.</w:t>
      </w:r>
    </w:p>
    <w:p w14:paraId="523E69D4" w14:textId="77777777" w:rsidR="005F7A91" w:rsidRDefault="005F7A91">
      <w:pPr>
        <w:widowControl w:val="0"/>
        <w:tabs>
          <w:tab w:val="clear" w:pos="567"/>
        </w:tabs>
        <w:spacing w:line="240" w:lineRule="auto"/>
        <w:ind w:right="-20"/>
        <w:jc w:val="both"/>
        <w:rPr>
          <w:szCs w:val="22"/>
          <w:lang w:val="sl-SI" w:eastAsia="sl-SI"/>
        </w:rPr>
      </w:pPr>
    </w:p>
    <w:p w14:paraId="3F6ED3F7"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 xml:space="preserve"> U Einstein Choice studiji, kod 3396 pacijenata sa potvrđenom simptomatskom TDV i/ili PE, koji su završili 6-12 mjeseci antikoagulantne terapije, ispitivana je prevencija fatalne PE ili nefatalne simptomatske rekurentne TDV ili PE. Pacijenti sa indikacijom za nastavak antikoagulacione terapije u terapijskim dozama bili su isključeni iz studije. Dužina terapije trajala je do 12 mjeseci, u zavisnosti od individualnog datuma randomizacije (medijana: 351 dan). Urađeno je poređenje rivaroksabana 20 mg i rivaroksabana 10 mg primijenjenih jednom dnevno, sa 100 mg acetilsalicilne kiseline primijenjene jednom dnevno. </w:t>
      </w:r>
    </w:p>
    <w:p w14:paraId="19C67E6E"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 xml:space="preserve">Primarni ishod efikasnosti je bila simptomatska rekurentna VTE definisana kao zbir rekurentnih TDV </w:t>
      </w:r>
      <w:r>
        <w:rPr>
          <w:szCs w:val="22"/>
          <w:lang w:val="sl-SI" w:eastAsia="sl-SI"/>
        </w:rPr>
        <w:lastRenderedPageBreak/>
        <w:t xml:space="preserve">ili fatalniin ili nefatalnih PE. </w:t>
      </w:r>
    </w:p>
    <w:p w14:paraId="6EECF150"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 xml:space="preserve">U Einstein DVT studiji (vidjeti Tabelu 5), pokazano je da rivaroksaban nije inferioran u odnosu na enoksaparin/VKA za primarni ishod efikasnosti (p &lt; 0,0001 (test neinferiornosti); odnos rizika: 0,680 (0,443 – 1,042), p=0,076 (test superiornosti)). Unaprijed specifikovana ukupna klinička korist (primarni ishod efikasnosti plus ozbiljna krvarenja) je prijavljena uz odnos rizika 0,67 ((95% CI= 0,47 – 0,95), nominalna p vrijednost p=0,027) u korist rivaroksabana. INR vrijednosti su bile unutar terapijskog opsega sa prosjekom 60,3% vremena za prosječno trajanje terapije od 189 dana i 55,4%, 60,1%, i 62,8% vremena u grupama namjeravane dužine terapije od 3, 6, odnosno 12 mjeseci. U enoksaparin/VKA grupi, nije bilo jasnog odnosa između nivoa srednjeg centralnog vremena unutar terapijskog raspona (engl. </w:t>
      </w:r>
      <w:r>
        <w:rPr>
          <w:i/>
          <w:szCs w:val="22"/>
          <w:lang w:val="sl-SI" w:eastAsia="sl-SI"/>
        </w:rPr>
        <w:t>Time in Target INR Range</w:t>
      </w:r>
      <w:r>
        <w:rPr>
          <w:szCs w:val="22"/>
          <w:lang w:val="sl-SI" w:eastAsia="sl-SI"/>
        </w:rPr>
        <w:t xml:space="preserve"> 2,0 – 3,0) u tercilima podjednake veličine i sa učestalošću rekurentne VTE (p=0,932 za interakciju). Unutar najvišeg tercila prema centru, odnos rizika sa rivaroksabanom prema varfarinu je bio 0,69 (95% CI : 0,35 – 1,35). </w:t>
      </w:r>
    </w:p>
    <w:p w14:paraId="12F2827A" w14:textId="77777777" w:rsidR="005F7A91" w:rsidRDefault="005F7A91">
      <w:pPr>
        <w:widowControl w:val="0"/>
        <w:tabs>
          <w:tab w:val="clear" w:pos="567"/>
        </w:tabs>
        <w:spacing w:line="240" w:lineRule="auto"/>
        <w:ind w:right="-20"/>
        <w:jc w:val="both"/>
        <w:rPr>
          <w:szCs w:val="22"/>
          <w:lang w:val="sl-SI" w:eastAsia="sl-SI"/>
        </w:rPr>
      </w:pPr>
    </w:p>
    <w:p w14:paraId="7C8431E5" w14:textId="77777777" w:rsidR="005F7A91" w:rsidRDefault="007C7639">
      <w:pPr>
        <w:widowControl w:val="0"/>
        <w:tabs>
          <w:tab w:val="clear" w:pos="567"/>
        </w:tabs>
        <w:spacing w:line="240" w:lineRule="auto"/>
        <w:ind w:right="-20"/>
        <w:jc w:val="both"/>
        <w:rPr>
          <w:szCs w:val="22"/>
          <w:lang w:val="sl-SI" w:eastAsia="sl-SI"/>
        </w:rPr>
      </w:pPr>
      <w:r>
        <w:rPr>
          <w:szCs w:val="22"/>
          <w:lang w:val="sl-SI" w:eastAsia="sl-SI"/>
        </w:rPr>
        <w:t>Stope učestalosti za primarni ishod bezbjednosti (ozbiljna krvarenja ili klinički relevantna krvarenja koja nisu klasifikovana kao ozbiljna), kao i sekundarni ishod bezbjednosti (ozbiljna krvarenja) su bili slični za obje terapijske grupe.</w:t>
      </w:r>
    </w:p>
    <w:p w14:paraId="767B2B81" w14:textId="77777777" w:rsidR="005F7A91" w:rsidRDefault="005F7A91">
      <w:pPr>
        <w:widowControl w:val="0"/>
        <w:tabs>
          <w:tab w:val="clear" w:pos="567"/>
        </w:tabs>
        <w:spacing w:line="240" w:lineRule="auto"/>
        <w:ind w:right="-20"/>
        <w:jc w:val="both"/>
        <w:rPr>
          <w:bCs/>
          <w:szCs w:val="22"/>
          <w:lang w:val="sl-SI"/>
        </w:rPr>
      </w:pPr>
    </w:p>
    <w:p w14:paraId="6E40E3E1" w14:textId="77777777" w:rsidR="005F7A91" w:rsidRDefault="007C7639">
      <w:pPr>
        <w:widowControl w:val="0"/>
        <w:tabs>
          <w:tab w:val="clear" w:pos="567"/>
        </w:tabs>
        <w:spacing w:line="240" w:lineRule="auto"/>
        <w:ind w:right="-20"/>
        <w:jc w:val="both"/>
        <w:rPr>
          <w:szCs w:val="22"/>
          <w:lang w:val="sl-SI"/>
        </w:rPr>
      </w:pPr>
      <w:r>
        <w:rPr>
          <w:b/>
          <w:bCs/>
          <w:szCs w:val="22"/>
          <w:lang w:val="sl-SI"/>
        </w:rPr>
        <w:t xml:space="preserve">Tabela 5: </w:t>
      </w:r>
      <w:r>
        <w:rPr>
          <w:b/>
          <w:bCs/>
          <w:szCs w:val="22"/>
          <w:lang w:val="sl-SI" w:eastAsia="sl-SI"/>
        </w:rPr>
        <w:t>Rezultati</w:t>
      </w:r>
      <w:r>
        <w:rPr>
          <w:szCs w:val="22"/>
          <w:lang w:val="sl-SI" w:eastAsia="sl-SI"/>
        </w:rPr>
        <w:t xml:space="preserve"> </w:t>
      </w:r>
      <w:r>
        <w:rPr>
          <w:b/>
          <w:szCs w:val="22"/>
          <w:lang w:val="sl-SI" w:eastAsia="sl-SI"/>
        </w:rPr>
        <w:t>efikasnosti i bezbjednosti iz Einstein DVT studije faze III</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2061"/>
        <w:gridCol w:w="3744"/>
      </w:tblGrid>
      <w:tr w:rsidR="005F7A91" w14:paraId="5807E5E5" w14:textId="77777777">
        <w:tc>
          <w:tcPr>
            <w:tcW w:w="1952" w:type="pct"/>
            <w:shd w:val="clear" w:color="auto" w:fill="auto"/>
            <w:hideMark/>
          </w:tcPr>
          <w:p w14:paraId="4A731DDB"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Populacija uključena u ispitivanje</w:t>
            </w:r>
          </w:p>
        </w:tc>
        <w:tc>
          <w:tcPr>
            <w:tcW w:w="3048" w:type="pct"/>
            <w:gridSpan w:val="2"/>
            <w:shd w:val="clear" w:color="auto" w:fill="auto"/>
            <w:hideMark/>
          </w:tcPr>
          <w:p w14:paraId="3D4D42C9"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3449 pacijenata sa simptomatskom akutnom dubokom venskom trombozom</w:t>
            </w:r>
          </w:p>
        </w:tc>
      </w:tr>
      <w:tr w:rsidR="005F7A91" w14:paraId="1BA8D5C3" w14:textId="77777777">
        <w:tc>
          <w:tcPr>
            <w:tcW w:w="1952" w:type="pct"/>
            <w:shd w:val="clear" w:color="auto" w:fill="auto"/>
            <w:hideMark/>
          </w:tcPr>
          <w:p w14:paraId="420B69F8"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Terapijska doza i trajanje liječenja</w:t>
            </w:r>
          </w:p>
        </w:tc>
        <w:tc>
          <w:tcPr>
            <w:tcW w:w="1082" w:type="pct"/>
            <w:shd w:val="clear" w:color="auto" w:fill="auto"/>
            <w:hideMark/>
          </w:tcPr>
          <w:p w14:paraId="4AED1886"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Rivaroksaban</w:t>
            </w:r>
            <w:r>
              <w:rPr>
                <w:b/>
                <w:bCs/>
                <w:color w:val="000000"/>
                <w:szCs w:val="22"/>
                <w:vertAlign w:val="superscript"/>
                <w:lang w:val="sl-SI" w:eastAsia="sl-SI"/>
              </w:rPr>
              <w:t>a)</w:t>
            </w:r>
          </w:p>
          <w:p w14:paraId="04D2A6D3"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3, 6 ili 12 mjeseci</w:t>
            </w:r>
          </w:p>
          <w:p w14:paraId="20568D79"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N=1731</w:t>
            </w:r>
          </w:p>
        </w:tc>
        <w:tc>
          <w:tcPr>
            <w:tcW w:w="1966" w:type="pct"/>
            <w:shd w:val="clear" w:color="auto" w:fill="auto"/>
            <w:hideMark/>
          </w:tcPr>
          <w:p w14:paraId="337E23DD"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Enoksaparin/antagonist vitamina K</w:t>
            </w:r>
            <w:r>
              <w:rPr>
                <w:b/>
                <w:bCs/>
                <w:color w:val="000000"/>
                <w:szCs w:val="22"/>
                <w:vertAlign w:val="superscript"/>
                <w:lang w:val="sl-SI" w:eastAsia="sl-SI"/>
              </w:rPr>
              <w:t>b)</w:t>
            </w:r>
          </w:p>
          <w:p w14:paraId="0932A503"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3, 6 ili 12 mjeseci</w:t>
            </w:r>
          </w:p>
          <w:p w14:paraId="76F121C1" w14:textId="77777777" w:rsidR="005F7A91" w:rsidRDefault="007C7639">
            <w:pPr>
              <w:tabs>
                <w:tab w:val="clear" w:pos="567"/>
              </w:tabs>
              <w:spacing w:line="240" w:lineRule="auto"/>
              <w:rPr>
                <w:color w:val="000000"/>
                <w:szCs w:val="22"/>
                <w:lang w:val="sl-SI" w:eastAsia="sl-SI"/>
              </w:rPr>
            </w:pPr>
            <w:r>
              <w:rPr>
                <w:b/>
                <w:bCs/>
                <w:color w:val="000000"/>
                <w:szCs w:val="22"/>
                <w:lang w:val="sl-SI" w:eastAsia="sl-SI"/>
              </w:rPr>
              <w:t>N=1718</w:t>
            </w:r>
          </w:p>
        </w:tc>
      </w:tr>
      <w:tr w:rsidR="005F7A91" w14:paraId="62E6886A" w14:textId="77777777">
        <w:tc>
          <w:tcPr>
            <w:tcW w:w="1952" w:type="pct"/>
            <w:shd w:val="clear" w:color="auto" w:fill="auto"/>
            <w:hideMark/>
          </w:tcPr>
          <w:p w14:paraId="371D5C01" w14:textId="77777777" w:rsidR="005F7A91" w:rsidRDefault="007C7639">
            <w:pPr>
              <w:tabs>
                <w:tab w:val="clear" w:pos="567"/>
              </w:tabs>
              <w:spacing w:line="240" w:lineRule="auto"/>
              <w:rPr>
                <w:color w:val="000000"/>
                <w:szCs w:val="22"/>
                <w:lang w:val="sl-SI" w:eastAsia="sl-SI"/>
              </w:rPr>
            </w:pPr>
            <w:r>
              <w:rPr>
                <w:color w:val="000000"/>
                <w:szCs w:val="22"/>
                <w:lang w:val="sl-SI" w:eastAsia="sl-SI"/>
              </w:rPr>
              <w:t>Simptomatski ponavljajući VTE*</w:t>
            </w:r>
          </w:p>
        </w:tc>
        <w:tc>
          <w:tcPr>
            <w:tcW w:w="1082" w:type="pct"/>
            <w:shd w:val="clear" w:color="auto" w:fill="auto"/>
            <w:hideMark/>
          </w:tcPr>
          <w:p w14:paraId="7C5F54BF" w14:textId="77777777" w:rsidR="005F7A91" w:rsidRDefault="007C7639">
            <w:pPr>
              <w:tabs>
                <w:tab w:val="clear" w:pos="567"/>
              </w:tabs>
              <w:spacing w:line="240" w:lineRule="auto"/>
              <w:rPr>
                <w:color w:val="000000"/>
                <w:szCs w:val="22"/>
                <w:lang w:val="sl-SI" w:eastAsia="sl-SI"/>
              </w:rPr>
            </w:pPr>
            <w:r>
              <w:rPr>
                <w:color w:val="000000"/>
                <w:szCs w:val="22"/>
                <w:lang w:val="sl-SI" w:eastAsia="sl-SI"/>
              </w:rPr>
              <w:t>36</w:t>
            </w:r>
          </w:p>
          <w:p w14:paraId="7043210A" w14:textId="77777777" w:rsidR="005F7A91" w:rsidRDefault="007C7639">
            <w:pPr>
              <w:tabs>
                <w:tab w:val="clear" w:pos="567"/>
              </w:tabs>
              <w:spacing w:line="240" w:lineRule="auto"/>
              <w:rPr>
                <w:color w:val="000000"/>
                <w:szCs w:val="22"/>
                <w:lang w:val="sl-SI" w:eastAsia="sl-SI"/>
              </w:rPr>
            </w:pPr>
            <w:r>
              <w:rPr>
                <w:color w:val="000000"/>
                <w:szCs w:val="22"/>
                <w:lang w:val="sl-SI" w:eastAsia="sl-SI"/>
              </w:rPr>
              <w:t>(2,1%)</w:t>
            </w:r>
          </w:p>
        </w:tc>
        <w:tc>
          <w:tcPr>
            <w:tcW w:w="1966" w:type="pct"/>
            <w:shd w:val="clear" w:color="auto" w:fill="auto"/>
            <w:hideMark/>
          </w:tcPr>
          <w:p w14:paraId="5A576DFF" w14:textId="77777777" w:rsidR="005F7A91" w:rsidRDefault="007C7639">
            <w:pPr>
              <w:tabs>
                <w:tab w:val="clear" w:pos="567"/>
              </w:tabs>
              <w:spacing w:line="240" w:lineRule="auto"/>
              <w:rPr>
                <w:color w:val="000000"/>
                <w:szCs w:val="22"/>
                <w:lang w:val="sl-SI" w:eastAsia="sl-SI"/>
              </w:rPr>
            </w:pPr>
            <w:r>
              <w:rPr>
                <w:color w:val="000000"/>
                <w:szCs w:val="22"/>
                <w:lang w:val="sl-SI" w:eastAsia="sl-SI"/>
              </w:rPr>
              <w:t>51</w:t>
            </w:r>
          </w:p>
          <w:p w14:paraId="6723C918" w14:textId="77777777" w:rsidR="005F7A91" w:rsidRDefault="007C7639">
            <w:pPr>
              <w:tabs>
                <w:tab w:val="clear" w:pos="567"/>
              </w:tabs>
              <w:spacing w:line="240" w:lineRule="auto"/>
              <w:rPr>
                <w:color w:val="000000"/>
                <w:szCs w:val="22"/>
                <w:lang w:val="sl-SI" w:eastAsia="sl-SI"/>
              </w:rPr>
            </w:pPr>
            <w:r>
              <w:rPr>
                <w:color w:val="000000"/>
                <w:szCs w:val="22"/>
                <w:lang w:val="sl-SI" w:eastAsia="sl-SI"/>
              </w:rPr>
              <w:t>(3,0%)</w:t>
            </w:r>
          </w:p>
        </w:tc>
      </w:tr>
      <w:tr w:rsidR="005F7A91" w14:paraId="5400C7F6" w14:textId="77777777">
        <w:tc>
          <w:tcPr>
            <w:tcW w:w="1952" w:type="pct"/>
            <w:shd w:val="clear" w:color="auto" w:fill="auto"/>
            <w:hideMark/>
          </w:tcPr>
          <w:p w14:paraId="410C3D86" w14:textId="77777777" w:rsidR="005F7A91" w:rsidRDefault="007C7639">
            <w:pPr>
              <w:tabs>
                <w:tab w:val="clear" w:pos="567"/>
              </w:tabs>
              <w:spacing w:line="240" w:lineRule="auto"/>
              <w:ind w:left="567"/>
              <w:rPr>
                <w:color w:val="000000"/>
                <w:szCs w:val="22"/>
                <w:lang w:val="sl-SI" w:eastAsia="sl-SI"/>
              </w:rPr>
            </w:pPr>
            <w:r>
              <w:rPr>
                <w:color w:val="000000"/>
                <w:szCs w:val="22"/>
                <w:lang w:val="sl-SI" w:eastAsia="sl-SI"/>
              </w:rPr>
              <w:t>Simptomatski ponavljajući PE</w:t>
            </w:r>
          </w:p>
        </w:tc>
        <w:tc>
          <w:tcPr>
            <w:tcW w:w="1082" w:type="pct"/>
            <w:shd w:val="clear" w:color="auto" w:fill="auto"/>
            <w:hideMark/>
          </w:tcPr>
          <w:p w14:paraId="0DA1108E" w14:textId="77777777" w:rsidR="005F7A91" w:rsidRDefault="007C7639">
            <w:pPr>
              <w:tabs>
                <w:tab w:val="clear" w:pos="567"/>
              </w:tabs>
              <w:spacing w:line="240" w:lineRule="auto"/>
              <w:rPr>
                <w:color w:val="000000"/>
                <w:szCs w:val="22"/>
                <w:lang w:val="sl-SI" w:eastAsia="sl-SI"/>
              </w:rPr>
            </w:pPr>
            <w:r>
              <w:rPr>
                <w:color w:val="000000"/>
                <w:szCs w:val="22"/>
                <w:lang w:val="sl-SI" w:eastAsia="sl-SI"/>
              </w:rPr>
              <w:t>20</w:t>
            </w:r>
          </w:p>
          <w:p w14:paraId="7704C703" w14:textId="77777777" w:rsidR="005F7A91" w:rsidRDefault="007C7639">
            <w:pPr>
              <w:tabs>
                <w:tab w:val="clear" w:pos="567"/>
              </w:tabs>
              <w:spacing w:line="240" w:lineRule="auto"/>
              <w:rPr>
                <w:color w:val="000000"/>
                <w:szCs w:val="22"/>
                <w:lang w:val="sl-SI" w:eastAsia="sl-SI"/>
              </w:rPr>
            </w:pPr>
            <w:r>
              <w:rPr>
                <w:color w:val="000000"/>
                <w:szCs w:val="22"/>
                <w:lang w:val="sl-SI" w:eastAsia="sl-SI"/>
              </w:rPr>
              <w:t>(1,2%)</w:t>
            </w:r>
          </w:p>
        </w:tc>
        <w:tc>
          <w:tcPr>
            <w:tcW w:w="1966" w:type="pct"/>
            <w:shd w:val="clear" w:color="auto" w:fill="auto"/>
            <w:hideMark/>
          </w:tcPr>
          <w:p w14:paraId="0D53BD79" w14:textId="77777777" w:rsidR="005F7A91" w:rsidRDefault="007C7639">
            <w:pPr>
              <w:tabs>
                <w:tab w:val="clear" w:pos="567"/>
              </w:tabs>
              <w:spacing w:line="240" w:lineRule="auto"/>
              <w:rPr>
                <w:color w:val="000000"/>
                <w:szCs w:val="22"/>
                <w:lang w:val="sl-SI" w:eastAsia="sl-SI"/>
              </w:rPr>
            </w:pPr>
            <w:r>
              <w:rPr>
                <w:color w:val="000000"/>
                <w:szCs w:val="22"/>
                <w:lang w:val="sl-SI" w:eastAsia="sl-SI"/>
              </w:rPr>
              <w:t>18</w:t>
            </w:r>
          </w:p>
          <w:p w14:paraId="60987657" w14:textId="77777777" w:rsidR="005F7A91" w:rsidRDefault="007C7639">
            <w:pPr>
              <w:tabs>
                <w:tab w:val="clear" w:pos="567"/>
              </w:tabs>
              <w:spacing w:line="240" w:lineRule="auto"/>
              <w:rPr>
                <w:color w:val="000000"/>
                <w:szCs w:val="22"/>
                <w:lang w:val="sl-SI" w:eastAsia="sl-SI"/>
              </w:rPr>
            </w:pPr>
            <w:r>
              <w:rPr>
                <w:color w:val="000000"/>
                <w:szCs w:val="22"/>
                <w:lang w:val="sl-SI" w:eastAsia="sl-SI"/>
              </w:rPr>
              <w:t>(1,0%)</w:t>
            </w:r>
          </w:p>
        </w:tc>
      </w:tr>
      <w:tr w:rsidR="005F7A91" w14:paraId="295F998F" w14:textId="77777777">
        <w:tc>
          <w:tcPr>
            <w:tcW w:w="1952" w:type="pct"/>
            <w:shd w:val="clear" w:color="auto" w:fill="auto"/>
            <w:hideMark/>
          </w:tcPr>
          <w:p w14:paraId="3D0418D6" w14:textId="77777777" w:rsidR="005F7A91" w:rsidRDefault="007C7639">
            <w:pPr>
              <w:tabs>
                <w:tab w:val="clear" w:pos="567"/>
              </w:tabs>
              <w:spacing w:line="240" w:lineRule="auto"/>
              <w:ind w:left="567"/>
              <w:rPr>
                <w:color w:val="000000"/>
                <w:szCs w:val="22"/>
                <w:lang w:val="sl-SI" w:eastAsia="sl-SI"/>
              </w:rPr>
            </w:pPr>
            <w:r>
              <w:rPr>
                <w:color w:val="000000"/>
                <w:szCs w:val="22"/>
                <w:lang w:val="sl-SI" w:eastAsia="sl-SI"/>
              </w:rPr>
              <w:t>Simptomatski ponavljajući DVT</w:t>
            </w:r>
          </w:p>
        </w:tc>
        <w:tc>
          <w:tcPr>
            <w:tcW w:w="1082" w:type="pct"/>
            <w:shd w:val="clear" w:color="auto" w:fill="auto"/>
            <w:hideMark/>
          </w:tcPr>
          <w:p w14:paraId="613995DE" w14:textId="77777777" w:rsidR="005F7A91" w:rsidRDefault="007C7639">
            <w:pPr>
              <w:tabs>
                <w:tab w:val="clear" w:pos="567"/>
              </w:tabs>
              <w:spacing w:line="240" w:lineRule="auto"/>
              <w:rPr>
                <w:color w:val="000000"/>
                <w:szCs w:val="22"/>
                <w:lang w:val="sl-SI" w:eastAsia="sl-SI"/>
              </w:rPr>
            </w:pPr>
            <w:r>
              <w:rPr>
                <w:color w:val="000000"/>
                <w:szCs w:val="22"/>
                <w:lang w:val="sl-SI" w:eastAsia="sl-SI"/>
              </w:rPr>
              <w:t>14</w:t>
            </w:r>
          </w:p>
          <w:p w14:paraId="79375477" w14:textId="77777777" w:rsidR="005F7A91" w:rsidRDefault="007C7639">
            <w:pPr>
              <w:tabs>
                <w:tab w:val="clear" w:pos="567"/>
              </w:tabs>
              <w:spacing w:line="240" w:lineRule="auto"/>
              <w:rPr>
                <w:color w:val="000000"/>
                <w:szCs w:val="22"/>
                <w:lang w:val="sl-SI" w:eastAsia="sl-SI"/>
              </w:rPr>
            </w:pPr>
            <w:r>
              <w:rPr>
                <w:color w:val="000000"/>
                <w:szCs w:val="22"/>
                <w:lang w:val="sl-SI" w:eastAsia="sl-SI"/>
              </w:rPr>
              <w:t>(0,8%)</w:t>
            </w:r>
          </w:p>
        </w:tc>
        <w:tc>
          <w:tcPr>
            <w:tcW w:w="1966" w:type="pct"/>
            <w:shd w:val="clear" w:color="auto" w:fill="auto"/>
            <w:hideMark/>
          </w:tcPr>
          <w:p w14:paraId="5AB04BDF" w14:textId="77777777" w:rsidR="005F7A91" w:rsidRDefault="007C7639">
            <w:pPr>
              <w:tabs>
                <w:tab w:val="clear" w:pos="567"/>
              </w:tabs>
              <w:spacing w:line="240" w:lineRule="auto"/>
              <w:rPr>
                <w:color w:val="000000"/>
                <w:szCs w:val="22"/>
                <w:lang w:val="sl-SI" w:eastAsia="sl-SI"/>
              </w:rPr>
            </w:pPr>
            <w:r>
              <w:rPr>
                <w:color w:val="000000"/>
                <w:szCs w:val="22"/>
                <w:lang w:val="sl-SI" w:eastAsia="sl-SI"/>
              </w:rPr>
              <w:t>28</w:t>
            </w:r>
          </w:p>
          <w:p w14:paraId="385B808E" w14:textId="77777777" w:rsidR="005F7A91" w:rsidRDefault="007C7639">
            <w:pPr>
              <w:tabs>
                <w:tab w:val="clear" w:pos="567"/>
              </w:tabs>
              <w:spacing w:line="240" w:lineRule="auto"/>
              <w:rPr>
                <w:color w:val="000000"/>
                <w:szCs w:val="22"/>
                <w:lang w:val="sl-SI" w:eastAsia="sl-SI"/>
              </w:rPr>
            </w:pPr>
            <w:r>
              <w:rPr>
                <w:color w:val="000000"/>
                <w:szCs w:val="22"/>
                <w:lang w:val="sl-SI" w:eastAsia="sl-SI"/>
              </w:rPr>
              <w:t>(1,6%)</w:t>
            </w:r>
          </w:p>
        </w:tc>
      </w:tr>
      <w:tr w:rsidR="005F7A91" w14:paraId="189501BE" w14:textId="77777777">
        <w:tc>
          <w:tcPr>
            <w:tcW w:w="1952" w:type="pct"/>
            <w:shd w:val="clear" w:color="auto" w:fill="auto"/>
            <w:hideMark/>
          </w:tcPr>
          <w:p w14:paraId="5392D1D9" w14:textId="77777777" w:rsidR="005F7A91" w:rsidRDefault="007C7639">
            <w:pPr>
              <w:tabs>
                <w:tab w:val="clear" w:pos="567"/>
              </w:tabs>
              <w:spacing w:line="240" w:lineRule="auto"/>
              <w:ind w:left="567"/>
              <w:rPr>
                <w:color w:val="000000"/>
                <w:szCs w:val="22"/>
                <w:lang w:val="sl-SI" w:eastAsia="sl-SI"/>
              </w:rPr>
            </w:pPr>
            <w:r>
              <w:rPr>
                <w:color w:val="000000"/>
                <w:szCs w:val="22"/>
                <w:lang w:val="sl-SI" w:eastAsia="sl-SI"/>
              </w:rPr>
              <w:t>Simptomatski PE i DVT</w:t>
            </w:r>
          </w:p>
        </w:tc>
        <w:tc>
          <w:tcPr>
            <w:tcW w:w="1082" w:type="pct"/>
            <w:shd w:val="clear" w:color="auto" w:fill="auto"/>
            <w:hideMark/>
          </w:tcPr>
          <w:p w14:paraId="428955F0" w14:textId="77777777" w:rsidR="005F7A91" w:rsidRDefault="007C7639">
            <w:pPr>
              <w:tabs>
                <w:tab w:val="clear" w:pos="567"/>
              </w:tabs>
              <w:spacing w:line="240" w:lineRule="auto"/>
              <w:rPr>
                <w:color w:val="000000"/>
                <w:szCs w:val="22"/>
                <w:lang w:val="sl-SI" w:eastAsia="sl-SI"/>
              </w:rPr>
            </w:pPr>
            <w:r>
              <w:rPr>
                <w:color w:val="000000"/>
                <w:szCs w:val="22"/>
                <w:lang w:val="sl-SI" w:eastAsia="sl-SI"/>
              </w:rPr>
              <w:t>1</w:t>
            </w:r>
          </w:p>
          <w:p w14:paraId="29B2A571" w14:textId="77777777" w:rsidR="005F7A91" w:rsidRDefault="007C7639">
            <w:pPr>
              <w:tabs>
                <w:tab w:val="clear" w:pos="567"/>
              </w:tabs>
              <w:spacing w:line="240" w:lineRule="auto"/>
              <w:rPr>
                <w:color w:val="000000"/>
                <w:szCs w:val="22"/>
                <w:lang w:val="sl-SI" w:eastAsia="sl-SI"/>
              </w:rPr>
            </w:pPr>
            <w:r>
              <w:rPr>
                <w:color w:val="000000"/>
                <w:szCs w:val="22"/>
                <w:lang w:val="sl-SI" w:eastAsia="sl-SI"/>
              </w:rPr>
              <w:t>(0,1%)</w:t>
            </w:r>
          </w:p>
        </w:tc>
        <w:tc>
          <w:tcPr>
            <w:tcW w:w="1966" w:type="pct"/>
            <w:shd w:val="clear" w:color="auto" w:fill="auto"/>
            <w:hideMark/>
          </w:tcPr>
          <w:p w14:paraId="45819DF1" w14:textId="77777777" w:rsidR="005F7A91" w:rsidRDefault="007C7639">
            <w:pPr>
              <w:tabs>
                <w:tab w:val="clear" w:pos="567"/>
              </w:tabs>
              <w:spacing w:line="240" w:lineRule="auto"/>
              <w:rPr>
                <w:color w:val="000000"/>
                <w:szCs w:val="22"/>
                <w:lang w:val="sl-SI" w:eastAsia="sl-SI"/>
              </w:rPr>
            </w:pPr>
            <w:r>
              <w:rPr>
                <w:color w:val="000000"/>
                <w:szCs w:val="22"/>
                <w:lang w:val="sl-SI" w:eastAsia="sl-SI"/>
              </w:rPr>
              <w:t>0</w:t>
            </w:r>
          </w:p>
        </w:tc>
      </w:tr>
      <w:tr w:rsidR="005F7A91" w14:paraId="2E1DB4AA" w14:textId="77777777">
        <w:tc>
          <w:tcPr>
            <w:tcW w:w="1952" w:type="pct"/>
            <w:shd w:val="clear" w:color="auto" w:fill="auto"/>
            <w:hideMark/>
          </w:tcPr>
          <w:p w14:paraId="27708BAD" w14:textId="77777777" w:rsidR="005F7A91" w:rsidRDefault="007C7639">
            <w:pPr>
              <w:tabs>
                <w:tab w:val="clear" w:pos="567"/>
              </w:tabs>
              <w:spacing w:line="240" w:lineRule="auto"/>
              <w:ind w:left="567"/>
              <w:rPr>
                <w:color w:val="000000"/>
                <w:szCs w:val="22"/>
                <w:lang w:val="sl-SI" w:eastAsia="sl-SI"/>
              </w:rPr>
            </w:pPr>
            <w:r>
              <w:rPr>
                <w:color w:val="000000"/>
                <w:szCs w:val="22"/>
                <w:lang w:val="sl-SI" w:eastAsia="sl-SI"/>
              </w:rPr>
              <w:t>PE sa smrtnim ishodom/smrt za koju se ne može isključiti PE</w:t>
            </w:r>
          </w:p>
        </w:tc>
        <w:tc>
          <w:tcPr>
            <w:tcW w:w="1082" w:type="pct"/>
            <w:shd w:val="clear" w:color="auto" w:fill="auto"/>
            <w:hideMark/>
          </w:tcPr>
          <w:p w14:paraId="23AB216C" w14:textId="77777777" w:rsidR="005F7A91" w:rsidRDefault="007C7639">
            <w:pPr>
              <w:tabs>
                <w:tab w:val="clear" w:pos="567"/>
              </w:tabs>
              <w:spacing w:line="240" w:lineRule="auto"/>
              <w:rPr>
                <w:color w:val="000000"/>
                <w:szCs w:val="22"/>
                <w:lang w:val="sl-SI" w:eastAsia="sl-SI"/>
              </w:rPr>
            </w:pPr>
            <w:r>
              <w:rPr>
                <w:color w:val="000000"/>
                <w:szCs w:val="22"/>
                <w:lang w:val="sl-SI" w:eastAsia="sl-SI"/>
              </w:rPr>
              <w:t>4</w:t>
            </w:r>
          </w:p>
          <w:p w14:paraId="772E0133" w14:textId="77777777" w:rsidR="005F7A91" w:rsidRDefault="007C7639">
            <w:pPr>
              <w:tabs>
                <w:tab w:val="clear" w:pos="567"/>
              </w:tabs>
              <w:spacing w:line="240" w:lineRule="auto"/>
              <w:rPr>
                <w:color w:val="000000"/>
                <w:szCs w:val="22"/>
                <w:lang w:val="sl-SI" w:eastAsia="sl-SI"/>
              </w:rPr>
            </w:pPr>
            <w:r>
              <w:rPr>
                <w:color w:val="000000"/>
                <w:szCs w:val="22"/>
                <w:lang w:val="sl-SI" w:eastAsia="sl-SI"/>
              </w:rPr>
              <w:t>(0,2%)</w:t>
            </w:r>
          </w:p>
        </w:tc>
        <w:tc>
          <w:tcPr>
            <w:tcW w:w="1966" w:type="pct"/>
            <w:shd w:val="clear" w:color="auto" w:fill="auto"/>
            <w:hideMark/>
          </w:tcPr>
          <w:p w14:paraId="3AF100FB" w14:textId="77777777" w:rsidR="005F7A91" w:rsidRDefault="007C7639">
            <w:pPr>
              <w:tabs>
                <w:tab w:val="clear" w:pos="567"/>
              </w:tabs>
              <w:spacing w:line="240" w:lineRule="auto"/>
              <w:rPr>
                <w:color w:val="000000"/>
                <w:szCs w:val="22"/>
                <w:lang w:val="sl-SI" w:eastAsia="sl-SI"/>
              </w:rPr>
            </w:pPr>
            <w:r>
              <w:rPr>
                <w:color w:val="000000"/>
                <w:szCs w:val="22"/>
                <w:lang w:val="sl-SI" w:eastAsia="sl-SI"/>
              </w:rPr>
              <w:t>6</w:t>
            </w:r>
          </w:p>
          <w:p w14:paraId="4ABF75F9" w14:textId="77777777" w:rsidR="005F7A91" w:rsidRDefault="007C7639">
            <w:pPr>
              <w:tabs>
                <w:tab w:val="clear" w:pos="567"/>
              </w:tabs>
              <w:spacing w:line="240" w:lineRule="auto"/>
              <w:rPr>
                <w:color w:val="000000"/>
                <w:szCs w:val="22"/>
                <w:lang w:val="sl-SI" w:eastAsia="sl-SI"/>
              </w:rPr>
            </w:pPr>
            <w:r>
              <w:rPr>
                <w:color w:val="000000"/>
                <w:szCs w:val="22"/>
                <w:lang w:val="sl-SI" w:eastAsia="sl-SI"/>
              </w:rPr>
              <w:t>(0,3%)</w:t>
            </w:r>
          </w:p>
        </w:tc>
      </w:tr>
      <w:tr w:rsidR="005F7A91" w14:paraId="6F8455F9" w14:textId="77777777">
        <w:tc>
          <w:tcPr>
            <w:tcW w:w="1952" w:type="pct"/>
            <w:shd w:val="clear" w:color="auto" w:fill="auto"/>
            <w:hideMark/>
          </w:tcPr>
          <w:p w14:paraId="44A8A41E" w14:textId="77777777" w:rsidR="005F7A91" w:rsidRDefault="007C7639">
            <w:pPr>
              <w:tabs>
                <w:tab w:val="clear" w:pos="567"/>
              </w:tabs>
              <w:spacing w:line="240" w:lineRule="auto"/>
              <w:rPr>
                <w:color w:val="000000"/>
                <w:szCs w:val="22"/>
                <w:lang w:val="sl-SI" w:eastAsia="sl-SI"/>
              </w:rPr>
            </w:pPr>
            <w:r>
              <w:rPr>
                <w:szCs w:val="22"/>
                <w:lang w:val="sl-SI" w:eastAsia="sl-SI"/>
              </w:rPr>
              <w:t>Velika krvarenja ili klinički relevantna krvarenja koja nisu klasifikovana kao velika</w:t>
            </w:r>
          </w:p>
        </w:tc>
        <w:tc>
          <w:tcPr>
            <w:tcW w:w="1082" w:type="pct"/>
            <w:shd w:val="clear" w:color="auto" w:fill="auto"/>
            <w:hideMark/>
          </w:tcPr>
          <w:p w14:paraId="14ACDBE2" w14:textId="77777777" w:rsidR="005F7A91" w:rsidRDefault="007C7639">
            <w:pPr>
              <w:tabs>
                <w:tab w:val="clear" w:pos="567"/>
              </w:tabs>
              <w:spacing w:line="240" w:lineRule="auto"/>
              <w:rPr>
                <w:color w:val="000000"/>
                <w:szCs w:val="22"/>
                <w:lang w:val="sl-SI" w:eastAsia="sl-SI"/>
              </w:rPr>
            </w:pPr>
            <w:r>
              <w:rPr>
                <w:color w:val="000000"/>
                <w:szCs w:val="22"/>
                <w:lang w:val="sl-SI" w:eastAsia="sl-SI"/>
              </w:rPr>
              <w:t>139</w:t>
            </w:r>
          </w:p>
          <w:p w14:paraId="467C1D6E" w14:textId="77777777" w:rsidR="005F7A91" w:rsidRDefault="007C7639">
            <w:pPr>
              <w:tabs>
                <w:tab w:val="clear" w:pos="567"/>
              </w:tabs>
              <w:spacing w:line="240" w:lineRule="auto"/>
              <w:rPr>
                <w:color w:val="000000"/>
                <w:szCs w:val="22"/>
                <w:lang w:val="sl-SI" w:eastAsia="sl-SI"/>
              </w:rPr>
            </w:pPr>
            <w:r>
              <w:rPr>
                <w:color w:val="000000"/>
                <w:szCs w:val="22"/>
                <w:lang w:val="sl-SI" w:eastAsia="sl-SI"/>
              </w:rPr>
              <w:t>(8,1%)</w:t>
            </w:r>
          </w:p>
        </w:tc>
        <w:tc>
          <w:tcPr>
            <w:tcW w:w="1966" w:type="pct"/>
            <w:shd w:val="clear" w:color="auto" w:fill="auto"/>
            <w:hideMark/>
          </w:tcPr>
          <w:p w14:paraId="2281E4DF" w14:textId="77777777" w:rsidR="005F7A91" w:rsidRDefault="007C7639">
            <w:pPr>
              <w:tabs>
                <w:tab w:val="clear" w:pos="567"/>
              </w:tabs>
              <w:spacing w:line="240" w:lineRule="auto"/>
              <w:rPr>
                <w:color w:val="000000"/>
                <w:szCs w:val="22"/>
                <w:lang w:val="sl-SI" w:eastAsia="sl-SI"/>
              </w:rPr>
            </w:pPr>
            <w:r>
              <w:rPr>
                <w:color w:val="000000"/>
                <w:szCs w:val="22"/>
                <w:lang w:val="sl-SI" w:eastAsia="sl-SI"/>
              </w:rPr>
              <w:t>138</w:t>
            </w:r>
          </w:p>
          <w:p w14:paraId="6C3605AB" w14:textId="77777777" w:rsidR="005F7A91" w:rsidRDefault="007C7639">
            <w:pPr>
              <w:tabs>
                <w:tab w:val="clear" w:pos="567"/>
              </w:tabs>
              <w:spacing w:line="240" w:lineRule="auto"/>
              <w:rPr>
                <w:color w:val="000000"/>
                <w:szCs w:val="22"/>
                <w:lang w:val="sl-SI" w:eastAsia="sl-SI"/>
              </w:rPr>
            </w:pPr>
            <w:r>
              <w:rPr>
                <w:color w:val="000000"/>
                <w:szCs w:val="22"/>
                <w:lang w:val="sl-SI" w:eastAsia="sl-SI"/>
              </w:rPr>
              <w:t>(8,1%)</w:t>
            </w:r>
          </w:p>
        </w:tc>
      </w:tr>
      <w:tr w:rsidR="005F7A91" w14:paraId="4ACECE07" w14:textId="77777777">
        <w:tc>
          <w:tcPr>
            <w:tcW w:w="1952" w:type="pct"/>
            <w:shd w:val="clear" w:color="auto" w:fill="auto"/>
            <w:hideMark/>
          </w:tcPr>
          <w:p w14:paraId="42E31E2E" w14:textId="77777777" w:rsidR="005F7A91" w:rsidRDefault="007C7639">
            <w:pPr>
              <w:tabs>
                <w:tab w:val="clear" w:pos="567"/>
              </w:tabs>
              <w:spacing w:line="240" w:lineRule="auto"/>
              <w:rPr>
                <w:color w:val="000000"/>
                <w:szCs w:val="22"/>
                <w:lang w:val="sl-SI" w:eastAsia="sl-SI"/>
              </w:rPr>
            </w:pPr>
            <w:r>
              <w:rPr>
                <w:color w:val="000000"/>
                <w:szCs w:val="22"/>
                <w:lang w:val="sl-SI" w:eastAsia="sl-SI"/>
              </w:rPr>
              <w:t>Velika krvarenja</w:t>
            </w:r>
          </w:p>
        </w:tc>
        <w:tc>
          <w:tcPr>
            <w:tcW w:w="1082" w:type="pct"/>
            <w:shd w:val="clear" w:color="auto" w:fill="auto"/>
            <w:hideMark/>
          </w:tcPr>
          <w:p w14:paraId="1E0993C5" w14:textId="77777777" w:rsidR="005F7A91" w:rsidRDefault="007C7639">
            <w:pPr>
              <w:tabs>
                <w:tab w:val="clear" w:pos="567"/>
              </w:tabs>
              <w:spacing w:line="240" w:lineRule="auto"/>
              <w:rPr>
                <w:color w:val="000000"/>
                <w:szCs w:val="22"/>
                <w:lang w:val="sl-SI" w:eastAsia="sl-SI"/>
              </w:rPr>
            </w:pPr>
            <w:r>
              <w:rPr>
                <w:color w:val="000000"/>
                <w:szCs w:val="22"/>
                <w:lang w:val="sl-SI" w:eastAsia="sl-SI"/>
              </w:rPr>
              <w:t>14</w:t>
            </w:r>
          </w:p>
          <w:p w14:paraId="7076A3DC" w14:textId="77777777" w:rsidR="005F7A91" w:rsidRDefault="007C7639">
            <w:pPr>
              <w:tabs>
                <w:tab w:val="clear" w:pos="567"/>
              </w:tabs>
              <w:spacing w:line="240" w:lineRule="auto"/>
              <w:rPr>
                <w:color w:val="000000"/>
                <w:szCs w:val="22"/>
                <w:lang w:val="sl-SI" w:eastAsia="sl-SI"/>
              </w:rPr>
            </w:pPr>
            <w:r>
              <w:rPr>
                <w:color w:val="000000"/>
                <w:szCs w:val="22"/>
                <w:lang w:val="sl-SI" w:eastAsia="sl-SI"/>
              </w:rPr>
              <w:t>(0,8%)</w:t>
            </w:r>
          </w:p>
        </w:tc>
        <w:tc>
          <w:tcPr>
            <w:tcW w:w="1966" w:type="pct"/>
            <w:shd w:val="clear" w:color="auto" w:fill="auto"/>
            <w:hideMark/>
          </w:tcPr>
          <w:p w14:paraId="12793113" w14:textId="77777777" w:rsidR="005F7A91" w:rsidRDefault="007C7639">
            <w:pPr>
              <w:tabs>
                <w:tab w:val="clear" w:pos="567"/>
              </w:tabs>
              <w:spacing w:line="240" w:lineRule="auto"/>
              <w:rPr>
                <w:color w:val="000000"/>
                <w:szCs w:val="22"/>
                <w:lang w:val="sl-SI" w:eastAsia="sl-SI"/>
              </w:rPr>
            </w:pPr>
            <w:r>
              <w:rPr>
                <w:color w:val="000000"/>
                <w:szCs w:val="22"/>
                <w:lang w:val="sl-SI" w:eastAsia="sl-SI"/>
              </w:rPr>
              <w:t>20</w:t>
            </w:r>
          </w:p>
          <w:p w14:paraId="4E5C6D02" w14:textId="77777777" w:rsidR="005F7A91" w:rsidRDefault="007C7639">
            <w:pPr>
              <w:tabs>
                <w:tab w:val="clear" w:pos="567"/>
              </w:tabs>
              <w:spacing w:line="240" w:lineRule="auto"/>
              <w:rPr>
                <w:color w:val="000000"/>
                <w:szCs w:val="22"/>
                <w:lang w:val="sl-SI" w:eastAsia="sl-SI"/>
              </w:rPr>
            </w:pPr>
            <w:r>
              <w:rPr>
                <w:color w:val="000000"/>
                <w:szCs w:val="22"/>
                <w:lang w:val="sl-SI" w:eastAsia="sl-SI"/>
              </w:rPr>
              <w:t>(1,2%)</w:t>
            </w:r>
          </w:p>
        </w:tc>
      </w:tr>
    </w:tbl>
    <w:p w14:paraId="7AC2B662" w14:textId="77777777" w:rsidR="005F7A91" w:rsidRDefault="005F7A91">
      <w:pPr>
        <w:tabs>
          <w:tab w:val="clear" w:pos="567"/>
        </w:tabs>
        <w:spacing w:line="240" w:lineRule="auto"/>
        <w:jc w:val="both"/>
        <w:rPr>
          <w:color w:val="000000"/>
          <w:szCs w:val="22"/>
          <w:lang w:val="sl-SI" w:eastAsia="sl-SI"/>
        </w:rPr>
      </w:pPr>
    </w:p>
    <w:p w14:paraId="1ADBD79F" w14:textId="77777777" w:rsidR="005F7A91" w:rsidRDefault="007C7639">
      <w:pPr>
        <w:widowControl w:val="0"/>
        <w:numPr>
          <w:ilvl w:val="0"/>
          <w:numId w:val="3"/>
        </w:numPr>
        <w:tabs>
          <w:tab w:val="clear" w:pos="567"/>
        </w:tabs>
        <w:spacing w:line="240" w:lineRule="auto"/>
        <w:ind w:left="180"/>
        <w:jc w:val="both"/>
        <w:rPr>
          <w:szCs w:val="22"/>
          <w:lang w:val="sl-SI" w:eastAsia="sl-SI"/>
        </w:rPr>
      </w:pPr>
      <w:r>
        <w:rPr>
          <w:szCs w:val="22"/>
          <w:lang w:val="sl-SI" w:eastAsia="sl-SI"/>
        </w:rPr>
        <w:t xml:space="preserve">Rivaroksaban 15 mg dva puta dnevno tokom 3 nedjelje, poslije čega slijedi 20 mg jednom dnevno. </w:t>
      </w:r>
    </w:p>
    <w:p w14:paraId="7EEBB8B6" w14:textId="77777777" w:rsidR="005F7A91" w:rsidRDefault="007C7639">
      <w:pPr>
        <w:widowControl w:val="0"/>
        <w:numPr>
          <w:ilvl w:val="0"/>
          <w:numId w:val="3"/>
        </w:numPr>
        <w:tabs>
          <w:tab w:val="clear" w:pos="567"/>
        </w:tabs>
        <w:spacing w:line="240" w:lineRule="auto"/>
        <w:ind w:left="180"/>
        <w:jc w:val="both"/>
        <w:rPr>
          <w:szCs w:val="22"/>
          <w:lang w:val="sl-SI" w:eastAsia="sl-SI"/>
        </w:rPr>
      </w:pPr>
      <w:r>
        <w:rPr>
          <w:szCs w:val="22"/>
          <w:lang w:val="sl-SI" w:eastAsia="sl-SI"/>
        </w:rPr>
        <w:t xml:space="preserve">Enoksaparin tokom najmanje 5 dana, preklapa se, a zatim nastavlja sa VKA. </w:t>
      </w:r>
    </w:p>
    <w:p w14:paraId="341A2909" w14:textId="77777777" w:rsidR="005F7A91" w:rsidRDefault="007C7639">
      <w:pPr>
        <w:widowControl w:val="0"/>
        <w:tabs>
          <w:tab w:val="clear" w:pos="567"/>
        </w:tabs>
        <w:spacing w:line="240" w:lineRule="auto"/>
        <w:ind w:left="180"/>
        <w:jc w:val="both"/>
        <w:rPr>
          <w:szCs w:val="22"/>
          <w:lang w:val="sl-SI" w:eastAsia="sl-SI"/>
        </w:rPr>
      </w:pPr>
      <w:r>
        <w:rPr>
          <w:szCs w:val="22"/>
          <w:lang w:val="sl-SI" w:eastAsia="sl-SI"/>
        </w:rPr>
        <w:t>* p &lt; 0,0001 (neinferiornost u odnosu na predefinisani odnos rizika 2,0); odnos rizika: 0,680 (0,443 – 1,042), p=0,076 (superiornost)</w:t>
      </w:r>
    </w:p>
    <w:p w14:paraId="6AA50F1D" w14:textId="77777777" w:rsidR="005F7A91" w:rsidRDefault="005F7A91">
      <w:pPr>
        <w:widowControl w:val="0"/>
        <w:tabs>
          <w:tab w:val="clear" w:pos="567"/>
        </w:tabs>
        <w:spacing w:line="240" w:lineRule="auto"/>
        <w:ind w:left="720"/>
        <w:jc w:val="both"/>
        <w:rPr>
          <w:color w:val="000000"/>
          <w:szCs w:val="22"/>
          <w:lang w:val="sl-SI" w:eastAsia="sl-SI"/>
        </w:rPr>
      </w:pPr>
    </w:p>
    <w:p w14:paraId="5941CB5D" w14:textId="77777777" w:rsidR="005F7A91" w:rsidRDefault="007C7639">
      <w:pPr>
        <w:widowControl w:val="0"/>
        <w:tabs>
          <w:tab w:val="clear" w:pos="567"/>
        </w:tabs>
        <w:spacing w:line="240" w:lineRule="auto"/>
        <w:jc w:val="both"/>
        <w:rPr>
          <w:szCs w:val="22"/>
          <w:lang w:val="sl-SI" w:eastAsia="sl-SI"/>
        </w:rPr>
      </w:pPr>
      <w:r>
        <w:rPr>
          <w:szCs w:val="22"/>
          <w:lang w:val="sl-SI" w:eastAsia="sl-SI"/>
        </w:rPr>
        <w:t xml:space="preserve">U Einstein PE studiji (vidjeti Tabelu 6) rivaroksaban se pokazao neinferiornim u odnosu na enoksaparin/VKA za primarni ishod efikasnosti (p=0,0026 (test za neinferiornost); odnos rizika 1,123 (0,749-1,684)). Unaprijed specifikovana ukupna klinička korist (primarni ishod efikasnosti plus velika krvarenja) zabilježena je sa odnosom rizika 0,849 ((95%CI: 0,633 – 1,139), nominalna p vrijednost p=0,275). INR vrijednosti su bile unutar terapijskog opsega prosječno 63% vremena za prosječnu dužinu terapije od 215 dana, a 57%, 62% i 65% vremena u grupama namjeravanog trajanja terapije od 3, 6, odnosno 12 mjeseci. U enoksaparin/VKA grupi nije bilo jasnog odnosa između nivoa srednjeg centralnog vremena unutar terapijskog raspona (engl. </w:t>
      </w:r>
      <w:r>
        <w:rPr>
          <w:i/>
          <w:szCs w:val="22"/>
          <w:lang w:val="sl-SI" w:eastAsia="sl-SI"/>
        </w:rPr>
        <w:t>Time in Target INR Range</w:t>
      </w:r>
      <w:r>
        <w:rPr>
          <w:szCs w:val="22"/>
          <w:lang w:val="sl-SI" w:eastAsia="sl-SI"/>
        </w:rPr>
        <w:t xml:space="preserve"> 2,0 – 3,0) u tercilima podjednake veličine i incidence rekurentne VTE (P=0,082 za interakciju). Unutar najvišeg tercila prema centru, odnos rizika sa rivaroksabanom prema varfarinu je bio 0,642 (95% CI: 0,277 – 1,484).</w:t>
      </w:r>
    </w:p>
    <w:p w14:paraId="4C2383FA" w14:textId="77777777" w:rsidR="005F7A91" w:rsidRDefault="007C7639">
      <w:pPr>
        <w:widowControl w:val="0"/>
        <w:tabs>
          <w:tab w:val="clear" w:pos="567"/>
        </w:tabs>
        <w:spacing w:line="240" w:lineRule="auto"/>
        <w:jc w:val="both"/>
        <w:rPr>
          <w:rFonts w:eastAsia="Calibri"/>
          <w:szCs w:val="22"/>
          <w:lang w:val="sl-SI"/>
        </w:rPr>
      </w:pPr>
      <w:r>
        <w:rPr>
          <w:rFonts w:eastAsia="Calibri"/>
          <w:szCs w:val="22"/>
          <w:lang w:val="sl-SI"/>
        </w:rPr>
        <w:t xml:space="preserve"> </w:t>
      </w:r>
    </w:p>
    <w:p w14:paraId="098AFBD2" w14:textId="77777777" w:rsidR="005F7A91" w:rsidRDefault="007C7639">
      <w:pPr>
        <w:widowControl w:val="0"/>
        <w:tabs>
          <w:tab w:val="clear" w:pos="567"/>
        </w:tabs>
        <w:spacing w:line="240" w:lineRule="auto"/>
        <w:jc w:val="both"/>
        <w:rPr>
          <w:szCs w:val="22"/>
          <w:lang w:val="sl-SI"/>
        </w:rPr>
      </w:pPr>
      <w:r>
        <w:rPr>
          <w:szCs w:val="22"/>
          <w:lang w:val="sl-SI" w:eastAsia="sl-SI"/>
        </w:rPr>
        <w:t xml:space="preserve">Stope učestalosti za primarni ishod bezbjednosti (velika krvarenja ili klinički relevantna krvarenja koja nisu klasifikovana kao velika) bile su nešto niže u rivaroksaban grupi (10,3% (249/2412)) nego u </w:t>
      </w:r>
      <w:r>
        <w:rPr>
          <w:szCs w:val="22"/>
          <w:lang w:val="sl-SI" w:eastAsia="sl-SI"/>
        </w:rPr>
        <w:lastRenderedPageBreak/>
        <w:t>enoksaparin/antagonista vitamina K terapijskoj grupi (11,4% (274/2405)). Učestalost sekundarnog ishoda bezbjednosti (velika krvarenja) bila je niža u rivaroksaban grupi (1,1% (26/2412) nego u enoksaparin/antagonista vitamina K terapijskoj grupi (2,2% (52/2405)), uz odnos rizika od 0,493 (95% CI: 0,308 – 0,789).</w:t>
      </w:r>
    </w:p>
    <w:p w14:paraId="33EB4D47" w14:textId="77777777" w:rsidR="005F7A91" w:rsidRDefault="005F7A91">
      <w:pPr>
        <w:shd w:val="clear" w:color="auto" w:fill="FFFFFF"/>
        <w:tabs>
          <w:tab w:val="clear" w:pos="567"/>
        </w:tabs>
        <w:spacing w:line="240" w:lineRule="auto"/>
        <w:jc w:val="both"/>
        <w:rPr>
          <w:b/>
          <w:bCs/>
          <w:color w:val="000000"/>
          <w:szCs w:val="22"/>
          <w:lang w:val="sl-SI" w:eastAsia="sl-SI"/>
        </w:rPr>
      </w:pPr>
    </w:p>
    <w:p w14:paraId="65007A27" w14:textId="77777777" w:rsidR="005F7A91" w:rsidRDefault="007C7639">
      <w:pPr>
        <w:shd w:val="clear" w:color="auto" w:fill="FFFFFF"/>
        <w:tabs>
          <w:tab w:val="clear" w:pos="567"/>
        </w:tabs>
        <w:spacing w:line="240" w:lineRule="auto"/>
        <w:jc w:val="both"/>
        <w:rPr>
          <w:b/>
          <w:bCs/>
          <w:color w:val="000000"/>
          <w:szCs w:val="22"/>
          <w:lang w:val="sl-SI" w:eastAsia="sl-SI"/>
        </w:rPr>
      </w:pPr>
      <w:r>
        <w:rPr>
          <w:b/>
          <w:bCs/>
          <w:color w:val="000000"/>
          <w:szCs w:val="22"/>
          <w:lang w:val="sl-SI" w:eastAsia="sl-SI"/>
        </w:rPr>
        <w:t xml:space="preserve">Tabela 6: Rezultati efiksnosti i bezbjednosti iz </w:t>
      </w:r>
      <w:r>
        <w:rPr>
          <w:b/>
          <w:bCs/>
          <w:i/>
          <w:color w:val="000000"/>
          <w:szCs w:val="22"/>
          <w:lang w:val="sl-SI" w:eastAsia="sl-SI"/>
        </w:rPr>
        <w:t>Einstein</w:t>
      </w:r>
      <w:r>
        <w:rPr>
          <w:b/>
          <w:bCs/>
          <w:color w:val="000000"/>
          <w:szCs w:val="22"/>
          <w:lang w:val="sl-SI" w:eastAsia="sl-SI"/>
        </w:rPr>
        <w:t xml:space="preserve"> PE faze III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1"/>
        <w:gridCol w:w="2550"/>
      </w:tblGrid>
      <w:tr w:rsidR="005F7A91" w14:paraId="2666D64C" w14:textId="77777777">
        <w:tc>
          <w:tcPr>
            <w:tcW w:w="2305" w:type="pct"/>
            <w:shd w:val="clear" w:color="auto" w:fill="auto"/>
            <w:hideMark/>
          </w:tcPr>
          <w:p w14:paraId="5E5B1072" w14:textId="77777777" w:rsidR="005F7A91" w:rsidRDefault="007C7639">
            <w:pPr>
              <w:tabs>
                <w:tab w:val="clear" w:pos="567"/>
              </w:tabs>
              <w:autoSpaceDE w:val="0"/>
              <w:autoSpaceDN w:val="0"/>
              <w:adjustRightInd w:val="0"/>
              <w:spacing w:line="240" w:lineRule="auto"/>
              <w:jc w:val="both"/>
              <w:rPr>
                <w:b/>
                <w:color w:val="000000"/>
                <w:szCs w:val="22"/>
                <w:lang w:val="hr-HR" w:eastAsia="sl-SI"/>
              </w:rPr>
            </w:pPr>
            <w:r>
              <w:rPr>
                <w:b/>
                <w:color w:val="000000"/>
                <w:szCs w:val="22"/>
                <w:lang w:val="hr-HR" w:eastAsia="sl-SI"/>
              </w:rPr>
              <w:t>Populacija u studiji</w:t>
            </w:r>
          </w:p>
        </w:tc>
        <w:tc>
          <w:tcPr>
            <w:tcW w:w="2695" w:type="pct"/>
            <w:gridSpan w:val="2"/>
            <w:shd w:val="clear" w:color="auto" w:fill="auto"/>
            <w:hideMark/>
          </w:tcPr>
          <w:p w14:paraId="6692BCEE" w14:textId="77777777" w:rsidR="005F7A91" w:rsidRDefault="007C7639">
            <w:pPr>
              <w:tabs>
                <w:tab w:val="clear" w:pos="567"/>
              </w:tabs>
              <w:spacing w:line="240" w:lineRule="auto"/>
              <w:jc w:val="both"/>
              <w:rPr>
                <w:b/>
                <w:bCs/>
                <w:szCs w:val="22"/>
                <w:lang w:val="sl-SI" w:eastAsia="sl-SI"/>
              </w:rPr>
            </w:pPr>
            <w:r>
              <w:rPr>
                <w:b/>
                <w:bCs/>
                <w:szCs w:val="22"/>
                <w:lang w:val="sl-SI" w:eastAsia="sl-SI"/>
              </w:rPr>
              <w:t xml:space="preserve">4832 </w:t>
            </w:r>
            <w:r>
              <w:rPr>
                <w:b/>
                <w:szCs w:val="22"/>
                <w:lang w:val="sl-SI" w:eastAsia="sl-SI"/>
              </w:rPr>
              <w:t>pacijenata sa akutnom simptomatskom PE</w:t>
            </w:r>
          </w:p>
        </w:tc>
      </w:tr>
      <w:tr w:rsidR="005F7A91" w14:paraId="2F418CAD" w14:textId="77777777">
        <w:tc>
          <w:tcPr>
            <w:tcW w:w="2305" w:type="pct"/>
            <w:shd w:val="clear" w:color="auto" w:fill="auto"/>
            <w:hideMark/>
          </w:tcPr>
          <w:p w14:paraId="5237E14C" w14:textId="77777777" w:rsidR="005F7A91" w:rsidRDefault="007C7639">
            <w:pPr>
              <w:tabs>
                <w:tab w:val="clear" w:pos="567"/>
              </w:tabs>
              <w:autoSpaceDE w:val="0"/>
              <w:autoSpaceDN w:val="0"/>
              <w:adjustRightInd w:val="0"/>
              <w:spacing w:line="240" w:lineRule="auto"/>
              <w:jc w:val="both"/>
              <w:rPr>
                <w:b/>
                <w:color w:val="000000"/>
                <w:szCs w:val="22"/>
                <w:lang w:val="hr-HR" w:eastAsia="sl-SI"/>
              </w:rPr>
            </w:pPr>
            <w:r>
              <w:rPr>
                <w:b/>
                <w:color w:val="000000"/>
                <w:szCs w:val="22"/>
                <w:lang w:val="hr-HR" w:eastAsia="sl-SI"/>
              </w:rPr>
              <w:t>Terapijska doza i trajanje liječenja</w:t>
            </w:r>
          </w:p>
        </w:tc>
        <w:tc>
          <w:tcPr>
            <w:tcW w:w="1348" w:type="pct"/>
            <w:shd w:val="clear" w:color="auto" w:fill="auto"/>
            <w:hideMark/>
          </w:tcPr>
          <w:p w14:paraId="44CB0995" w14:textId="77777777" w:rsidR="005F7A91" w:rsidRDefault="007C7639">
            <w:pPr>
              <w:tabs>
                <w:tab w:val="clear" w:pos="567"/>
              </w:tabs>
              <w:spacing w:line="240" w:lineRule="auto"/>
              <w:jc w:val="both"/>
              <w:rPr>
                <w:b/>
                <w:szCs w:val="22"/>
                <w:lang w:val="sl-SI" w:eastAsia="sl-SI"/>
              </w:rPr>
            </w:pPr>
            <w:r>
              <w:rPr>
                <w:b/>
                <w:szCs w:val="22"/>
                <w:lang w:val="sl-SI"/>
              </w:rPr>
              <w:t>Rivaroksaban</w:t>
            </w:r>
            <w:r>
              <w:rPr>
                <w:b/>
                <w:bCs/>
                <w:szCs w:val="22"/>
                <w:vertAlign w:val="superscript"/>
                <w:lang w:val="sl-SI" w:eastAsia="sl-SI"/>
              </w:rPr>
              <w:t>a)</w:t>
            </w:r>
          </w:p>
          <w:p w14:paraId="3C3B8553" w14:textId="77777777" w:rsidR="005F7A91" w:rsidRDefault="007C7639">
            <w:pPr>
              <w:tabs>
                <w:tab w:val="clear" w:pos="567"/>
              </w:tabs>
              <w:spacing w:line="240" w:lineRule="auto"/>
              <w:jc w:val="both"/>
              <w:rPr>
                <w:b/>
                <w:szCs w:val="22"/>
                <w:lang w:val="sl-SI" w:eastAsia="sl-SI"/>
              </w:rPr>
            </w:pPr>
            <w:r>
              <w:rPr>
                <w:b/>
                <w:bCs/>
                <w:szCs w:val="22"/>
                <w:lang w:val="sl-SI" w:eastAsia="sl-SI"/>
              </w:rPr>
              <w:t>3, 6 ili 12 mjeseci</w:t>
            </w:r>
          </w:p>
          <w:p w14:paraId="5276A614" w14:textId="77777777" w:rsidR="005F7A91" w:rsidRDefault="007C7639">
            <w:pPr>
              <w:tabs>
                <w:tab w:val="clear" w:pos="567"/>
              </w:tabs>
              <w:spacing w:line="240" w:lineRule="auto"/>
              <w:jc w:val="both"/>
              <w:rPr>
                <w:b/>
                <w:szCs w:val="22"/>
                <w:lang w:val="sl-SI" w:eastAsia="sl-SI"/>
              </w:rPr>
            </w:pPr>
            <w:r>
              <w:rPr>
                <w:b/>
                <w:bCs/>
                <w:szCs w:val="22"/>
                <w:lang w:val="sl-SI" w:eastAsia="sl-SI"/>
              </w:rPr>
              <w:t>N=2419</w:t>
            </w:r>
          </w:p>
        </w:tc>
        <w:tc>
          <w:tcPr>
            <w:tcW w:w="1347" w:type="pct"/>
            <w:shd w:val="clear" w:color="auto" w:fill="auto"/>
            <w:hideMark/>
          </w:tcPr>
          <w:p w14:paraId="2CCE40CE" w14:textId="77777777" w:rsidR="005F7A91" w:rsidRDefault="007C7639">
            <w:pPr>
              <w:tabs>
                <w:tab w:val="clear" w:pos="567"/>
              </w:tabs>
              <w:spacing w:line="240" w:lineRule="auto"/>
              <w:jc w:val="both"/>
              <w:rPr>
                <w:szCs w:val="22"/>
                <w:lang w:val="sl-SI" w:eastAsia="sl-SI"/>
              </w:rPr>
            </w:pPr>
            <w:r>
              <w:rPr>
                <w:b/>
                <w:bCs/>
                <w:szCs w:val="22"/>
                <w:lang w:val="sl-SI" w:eastAsia="sl-SI"/>
              </w:rPr>
              <w:t>Enoksaparin/VKA</w:t>
            </w:r>
            <w:r>
              <w:rPr>
                <w:b/>
                <w:bCs/>
                <w:szCs w:val="22"/>
                <w:vertAlign w:val="superscript"/>
                <w:lang w:val="sl-SI" w:eastAsia="sl-SI"/>
              </w:rPr>
              <w:t>b)</w:t>
            </w:r>
          </w:p>
          <w:p w14:paraId="7F98FC1E" w14:textId="77777777" w:rsidR="005F7A91" w:rsidRDefault="007C7639">
            <w:pPr>
              <w:tabs>
                <w:tab w:val="clear" w:pos="567"/>
              </w:tabs>
              <w:spacing w:line="240" w:lineRule="auto"/>
              <w:jc w:val="both"/>
              <w:rPr>
                <w:szCs w:val="22"/>
                <w:lang w:val="sl-SI" w:eastAsia="sl-SI"/>
              </w:rPr>
            </w:pPr>
            <w:r>
              <w:rPr>
                <w:b/>
                <w:bCs/>
                <w:szCs w:val="22"/>
                <w:lang w:val="sl-SI" w:eastAsia="sl-SI"/>
              </w:rPr>
              <w:t>3, 6 ili 12 mjeseci</w:t>
            </w:r>
          </w:p>
          <w:p w14:paraId="2B0D1092" w14:textId="77777777" w:rsidR="005F7A91" w:rsidRDefault="007C7639">
            <w:pPr>
              <w:tabs>
                <w:tab w:val="clear" w:pos="567"/>
              </w:tabs>
              <w:spacing w:line="240" w:lineRule="auto"/>
              <w:jc w:val="both"/>
              <w:rPr>
                <w:szCs w:val="22"/>
                <w:lang w:val="sl-SI" w:eastAsia="sl-SI"/>
              </w:rPr>
            </w:pPr>
            <w:r>
              <w:rPr>
                <w:b/>
                <w:bCs/>
                <w:szCs w:val="22"/>
                <w:lang w:val="sl-SI" w:eastAsia="sl-SI"/>
              </w:rPr>
              <w:t>N=2413</w:t>
            </w:r>
          </w:p>
        </w:tc>
      </w:tr>
      <w:tr w:rsidR="005F7A91" w14:paraId="26215A14" w14:textId="77777777">
        <w:tc>
          <w:tcPr>
            <w:tcW w:w="2305" w:type="pct"/>
            <w:shd w:val="clear" w:color="auto" w:fill="auto"/>
            <w:hideMark/>
          </w:tcPr>
          <w:p w14:paraId="00BEA84F" w14:textId="77777777" w:rsidR="005F7A91" w:rsidRDefault="007C7639">
            <w:pPr>
              <w:tabs>
                <w:tab w:val="clear" w:pos="567"/>
              </w:tabs>
              <w:spacing w:line="240" w:lineRule="auto"/>
              <w:jc w:val="both"/>
              <w:rPr>
                <w:szCs w:val="22"/>
                <w:lang w:val="sl-SI" w:eastAsia="sl-SI"/>
              </w:rPr>
            </w:pPr>
            <w:r>
              <w:rPr>
                <w:szCs w:val="22"/>
                <w:lang w:val="sl-SI" w:eastAsia="sl-SI"/>
              </w:rPr>
              <w:t>Simptomatska rekurentna VTE*</w:t>
            </w:r>
          </w:p>
        </w:tc>
        <w:tc>
          <w:tcPr>
            <w:tcW w:w="1348" w:type="pct"/>
            <w:shd w:val="clear" w:color="auto" w:fill="auto"/>
            <w:hideMark/>
          </w:tcPr>
          <w:p w14:paraId="2D4BA1E9" w14:textId="77777777" w:rsidR="005F7A91" w:rsidRDefault="007C7639">
            <w:pPr>
              <w:tabs>
                <w:tab w:val="clear" w:pos="567"/>
              </w:tabs>
              <w:spacing w:line="240" w:lineRule="auto"/>
              <w:jc w:val="both"/>
              <w:rPr>
                <w:szCs w:val="22"/>
                <w:lang w:val="sl-SI" w:eastAsia="sl-SI"/>
              </w:rPr>
            </w:pPr>
            <w:r>
              <w:rPr>
                <w:szCs w:val="22"/>
                <w:lang w:val="sl-SI" w:eastAsia="sl-SI"/>
              </w:rPr>
              <w:t>50</w:t>
            </w:r>
          </w:p>
          <w:p w14:paraId="498F3EDD" w14:textId="77777777" w:rsidR="005F7A91" w:rsidRDefault="007C7639">
            <w:pPr>
              <w:tabs>
                <w:tab w:val="clear" w:pos="567"/>
              </w:tabs>
              <w:spacing w:line="240" w:lineRule="auto"/>
              <w:jc w:val="both"/>
              <w:rPr>
                <w:szCs w:val="22"/>
                <w:lang w:val="sl-SI" w:eastAsia="sl-SI"/>
              </w:rPr>
            </w:pPr>
            <w:r>
              <w:rPr>
                <w:szCs w:val="22"/>
                <w:lang w:val="sl-SI" w:eastAsia="sl-SI"/>
              </w:rPr>
              <w:t>(2,1%)</w:t>
            </w:r>
          </w:p>
        </w:tc>
        <w:tc>
          <w:tcPr>
            <w:tcW w:w="1347" w:type="pct"/>
            <w:shd w:val="clear" w:color="auto" w:fill="auto"/>
            <w:hideMark/>
          </w:tcPr>
          <w:p w14:paraId="176B73C0" w14:textId="77777777" w:rsidR="005F7A91" w:rsidRDefault="007C7639">
            <w:pPr>
              <w:tabs>
                <w:tab w:val="clear" w:pos="567"/>
              </w:tabs>
              <w:spacing w:line="240" w:lineRule="auto"/>
              <w:jc w:val="both"/>
              <w:rPr>
                <w:szCs w:val="22"/>
                <w:lang w:val="sl-SI" w:eastAsia="sl-SI"/>
              </w:rPr>
            </w:pPr>
            <w:r>
              <w:rPr>
                <w:szCs w:val="22"/>
                <w:lang w:val="sl-SI" w:eastAsia="sl-SI"/>
              </w:rPr>
              <w:t>44</w:t>
            </w:r>
          </w:p>
          <w:p w14:paraId="10444540" w14:textId="77777777" w:rsidR="005F7A91" w:rsidRDefault="007C7639">
            <w:pPr>
              <w:tabs>
                <w:tab w:val="clear" w:pos="567"/>
              </w:tabs>
              <w:spacing w:line="240" w:lineRule="auto"/>
              <w:jc w:val="both"/>
              <w:rPr>
                <w:szCs w:val="22"/>
                <w:lang w:val="sl-SI" w:eastAsia="sl-SI"/>
              </w:rPr>
            </w:pPr>
            <w:r>
              <w:rPr>
                <w:szCs w:val="22"/>
                <w:lang w:val="sl-SI" w:eastAsia="sl-SI"/>
              </w:rPr>
              <w:t>(1,8%)</w:t>
            </w:r>
          </w:p>
        </w:tc>
      </w:tr>
      <w:tr w:rsidR="005F7A91" w14:paraId="28026DCB" w14:textId="77777777">
        <w:tc>
          <w:tcPr>
            <w:tcW w:w="2305" w:type="pct"/>
            <w:shd w:val="clear" w:color="auto" w:fill="auto"/>
            <w:hideMark/>
          </w:tcPr>
          <w:p w14:paraId="68898316" w14:textId="77777777" w:rsidR="005F7A91" w:rsidRDefault="007C7639">
            <w:pPr>
              <w:tabs>
                <w:tab w:val="clear" w:pos="567"/>
              </w:tabs>
              <w:spacing w:line="240" w:lineRule="auto"/>
              <w:ind w:left="567"/>
              <w:jc w:val="both"/>
              <w:rPr>
                <w:szCs w:val="22"/>
                <w:lang w:val="sl-SI" w:eastAsia="sl-SI"/>
              </w:rPr>
            </w:pPr>
            <w:r>
              <w:rPr>
                <w:szCs w:val="22"/>
                <w:lang w:val="sl-SI" w:eastAsia="sl-SI"/>
              </w:rPr>
              <w:t>Simptomatska rekurentna PE</w:t>
            </w:r>
          </w:p>
        </w:tc>
        <w:tc>
          <w:tcPr>
            <w:tcW w:w="1348" w:type="pct"/>
            <w:shd w:val="clear" w:color="auto" w:fill="auto"/>
            <w:hideMark/>
          </w:tcPr>
          <w:p w14:paraId="7E76CA51" w14:textId="77777777" w:rsidR="005F7A91" w:rsidRDefault="007C7639">
            <w:pPr>
              <w:tabs>
                <w:tab w:val="clear" w:pos="567"/>
              </w:tabs>
              <w:spacing w:line="240" w:lineRule="auto"/>
              <w:jc w:val="both"/>
              <w:rPr>
                <w:szCs w:val="22"/>
                <w:lang w:val="sl-SI" w:eastAsia="sl-SI"/>
              </w:rPr>
            </w:pPr>
            <w:r>
              <w:rPr>
                <w:szCs w:val="22"/>
                <w:lang w:val="sl-SI" w:eastAsia="sl-SI"/>
              </w:rPr>
              <w:t>23</w:t>
            </w:r>
          </w:p>
          <w:p w14:paraId="2E3C71C6" w14:textId="77777777" w:rsidR="005F7A91" w:rsidRDefault="007C7639">
            <w:pPr>
              <w:tabs>
                <w:tab w:val="clear" w:pos="567"/>
              </w:tabs>
              <w:spacing w:line="240" w:lineRule="auto"/>
              <w:jc w:val="both"/>
              <w:rPr>
                <w:szCs w:val="22"/>
                <w:lang w:val="sl-SI" w:eastAsia="sl-SI"/>
              </w:rPr>
            </w:pPr>
            <w:r>
              <w:rPr>
                <w:szCs w:val="22"/>
                <w:lang w:val="sl-SI" w:eastAsia="sl-SI"/>
              </w:rPr>
              <w:t>(1,0%)</w:t>
            </w:r>
          </w:p>
        </w:tc>
        <w:tc>
          <w:tcPr>
            <w:tcW w:w="1347" w:type="pct"/>
            <w:shd w:val="clear" w:color="auto" w:fill="auto"/>
            <w:hideMark/>
          </w:tcPr>
          <w:p w14:paraId="5FE58594" w14:textId="77777777" w:rsidR="005F7A91" w:rsidRDefault="007C7639">
            <w:pPr>
              <w:tabs>
                <w:tab w:val="clear" w:pos="567"/>
              </w:tabs>
              <w:spacing w:line="240" w:lineRule="auto"/>
              <w:jc w:val="both"/>
              <w:rPr>
                <w:szCs w:val="22"/>
                <w:lang w:val="sl-SI" w:eastAsia="sl-SI"/>
              </w:rPr>
            </w:pPr>
            <w:r>
              <w:rPr>
                <w:szCs w:val="22"/>
                <w:lang w:val="sl-SI" w:eastAsia="sl-SI"/>
              </w:rPr>
              <w:t>20</w:t>
            </w:r>
          </w:p>
          <w:p w14:paraId="03427801" w14:textId="77777777" w:rsidR="005F7A91" w:rsidRDefault="007C7639">
            <w:pPr>
              <w:tabs>
                <w:tab w:val="clear" w:pos="567"/>
              </w:tabs>
              <w:spacing w:line="240" w:lineRule="auto"/>
              <w:jc w:val="both"/>
              <w:rPr>
                <w:szCs w:val="22"/>
                <w:lang w:val="sl-SI" w:eastAsia="sl-SI"/>
              </w:rPr>
            </w:pPr>
            <w:r>
              <w:rPr>
                <w:szCs w:val="22"/>
                <w:lang w:val="sl-SI" w:eastAsia="sl-SI"/>
              </w:rPr>
              <w:t>(0,8%)</w:t>
            </w:r>
          </w:p>
        </w:tc>
      </w:tr>
      <w:tr w:rsidR="005F7A91" w14:paraId="28D96915" w14:textId="77777777">
        <w:tc>
          <w:tcPr>
            <w:tcW w:w="2305" w:type="pct"/>
            <w:shd w:val="clear" w:color="auto" w:fill="auto"/>
            <w:hideMark/>
          </w:tcPr>
          <w:p w14:paraId="003ADDC4" w14:textId="77777777" w:rsidR="005F7A91" w:rsidRDefault="007C7639">
            <w:pPr>
              <w:tabs>
                <w:tab w:val="clear" w:pos="567"/>
              </w:tabs>
              <w:spacing w:line="240" w:lineRule="auto"/>
              <w:ind w:left="567"/>
              <w:jc w:val="both"/>
              <w:rPr>
                <w:szCs w:val="22"/>
                <w:lang w:val="sl-SI" w:eastAsia="sl-SI"/>
              </w:rPr>
            </w:pPr>
            <w:r>
              <w:rPr>
                <w:szCs w:val="22"/>
                <w:lang w:val="sl-SI" w:eastAsia="sl-SI"/>
              </w:rPr>
              <w:t>Simptomatska rekurentna TDV</w:t>
            </w:r>
          </w:p>
        </w:tc>
        <w:tc>
          <w:tcPr>
            <w:tcW w:w="1348" w:type="pct"/>
            <w:shd w:val="clear" w:color="auto" w:fill="auto"/>
            <w:hideMark/>
          </w:tcPr>
          <w:p w14:paraId="6D5A6A96" w14:textId="77777777" w:rsidR="005F7A91" w:rsidRDefault="007C7639">
            <w:pPr>
              <w:tabs>
                <w:tab w:val="clear" w:pos="567"/>
              </w:tabs>
              <w:spacing w:line="240" w:lineRule="auto"/>
              <w:jc w:val="both"/>
              <w:rPr>
                <w:szCs w:val="22"/>
                <w:lang w:val="sl-SI" w:eastAsia="sl-SI"/>
              </w:rPr>
            </w:pPr>
            <w:r>
              <w:rPr>
                <w:szCs w:val="22"/>
                <w:lang w:val="sl-SI" w:eastAsia="sl-SI"/>
              </w:rPr>
              <w:t>18</w:t>
            </w:r>
          </w:p>
          <w:p w14:paraId="40B7FA26" w14:textId="77777777" w:rsidR="005F7A91" w:rsidRDefault="007C7639">
            <w:pPr>
              <w:tabs>
                <w:tab w:val="clear" w:pos="567"/>
              </w:tabs>
              <w:spacing w:line="240" w:lineRule="auto"/>
              <w:jc w:val="both"/>
              <w:rPr>
                <w:szCs w:val="22"/>
                <w:lang w:val="sl-SI" w:eastAsia="sl-SI"/>
              </w:rPr>
            </w:pPr>
            <w:r>
              <w:rPr>
                <w:szCs w:val="22"/>
                <w:lang w:val="sl-SI" w:eastAsia="sl-SI"/>
              </w:rPr>
              <w:t>(0,7%)</w:t>
            </w:r>
          </w:p>
        </w:tc>
        <w:tc>
          <w:tcPr>
            <w:tcW w:w="1347" w:type="pct"/>
            <w:shd w:val="clear" w:color="auto" w:fill="auto"/>
            <w:hideMark/>
          </w:tcPr>
          <w:p w14:paraId="6D045D31" w14:textId="77777777" w:rsidR="005F7A91" w:rsidRDefault="007C7639">
            <w:pPr>
              <w:tabs>
                <w:tab w:val="clear" w:pos="567"/>
              </w:tabs>
              <w:spacing w:line="240" w:lineRule="auto"/>
              <w:jc w:val="both"/>
              <w:rPr>
                <w:szCs w:val="22"/>
                <w:lang w:val="sl-SI" w:eastAsia="sl-SI"/>
              </w:rPr>
            </w:pPr>
            <w:r>
              <w:rPr>
                <w:szCs w:val="22"/>
                <w:lang w:val="sl-SI" w:eastAsia="sl-SI"/>
              </w:rPr>
              <w:t>17</w:t>
            </w:r>
          </w:p>
          <w:p w14:paraId="5B781563" w14:textId="77777777" w:rsidR="005F7A91" w:rsidRDefault="007C7639">
            <w:pPr>
              <w:tabs>
                <w:tab w:val="clear" w:pos="567"/>
              </w:tabs>
              <w:spacing w:line="240" w:lineRule="auto"/>
              <w:jc w:val="both"/>
              <w:rPr>
                <w:szCs w:val="22"/>
                <w:lang w:val="sl-SI" w:eastAsia="sl-SI"/>
              </w:rPr>
            </w:pPr>
            <w:r>
              <w:rPr>
                <w:szCs w:val="22"/>
                <w:lang w:val="sl-SI" w:eastAsia="sl-SI"/>
              </w:rPr>
              <w:t>(0,7%)</w:t>
            </w:r>
          </w:p>
        </w:tc>
      </w:tr>
      <w:tr w:rsidR="005F7A91" w14:paraId="2153B968" w14:textId="77777777">
        <w:tc>
          <w:tcPr>
            <w:tcW w:w="2305" w:type="pct"/>
            <w:shd w:val="clear" w:color="auto" w:fill="auto"/>
            <w:hideMark/>
          </w:tcPr>
          <w:p w14:paraId="37A1169B" w14:textId="77777777" w:rsidR="005F7A91" w:rsidRDefault="007C7639">
            <w:pPr>
              <w:tabs>
                <w:tab w:val="clear" w:pos="567"/>
              </w:tabs>
              <w:spacing w:line="240" w:lineRule="auto"/>
              <w:ind w:left="567"/>
              <w:jc w:val="both"/>
              <w:rPr>
                <w:szCs w:val="22"/>
                <w:lang w:val="sl-SI" w:eastAsia="sl-SI"/>
              </w:rPr>
            </w:pPr>
            <w:r>
              <w:rPr>
                <w:szCs w:val="22"/>
                <w:lang w:val="sl-SI" w:eastAsia="sl-SI"/>
              </w:rPr>
              <w:t>Simptomatska PE i TDV</w:t>
            </w:r>
          </w:p>
        </w:tc>
        <w:tc>
          <w:tcPr>
            <w:tcW w:w="1348" w:type="pct"/>
            <w:shd w:val="clear" w:color="auto" w:fill="auto"/>
            <w:hideMark/>
          </w:tcPr>
          <w:p w14:paraId="39ED1931" w14:textId="77777777" w:rsidR="005F7A91" w:rsidRDefault="007C7639">
            <w:pPr>
              <w:tabs>
                <w:tab w:val="clear" w:pos="567"/>
              </w:tabs>
              <w:spacing w:line="240" w:lineRule="auto"/>
              <w:jc w:val="both"/>
              <w:rPr>
                <w:szCs w:val="22"/>
                <w:lang w:val="sl-SI" w:eastAsia="sl-SI"/>
              </w:rPr>
            </w:pPr>
            <w:r>
              <w:rPr>
                <w:szCs w:val="22"/>
                <w:lang w:val="sl-SI" w:eastAsia="sl-SI"/>
              </w:rPr>
              <w:t>0</w:t>
            </w:r>
          </w:p>
        </w:tc>
        <w:tc>
          <w:tcPr>
            <w:tcW w:w="1347" w:type="pct"/>
            <w:shd w:val="clear" w:color="auto" w:fill="auto"/>
            <w:hideMark/>
          </w:tcPr>
          <w:p w14:paraId="57EC4152" w14:textId="77777777" w:rsidR="005F7A91" w:rsidRDefault="007C7639">
            <w:pPr>
              <w:tabs>
                <w:tab w:val="clear" w:pos="567"/>
              </w:tabs>
              <w:spacing w:line="240" w:lineRule="auto"/>
              <w:jc w:val="both"/>
              <w:rPr>
                <w:szCs w:val="22"/>
                <w:lang w:val="sl-SI" w:eastAsia="sl-SI"/>
              </w:rPr>
            </w:pPr>
            <w:r>
              <w:rPr>
                <w:szCs w:val="22"/>
                <w:lang w:val="sl-SI" w:eastAsia="sl-SI"/>
              </w:rPr>
              <w:t>2</w:t>
            </w:r>
          </w:p>
          <w:p w14:paraId="1D92BC6F" w14:textId="77777777" w:rsidR="005F7A91" w:rsidRDefault="007C7639">
            <w:pPr>
              <w:tabs>
                <w:tab w:val="clear" w:pos="567"/>
              </w:tabs>
              <w:spacing w:line="240" w:lineRule="auto"/>
              <w:jc w:val="both"/>
              <w:rPr>
                <w:szCs w:val="22"/>
                <w:lang w:val="sl-SI" w:eastAsia="sl-SI"/>
              </w:rPr>
            </w:pPr>
            <w:r>
              <w:rPr>
                <w:szCs w:val="22"/>
                <w:lang w:val="sl-SI" w:eastAsia="sl-SI"/>
              </w:rPr>
              <w:t>(&lt;0,1%)</w:t>
            </w:r>
          </w:p>
        </w:tc>
      </w:tr>
      <w:tr w:rsidR="005F7A91" w14:paraId="3E7DD5FF" w14:textId="77777777">
        <w:tc>
          <w:tcPr>
            <w:tcW w:w="2305" w:type="pct"/>
            <w:shd w:val="clear" w:color="auto" w:fill="auto"/>
            <w:hideMark/>
          </w:tcPr>
          <w:p w14:paraId="23FC7E69" w14:textId="77777777" w:rsidR="005F7A91" w:rsidRDefault="007C7639">
            <w:pPr>
              <w:tabs>
                <w:tab w:val="clear" w:pos="567"/>
              </w:tabs>
              <w:spacing w:line="240" w:lineRule="auto"/>
              <w:ind w:left="567"/>
              <w:jc w:val="both"/>
              <w:rPr>
                <w:szCs w:val="22"/>
                <w:lang w:val="sl-SI" w:eastAsia="sl-SI"/>
              </w:rPr>
            </w:pPr>
            <w:r>
              <w:rPr>
                <w:szCs w:val="22"/>
                <w:lang w:val="sl-SI" w:eastAsia="sl-SI"/>
              </w:rPr>
              <w:t>Fatalna PE/smrt za koju se ne može isključiti PE</w:t>
            </w:r>
          </w:p>
        </w:tc>
        <w:tc>
          <w:tcPr>
            <w:tcW w:w="1348" w:type="pct"/>
            <w:shd w:val="clear" w:color="auto" w:fill="auto"/>
            <w:hideMark/>
          </w:tcPr>
          <w:p w14:paraId="288A3B64" w14:textId="77777777" w:rsidR="005F7A91" w:rsidRDefault="007C7639">
            <w:pPr>
              <w:tabs>
                <w:tab w:val="clear" w:pos="567"/>
              </w:tabs>
              <w:spacing w:line="240" w:lineRule="auto"/>
              <w:jc w:val="both"/>
              <w:rPr>
                <w:szCs w:val="22"/>
                <w:lang w:val="sl-SI" w:eastAsia="sl-SI"/>
              </w:rPr>
            </w:pPr>
            <w:r>
              <w:rPr>
                <w:szCs w:val="22"/>
                <w:lang w:val="sl-SI" w:eastAsia="sl-SI"/>
              </w:rPr>
              <w:t>11</w:t>
            </w:r>
          </w:p>
          <w:p w14:paraId="5A153C79" w14:textId="77777777" w:rsidR="005F7A91" w:rsidRDefault="007C7639">
            <w:pPr>
              <w:tabs>
                <w:tab w:val="clear" w:pos="567"/>
              </w:tabs>
              <w:spacing w:line="240" w:lineRule="auto"/>
              <w:jc w:val="both"/>
              <w:rPr>
                <w:szCs w:val="22"/>
                <w:lang w:val="sl-SI" w:eastAsia="sl-SI"/>
              </w:rPr>
            </w:pPr>
            <w:r>
              <w:rPr>
                <w:szCs w:val="22"/>
                <w:lang w:val="sl-SI" w:eastAsia="sl-SI"/>
              </w:rPr>
              <w:t>(0,5%)</w:t>
            </w:r>
          </w:p>
        </w:tc>
        <w:tc>
          <w:tcPr>
            <w:tcW w:w="1347" w:type="pct"/>
            <w:shd w:val="clear" w:color="auto" w:fill="auto"/>
            <w:hideMark/>
          </w:tcPr>
          <w:p w14:paraId="7BBDE34B" w14:textId="77777777" w:rsidR="005F7A91" w:rsidRDefault="007C7639">
            <w:pPr>
              <w:tabs>
                <w:tab w:val="clear" w:pos="567"/>
              </w:tabs>
              <w:spacing w:line="240" w:lineRule="auto"/>
              <w:jc w:val="both"/>
              <w:rPr>
                <w:szCs w:val="22"/>
                <w:lang w:val="sl-SI" w:eastAsia="sl-SI"/>
              </w:rPr>
            </w:pPr>
            <w:r>
              <w:rPr>
                <w:szCs w:val="22"/>
                <w:lang w:val="sl-SI" w:eastAsia="sl-SI"/>
              </w:rPr>
              <w:t>7</w:t>
            </w:r>
          </w:p>
          <w:p w14:paraId="3EC59F52" w14:textId="77777777" w:rsidR="005F7A91" w:rsidRDefault="007C7639">
            <w:pPr>
              <w:tabs>
                <w:tab w:val="clear" w:pos="567"/>
              </w:tabs>
              <w:spacing w:line="240" w:lineRule="auto"/>
              <w:jc w:val="both"/>
              <w:rPr>
                <w:szCs w:val="22"/>
                <w:lang w:val="sl-SI" w:eastAsia="sl-SI"/>
              </w:rPr>
            </w:pPr>
            <w:r>
              <w:rPr>
                <w:szCs w:val="22"/>
                <w:lang w:val="sl-SI" w:eastAsia="sl-SI"/>
              </w:rPr>
              <w:t>(0,3%)</w:t>
            </w:r>
          </w:p>
        </w:tc>
      </w:tr>
      <w:tr w:rsidR="005F7A91" w14:paraId="64BA75C5" w14:textId="77777777">
        <w:tc>
          <w:tcPr>
            <w:tcW w:w="2305" w:type="pct"/>
            <w:shd w:val="clear" w:color="auto" w:fill="auto"/>
            <w:hideMark/>
          </w:tcPr>
          <w:p w14:paraId="7C875CDE"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Velika krvarenja ili klinički relevantna krvarenja koja nisu klasifikovana kao velika </w:t>
            </w:r>
          </w:p>
        </w:tc>
        <w:tc>
          <w:tcPr>
            <w:tcW w:w="1348" w:type="pct"/>
            <w:shd w:val="clear" w:color="auto" w:fill="auto"/>
            <w:hideMark/>
          </w:tcPr>
          <w:p w14:paraId="7002AA8E" w14:textId="77777777" w:rsidR="005F7A91" w:rsidRDefault="007C7639">
            <w:pPr>
              <w:tabs>
                <w:tab w:val="clear" w:pos="567"/>
              </w:tabs>
              <w:spacing w:line="240" w:lineRule="auto"/>
              <w:jc w:val="both"/>
              <w:rPr>
                <w:szCs w:val="22"/>
                <w:lang w:val="sl-SI" w:eastAsia="sl-SI"/>
              </w:rPr>
            </w:pPr>
            <w:r>
              <w:rPr>
                <w:szCs w:val="22"/>
                <w:lang w:val="sl-SI" w:eastAsia="sl-SI"/>
              </w:rPr>
              <w:t>249</w:t>
            </w:r>
          </w:p>
          <w:p w14:paraId="3155F7CF" w14:textId="77777777" w:rsidR="005F7A91" w:rsidRDefault="007C7639">
            <w:pPr>
              <w:tabs>
                <w:tab w:val="clear" w:pos="567"/>
              </w:tabs>
              <w:spacing w:line="240" w:lineRule="auto"/>
              <w:jc w:val="both"/>
              <w:rPr>
                <w:szCs w:val="22"/>
                <w:lang w:val="sl-SI" w:eastAsia="sl-SI"/>
              </w:rPr>
            </w:pPr>
            <w:r>
              <w:rPr>
                <w:szCs w:val="22"/>
                <w:lang w:val="sl-SI" w:eastAsia="sl-SI"/>
              </w:rPr>
              <w:t>(10,3%)</w:t>
            </w:r>
          </w:p>
        </w:tc>
        <w:tc>
          <w:tcPr>
            <w:tcW w:w="1347" w:type="pct"/>
            <w:shd w:val="clear" w:color="auto" w:fill="auto"/>
            <w:hideMark/>
          </w:tcPr>
          <w:p w14:paraId="4A107B2B" w14:textId="77777777" w:rsidR="005F7A91" w:rsidRDefault="007C7639">
            <w:pPr>
              <w:tabs>
                <w:tab w:val="clear" w:pos="567"/>
              </w:tabs>
              <w:spacing w:line="240" w:lineRule="auto"/>
              <w:jc w:val="both"/>
              <w:rPr>
                <w:szCs w:val="22"/>
                <w:lang w:val="sl-SI" w:eastAsia="sl-SI"/>
              </w:rPr>
            </w:pPr>
            <w:r>
              <w:rPr>
                <w:szCs w:val="22"/>
                <w:lang w:val="sl-SI" w:eastAsia="sl-SI"/>
              </w:rPr>
              <w:t>274</w:t>
            </w:r>
          </w:p>
          <w:p w14:paraId="7551F895" w14:textId="77777777" w:rsidR="005F7A91" w:rsidRDefault="007C7639">
            <w:pPr>
              <w:tabs>
                <w:tab w:val="clear" w:pos="567"/>
              </w:tabs>
              <w:spacing w:line="240" w:lineRule="auto"/>
              <w:jc w:val="both"/>
              <w:rPr>
                <w:szCs w:val="22"/>
                <w:lang w:val="sl-SI" w:eastAsia="sl-SI"/>
              </w:rPr>
            </w:pPr>
            <w:r>
              <w:rPr>
                <w:szCs w:val="22"/>
                <w:lang w:val="sl-SI" w:eastAsia="sl-SI"/>
              </w:rPr>
              <w:t>(11,4%)</w:t>
            </w:r>
          </w:p>
        </w:tc>
      </w:tr>
      <w:tr w:rsidR="005F7A91" w14:paraId="5AD282EA" w14:textId="77777777">
        <w:tc>
          <w:tcPr>
            <w:tcW w:w="2305" w:type="pct"/>
            <w:shd w:val="clear" w:color="auto" w:fill="auto"/>
            <w:hideMark/>
          </w:tcPr>
          <w:p w14:paraId="6044FA54"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Velika krvarenja</w:t>
            </w:r>
          </w:p>
        </w:tc>
        <w:tc>
          <w:tcPr>
            <w:tcW w:w="1348" w:type="pct"/>
            <w:shd w:val="clear" w:color="auto" w:fill="auto"/>
            <w:hideMark/>
          </w:tcPr>
          <w:p w14:paraId="51445AB5" w14:textId="77777777" w:rsidR="005F7A91" w:rsidRDefault="007C7639">
            <w:pPr>
              <w:tabs>
                <w:tab w:val="clear" w:pos="567"/>
              </w:tabs>
              <w:spacing w:line="240" w:lineRule="auto"/>
              <w:jc w:val="both"/>
              <w:rPr>
                <w:szCs w:val="22"/>
                <w:lang w:val="sl-SI" w:eastAsia="sl-SI"/>
              </w:rPr>
            </w:pPr>
            <w:r>
              <w:rPr>
                <w:szCs w:val="22"/>
                <w:lang w:val="sl-SI" w:eastAsia="sl-SI"/>
              </w:rPr>
              <w:t>26</w:t>
            </w:r>
          </w:p>
          <w:p w14:paraId="4658A4B3" w14:textId="77777777" w:rsidR="005F7A91" w:rsidRDefault="007C7639">
            <w:pPr>
              <w:tabs>
                <w:tab w:val="clear" w:pos="567"/>
              </w:tabs>
              <w:spacing w:line="240" w:lineRule="auto"/>
              <w:jc w:val="both"/>
              <w:rPr>
                <w:szCs w:val="22"/>
                <w:lang w:val="sl-SI" w:eastAsia="sl-SI"/>
              </w:rPr>
            </w:pPr>
            <w:r>
              <w:rPr>
                <w:szCs w:val="22"/>
                <w:lang w:val="sl-SI" w:eastAsia="sl-SI"/>
              </w:rPr>
              <w:t>(1,1%)</w:t>
            </w:r>
          </w:p>
        </w:tc>
        <w:tc>
          <w:tcPr>
            <w:tcW w:w="1347" w:type="pct"/>
            <w:shd w:val="clear" w:color="auto" w:fill="auto"/>
            <w:hideMark/>
          </w:tcPr>
          <w:p w14:paraId="51B343CA" w14:textId="77777777" w:rsidR="005F7A91" w:rsidRDefault="007C7639">
            <w:pPr>
              <w:tabs>
                <w:tab w:val="clear" w:pos="567"/>
              </w:tabs>
              <w:spacing w:line="240" w:lineRule="auto"/>
              <w:jc w:val="both"/>
              <w:rPr>
                <w:szCs w:val="22"/>
                <w:lang w:val="sl-SI" w:eastAsia="sl-SI"/>
              </w:rPr>
            </w:pPr>
            <w:r>
              <w:rPr>
                <w:szCs w:val="22"/>
                <w:lang w:val="sl-SI" w:eastAsia="sl-SI"/>
              </w:rPr>
              <w:t>52</w:t>
            </w:r>
          </w:p>
          <w:p w14:paraId="653C7146" w14:textId="77777777" w:rsidR="005F7A91" w:rsidRDefault="007C7639">
            <w:pPr>
              <w:tabs>
                <w:tab w:val="clear" w:pos="567"/>
              </w:tabs>
              <w:spacing w:line="240" w:lineRule="auto"/>
              <w:jc w:val="both"/>
              <w:rPr>
                <w:szCs w:val="22"/>
                <w:lang w:val="sl-SI" w:eastAsia="sl-SI"/>
              </w:rPr>
            </w:pPr>
            <w:r>
              <w:rPr>
                <w:szCs w:val="22"/>
                <w:lang w:val="sl-SI" w:eastAsia="sl-SI"/>
              </w:rPr>
              <w:t>(2,2%)</w:t>
            </w:r>
          </w:p>
        </w:tc>
      </w:tr>
    </w:tbl>
    <w:p w14:paraId="58F527D8"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a) Rivaroksaban 15 mg dva puta na dan tokom 3 nedjelje, potom 20 mg jednom dnevno.</w:t>
      </w:r>
    </w:p>
    <w:p w14:paraId="50066555" w14:textId="77777777" w:rsidR="005F7A91" w:rsidRDefault="007C7639">
      <w:pPr>
        <w:shd w:val="clear" w:color="auto" w:fill="FFFFFF"/>
        <w:tabs>
          <w:tab w:val="clear" w:pos="567"/>
        </w:tabs>
        <w:spacing w:line="240" w:lineRule="auto"/>
        <w:jc w:val="both"/>
        <w:rPr>
          <w:szCs w:val="22"/>
          <w:lang w:val="sl-SI" w:eastAsia="sl-SI"/>
        </w:rPr>
      </w:pPr>
      <w:r>
        <w:rPr>
          <w:szCs w:val="22"/>
          <w:lang w:val="sl-SI" w:eastAsia="sl-SI"/>
        </w:rPr>
        <w:t>b) Enoksaparin tokom najmanje 5 dana, uz preklapanje i nastavak sa antagonistom vitamina K.</w:t>
      </w:r>
    </w:p>
    <w:p w14:paraId="206A3BE2" w14:textId="77777777" w:rsidR="005F7A91" w:rsidRDefault="007C7639">
      <w:pPr>
        <w:shd w:val="clear" w:color="auto" w:fill="FFFFFF"/>
        <w:tabs>
          <w:tab w:val="clear" w:pos="567"/>
        </w:tabs>
        <w:spacing w:line="240" w:lineRule="auto"/>
        <w:jc w:val="both"/>
        <w:rPr>
          <w:color w:val="000000"/>
          <w:szCs w:val="22"/>
          <w:lang w:val="sl-SI" w:eastAsia="sl-SI"/>
        </w:rPr>
      </w:pPr>
      <w:r>
        <w:rPr>
          <w:szCs w:val="22"/>
          <w:lang w:val="sl-SI" w:eastAsia="sl-SI"/>
        </w:rPr>
        <w:t xml:space="preserve">* p &lt; 0,0026 (neinferiornost u odnosu na predefinisani odnos rizika od 2,0); odnos rizika: 1,123 (0,749 </w:t>
      </w:r>
      <w:r>
        <w:rPr>
          <w:color w:val="000000"/>
          <w:szCs w:val="22"/>
          <w:lang w:val="sl-SI" w:eastAsia="sl-SI"/>
        </w:rPr>
        <w:t xml:space="preserve">- </w:t>
      </w:r>
      <w:r>
        <w:rPr>
          <w:szCs w:val="22"/>
          <w:lang w:val="sl-SI" w:eastAsia="sl-SI"/>
        </w:rPr>
        <w:t>1,684)</w:t>
      </w:r>
    </w:p>
    <w:p w14:paraId="268803F3" w14:textId="77777777" w:rsidR="005F7A91" w:rsidRDefault="005F7A91">
      <w:pPr>
        <w:shd w:val="clear" w:color="auto" w:fill="FFFFFF"/>
        <w:tabs>
          <w:tab w:val="clear" w:pos="567"/>
        </w:tabs>
        <w:spacing w:line="240" w:lineRule="auto"/>
        <w:jc w:val="both"/>
        <w:rPr>
          <w:color w:val="000000"/>
          <w:szCs w:val="22"/>
          <w:lang w:val="sl-SI" w:eastAsia="sl-SI"/>
        </w:rPr>
      </w:pPr>
    </w:p>
    <w:p w14:paraId="4B0C599E" w14:textId="77777777" w:rsidR="005F7A91" w:rsidRDefault="007C7639">
      <w:pPr>
        <w:shd w:val="clear" w:color="auto" w:fill="FFFFFF"/>
        <w:tabs>
          <w:tab w:val="clear" w:pos="567"/>
        </w:tabs>
        <w:spacing w:line="240" w:lineRule="auto"/>
        <w:jc w:val="both"/>
        <w:rPr>
          <w:color w:val="000000"/>
          <w:szCs w:val="22"/>
          <w:lang w:val="sl-SI" w:eastAsia="sl-SI"/>
        </w:rPr>
      </w:pPr>
      <w:r>
        <w:rPr>
          <w:szCs w:val="22"/>
          <w:lang w:val="sl-SI" w:eastAsia="sl-SI"/>
        </w:rPr>
        <w:t xml:space="preserve">Sprovedena je unaprijed definisana objedinjena analiza ishoda </w:t>
      </w:r>
      <w:r>
        <w:rPr>
          <w:i/>
          <w:szCs w:val="22"/>
          <w:lang w:val="sl-SI" w:eastAsia="sl-SI"/>
        </w:rPr>
        <w:t>Einstein</w:t>
      </w:r>
      <w:r>
        <w:rPr>
          <w:szCs w:val="22"/>
          <w:lang w:val="sl-SI" w:eastAsia="sl-SI"/>
        </w:rPr>
        <w:t xml:space="preserve"> DVT i </w:t>
      </w:r>
      <w:r>
        <w:rPr>
          <w:i/>
          <w:szCs w:val="22"/>
          <w:lang w:val="sl-SI" w:eastAsia="sl-SI"/>
        </w:rPr>
        <w:t>Einstein</w:t>
      </w:r>
      <w:r>
        <w:rPr>
          <w:szCs w:val="22"/>
          <w:lang w:val="sl-SI" w:eastAsia="sl-SI"/>
        </w:rPr>
        <w:t xml:space="preserve"> PE studija (vidjeti Tabelu 7).</w:t>
      </w:r>
    </w:p>
    <w:p w14:paraId="33D6E228" w14:textId="77777777" w:rsidR="005F7A91" w:rsidRDefault="005F7A91">
      <w:pPr>
        <w:shd w:val="clear" w:color="auto" w:fill="FFFFFF"/>
        <w:tabs>
          <w:tab w:val="clear" w:pos="567"/>
        </w:tabs>
        <w:spacing w:line="240" w:lineRule="auto"/>
        <w:jc w:val="both"/>
        <w:rPr>
          <w:bCs/>
          <w:color w:val="000000"/>
          <w:szCs w:val="22"/>
          <w:lang w:val="sl-SI" w:eastAsia="sl-SI"/>
        </w:rPr>
      </w:pPr>
    </w:p>
    <w:p w14:paraId="55AEF79D"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 xml:space="preserve">Tabela 7: Rezultati efikasnosti i bezbjednosti iz objedinjene analize ispitivanja faze III </w:t>
      </w:r>
      <w:r>
        <w:rPr>
          <w:b/>
          <w:bCs/>
          <w:i/>
          <w:color w:val="000000"/>
          <w:szCs w:val="22"/>
          <w:lang w:val="hr-HR" w:eastAsia="sl-SI"/>
        </w:rPr>
        <w:t>Einstein</w:t>
      </w:r>
      <w:r>
        <w:rPr>
          <w:b/>
          <w:bCs/>
          <w:color w:val="000000"/>
          <w:szCs w:val="22"/>
          <w:lang w:val="hr-HR" w:eastAsia="sl-SI"/>
        </w:rPr>
        <w:t xml:space="preserve"> DVT i </w:t>
      </w:r>
      <w:r>
        <w:rPr>
          <w:b/>
          <w:bCs/>
          <w:i/>
          <w:color w:val="000000"/>
          <w:szCs w:val="22"/>
          <w:lang w:val="hr-HR" w:eastAsia="sl-SI"/>
        </w:rPr>
        <w:t>Einstein</w:t>
      </w:r>
      <w:r>
        <w:rPr>
          <w:b/>
          <w:bCs/>
          <w:color w:val="000000"/>
          <w:szCs w:val="22"/>
          <w:lang w:val="hr-HR" w:eastAsia="sl-SI"/>
        </w:rPr>
        <w:t xml:space="preserve"> PE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0"/>
        <w:gridCol w:w="2551"/>
      </w:tblGrid>
      <w:tr w:rsidR="005F7A91" w14:paraId="4F1D1DA6" w14:textId="77777777">
        <w:tc>
          <w:tcPr>
            <w:tcW w:w="2305" w:type="pct"/>
            <w:shd w:val="clear" w:color="auto" w:fill="auto"/>
            <w:hideMark/>
          </w:tcPr>
          <w:p w14:paraId="345E2F22" w14:textId="77777777" w:rsidR="005F7A91" w:rsidRDefault="007C7639">
            <w:pPr>
              <w:tabs>
                <w:tab w:val="clear" w:pos="567"/>
              </w:tabs>
              <w:spacing w:line="240" w:lineRule="auto"/>
              <w:jc w:val="both"/>
              <w:rPr>
                <w:szCs w:val="22"/>
                <w:lang w:val="sl-SI" w:eastAsia="sl-SI"/>
              </w:rPr>
            </w:pPr>
            <w:r>
              <w:rPr>
                <w:b/>
                <w:szCs w:val="22"/>
                <w:lang w:val="sl-SI" w:eastAsia="sl-SI"/>
              </w:rPr>
              <w:t>Populacija u studiji</w:t>
            </w:r>
          </w:p>
        </w:tc>
        <w:tc>
          <w:tcPr>
            <w:tcW w:w="2695" w:type="pct"/>
            <w:gridSpan w:val="2"/>
            <w:shd w:val="clear" w:color="auto" w:fill="auto"/>
            <w:hideMark/>
          </w:tcPr>
          <w:p w14:paraId="1C42F0D0" w14:textId="77777777" w:rsidR="005F7A91" w:rsidRDefault="007C7639">
            <w:pPr>
              <w:tabs>
                <w:tab w:val="clear" w:pos="567"/>
              </w:tabs>
              <w:autoSpaceDE w:val="0"/>
              <w:autoSpaceDN w:val="0"/>
              <w:adjustRightInd w:val="0"/>
              <w:spacing w:line="240" w:lineRule="auto"/>
              <w:jc w:val="both"/>
              <w:rPr>
                <w:b/>
                <w:color w:val="000000"/>
                <w:szCs w:val="22"/>
                <w:lang w:val="hr-HR" w:eastAsia="sl-SI"/>
              </w:rPr>
            </w:pPr>
            <w:r>
              <w:rPr>
                <w:b/>
                <w:color w:val="000000"/>
                <w:szCs w:val="22"/>
                <w:lang w:val="hr-HR" w:eastAsia="sl-SI"/>
              </w:rPr>
              <w:t>8281 pacijent sa akutnom simptomatskom TDV ili PE</w:t>
            </w:r>
          </w:p>
        </w:tc>
      </w:tr>
      <w:tr w:rsidR="005F7A91" w14:paraId="39D754B2" w14:textId="77777777">
        <w:tc>
          <w:tcPr>
            <w:tcW w:w="2305" w:type="pct"/>
            <w:shd w:val="clear" w:color="auto" w:fill="auto"/>
            <w:hideMark/>
          </w:tcPr>
          <w:p w14:paraId="2B074B16" w14:textId="77777777" w:rsidR="005F7A91" w:rsidRDefault="007C7639">
            <w:pPr>
              <w:tabs>
                <w:tab w:val="clear" w:pos="567"/>
              </w:tabs>
              <w:spacing w:line="240" w:lineRule="auto"/>
              <w:jc w:val="both"/>
              <w:rPr>
                <w:szCs w:val="22"/>
                <w:lang w:val="sl-SI" w:eastAsia="sl-SI"/>
              </w:rPr>
            </w:pPr>
            <w:r>
              <w:rPr>
                <w:b/>
                <w:szCs w:val="22"/>
                <w:lang w:val="sl-SI" w:eastAsia="sl-SI"/>
              </w:rPr>
              <w:t>Terapijska doza i trajanje liječenja</w:t>
            </w:r>
          </w:p>
        </w:tc>
        <w:tc>
          <w:tcPr>
            <w:tcW w:w="1347" w:type="pct"/>
            <w:shd w:val="clear" w:color="auto" w:fill="auto"/>
            <w:hideMark/>
          </w:tcPr>
          <w:p w14:paraId="51D86667" w14:textId="77777777" w:rsidR="005F7A91" w:rsidRDefault="007C7639">
            <w:pPr>
              <w:tabs>
                <w:tab w:val="clear" w:pos="567"/>
              </w:tabs>
              <w:spacing w:line="240" w:lineRule="auto"/>
              <w:jc w:val="both"/>
              <w:rPr>
                <w:b/>
                <w:szCs w:val="22"/>
                <w:lang w:val="sl-SI" w:eastAsia="sl-SI"/>
              </w:rPr>
            </w:pPr>
            <w:r>
              <w:rPr>
                <w:b/>
                <w:szCs w:val="22"/>
                <w:lang w:val="sl-SI"/>
              </w:rPr>
              <w:t>Rivaroksaban</w:t>
            </w:r>
            <w:r>
              <w:rPr>
                <w:b/>
                <w:bCs/>
                <w:szCs w:val="22"/>
                <w:vertAlign w:val="superscript"/>
                <w:lang w:val="sl-SI" w:eastAsia="sl-SI"/>
              </w:rPr>
              <w:t>a)</w:t>
            </w:r>
          </w:p>
          <w:p w14:paraId="75DD6E55" w14:textId="77777777" w:rsidR="005F7A91" w:rsidRDefault="007C7639">
            <w:pPr>
              <w:tabs>
                <w:tab w:val="clear" w:pos="567"/>
              </w:tabs>
              <w:spacing w:line="240" w:lineRule="auto"/>
              <w:jc w:val="both"/>
              <w:rPr>
                <w:b/>
                <w:szCs w:val="22"/>
                <w:lang w:val="sl-SI" w:eastAsia="sl-SI"/>
              </w:rPr>
            </w:pPr>
            <w:r>
              <w:rPr>
                <w:b/>
                <w:bCs/>
                <w:szCs w:val="22"/>
                <w:lang w:val="sl-SI" w:eastAsia="sl-SI"/>
              </w:rPr>
              <w:t>3, 6 ili 12 mjeseci</w:t>
            </w:r>
          </w:p>
          <w:p w14:paraId="4ADEA8D1" w14:textId="77777777" w:rsidR="005F7A91" w:rsidRDefault="007C7639">
            <w:pPr>
              <w:tabs>
                <w:tab w:val="clear" w:pos="567"/>
              </w:tabs>
              <w:spacing w:line="240" w:lineRule="auto"/>
              <w:jc w:val="both"/>
              <w:rPr>
                <w:b/>
                <w:szCs w:val="22"/>
                <w:lang w:val="sl-SI" w:eastAsia="sl-SI"/>
              </w:rPr>
            </w:pPr>
            <w:r>
              <w:rPr>
                <w:b/>
                <w:bCs/>
                <w:szCs w:val="22"/>
                <w:lang w:val="sl-SI" w:eastAsia="sl-SI"/>
              </w:rPr>
              <w:t>N=4150</w:t>
            </w:r>
          </w:p>
        </w:tc>
        <w:tc>
          <w:tcPr>
            <w:tcW w:w="1348" w:type="pct"/>
            <w:shd w:val="clear" w:color="auto" w:fill="auto"/>
            <w:hideMark/>
          </w:tcPr>
          <w:p w14:paraId="5AFF302B" w14:textId="77777777" w:rsidR="005F7A91" w:rsidRDefault="007C7639">
            <w:pPr>
              <w:tabs>
                <w:tab w:val="clear" w:pos="567"/>
              </w:tabs>
              <w:spacing w:line="240" w:lineRule="auto"/>
              <w:jc w:val="both"/>
              <w:rPr>
                <w:szCs w:val="22"/>
                <w:lang w:val="sl-SI" w:eastAsia="sl-SI"/>
              </w:rPr>
            </w:pPr>
            <w:r>
              <w:rPr>
                <w:b/>
                <w:bCs/>
                <w:szCs w:val="22"/>
                <w:lang w:val="sl-SI" w:eastAsia="sl-SI"/>
              </w:rPr>
              <w:t>Enoksaparin/VKA</w:t>
            </w:r>
            <w:r>
              <w:rPr>
                <w:b/>
                <w:bCs/>
                <w:szCs w:val="22"/>
                <w:vertAlign w:val="superscript"/>
                <w:lang w:val="sl-SI" w:eastAsia="sl-SI"/>
              </w:rPr>
              <w:t>b)</w:t>
            </w:r>
          </w:p>
          <w:p w14:paraId="0AE7BE16" w14:textId="77777777" w:rsidR="005F7A91" w:rsidRDefault="007C7639">
            <w:pPr>
              <w:tabs>
                <w:tab w:val="clear" w:pos="567"/>
              </w:tabs>
              <w:spacing w:line="240" w:lineRule="auto"/>
              <w:jc w:val="both"/>
              <w:rPr>
                <w:szCs w:val="22"/>
                <w:lang w:val="sl-SI" w:eastAsia="sl-SI"/>
              </w:rPr>
            </w:pPr>
            <w:r>
              <w:rPr>
                <w:b/>
                <w:bCs/>
                <w:szCs w:val="22"/>
                <w:lang w:val="sl-SI" w:eastAsia="sl-SI"/>
              </w:rPr>
              <w:t>3, 6 ili 12 mjeseci</w:t>
            </w:r>
          </w:p>
          <w:p w14:paraId="77740B02" w14:textId="77777777" w:rsidR="005F7A91" w:rsidRDefault="007C7639">
            <w:pPr>
              <w:tabs>
                <w:tab w:val="clear" w:pos="567"/>
              </w:tabs>
              <w:spacing w:line="240" w:lineRule="auto"/>
              <w:jc w:val="both"/>
              <w:rPr>
                <w:szCs w:val="22"/>
                <w:lang w:val="sl-SI" w:eastAsia="sl-SI"/>
              </w:rPr>
            </w:pPr>
            <w:r>
              <w:rPr>
                <w:b/>
                <w:bCs/>
                <w:szCs w:val="22"/>
                <w:lang w:val="sl-SI" w:eastAsia="sl-SI"/>
              </w:rPr>
              <w:t>N=4131</w:t>
            </w:r>
          </w:p>
        </w:tc>
      </w:tr>
      <w:tr w:rsidR="005F7A91" w14:paraId="1AACA490" w14:textId="77777777">
        <w:tc>
          <w:tcPr>
            <w:tcW w:w="2305" w:type="pct"/>
            <w:shd w:val="clear" w:color="auto" w:fill="auto"/>
            <w:hideMark/>
          </w:tcPr>
          <w:p w14:paraId="14D90C01" w14:textId="77777777" w:rsidR="005F7A91" w:rsidRDefault="007C7639">
            <w:pPr>
              <w:tabs>
                <w:tab w:val="clear" w:pos="567"/>
              </w:tabs>
              <w:spacing w:line="240" w:lineRule="auto"/>
              <w:jc w:val="both"/>
              <w:rPr>
                <w:szCs w:val="22"/>
                <w:lang w:val="sl-SI" w:eastAsia="sl-SI"/>
              </w:rPr>
            </w:pPr>
            <w:r>
              <w:rPr>
                <w:szCs w:val="22"/>
                <w:lang w:val="sl-SI" w:eastAsia="sl-SI"/>
              </w:rPr>
              <w:t>Simptomatska rekurentna VTE*</w:t>
            </w:r>
          </w:p>
        </w:tc>
        <w:tc>
          <w:tcPr>
            <w:tcW w:w="1347" w:type="pct"/>
            <w:shd w:val="clear" w:color="auto" w:fill="auto"/>
            <w:hideMark/>
          </w:tcPr>
          <w:p w14:paraId="65AE45F2" w14:textId="77777777" w:rsidR="005F7A91" w:rsidRDefault="007C7639">
            <w:pPr>
              <w:tabs>
                <w:tab w:val="clear" w:pos="567"/>
              </w:tabs>
              <w:spacing w:line="240" w:lineRule="auto"/>
              <w:jc w:val="both"/>
              <w:rPr>
                <w:szCs w:val="22"/>
                <w:lang w:val="sl-SI" w:eastAsia="sl-SI"/>
              </w:rPr>
            </w:pPr>
            <w:r>
              <w:rPr>
                <w:szCs w:val="22"/>
                <w:lang w:val="sl-SI" w:eastAsia="sl-SI"/>
              </w:rPr>
              <w:t>86</w:t>
            </w:r>
          </w:p>
          <w:p w14:paraId="69BE4EF8" w14:textId="77777777" w:rsidR="005F7A91" w:rsidRDefault="007C7639">
            <w:pPr>
              <w:tabs>
                <w:tab w:val="clear" w:pos="567"/>
              </w:tabs>
              <w:spacing w:line="240" w:lineRule="auto"/>
              <w:jc w:val="both"/>
              <w:rPr>
                <w:szCs w:val="22"/>
                <w:lang w:val="sl-SI" w:eastAsia="sl-SI"/>
              </w:rPr>
            </w:pPr>
            <w:r>
              <w:rPr>
                <w:szCs w:val="22"/>
                <w:lang w:val="sl-SI" w:eastAsia="sl-SI"/>
              </w:rPr>
              <w:t>(2,1%)</w:t>
            </w:r>
          </w:p>
        </w:tc>
        <w:tc>
          <w:tcPr>
            <w:tcW w:w="1348" w:type="pct"/>
            <w:shd w:val="clear" w:color="auto" w:fill="auto"/>
            <w:hideMark/>
          </w:tcPr>
          <w:p w14:paraId="44E87C2D" w14:textId="77777777" w:rsidR="005F7A91" w:rsidRDefault="007C7639">
            <w:pPr>
              <w:tabs>
                <w:tab w:val="clear" w:pos="567"/>
              </w:tabs>
              <w:spacing w:line="240" w:lineRule="auto"/>
              <w:jc w:val="both"/>
              <w:rPr>
                <w:szCs w:val="22"/>
                <w:lang w:val="sl-SI" w:eastAsia="sl-SI"/>
              </w:rPr>
            </w:pPr>
            <w:r>
              <w:rPr>
                <w:szCs w:val="22"/>
                <w:lang w:val="sl-SI" w:eastAsia="sl-SI"/>
              </w:rPr>
              <w:t>95</w:t>
            </w:r>
          </w:p>
          <w:p w14:paraId="25F09C65" w14:textId="77777777" w:rsidR="005F7A91" w:rsidRDefault="007C7639">
            <w:pPr>
              <w:tabs>
                <w:tab w:val="clear" w:pos="567"/>
              </w:tabs>
              <w:spacing w:line="240" w:lineRule="auto"/>
              <w:jc w:val="both"/>
              <w:rPr>
                <w:szCs w:val="22"/>
                <w:lang w:val="sl-SI" w:eastAsia="sl-SI"/>
              </w:rPr>
            </w:pPr>
            <w:r>
              <w:rPr>
                <w:szCs w:val="22"/>
                <w:lang w:val="sl-SI" w:eastAsia="sl-SI"/>
              </w:rPr>
              <w:t>(2,3%)</w:t>
            </w:r>
          </w:p>
        </w:tc>
      </w:tr>
      <w:tr w:rsidR="005F7A91" w14:paraId="02FA3558" w14:textId="77777777">
        <w:tc>
          <w:tcPr>
            <w:tcW w:w="2305" w:type="pct"/>
            <w:shd w:val="clear" w:color="auto" w:fill="auto"/>
            <w:hideMark/>
          </w:tcPr>
          <w:p w14:paraId="6C31E1EE" w14:textId="77777777" w:rsidR="005F7A91" w:rsidRDefault="007C7639">
            <w:pPr>
              <w:tabs>
                <w:tab w:val="clear" w:pos="567"/>
              </w:tabs>
              <w:spacing w:line="240" w:lineRule="auto"/>
              <w:ind w:left="567"/>
              <w:jc w:val="both"/>
              <w:rPr>
                <w:szCs w:val="22"/>
                <w:lang w:val="sl-SI" w:eastAsia="sl-SI"/>
              </w:rPr>
            </w:pPr>
            <w:r>
              <w:rPr>
                <w:szCs w:val="22"/>
                <w:lang w:val="sl-SI" w:eastAsia="sl-SI"/>
              </w:rPr>
              <w:t>Simptomatska rekurentna PE</w:t>
            </w:r>
          </w:p>
        </w:tc>
        <w:tc>
          <w:tcPr>
            <w:tcW w:w="1347" w:type="pct"/>
            <w:shd w:val="clear" w:color="auto" w:fill="auto"/>
            <w:hideMark/>
          </w:tcPr>
          <w:p w14:paraId="50B55B73" w14:textId="77777777" w:rsidR="005F7A91" w:rsidRDefault="007C7639">
            <w:pPr>
              <w:tabs>
                <w:tab w:val="clear" w:pos="567"/>
              </w:tabs>
              <w:spacing w:line="240" w:lineRule="auto"/>
              <w:jc w:val="both"/>
              <w:rPr>
                <w:szCs w:val="22"/>
                <w:lang w:val="sl-SI" w:eastAsia="sl-SI"/>
              </w:rPr>
            </w:pPr>
            <w:r>
              <w:rPr>
                <w:szCs w:val="22"/>
                <w:lang w:val="sl-SI" w:eastAsia="sl-SI"/>
              </w:rPr>
              <w:t>43</w:t>
            </w:r>
          </w:p>
          <w:p w14:paraId="58822B82" w14:textId="77777777" w:rsidR="005F7A91" w:rsidRDefault="007C7639">
            <w:pPr>
              <w:tabs>
                <w:tab w:val="clear" w:pos="567"/>
              </w:tabs>
              <w:spacing w:line="240" w:lineRule="auto"/>
              <w:jc w:val="both"/>
              <w:rPr>
                <w:szCs w:val="22"/>
                <w:lang w:val="sl-SI" w:eastAsia="sl-SI"/>
              </w:rPr>
            </w:pPr>
            <w:r>
              <w:rPr>
                <w:szCs w:val="22"/>
                <w:lang w:val="sl-SI" w:eastAsia="sl-SI"/>
              </w:rPr>
              <w:t>(1,0%)</w:t>
            </w:r>
          </w:p>
        </w:tc>
        <w:tc>
          <w:tcPr>
            <w:tcW w:w="1348" w:type="pct"/>
            <w:shd w:val="clear" w:color="auto" w:fill="auto"/>
            <w:hideMark/>
          </w:tcPr>
          <w:p w14:paraId="14CC072D" w14:textId="77777777" w:rsidR="005F7A91" w:rsidRDefault="007C7639">
            <w:pPr>
              <w:tabs>
                <w:tab w:val="clear" w:pos="567"/>
              </w:tabs>
              <w:spacing w:line="240" w:lineRule="auto"/>
              <w:jc w:val="both"/>
              <w:rPr>
                <w:szCs w:val="22"/>
                <w:lang w:val="sl-SI" w:eastAsia="sl-SI"/>
              </w:rPr>
            </w:pPr>
            <w:r>
              <w:rPr>
                <w:szCs w:val="22"/>
                <w:lang w:val="sl-SI" w:eastAsia="sl-SI"/>
              </w:rPr>
              <w:t>38</w:t>
            </w:r>
          </w:p>
          <w:p w14:paraId="723C00DE" w14:textId="77777777" w:rsidR="005F7A91" w:rsidRDefault="007C7639">
            <w:pPr>
              <w:tabs>
                <w:tab w:val="clear" w:pos="567"/>
              </w:tabs>
              <w:spacing w:line="240" w:lineRule="auto"/>
              <w:jc w:val="both"/>
              <w:rPr>
                <w:szCs w:val="22"/>
                <w:lang w:val="sl-SI" w:eastAsia="sl-SI"/>
              </w:rPr>
            </w:pPr>
            <w:r>
              <w:rPr>
                <w:szCs w:val="22"/>
                <w:lang w:val="sl-SI" w:eastAsia="sl-SI"/>
              </w:rPr>
              <w:t>(0,9%)</w:t>
            </w:r>
          </w:p>
        </w:tc>
      </w:tr>
      <w:tr w:rsidR="005F7A91" w14:paraId="3A33AFD0" w14:textId="77777777">
        <w:tc>
          <w:tcPr>
            <w:tcW w:w="2305" w:type="pct"/>
            <w:shd w:val="clear" w:color="auto" w:fill="auto"/>
            <w:hideMark/>
          </w:tcPr>
          <w:p w14:paraId="53DD2BA3" w14:textId="77777777" w:rsidR="005F7A91" w:rsidRDefault="007C7639">
            <w:pPr>
              <w:tabs>
                <w:tab w:val="clear" w:pos="567"/>
              </w:tabs>
              <w:spacing w:line="240" w:lineRule="auto"/>
              <w:ind w:left="567"/>
              <w:jc w:val="both"/>
              <w:rPr>
                <w:szCs w:val="22"/>
                <w:lang w:val="sl-SI" w:eastAsia="sl-SI"/>
              </w:rPr>
            </w:pPr>
            <w:r>
              <w:rPr>
                <w:szCs w:val="22"/>
                <w:lang w:val="sl-SI" w:eastAsia="sl-SI"/>
              </w:rPr>
              <w:t>Simptomatska rekurentna TDV</w:t>
            </w:r>
          </w:p>
        </w:tc>
        <w:tc>
          <w:tcPr>
            <w:tcW w:w="1347" w:type="pct"/>
            <w:shd w:val="clear" w:color="auto" w:fill="auto"/>
            <w:hideMark/>
          </w:tcPr>
          <w:p w14:paraId="66DFEEAC" w14:textId="77777777" w:rsidR="005F7A91" w:rsidRDefault="007C7639">
            <w:pPr>
              <w:tabs>
                <w:tab w:val="clear" w:pos="567"/>
              </w:tabs>
              <w:spacing w:line="240" w:lineRule="auto"/>
              <w:jc w:val="both"/>
              <w:rPr>
                <w:szCs w:val="22"/>
                <w:lang w:val="sl-SI" w:eastAsia="sl-SI"/>
              </w:rPr>
            </w:pPr>
            <w:r>
              <w:rPr>
                <w:szCs w:val="22"/>
                <w:lang w:val="sl-SI" w:eastAsia="sl-SI"/>
              </w:rPr>
              <w:t>32</w:t>
            </w:r>
          </w:p>
          <w:p w14:paraId="37D420E4" w14:textId="77777777" w:rsidR="005F7A91" w:rsidRDefault="007C7639">
            <w:pPr>
              <w:tabs>
                <w:tab w:val="clear" w:pos="567"/>
              </w:tabs>
              <w:spacing w:line="240" w:lineRule="auto"/>
              <w:jc w:val="both"/>
              <w:rPr>
                <w:szCs w:val="22"/>
                <w:lang w:val="sl-SI" w:eastAsia="sl-SI"/>
              </w:rPr>
            </w:pPr>
            <w:r>
              <w:rPr>
                <w:szCs w:val="22"/>
                <w:lang w:val="sl-SI" w:eastAsia="sl-SI"/>
              </w:rPr>
              <w:t>(0,8%)</w:t>
            </w:r>
          </w:p>
        </w:tc>
        <w:tc>
          <w:tcPr>
            <w:tcW w:w="1348" w:type="pct"/>
            <w:shd w:val="clear" w:color="auto" w:fill="auto"/>
            <w:hideMark/>
          </w:tcPr>
          <w:p w14:paraId="5FFE8D96" w14:textId="77777777" w:rsidR="005F7A91" w:rsidRDefault="007C7639">
            <w:pPr>
              <w:tabs>
                <w:tab w:val="clear" w:pos="567"/>
              </w:tabs>
              <w:spacing w:line="240" w:lineRule="auto"/>
              <w:jc w:val="both"/>
              <w:rPr>
                <w:szCs w:val="22"/>
                <w:lang w:val="sl-SI" w:eastAsia="sl-SI"/>
              </w:rPr>
            </w:pPr>
            <w:r>
              <w:rPr>
                <w:szCs w:val="22"/>
                <w:lang w:val="sl-SI" w:eastAsia="sl-SI"/>
              </w:rPr>
              <w:t>45</w:t>
            </w:r>
          </w:p>
          <w:p w14:paraId="438AADA0" w14:textId="77777777" w:rsidR="005F7A91" w:rsidRDefault="007C7639">
            <w:pPr>
              <w:tabs>
                <w:tab w:val="clear" w:pos="567"/>
              </w:tabs>
              <w:spacing w:line="240" w:lineRule="auto"/>
              <w:jc w:val="both"/>
              <w:rPr>
                <w:szCs w:val="22"/>
                <w:lang w:val="sl-SI" w:eastAsia="sl-SI"/>
              </w:rPr>
            </w:pPr>
            <w:r>
              <w:rPr>
                <w:szCs w:val="22"/>
                <w:lang w:val="sl-SI" w:eastAsia="sl-SI"/>
              </w:rPr>
              <w:t>(1,1%)</w:t>
            </w:r>
          </w:p>
        </w:tc>
      </w:tr>
      <w:tr w:rsidR="005F7A91" w14:paraId="3E64BC33" w14:textId="77777777">
        <w:tc>
          <w:tcPr>
            <w:tcW w:w="2305" w:type="pct"/>
            <w:shd w:val="clear" w:color="auto" w:fill="auto"/>
            <w:hideMark/>
          </w:tcPr>
          <w:p w14:paraId="6BEC8C7C" w14:textId="77777777" w:rsidR="005F7A91" w:rsidRDefault="007C7639">
            <w:pPr>
              <w:tabs>
                <w:tab w:val="clear" w:pos="567"/>
              </w:tabs>
              <w:spacing w:line="240" w:lineRule="auto"/>
              <w:ind w:left="567"/>
              <w:jc w:val="both"/>
              <w:rPr>
                <w:szCs w:val="22"/>
                <w:lang w:val="sl-SI" w:eastAsia="sl-SI"/>
              </w:rPr>
            </w:pPr>
            <w:r>
              <w:rPr>
                <w:szCs w:val="22"/>
                <w:lang w:val="sl-SI" w:eastAsia="sl-SI"/>
              </w:rPr>
              <w:t>Simptomatska PE i TDV</w:t>
            </w:r>
          </w:p>
        </w:tc>
        <w:tc>
          <w:tcPr>
            <w:tcW w:w="1347" w:type="pct"/>
            <w:shd w:val="clear" w:color="auto" w:fill="auto"/>
            <w:hideMark/>
          </w:tcPr>
          <w:p w14:paraId="6CD66DA6" w14:textId="77777777" w:rsidR="005F7A91" w:rsidRDefault="007C7639">
            <w:pPr>
              <w:tabs>
                <w:tab w:val="clear" w:pos="567"/>
              </w:tabs>
              <w:spacing w:line="240" w:lineRule="auto"/>
              <w:jc w:val="both"/>
              <w:rPr>
                <w:szCs w:val="22"/>
                <w:lang w:val="sl-SI" w:eastAsia="sl-SI"/>
              </w:rPr>
            </w:pPr>
            <w:r>
              <w:rPr>
                <w:szCs w:val="22"/>
                <w:lang w:val="sl-SI" w:eastAsia="sl-SI"/>
              </w:rPr>
              <w:t>1</w:t>
            </w:r>
          </w:p>
          <w:p w14:paraId="79397C34" w14:textId="77777777" w:rsidR="005F7A91" w:rsidRDefault="007C7639">
            <w:pPr>
              <w:tabs>
                <w:tab w:val="clear" w:pos="567"/>
              </w:tabs>
              <w:spacing w:line="240" w:lineRule="auto"/>
              <w:jc w:val="both"/>
              <w:rPr>
                <w:szCs w:val="22"/>
                <w:lang w:val="sl-SI" w:eastAsia="sl-SI"/>
              </w:rPr>
            </w:pPr>
            <w:r>
              <w:rPr>
                <w:szCs w:val="22"/>
                <w:lang w:val="sl-SI" w:eastAsia="sl-SI"/>
              </w:rPr>
              <w:t>(&lt;0,1%)</w:t>
            </w:r>
          </w:p>
        </w:tc>
        <w:tc>
          <w:tcPr>
            <w:tcW w:w="1348" w:type="pct"/>
            <w:shd w:val="clear" w:color="auto" w:fill="auto"/>
            <w:hideMark/>
          </w:tcPr>
          <w:p w14:paraId="2D5EBD52" w14:textId="77777777" w:rsidR="005F7A91" w:rsidRDefault="007C7639">
            <w:pPr>
              <w:tabs>
                <w:tab w:val="clear" w:pos="567"/>
              </w:tabs>
              <w:spacing w:line="240" w:lineRule="auto"/>
              <w:jc w:val="both"/>
              <w:rPr>
                <w:szCs w:val="22"/>
                <w:lang w:val="sl-SI" w:eastAsia="sl-SI"/>
              </w:rPr>
            </w:pPr>
            <w:r>
              <w:rPr>
                <w:szCs w:val="22"/>
                <w:lang w:val="sl-SI" w:eastAsia="sl-SI"/>
              </w:rPr>
              <w:t>2</w:t>
            </w:r>
          </w:p>
          <w:p w14:paraId="2691B1F5" w14:textId="77777777" w:rsidR="005F7A91" w:rsidRDefault="007C7639">
            <w:pPr>
              <w:tabs>
                <w:tab w:val="clear" w:pos="567"/>
              </w:tabs>
              <w:spacing w:line="240" w:lineRule="auto"/>
              <w:jc w:val="both"/>
              <w:rPr>
                <w:szCs w:val="22"/>
                <w:lang w:val="sl-SI" w:eastAsia="sl-SI"/>
              </w:rPr>
            </w:pPr>
            <w:r>
              <w:rPr>
                <w:szCs w:val="22"/>
                <w:lang w:val="sl-SI" w:eastAsia="sl-SI"/>
              </w:rPr>
              <w:t>(&lt;0,1%)</w:t>
            </w:r>
          </w:p>
        </w:tc>
      </w:tr>
      <w:tr w:rsidR="005F7A91" w14:paraId="39BF2D10" w14:textId="77777777">
        <w:tc>
          <w:tcPr>
            <w:tcW w:w="2305" w:type="pct"/>
            <w:shd w:val="clear" w:color="auto" w:fill="auto"/>
            <w:hideMark/>
          </w:tcPr>
          <w:p w14:paraId="3994D335" w14:textId="77777777" w:rsidR="005F7A91" w:rsidRDefault="007C7639">
            <w:pPr>
              <w:tabs>
                <w:tab w:val="clear" w:pos="567"/>
              </w:tabs>
              <w:spacing w:line="240" w:lineRule="auto"/>
              <w:ind w:left="567"/>
              <w:jc w:val="both"/>
              <w:rPr>
                <w:szCs w:val="22"/>
                <w:lang w:val="sl-SI" w:eastAsia="sl-SI"/>
              </w:rPr>
            </w:pPr>
            <w:r>
              <w:rPr>
                <w:szCs w:val="22"/>
                <w:lang w:val="sl-SI" w:eastAsia="sl-SI"/>
              </w:rPr>
              <w:t>Fatalna PE / smrt za koju se ne može isključiti PE</w:t>
            </w:r>
          </w:p>
        </w:tc>
        <w:tc>
          <w:tcPr>
            <w:tcW w:w="1347" w:type="pct"/>
            <w:shd w:val="clear" w:color="auto" w:fill="auto"/>
            <w:hideMark/>
          </w:tcPr>
          <w:p w14:paraId="1D777A90" w14:textId="77777777" w:rsidR="005F7A91" w:rsidRDefault="007C7639">
            <w:pPr>
              <w:tabs>
                <w:tab w:val="clear" w:pos="567"/>
              </w:tabs>
              <w:spacing w:line="240" w:lineRule="auto"/>
              <w:jc w:val="both"/>
              <w:rPr>
                <w:szCs w:val="22"/>
                <w:lang w:val="sl-SI" w:eastAsia="sl-SI"/>
              </w:rPr>
            </w:pPr>
            <w:r>
              <w:rPr>
                <w:szCs w:val="22"/>
                <w:lang w:val="sl-SI" w:eastAsia="sl-SI"/>
              </w:rPr>
              <w:t>15</w:t>
            </w:r>
          </w:p>
          <w:p w14:paraId="0BA5A5C8" w14:textId="77777777" w:rsidR="005F7A91" w:rsidRDefault="007C7639">
            <w:pPr>
              <w:tabs>
                <w:tab w:val="clear" w:pos="567"/>
              </w:tabs>
              <w:spacing w:line="240" w:lineRule="auto"/>
              <w:jc w:val="both"/>
              <w:rPr>
                <w:szCs w:val="22"/>
                <w:lang w:val="sl-SI" w:eastAsia="sl-SI"/>
              </w:rPr>
            </w:pPr>
            <w:r>
              <w:rPr>
                <w:szCs w:val="22"/>
                <w:lang w:val="sl-SI" w:eastAsia="sl-SI"/>
              </w:rPr>
              <w:t>(0,4%)</w:t>
            </w:r>
          </w:p>
        </w:tc>
        <w:tc>
          <w:tcPr>
            <w:tcW w:w="1348" w:type="pct"/>
            <w:shd w:val="clear" w:color="auto" w:fill="auto"/>
            <w:hideMark/>
          </w:tcPr>
          <w:p w14:paraId="6CD5975C" w14:textId="77777777" w:rsidR="005F7A91" w:rsidRDefault="007C7639">
            <w:pPr>
              <w:tabs>
                <w:tab w:val="clear" w:pos="567"/>
              </w:tabs>
              <w:spacing w:line="240" w:lineRule="auto"/>
              <w:jc w:val="both"/>
              <w:rPr>
                <w:szCs w:val="22"/>
                <w:lang w:val="sl-SI" w:eastAsia="sl-SI"/>
              </w:rPr>
            </w:pPr>
            <w:r>
              <w:rPr>
                <w:szCs w:val="22"/>
                <w:lang w:val="sl-SI" w:eastAsia="sl-SI"/>
              </w:rPr>
              <w:t>13</w:t>
            </w:r>
          </w:p>
          <w:p w14:paraId="591C9CFB" w14:textId="77777777" w:rsidR="005F7A91" w:rsidRDefault="007C7639">
            <w:pPr>
              <w:tabs>
                <w:tab w:val="clear" w:pos="567"/>
              </w:tabs>
              <w:spacing w:line="240" w:lineRule="auto"/>
              <w:jc w:val="both"/>
              <w:rPr>
                <w:szCs w:val="22"/>
                <w:lang w:val="sl-SI" w:eastAsia="sl-SI"/>
              </w:rPr>
            </w:pPr>
            <w:r>
              <w:rPr>
                <w:szCs w:val="22"/>
                <w:lang w:val="sl-SI" w:eastAsia="sl-SI"/>
              </w:rPr>
              <w:t>(0,3%)</w:t>
            </w:r>
          </w:p>
        </w:tc>
      </w:tr>
      <w:tr w:rsidR="005F7A91" w14:paraId="063938BC" w14:textId="77777777">
        <w:tc>
          <w:tcPr>
            <w:tcW w:w="2305" w:type="pct"/>
            <w:shd w:val="clear" w:color="auto" w:fill="auto"/>
            <w:hideMark/>
          </w:tcPr>
          <w:p w14:paraId="76309D85"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Velika krvarenja ili klinički relevantna krvarenja koja nisu klasifikovana kao velika</w:t>
            </w:r>
          </w:p>
        </w:tc>
        <w:tc>
          <w:tcPr>
            <w:tcW w:w="1347" w:type="pct"/>
            <w:shd w:val="clear" w:color="auto" w:fill="auto"/>
            <w:hideMark/>
          </w:tcPr>
          <w:p w14:paraId="4217E7EF" w14:textId="77777777" w:rsidR="005F7A91" w:rsidRDefault="007C7639">
            <w:pPr>
              <w:tabs>
                <w:tab w:val="clear" w:pos="567"/>
              </w:tabs>
              <w:spacing w:line="240" w:lineRule="auto"/>
              <w:jc w:val="both"/>
              <w:rPr>
                <w:szCs w:val="22"/>
                <w:lang w:val="sl-SI" w:eastAsia="sl-SI"/>
              </w:rPr>
            </w:pPr>
            <w:r>
              <w:rPr>
                <w:szCs w:val="22"/>
                <w:lang w:val="sl-SI" w:eastAsia="sl-SI"/>
              </w:rPr>
              <w:t>388</w:t>
            </w:r>
          </w:p>
          <w:p w14:paraId="2A2995F7" w14:textId="77777777" w:rsidR="005F7A91" w:rsidRDefault="007C7639">
            <w:pPr>
              <w:tabs>
                <w:tab w:val="clear" w:pos="567"/>
              </w:tabs>
              <w:spacing w:line="240" w:lineRule="auto"/>
              <w:jc w:val="both"/>
              <w:rPr>
                <w:szCs w:val="22"/>
                <w:lang w:val="sl-SI" w:eastAsia="sl-SI"/>
              </w:rPr>
            </w:pPr>
            <w:r>
              <w:rPr>
                <w:szCs w:val="22"/>
                <w:lang w:val="sl-SI" w:eastAsia="sl-SI"/>
              </w:rPr>
              <w:t>(9,4%)</w:t>
            </w:r>
          </w:p>
        </w:tc>
        <w:tc>
          <w:tcPr>
            <w:tcW w:w="1348" w:type="pct"/>
            <w:shd w:val="clear" w:color="auto" w:fill="auto"/>
            <w:hideMark/>
          </w:tcPr>
          <w:p w14:paraId="186AEBEA" w14:textId="77777777" w:rsidR="005F7A91" w:rsidRDefault="007C7639">
            <w:pPr>
              <w:tabs>
                <w:tab w:val="clear" w:pos="567"/>
              </w:tabs>
              <w:spacing w:line="240" w:lineRule="auto"/>
              <w:jc w:val="both"/>
              <w:rPr>
                <w:szCs w:val="22"/>
                <w:lang w:val="sl-SI" w:eastAsia="sl-SI"/>
              </w:rPr>
            </w:pPr>
            <w:r>
              <w:rPr>
                <w:szCs w:val="22"/>
                <w:lang w:val="sl-SI" w:eastAsia="sl-SI"/>
              </w:rPr>
              <w:t>412</w:t>
            </w:r>
          </w:p>
          <w:p w14:paraId="58E938E9" w14:textId="77777777" w:rsidR="005F7A91" w:rsidRDefault="007C7639">
            <w:pPr>
              <w:tabs>
                <w:tab w:val="clear" w:pos="567"/>
              </w:tabs>
              <w:spacing w:line="240" w:lineRule="auto"/>
              <w:jc w:val="both"/>
              <w:rPr>
                <w:szCs w:val="22"/>
                <w:lang w:val="sl-SI" w:eastAsia="sl-SI"/>
              </w:rPr>
            </w:pPr>
            <w:r>
              <w:rPr>
                <w:szCs w:val="22"/>
                <w:lang w:val="sl-SI" w:eastAsia="sl-SI"/>
              </w:rPr>
              <w:t>(10,0%)</w:t>
            </w:r>
          </w:p>
        </w:tc>
      </w:tr>
      <w:tr w:rsidR="005F7A91" w14:paraId="7ACCF479" w14:textId="77777777">
        <w:tc>
          <w:tcPr>
            <w:tcW w:w="2305" w:type="pct"/>
            <w:shd w:val="clear" w:color="auto" w:fill="auto"/>
            <w:hideMark/>
          </w:tcPr>
          <w:p w14:paraId="5C4241F6"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Velika krvarenja</w:t>
            </w:r>
          </w:p>
        </w:tc>
        <w:tc>
          <w:tcPr>
            <w:tcW w:w="1347" w:type="pct"/>
            <w:shd w:val="clear" w:color="auto" w:fill="auto"/>
            <w:hideMark/>
          </w:tcPr>
          <w:p w14:paraId="74E96703" w14:textId="77777777" w:rsidR="005F7A91" w:rsidRDefault="007C7639">
            <w:pPr>
              <w:tabs>
                <w:tab w:val="clear" w:pos="567"/>
              </w:tabs>
              <w:spacing w:line="240" w:lineRule="auto"/>
              <w:jc w:val="both"/>
              <w:rPr>
                <w:szCs w:val="22"/>
                <w:lang w:val="sl-SI" w:eastAsia="sl-SI"/>
              </w:rPr>
            </w:pPr>
            <w:r>
              <w:rPr>
                <w:szCs w:val="22"/>
                <w:lang w:val="sl-SI" w:eastAsia="sl-SI"/>
              </w:rPr>
              <w:t>40</w:t>
            </w:r>
          </w:p>
          <w:p w14:paraId="3921C677" w14:textId="77777777" w:rsidR="005F7A91" w:rsidRDefault="007C7639">
            <w:pPr>
              <w:tabs>
                <w:tab w:val="clear" w:pos="567"/>
              </w:tabs>
              <w:spacing w:line="240" w:lineRule="auto"/>
              <w:jc w:val="both"/>
              <w:rPr>
                <w:szCs w:val="22"/>
                <w:lang w:val="sl-SI" w:eastAsia="sl-SI"/>
              </w:rPr>
            </w:pPr>
            <w:r>
              <w:rPr>
                <w:szCs w:val="22"/>
                <w:lang w:val="sl-SI" w:eastAsia="sl-SI"/>
              </w:rPr>
              <w:t>(1,0%)</w:t>
            </w:r>
          </w:p>
        </w:tc>
        <w:tc>
          <w:tcPr>
            <w:tcW w:w="1348" w:type="pct"/>
            <w:shd w:val="clear" w:color="auto" w:fill="auto"/>
            <w:hideMark/>
          </w:tcPr>
          <w:p w14:paraId="5FC79E1E" w14:textId="77777777" w:rsidR="005F7A91" w:rsidRDefault="007C7639">
            <w:pPr>
              <w:tabs>
                <w:tab w:val="clear" w:pos="567"/>
              </w:tabs>
              <w:spacing w:line="240" w:lineRule="auto"/>
              <w:jc w:val="both"/>
              <w:rPr>
                <w:szCs w:val="22"/>
                <w:lang w:val="sl-SI" w:eastAsia="sl-SI"/>
              </w:rPr>
            </w:pPr>
            <w:r>
              <w:rPr>
                <w:szCs w:val="22"/>
                <w:lang w:val="sl-SI" w:eastAsia="sl-SI"/>
              </w:rPr>
              <w:t>72</w:t>
            </w:r>
          </w:p>
          <w:p w14:paraId="0809CB67" w14:textId="77777777" w:rsidR="005F7A91" w:rsidRDefault="007C7639">
            <w:pPr>
              <w:tabs>
                <w:tab w:val="clear" w:pos="567"/>
              </w:tabs>
              <w:spacing w:line="240" w:lineRule="auto"/>
              <w:jc w:val="both"/>
              <w:rPr>
                <w:szCs w:val="22"/>
                <w:lang w:val="sl-SI" w:eastAsia="sl-SI"/>
              </w:rPr>
            </w:pPr>
            <w:r>
              <w:rPr>
                <w:szCs w:val="22"/>
                <w:lang w:val="sl-SI" w:eastAsia="sl-SI"/>
              </w:rPr>
              <w:t>(1,7%)</w:t>
            </w:r>
          </w:p>
        </w:tc>
      </w:tr>
    </w:tbl>
    <w:p w14:paraId="23CBBFC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a) Rivaroksaban 15 mg dva puta na dan tokom 3 nedjelje, potom 20 mg jednom dnevno.</w:t>
      </w:r>
    </w:p>
    <w:p w14:paraId="5A898FB5" w14:textId="77777777" w:rsidR="005F7A91" w:rsidRDefault="007C7639">
      <w:pPr>
        <w:shd w:val="clear" w:color="auto" w:fill="FFFFFF"/>
        <w:tabs>
          <w:tab w:val="clear" w:pos="567"/>
        </w:tabs>
        <w:spacing w:line="240" w:lineRule="auto"/>
        <w:jc w:val="both"/>
        <w:rPr>
          <w:szCs w:val="22"/>
          <w:lang w:val="sl-SI" w:eastAsia="sl-SI"/>
        </w:rPr>
      </w:pPr>
      <w:r>
        <w:rPr>
          <w:szCs w:val="22"/>
          <w:lang w:val="sl-SI" w:eastAsia="sl-SI"/>
        </w:rPr>
        <w:t>b) Enoksaparin tokom najmanje 5 dana, uz preklapanje i nastavak sa antagonistom vitamina K.</w:t>
      </w:r>
    </w:p>
    <w:p w14:paraId="6A5AFF19" w14:textId="77777777" w:rsidR="005F7A91" w:rsidRDefault="007C7639">
      <w:pPr>
        <w:shd w:val="clear" w:color="auto" w:fill="FFFFFF"/>
        <w:tabs>
          <w:tab w:val="clear" w:pos="567"/>
        </w:tabs>
        <w:spacing w:line="240" w:lineRule="auto"/>
        <w:jc w:val="both"/>
        <w:rPr>
          <w:color w:val="000000"/>
          <w:szCs w:val="22"/>
          <w:lang w:val="sl-SI" w:eastAsia="sl-SI"/>
        </w:rPr>
      </w:pPr>
      <w:r>
        <w:rPr>
          <w:b/>
          <w:bCs/>
          <w:szCs w:val="22"/>
          <w:lang w:val="sl-SI" w:eastAsia="sl-SI"/>
        </w:rPr>
        <w:lastRenderedPageBreak/>
        <w:t xml:space="preserve">* </w:t>
      </w:r>
      <w:r>
        <w:rPr>
          <w:szCs w:val="22"/>
          <w:lang w:val="sl-SI" w:eastAsia="sl-SI"/>
        </w:rPr>
        <w:t xml:space="preserve">p &lt; 0,0001 (neinferiornost u odnosu na predefinisani odnos rizika od 1,75); odnos rizika: 0,886 (0,661 </w:t>
      </w:r>
      <w:r>
        <w:rPr>
          <w:color w:val="000000"/>
          <w:szCs w:val="22"/>
          <w:lang w:val="sl-SI" w:eastAsia="sl-SI"/>
        </w:rPr>
        <w:t>-</w:t>
      </w:r>
      <w:r>
        <w:rPr>
          <w:szCs w:val="22"/>
          <w:lang w:val="sl-SI" w:eastAsia="sl-SI"/>
        </w:rPr>
        <w:t xml:space="preserve"> 1,186)</w:t>
      </w:r>
    </w:p>
    <w:p w14:paraId="3FF954F3" w14:textId="77777777" w:rsidR="005F7A91" w:rsidRDefault="005F7A91">
      <w:pPr>
        <w:shd w:val="clear" w:color="auto" w:fill="FFFFFF"/>
        <w:tabs>
          <w:tab w:val="clear" w:pos="567"/>
        </w:tabs>
        <w:spacing w:line="240" w:lineRule="auto"/>
        <w:jc w:val="both"/>
        <w:rPr>
          <w:color w:val="000000"/>
          <w:szCs w:val="22"/>
          <w:lang w:val="sl-SI" w:eastAsia="sl-SI"/>
        </w:rPr>
      </w:pPr>
    </w:p>
    <w:p w14:paraId="5B3CB336" w14:textId="77777777" w:rsidR="005F7A91" w:rsidRDefault="007C7639">
      <w:pPr>
        <w:shd w:val="clear" w:color="auto" w:fill="FFFFFF"/>
        <w:tabs>
          <w:tab w:val="clear" w:pos="567"/>
        </w:tabs>
        <w:spacing w:line="240" w:lineRule="auto"/>
        <w:jc w:val="both"/>
        <w:rPr>
          <w:color w:val="000000"/>
          <w:szCs w:val="22"/>
          <w:lang w:val="sl-SI" w:eastAsia="sl-SI"/>
        </w:rPr>
      </w:pPr>
      <w:r>
        <w:rPr>
          <w:szCs w:val="22"/>
          <w:lang w:val="sl-SI" w:eastAsia="sl-SI"/>
        </w:rPr>
        <w:t>Predefinisana ukupna klinička korist (primarni ishod efikasnosti plus velika krvarenja) objedinjene analize zabilježena je uz odnos rizika od 0,771 ((95% CI: 0,614 - 0,967), nominalna p vrijednost p=0,0244).</w:t>
      </w:r>
    </w:p>
    <w:p w14:paraId="42B3FCA7" w14:textId="77777777" w:rsidR="005F7A91" w:rsidRDefault="005F7A91">
      <w:pPr>
        <w:shd w:val="clear" w:color="auto" w:fill="FFFFFF"/>
        <w:tabs>
          <w:tab w:val="clear" w:pos="567"/>
        </w:tabs>
        <w:spacing w:line="240" w:lineRule="auto"/>
        <w:jc w:val="both"/>
        <w:rPr>
          <w:color w:val="000000"/>
          <w:szCs w:val="22"/>
          <w:lang w:val="sl-SI" w:eastAsia="sl-SI"/>
        </w:rPr>
      </w:pPr>
    </w:p>
    <w:p w14:paraId="0DF06AF0" w14:textId="77777777" w:rsidR="005F7A91" w:rsidRDefault="007C7639">
      <w:pPr>
        <w:shd w:val="clear" w:color="auto" w:fill="FFFFFF"/>
        <w:tabs>
          <w:tab w:val="clear" w:pos="567"/>
        </w:tabs>
        <w:spacing w:line="240" w:lineRule="auto"/>
        <w:jc w:val="both"/>
        <w:rPr>
          <w:color w:val="000000"/>
          <w:szCs w:val="22"/>
          <w:lang w:val="sl-SI" w:eastAsia="sl-SI"/>
        </w:rPr>
      </w:pPr>
      <w:r>
        <w:rPr>
          <w:szCs w:val="22"/>
          <w:lang w:val="sl-SI" w:eastAsia="sl-SI"/>
        </w:rPr>
        <w:t xml:space="preserve">U </w:t>
      </w:r>
      <w:r>
        <w:rPr>
          <w:i/>
          <w:szCs w:val="22"/>
          <w:lang w:val="sl-SI" w:eastAsia="sl-SI"/>
        </w:rPr>
        <w:t>Einstein Extension</w:t>
      </w:r>
      <w:r>
        <w:rPr>
          <w:szCs w:val="22"/>
          <w:lang w:val="sl-SI" w:eastAsia="sl-SI"/>
        </w:rPr>
        <w:t xml:space="preserve"> studiji (vidjeti Tabelu 8) rivaroksaban se pokazao superiornim u odnosu na placebo za primarne i sekundarne ishode efikasnosti. Za primarni ishod bezbjednosti (velika krvarenja) postojala je nesignifikantno brojno viša stopa učestalosti kod pacijenata liječenih rivaroksabanom od 20 mg jednom dnevno u poređenju sa placebom. Sekundarni ishod bezbjednosti (velika krvarenja ili klinički relevantna krvarenja koja nisu klasifikovana kao velika) je pokazao više stope kod pacijenata liječenih rivaroksabanom od 20 mg jednom dnevno u odnosu na placebo.</w:t>
      </w:r>
    </w:p>
    <w:p w14:paraId="5B432B9D" w14:textId="77777777" w:rsidR="005F7A91" w:rsidRDefault="005F7A91">
      <w:pPr>
        <w:shd w:val="clear" w:color="auto" w:fill="FFFFFF"/>
        <w:tabs>
          <w:tab w:val="clear" w:pos="567"/>
        </w:tabs>
        <w:spacing w:line="240" w:lineRule="auto"/>
        <w:jc w:val="both"/>
        <w:rPr>
          <w:bCs/>
          <w:color w:val="000000"/>
          <w:szCs w:val="22"/>
          <w:lang w:val="sl-SI" w:eastAsia="sl-SI"/>
        </w:rPr>
      </w:pPr>
    </w:p>
    <w:p w14:paraId="3AED093E"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 xml:space="preserve">Tabela 8: Rezultati efikasnosti i bezbjednosti iz </w:t>
      </w:r>
      <w:r>
        <w:rPr>
          <w:b/>
          <w:bCs/>
          <w:i/>
          <w:color w:val="000000"/>
          <w:szCs w:val="22"/>
          <w:lang w:val="hr-HR" w:eastAsia="sl-SI"/>
        </w:rPr>
        <w:t xml:space="preserve">Einstein Extension </w:t>
      </w:r>
      <w:r>
        <w:rPr>
          <w:b/>
          <w:bCs/>
          <w:color w:val="000000"/>
          <w:szCs w:val="22"/>
          <w:lang w:val="hr-HR" w:eastAsia="sl-SI"/>
        </w:rPr>
        <w:t>faze III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1"/>
        <w:gridCol w:w="2550"/>
      </w:tblGrid>
      <w:tr w:rsidR="005F7A91" w14:paraId="26986453" w14:textId="77777777">
        <w:tc>
          <w:tcPr>
            <w:tcW w:w="2305" w:type="pct"/>
            <w:shd w:val="clear" w:color="auto" w:fill="auto"/>
            <w:hideMark/>
          </w:tcPr>
          <w:p w14:paraId="328855E2" w14:textId="77777777" w:rsidR="005F7A91" w:rsidRDefault="007C7639">
            <w:pPr>
              <w:tabs>
                <w:tab w:val="clear" w:pos="567"/>
              </w:tabs>
              <w:spacing w:line="240" w:lineRule="auto"/>
              <w:jc w:val="both"/>
              <w:rPr>
                <w:szCs w:val="22"/>
                <w:lang w:val="sl-SI" w:eastAsia="sl-SI"/>
              </w:rPr>
            </w:pPr>
            <w:r>
              <w:rPr>
                <w:b/>
                <w:szCs w:val="22"/>
                <w:lang w:val="sl-SI" w:eastAsia="sl-SI"/>
              </w:rPr>
              <w:t>Populacija u studiji</w:t>
            </w:r>
          </w:p>
        </w:tc>
        <w:tc>
          <w:tcPr>
            <w:tcW w:w="2695" w:type="pct"/>
            <w:gridSpan w:val="2"/>
            <w:shd w:val="clear" w:color="auto" w:fill="auto"/>
            <w:hideMark/>
          </w:tcPr>
          <w:p w14:paraId="33538815" w14:textId="77777777" w:rsidR="005F7A91" w:rsidRDefault="007C7639">
            <w:pPr>
              <w:tabs>
                <w:tab w:val="clear" w:pos="567"/>
              </w:tabs>
              <w:autoSpaceDE w:val="0"/>
              <w:autoSpaceDN w:val="0"/>
              <w:adjustRightInd w:val="0"/>
              <w:spacing w:line="240" w:lineRule="auto"/>
              <w:jc w:val="both"/>
              <w:rPr>
                <w:b/>
                <w:color w:val="000000"/>
                <w:szCs w:val="22"/>
                <w:lang w:val="hr-HR" w:eastAsia="sl-SI"/>
              </w:rPr>
            </w:pPr>
            <w:r>
              <w:rPr>
                <w:b/>
                <w:color w:val="000000"/>
                <w:szCs w:val="22"/>
                <w:lang w:val="hr-HR" w:eastAsia="sl-SI"/>
              </w:rPr>
              <w:t>1197 pacijenata koji su nastavili liječenje i prevenciju rekurentne venske tromboembolije</w:t>
            </w:r>
          </w:p>
        </w:tc>
      </w:tr>
      <w:tr w:rsidR="005F7A91" w14:paraId="4CAE4354" w14:textId="77777777">
        <w:tc>
          <w:tcPr>
            <w:tcW w:w="2305" w:type="pct"/>
            <w:shd w:val="clear" w:color="auto" w:fill="auto"/>
            <w:hideMark/>
          </w:tcPr>
          <w:p w14:paraId="3F4D7DB3" w14:textId="77777777" w:rsidR="005F7A91" w:rsidRDefault="007C7639">
            <w:pPr>
              <w:tabs>
                <w:tab w:val="clear" w:pos="567"/>
              </w:tabs>
              <w:spacing w:line="240" w:lineRule="auto"/>
              <w:jc w:val="both"/>
              <w:rPr>
                <w:szCs w:val="22"/>
                <w:lang w:val="sl-SI" w:eastAsia="sl-SI"/>
              </w:rPr>
            </w:pPr>
            <w:r>
              <w:rPr>
                <w:b/>
                <w:szCs w:val="22"/>
                <w:lang w:val="sl-SI" w:eastAsia="sl-SI"/>
              </w:rPr>
              <w:t>Terapijska doza i trajanje liječenja</w:t>
            </w:r>
          </w:p>
        </w:tc>
        <w:tc>
          <w:tcPr>
            <w:tcW w:w="1348" w:type="pct"/>
            <w:shd w:val="clear" w:color="auto" w:fill="auto"/>
            <w:hideMark/>
          </w:tcPr>
          <w:p w14:paraId="1ADC02B0" w14:textId="77777777" w:rsidR="005F7A91" w:rsidRDefault="007C7639">
            <w:pPr>
              <w:tabs>
                <w:tab w:val="clear" w:pos="567"/>
              </w:tabs>
              <w:spacing w:line="240" w:lineRule="auto"/>
              <w:jc w:val="both"/>
              <w:rPr>
                <w:b/>
                <w:szCs w:val="22"/>
                <w:lang w:val="sl-SI" w:eastAsia="sl-SI"/>
              </w:rPr>
            </w:pPr>
            <w:r>
              <w:rPr>
                <w:b/>
                <w:szCs w:val="22"/>
                <w:lang w:val="sl-SI"/>
              </w:rPr>
              <w:t>Rivaroksaban</w:t>
            </w:r>
            <w:r>
              <w:rPr>
                <w:b/>
                <w:bCs/>
                <w:szCs w:val="22"/>
                <w:vertAlign w:val="superscript"/>
                <w:lang w:val="sl-SI" w:eastAsia="sl-SI"/>
              </w:rPr>
              <w:t>a)</w:t>
            </w:r>
          </w:p>
          <w:p w14:paraId="055FD86E" w14:textId="77777777" w:rsidR="005F7A91" w:rsidRDefault="007C7639">
            <w:pPr>
              <w:tabs>
                <w:tab w:val="clear" w:pos="567"/>
              </w:tabs>
              <w:spacing w:line="240" w:lineRule="auto"/>
              <w:jc w:val="both"/>
              <w:rPr>
                <w:b/>
                <w:szCs w:val="22"/>
                <w:lang w:val="sl-SI" w:eastAsia="sl-SI"/>
              </w:rPr>
            </w:pPr>
            <w:r>
              <w:rPr>
                <w:b/>
                <w:bCs/>
                <w:szCs w:val="22"/>
                <w:lang w:val="sl-SI" w:eastAsia="sl-SI"/>
              </w:rPr>
              <w:t>6 ili 12 mjeseci</w:t>
            </w:r>
          </w:p>
          <w:p w14:paraId="48FEBA2B" w14:textId="77777777" w:rsidR="005F7A91" w:rsidRDefault="007C7639">
            <w:pPr>
              <w:tabs>
                <w:tab w:val="clear" w:pos="567"/>
              </w:tabs>
              <w:spacing w:line="240" w:lineRule="auto"/>
              <w:jc w:val="both"/>
              <w:rPr>
                <w:b/>
                <w:szCs w:val="22"/>
                <w:lang w:val="sl-SI" w:eastAsia="sl-SI"/>
              </w:rPr>
            </w:pPr>
            <w:r>
              <w:rPr>
                <w:b/>
                <w:bCs/>
                <w:szCs w:val="22"/>
                <w:lang w:val="sl-SI" w:eastAsia="sl-SI"/>
              </w:rPr>
              <w:t>N=602</w:t>
            </w:r>
          </w:p>
        </w:tc>
        <w:tc>
          <w:tcPr>
            <w:tcW w:w="1347" w:type="pct"/>
            <w:shd w:val="clear" w:color="auto" w:fill="auto"/>
            <w:hideMark/>
          </w:tcPr>
          <w:p w14:paraId="6F38E506" w14:textId="77777777" w:rsidR="005F7A91" w:rsidRDefault="007C7639">
            <w:pPr>
              <w:tabs>
                <w:tab w:val="clear" w:pos="567"/>
              </w:tabs>
              <w:spacing w:line="240" w:lineRule="auto"/>
              <w:jc w:val="both"/>
              <w:rPr>
                <w:szCs w:val="22"/>
                <w:lang w:val="sl-SI" w:eastAsia="sl-SI"/>
              </w:rPr>
            </w:pPr>
            <w:r>
              <w:rPr>
                <w:b/>
                <w:bCs/>
                <w:szCs w:val="22"/>
                <w:lang w:val="sl-SI" w:eastAsia="sl-SI"/>
              </w:rPr>
              <w:t>Placebo</w:t>
            </w:r>
          </w:p>
          <w:p w14:paraId="74B71C79" w14:textId="77777777" w:rsidR="005F7A91" w:rsidRDefault="007C7639">
            <w:pPr>
              <w:tabs>
                <w:tab w:val="clear" w:pos="567"/>
              </w:tabs>
              <w:spacing w:line="240" w:lineRule="auto"/>
              <w:jc w:val="both"/>
              <w:rPr>
                <w:szCs w:val="22"/>
                <w:lang w:val="sl-SI" w:eastAsia="sl-SI"/>
              </w:rPr>
            </w:pPr>
            <w:r>
              <w:rPr>
                <w:b/>
                <w:bCs/>
                <w:szCs w:val="22"/>
                <w:lang w:val="sl-SI" w:eastAsia="sl-SI"/>
              </w:rPr>
              <w:t>6 ili 12 mjeseci</w:t>
            </w:r>
          </w:p>
          <w:p w14:paraId="2FCC538E" w14:textId="77777777" w:rsidR="005F7A91" w:rsidRDefault="007C7639">
            <w:pPr>
              <w:tabs>
                <w:tab w:val="clear" w:pos="567"/>
              </w:tabs>
              <w:spacing w:line="240" w:lineRule="auto"/>
              <w:jc w:val="both"/>
              <w:rPr>
                <w:szCs w:val="22"/>
                <w:lang w:val="sl-SI" w:eastAsia="sl-SI"/>
              </w:rPr>
            </w:pPr>
            <w:r>
              <w:rPr>
                <w:b/>
                <w:bCs/>
                <w:szCs w:val="22"/>
                <w:lang w:val="sl-SI" w:eastAsia="sl-SI"/>
              </w:rPr>
              <w:t>N=594</w:t>
            </w:r>
          </w:p>
        </w:tc>
      </w:tr>
      <w:tr w:rsidR="005F7A91" w14:paraId="0ED18043" w14:textId="77777777">
        <w:tc>
          <w:tcPr>
            <w:tcW w:w="2305" w:type="pct"/>
            <w:shd w:val="clear" w:color="auto" w:fill="auto"/>
            <w:hideMark/>
          </w:tcPr>
          <w:p w14:paraId="5459D810" w14:textId="77777777" w:rsidR="005F7A91" w:rsidRDefault="007C7639">
            <w:pPr>
              <w:tabs>
                <w:tab w:val="clear" w:pos="567"/>
              </w:tabs>
              <w:spacing w:line="240" w:lineRule="auto"/>
              <w:jc w:val="both"/>
              <w:rPr>
                <w:szCs w:val="22"/>
                <w:lang w:val="sl-SI" w:eastAsia="sl-SI"/>
              </w:rPr>
            </w:pPr>
            <w:r>
              <w:rPr>
                <w:szCs w:val="22"/>
                <w:lang w:val="sl-SI" w:eastAsia="sl-SI"/>
              </w:rPr>
              <w:t>Simptomatska rekurentna VTE*</w:t>
            </w:r>
          </w:p>
        </w:tc>
        <w:tc>
          <w:tcPr>
            <w:tcW w:w="1348" w:type="pct"/>
            <w:shd w:val="clear" w:color="auto" w:fill="auto"/>
            <w:hideMark/>
          </w:tcPr>
          <w:p w14:paraId="15C2C2E5" w14:textId="77777777" w:rsidR="005F7A91" w:rsidRDefault="007C7639">
            <w:pPr>
              <w:tabs>
                <w:tab w:val="clear" w:pos="567"/>
              </w:tabs>
              <w:spacing w:line="240" w:lineRule="auto"/>
              <w:jc w:val="both"/>
              <w:rPr>
                <w:szCs w:val="22"/>
                <w:lang w:val="sl-SI" w:eastAsia="sl-SI"/>
              </w:rPr>
            </w:pPr>
            <w:r>
              <w:rPr>
                <w:szCs w:val="22"/>
                <w:lang w:val="sl-SI" w:eastAsia="sl-SI"/>
              </w:rPr>
              <w:t>8</w:t>
            </w:r>
          </w:p>
          <w:p w14:paraId="6BBB7FF0" w14:textId="77777777" w:rsidR="005F7A91" w:rsidRDefault="007C7639">
            <w:pPr>
              <w:tabs>
                <w:tab w:val="clear" w:pos="567"/>
              </w:tabs>
              <w:spacing w:line="240" w:lineRule="auto"/>
              <w:jc w:val="both"/>
              <w:rPr>
                <w:szCs w:val="22"/>
                <w:lang w:val="sl-SI" w:eastAsia="sl-SI"/>
              </w:rPr>
            </w:pPr>
            <w:r>
              <w:rPr>
                <w:szCs w:val="22"/>
                <w:lang w:val="sl-SI" w:eastAsia="sl-SI"/>
              </w:rPr>
              <w:t>(1,3%)</w:t>
            </w:r>
          </w:p>
        </w:tc>
        <w:tc>
          <w:tcPr>
            <w:tcW w:w="1347" w:type="pct"/>
            <w:shd w:val="clear" w:color="auto" w:fill="auto"/>
            <w:hideMark/>
          </w:tcPr>
          <w:p w14:paraId="13281599" w14:textId="77777777" w:rsidR="005F7A91" w:rsidRDefault="007C7639">
            <w:pPr>
              <w:tabs>
                <w:tab w:val="clear" w:pos="567"/>
              </w:tabs>
              <w:spacing w:line="240" w:lineRule="auto"/>
              <w:jc w:val="both"/>
              <w:rPr>
                <w:szCs w:val="22"/>
                <w:lang w:val="sl-SI" w:eastAsia="sl-SI"/>
              </w:rPr>
            </w:pPr>
            <w:r>
              <w:rPr>
                <w:szCs w:val="22"/>
                <w:lang w:val="sl-SI" w:eastAsia="sl-SI"/>
              </w:rPr>
              <w:t>42</w:t>
            </w:r>
          </w:p>
          <w:p w14:paraId="03D1485B" w14:textId="77777777" w:rsidR="005F7A91" w:rsidRDefault="007C7639">
            <w:pPr>
              <w:tabs>
                <w:tab w:val="clear" w:pos="567"/>
              </w:tabs>
              <w:spacing w:line="240" w:lineRule="auto"/>
              <w:jc w:val="both"/>
              <w:rPr>
                <w:szCs w:val="22"/>
                <w:lang w:val="sl-SI" w:eastAsia="sl-SI"/>
              </w:rPr>
            </w:pPr>
            <w:r>
              <w:rPr>
                <w:szCs w:val="22"/>
                <w:lang w:val="sl-SI" w:eastAsia="sl-SI"/>
              </w:rPr>
              <w:t>(7,1%)</w:t>
            </w:r>
          </w:p>
        </w:tc>
      </w:tr>
      <w:tr w:rsidR="005F7A91" w14:paraId="4D21F72D" w14:textId="77777777">
        <w:tc>
          <w:tcPr>
            <w:tcW w:w="2305" w:type="pct"/>
            <w:shd w:val="clear" w:color="auto" w:fill="auto"/>
            <w:hideMark/>
          </w:tcPr>
          <w:p w14:paraId="16323C78" w14:textId="77777777" w:rsidR="005F7A91" w:rsidRDefault="007C7639">
            <w:pPr>
              <w:tabs>
                <w:tab w:val="clear" w:pos="567"/>
              </w:tabs>
              <w:spacing w:line="240" w:lineRule="auto"/>
              <w:jc w:val="both"/>
              <w:rPr>
                <w:szCs w:val="22"/>
                <w:lang w:val="sl-SI" w:eastAsia="sl-SI"/>
              </w:rPr>
            </w:pPr>
            <w:r>
              <w:rPr>
                <w:szCs w:val="22"/>
                <w:lang w:val="sl-SI" w:eastAsia="sl-SI"/>
              </w:rPr>
              <w:t xml:space="preserve">           Simptomatska rekurentna PE</w:t>
            </w:r>
          </w:p>
        </w:tc>
        <w:tc>
          <w:tcPr>
            <w:tcW w:w="1348" w:type="pct"/>
            <w:shd w:val="clear" w:color="auto" w:fill="auto"/>
            <w:hideMark/>
          </w:tcPr>
          <w:p w14:paraId="20468EEE" w14:textId="77777777" w:rsidR="005F7A91" w:rsidRDefault="007C7639">
            <w:pPr>
              <w:tabs>
                <w:tab w:val="clear" w:pos="567"/>
              </w:tabs>
              <w:spacing w:line="240" w:lineRule="auto"/>
              <w:jc w:val="both"/>
              <w:rPr>
                <w:szCs w:val="22"/>
                <w:lang w:val="sl-SI" w:eastAsia="sl-SI"/>
              </w:rPr>
            </w:pPr>
            <w:r>
              <w:rPr>
                <w:szCs w:val="22"/>
                <w:lang w:val="sl-SI" w:eastAsia="sl-SI"/>
              </w:rPr>
              <w:t>2</w:t>
            </w:r>
          </w:p>
          <w:p w14:paraId="4DE5F0F0" w14:textId="77777777" w:rsidR="005F7A91" w:rsidRDefault="007C7639">
            <w:pPr>
              <w:tabs>
                <w:tab w:val="clear" w:pos="567"/>
              </w:tabs>
              <w:spacing w:line="240" w:lineRule="auto"/>
              <w:jc w:val="both"/>
              <w:rPr>
                <w:szCs w:val="22"/>
                <w:lang w:val="sl-SI" w:eastAsia="sl-SI"/>
              </w:rPr>
            </w:pPr>
            <w:r>
              <w:rPr>
                <w:szCs w:val="22"/>
                <w:lang w:val="sl-SI" w:eastAsia="sl-SI"/>
              </w:rPr>
              <w:t>(0,3%)</w:t>
            </w:r>
          </w:p>
        </w:tc>
        <w:tc>
          <w:tcPr>
            <w:tcW w:w="1347" w:type="pct"/>
            <w:shd w:val="clear" w:color="auto" w:fill="auto"/>
            <w:hideMark/>
          </w:tcPr>
          <w:p w14:paraId="09591509" w14:textId="77777777" w:rsidR="005F7A91" w:rsidRDefault="007C7639">
            <w:pPr>
              <w:tabs>
                <w:tab w:val="clear" w:pos="567"/>
              </w:tabs>
              <w:spacing w:line="240" w:lineRule="auto"/>
              <w:jc w:val="both"/>
              <w:rPr>
                <w:szCs w:val="22"/>
                <w:lang w:val="sl-SI" w:eastAsia="sl-SI"/>
              </w:rPr>
            </w:pPr>
            <w:r>
              <w:rPr>
                <w:szCs w:val="22"/>
                <w:lang w:val="sl-SI" w:eastAsia="sl-SI"/>
              </w:rPr>
              <w:t>13</w:t>
            </w:r>
          </w:p>
          <w:p w14:paraId="3988B8AF" w14:textId="77777777" w:rsidR="005F7A91" w:rsidRDefault="007C7639">
            <w:pPr>
              <w:tabs>
                <w:tab w:val="clear" w:pos="567"/>
              </w:tabs>
              <w:spacing w:line="240" w:lineRule="auto"/>
              <w:jc w:val="both"/>
              <w:rPr>
                <w:szCs w:val="22"/>
                <w:lang w:val="sl-SI" w:eastAsia="sl-SI"/>
              </w:rPr>
            </w:pPr>
            <w:r>
              <w:rPr>
                <w:szCs w:val="22"/>
                <w:lang w:val="sl-SI" w:eastAsia="sl-SI"/>
              </w:rPr>
              <w:t>(2,2%)</w:t>
            </w:r>
          </w:p>
        </w:tc>
      </w:tr>
      <w:tr w:rsidR="005F7A91" w14:paraId="0534FDDA" w14:textId="77777777">
        <w:tc>
          <w:tcPr>
            <w:tcW w:w="2305" w:type="pct"/>
            <w:shd w:val="clear" w:color="auto" w:fill="auto"/>
            <w:hideMark/>
          </w:tcPr>
          <w:p w14:paraId="2B145EE1" w14:textId="77777777" w:rsidR="005F7A91" w:rsidRDefault="007C7639">
            <w:pPr>
              <w:tabs>
                <w:tab w:val="clear" w:pos="567"/>
              </w:tabs>
              <w:spacing w:line="240" w:lineRule="auto"/>
              <w:ind w:left="567"/>
              <w:jc w:val="both"/>
              <w:rPr>
                <w:szCs w:val="22"/>
                <w:lang w:val="sl-SI" w:eastAsia="sl-SI"/>
              </w:rPr>
            </w:pPr>
            <w:r>
              <w:rPr>
                <w:szCs w:val="22"/>
                <w:lang w:val="sl-SI" w:eastAsia="sl-SI"/>
              </w:rPr>
              <w:t>Simptomatska rekurentna TDV</w:t>
            </w:r>
          </w:p>
        </w:tc>
        <w:tc>
          <w:tcPr>
            <w:tcW w:w="1348" w:type="pct"/>
            <w:shd w:val="clear" w:color="auto" w:fill="auto"/>
            <w:hideMark/>
          </w:tcPr>
          <w:p w14:paraId="478895EF" w14:textId="77777777" w:rsidR="005F7A91" w:rsidRDefault="007C7639">
            <w:pPr>
              <w:tabs>
                <w:tab w:val="clear" w:pos="567"/>
              </w:tabs>
              <w:spacing w:line="240" w:lineRule="auto"/>
              <w:jc w:val="both"/>
              <w:rPr>
                <w:szCs w:val="22"/>
                <w:lang w:val="sl-SI" w:eastAsia="sl-SI"/>
              </w:rPr>
            </w:pPr>
            <w:r>
              <w:rPr>
                <w:szCs w:val="22"/>
                <w:lang w:val="sl-SI" w:eastAsia="sl-SI"/>
              </w:rPr>
              <w:t>5</w:t>
            </w:r>
          </w:p>
          <w:p w14:paraId="5DECD481" w14:textId="77777777" w:rsidR="005F7A91" w:rsidRDefault="007C7639">
            <w:pPr>
              <w:tabs>
                <w:tab w:val="clear" w:pos="567"/>
              </w:tabs>
              <w:spacing w:line="240" w:lineRule="auto"/>
              <w:jc w:val="both"/>
              <w:rPr>
                <w:szCs w:val="22"/>
                <w:lang w:val="sl-SI" w:eastAsia="sl-SI"/>
              </w:rPr>
            </w:pPr>
            <w:r>
              <w:rPr>
                <w:szCs w:val="22"/>
                <w:lang w:val="sl-SI" w:eastAsia="sl-SI"/>
              </w:rPr>
              <w:t>(0,8%)</w:t>
            </w:r>
          </w:p>
        </w:tc>
        <w:tc>
          <w:tcPr>
            <w:tcW w:w="1347" w:type="pct"/>
            <w:shd w:val="clear" w:color="auto" w:fill="auto"/>
            <w:hideMark/>
          </w:tcPr>
          <w:p w14:paraId="61A13B2B" w14:textId="77777777" w:rsidR="005F7A91" w:rsidRDefault="007C7639">
            <w:pPr>
              <w:tabs>
                <w:tab w:val="clear" w:pos="567"/>
              </w:tabs>
              <w:spacing w:line="240" w:lineRule="auto"/>
              <w:jc w:val="both"/>
              <w:rPr>
                <w:szCs w:val="22"/>
                <w:lang w:val="sl-SI" w:eastAsia="sl-SI"/>
              </w:rPr>
            </w:pPr>
            <w:r>
              <w:rPr>
                <w:szCs w:val="22"/>
                <w:lang w:val="sl-SI" w:eastAsia="sl-SI"/>
              </w:rPr>
              <w:t>31</w:t>
            </w:r>
          </w:p>
          <w:p w14:paraId="0167C674" w14:textId="77777777" w:rsidR="005F7A91" w:rsidRDefault="007C7639">
            <w:pPr>
              <w:tabs>
                <w:tab w:val="clear" w:pos="567"/>
              </w:tabs>
              <w:spacing w:line="240" w:lineRule="auto"/>
              <w:jc w:val="both"/>
              <w:rPr>
                <w:szCs w:val="22"/>
                <w:lang w:val="sl-SI" w:eastAsia="sl-SI"/>
              </w:rPr>
            </w:pPr>
            <w:r>
              <w:rPr>
                <w:szCs w:val="22"/>
                <w:lang w:val="sl-SI" w:eastAsia="sl-SI"/>
              </w:rPr>
              <w:t>(5,2%)</w:t>
            </w:r>
          </w:p>
        </w:tc>
      </w:tr>
      <w:tr w:rsidR="005F7A91" w14:paraId="56D7E586" w14:textId="77777777">
        <w:tc>
          <w:tcPr>
            <w:tcW w:w="2305" w:type="pct"/>
            <w:shd w:val="clear" w:color="auto" w:fill="auto"/>
            <w:hideMark/>
          </w:tcPr>
          <w:p w14:paraId="5CFB4007" w14:textId="77777777" w:rsidR="005F7A91" w:rsidRDefault="007C7639">
            <w:pPr>
              <w:tabs>
                <w:tab w:val="clear" w:pos="567"/>
              </w:tabs>
              <w:spacing w:line="240" w:lineRule="auto"/>
              <w:ind w:left="567"/>
              <w:jc w:val="both"/>
              <w:rPr>
                <w:szCs w:val="22"/>
                <w:lang w:val="sl-SI" w:eastAsia="sl-SI"/>
              </w:rPr>
            </w:pPr>
            <w:r>
              <w:rPr>
                <w:szCs w:val="22"/>
                <w:lang w:val="sl-SI" w:eastAsia="sl-SI"/>
              </w:rPr>
              <w:t>Fatalna PE / smrt za koju se ne može isključiti PE</w:t>
            </w:r>
          </w:p>
        </w:tc>
        <w:tc>
          <w:tcPr>
            <w:tcW w:w="1348" w:type="pct"/>
            <w:shd w:val="clear" w:color="auto" w:fill="auto"/>
            <w:hideMark/>
          </w:tcPr>
          <w:p w14:paraId="2DD43BD8" w14:textId="77777777" w:rsidR="005F7A91" w:rsidRDefault="007C7639">
            <w:pPr>
              <w:tabs>
                <w:tab w:val="clear" w:pos="567"/>
              </w:tabs>
              <w:spacing w:line="240" w:lineRule="auto"/>
              <w:jc w:val="both"/>
              <w:rPr>
                <w:szCs w:val="22"/>
                <w:lang w:val="sl-SI" w:eastAsia="sl-SI"/>
              </w:rPr>
            </w:pPr>
            <w:r>
              <w:rPr>
                <w:szCs w:val="22"/>
                <w:lang w:val="sl-SI" w:eastAsia="sl-SI"/>
              </w:rPr>
              <w:t>1</w:t>
            </w:r>
          </w:p>
          <w:p w14:paraId="4208AC41" w14:textId="77777777" w:rsidR="005F7A91" w:rsidRDefault="007C7639">
            <w:pPr>
              <w:tabs>
                <w:tab w:val="clear" w:pos="567"/>
              </w:tabs>
              <w:spacing w:line="240" w:lineRule="auto"/>
              <w:jc w:val="both"/>
              <w:rPr>
                <w:szCs w:val="22"/>
                <w:lang w:val="sl-SI" w:eastAsia="sl-SI"/>
              </w:rPr>
            </w:pPr>
            <w:r>
              <w:rPr>
                <w:szCs w:val="22"/>
                <w:lang w:val="sl-SI" w:eastAsia="sl-SI"/>
              </w:rPr>
              <w:t>(0,2%)</w:t>
            </w:r>
          </w:p>
        </w:tc>
        <w:tc>
          <w:tcPr>
            <w:tcW w:w="1347" w:type="pct"/>
            <w:shd w:val="clear" w:color="auto" w:fill="auto"/>
            <w:hideMark/>
          </w:tcPr>
          <w:p w14:paraId="61C50AD5" w14:textId="77777777" w:rsidR="005F7A91" w:rsidRDefault="007C7639">
            <w:pPr>
              <w:tabs>
                <w:tab w:val="clear" w:pos="567"/>
              </w:tabs>
              <w:spacing w:line="240" w:lineRule="auto"/>
              <w:jc w:val="both"/>
              <w:rPr>
                <w:szCs w:val="22"/>
                <w:lang w:val="sl-SI" w:eastAsia="sl-SI"/>
              </w:rPr>
            </w:pPr>
            <w:r>
              <w:rPr>
                <w:szCs w:val="22"/>
                <w:lang w:val="sl-SI" w:eastAsia="sl-SI"/>
              </w:rPr>
              <w:t>1</w:t>
            </w:r>
          </w:p>
          <w:p w14:paraId="5F3D89AF" w14:textId="77777777" w:rsidR="005F7A91" w:rsidRDefault="007C7639">
            <w:pPr>
              <w:tabs>
                <w:tab w:val="clear" w:pos="567"/>
              </w:tabs>
              <w:spacing w:line="240" w:lineRule="auto"/>
              <w:jc w:val="both"/>
              <w:rPr>
                <w:szCs w:val="22"/>
                <w:lang w:val="sl-SI" w:eastAsia="sl-SI"/>
              </w:rPr>
            </w:pPr>
            <w:r>
              <w:rPr>
                <w:szCs w:val="22"/>
                <w:lang w:val="sl-SI" w:eastAsia="sl-SI"/>
              </w:rPr>
              <w:t>(0,2%)</w:t>
            </w:r>
          </w:p>
        </w:tc>
      </w:tr>
      <w:tr w:rsidR="005F7A91" w14:paraId="10FEA5A1" w14:textId="77777777">
        <w:tc>
          <w:tcPr>
            <w:tcW w:w="2305" w:type="pct"/>
            <w:shd w:val="clear" w:color="auto" w:fill="auto"/>
            <w:hideMark/>
          </w:tcPr>
          <w:p w14:paraId="338D358C" w14:textId="77777777" w:rsidR="005F7A91" w:rsidRDefault="007C7639">
            <w:pPr>
              <w:tabs>
                <w:tab w:val="clear" w:pos="567"/>
              </w:tabs>
              <w:spacing w:line="240" w:lineRule="auto"/>
              <w:jc w:val="both"/>
              <w:rPr>
                <w:szCs w:val="22"/>
                <w:lang w:val="sl-SI" w:eastAsia="sl-SI"/>
              </w:rPr>
            </w:pPr>
            <w:r>
              <w:rPr>
                <w:szCs w:val="22"/>
                <w:lang w:val="sl-SI" w:eastAsia="sl-SI"/>
              </w:rPr>
              <w:t>Velika krvarenja</w:t>
            </w:r>
          </w:p>
        </w:tc>
        <w:tc>
          <w:tcPr>
            <w:tcW w:w="1348" w:type="pct"/>
            <w:shd w:val="clear" w:color="auto" w:fill="auto"/>
            <w:hideMark/>
          </w:tcPr>
          <w:p w14:paraId="4B4C1CF7" w14:textId="77777777" w:rsidR="005F7A91" w:rsidRDefault="007C7639">
            <w:pPr>
              <w:tabs>
                <w:tab w:val="clear" w:pos="567"/>
              </w:tabs>
              <w:spacing w:line="240" w:lineRule="auto"/>
              <w:jc w:val="both"/>
              <w:rPr>
                <w:szCs w:val="22"/>
                <w:lang w:val="sl-SI" w:eastAsia="sl-SI"/>
              </w:rPr>
            </w:pPr>
            <w:r>
              <w:rPr>
                <w:szCs w:val="22"/>
                <w:lang w:val="sl-SI" w:eastAsia="sl-SI"/>
              </w:rPr>
              <w:t>4</w:t>
            </w:r>
          </w:p>
          <w:p w14:paraId="42001928" w14:textId="77777777" w:rsidR="005F7A91" w:rsidRDefault="007C7639">
            <w:pPr>
              <w:tabs>
                <w:tab w:val="clear" w:pos="567"/>
              </w:tabs>
              <w:spacing w:line="240" w:lineRule="auto"/>
              <w:jc w:val="both"/>
              <w:rPr>
                <w:szCs w:val="22"/>
                <w:lang w:val="sl-SI" w:eastAsia="sl-SI"/>
              </w:rPr>
            </w:pPr>
            <w:r>
              <w:rPr>
                <w:szCs w:val="22"/>
                <w:lang w:val="sl-SI" w:eastAsia="sl-SI"/>
              </w:rPr>
              <w:t>(0,7%)</w:t>
            </w:r>
          </w:p>
        </w:tc>
        <w:tc>
          <w:tcPr>
            <w:tcW w:w="1347" w:type="pct"/>
            <w:shd w:val="clear" w:color="auto" w:fill="auto"/>
            <w:hideMark/>
          </w:tcPr>
          <w:p w14:paraId="18D1DCD0" w14:textId="77777777" w:rsidR="005F7A91" w:rsidRDefault="007C7639">
            <w:pPr>
              <w:tabs>
                <w:tab w:val="clear" w:pos="567"/>
              </w:tabs>
              <w:spacing w:line="240" w:lineRule="auto"/>
              <w:jc w:val="both"/>
              <w:rPr>
                <w:szCs w:val="22"/>
                <w:lang w:val="sl-SI" w:eastAsia="sl-SI"/>
              </w:rPr>
            </w:pPr>
            <w:r>
              <w:rPr>
                <w:szCs w:val="22"/>
                <w:lang w:val="sl-SI" w:eastAsia="sl-SI"/>
              </w:rPr>
              <w:t>0</w:t>
            </w:r>
          </w:p>
          <w:p w14:paraId="4610E3C4" w14:textId="77777777" w:rsidR="005F7A91" w:rsidRDefault="007C7639">
            <w:pPr>
              <w:tabs>
                <w:tab w:val="clear" w:pos="567"/>
              </w:tabs>
              <w:spacing w:line="240" w:lineRule="auto"/>
              <w:jc w:val="both"/>
              <w:rPr>
                <w:szCs w:val="22"/>
                <w:lang w:val="sl-SI" w:eastAsia="sl-SI"/>
              </w:rPr>
            </w:pPr>
            <w:r>
              <w:rPr>
                <w:szCs w:val="22"/>
                <w:lang w:val="sl-SI" w:eastAsia="sl-SI"/>
              </w:rPr>
              <w:t>(0,0%)</w:t>
            </w:r>
          </w:p>
        </w:tc>
      </w:tr>
      <w:tr w:rsidR="005F7A91" w14:paraId="292DD3ED" w14:textId="77777777">
        <w:tc>
          <w:tcPr>
            <w:tcW w:w="2305" w:type="pct"/>
            <w:shd w:val="clear" w:color="auto" w:fill="auto"/>
            <w:hideMark/>
          </w:tcPr>
          <w:p w14:paraId="1424D9A6"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Klinički relevantna krvarenja koja nisu klasifikovana kao velika</w:t>
            </w:r>
          </w:p>
        </w:tc>
        <w:tc>
          <w:tcPr>
            <w:tcW w:w="1348" w:type="pct"/>
            <w:shd w:val="clear" w:color="auto" w:fill="auto"/>
            <w:hideMark/>
          </w:tcPr>
          <w:p w14:paraId="64BE65B5" w14:textId="77777777" w:rsidR="005F7A91" w:rsidRDefault="007C7639">
            <w:pPr>
              <w:tabs>
                <w:tab w:val="clear" w:pos="567"/>
              </w:tabs>
              <w:spacing w:line="240" w:lineRule="auto"/>
              <w:jc w:val="both"/>
              <w:rPr>
                <w:szCs w:val="22"/>
                <w:lang w:val="sl-SI" w:eastAsia="sl-SI"/>
              </w:rPr>
            </w:pPr>
            <w:r>
              <w:rPr>
                <w:szCs w:val="22"/>
                <w:lang w:val="sl-SI" w:eastAsia="sl-SI"/>
              </w:rPr>
              <w:t>32</w:t>
            </w:r>
          </w:p>
          <w:p w14:paraId="7750B7A1" w14:textId="77777777" w:rsidR="005F7A91" w:rsidRDefault="007C7639">
            <w:pPr>
              <w:tabs>
                <w:tab w:val="clear" w:pos="567"/>
              </w:tabs>
              <w:spacing w:line="240" w:lineRule="auto"/>
              <w:jc w:val="both"/>
              <w:rPr>
                <w:szCs w:val="22"/>
                <w:lang w:val="sl-SI" w:eastAsia="sl-SI"/>
              </w:rPr>
            </w:pPr>
            <w:r>
              <w:rPr>
                <w:szCs w:val="22"/>
                <w:lang w:val="sl-SI" w:eastAsia="sl-SI"/>
              </w:rPr>
              <w:t>(5,4%)</w:t>
            </w:r>
          </w:p>
        </w:tc>
        <w:tc>
          <w:tcPr>
            <w:tcW w:w="1347" w:type="pct"/>
            <w:shd w:val="clear" w:color="auto" w:fill="auto"/>
            <w:hideMark/>
          </w:tcPr>
          <w:p w14:paraId="6EA18463" w14:textId="77777777" w:rsidR="005F7A91" w:rsidRDefault="007C7639">
            <w:pPr>
              <w:tabs>
                <w:tab w:val="clear" w:pos="567"/>
              </w:tabs>
              <w:spacing w:line="240" w:lineRule="auto"/>
              <w:jc w:val="both"/>
              <w:rPr>
                <w:szCs w:val="22"/>
                <w:lang w:val="sl-SI" w:eastAsia="sl-SI"/>
              </w:rPr>
            </w:pPr>
            <w:r>
              <w:rPr>
                <w:szCs w:val="22"/>
                <w:lang w:val="sl-SI" w:eastAsia="sl-SI"/>
              </w:rPr>
              <w:t>7</w:t>
            </w:r>
          </w:p>
          <w:p w14:paraId="4560AF31" w14:textId="77777777" w:rsidR="005F7A91" w:rsidRDefault="007C7639">
            <w:pPr>
              <w:tabs>
                <w:tab w:val="clear" w:pos="567"/>
              </w:tabs>
              <w:spacing w:line="240" w:lineRule="auto"/>
              <w:jc w:val="both"/>
              <w:rPr>
                <w:szCs w:val="22"/>
                <w:lang w:val="sl-SI" w:eastAsia="sl-SI"/>
              </w:rPr>
            </w:pPr>
            <w:r>
              <w:rPr>
                <w:szCs w:val="22"/>
                <w:lang w:val="sl-SI" w:eastAsia="sl-SI"/>
              </w:rPr>
              <w:t>(1,2%)</w:t>
            </w:r>
          </w:p>
        </w:tc>
      </w:tr>
    </w:tbl>
    <w:p w14:paraId="5E27FEDE" w14:textId="77777777" w:rsidR="005F7A91" w:rsidRDefault="007C7639">
      <w:pPr>
        <w:shd w:val="clear" w:color="auto" w:fill="FFFFFF"/>
        <w:tabs>
          <w:tab w:val="clear" w:pos="567"/>
        </w:tabs>
        <w:spacing w:line="240" w:lineRule="auto"/>
        <w:jc w:val="both"/>
        <w:rPr>
          <w:color w:val="000000"/>
          <w:szCs w:val="22"/>
          <w:lang w:val="sl-SI" w:eastAsia="sl-SI"/>
        </w:rPr>
      </w:pPr>
      <w:r>
        <w:rPr>
          <w:color w:val="000000"/>
          <w:szCs w:val="22"/>
          <w:lang w:val="sl-SI" w:eastAsia="sl-SI"/>
        </w:rPr>
        <w:t>a) Rivaroksaban 20 mg jednom dnevno.</w:t>
      </w:r>
    </w:p>
    <w:p w14:paraId="3F696756" w14:textId="77777777" w:rsidR="005F7A91" w:rsidRDefault="007C7639">
      <w:pPr>
        <w:shd w:val="clear" w:color="auto" w:fill="FFFFFF"/>
        <w:tabs>
          <w:tab w:val="clear" w:pos="567"/>
        </w:tabs>
        <w:spacing w:line="240" w:lineRule="auto"/>
        <w:jc w:val="both"/>
        <w:rPr>
          <w:color w:val="000000"/>
          <w:szCs w:val="22"/>
          <w:lang w:val="sl-SI" w:eastAsia="sl-SI"/>
        </w:rPr>
      </w:pPr>
      <w:r>
        <w:rPr>
          <w:color w:val="000000"/>
          <w:szCs w:val="22"/>
          <w:lang w:val="sl-SI" w:eastAsia="sl-SI"/>
        </w:rPr>
        <w:t>* p &lt; 0,0001 (superiornost), HR: 0,185 (0,087 – 0,393)</w:t>
      </w:r>
    </w:p>
    <w:p w14:paraId="49AE1C2B" w14:textId="77777777" w:rsidR="005F7A91" w:rsidRDefault="005F7A91">
      <w:pPr>
        <w:shd w:val="clear" w:color="auto" w:fill="FFFFFF"/>
        <w:tabs>
          <w:tab w:val="clear" w:pos="567"/>
        </w:tabs>
        <w:spacing w:line="240" w:lineRule="auto"/>
        <w:jc w:val="both"/>
        <w:rPr>
          <w:color w:val="000000"/>
          <w:szCs w:val="22"/>
          <w:lang w:val="sl-SI" w:eastAsia="sl-SI"/>
        </w:rPr>
      </w:pPr>
    </w:p>
    <w:p w14:paraId="377B73DD" w14:textId="77777777" w:rsidR="005F7A91" w:rsidRDefault="007C7639">
      <w:pPr>
        <w:shd w:val="clear" w:color="auto" w:fill="FFFFFF"/>
        <w:tabs>
          <w:tab w:val="clear" w:pos="567"/>
        </w:tabs>
        <w:spacing w:line="240" w:lineRule="auto"/>
        <w:jc w:val="both"/>
        <w:rPr>
          <w:color w:val="000000"/>
          <w:szCs w:val="22"/>
          <w:lang w:val="sl-SI" w:eastAsia="sl-SI"/>
        </w:rPr>
      </w:pPr>
      <w:r>
        <w:rPr>
          <w:szCs w:val="22"/>
          <w:lang w:val="sl-SI" w:eastAsia="sl-SI"/>
        </w:rPr>
        <w:t xml:space="preserve">U </w:t>
      </w:r>
      <w:r>
        <w:rPr>
          <w:i/>
          <w:szCs w:val="22"/>
          <w:lang w:val="sl-SI" w:eastAsia="sl-SI"/>
        </w:rPr>
        <w:t>Einstein Choice</w:t>
      </w:r>
      <w:r>
        <w:rPr>
          <w:szCs w:val="22"/>
          <w:lang w:val="sl-SI" w:eastAsia="sl-SI"/>
        </w:rPr>
        <w:t xml:space="preserve"> studiji (vidjeti Tabelu 9) rivaroksaban 20 mg i rivaroksaban 10 mg su pokazali superiornost u odnosu na acetilsalicilnu kiselinu od 100 mg u pogledu primarnog ishoda efikasnosti. Glavni ishod ispitivanja bezbjednosti (velika krvarenja) bio je sličan kod pacijenata liječenih rivaroksabanom 20 mg i rivaroksabanom 10 mg jedanput na dan u poređenju sa acetilsalicilnom kiselinom od 100 mg.</w:t>
      </w:r>
    </w:p>
    <w:p w14:paraId="1618C1C0" w14:textId="77777777" w:rsidR="005F7A91" w:rsidRDefault="005F7A91">
      <w:pPr>
        <w:shd w:val="clear" w:color="auto" w:fill="FFFFFF"/>
        <w:tabs>
          <w:tab w:val="clear" w:pos="567"/>
        </w:tabs>
        <w:spacing w:line="240" w:lineRule="auto"/>
        <w:jc w:val="both"/>
        <w:rPr>
          <w:color w:val="000000"/>
          <w:szCs w:val="22"/>
          <w:lang w:val="sl-SI" w:eastAsia="sl-SI"/>
        </w:rPr>
      </w:pPr>
    </w:p>
    <w:p w14:paraId="4ECD9BC5"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b/>
          <w:bCs/>
          <w:color w:val="000000"/>
          <w:szCs w:val="22"/>
          <w:lang w:val="hr-HR" w:eastAsia="sl-SI"/>
        </w:rPr>
        <w:t xml:space="preserve">Tabela 9: Rezultati efikasnosti i bezbjednosti iz ispitivanja </w:t>
      </w:r>
      <w:r>
        <w:rPr>
          <w:b/>
          <w:bCs/>
          <w:i/>
          <w:color w:val="000000"/>
          <w:szCs w:val="22"/>
          <w:lang w:val="hr-HR" w:eastAsia="sl-SI"/>
        </w:rPr>
        <w:t xml:space="preserve">Einstein Choice </w:t>
      </w:r>
      <w:r>
        <w:rPr>
          <w:b/>
          <w:bCs/>
          <w:color w:val="000000"/>
          <w:szCs w:val="22"/>
          <w:lang w:val="hr-HR" w:eastAsia="sl-SI"/>
        </w:rPr>
        <w:t>faze III</w:t>
      </w:r>
    </w:p>
    <w:tbl>
      <w:tblPr>
        <w:tblW w:w="9528"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03"/>
        <w:gridCol w:w="2555"/>
        <w:gridCol w:w="2125"/>
        <w:gridCol w:w="1845"/>
      </w:tblGrid>
      <w:tr w:rsidR="005F7A91" w14:paraId="7B6BA9BC"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hideMark/>
          </w:tcPr>
          <w:p w14:paraId="40DDB72C" w14:textId="77777777" w:rsidR="005F7A91" w:rsidRDefault="007C7639">
            <w:pPr>
              <w:tabs>
                <w:tab w:val="clear" w:pos="567"/>
              </w:tabs>
              <w:spacing w:line="240" w:lineRule="auto"/>
              <w:jc w:val="both"/>
              <w:rPr>
                <w:szCs w:val="22"/>
                <w:lang w:val="sl-SI" w:eastAsia="sl-SI"/>
              </w:rPr>
            </w:pPr>
            <w:r>
              <w:rPr>
                <w:b/>
                <w:szCs w:val="22"/>
                <w:lang w:val="sl-SI" w:eastAsia="sl-SI"/>
              </w:rPr>
              <w:t>Populacija u studiji</w:t>
            </w:r>
          </w:p>
        </w:tc>
        <w:tc>
          <w:tcPr>
            <w:tcW w:w="3424"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14C8EE53" w14:textId="77777777" w:rsidR="005F7A91" w:rsidRDefault="007C7639">
            <w:pPr>
              <w:tabs>
                <w:tab w:val="clear" w:pos="567"/>
              </w:tabs>
              <w:autoSpaceDE w:val="0"/>
              <w:autoSpaceDN w:val="0"/>
              <w:adjustRightInd w:val="0"/>
              <w:spacing w:line="240" w:lineRule="auto"/>
              <w:jc w:val="both"/>
              <w:rPr>
                <w:b/>
                <w:color w:val="000000"/>
                <w:szCs w:val="22"/>
                <w:lang w:val="hr-HR" w:eastAsia="sl-SI"/>
              </w:rPr>
            </w:pPr>
            <w:r>
              <w:rPr>
                <w:b/>
                <w:color w:val="000000"/>
                <w:szCs w:val="22"/>
                <w:lang w:val="hr-HR" w:eastAsia="sl-SI"/>
              </w:rPr>
              <w:t>3396 pacijenata koji su nastavili terapiju i prevenciju rekurentne venske tromboembolije</w:t>
            </w:r>
          </w:p>
        </w:tc>
      </w:tr>
      <w:tr w:rsidR="005F7A91" w14:paraId="3CBD73FD"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hideMark/>
          </w:tcPr>
          <w:p w14:paraId="6C5B8B5A" w14:textId="77777777" w:rsidR="005F7A91" w:rsidRDefault="007C7639">
            <w:pPr>
              <w:tabs>
                <w:tab w:val="clear" w:pos="567"/>
              </w:tabs>
              <w:spacing w:line="240" w:lineRule="auto"/>
              <w:jc w:val="both"/>
              <w:rPr>
                <w:szCs w:val="22"/>
                <w:lang w:val="sl-SI" w:eastAsia="sl-SI"/>
              </w:rPr>
            </w:pPr>
            <w:r>
              <w:rPr>
                <w:b/>
                <w:szCs w:val="22"/>
                <w:lang w:val="sl-SI" w:eastAsia="sl-SI"/>
              </w:rPr>
              <w:t>Terapijska doza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EFDF7DB" w14:textId="77777777" w:rsidR="005F7A91" w:rsidRDefault="007C7639">
            <w:pPr>
              <w:tabs>
                <w:tab w:val="clear" w:pos="567"/>
              </w:tabs>
              <w:spacing w:line="240" w:lineRule="auto"/>
              <w:jc w:val="both"/>
              <w:rPr>
                <w:b/>
                <w:bCs/>
                <w:szCs w:val="22"/>
                <w:lang w:val="sl-SI" w:eastAsia="sl-SI"/>
              </w:rPr>
            </w:pPr>
            <w:r>
              <w:rPr>
                <w:b/>
                <w:szCs w:val="22"/>
                <w:lang w:val="sl-SI"/>
              </w:rPr>
              <w:t>Rivaroksaban</w:t>
            </w:r>
            <w:r>
              <w:rPr>
                <w:b/>
                <w:bCs/>
                <w:szCs w:val="22"/>
                <w:lang w:val="sl-SI" w:eastAsia="sl-SI"/>
              </w:rPr>
              <w:t xml:space="preserve"> 20 mg jednom dnevno</w:t>
            </w:r>
          </w:p>
          <w:p w14:paraId="401A3F49" w14:textId="77777777" w:rsidR="005F7A91" w:rsidRDefault="005F7A91">
            <w:pPr>
              <w:tabs>
                <w:tab w:val="clear" w:pos="567"/>
              </w:tabs>
              <w:spacing w:line="240" w:lineRule="auto"/>
              <w:jc w:val="both"/>
              <w:rPr>
                <w:szCs w:val="22"/>
                <w:lang w:val="sl-SI" w:eastAsia="sl-SI"/>
              </w:rPr>
            </w:pPr>
          </w:p>
          <w:p w14:paraId="49FAAC3C" w14:textId="77777777" w:rsidR="005F7A91" w:rsidRDefault="007C7639">
            <w:pPr>
              <w:tabs>
                <w:tab w:val="clear" w:pos="567"/>
              </w:tabs>
              <w:spacing w:line="240" w:lineRule="auto"/>
              <w:jc w:val="both"/>
              <w:rPr>
                <w:b/>
                <w:szCs w:val="22"/>
                <w:lang w:val="sl-SI" w:eastAsia="sl-SI"/>
              </w:rPr>
            </w:pPr>
            <w:r>
              <w:rPr>
                <w:b/>
                <w:bCs/>
                <w:szCs w:val="22"/>
                <w:lang w:val="sl-SI" w:eastAsia="sl-SI"/>
              </w:rPr>
              <w:t>N=1107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0AE5609" w14:textId="77777777" w:rsidR="005F7A91" w:rsidRDefault="007C7639">
            <w:pPr>
              <w:tabs>
                <w:tab w:val="clear" w:pos="567"/>
              </w:tabs>
              <w:spacing w:line="240" w:lineRule="auto"/>
              <w:jc w:val="both"/>
              <w:rPr>
                <w:b/>
                <w:bCs/>
                <w:szCs w:val="22"/>
                <w:lang w:val="sl-SI" w:eastAsia="sl-SI"/>
              </w:rPr>
            </w:pPr>
            <w:r>
              <w:rPr>
                <w:b/>
                <w:szCs w:val="22"/>
                <w:lang w:val="sl-SI"/>
              </w:rPr>
              <w:t>Rivaroksaban</w:t>
            </w:r>
            <w:r>
              <w:rPr>
                <w:b/>
                <w:bCs/>
                <w:szCs w:val="22"/>
                <w:lang w:val="sl-SI" w:eastAsia="sl-SI"/>
              </w:rPr>
              <w:t xml:space="preserve"> 10 mg jednom dnevno</w:t>
            </w:r>
          </w:p>
          <w:p w14:paraId="2B2761C0" w14:textId="77777777" w:rsidR="005F7A91" w:rsidRDefault="005F7A91">
            <w:pPr>
              <w:tabs>
                <w:tab w:val="clear" w:pos="567"/>
              </w:tabs>
              <w:spacing w:line="240" w:lineRule="auto"/>
              <w:jc w:val="both"/>
              <w:rPr>
                <w:szCs w:val="22"/>
                <w:lang w:val="sl-SI" w:eastAsia="sl-SI"/>
              </w:rPr>
            </w:pPr>
          </w:p>
          <w:p w14:paraId="20DDCB5C" w14:textId="77777777" w:rsidR="005F7A91" w:rsidRDefault="007C7639">
            <w:pPr>
              <w:tabs>
                <w:tab w:val="clear" w:pos="567"/>
              </w:tabs>
              <w:spacing w:line="240" w:lineRule="auto"/>
              <w:jc w:val="both"/>
              <w:rPr>
                <w:b/>
                <w:szCs w:val="22"/>
                <w:lang w:val="sl-SI" w:eastAsia="sl-SI"/>
              </w:rPr>
            </w:pPr>
            <w:r>
              <w:rPr>
                <w:b/>
                <w:bCs/>
                <w:szCs w:val="22"/>
                <w:lang w:val="sl-SI" w:eastAsia="sl-SI"/>
              </w:rPr>
              <w:t>N=1127</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7CF3C45" w14:textId="77777777" w:rsidR="005F7A91" w:rsidRDefault="007C7639">
            <w:pPr>
              <w:tabs>
                <w:tab w:val="clear" w:pos="567"/>
              </w:tabs>
              <w:spacing w:line="240" w:lineRule="auto"/>
              <w:jc w:val="both"/>
              <w:rPr>
                <w:szCs w:val="22"/>
                <w:lang w:val="sl-SI" w:eastAsia="sl-SI"/>
              </w:rPr>
            </w:pPr>
            <w:r>
              <w:rPr>
                <w:b/>
                <w:bCs/>
                <w:szCs w:val="22"/>
                <w:lang w:val="sl-SI" w:eastAsia="sl-SI"/>
              </w:rPr>
              <w:t>Acetilsalicilna kiselina 100 mg jednom dnevno</w:t>
            </w:r>
          </w:p>
          <w:p w14:paraId="64481794" w14:textId="77777777" w:rsidR="005F7A91" w:rsidRDefault="007C7639">
            <w:pPr>
              <w:tabs>
                <w:tab w:val="clear" w:pos="567"/>
              </w:tabs>
              <w:spacing w:line="240" w:lineRule="auto"/>
              <w:jc w:val="both"/>
              <w:rPr>
                <w:szCs w:val="22"/>
                <w:lang w:val="sl-SI" w:eastAsia="sl-SI"/>
              </w:rPr>
            </w:pPr>
            <w:r>
              <w:rPr>
                <w:b/>
                <w:bCs/>
                <w:szCs w:val="22"/>
                <w:lang w:val="sl-SI" w:eastAsia="sl-SI"/>
              </w:rPr>
              <w:t>N=1131</w:t>
            </w:r>
          </w:p>
        </w:tc>
      </w:tr>
      <w:tr w:rsidR="005F7A91" w14:paraId="2A20B4CD"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B1787FA"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Trajanje terapije, medijana [interkvartilni raspon]</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0C85E35" w14:textId="77777777" w:rsidR="005F7A91" w:rsidRDefault="007C7639">
            <w:pPr>
              <w:tabs>
                <w:tab w:val="clear" w:pos="567"/>
              </w:tabs>
              <w:spacing w:line="240" w:lineRule="auto"/>
              <w:jc w:val="both"/>
              <w:rPr>
                <w:szCs w:val="22"/>
                <w:lang w:val="sl-SI" w:eastAsia="sl-SI"/>
              </w:rPr>
            </w:pPr>
            <w:r>
              <w:rPr>
                <w:szCs w:val="22"/>
                <w:lang w:val="sl-SI" w:eastAsia="sl-SI"/>
              </w:rPr>
              <w:t>349 [189-362] dana</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1D2EFAC" w14:textId="77777777" w:rsidR="005F7A91" w:rsidRDefault="007C7639">
            <w:pPr>
              <w:tabs>
                <w:tab w:val="clear" w:pos="567"/>
              </w:tabs>
              <w:spacing w:line="240" w:lineRule="auto"/>
              <w:jc w:val="both"/>
              <w:rPr>
                <w:szCs w:val="22"/>
                <w:lang w:val="sl-SI" w:eastAsia="sl-SI"/>
              </w:rPr>
            </w:pPr>
            <w:r>
              <w:rPr>
                <w:szCs w:val="22"/>
                <w:lang w:val="sl-SI" w:eastAsia="sl-SI"/>
              </w:rPr>
              <w:t>353 [190-362] dana</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44159DA" w14:textId="77777777" w:rsidR="005F7A91" w:rsidRDefault="007C7639">
            <w:pPr>
              <w:tabs>
                <w:tab w:val="clear" w:pos="567"/>
              </w:tabs>
              <w:spacing w:line="240" w:lineRule="auto"/>
              <w:jc w:val="both"/>
              <w:rPr>
                <w:szCs w:val="22"/>
                <w:lang w:val="sl-SI" w:eastAsia="sl-SI"/>
              </w:rPr>
            </w:pPr>
            <w:r>
              <w:rPr>
                <w:szCs w:val="22"/>
                <w:lang w:val="sl-SI" w:eastAsia="sl-SI"/>
              </w:rPr>
              <w:t>350 [186-362] dana</w:t>
            </w:r>
          </w:p>
        </w:tc>
      </w:tr>
      <w:tr w:rsidR="005F7A91" w14:paraId="2A0D3C7A"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3C4D438" w14:textId="77777777" w:rsidR="005F7A91" w:rsidRDefault="007C7639">
            <w:pPr>
              <w:tabs>
                <w:tab w:val="clear" w:pos="567"/>
              </w:tabs>
              <w:spacing w:line="240" w:lineRule="auto"/>
              <w:jc w:val="both"/>
              <w:rPr>
                <w:szCs w:val="22"/>
                <w:lang w:val="sl-SI" w:eastAsia="sl-SI"/>
              </w:rPr>
            </w:pPr>
            <w:r>
              <w:rPr>
                <w:szCs w:val="22"/>
                <w:lang w:val="sl-SI" w:eastAsia="sl-SI"/>
              </w:rPr>
              <w:t>Simptomatska rekurentna VTE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10E4793" w14:textId="77777777" w:rsidR="005F7A91" w:rsidRDefault="007C7639">
            <w:pPr>
              <w:tabs>
                <w:tab w:val="clear" w:pos="567"/>
              </w:tabs>
              <w:spacing w:line="240" w:lineRule="auto"/>
              <w:jc w:val="both"/>
              <w:rPr>
                <w:szCs w:val="22"/>
                <w:lang w:val="sl-SI" w:eastAsia="sl-SI"/>
              </w:rPr>
            </w:pPr>
            <w:r>
              <w:rPr>
                <w:szCs w:val="22"/>
                <w:lang w:val="sl-SI" w:eastAsia="sl-SI"/>
              </w:rPr>
              <w:t>17</w:t>
            </w:r>
          </w:p>
          <w:p w14:paraId="4BDCCD6F" w14:textId="77777777" w:rsidR="005F7A91" w:rsidRDefault="007C7639">
            <w:pPr>
              <w:tabs>
                <w:tab w:val="clear" w:pos="567"/>
              </w:tabs>
              <w:spacing w:line="240" w:lineRule="auto"/>
              <w:jc w:val="both"/>
              <w:rPr>
                <w:szCs w:val="22"/>
                <w:lang w:val="sl-SI" w:eastAsia="sl-SI"/>
              </w:rPr>
            </w:pPr>
            <w:r>
              <w:rPr>
                <w:szCs w:val="22"/>
                <w:lang w:val="sl-SI" w:eastAsia="sl-SI"/>
              </w:rPr>
              <w:t>(1,5%)*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0C1FF0D" w14:textId="77777777" w:rsidR="005F7A91" w:rsidRDefault="007C7639">
            <w:pPr>
              <w:tabs>
                <w:tab w:val="clear" w:pos="567"/>
              </w:tabs>
              <w:spacing w:line="240" w:lineRule="auto"/>
              <w:jc w:val="both"/>
              <w:rPr>
                <w:szCs w:val="22"/>
                <w:lang w:val="sl-SI" w:eastAsia="sl-SI"/>
              </w:rPr>
            </w:pPr>
            <w:r>
              <w:rPr>
                <w:szCs w:val="22"/>
                <w:lang w:val="sl-SI" w:eastAsia="sl-SI"/>
              </w:rPr>
              <w:t>13</w:t>
            </w:r>
          </w:p>
          <w:p w14:paraId="5D628CDB" w14:textId="77777777" w:rsidR="005F7A91" w:rsidRDefault="007C7639">
            <w:pPr>
              <w:tabs>
                <w:tab w:val="clear" w:pos="567"/>
              </w:tabs>
              <w:spacing w:line="240" w:lineRule="auto"/>
              <w:jc w:val="both"/>
              <w:rPr>
                <w:szCs w:val="22"/>
                <w:lang w:val="sl-SI" w:eastAsia="sl-SI"/>
              </w:rPr>
            </w:pPr>
            <w:r>
              <w:rPr>
                <w:szCs w:val="22"/>
                <w:lang w:val="sl-SI" w:eastAsia="sl-SI"/>
              </w:rPr>
              <w:t>(1,2%)**</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8C2A692" w14:textId="77777777" w:rsidR="005F7A91" w:rsidRDefault="007C7639">
            <w:pPr>
              <w:tabs>
                <w:tab w:val="clear" w:pos="567"/>
              </w:tabs>
              <w:spacing w:line="240" w:lineRule="auto"/>
              <w:jc w:val="both"/>
              <w:rPr>
                <w:szCs w:val="22"/>
                <w:lang w:val="sl-SI" w:eastAsia="sl-SI"/>
              </w:rPr>
            </w:pPr>
            <w:r>
              <w:rPr>
                <w:szCs w:val="22"/>
                <w:lang w:val="sl-SI" w:eastAsia="sl-SI"/>
              </w:rPr>
              <w:t>50</w:t>
            </w:r>
          </w:p>
          <w:p w14:paraId="4E7CEFED" w14:textId="77777777" w:rsidR="005F7A91" w:rsidRDefault="007C7639">
            <w:pPr>
              <w:tabs>
                <w:tab w:val="clear" w:pos="567"/>
              </w:tabs>
              <w:spacing w:line="240" w:lineRule="auto"/>
              <w:jc w:val="both"/>
              <w:rPr>
                <w:szCs w:val="22"/>
                <w:lang w:val="sl-SI" w:eastAsia="sl-SI"/>
              </w:rPr>
            </w:pPr>
            <w:r>
              <w:rPr>
                <w:szCs w:val="22"/>
                <w:lang w:val="sl-SI" w:eastAsia="sl-SI"/>
              </w:rPr>
              <w:t>(4,4%)</w:t>
            </w:r>
          </w:p>
        </w:tc>
      </w:tr>
      <w:tr w:rsidR="005F7A91" w14:paraId="3CF3483A"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8D5E4F1" w14:textId="77777777" w:rsidR="005F7A91" w:rsidRDefault="007C7639">
            <w:pPr>
              <w:tabs>
                <w:tab w:val="clear" w:pos="567"/>
              </w:tabs>
              <w:spacing w:line="240" w:lineRule="auto"/>
              <w:ind w:left="720" w:right="-31"/>
              <w:jc w:val="both"/>
              <w:rPr>
                <w:szCs w:val="22"/>
                <w:lang w:val="sl-SI" w:eastAsia="sl-SI"/>
              </w:rPr>
            </w:pPr>
            <w:r>
              <w:rPr>
                <w:szCs w:val="22"/>
                <w:lang w:val="sl-SI" w:eastAsia="sl-SI"/>
              </w:rPr>
              <w:t>Simptomatska rekurentna PE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0BCDC7A" w14:textId="77777777" w:rsidR="005F7A91" w:rsidRDefault="007C7639">
            <w:pPr>
              <w:tabs>
                <w:tab w:val="clear" w:pos="567"/>
              </w:tabs>
              <w:spacing w:line="240" w:lineRule="auto"/>
              <w:jc w:val="both"/>
              <w:rPr>
                <w:szCs w:val="22"/>
                <w:lang w:val="sl-SI" w:eastAsia="sl-SI"/>
              </w:rPr>
            </w:pPr>
            <w:r>
              <w:rPr>
                <w:szCs w:val="22"/>
                <w:lang w:val="sl-SI" w:eastAsia="sl-SI"/>
              </w:rPr>
              <w:t>6</w:t>
            </w:r>
          </w:p>
          <w:p w14:paraId="0862EF84" w14:textId="77777777" w:rsidR="005F7A91" w:rsidRDefault="007C7639">
            <w:pPr>
              <w:tabs>
                <w:tab w:val="clear" w:pos="567"/>
              </w:tabs>
              <w:spacing w:line="240" w:lineRule="auto"/>
              <w:jc w:val="both"/>
              <w:rPr>
                <w:szCs w:val="22"/>
                <w:lang w:val="sl-SI" w:eastAsia="sl-SI"/>
              </w:rPr>
            </w:pPr>
            <w:r>
              <w:rPr>
                <w:szCs w:val="22"/>
                <w:lang w:val="sl-SI" w:eastAsia="sl-SI"/>
              </w:rPr>
              <w:t>(0,5%)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68B6176" w14:textId="77777777" w:rsidR="005F7A91" w:rsidRDefault="007C7639">
            <w:pPr>
              <w:tabs>
                <w:tab w:val="clear" w:pos="567"/>
              </w:tabs>
              <w:spacing w:line="240" w:lineRule="auto"/>
              <w:jc w:val="both"/>
              <w:rPr>
                <w:szCs w:val="22"/>
                <w:lang w:val="sl-SI" w:eastAsia="sl-SI"/>
              </w:rPr>
            </w:pPr>
            <w:r>
              <w:rPr>
                <w:szCs w:val="22"/>
                <w:lang w:val="sl-SI" w:eastAsia="sl-SI"/>
              </w:rPr>
              <w:t>6</w:t>
            </w:r>
          </w:p>
          <w:p w14:paraId="3C26C2C9" w14:textId="77777777" w:rsidR="005F7A91" w:rsidRDefault="007C7639">
            <w:pPr>
              <w:tabs>
                <w:tab w:val="clear" w:pos="567"/>
              </w:tabs>
              <w:spacing w:line="240" w:lineRule="auto"/>
              <w:jc w:val="both"/>
              <w:rPr>
                <w:szCs w:val="22"/>
                <w:lang w:val="sl-SI" w:eastAsia="sl-SI"/>
              </w:rPr>
            </w:pPr>
            <w:r>
              <w:rPr>
                <w:szCs w:val="22"/>
                <w:lang w:val="sl-SI" w:eastAsia="sl-SI"/>
              </w:rPr>
              <w:t>(0,5%)</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60B6778" w14:textId="77777777" w:rsidR="005F7A91" w:rsidRDefault="007C7639">
            <w:pPr>
              <w:tabs>
                <w:tab w:val="clear" w:pos="567"/>
              </w:tabs>
              <w:spacing w:line="240" w:lineRule="auto"/>
              <w:jc w:val="both"/>
              <w:rPr>
                <w:szCs w:val="22"/>
                <w:lang w:val="sl-SI" w:eastAsia="sl-SI"/>
              </w:rPr>
            </w:pPr>
            <w:r>
              <w:rPr>
                <w:szCs w:val="22"/>
                <w:lang w:val="sl-SI" w:eastAsia="sl-SI"/>
              </w:rPr>
              <w:t>19</w:t>
            </w:r>
          </w:p>
          <w:p w14:paraId="6E8D4740" w14:textId="77777777" w:rsidR="005F7A91" w:rsidRDefault="007C7639">
            <w:pPr>
              <w:tabs>
                <w:tab w:val="clear" w:pos="567"/>
              </w:tabs>
              <w:spacing w:line="240" w:lineRule="auto"/>
              <w:jc w:val="both"/>
              <w:rPr>
                <w:szCs w:val="22"/>
                <w:lang w:val="sl-SI" w:eastAsia="sl-SI"/>
              </w:rPr>
            </w:pPr>
            <w:r>
              <w:rPr>
                <w:szCs w:val="22"/>
                <w:lang w:val="sl-SI" w:eastAsia="sl-SI"/>
              </w:rPr>
              <w:t>(1,7%)</w:t>
            </w:r>
          </w:p>
        </w:tc>
      </w:tr>
      <w:tr w:rsidR="005F7A91" w14:paraId="608F0F22"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C26BB26" w14:textId="77777777" w:rsidR="005F7A91" w:rsidRDefault="007C7639">
            <w:pPr>
              <w:tabs>
                <w:tab w:val="clear" w:pos="567"/>
              </w:tabs>
              <w:spacing w:line="240" w:lineRule="auto"/>
              <w:ind w:left="720" w:right="-31"/>
              <w:jc w:val="both"/>
              <w:rPr>
                <w:szCs w:val="22"/>
                <w:lang w:val="sl-SI" w:eastAsia="sl-SI"/>
              </w:rPr>
            </w:pPr>
            <w:r>
              <w:rPr>
                <w:szCs w:val="22"/>
                <w:lang w:val="sl-SI" w:eastAsia="sl-SI"/>
              </w:rPr>
              <w:lastRenderedPageBreak/>
              <w:t>Simptomatska rekurentna TDV</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4E69817" w14:textId="77777777" w:rsidR="005F7A91" w:rsidRDefault="007C7639">
            <w:pPr>
              <w:tabs>
                <w:tab w:val="clear" w:pos="567"/>
              </w:tabs>
              <w:spacing w:line="240" w:lineRule="auto"/>
              <w:jc w:val="both"/>
              <w:rPr>
                <w:szCs w:val="22"/>
                <w:lang w:val="sl-SI" w:eastAsia="sl-SI"/>
              </w:rPr>
            </w:pPr>
            <w:r>
              <w:rPr>
                <w:szCs w:val="22"/>
                <w:lang w:val="sl-SI" w:eastAsia="sl-SI"/>
              </w:rPr>
              <w:t>9</w:t>
            </w:r>
          </w:p>
          <w:p w14:paraId="2D658ACA" w14:textId="77777777" w:rsidR="005F7A91" w:rsidRDefault="007C7639">
            <w:pPr>
              <w:tabs>
                <w:tab w:val="clear" w:pos="567"/>
              </w:tabs>
              <w:spacing w:line="240" w:lineRule="auto"/>
              <w:jc w:val="both"/>
              <w:rPr>
                <w:szCs w:val="22"/>
                <w:lang w:val="sl-SI" w:eastAsia="sl-SI"/>
              </w:rPr>
            </w:pPr>
            <w:r>
              <w:rPr>
                <w:szCs w:val="22"/>
                <w:lang w:val="sl-SI" w:eastAsia="sl-SI"/>
              </w:rPr>
              <w:t>(0,8%)</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B8A3875" w14:textId="77777777" w:rsidR="005F7A91" w:rsidRDefault="007C7639">
            <w:pPr>
              <w:tabs>
                <w:tab w:val="clear" w:pos="567"/>
              </w:tabs>
              <w:spacing w:line="240" w:lineRule="auto"/>
              <w:jc w:val="both"/>
              <w:rPr>
                <w:szCs w:val="22"/>
                <w:lang w:val="sl-SI" w:eastAsia="sl-SI"/>
              </w:rPr>
            </w:pPr>
            <w:r>
              <w:rPr>
                <w:szCs w:val="22"/>
                <w:lang w:val="sl-SI" w:eastAsia="sl-SI"/>
              </w:rPr>
              <w:t>8</w:t>
            </w:r>
          </w:p>
          <w:p w14:paraId="70A4A882" w14:textId="77777777" w:rsidR="005F7A91" w:rsidRDefault="007C7639">
            <w:pPr>
              <w:tabs>
                <w:tab w:val="clear" w:pos="567"/>
              </w:tabs>
              <w:spacing w:line="240" w:lineRule="auto"/>
              <w:jc w:val="both"/>
              <w:rPr>
                <w:szCs w:val="22"/>
                <w:lang w:val="sl-SI" w:eastAsia="sl-SI"/>
              </w:rPr>
            </w:pPr>
            <w:r>
              <w:rPr>
                <w:szCs w:val="22"/>
                <w:lang w:val="sl-SI" w:eastAsia="sl-SI"/>
              </w:rPr>
              <w:t>(0,7%)</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7E1726B" w14:textId="77777777" w:rsidR="005F7A91" w:rsidRDefault="007C7639">
            <w:pPr>
              <w:tabs>
                <w:tab w:val="clear" w:pos="567"/>
              </w:tabs>
              <w:spacing w:line="240" w:lineRule="auto"/>
              <w:jc w:val="both"/>
              <w:rPr>
                <w:szCs w:val="22"/>
                <w:lang w:val="sl-SI" w:eastAsia="sl-SI"/>
              </w:rPr>
            </w:pPr>
            <w:r>
              <w:rPr>
                <w:szCs w:val="22"/>
                <w:lang w:val="sl-SI" w:eastAsia="sl-SI"/>
              </w:rPr>
              <w:t>30</w:t>
            </w:r>
          </w:p>
          <w:p w14:paraId="1EEF61FE" w14:textId="77777777" w:rsidR="005F7A91" w:rsidRDefault="007C7639">
            <w:pPr>
              <w:tabs>
                <w:tab w:val="clear" w:pos="567"/>
              </w:tabs>
              <w:spacing w:line="240" w:lineRule="auto"/>
              <w:jc w:val="both"/>
              <w:rPr>
                <w:szCs w:val="22"/>
                <w:lang w:val="sl-SI" w:eastAsia="sl-SI"/>
              </w:rPr>
            </w:pPr>
            <w:r>
              <w:rPr>
                <w:szCs w:val="22"/>
                <w:lang w:val="sl-SI" w:eastAsia="sl-SI"/>
              </w:rPr>
              <w:t>(2,7%)</w:t>
            </w:r>
          </w:p>
        </w:tc>
      </w:tr>
      <w:tr w:rsidR="005F7A91" w14:paraId="4FB54328"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B447E97" w14:textId="77777777" w:rsidR="005F7A91" w:rsidRDefault="007C7639">
            <w:pPr>
              <w:tabs>
                <w:tab w:val="clear" w:pos="567"/>
              </w:tabs>
              <w:spacing w:line="240" w:lineRule="auto"/>
              <w:ind w:left="720" w:right="-31"/>
              <w:jc w:val="both"/>
              <w:rPr>
                <w:szCs w:val="22"/>
                <w:lang w:val="sl-SI" w:eastAsia="sl-SI"/>
              </w:rPr>
            </w:pPr>
            <w:r>
              <w:rPr>
                <w:szCs w:val="22"/>
                <w:lang w:val="sl-SI" w:eastAsia="sl-SI"/>
              </w:rPr>
              <w:t>Fatalna PE / smrt za koju se ne može isključiti PE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DB94EA2" w14:textId="77777777" w:rsidR="005F7A91" w:rsidRDefault="007C7639">
            <w:pPr>
              <w:tabs>
                <w:tab w:val="clear" w:pos="567"/>
              </w:tabs>
              <w:spacing w:line="240" w:lineRule="auto"/>
              <w:jc w:val="both"/>
              <w:rPr>
                <w:szCs w:val="22"/>
                <w:lang w:val="sl-SI" w:eastAsia="sl-SI"/>
              </w:rPr>
            </w:pPr>
            <w:r>
              <w:rPr>
                <w:szCs w:val="22"/>
                <w:lang w:val="sl-SI" w:eastAsia="sl-SI"/>
              </w:rPr>
              <w:t>2</w:t>
            </w:r>
          </w:p>
          <w:p w14:paraId="090A665C" w14:textId="77777777" w:rsidR="005F7A91" w:rsidRDefault="007C7639">
            <w:pPr>
              <w:tabs>
                <w:tab w:val="clear" w:pos="567"/>
              </w:tabs>
              <w:spacing w:line="240" w:lineRule="auto"/>
              <w:jc w:val="both"/>
              <w:rPr>
                <w:szCs w:val="22"/>
                <w:lang w:val="sl-SI" w:eastAsia="sl-SI"/>
              </w:rPr>
            </w:pPr>
            <w:r>
              <w:rPr>
                <w:szCs w:val="22"/>
                <w:lang w:val="sl-SI" w:eastAsia="sl-SI"/>
              </w:rPr>
              <w:t>(0,2%)</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F05922A" w14:textId="77777777" w:rsidR="005F7A91" w:rsidRDefault="007C7639">
            <w:pPr>
              <w:tabs>
                <w:tab w:val="clear" w:pos="567"/>
              </w:tabs>
              <w:spacing w:line="240" w:lineRule="auto"/>
              <w:jc w:val="both"/>
              <w:rPr>
                <w:szCs w:val="22"/>
                <w:lang w:val="sl-SI" w:eastAsia="sl-SI"/>
              </w:rPr>
            </w:pPr>
            <w:r>
              <w:rPr>
                <w:szCs w:val="22"/>
                <w:lang w:val="sl-SI" w:eastAsia="sl-SI"/>
              </w:rPr>
              <w:t>0</w:t>
            </w:r>
          </w:p>
          <w:p w14:paraId="43C53EAF" w14:textId="77777777" w:rsidR="005F7A91" w:rsidRDefault="005F7A91">
            <w:pPr>
              <w:tabs>
                <w:tab w:val="clear" w:pos="567"/>
              </w:tabs>
              <w:spacing w:line="240" w:lineRule="auto"/>
              <w:jc w:val="both"/>
              <w:rPr>
                <w:szCs w:val="22"/>
                <w:lang w:val="sl-SI" w:eastAsia="sl-SI"/>
              </w:rPr>
            </w:pP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10288EF" w14:textId="77777777" w:rsidR="005F7A91" w:rsidRDefault="007C7639">
            <w:pPr>
              <w:tabs>
                <w:tab w:val="clear" w:pos="567"/>
              </w:tabs>
              <w:spacing w:line="240" w:lineRule="auto"/>
              <w:jc w:val="both"/>
              <w:rPr>
                <w:szCs w:val="22"/>
                <w:lang w:val="sl-SI" w:eastAsia="sl-SI"/>
              </w:rPr>
            </w:pPr>
            <w:r>
              <w:rPr>
                <w:szCs w:val="22"/>
                <w:lang w:val="sl-SI" w:eastAsia="sl-SI"/>
              </w:rPr>
              <w:t>2</w:t>
            </w:r>
          </w:p>
          <w:p w14:paraId="594BE5A1" w14:textId="77777777" w:rsidR="005F7A91" w:rsidRDefault="007C7639">
            <w:pPr>
              <w:tabs>
                <w:tab w:val="clear" w:pos="567"/>
              </w:tabs>
              <w:spacing w:line="240" w:lineRule="auto"/>
              <w:jc w:val="both"/>
              <w:rPr>
                <w:szCs w:val="22"/>
                <w:lang w:val="sl-SI" w:eastAsia="sl-SI"/>
              </w:rPr>
            </w:pPr>
            <w:r>
              <w:rPr>
                <w:szCs w:val="22"/>
                <w:lang w:val="sl-SI" w:eastAsia="sl-SI"/>
              </w:rPr>
              <w:t>(0,2%)</w:t>
            </w:r>
          </w:p>
        </w:tc>
      </w:tr>
      <w:tr w:rsidR="005F7A91" w14:paraId="4781B132"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7DE2986"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Simptomatska </w:t>
            </w:r>
            <w:r>
              <w:rPr>
                <w:color w:val="000000"/>
                <w:sz w:val="24"/>
                <w:szCs w:val="24"/>
                <w:lang w:val="sl-SI" w:eastAsia="sl-SI"/>
              </w:rPr>
              <w:t xml:space="preserve">rekurentna </w:t>
            </w:r>
            <w:r>
              <w:rPr>
                <w:color w:val="000000"/>
                <w:szCs w:val="22"/>
                <w:lang w:val="hr-HR" w:eastAsia="sl-SI"/>
              </w:rPr>
              <w:t xml:space="preserve">VTE, infarkt miokarda, moždani udar ili ne-CNS sistemska embolija </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0EBEB46" w14:textId="77777777" w:rsidR="005F7A91" w:rsidRDefault="007C7639">
            <w:pPr>
              <w:tabs>
                <w:tab w:val="clear" w:pos="567"/>
              </w:tabs>
              <w:spacing w:line="240" w:lineRule="auto"/>
              <w:jc w:val="both"/>
              <w:rPr>
                <w:szCs w:val="22"/>
                <w:lang w:val="sl-SI" w:eastAsia="sl-SI"/>
              </w:rPr>
            </w:pPr>
            <w:r>
              <w:rPr>
                <w:szCs w:val="22"/>
                <w:lang w:val="sl-SI" w:eastAsia="sl-SI"/>
              </w:rPr>
              <w:t>19</w:t>
            </w:r>
          </w:p>
          <w:p w14:paraId="15AD9DFF" w14:textId="77777777" w:rsidR="005F7A91" w:rsidRDefault="007C7639">
            <w:pPr>
              <w:tabs>
                <w:tab w:val="clear" w:pos="567"/>
              </w:tabs>
              <w:spacing w:line="240" w:lineRule="auto"/>
              <w:jc w:val="both"/>
              <w:rPr>
                <w:szCs w:val="22"/>
                <w:lang w:val="sl-SI" w:eastAsia="sl-SI"/>
              </w:rPr>
            </w:pPr>
            <w:r>
              <w:rPr>
                <w:szCs w:val="22"/>
                <w:lang w:val="sl-SI" w:eastAsia="sl-SI"/>
              </w:rPr>
              <w:t>(1,7%)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092F0A4" w14:textId="77777777" w:rsidR="005F7A91" w:rsidRDefault="007C7639">
            <w:pPr>
              <w:tabs>
                <w:tab w:val="clear" w:pos="567"/>
              </w:tabs>
              <w:spacing w:line="240" w:lineRule="auto"/>
              <w:jc w:val="both"/>
              <w:rPr>
                <w:szCs w:val="22"/>
                <w:lang w:val="sl-SI" w:eastAsia="sl-SI"/>
              </w:rPr>
            </w:pPr>
            <w:r>
              <w:rPr>
                <w:szCs w:val="22"/>
                <w:lang w:val="sl-SI" w:eastAsia="sl-SI"/>
              </w:rPr>
              <w:t>18</w:t>
            </w:r>
          </w:p>
          <w:p w14:paraId="60269579" w14:textId="77777777" w:rsidR="005F7A91" w:rsidRDefault="007C7639">
            <w:pPr>
              <w:tabs>
                <w:tab w:val="clear" w:pos="567"/>
              </w:tabs>
              <w:spacing w:line="240" w:lineRule="auto"/>
              <w:jc w:val="both"/>
              <w:rPr>
                <w:szCs w:val="22"/>
                <w:lang w:val="sl-SI" w:eastAsia="sl-SI"/>
              </w:rPr>
            </w:pPr>
            <w:r>
              <w:rPr>
                <w:szCs w:val="22"/>
                <w:lang w:val="sl-SI" w:eastAsia="sl-SI"/>
              </w:rPr>
              <w:t>(1,6%)</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3413140" w14:textId="77777777" w:rsidR="005F7A91" w:rsidRDefault="007C7639">
            <w:pPr>
              <w:tabs>
                <w:tab w:val="clear" w:pos="567"/>
              </w:tabs>
              <w:spacing w:line="240" w:lineRule="auto"/>
              <w:jc w:val="both"/>
              <w:rPr>
                <w:szCs w:val="22"/>
                <w:lang w:val="sl-SI" w:eastAsia="sl-SI"/>
              </w:rPr>
            </w:pPr>
            <w:r>
              <w:rPr>
                <w:szCs w:val="22"/>
                <w:lang w:val="sl-SI" w:eastAsia="sl-SI"/>
              </w:rPr>
              <w:t>56</w:t>
            </w:r>
          </w:p>
          <w:p w14:paraId="370B4C7A" w14:textId="77777777" w:rsidR="005F7A91" w:rsidRDefault="007C7639">
            <w:pPr>
              <w:tabs>
                <w:tab w:val="clear" w:pos="567"/>
              </w:tabs>
              <w:spacing w:line="240" w:lineRule="auto"/>
              <w:jc w:val="both"/>
              <w:rPr>
                <w:szCs w:val="22"/>
                <w:lang w:val="sl-SI" w:eastAsia="sl-SI"/>
              </w:rPr>
            </w:pPr>
            <w:r>
              <w:rPr>
                <w:szCs w:val="22"/>
                <w:lang w:val="sl-SI" w:eastAsia="sl-SI"/>
              </w:rPr>
              <w:t>(5,0%)</w:t>
            </w:r>
          </w:p>
        </w:tc>
      </w:tr>
      <w:tr w:rsidR="005F7A91" w14:paraId="5EBD5455"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577B2F0"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Velika krvarenja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C1890FA" w14:textId="77777777" w:rsidR="005F7A91" w:rsidRDefault="007C7639">
            <w:pPr>
              <w:tabs>
                <w:tab w:val="clear" w:pos="567"/>
              </w:tabs>
              <w:spacing w:line="240" w:lineRule="auto"/>
              <w:jc w:val="both"/>
              <w:rPr>
                <w:szCs w:val="22"/>
                <w:lang w:val="sl-SI" w:eastAsia="sl-SI"/>
              </w:rPr>
            </w:pPr>
            <w:r>
              <w:rPr>
                <w:szCs w:val="22"/>
                <w:lang w:val="sl-SI" w:eastAsia="sl-SI"/>
              </w:rPr>
              <w:t>6</w:t>
            </w:r>
          </w:p>
          <w:p w14:paraId="057EC754" w14:textId="77777777" w:rsidR="005F7A91" w:rsidRDefault="007C7639">
            <w:pPr>
              <w:tabs>
                <w:tab w:val="clear" w:pos="567"/>
              </w:tabs>
              <w:spacing w:line="240" w:lineRule="auto"/>
              <w:jc w:val="both"/>
              <w:rPr>
                <w:szCs w:val="22"/>
                <w:lang w:val="sl-SI" w:eastAsia="sl-SI"/>
              </w:rPr>
            </w:pPr>
            <w:r>
              <w:rPr>
                <w:szCs w:val="22"/>
                <w:lang w:val="sl-SI" w:eastAsia="sl-SI"/>
              </w:rPr>
              <w:t>(0,5%)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BB18268" w14:textId="77777777" w:rsidR="005F7A91" w:rsidRDefault="007C7639">
            <w:pPr>
              <w:tabs>
                <w:tab w:val="clear" w:pos="567"/>
              </w:tabs>
              <w:spacing w:line="240" w:lineRule="auto"/>
              <w:jc w:val="both"/>
              <w:rPr>
                <w:szCs w:val="22"/>
                <w:lang w:val="sl-SI" w:eastAsia="sl-SI"/>
              </w:rPr>
            </w:pPr>
            <w:r>
              <w:rPr>
                <w:szCs w:val="22"/>
                <w:lang w:val="sl-SI" w:eastAsia="sl-SI"/>
              </w:rPr>
              <w:t>5</w:t>
            </w:r>
          </w:p>
          <w:p w14:paraId="13E4C605" w14:textId="77777777" w:rsidR="005F7A91" w:rsidRDefault="007C7639">
            <w:pPr>
              <w:tabs>
                <w:tab w:val="clear" w:pos="567"/>
              </w:tabs>
              <w:spacing w:line="240" w:lineRule="auto"/>
              <w:jc w:val="both"/>
              <w:rPr>
                <w:szCs w:val="22"/>
                <w:lang w:val="sl-SI" w:eastAsia="sl-SI"/>
              </w:rPr>
            </w:pPr>
            <w:r>
              <w:rPr>
                <w:szCs w:val="22"/>
                <w:lang w:val="sl-SI" w:eastAsia="sl-SI"/>
              </w:rPr>
              <w:t>(0,4%)</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A8D7992" w14:textId="77777777" w:rsidR="005F7A91" w:rsidRDefault="007C7639">
            <w:pPr>
              <w:tabs>
                <w:tab w:val="clear" w:pos="567"/>
              </w:tabs>
              <w:spacing w:line="240" w:lineRule="auto"/>
              <w:jc w:val="both"/>
              <w:rPr>
                <w:szCs w:val="22"/>
                <w:lang w:val="sl-SI" w:eastAsia="sl-SI"/>
              </w:rPr>
            </w:pPr>
            <w:r>
              <w:rPr>
                <w:szCs w:val="22"/>
                <w:lang w:val="sl-SI" w:eastAsia="sl-SI"/>
              </w:rPr>
              <w:t>3</w:t>
            </w:r>
          </w:p>
          <w:p w14:paraId="307DA205" w14:textId="77777777" w:rsidR="005F7A91" w:rsidRDefault="007C7639">
            <w:pPr>
              <w:tabs>
                <w:tab w:val="clear" w:pos="567"/>
              </w:tabs>
              <w:spacing w:line="240" w:lineRule="auto"/>
              <w:jc w:val="both"/>
              <w:rPr>
                <w:szCs w:val="22"/>
                <w:lang w:val="sl-SI" w:eastAsia="sl-SI"/>
              </w:rPr>
            </w:pPr>
            <w:r>
              <w:rPr>
                <w:szCs w:val="22"/>
                <w:lang w:val="sl-SI" w:eastAsia="sl-SI"/>
              </w:rPr>
              <w:t>(0,3%)</w:t>
            </w:r>
          </w:p>
        </w:tc>
      </w:tr>
      <w:tr w:rsidR="005F7A91" w14:paraId="60F00605"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0593BC3"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Klinički relevantna krvarenja koja nisu klasifikovana kao velika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A567D7C" w14:textId="77777777" w:rsidR="005F7A91" w:rsidRDefault="007C7639">
            <w:pPr>
              <w:tabs>
                <w:tab w:val="clear" w:pos="567"/>
              </w:tabs>
              <w:spacing w:line="240" w:lineRule="auto"/>
              <w:jc w:val="both"/>
              <w:rPr>
                <w:szCs w:val="22"/>
                <w:lang w:val="sl-SI" w:eastAsia="sl-SI"/>
              </w:rPr>
            </w:pPr>
            <w:r>
              <w:rPr>
                <w:szCs w:val="22"/>
                <w:lang w:val="sl-SI" w:eastAsia="sl-SI"/>
              </w:rPr>
              <w:t>30</w:t>
            </w:r>
          </w:p>
          <w:p w14:paraId="0318C921" w14:textId="77777777" w:rsidR="005F7A91" w:rsidRDefault="007C7639">
            <w:pPr>
              <w:tabs>
                <w:tab w:val="clear" w:pos="567"/>
              </w:tabs>
              <w:spacing w:line="240" w:lineRule="auto"/>
              <w:jc w:val="both"/>
              <w:rPr>
                <w:szCs w:val="22"/>
                <w:lang w:val="sl-SI" w:eastAsia="sl-SI"/>
              </w:rPr>
            </w:pPr>
            <w:r>
              <w:rPr>
                <w:szCs w:val="22"/>
                <w:lang w:val="sl-SI" w:eastAsia="sl-SI"/>
              </w:rPr>
              <w:t>(2,7)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8E8AA9D" w14:textId="77777777" w:rsidR="005F7A91" w:rsidRDefault="007C7639">
            <w:pPr>
              <w:tabs>
                <w:tab w:val="clear" w:pos="567"/>
              </w:tabs>
              <w:spacing w:line="240" w:lineRule="auto"/>
              <w:jc w:val="both"/>
              <w:rPr>
                <w:szCs w:val="22"/>
                <w:lang w:val="sl-SI" w:eastAsia="sl-SI"/>
              </w:rPr>
            </w:pPr>
            <w:r>
              <w:rPr>
                <w:szCs w:val="22"/>
                <w:lang w:val="sl-SI" w:eastAsia="sl-SI"/>
              </w:rPr>
              <w:t>22</w:t>
            </w:r>
          </w:p>
          <w:p w14:paraId="40E628A5" w14:textId="77777777" w:rsidR="005F7A91" w:rsidRDefault="007C7639">
            <w:pPr>
              <w:tabs>
                <w:tab w:val="clear" w:pos="567"/>
              </w:tabs>
              <w:spacing w:line="240" w:lineRule="auto"/>
              <w:jc w:val="both"/>
              <w:rPr>
                <w:szCs w:val="22"/>
                <w:lang w:val="sl-SI" w:eastAsia="sl-SI"/>
              </w:rPr>
            </w:pPr>
            <w:r>
              <w:rPr>
                <w:szCs w:val="22"/>
                <w:lang w:val="sl-SI" w:eastAsia="sl-SI"/>
              </w:rPr>
              <w:t>(2,0)</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8B22A17" w14:textId="77777777" w:rsidR="005F7A91" w:rsidRDefault="007C7639">
            <w:pPr>
              <w:tabs>
                <w:tab w:val="clear" w:pos="567"/>
              </w:tabs>
              <w:spacing w:line="240" w:lineRule="auto"/>
              <w:jc w:val="both"/>
              <w:rPr>
                <w:szCs w:val="22"/>
                <w:lang w:val="sl-SI" w:eastAsia="sl-SI"/>
              </w:rPr>
            </w:pPr>
            <w:r>
              <w:rPr>
                <w:szCs w:val="22"/>
                <w:lang w:val="sl-SI" w:eastAsia="sl-SI"/>
              </w:rPr>
              <w:t>20</w:t>
            </w:r>
          </w:p>
          <w:p w14:paraId="4605A0A0" w14:textId="77777777" w:rsidR="005F7A91" w:rsidRDefault="007C7639">
            <w:pPr>
              <w:tabs>
                <w:tab w:val="clear" w:pos="567"/>
              </w:tabs>
              <w:spacing w:line="240" w:lineRule="auto"/>
              <w:jc w:val="both"/>
              <w:rPr>
                <w:szCs w:val="22"/>
                <w:lang w:val="sl-SI" w:eastAsia="sl-SI"/>
              </w:rPr>
            </w:pPr>
            <w:r>
              <w:rPr>
                <w:szCs w:val="22"/>
                <w:lang w:val="sl-SI" w:eastAsia="sl-SI"/>
              </w:rPr>
              <w:t>(1,8)</w:t>
            </w:r>
          </w:p>
        </w:tc>
      </w:tr>
      <w:tr w:rsidR="005F7A91" w14:paraId="1B841643"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323DD3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Simptomatska  </w:t>
            </w:r>
            <w:r>
              <w:rPr>
                <w:color w:val="000000"/>
                <w:sz w:val="24"/>
                <w:szCs w:val="24"/>
                <w:lang w:val="sl-SI" w:eastAsia="sl-SI"/>
              </w:rPr>
              <w:t xml:space="preserve">rekurentna </w:t>
            </w:r>
            <w:r>
              <w:rPr>
                <w:color w:val="000000"/>
                <w:szCs w:val="22"/>
                <w:lang w:val="hr-HR" w:eastAsia="sl-SI"/>
              </w:rPr>
              <w:t>VTE ili velika krvarenja (</w:t>
            </w:r>
            <w:r>
              <w:rPr>
                <w:i/>
                <w:color w:val="000000"/>
                <w:szCs w:val="22"/>
                <w:lang w:val="hr-HR" w:eastAsia="sl-SI"/>
              </w:rPr>
              <w:t>net clinical benefit</w:t>
            </w:r>
            <w:r>
              <w:rPr>
                <w:color w:val="000000"/>
                <w:szCs w:val="22"/>
                <w:lang w:val="hr-HR" w:eastAsia="sl-SI"/>
              </w:rPr>
              <w:t>)</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1EB2475" w14:textId="77777777" w:rsidR="005F7A91" w:rsidRDefault="007C7639">
            <w:pPr>
              <w:tabs>
                <w:tab w:val="clear" w:pos="567"/>
              </w:tabs>
              <w:spacing w:line="240" w:lineRule="auto"/>
              <w:jc w:val="both"/>
              <w:rPr>
                <w:szCs w:val="22"/>
                <w:lang w:val="sl-SI" w:eastAsia="sl-SI"/>
              </w:rPr>
            </w:pPr>
            <w:r>
              <w:rPr>
                <w:szCs w:val="22"/>
                <w:lang w:val="sl-SI" w:eastAsia="sl-SI"/>
              </w:rPr>
              <w:t>23</w:t>
            </w:r>
          </w:p>
          <w:p w14:paraId="74E27870" w14:textId="77777777" w:rsidR="005F7A91" w:rsidRDefault="007C7639">
            <w:pPr>
              <w:tabs>
                <w:tab w:val="clear" w:pos="567"/>
              </w:tabs>
              <w:spacing w:line="240" w:lineRule="auto"/>
              <w:jc w:val="both"/>
              <w:rPr>
                <w:szCs w:val="22"/>
                <w:lang w:val="sl-SI" w:eastAsia="sl-SI"/>
              </w:rPr>
            </w:pPr>
            <w:r>
              <w:rPr>
                <w:szCs w:val="22"/>
                <w:lang w:val="sl-SI" w:eastAsia="sl-SI"/>
              </w:rPr>
              <w:t>(2,1%)</w:t>
            </w:r>
            <w:r>
              <w:rPr>
                <w:szCs w:val="22"/>
                <w:vertAlign w:val="superscript"/>
                <w:lang w:val="sl-SI" w:eastAsia="sl-SI"/>
              </w:rPr>
              <w:t>+</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F335C05" w14:textId="77777777" w:rsidR="005F7A91" w:rsidRDefault="007C7639">
            <w:pPr>
              <w:tabs>
                <w:tab w:val="clear" w:pos="567"/>
              </w:tabs>
              <w:spacing w:line="240" w:lineRule="auto"/>
              <w:jc w:val="both"/>
              <w:rPr>
                <w:szCs w:val="22"/>
                <w:lang w:val="sl-SI" w:eastAsia="sl-SI"/>
              </w:rPr>
            </w:pPr>
            <w:r>
              <w:rPr>
                <w:szCs w:val="22"/>
                <w:lang w:val="sl-SI" w:eastAsia="sl-SI"/>
              </w:rPr>
              <w:t>17</w:t>
            </w:r>
          </w:p>
          <w:p w14:paraId="605E050E" w14:textId="77777777" w:rsidR="005F7A91" w:rsidRDefault="007C7639">
            <w:pPr>
              <w:tabs>
                <w:tab w:val="clear" w:pos="567"/>
              </w:tabs>
              <w:spacing w:line="240" w:lineRule="auto"/>
              <w:jc w:val="both"/>
              <w:rPr>
                <w:szCs w:val="22"/>
                <w:lang w:val="sl-SI" w:eastAsia="sl-SI"/>
              </w:rPr>
            </w:pPr>
            <w:r>
              <w:rPr>
                <w:szCs w:val="22"/>
                <w:lang w:val="sl-SI" w:eastAsia="sl-SI"/>
              </w:rPr>
              <w:t>(1,5%)</w:t>
            </w:r>
            <w:r>
              <w:rPr>
                <w:szCs w:val="22"/>
                <w:vertAlign w:val="superscript"/>
                <w:lang w:val="sl-SI" w:eastAsia="sl-SI"/>
              </w:rPr>
              <w:t>++</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1F4D0BE" w14:textId="77777777" w:rsidR="005F7A91" w:rsidRDefault="007C7639">
            <w:pPr>
              <w:tabs>
                <w:tab w:val="clear" w:pos="567"/>
              </w:tabs>
              <w:spacing w:line="240" w:lineRule="auto"/>
              <w:jc w:val="both"/>
              <w:rPr>
                <w:szCs w:val="22"/>
                <w:lang w:val="sl-SI" w:eastAsia="sl-SI"/>
              </w:rPr>
            </w:pPr>
            <w:r>
              <w:rPr>
                <w:szCs w:val="22"/>
                <w:lang w:val="sl-SI" w:eastAsia="sl-SI"/>
              </w:rPr>
              <w:t>53</w:t>
            </w:r>
          </w:p>
          <w:p w14:paraId="77F8B6A7" w14:textId="77777777" w:rsidR="005F7A91" w:rsidRDefault="007C7639">
            <w:pPr>
              <w:tabs>
                <w:tab w:val="clear" w:pos="567"/>
              </w:tabs>
              <w:spacing w:line="240" w:lineRule="auto"/>
              <w:jc w:val="both"/>
              <w:rPr>
                <w:szCs w:val="22"/>
                <w:lang w:val="sl-SI" w:eastAsia="sl-SI"/>
              </w:rPr>
            </w:pPr>
            <w:r>
              <w:rPr>
                <w:szCs w:val="22"/>
                <w:lang w:val="sl-SI" w:eastAsia="sl-SI"/>
              </w:rPr>
              <w:t>(4,7%)</w:t>
            </w:r>
          </w:p>
        </w:tc>
      </w:tr>
    </w:tbl>
    <w:p w14:paraId="3556C9E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 p&lt;0,001 (superiornost) rivaroksaban 20 mg jednom dnevno u odnosu na 100 mg acetilsalicilne kiseline jednom dnevno; HR=0,34 (0,20 </w:t>
      </w:r>
      <w:r>
        <w:rPr>
          <w:color w:val="000000"/>
          <w:szCs w:val="22"/>
          <w:lang w:val="hr-HR"/>
        </w:rPr>
        <w:t xml:space="preserve">- </w:t>
      </w:r>
      <w:r>
        <w:rPr>
          <w:color w:val="000000"/>
          <w:szCs w:val="22"/>
          <w:lang w:val="hr-HR" w:eastAsia="sl-SI"/>
        </w:rPr>
        <w:t>0,59)</w:t>
      </w:r>
    </w:p>
    <w:p w14:paraId="5D8C7A48"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 p&lt;0,001 (superiornost) rivaroksaban 10 mg jednom dnevno u odnosu na 100 mg acetilsalicilne kiseline jednom dnevno; HR=0,26 (0,14 </w:t>
      </w:r>
      <w:r>
        <w:rPr>
          <w:color w:val="000000"/>
          <w:szCs w:val="22"/>
          <w:lang w:val="hr-HR"/>
        </w:rPr>
        <w:t xml:space="preserve">- </w:t>
      </w:r>
      <w:r>
        <w:rPr>
          <w:color w:val="000000"/>
          <w:szCs w:val="22"/>
          <w:lang w:val="hr-HR" w:eastAsia="sl-SI"/>
        </w:rPr>
        <w:t>0,47)</w:t>
      </w:r>
    </w:p>
    <w:p w14:paraId="713C146A"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vertAlign w:val="superscript"/>
          <w:lang w:val="hr-HR"/>
        </w:rPr>
        <w:t xml:space="preserve">+ </w:t>
      </w:r>
      <w:r>
        <w:rPr>
          <w:color w:val="000000"/>
          <w:szCs w:val="22"/>
          <w:lang w:val="hr-HR"/>
        </w:rPr>
        <w:t>Rivaroksaban</w:t>
      </w:r>
      <w:r>
        <w:rPr>
          <w:color w:val="000000"/>
          <w:szCs w:val="22"/>
          <w:lang w:val="hr-HR" w:eastAsia="sl-SI"/>
        </w:rPr>
        <w:t xml:space="preserve"> 20 mg jednom dnevno u odnosu na 100 mg acetilsalicilne kiseline jednom dnevno; HR=0,44 (0,27 </w:t>
      </w:r>
      <w:r>
        <w:rPr>
          <w:color w:val="000000"/>
          <w:szCs w:val="22"/>
          <w:lang w:val="hr-HR"/>
        </w:rPr>
        <w:t xml:space="preserve">- </w:t>
      </w:r>
      <w:r>
        <w:rPr>
          <w:color w:val="000000"/>
          <w:szCs w:val="22"/>
          <w:lang w:val="hr-HR" w:eastAsia="sl-SI"/>
        </w:rPr>
        <w:t>0,71), p=0,0009 (nominalno)</w:t>
      </w:r>
    </w:p>
    <w:p w14:paraId="28E814CE" w14:textId="77777777" w:rsidR="005F7A91" w:rsidRDefault="007C7639">
      <w:pPr>
        <w:widowControl w:val="0"/>
        <w:tabs>
          <w:tab w:val="clear" w:pos="567"/>
        </w:tabs>
        <w:spacing w:line="240" w:lineRule="auto"/>
        <w:jc w:val="both"/>
        <w:rPr>
          <w:szCs w:val="22"/>
          <w:lang w:val="sl-SI"/>
        </w:rPr>
      </w:pPr>
      <w:r>
        <w:rPr>
          <w:szCs w:val="22"/>
          <w:vertAlign w:val="superscript"/>
          <w:lang w:val="sl-SI"/>
        </w:rPr>
        <w:t>++</w:t>
      </w:r>
      <w:r>
        <w:rPr>
          <w:szCs w:val="22"/>
          <w:vertAlign w:val="superscript"/>
          <w:lang w:val="sl-SI" w:eastAsia="sl-SI"/>
        </w:rPr>
        <w:t xml:space="preserve"> </w:t>
      </w:r>
      <w:r>
        <w:rPr>
          <w:szCs w:val="22"/>
          <w:lang w:val="sl-SI"/>
        </w:rPr>
        <w:t>Rivaroksaban</w:t>
      </w:r>
      <w:r>
        <w:rPr>
          <w:szCs w:val="22"/>
          <w:lang w:val="sl-SI" w:eastAsia="sl-SI"/>
        </w:rPr>
        <w:t xml:space="preserve"> 10 mg </w:t>
      </w:r>
      <w:r>
        <w:rPr>
          <w:szCs w:val="22"/>
          <w:lang w:val="hr-HR" w:eastAsia="sl-SI"/>
        </w:rPr>
        <w:t>jednom dnevno</w:t>
      </w:r>
      <w:r>
        <w:rPr>
          <w:szCs w:val="22"/>
          <w:lang w:val="sl-SI" w:eastAsia="sl-SI"/>
        </w:rPr>
        <w:t xml:space="preserve"> u odnosu na 100 mg acetilsalicilne kiseline </w:t>
      </w:r>
      <w:r>
        <w:rPr>
          <w:szCs w:val="22"/>
          <w:lang w:val="hr-HR" w:eastAsia="sl-SI"/>
        </w:rPr>
        <w:t>jednom dnevno</w:t>
      </w:r>
      <w:r>
        <w:rPr>
          <w:szCs w:val="22"/>
          <w:lang w:val="sl-SI" w:eastAsia="sl-SI"/>
        </w:rPr>
        <w:t xml:space="preserve">; HR=0,32 (0,18 </w:t>
      </w:r>
      <w:r>
        <w:rPr>
          <w:szCs w:val="22"/>
          <w:lang w:val="sl-SI"/>
        </w:rPr>
        <w:t xml:space="preserve">- </w:t>
      </w:r>
      <w:r>
        <w:rPr>
          <w:szCs w:val="22"/>
          <w:lang w:val="sl-SI" w:eastAsia="sl-SI"/>
        </w:rPr>
        <w:t>0,55), p&lt;0,0001 (nominalno)</w:t>
      </w:r>
    </w:p>
    <w:p w14:paraId="6A72E4B2" w14:textId="77777777" w:rsidR="005F7A91" w:rsidRDefault="005F7A91">
      <w:pPr>
        <w:widowControl w:val="0"/>
        <w:tabs>
          <w:tab w:val="clear" w:pos="567"/>
        </w:tabs>
        <w:spacing w:line="240" w:lineRule="auto"/>
        <w:jc w:val="both"/>
        <w:rPr>
          <w:szCs w:val="22"/>
          <w:lang w:val="sl-SI"/>
        </w:rPr>
      </w:pPr>
    </w:p>
    <w:p w14:paraId="54BC73E7" w14:textId="77777777" w:rsidR="005F7A91" w:rsidRDefault="007C7639">
      <w:pPr>
        <w:tabs>
          <w:tab w:val="clear" w:pos="567"/>
        </w:tabs>
        <w:autoSpaceDE w:val="0"/>
        <w:autoSpaceDN w:val="0"/>
        <w:adjustRightInd w:val="0"/>
        <w:spacing w:line="240" w:lineRule="auto"/>
        <w:jc w:val="both"/>
        <w:rPr>
          <w:rFonts w:ascii="Arial" w:hAnsi="Arial" w:cs="Arial"/>
          <w:color w:val="000000"/>
          <w:szCs w:val="22"/>
          <w:lang w:val="hr-HR" w:eastAsia="sl-SI"/>
        </w:rPr>
      </w:pPr>
      <w:r>
        <w:rPr>
          <w:color w:val="000000"/>
          <w:szCs w:val="22"/>
          <w:lang w:val="hr-HR" w:eastAsia="sl-SI"/>
        </w:rPr>
        <w:t xml:space="preserve">Dodatno uz studije faze III EINSTEIN programa, sprovedeno je i prospektivno, neintervencijsko, otvoreno ispitivanje kohorti (XALIA), sa centralnom ocjenom ishoda koji su uključivali rekurentnu vensku tromboemboliju, velika krvarenja i smrt. Bilo je uključeno 5142 pacijenata sa akutnom TDV kako bi se ispitala dugotrajna bezbjednost primjene rivaroksabana u odnosu na standardnu antikoagulantnu terapiju u kliničkoj praksi. Za rivaroksaban, stopa ozbiljnih krvarenja bila je 0,7%, rekurentne venske tromboembolije 1,4%, a smrtnosti svih uzroka 0,5%. Bilo je razlika u početnim karakteristikama pacijenata, uključujući godine starosti, karcinom i poremećaj funkcije bubrega. Koristila se unaprijed određena </w:t>
      </w:r>
      <w:r>
        <w:rPr>
          <w:i/>
          <w:iCs/>
          <w:color w:val="000000"/>
          <w:szCs w:val="22"/>
          <w:lang w:val="hr-HR" w:eastAsia="sl-SI"/>
        </w:rPr>
        <w:t>propensity score</w:t>
      </w:r>
      <w:r>
        <w:rPr>
          <w:color w:val="000000"/>
          <w:szCs w:val="22"/>
          <w:lang w:val="hr-HR" w:eastAsia="sl-SI"/>
        </w:rPr>
        <w:t xml:space="preserve"> stratifikovana analiza u cilju uparivanja pacijenata prema sličnim početnim razlikama, ali rezidulani činioci (eng. </w:t>
      </w:r>
      <w:r>
        <w:rPr>
          <w:i/>
          <w:iCs/>
          <w:color w:val="000000"/>
          <w:szCs w:val="22"/>
          <w:lang w:val="hr-HR" w:eastAsia="sl-SI"/>
        </w:rPr>
        <w:t>residual confounding</w:t>
      </w:r>
      <w:r>
        <w:rPr>
          <w:color w:val="000000"/>
          <w:szCs w:val="22"/>
          <w:lang w:val="hr-HR" w:eastAsia="sl-SI"/>
        </w:rPr>
        <w:t>) mogu, uprkos tome, uticati na rezultate. Prilagođeni odnosi rizika za poređenje rivaroksabana i standardne terapije bili su za velika krvarenja 0,77 (95% CI 0,40 - 1,50), za rekurentnu vensku tromboemboliju 0,91 (95% CI 0,54 - 1,54), a za smrtnost zbog svih uzroka 0,51 (95% CI 0,24 - 1,07).</w:t>
      </w:r>
    </w:p>
    <w:p w14:paraId="5CB74CB1"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Ovi rezultati u kliničkoj praksi u skladu su sa ustanovljenim bezbjednosnim profilom za ovu indikaciju.</w:t>
      </w:r>
    </w:p>
    <w:p w14:paraId="7F061217" w14:textId="77777777" w:rsidR="005F7A91" w:rsidRDefault="005F7A91">
      <w:pPr>
        <w:widowControl w:val="0"/>
        <w:tabs>
          <w:tab w:val="clear" w:pos="567"/>
        </w:tabs>
        <w:spacing w:line="240" w:lineRule="auto"/>
        <w:jc w:val="both"/>
        <w:rPr>
          <w:rFonts w:eastAsia="Calibri"/>
          <w:szCs w:val="22"/>
          <w:lang w:val="sl-SI"/>
        </w:rPr>
      </w:pPr>
    </w:p>
    <w:p w14:paraId="26F0FCDC" w14:textId="77777777" w:rsidR="005F7A91" w:rsidRDefault="007C7639">
      <w:pPr>
        <w:widowControl w:val="0"/>
        <w:tabs>
          <w:tab w:val="clear" w:pos="567"/>
        </w:tabs>
        <w:spacing w:line="240" w:lineRule="auto"/>
        <w:jc w:val="both"/>
        <w:rPr>
          <w:rFonts w:eastAsia="Calibri"/>
          <w:szCs w:val="22"/>
          <w:lang w:val="sl-SI"/>
        </w:rPr>
      </w:pPr>
      <w:r>
        <w:rPr>
          <w:rFonts w:eastAsia="Calibri"/>
          <w:szCs w:val="22"/>
        </w:rPr>
        <w:t>U neintervencijskj studiji nakon stavljanja lijeka u promet kod više od 40 000 pacijenata bez karcinoma u anamnezi, iz 4 zemlje, rivaroksaban je primjenjivan za liječenje i prevenciju DVT-a i PE-a. Stopa događaja na 100 pacijent-godina za simptomatske/klinički uočljive VTE/tromboembolijske događaje koji su doveli do hospitalizacije kretala se u rasponu od 0,64 (95% CI 0,40 – 0,97) u Ujedinjenom Kraljevstvu do 2,30 (95% CI 2,11 – 2,51) u Njemačkoj. Stope događaja na 100 pacijent-godina za krvarenje koje je rezultiralo hospitalizacijom iznosile su 0,31 (95% CI 0,23 – 0,42) za intrakranijalno krvarenje, 0,89 (95% CI 0,67 – 1,17) za gastrointestinalno krvarenje, 0,44 (95% CI 0,26 – 0,74) za urogenitalno krvarenje i 0,41 (95% CI 0,31 – 0,54) za ostala krvarenja.</w:t>
      </w:r>
    </w:p>
    <w:p w14:paraId="06214B2F" w14:textId="77777777" w:rsidR="005F7A91" w:rsidRDefault="005F7A91">
      <w:pPr>
        <w:widowControl w:val="0"/>
        <w:tabs>
          <w:tab w:val="clear" w:pos="567"/>
        </w:tabs>
        <w:spacing w:line="240" w:lineRule="auto"/>
        <w:jc w:val="both"/>
        <w:rPr>
          <w:rFonts w:eastAsia="Calibri"/>
          <w:szCs w:val="22"/>
          <w:lang w:val="sl-SI"/>
        </w:rPr>
      </w:pPr>
    </w:p>
    <w:p w14:paraId="464DF396"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Pacijenti sa visokorizičnim trostruko pozitivnim antifosfolipidnim sindromom</w:t>
      </w:r>
    </w:p>
    <w:p w14:paraId="37868D18" w14:textId="77777777" w:rsidR="005F7A91" w:rsidRDefault="007C7639">
      <w:pPr>
        <w:widowControl w:val="0"/>
        <w:tabs>
          <w:tab w:val="clear" w:pos="567"/>
        </w:tabs>
        <w:spacing w:line="240" w:lineRule="auto"/>
        <w:jc w:val="both"/>
        <w:rPr>
          <w:szCs w:val="22"/>
          <w:u w:val="single" w:color="000000"/>
          <w:lang w:val="sl-SI" w:eastAsia="sl-SI"/>
        </w:rPr>
      </w:pPr>
      <w:r>
        <w:rPr>
          <w:szCs w:val="22"/>
          <w:lang w:val="hr-HR" w:eastAsia="sl-SI"/>
        </w:rPr>
        <w:t xml:space="preserve">U randomizovanoj, multicentričnoj, otvorenoj studiji sponzorisanoj od strane ispitivača, sa slijepom procjenom mjera ishoda, rivaroksaban je poređen sa varfarinom kod pacijenata sa trombozom u anamnezi kojima je postavljena dijagnoza antifosfolipidnog sindroma i koji su imali visok rizik od tromboembolijskih događaja (pozitivni na sva tri testa za antifosfolipidni sindrom: lupus antikoagulans, antikardiolipinska antitijela i anti-beta2-glikoprotein-I antitijela). Studija je nakon uključivanja 120 pacijenata završena prevremeno zbog velikog broja događaja u grupi koja je primala rivaroksaban. Srednja vrijednost vremena praćenja iznosila je 569 dana. U grupu koja je primala 20 mg rivaroksabana </w:t>
      </w:r>
      <w:r>
        <w:rPr>
          <w:szCs w:val="22"/>
          <w:lang w:val="hr-HR" w:eastAsia="sl-SI"/>
        </w:rPr>
        <w:lastRenderedPageBreak/>
        <w:t>nasumično je raspoređeno 59 ispitanika (15 mg kod pacijenata sa klirensom kreatinina &lt;50 ml/min), a u grupu koja je primala varfarin 61 pacijent (INR 2,0 – 3,0).</w:t>
      </w:r>
      <w:r>
        <w:rPr>
          <w:szCs w:val="22"/>
          <w:lang w:val="sl-SI" w:eastAsia="sl-SI"/>
        </w:rPr>
        <w:t xml:space="preserve">  Tromboembolijski događaji pojavili su se kod 12% pacijenata randomizovanih u grupu koja je primala rivaroksaban (4 ishemijska moždana udara i 3 infarkta miokarda). </w:t>
      </w:r>
      <w:r>
        <w:rPr>
          <w:szCs w:val="22"/>
          <w:lang w:val="hr-HR" w:eastAsia="sl-SI"/>
        </w:rPr>
        <w:t>Kod pacijenata nasumično raspoređenih u grupu koja je primala varfarin nije bilo prijavljenih događaja. Kod 4 pacijenta (7%) iz grupe koja je primala rivaroksaban i 2 pacijenta (3%) iz grupe koja je primala varfarin došlo je do velikog krvarenja.</w:t>
      </w:r>
    </w:p>
    <w:p w14:paraId="3FDFB61F"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045AAC64"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Pedijatrijska populacija</w:t>
      </w:r>
    </w:p>
    <w:p w14:paraId="259425BD" w14:textId="77777777" w:rsidR="005F7A91" w:rsidRDefault="007C7639">
      <w:pPr>
        <w:widowControl w:val="0"/>
        <w:tabs>
          <w:tab w:val="clear" w:pos="567"/>
        </w:tabs>
        <w:spacing w:line="240" w:lineRule="auto"/>
        <w:jc w:val="both"/>
        <w:rPr>
          <w:szCs w:val="22"/>
          <w:lang w:val="hr-HR"/>
        </w:rPr>
      </w:pPr>
      <w:r>
        <w:rPr>
          <w:szCs w:val="22"/>
          <w:lang w:val="hr-HR"/>
        </w:rPr>
        <w:t>Evropska agencija za ljekove je izuzela obavezu podnošenja rezultata ispitivanja rivaroksabana</w:t>
      </w:r>
      <w:r>
        <w:rPr>
          <w:szCs w:val="22"/>
          <w:lang w:val="sr-Latn-ME"/>
        </w:rPr>
        <w:t xml:space="preserve"> u svim podgrupama pedijatrijske populacije za prevenciju tromboembolijskih događaja (vidjeti dio 4.2 za informacije o upotrebi u pedijatriji).</w:t>
      </w:r>
      <w:r>
        <w:rPr>
          <w:szCs w:val="22"/>
          <w:lang w:val="hr-HR"/>
        </w:rPr>
        <w:t xml:space="preserve"> </w:t>
      </w:r>
    </w:p>
    <w:p w14:paraId="3F7879FC" w14:textId="77777777" w:rsidR="005F7A91" w:rsidRDefault="005F7A91">
      <w:pPr>
        <w:widowControl w:val="0"/>
        <w:tabs>
          <w:tab w:val="clear" w:pos="567"/>
        </w:tabs>
        <w:spacing w:line="240" w:lineRule="auto"/>
        <w:jc w:val="both"/>
        <w:rPr>
          <w:rFonts w:eastAsia="Calibri"/>
          <w:szCs w:val="22"/>
          <w:lang w:val="sl-SI"/>
        </w:rPr>
      </w:pPr>
    </w:p>
    <w:p w14:paraId="0BEC867A" w14:textId="77777777" w:rsidR="005F7A91" w:rsidRDefault="007C7639">
      <w:pPr>
        <w:widowControl w:val="0"/>
        <w:spacing w:line="240" w:lineRule="auto"/>
        <w:jc w:val="both"/>
        <w:rPr>
          <w:b/>
          <w:szCs w:val="22"/>
          <w:lang w:val="sl-SI"/>
        </w:rPr>
      </w:pPr>
      <w:r>
        <w:rPr>
          <w:b/>
          <w:szCs w:val="22"/>
          <w:lang w:val="sl-SI"/>
        </w:rPr>
        <w:t>5.2</w:t>
      </w:r>
      <w:r>
        <w:rPr>
          <w:b/>
          <w:szCs w:val="22"/>
          <w:lang w:val="sl-SI"/>
        </w:rPr>
        <w:tab/>
        <w:t>Farmakokinetički podaci</w:t>
      </w:r>
    </w:p>
    <w:p w14:paraId="0BEFA634" w14:textId="77777777" w:rsidR="005F7A91" w:rsidRDefault="005F7A91">
      <w:pPr>
        <w:widowControl w:val="0"/>
        <w:spacing w:line="240" w:lineRule="auto"/>
        <w:jc w:val="both"/>
        <w:rPr>
          <w:szCs w:val="22"/>
          <w:lang w:val="sl-SI"/>
        </w:rPr>
      </w:pPr>
    </w:p>
    <w:p w14:paraId="03C7CEFE" w14:textId="77777777" w:rsidR="005F7A91" w:rsidRDefault="007C7639">
      <w:pPr>
        <w:widowControl w:val="0"/>
        <w:spacing w:line="240" w:lineRule="auto"/>
        <w:jc w:val="both"/>
        <w:rPr>
          <w:iCs/>
          <w:szCs w:val="22"/>
          <w:u w:val="single"/>
          <w:lang w:val="sl-SI"/>
        </w:rPr>
      </w:pPr>
      <w:r>
        <w:rPr>
          <w:iCs/>
          <w:szCs w:val="22"/>
          <w:u w:val="single"/>
          <w:lang w:val="sl-SI"/>
        </w:rPr>
        <w:t>Resorpcija</w:t>
      </w:r>
    </w:p>
    <w:p w14:paraId="235C9F4C"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Rivaroksaban se brzo resorbuje sa maksimalnom koncentracijom (C</w:t>
      </w:r>
      <w:r>
        <w:rPr>
          <w:color w:val="000000"/>
          <w:szCs w:val="22"/>
          <w:vertAlign w:val="subscript"/>
          <w:lang w:val="hr-HR" w:eastAsia="sl-SI"/>
        </w:rPr>
        <w:t>max</w:t>
      </w:r>
      <w:r>
        <w:rPr>
          <w:color w:val="000000"/>
          <w:szCs w:val="22"/>
          <w:lang w:val="hr-HR" w:eastAsia="sl-SI"/>
        </w:rPr>
        <w:t>) koja se postiže 2-4 sata nakon uzimanja tablete.</w:t>
      </w:r>
    </w:p>
    <w:p w14:paraId="3357E2DA" w14:textId="77777777" w:rsidR="005F7A91" w:rsidRDefault="007C7639">
      <w:pPr>
        <w:widowControl w:val="0"/>
        <w:tabs>
          <w:tab w:val="clear" w:pos="567"/>
        </w:tabs>
        <w:spacing w:line="240" w:lineRule="auto"/>
        <w:jc w:val="both"/>
        <w:rPr>
          <w:szCs w:val="22"/>
          <w:lang w:val="sl-SI" w:eastAsia="sl-SI"/>
        </w:rPr>
      </w:pPr>
      <w:r>
        <w:rPr>
          <w:szCs w:val="22"/>
          <w:lang w:val="sl-SI" w:eastAsia="sl-SI"/>
        </w:rPr>
        <w:t>Resropcija rivaroksabana nakon oralne primjene je skoro potpuna, a oralna bioraspoloživost je velika (80- 100%) za dozu od 2,5 mg i 10 mg, bez obzira na uslove - prazan stomak/poslije jela. Unošenje lijeka sa hranom ne remeti PIK ili C</w:t>
      </w:r>
      <w:r>
        <w:rPr>
          <w:szCs w:val="22"/>
          <w:vertAlign w:val="subscript"/>
          <w:lang w:val="sl-SI" w:eastAsia="sl-SI"/>
        </w:rPr>
        <w:t>max</w:t>
      </w:r>
      <w:r>
        <w:rPr>
          <w:szCs w:val="22"/>
          <w:lang w:val="sl-SI" w:eastAsia="sl-SI"/>
        </w:rPr>
        <w:t xml:space="preserve"> rivaroksabana u dozi od 2,5 mg i 10 mg. Rivaroksaban tablete od 2,5 mg i 10 mg mogu se uzeti uz obrok ili nezavisno od obroka. Farmakokinetika rivaroksabana je približno linearna u dozama do oko 15 mg, jednom dnevno. U većim dozama, resorpcija rivaroksabana je ograničena brzinom rastvaranja tablete, sa smanjenom bioraspoloživošću i smanjenjem brzine resorpcije kako doza raste. Ovo je više izraženo kada se lijek unosi prije jela nego poslije jela. Varijabilnost farmakokinetike rivaroksabana je srednje izražena, sa interindividualnom varijabilnošću (CV%) u opsegu od 30% do 40%, osim na dan hirurške intervencije i sljedećeg dana, kada je varijabilnost izloženosti lijeku visoka (70%). </w:t>
      </w:r>
    </w:p>
    <w:p w14:paraId="4DA6A088" w14:textId="77777777" w:rsidR="005F7A91" w:rsidRDefault="007C7639">
      <w:pPr>
        <w:widowControl w:val="0"/>
        <w:tabs>
          <w:tab w:val="clear" w:pos="567"/>
        </w:tabs>
        <w:spacing w:line="240" w:lineRule="auto"/>
        <w:jc w:val="both"/>
        <w:rPr>
          <w:szCs w:val="22"/>
          <w:lang w:val="sl-SI" w:eastAsia="sl-SI"/>
        </w:rPr>
      </w:pPr>
      <w:r>
        <w:rPr>
          <w:szCs w:val="22"/>
          <w:lang w:val="sl-SI" w:eastAsia="sl-SI"/>
        </w:rPr>
        <w:t>Resorpcija rivaroksabana zavisi od mjesta njegovog oslobađanja u gastrointestinalnom traktu. Smanjenje od 29% i 56% u srednjoj PIK vrijednosti, odnosno C</w:t>
      </w:r>
      <w:r>
        <w:rPr>
          <w:szCs w:val="22"/>
          <w:vertAlign w:val="subscript"/>
          <w:lang w:val="sl-SI" w:eastAsia="sl-SI"/>
        </w:rPr>
        <w:t>max</w:t>
      </w:r>
      <w:r>
        <w:rPr>
          <w:szCs w:val="22"/>
          <w:lang w:val="sl-SI" w:eastAsia="sl-SI"/>
        </w:rPr>
        <w:t xml:space="preserve"> vrijednosti je uočeno u poređenju tablete i rivoraksaban granula koje se oslobađaju u proksimalnom dijelu tankog crijeva. Izloženost je dalje smanjena kada se rivaroksaban oslobađa u distalnom dijelu tankog crijeva ili u početnom dijelu kolona. Zbog toga, primjenu rivaroksabana distalno od želuca treba izbjegavati, jer to vodi smanjenoj resorpciji i smanjenom dejstvu rivaroksabana. </w:t>
      </w:r>
    </w:p>
    <w:p w14:paraId="0C696B5C" w14:textId="77777777" w:rsidR="005F7A91" w:rsidRDefault="007C7639">
      <w:pPr>
        <w:widowControl w:val="0"/>
        <w:tabs>
          <w:tab w:val="clear" w:pos="567"/>
        </w:tabs>
        <w:spacing w:line="240" w:lineRule="auto"/>
        <w:jc w:val="both"/>
        <w:rPr>
          <w:szCs w:val="22"/>
          <w:lang w:val="sl-SI" w:eastAsia="sl-SI"/>
        </w:rPr>
      </w:pPr>
      <w:r>
        <w:rPr>
          <w:szCs w:val="22"/>
          <w:lang w:val="sl-SI" w:eastAsia="sl-SI"/>
        </w:rPr>
        <w:t>Vrijednosti parametara bioraspoloživosti (PIK i C</w:t>
      </w:r>
      <w:r>
        <w:rPr>
          <w:szCs w:val="22"/>
          <w:vertAlign w:val="subscript"/>
          <w:lang w:val="sl-SI" w:eastAsia="sl-SI"/>
        </w:rPr>
        <w:t>max</w:t>
      </w:r>
      <w:r>
        <w:rPr>
          <w:szCs w:val="22"/>
          <w:lang w:val="sl-SI" w:eastAsia="sl-SI"/>
        </w:rPr>
        <w:t>) bile su uporedive prilikom primjene 20 mg rivaroksabana uzetog oralno kao usitnjena tableta pomiješana sa kašom od jabuke, ili suspendovanog u vodi i uzetog pomoću gastrične sonde, nakon čega je unijet tečni obrok, u odnosu na vrijednosti dobijene prilikom primjene cijele tablete. Oslanjajući se na dozno-proporcionalni farmakokinetički profil rivaroksabana, rezultati bioraspoloživosti iz ove studije se vjerovatno mogu primijeniti i na niže doze rivaroksabana.</w:t>
      </w:r>
    </w:p>
    <w:p w14:paraId="434855C1" w14:textId="77777777" w:rsidR="005F7A91" w:rsidRDefault="005F7A91">
      <w:pPr>
        <w:widowControl w:val="0"/>
        <w:tabs>
          <w:tab w:val="clear" w:pos="567"/>
        </w:tabs>
        <w:spacing w:line="240" w:lineRule="auto"/>
        <w:jc w:val="both"/>
        <w:rPr>
          <w:rFonts w:eastAsia="Calibri"/>
          <w:szCs w:val="22"/>
          <w:lang w:val="sl-SI"/>
        </w:rPr>
      </w:pPr>
    </w:p>
    <w:p w14:paraId="490EA2D5" w14:textId="77777777" w:rsidR="005F7A91" w:rsidRDefault="007C7639">
      <w:pPr>
        <w:widowControl w:val="0"/>
        <w:tabs>
          <w:tab w:val="clear" w:pos="567"/>
        </w:tabs>
        <w:spacing w:line="240" w:lineRule="auto"/>
        <w:jc w:val="both"/>
        <w:rPr>
          <w:color w:val="000000"/>
          <w:szCs w:val="22"/>
          <w:u w:val="single"/>
          <w:lang w:val="hr-HR"/>
        </w:rPr>
      </w:pPr>
      <w:r>
        <w:rPr>
          <w:color w:val="000000"/>
          <w:szCs w:val="22"/>
          <w:u w:val="single"/>
          <w:lang w:val="hr-HR"/>
        </w:rPr>
        <w:t>Distribucija</w:t>
      </w:r>
    </w:p>
    <w:p w14:paraId="5189976D" w14:textId="77777777" w:rsidR="005F7A91" w:rsidRDefault="007C7639">
      <w:pPr>
        <w:widowControl w:val="0"/>
        <w:tabs>
          <w:tab w:val="clear" w:pos="567"/>
        </w:tabs>
        <w:spacing w:line="240" w:lineRule="auto"/>
        <w:jc w:val="both"/>
        <w:rPr>
          <w:szCs w:val="22"/>
          <w:lang w:val="sl-SI" w:eastAsia="sl-SI"/>
        </w:rPr>
      </w:pPr>
      <w:r>
        <w:rPr>
          <w:szCs w:val="22"/>
          <w:lang w:val="sl-SI" w:eastAsia="sl-SI"/>
        </w:rPr>
        <w:t>Stepen vezivanja za proteine plazme kod ljudi je visok, oko 92% do 95%, pri čemu je glavna komponenta na koju se lijek veže serumski albumin. Volumen distribucije je umjeren, pri čemu V</w:t>
      </w:r>
      <w:r>
        <w:rPr>
          <w:szCs w:val="22"/>
          <w:vertAlign w:val="subscript"/>
          <w:lang w:val="sl-SI" w:eastAsia="sl-SI"/>
        </w:rPr>
        <w:t>ss</w:t>
      </w:r>
      <w:r>
        <w:rPr>
          <w:szCs w:val="22"/>
          <w:lang w:val="sl-SI" w:eastAsia="sl-SI"/>
        </w:rPr>
        <w:t xml:space="preserve"> iznosi oko 50 litara.</w:t>
      </w:r>
    </w:p>
    <w:p w14:paraId="26830678" w14:textId="77777777" w:rsidR="005F7A91" w:rsidRDefault="005F7A91">
      <w:pPr>
        <w:widowControl w:val="0"/>
        <w:tabs>
          <w:tab w:val="clear" w:pos="567"/>
        </w:tabs>
        <w:spacing w:line="240" w:lineRule="auto"/>
        <w:jc w:val="both"/>
        <w:rPr>
          <w:rFonts w:eastAsia="Calibri"/>
          <w:szCs w:val="22"/>
          <w:lang w:val="sl-SI"/>
        </w:rPr>
      </w:pPr>
    </w:p>
    <w:p w14:paraId="0B9BE338"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Biotransformacija i eliminacija</w:t>
      </w:r>
    </w:p>
    <w:p w14:paraId="7668829A"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Oko 2/3 primijenjene doze rivaroksabana podliježe metaboličkoj razgradnji, od čega se oko polovina eliminiše putem bubrega, a druga polovina putem crijeva. Preostala 1/3 primijenjene doze izlučuje se direktno putem bubrega u urin u obliku neizmijenjene aktivne supstance, pretežno kao posljedica aktivne bubrežne sekrecije.</w:t>
      </w:r>
    </w:p>
    <w:p w14:paraId="2267550B"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Rivaroksaban se metaboliše pomoću CYP3A4, CYP2J2 i CYP-nezavisnih mehanizama. Oksidativna razgradnja morfolinonskog dijela molekula i hidroliza amidnih veza glavna su mjesta biotransformacije. Prema rezultatima </w:t>
      </w:r>
      <w:r>
        <w:rPr>
          <w:i/>
          <w:iCs/>
          <w:color w:val="000000"/>
          <w:szCs w:val="22"/>
          <w:lang w:val="hr-HR" w:eastAsia="sl-SI"/>
        </w:rPr>
        <w:t xml:space="preserve">in vitro </w:t>
      </w:r>
      <w:r>
        <w:rPr>
          <w:iCs/>
          <w:color w:val="000000"/>
          <w:szCs w:val="22"/>
          <w:lang w:val="hr-HR" w:eastAsia="sl-SI"/>
        </w:rPr>
        <w:t>studija</w:t>
      </w:r>
      <w:r>
        <w:rPr>
          <w:i/>
          <w:iCs/>
          <w:color w:val="000000"/>
          <w:szCs w:val="22"/>
          <w:lang w:val="hr-HR" w:eastAsia="sl-SI"/>
        </w:rPr>
        <w:t>,</w:t>
      </w:r>
      <w:r>
        <w:rPr>
          <w:color w:val="000000"/>
          <w:szCs w:val="22"/>
          <w:lang w:val="hr-HR" w:eastAsia="sl-SI"/>
        </w:rPr>
        <w:t xml:space="preserve"> rivaroksaban je supstrat za transportne proteine P-gp (eng. </w:t>
      </w:r>
      <w:r>
        <w:rPr>
          <w:i/>
          <w:color w:val="000000"/>
          <w:szCs w:val="22"/>
          <w:lang w:val="hr-HR" w:eastAsia="sl-SI"/>
        </w:rPr>
        <w:t>P-glycoprotein</w:t>
      </w:r>
      <w:r>
        <w:rPr>
          <w:color w:val="000000"/>
          <w:szCs w:val="22"/>
          <w:lang w:val="hr-HR" w:eastAsia="sl-SI"/>
        </w:rPr>
        <w:t xml:space="preserve">) i Bcrp (eng. </w:t>
      </w:r>
      <w:r>
        <w:rPr>
          <w:i/>
          <w:color w:val="000000"/>
          <w:szCs w:val="22"/>
          <w:lang w:val="hr-HR" w:eastAsia="sl-SI"/>
        </w:rPr>
        <w:t>breast cancer resistance protein</w:t>
      </w:r>
      <w:r>
        <w:rPr>
          <w:color w:val="000000"/>
          <w:szCs w:val="22"/>
          <w:lang w:val="hr-HR" w:eastAsia="sl-SI"/>
        </w:rPr>
        <w:t>).</w:t>
      </w:r>
    </w:p>
    <w:p w14:paraId="71364DA7"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Neizmijenjeni rivaroksaban je najznačajnije jedinjenje u plazmi, bez prisustva drugih glavnih ili aktivnih metabolita. Budući da mu sistemski klirens iznosi oko 10 l/h, rivaroksaban se može svrstati među ljekove sa malim klirensom. Nakon intravenski primijenjene doze od 1 mg, poluvrijeme eliminacije </w:t>
      </w:r>
      <w:r>
        <w:rPr>
          <w:szCs w:val="22"/>
          <w:lang w:val="sl-SI" w:eastAsia="sl-SI"/>
        </w:rPr>
        <w:lastRenderedPageBreak/>
        <w:t>iznosi oko 4,5 sata. Nakon oralne primjene, eliminacija postaje ograničena brzinom resorpcije. Eliminacija rivaroksabana iz plazme odvija se sa terminalnim poluvremenom eliminacije od 5 do 9 sati kod mlađih osoba, odnosno 11 do 13 sati kod starijih.</w:t>
      </w:r>
    </w:p>
    <w:p w14:paraId="4B4DE485" w14:textId="77777777" w:rsidR="005F7A91" w:rsidRDefault="005F7A91">
      <w:pPr>
        <w:widowControl w:val="0"/>
        <w:tabs>
          <w:tab w:val="clear" w:pos="567"/>
        </w:tabs>
        <w:spacing w:line="240" w:lineRule="auto"/>
        <w:jc w:val="both"/>
        <w:rPr>
          <w:rFonts w:eastAsia="Calibri"/>
          <w:szCs w:val="22"/>
          <w:lang w:val="sl-SI"/>
        </w:rPr>
      </w:pPr>
    </w:p>
    <w:p w14:paraId="0644AF0B"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Posebne grupe pacijenata</w:t>
      </w:r>
    </w:p>
    <w:p w14:paraId="13FBDB9E"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Pol</w:t>
      </w:r>
    </w:p>
    <w:p w14:paraId="4024ECBA"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Nisu uočene klinički značajne razlike u farmakokinetici ni u farmakodinamici između pacijenata muškog i ženskog pola.</w:t>
      </w:r>
    </w:p>
    <w:p w14:paraId="639A7B7A"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387FE457"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Starija populacija</w:t>
      </w:r>
    </w:p>
    <w:p w14:paraId="1D67C276"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Kod starijih pacijenata su koncentracije u plazmi bile veće nego kod mlađih, pri čemu je srednja vrijednost PIK bila oko 1,5 puta veća, uglavnom zbog smanjenja (prividnog) ukupnog i renalnog klirensa. Nije potrebno bilo kakvo prilagođavanje doze.</w:t>
      </w:r>
    </w:p>
    <w:p w14:paraId="309BEF14" w14:textId="77777777" w:rsidR="005F7A91" w:rsidRDefault="005F7A91">
      <w:pPr>
        <w:tabs>
          <w:tab w:val="clear" w:pos="567"/>
        </w:tabs>
        <w:autoSpaceDE w:val="0"/>
        <w:autoSpaceDN w:val="0"/>
        <w:adjustRightInd w:val="0"/>
        <w:spacing w:line="240" w:lineRule="auto"/>
        <w:jc w:val="both"/>
        <w:rPr>
          <w:color w:val="000000"/>
          <w:szCs w:val="22"/>
          <w:lang w:val="hr-HR" w:eastAsia="sl-SI"/>
        </w:rPr>
      </w:pPr>
    </w:p>
    <w:p w14:paraId="692F8D4F"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Različite kategorije prema tjelesnoj masi</w:t>
      </w:r>
    </w:p>
    <w:p w14:paraId="604CEEA2"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Ekstremne tjelesne mase (&lt; 50 kg i &gt; 120 kg) imale su mali uticaj na koncentracije rivaroksabana u plazmi (manje od 25%). Nije potrebno prilagođavanje doze.</w:t>
      </w:r>
    </w:p>
    <w:p w14:paraId="026B9C04" w14:textId="77777777" w:rsidR="005F7A91" w:rsidRDefault="005F7A91">
      <w:pPr>
        <w:widowControl w:val="0"/>
        <w:tabs>
          <w:tab w:val="clear" w:pos="567"/>
        </w:tabs>
        <w:spacing w:line="240" w:lineRule="auto"/>
        <w:jc w:val="both"/>
        <w:rPr>
          <w:rFonts w:eastAsia="Calibri"/>
          <w:szCs w:val="22"/>
          <w:lang w:val="sl-SI"/>
        </w:rPr>
      </w:pPr>
    </w:p>
    <w:p w14:paraId="754CECCA"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Međuetničke razlike</w:t>
      </w:r>
    </w:p>
    <w:p w14:paraId="2324E917"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Nisu uočene klinički značajne međuetničke razlike u farmakokinetici ni u farmakodinamici rivaroksabana između pacijenata bijelaca, osoba crne rase (Afroamerikanaca), Latinoamerikanaca, Japanaca ili Kineza.</w:t>
      </w:r>
    </w:p>
    <w:p w14:paraId="5A0ECA88" w14:textId="77777777" w:rsidR="005F7A91" w:rsidRDefault="005F7A91">
      <w:pPr>
        <w:widowControl w:val="0"/>
        <w:tabs>
          <w:tab w:val="clear" w:pos="567"/>
        </w:tabs>
        <w:spacing w:line="240" w:lineRule="auto"/>
        <w:jc w:val="both"/>
        <w:rPr>
          <w:rFonts w:eastAsia="Calibri"/>
          <w:szCs w:val="22"/>
          <w:lang w:val="sl-SI"/>
        </w:rPr>
      </w:pPr>
    </w:p>
    <w:p w14:paraId="047C9F92"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Oštećenje funkcije jetre</w:t>
      </w:r>
    </w:p>
    <w:p w14:paraId="3C02678D"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 xml:space="preserve">Kod pacijenata sa cirozom i blagim oštećenjem funkcije jetre (klasifikovano kao </w:t>
      </w:r>
      <w:r>
        <w:rPr>
          <w:i/>
          <w:color w:val="000000"/>
          <w:szCs w:val="22"/>
          <w:lang w:val="hr-HR" w:eastAsia="sl-SI"/>
        </w:rPr>
        <w:t>Child-Pugh</w:t>
      </w:r>
      <w:r>
        <w:rPr>
          <w:color w:val="000000"/>
          <w:szCs w:val="22"/>
          <w:lang w:val="hr-HR" w:eastAsia="sl-SI"/>
        </w:rPr>
        <w:t xml:space="preserve"> stadijum A) uočene su samo manje promjene u farmakokinetici rivaroksabana (povećanje PIK rivaroksabana prosječno 1,2 puta), što je skoro u rasponu vrijednosti za odgovarajuće zdrave ispitanike u kontrolnoj grupi. Kod pacijenata sa cirozom i umjerenim oštećenjem funkcije jetre (klasifikovano kao </w:t>
      </w:r>
      <w:r>
        <w:rPr>
          <w:i/>
          <w:color w:val="000000"/>
          <w:szCs w:val="22"/>
          <w:lang w:val="hr-HR" w:eastAsia="sl-SI"/>
        </w:rPr>
        <w:t>Child-Pugh</w:t>
      </w:r>
      <w:r>
        <w:rPr>
          <w:color w:val="000000"/>
          <w:szCs w:val="22"/>
          <w:lang w:val="hr-HR" w:eastAsia="sl-SI"/>
        </w:rPr>
        <w:t xml:space="preserve"> stadijum B) srednja vrijednost PIK rivaroksabana značajno se povećala 2,3 puta u poređenju sa onom kod zdravih dobrovoljaca. PIK nevezanog rivaroksabana povećao se 2,6 puta. Kod tih pacijenata se smanjila i renalna eliminacija rivaroksabana, slično kao i kod pacijenata sa umjerenim oštećenjem funkcije bubrega.</w:t>
      </w:r>
    </w:p>
    <w:p w14:paraId="434B58F3"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Nema podataka za pacijente sa teškim oštećenjem funkcije jetre.</w:t>
      </w:r>
    </w:p>
    <w:p w14:paraId="3CA03C1E"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Inhibicija aktivnosti faktora Xa povećala se za faktor 2,6 kod pacijenata sa umjerenim oštećenjem funkcije jetre u poređenju sa zdravim dobrovoljcima. PT se slično produžio za faktor 2,1. Pacijenti sa umjerenim oštećenjem funkcije jetre bili su osjetljiviji na dejstvo rivaroksabana, što je za posljedicu imalo strmiji PK/PD odnos između koncentracije i PT.</w:t>
      </w:r>
    </w:p>
    <w:p w14:paraId="6A2F1C91"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 xml:space="preserve">Rivaroksaban je kontraindikovan kod pacijenata sa oboljenjem jetre koje je udruženo sa koagulopatijom i klinički značajnim rizikom od krvarenja, uključujući pacijente sa cirozom sa </w:t>
      </w:r>
      <w:r>
        <w:rPr>
          <w:i/>
          <w:szCs w:val="22"/>
          <w:lang w:val="sl-SI" w:eastAsia="sl-SI"/>
        </w:rPr>
        <w:t>Child-Pugh</w:t>
      </w:r>
      <w:r>
        <w:rPr>
          <w:szCs w:val="22"/>
          <w:lang w:val="sl-SI" w:eastAsia="sl-SI"/>
        </w:rPr>
        <w:t xml:space="preserve"> B i C (vidjeti dio 4.3).</w:t>
      </w:r>
    </w:p>
    <w:p w14:paraId="2C67E66E" w14:textId="77777777" w:rsidR="005F7A91" w:rsidRDefault="005F7A91">
      <w:pPr>
        <w:widowControl w:val="0"/>
        <w:tabs>
          <w:tab w:val="clear" w:pos="567"/>
        </w:tabs>
        <w:spacing w:line="240" w:lineRule="auto"/>
        <w:jc w:val="both"/>
        <w:rPr>
          <w:rFonts w:eastAsia="Calibri"/>
          <w:szCs w:val="22"/>
          <w:lang w:val="sl-SI"/>
        </w:rPr>
      </w:pPr>
    </w:p>
    <w:p w14:paraId="28FFD830"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i/>
          <w:iCs/>
          <w:color w:val="000000"/>
          <w:szCs w:val="22"/>
          <w:lang w:val="hr-HR" w:eastAsia="sl-SI"/>
        </w:rPr>
        <w:t>Oštećenje funkcije bubrega</w:t>
      </w:r>
    </w:p>
    <w:p w14:paraId="7A157530" w14:textId="77777777" w:rsidR="005F7A91" w:rsidRDefault="007C7639">
      <w:pPr>
        <w:widowControl w:val="0"/>
        <w:tabs>
          <w:tab w:val="clear" w:pos="567"/>
        </w:tabs>
        <w:spacing w:line="240" w:lineRule="auto"/>
        <w:jc w:val="both"/>
        <w:rPr>
          <w:rFonts w:eastAsia="Calibri"/>
          <w:szCs w:val="22"/>
          <w:lang w:val="sl-SI"/>
        </w:rPr>
      </w:pPr>
      <w:r>
        <w:rPr>
          <w:rFonts w:eastAsia="Calibri"/>
          <w:szCs w:val="22"/>
          <w:lang w:val="sl-SI"/>
        </w:rPr>
        <w:t>Ekspozicija rivaroksabanu rasla je u korelaciji sa smanjenjem funkcije bubrega, koja je procijenjena na osnovu klirensa kreatinina. Kod osoba sa blagim (klirens kreatinina 50-80 ml/min), srednje teškim (klirens kreatinina 30-49 ml/min) i teškim (klirens kreatinina 15-29 ml/min) oštećenjem funkcije bubrega, koncentracije rivaroksabana u plazmi (PIK) bile su povećane 1,4; 1,5 i 1,6 puta, redom. Odgovarajući porast farmakodinamskog odgovora bio je više izražen. Kod osoba sa blagim, srednje teškim i teškim oštećenjem funkcije bubrega, ukupna inhibicija aktivnosti faktora Xa bila je povećana za faktor 1,5; 1,9 i 2,0, redom, u poređenju sa zdravim dobrovoljcima; produžavanje PT bilo je povećano u sličnoj mjeri, za faktor 1,3; 2,2 i 2,4. Nema podataka za pacijente sa klirensom kreatinina &lt; 15 ml/min. Ne očekuje se da se rivaroksaban uklanja dijalizom zbog toga što se u visokom stepenu vezuje za proteine plazme.</w:t>
      </w:r>
    </w:p>
    <w:p w14:paraId="243DA4C8" w14:textId="77777777" w:rsidR="005F7A91" w:rsidRDefault="007C7639">
      <w:pPr>
        <w:widowControl w:val="0"/>
        <w:tabs>
          <w:tab w:val="clear" w:pos="567"/>
        </w:tabs>
        <w:spacing w:line="240" w:lineRule="auto"/>
        <w:jc w:val="both"/>
        <w:rPr>
          <w:rFonts w:eastAsia="Calibri"/>
          <w:szCs w:val="22"/>
          <w:lang w:val="sl-SI"/>
        </w:rPr>
      </w:pPr>
      <w:r>
        <w:rPr>
          <w:rFonts w:eastAsia="Calibri"/>
          <w:szCs w:val="22"/>
          <w:lang w:val="sl-SI"/>
        </w:rPr>
        <w:t>Ne preporučuje se primjena ovog lijeka kod pacijenata čiji je klirens kreatinina &lt; 15 ml/min. Rivaroksaban se primjenjuje uz mjere opreza kod pacijenata sa klirensom kreatinina od 15-29 ml/min (vidjeti dio 4.4).</w:t>
      </w:r>
    </w:p>
    <w:p w14:paraId="6BE74753" w14:textId="77777777" w:rsidR="005F7A91" w:rsidRDefault="005F7A91">
      <w:pPr>
        <w:widowControl w:val="0"/>
        <w:tabs>
          <w:tab w:val="clear" w:pos="567"/>
        </w:tabs>
        <w:spacing w:line="240" w:lineRule="auto"/>
        <w:jc w:val="both"/>
        <w:rPr>
          <w:rFonts w:eastAsia="Calibri"/>
          <w:szCs w:val="22"/>
          <w:lang w:val="sl-SI"/>
        </w:rPr>
      </w:pPr>
    </w:p>
    <w:p w14:paraId="22A81D9C"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Farmakokinetički podaci kod pacijenata</w:t>
      </w:r>
    </w:p>
    <w:p w14:paraId="2684B739"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lastRenderedPageBreak/>
        <w:t>Kod pacijenata koji primaju 10 mg rivaroksabana jednom dnevno za prevenciju TDV, geometrijska sredina koncentracije (90% interval predviđanja) 2-4 h i oko 24 h nakon doze iznosila je 101 (7 - 273) odnosno 14 (4 - 51) mcg/l (što ugrubo predstavlja maksimalnu i minimalnu koncentraciju tokom intervala doziranja).</w:t>
      </w:r>
    </w:p>
    <w:p w14:paraId="4C75DF78" w14:textId="77777777" w:rsidR="005F7A91" w:rsidRDefault="005F7A91">
      <w:pPr>
        <w:widowControl w:val="0"/>
        <w:tabs>
          <w:tab w:val="clear" w:pos="567"/>
        </w:tabs>
        <w:spacing w:line="240" w:lineRule="auto"/>
        <w:jc w:val="both"/>
        <w:rPr>
          <w:rFonts w:eastAsia="Calibri"/>
          <w:szCs w:val="22"/>
          <w:lang w:val="sl-SI"/>
        </w:rPr>
      </w:pPr>
    </w:p>
    <w:p w14:paraId="610AEFA9"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Farmakokinetičko/farmakodinamski odnos</w:t>
      </w:r>
    </w:p>
    <w:p w14:paraId="7B9903E7" w14:textId="77777777" w:rsidR="005F7A91" w:rsidRDefault="007C7639">
      <w:pPr>
        <w:widowControl w:val="0"/>
        <w:tabs>
          <w:tab w:val="clear" w:pos="567"/>
        </w:tabs>
        <w:spacing w:line="240" w:lineRule="auto"/>
        <w:jc w:val="both"/>
        <w:rPr>
          <w:rFonts w:eastAsia="Calibri"/>
          <w:szCs w:val="22"/>
          <w:lang w:val="sl-SI"/>
        </w:rPr>
      </w:pPr>
      <w:r>
        <w:rPr>
          <w:szCs w:val="22"/>
          <w:lang w:val="sl-SI" w:eastAsia="sl-SI"/>
        </w:rPr>
        <w:t>Farmakokinetičko/farmakodinamski (PK/PD) odnos između koncentracija rivaroksabana u plazmi i nekih ciljnih farmakodinamskih parametara (inhibicija faktora Xa, PT, aPTT, Heptest) ispitivan je nakon primjene širokog raspona doza (5-30 mg dva puta na dan). Odnos između koncentracije rivaroksabana i aktivnosti faktora Xa najbolje se može opisati modelom E</w:t>
      </w:r>
      <w:r>
        <w:rPr>
          <w:szCs w:val="22"/>
          <w:vertAlign w:val="subscript"/>
          <w:lang w:val="sl-SI" w:eastAsia="sl-SI"/>
        </w:rPr>
        <w:t>max</w:t>
      </w:r>
      <w:r>
        <w:rPr>
          <w:szCs w:val="22"/>
          <w:lang w:val="sl-SI" w:eastAsia="sl-SI"/>
        </w:rPr>
        <w:t xml:space="preserve">. U principu, za PT, vrijednosti bolje opisuje linearni model (engl. </w:t>
      </w:r>
      <w:r>
        <w:rPr>
          <w:i/>
          <w:szCs w:val="22"/>
          <w:lang w:val="sl-SI" w:eastAsia="sl-SI"/>
        </w:rPr>
        <w:t>linear intercept model</w:t>
      </w:r>
      <w:r>
        <w:rPr>
          <w:szCs w:val="22"/>
          <w:lang w:val="sl-SI" w:eastAsia="sl-SI"/>
        </w:rPr>
        <w:t>). Nagib značajno varira u zavisnosti od toga koji je PT reagens korišćen za mjerenje PT. Kada se za mjerenje PT koristio Neoplastin, početna vrijednost PT iznosila je oko 13 s, a nagib je bio oko 3-4 s/(100 mcg/l). Rezultati PK/PD analize u studijama faze II i III bili su u skladu sa podacima dobijenim na zdravim ispitanicima. Kod pacijenata, na početne vrijednosti faktora Xa i PT uticala je hirurška intervencija, što je dovelo do razlike u nagibu odnosa koncentracija-PT između vrijednosti na dan poslije operacije i vrijednosti u ravnotežnom stanju.</w:t>
      </w:r>
    </w:p>
    <w:p w14:paraId="3837A922" w14:textId="77777777" w:rsidR="005F7A91" w:rsidRDefault="005F7A91">
      <w:pPr>
        <w:widowControl w:val="0"/>
        <w:tabs>
          <w:tab w:val="clear" w:pos="567"/>
        </w:tabs>
        <w:spacing w:line="240" w:lineRule="auto"/>
        <w:jc w:val="both"/>
        <w:rPr>
          <w:rFonts w:eastAsia="Calibri"/>
          <w:szCs w:val="22"/>
          <w:lang w:val="sl-SI"/>
        </w:rPr>
      </w:pPr>
    </w:p>
    <w:p w14:paraId="4A604CB3" w14:textId="77777777" w:rsidR="005F7A91" w:rsidRDefault="007C7639">
      <w:pPr>
        <w:tabs>
          <w:tab w:val="clear" w:pos="567"/>
        </w:tabs>
        <w:autoSpaceDE w:val="0"/>
        <w:autoSpaceDN w:val="0"/>
        <w:adjustRightInd w:val="0"/>
        <w:spacing w:line="240" w:lineRule="auto"/>
        <w:jc w:val="both"/>
        <w:rPr>
          <w:color w:val="000000"/>
          <w:szCs w:val="22"/>
          <w:u w:val="single"/>
          <w:lang w:val="hr-HR" w:eastAsia="sl-SI"/>
        </w:rPr>
      </w:pPr>
      <w:r>
        <w:rPr>
          <w:color w:val="000000"/>
          <w:szCs w:val="22"/>
          <w:u w:val="single"/>
          <w:lang w:val="hr-HR" w:eastAsia="sl-SI"/>
        </w:rPr>
        <w:t>Pedijatrijska populacija</w:t>
      </w:r>
    </w:p>
    <w:p w14:paraId="6B6B5693" w14:textId="77777777" w:rsidR="005F7A91" w:rsidRDefault="007C7639">
      <w:pPr>
        <w:widowControl w:val="0"/>
        <w:tabs>
          <w:tab w:val="clear" w:pos="567"/>
          <w:tab w:val="left" w:pos="8114"/>
        </w:tabs>
        <w:spacing w:line="240" w:lineRule="auto"/>
        <w:jc w:val="both"/>
        <w:rPr>
          <w:rFonts w:eastAsia="Calibri"/>
          <w:szCs w:val="22"/>
          <w:lang w:val="sl-SI"/>
        </w:rPr>
      </w:pPr>
      <w:r>
        <w:rPr>
          <w:szCs w:val="22"/>
          <w:lang w:val="sl-SI" w:eastAsia="sl-SI"/>
        </w:rPr>
        <w:t>Bezbjednost i efikasnost kod djece i adolescenata uzrasta do 18 godina nisu ustanovljeni u indikaciji primarne prevencije VTE.</w:t>
      </w:r>
    </w:p>
    <w:p w14:paraId="0FE546A8" w14:textId="77777777" w:rsidR="005F7A91" w:rsidRDefault="005F7A91">
      <w:pPr>
        <w:widowControl w:val="0"/>
        <w:tabs>
          <w:tab w:val="clear" w:pos="567"/>
          <w:tab w:val="left" w:pos="8114"/>
        </w:tabs>
        <w:spacing w:line="240" w:lineRule="auto"/>
        <w:jc w:val="both"/>
        <w:rPr>
          <w:rFonts w:eastAsia="Calibri"/>
          <w:szCs w:val="22"/>
          <w:lang w:val="sl-SI"/>
        </w:rPr>
      </w:pPr>
    </w:p>
    <w:p w14:paraId="69D45B3E" w14:textId="77777777" w:rsidR="005F7A91" w:rsidRDefault="007C7639">
      <w:pPr>
        <w:widowControl w:val="0"/>
        <w:spacing w:line="240" w:lineRule="auto"/>
        <w:jc w:val="both"/>
        <w:rPr>
          <w:b/>
          <w:szCs w:val="22"/>
          <w:lang w:val="sl-SI"/>
        </w:rPr>
      </w:pPr>
      <w:r>
        <w:rPr>
          <w:b/>
          <w:szCs w:val="22"/>
          <w:lang w:val="sl-SI"/>
        </w:rPr>
        <w:t>5.3</w:t>
      </w:r>
      <w:r>
        <w:rPr>
          <w:b/>
          <w:szCs w:val="22"/>
          <w:lang w:val="sl-SI"/>
        </w:rPr>
        <w:tab/>
        <w:t>Pretklinički podaci o bezbjednosti</w:t>
      </w:r>
    </w:p>
    <w:p w14:paraId="12BD4CEB" w14:textId="77777777" w:rsidR="005F7A91" w:rsidRDefault="005F7A91">
      <w:pPr>
        <w:widowControl w:val="0"/>
        <w:tabs>
          <w:tab w:val="clear" w:pos="567"/>
        </w:tabs>
        <w:spacing w:line="240" w:lineRule="auto"/>
        <w:jc w:val="both"/>
        <w:rPr>
          <w:rFonts w:eastAsia="Calibri"/>
          <w:szCs w:val="22"/>
          <w:lang w:val="sl-SI"/>
        </w:rPr>
      </w:pPr>
    </w:p>
    <w:p w14:paraId="033C7C5C"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Pretklini</w:t>
      </w:r>
      <w:r>
        <w:rPr>
          <w:color w:val="000000"/>
          <w:szCs w:val="22"/>
          <w:lang w:val="sr-Latn-RS" w:eastAsia="sl-SI"/>
        </w:rPr>
        <w:t xml:space="preserve">čki </w:t>
      </w:r>
      <w:r>
        <w:rPr>
          <w:color w:val="000000"/>
          <w:szCs w:val="22"/>
          <w:lang w:val="hr-HR" w:eastAsia="sl-SI"/>
        </w:rPr>
        <w:t>podaci nisi otkrili poseban rizik za ljude na osnovu standardnih pretkliničkih studija bezbjednosti, studija toksičnosti jedne doze, fototoksičnosti, genotoksičnosti, karcinogenog potencijala i juvenilne toksičnosti.</w:t>
      </w:r>
    </w:p>
    <w:p w14:paraId="427B969C" w14:textId="77777777" w:rsidR="005F7A91" w:rsidRDefault="007C7639">
      <w:pPr>
        <w:tabs>
          <w:tab w:val="clear" w:pos="567"/>
        </w:tabs>
        <w:autoSpaceDE w:val="0"/>
        <w:autoSpaceDN w:val="0"/>
        <w:adjustRightInd w:val="0"/>
        <w:spacing w:line="240" w:lineRule="auto"/>
        <w:jc w:val="both"/>
        <w:rPr>
          <w:color w:val="000000"/>
          <w:szCs w:val="22"/>
          <w:lang w:val="hr-HR" w:eastAsia="sl-SI"/>
        </w:rPr>
      </w:pPr>
      <w:r>
        <w:rPr>
          <w:color w:val="000000"/>
          <w:szCs w:val="22"/>
          <w:lang w:val="hr-HR" w:eastAsia="sl-SI"/>
        </w:rPr>
        <w:t>Efekti dobijeni u studijama toksičnosti ponovljene doze uglavnom su posljedica pojačane farmakodinamske aktivnosti rivaroksabana. Kod pacova je primijećeno povećanje nivoa IgG i IgA u plazmi pri klinički značajnim nivoima ekspozicije.</w:t>
      </w:r>
    </w:p>
    <w:p w14:paraId="1A4DB991" w14:textId="77777777" w:rsidR="005F7A91" w:rsidRDefault="007C7639">
      <w:pPr>
        <w:widowControl w:val="0"/>
        <w:tabs>
          <w:tab w:val="clear" w:pos="567"/>
        </w:tabs>
        <w:spacing w:line="240" w:lineRule="auto"/>
        <w:jc w:val="both"/>
        <w:rPr>
          <w:noProof/>
          <w:szCs w:val="22"/>
          <w:lang w:val="sl-SI"/>
        </w:rPr>
      </w:pPr>
      <w:r>
        <w:rPr>
          <w:szCs w:val="22"/>
          <w:lang w:val="sl-SI" w:eastAsia="sl-SI"/>
        </w:rPr>
        <w:t>Kod pacova nije primijećen uticaj na plodnost ni mužjaka ni ženki. Studije na životinjama pokazale su reproduktivnu toksičnost koja je rezultat farmakodinamskog mehanizma dejstva rivaroksabana (npr. hemoragijske komplikacije). Pri klinički značajnim koncentracijama lijeka u plazmi primijećene su embrio-fetalna toksičnost (gubitak poslije implantacije, usporena/uznapredovala osifikacija, multiple svijetle mrlje na jetri), povećana učestlaost uobičajenih malformacija, kao i promjene na placenti. U studijama prenatalnog i postnatalnog razvoja na pacovima primijećena je smanjena sposobnost preživljavanja okota pri dozama koje su bile toksične za gravidne ženke.</w:t>
      </w:r>
    </w:p>
    <w:p w14:paraId="32D4A075" w14:textId="77777777" w:rsidR="005F7A91" w:rsidRDefault="005F7A91">
      <w:pPr>
        <w:widowControl w:val="0"/>
        <w:spacing w:line="240" w:lineRule="auto"/>
        <w:jc w:val="both"/>
        <w:rPr>
          <w:szCs w:val="22"/>
          <w:lang w:val="sl-SI"/>
        </w:rPr>
      </w:pPr>
    </w:p>
    <w:p w14:paraId="221C657F" w14:textId="77777777" w:rsidR="005F7A91" w:rsidRDefault="005F7A91">
      <w:pPr>
        <w:widowControl w:val="0"/>
        <w:spacing w:line="240" w:lineRule="auto"/>
        <w:jc w:val="both"/>
        <w:rPr>
          <w:szCs w:val="22"/>
          <w:lang w:val="sl-SI"/>
        </w:rPr>
      </w:pPr>
    </w:p>
    <w:p w14:paraId="366E8D6F" w14:textId="77777777" w:rsidR="005F7A91" w:rsidRDefault="007C7639">
      <w:pPr>
        <w:widowControl w:val="0"/>
        <w:spacing w:line="240" w:lineRule="auto"/>
        <w:jc w:val="both"/>
        <w:rPr>
          <w:b/>
          <w:szCs w:val="22"/>
          <w:lang w:val="sl-SI"/>
        </w:rPr>
      </w:pPr>
      <w:r>
        <w:rPr>
          <w:b/>
          <w:szCs w:val="22"/>
          <w:lang w:val="sl-SI"/>
        </w:rPr>
        <w:t>6.</w:t>
      </w:r>
      <w:r>
        <w:rPr>
          <w:b/>
          <w:szCs w:val="22"/>
          <w:lang w:val="sl-SI"/>
        </w:rPr>
        <w:tab/>
        <w:t>FARMACEUTSKI PODACI</w:t>
      </w:r>
    </w:p>
    <w:p w14:paraId="4A349C10" w14:textId="77777777" w:rsidR="005F7A91" w:rsidRDefault="005F7A91">
      <w:pPr>
        <w:widowControl w:val="0"/>
        <w:spacing w:line="240" w:lineRule="auto"/>
        <w:jc w:val="both"/>
        <w:rPr>
          <w:szCs w:val="22"/>
          <w:lang w:val="sl-SI"/>
        </w:rPr>
      </w:pPr>
    </w:p>
    <w:p w14:paraId="5F53E941" w14:textId="77777777" w:rsidR="005F7A91" w:rsidRDefault="007C7639">
      <w:pPr>
        <w:widowControl w:val="0"/>
        <w:spacing w:line="240" w:lineRule="auto"/>
        <w:jc w:val="both"/>
        <w:rPr>
          <w:b/>
          <w:szCs w:val="22"/>
          <w:lang w:val="sl-SI"/>
        </w:rPr>
      </w:pPr>
      <w:r>
        <w:rPr>
          <w:b/>
          <w:szCs w:val="22"/>
          <w:lang w:val="sl-SI"/>
        </w:rPr>
        <w:t>6.1</w:t>
      </w:r>
      <w:r>
        <w:rPr>
          <w:b/>
          <w:szCs w:val="22"/>
          <w:lang w:val="sl-SI"/>
        </w:rPr>
        <w:tab/>
        <w:t>Lista pomoćnih supstanci (ekscipijenasa)</w:t>
      </w:r>
    </w:p>
    <w:p w14:paraId="31283B7B" w14:textId="77777777" w:rsidR="005F7A91" w:rsidRDefault="005F7A91">
      <w:pPr>
        <w:widowControl w:val="0"/>
        <w:spacing w:line="240" w:lineRule="auto"/>
        <w:jc w:val="both"/>
        <w:rPr>
          <w:szCs w:val="22"/>
          <w:lang w:val="sl-SI"/>
        </w:rPr>
      </w:pPr>
    </w:p>
    <w:p w14:paraId="6F7EA17E" w14:textId="77777777" w:rsidR="005F7A91" w:rsidRDefault="007C7639">
      <w:pPr>
        <w:widowControl w:val="0"/>
        <w:tabs>
          <w:tab w:val="clear" w:pos="567"/>
        </w:tabs>
        <w:spacing w:line="240" w:lineRule="auto"/>
        <w:jc w:val="both"/>
        <w:outlineLvl w:val="0"/>
        <w:rPr>
          <w:i/>
          <w:noProof/>
          <w:szCs w:val="22"/>
          <w:lang w:val="sl-SI"/>
        </w:rPr>
      </w:pPr>
      <w:r>
        <w:rPr>
          <w:i/>
          <w:szCs w:val="22"/>
          <w:lang w:val="sl-SI"/>
        </w:rPr>
        <w:t>Jezgro:</w:t>
      </w:r>
    </w:p>
    <w:p w14:paraId="6806475F" w14:textId="77777777" w:rsidR="005F7A91" w:rsidRDefault="007C7639">
      <w:pPr>
        <w:widowControl w:val="0"/>
        <w:tabs>
          <w:tab w:val="clear" w:pos="567"/>
          <w:tab w:val="left" w:pos="2925"/>
        </w:tabs>
        <w:spacing w:line="240" w:lineRule="auto"/>
        <w:jc w:val="both"/>
        <w:outlineLvl w:val="0"/>
        <w:rPr>
          <w:noProof/>
          <w:szCs w:val="22"/>
          <w:lang w:val="sl-SI"/>
        </w:rPr>
      </w:pPr>
      <w:r>
        <w:rPr>
          <w:noProof/>
          <w:szCs w:val="22"/>
          <w:lang w:val="sl-SI"/>
        </w:rPr>
        <w:t>Manitol</w:t>
      </w:r>
    </w:p>
    <w:p w14:paraId="53ECF73B" w14:textId="77777777" w:rsidR="005F7A91" w:rsidRDefault="007C7639">
      <w:pPr>
        <w:widowControl w:val="0"/>
        <w:tabs>
          <w:tab w:val="clear" w:pos="567"/>
          <w:tab w:val="left" w:pos="2925"/>
        </w:tabs>
        <w:spacing w:line="240" w:lineRule="auto"/>
        <w:jc w:val="both"/>
        <w:outlineLvl w:val="0"/>
        <w:rPr>
          <w:noProof/>
          <w:szCs w:val="22"/>
          <w:lang w:val="sl-SI"/>
        </w:rPr>
      </w:pPr>
      <w:r>
        <w:rPr>
          <w:noProof/>
          <w:szCs w:val="22"/>
          <w:lang w:val="sl-SI"/>
        </w:rPr>
        <w:t>Celuloza, mikrokristalna</w:t>
      </w:r>
    </w:p>
    <w:p w14:paraId="44D5659B" w14:textId="77777777" w:rsidR="005F7A91" w:rsidRDefault="007C7639">
      <w:pPr>
        <w:widowControl w:val="0"/>
        <w:tabs>
          <w:tab w:val="clear" w:pos="567"/>
          <w:tab w:val="left" w:pos="2925"/>
        </w:tabs>
        <w:spacing w:line="240" w:lineRule="auto"/>
        <w:jc w:val="both"/>
        <w:outlineLvl w:val="0"/>
        <w:rPr>
          <w:noProof/>
          <w:szCs w:val="22"/>
          <w:lang w:val="sl-SI"/>
        </w:rPr>
      </w:pPr>
      <w:r>
        <w:rPr>
          <w:noProof/>
          <w:szCs w:val="22"/>
          <w:lang w:val="sl-SI"/>
        </w:rPr>
        <w:t>Makrogol 8000</w:t>
      </w:r>
    </w:p>
    <w:p w14:paraId="49A7B69C" w14:textId="77777777" w:rsidR="005F7A91" w:rsidRDefault="007C7639">
      <w:pPr>
        <w:widowControl w:val="0"/>
        <w:tabs>
          <w:tab w:val="clear" w:pos="567"/>
          <w:tab w:val="left" w:pos="2925"/>
        </w:tabs>
        <w:spacing w:line="240" w:lineRule="auto"/>
        <w:jc w:val="both"/>
        <w:outlineLvl w:val="0"/>
        <w:rPr>
          <w:noProof/>
          <w:szCs w:val="22"/>
          <w:lang w:val="sl-SI"/>
        </w:rPr>
      </w:pPr>
      <w:r>
        <w:rPr>
          <w:noProof/>
          <w:szCs w:val="22"/>
          <w:lang w:val="sl-SI"/>
        </w:rPr>
        <w:t>Poloksamer</w:t>
      </w:r>
    </w:p>
    <w:p w14:paraId="42156D91" w14:textId="77777777" w:rsidR="005F7A91" w:rsidRDefault="007C7639">
      <w:pPr>
        <w:widowControl w:val="0"/>
        <w:tabs>
          <w:tab w:val="clear" w:pos="567"/>
          <w:tab w:val="left" w:pos="2925"/>
        </w:tabs>
        <w:spacing w:line="240" w:lineRule="auto"/>
        <w:jc w:val="both"/>
        <w:outlineLvl w:val="0"/>
        <w:rPr>
          <w:noProof/>
          <w:szCs w:val="22"/>
          <w:lang w:val="sl-SI"/>
        </w:rPr>
      </w:pPr>
      <w:r>
        <w:rPr>
          <w:noProof/>
          <w:szCs w:val="22"/>
          <w:lang w:val="sl-SI"/>
        </w:rPr>
        <w:t>Natrijum laurilsulfat</w:t>
      </w:r>
    </w:p>
    <w:p w14:paraId="4B1926EC" w14:textId="77777777" w:rsidR="005F7A91" w:rsidRDefault="007C7639">
      <w:pPr>
        <w:widowControl w:val="0"/>
        <w:tabs>
          <w:tab w:val="clear" w:pos="567"/>
          <w:tab w:val="left" w:pos="2925"/>
        </w:tabs>
        <w:spacing w:line="240" w:lineRule="auto"/>
        <w:jc w:val="both"/>
        <w:outlineLvl w:val="0"/>
        <w:rPr>
          <w:noProof/>
          <w:szCs w:val="22"/>
          <w:lang w:val="sl-SI"/>
        </w:rPr>
      </w:pPr>
      <w:r>
        <w:rPr>
          <w:noProof/>
          <w:szCs w:val="22"/>
          <w:lang w:val="sl-SI"/>
        </w:rPr>
        <w:t>Kroskarmeloza natrijum</w:t>
      </w:r>
    </w:p>
    <w:p w14:paraId="1EF6FE02" w14:textId="77777777" w:rsidR="005F7A91" w:rsidRDefault="007C7639">
      <w:pPr>
        <w:widowControl w:val="0"/>
        <w:tabs>
          <w:tab w:val="clear" w:pos="567"/>
          <w:tab w:val="left" w:pos="2925"/>
        </w:tabs>
        <w:spacing w:line="240" w:lineRule="auto"/>
        <w:jc w:val="both"/>
        <w:outlineLvl w:val="0"/>
        <w:rPr>
          <w:noProof/>
          <w:szCs w:val="22"/>
          <w:lang w:val="sl-SI"/>
        </w:rPr>
      </w:pPr>
      <w:r>
        <w:rPr>
          <w:noProof/>
          <w:szCs w:val="22"/>
          <w:lang w:val="sl-SI"/>
        </w:rPr>
        <w:t>Silicijum dioksid, koloidni, bezvodni</w:t>
      </w:r>
    </w:p>
    <w:p w14:paraId="047B5724" w14:textId="77777777" w:rsidR="005F7A91" w:rsidRDefault="007C7639">
      <w:pPr>
        <w:widowControl w:val="0"/>
        <w:tabs>
          <w:tab w:val="clear" w:pos="567"/>
          <w:tab w:val="left" w:pos="2925"/>
        </w:tabs>
        <w:spacing w:line="240" w:lineRule="auto"/>
        <w:jc w:val="both"/>
        <w:outlineLvl w:val="0"/>
        <w:rPr>
          <w:noProof/>
          <w:szCs w:val="22"/>
          <w:lang w:val="sl-SI"/>
        </w:rPr>
      </w:pPr>
      <w:r>
        <w:rPr>
          <w:noProof/>
          <w:szCs w:val="22"/>
          <w:lang w:val="sl-SI"/>
        </w:rPr>
        <w:t>Natrijum stearil fumarat</w:t>
      </w:r>
    </w:p>
    <w:p w14:paraId="0ACAAD57" w14:textId="77777777" w:rsidR="005F7A91" w:rsidRDefault="005F7A91">
      <w:pPr>
        <w:widowControl w:val="0"/>
        <w:tabs>
          <w:tab w:val="clear" w:pos="567"/>
          <w:tab w:val="left" w:pos="2925"/>
        </w:tabs>
        <w:spacing w:line="240" w:lineRule="auto"/>
        <w:jc w:val="both"/>
        <w:outlineLvl w:val="0"/>
        <w:rPr>
          <w:noProof/>
          <w:szCs w:val="22"/>
          <w:highlight w:val="yellow"/>
          <w:lang w:val="sl-SI"/>
        </w:rPr>
      </w:pPr>
    </w:p>
    <w:p w14:paraId="1C688AFF" w14:textId="77777777" w:rsidR="005F7A91" w:rsidRDefault="007C7639">
      <w:pPr>
        <w:widowControl w:val="0"/>
        <w:tabs>
          <w:tab w:val="clear" w:pos="567"/>
          <w:tab w:val="left" w:pos="2925"/>
        </w:tabs>
        <w:spacing w:line="240" w:lineRule="auto"/>
        <w:jc w:val="both"/>
        <w:outlineLvl w:val="0"/>
        <w:rPr>
          <w:i/>
          <w:noProof/>
          <w:szCs w:val="22"/>
          <w:lang w:val="sl-SI"/>
        </w:rPr>
      </w:pPr>
      <w:r>
        <w:rPr>
          <w:i/>
          <w:szCs w:val="22"/>
          <w:lang w:val="sl-SI"/>
        </w:rPr>
        <w:t>Obloga (film) tablete:</w:t>
      </w:r>
    </w:p>
    <w:p w14:paraId="71A90870" w14:textId="77777777" w:rsidR="005F7A91" w:rsidRDefault="007C7639">
      <w:pPr>
        <w:widowControl w:val="0"/>
        <w:tabs>
          <w:tab w:val="clear" w:pos="567"/>
        </w:tabs>
        <w:spacing w:line="240" w:lineRule="auto"/>
        <w:jc w:val="both"/>
        <w:rPr>
          <w:iCs/>
          <w:noProof/>
          <w:szCs w:val="22"/>
          <w:lang w:val="sl-SI"/>
        </w:rPr>
      </w:pPr>
      <w:r>
        <w:rPr>
          <w:szCs w:val="22"/>
          <w:lang w:val="sl-SI"/>
        </w:rPr>
        <w:t>Hipromeloza</w:t>
      </w:r>
    </w:p>
    <w:p w14:paraId="7CB5AC8A" w14:textId="77777777" w:rsidR="005F7A91" w:rsidRDefault="007C7639">
      <w:pPr>
        <w:widowControl w:val="0"/>
        <w:tabs>
          <w:tab w:val="clear" w:pos="567"/>
        </w:tabs>
        <w:spacing w:line="240" w:lineRule="auto"/>
        <w:jc w:val="both"/>
        <w:rPr>
          <w:iCs/>
          <w:noProof/>
          <w:szCs w:val="22"/>
          <w:lang w:val="sl-SI"/>
        </w:rPr>
      </w:pPr>
      <w:r>
        <w:rPr>
          <w:iCs/>
          <w:noProof/>
          <w:szCs w:val="22"/>
          <w:lang w:val="sl-SI"/>
        </w:rPr>
        <w:t>Makrogol 4000</w:t>
      </w:r>
    </w:p>
    <w:p w14:paraId="60A93413" w14:textId="77777777" w:rsidR="005F7A91" w:rsidRDefault="007C7639">
      <w:pPr>
        <w:widowControl w:val="0"/>
        <w:tabs>
          <w:tab w:val="clear" w:pos="567"/>
        </w:tabs>
        <w:spacing w:line="240" w:lineRule="auto"/>
        <w:jc w:val="both"/>
        <w:rPr>
          <w:iCs/>
          <w:noProof/>
          <w:szCs w:val="22"/>
          <w:lang w:val="sl-SI"/>
        </w:rPr>
      </w:pPr>
      <w:r>
        <w:rPr>
          <w:color w:val="000000"/>
          <w:szCs w:val="22"/>
          <w:lang w:val="sl-SI" w:eastAsia="zh-CN"/>
        </w:rPr>
        <w:t xml:space="preserve">Titanijum dioksid </w:t>
      </w:r>
      <w:r>
        <w:rPr>
          <w:iCs/>
          <w:noProof/>
          <w:szCs w:val="22"/>
          <w:lang w:val="sl-SI"/>
        </w:rPr>
        <w:t>(E171)</w:t>
      </w:r>
    </w:p>
    <w:p w14:paraId="563FA62D" w14:textId="77777777" w:rsidR="005F7A91" w:rsidRDefault="007C7639">
      <w:pPr>
        <w:widowControl w:val="0"/>
        <w:spacing w:line="240" w:lineRule="auto"/>
        <w:jc w:val="both"/>
        <w:rPr>
          <w:szCs w:val="22"/>
          <w:lang w:val="sl-SI"/>
        </w:rPr>
      </w:pPr>
      <w:r>
        <w:rPr>
          <w:iCs/>
          <w:szCs w:val="22"/>
          <w:lang w:val="sl-SI"/>
        </w:rPr>
        <w:t xml:space="preserve">Gvožđe </w:t>
      </w:r>
      <w:r>
        <w:rPr>
          <w:szCs w:val="22"/>
          <w:lang w:val="sr-Latn-ME" w:eastAsia="sl-SI"/>
        </w:rPr>
        <w:t xml:space="preserve">(III) </w:t>
      </w:r>
      <w:r>
        <w:rPr>
          <w:iCs/>
          <w:szCs w:val="22"/>
          <w:lang w:val="sl-SI"/>
        </w:rPr>
        <w:t xml:space="preserve">oksid, crveni </w:t>
      </w:r>
      <w:r>
        <w:rPr>
          <w:szCs w:val="22"/>
          <w:lang w:val="sl-SI"/>
        </w:rPr>
        <w:t>(E172)</w:t>
      </w:r>
    </w:p>
    <w:p w14:paraId="62D6EE0D" w14:textId="77777777" w:rsidR="005F7A91" w:rsidRDefault="005F7A91">
      <w:pPr>
        <w:widowControl w:val="0"/>
        <w:spacing w:line="240" w:lineRule="auto"/>
        <w:jc w:val="both"/>
        <w:rPr>
          <w:szCs w:val="22"/>
          <w:lang w:val="sl-SI"/>
        </w:rPr>
      </w:pPr>
    </w:p>
    <w:p w14:paraId="6A776387" w14:textId="77777777" w:rsidR="005F7A91" w:rsidRDefault="007C7639">
      <w:pPr>
        <w:widowControl w:val="0"/>
        <w:spacing w:line="240" w:lineRule="auto"/>
        <w:jc w:val="both"/>
        <w:rPr>
          <w:b/>
          <w:szCs w:val="22"/>
          <w:lang w:val="sl-SI"/>
        </w:rPr>
      </w:pPr>
      <w:r>
        <w:rPr>
          <w:b/>
          <w:szCs w:val="22"/>
          <w:lang w:val="sl-SI"/>
        </w:rPr>
        <w:t>6.2</w:t>
      </w:r>
      <w:r>
        <w:rPr>
          <w:b/>
          <w:szCs w:val="22"/>
          <w:lang w:val="sl-SI"/>
        </w:rPr>
        <w:tab/>
        <w:t>Inkompatibilnosti</w:t>
      </w:r>
    </w:p>
    <w:p w14:paraId="01322716" w14:textId="77777777" w:rsidR="005F7A91" w:rsidRDefault="005F7A91">
      <w:pPr>
        <w:widowControl w:val="0"/>
        <w:spacing w:line="240" w:lineRule="auto"/>
        <w:jc w:val="both"/>
        <w:rPr>
          <w:szCs w:val="22"/>
          <w:lang w:val="sl-SI"/>
        </w:rPr>
      </w:pPr>
    </w:p>
    <w:p w14:paraId="7C121FD3" w14:textId="77777777" w:rsidR="005F7A91" w:rsidRDefault="007C7639">
      <w:pPr>
        <w:widowControl w:val="0"/>
        <w:spacing w:line="240" w:lineRule="auto"/>
        <w:jc w:val="both"/>
        <w:rPr>
          <w:szCs w:val="22"/>
          <w:lang w:val="sl-SI"/>
        </w:rPr>
      </w:pPr>
      <w:r>
        <w:rPr>
          <w:szCs w:val="22"/>
          <w:lang w:val="sl-SI"/>
        </w:rPr>
        <w:t>Nije primjenjivo.</w:t>
      </w:r>
    </w:p>
    <w:p w14:paraId="5E5BE1A1" w14:textId="77777777" w:rsidR="005F7A91" w:rsidRDefault="005F7A91">
      <w:pPr>
        <w:widowControl w:val="0"/>
        <w:spacing w:line="240" w:lineRule="auto"/>
        <w:jc w:val="both"/>
        <w:rPr>
          <w:szCs w:val="22"/>
          <w:lang w:val="sl-SI"/>
        </w:rPr>
      </w:pPr>
    </w:p>
    <w:p w14:paraId="05EBCC29" w14:textId="77777777" w:rsidR="005F7A91" w:rsidRDefault="007C7639">
      <w:pPr>
        <w:widowControl w:val="0"/>
        <w:spacing w:line="240" w:lineRule="auto"/>
        <w:jc w:val="both"/>
        <w:rPr>
          <w:b/>
          <w:szCs w:val="22"/>
          <w:lang w:val="sl-SI"/>
        </w:rPr>
      </w:pPr>
      <w:r>
        <w:rPr>
          <w:b/>
          <w:szCs w:val="22"/>
          <w:lang w:val="sl-SI"/>
        </w:rPr>
        <w:t>6.3</w:t>
      </w:r>
      <w:r>
        <w:rPr>
          <w:b/>
          <w:szCs w:val="22"/>
          <w:lang w:val="sl-SI"/>
        </w:rPr>
        <w:tab/>
        <w:t>Rok upotrebe</w:t>
      </w:r>
    </w:p>
    <w:p w14:paraId="4203FF3C" w14:textId="77777777" w:rsidR="005F7A91" w:rsidRDefault="005F7A91">
      <w:pPr>
        <w:widowControl w:val="0"/>
        <w:spacing w:line="240" w:lineRule="auto"/>
        <w:jc w:val="both"/>
        <w:rPr>
          <w:szCs w:val="22"/>
          <w:lang w:val="sl-SI"/>
        </w:rPr>
      </w:pPr>
    </w:p>
    <w:p w14:paraId="2E637F6F" w14:textId="77777777" w:rsidR="005F7A91" w:rsidRDefault="007C7639">
      <w:pPr>
        <w:widowControl w:val="0"/>
        <w:spacing w:line="240" w:lineRule="auto"/>
        <w:jc w:val="both"/>
        <w:rPr>
          <w:szCs w:val="22"/>
          <w:lang w:val="sr-Latn-ME" w:eastAsia="sl-SI"/>
        </w:rPr>
      </w:pPr>
      <w:r>
        <w:rPr>
          <w:szCs w:val="22"/>
          <w:lang w:val="sr-Latn-ME" w:eastAsia="sl-SI"/>
        </w:rPr>
        <w:t>3 godine</w:t>
      </w:r>
    </w:p>
    <w:p w14:paraId="3A1C889C" w14:textId="77777777" w:rsidR="005F7A91" w:rsidRDefault="005F7A91">
      <w:pPr>
        <w:widowControl w:val="0"/>
        <w:spacing w:line="240" w:lineRule="auto"/>
        <w:jc w:val="both"/>
        <w:rPr>
          <w:iCs/>
          <w:szCs w:val="22"/>
          <w:lang w:val="sl-SI"/>
        </w:rPr>
      </w:pPr>
    </w:p>
    <w:p w14:paraId="73B1A6DB" w14:textId="77777777" w:rsidR="005F7A91" w:rsidRDefault="007C7639">
      <w:pPr>
        <w:widowControl w:val="0"/>
        <w:spacing w:line="240" w:lineRule="auto"/>
        <w:jc w:val="both"/>
        <w:rPr>
          <w:b/>
          <w:szCs w:val="22"/>
          <w:lang w:val="sl-SI"/>
        </w:rPr>
      </w:pPr>
      <w:r>
        <w:rPr>
          <w:b/>
          <w:szCs w:val="22"/>
          <w:lang w:val="sl-SI"/>
        </w:rPr>
        <w:t>6.4</w:t>
      </w:r>
      <w:r>
        <w:rPr>
          <w:b/>
          <w:szCs w:val="22"/>
          <w:lang w:val="sl-SI"/>
        </w:rPr>
        <w:tab/>
        <w:t>Posebne mjere upozprenja pri čuvanju lijeka</w:t>
      </w:r>
    </w:p>
    <w:p w14:paraId="015B05C4" w14:textId="77777777" w:rsidR="005F7A91" w:rsidRDefault="005F7A91">
      <w:pPr>
        <w:widowControl w:val="0"/>
        <w:spacing w:line="240" w:lineRule="auto"/>
        <w:jc w:val="both"/>
        <w:rPr>
          <w:iCs/>
          <w:szCs w:val="22"/>
          <w:lang w:val="sl-SI"/>
        </w:rPr>
      </w:pPr>
    </w:p>
    <w:p w14:paraId="1BF8DA64" w14:textId="77777777" w:rsidR="005F7A91" w:rsidRDefault="007C7639">
      <w:pPr>
        <w:widowControl w:val="0"/>
        <w:spacing w:line="240" w:lineRule="auto"/>
        <w:jc w:val="both"/>
        <w:rPr>
          <w:noProof/>
          <w:szCs w:val="22"/>
          <w:lang w:val="sl-SI"/>
        </w:rPr>
      </w:pPr>
      <w:r>
        <w:rPr>
          <w:noProof/>
          <w:szCs w:val="22"/>
          <w:lang w:val="sl-SI"/>
        </w:rPr>
        <w:t>Lijek ne zahtijeva posebne uslove čuvanja.</w:t>
      </w:r>
    </w:p>
    <w:p w14:paraId="34DEEBEC" w14:textId="77777777" w:rsidR="005F7A91" w:rsidRDefault="005F7A91">
      <w:pPr>
        <w:widowControl w:val="0"/>
        <w:spacing w:line="240" w:lineRule="auto"/>
        <w:jc w:val="both"/>
        <w:rPr>
          <w:noProof/>
          <w:szCs w:val="22"/>
          <w:lang w:val="sl-SI"/>
        </w:rPr>
      </w:pPr>
    </w:p>
    <w:p w14:paraId="670D878C" w14:textId="77777777" w:rsidR="005F7A91" w:rsidRDefault="005F7A91">
      <w:pPr>
        <w:widowControl w:val="0"/>
        <w:spacing w:line="240" w:lineRule="auto"/>
        <w:jc w:val="both"/>
        <w:rPr>
          <w:noProof/>
          <w:szCs w:val="22"/>
          <w:lang w:val="sl-SI"/>
        </w:rPr>
      </w:pPr>
    </w:p>
    <w:p w14:paraId="0D160102" w14:textId="77777777" w:rsidR="005F7A91" w:rsidRDefault="007C7639">
      <w:pPr>
        <w:widowControl w:val="0"/>
        <w:spacing w:line="240" w:lineRule="auto"/>
        <w:jc w:val="both"/>
        <w:rPr>
          <w:b/>
          <w:szCs w:val="22"/>
          <w:lang w:val="sl-SI"/>
        </w:rPr>
      </w:pPr>
      <w:r>
        <w:rPr>
          <w:b/>
          <w:szCs w:val="22"/>
          <w:lang w:val="sl-SI"/>
        </w:rPr>
        <w:t>6.5</w:t>
      </w:r>
      <w:r>
        <w:rPr>
          <w:b/>
          <w:szCs w:val="22"/>
          <w:lang w:val="sl-SI"/>
        </w:rPr>
        <w:tab/>
        <w:t>Vrsta i sadržaj pakovanja</w:t>
      </w:r>
    </w:p>
    <w:p w14:paraId="20315E2E" w14:textId="77777777" w:rsidR="005F7A91" w:rsidRDefault="005F7A91">
      <w:pPr>
        <w:widowControl w:val="0"/>
        <w:spacing w:line="240" w:lineRule="auto"/>
        <w:jc w:val="both"/>
        <w:rPr>
          <w:szCs w:val="22"/>
          <w:lang w:val="sl-SI"/>
        </w:rPr>
      </w:pPr>
    </w:p>
    <w:p w14:paraId="20F6C3E2" w14:textId="77777777" w:rsidR="005F7A91" w:rsidRDefault="007C7639">
      <w:pPr>
        <w:widowControl w:val="0"/>
        <w:spacing w:line="240" w:lineRule="auto"/>
        <w:jc w:val="both"/>
        <w:rPr>
          <w:szCs w:val="22"/>
          <w:lang w:val="sl-SI"/>
        </w:rPr>
      </w:pPr>
      <w:r>
        <w:rPr>
          <w:szCs w:val="22"/>
          <w:lang w:val="sl-SI"/>
        </w:rPr>
        <w:t>Blister (PVC/PVDC/PVC prozirna folija//Al folija), kalendarska pakovanja: 14 (1x14) i 28 (2x14) film tableta, u kutiji.</w:t>
      </w:r>
    </w:p>
    <w:p w14:paraId="35C57F48" w14:textId="77777777" w:rsidR="005F7A91" w:rsidRDefault="005F7A91">
      <w:pPr>
        <w:widowControl w:val="0"/>
        <w:spacing w:line="240" w:lineRule="auto"/>
        <w:jc w:val="both"/>
        <w:rPr>
          <w:szCs w:val="22"/>
          <w:lang w:val="sl-SI"/>
        </w:rPr>
      </w:pPr>
    </w:p>
    <w:p w14:paraId="74B0C040" w14:textId="77777777" w:rsidR="005F7A91" w:rsidRDefault="007C7639">
      <w:pPr>
        <w:widowControl w:val="0"/>
        <w:spacing w:line="240" w:lineRule="auto"/>
        <w:jc w:val="both"/>
        <w:rPr>
          <w:szCs w:val="22"/>
          <w:lang w:val="sl-SI"/>
        </w:rPr>
      </w:pPr>
      <w:r>
        <w:rPr>
          <w:iCs/>
          <w:szCs w:val="22"/>
          <w:lang w:val="sl-SI" w:eastAsia="sl-SI"/>
        </w:rPr>
        <w:t>Kartica sa upozorenjima za pacijenta nalazi se u svakom pakovanju lijeka</w:t>
      </w:r>
      <w:r>
        <w:rPr>
          <w:szCs w:val="22"/>
          <w:lang w:val="sl-SI"/>
        </w:rPr>
        <w:t>.</w:t>
      </w:r>
    </w:p>
    <w:p w14:paraId="3BCC41F3" w14:textId="77777777" w:rsidR="005F7A91" w:rsidRDefault="005F7A91">
      <w:pPr>
        <w:widowControl w:val="0"/>
        <w:spacing w:line="240" w:lineRule="auto"/>
        <w:jc w:val="both"/>
        <w:rPr>
          <w:szCs w:val="22"/>
          <w:highlight w:val="yellow"/>
          <w:lang w:val="sl-SI"/>
        </w:rPr>
      </w:pPr>
    </w:p>
    <w:p w14:paraId="260AD3EE" w14:textId="77777777" w:rsidR="005F7A91" w:rsidRDefault="007C7639">
      <w:pPr>
        <w:widowControl w:val="0"/>
        <w:spacing w:line="240" w:lineRule="auto"/>
        <w:jc w:val="both"/>
        <w:outlineLvl w:val="0"/>
        <w:rPr>
          <w:b/>
          <w:bCs/>
          <w:szCs w:val="22"/>
          <w:lang w:val="sr-Latn-ME" w:eastAsia="sl-SI"/>
        </w:rPr>
      </w:pPr>
      <w:r>
        <w:rPr>
          <w:b/>
          <w:szCs w:val="22"/>
          <w:lang w:val="sr-Latn-ME"/>
        </w:rPr>
        <w:t>6.6</w:t>
      </w:r>
      <w:r>
        <w:rPr>
          <w:b/>
          <w:szCs w:val="22"/>
          <w:lang w:val="sr-Latn-ME"/>
        </w:rPr>
        <w:tab/>
      </w:r>
      <w:r>
        <w:rPr>
          <w:b/>
          <w:bCs/>
          <w:szCs w:val="22"/>
          <w:lang w:val="sr-Latn-ME" w:eastAsia="sl-SI"/>
        </w:rPr>
        <w:t>Posebne mjere opreza pri odlaganju materijala koji treba odbaciti nakon primjene</w:t>
      </w:r>
      <w:bookmarkStart w:id="0" w:name="OLE_LINK2"/>
    </w:p>
    <w:bookmarkEnd w:id="0"/>
    <w:p w14:paraId="08712456" w14:textId="77777777" w:rsidR="005F7A91" w:rsidRDefault="007C7639">
      <w:pPr>
        <w:widowControl w:val="0"/>
        <w:spacing w:line="240" w:lineRule="auto"/>
        <w:jc w:val="both"/>
        <w:outlineLvl w:val="0"/>
        <w:rPr>
          <w:szCs w:val="22"/>
          <w:lang w:val="sr-Latn-ME"/>
        </w:rPr>
      </w:pPr>
      <w:r>
        <w:rPr>
          <w:b/>
          <w:bCs/>
          <w:szCs w:val="22"/>
          <w:lang w:val="sr-Latn-ME" w:eastAsia="sl-SI"/>
        </w:rPr>
        <w:t>lijeka (i druga uputstva za rukovanje lijekom)</w:t>
      </w:r>
    </w:p>
    <w:p w14:paraId="778BA6AB" w14:textId="77777777" w:rsidR="005F7A91" w:rsidRDefault="005F7A91">
      <w:pPr>
        <w:widowControl w:val="0"/>
        <w:spacing w:line="240" w:lineRule="auto"/>
        <w:jc w:val="both"/>
        <w:rPr>
          <w:szCs w:val="22"/>
          <w:highlight w:val="yellow"/>
          <w:lang w:val="sr-Latn-ME"/>
        </w:rPr>
      </w:pPr>
    </w:p>
    <w:p w14:paraId="4385ED80" w14:textId="77777777" w:rsidR="005F7A91" w:rsidRDefault="007C7639">
      <w:pPr>
        <w:widowControl w:val="0"/>
        <w:spacing w:line="240" w:lineRule="auto"/>
        <w:jc w:val="both"/>
        <w:rPr>
          <w:szCs w:val="22"/>
          <w:lang w:val="sr-Latn-ME" w:eastAsia="sl-SI"/>
        </w:rPr>
      </w:pPr>
      <w:r>
        <w:rPr>
          <w:szCs w:val="22"/>
          <w:lang w:val="sr-Latn-ME" w:eastAsia="sl-SI"/>
        </w:rPr>
        <w:t>Neupotrijebljeni lijek se uništava u skladu sa važećim propisima.</w:t>
      </w:r>
    </w:p>
    <w:p w14:paraId="03F51940" w14:textId="77777777" w:rsidR="005F7A91" w:rsidRDefault="005F7A91">
      <w:pPr>
        <w:widowControl w:val="0"/>
        <w:spacing w:line="240" w:lineRule="auto"/>
        <w:jc w:val="both"/>
        <w:rPr>
          <w:szCs w:val="22"/>
          <w:lang w:val="sr-Latn-ME"/>
        </w:rPr>
      </w:pPr>
    </w:p>
    <w:p w14:paraId="6CD6663E" w14:textId="77777777" w:rsidR="005F7A91" w:rsidRDefault="005F7A91">
      <w:pPr>
        <w:widowControl w:val="0"/>
        <w:spacing w:line="240" w:lineRule="auto"/>
        <w:jc w:val="both"/>
        <w:rPr>
          <w:szCs w:val="22"/>
          <w:lang w:val="sr-Latn-ME"/>
        </w:rPr>
      </w:pPr>
    </w:p>
    <w:p w14:paraId="781D48FD" w14:textId="77777777" w:rsidR="005F7A91" w:rsidRDefault="007C7639">
      <w:pPr>
        <w:widowControl w:val="0"/>
        <w:tabs>
          <w:tab w:val="clear" w:pos="567"/>
        </w:tabs>
        <w:spacing w:line="240" w:lineRule="auto"/>
        <w:ind w:left="567" w:hanging="567"/>
        <w:jc w:val="both"/>
        <w:rPr>
          <w:szCs w:val="22"/>
          <w:lang w:val="sr-Latn-ME" w:eastAsia="sl-SI"/>
        </w:rPr>
      </w:pPr>
      <w:r>
        <w:rPr>
          <w:b/>
          <w:szCs w:val="22"/>
          <w:lang w:val="sr-Latn-ME" w:eastAsia="sl-SI"/>
        </w:rPr>
        <w:t>7.</w:t>
      </w:r>
      <w:r>
        <w:rPr>
          <w:b/>
          <w:szCs w:val="22"/>
          <w:lang w:val="sr-Latn-ME" w:eastAsia="sl-SI"/>
        </w:rPr>
        <w:tab/>
      </w:r>
      <w:r>
        <w:rPr>
          <w:b/>
          <w:bCs/>
          <w:szCs w:val="22"/>
          <w:lang w:val="sr-Latn-ME" w:eastAsia="sl-SI"/>
        </w:rPr>
        <w:t>NOSILAC DOZVOLE</w:t>
      </w:r>
    </w:p>
    <w:p w14:paraId="1686047A" w14:textId="77777777" w:rsidR="005F7A91" w:rsidRDefault="005F7A91">
      <w:pPr>
        <w:widowControl w:val="0"/>
        <w:spacing w:line="240" w:lineRule="auto"/>
        <w:jc w:val="both"/>
        <w:rPr>
          <w:szCs w:val="22"/>
          <w:lang w:val="sr-Latn-ME"/>
        </w:rPr>
      </w:pPr>
    </w:p>
    <w:p w14:paraId="2E668BD2" w14:textId="77777777" w:rsidR="005F7A91" w:rsidRDefault="007C7639">
      <w:pPr>
        <w:tabs>
          <w:tab w:val="clear" w:pos="567"/>
        </w:tabs>
        <w:autoSpaceDE w:val="0"/>
        <w:autoSpaceDN w:val="0"/>
        <w:adjustRightInd w:val="0"/>
        <w:spacing w:line="240" w:lineRule="auto"/>
        <w:ind w:left="1985" w:hanging="1985"/>
        <w:jc w:val="both"/>
        <w:rPr>
          <w:szCs w:val="22"/>
          <w:lang w:val="sr-Latn-ME" w:eastAsia="sl-SI"/>
        </w:rPr>
      </w:pPr>
      <w:r>
        <w:rPr>
          <w:szCs w:val="22"/>
          <w:lang w:val="sr-Latn-ME" w:eastAsia="sl-SI"/>
        </w:rPr>
        <w:t>D.S.D. „KRKA, d.d., Novo mesto“ - predstavništvo Podgorica</w:t>
      </w:r>
    </w:p>
    <w:p w14:paraId="2F0EC66A" w14:textId="77777777" w:rsidR="005F7A91" w:rsidRDefault="007C7639">
      <w:pPr>
        <w:tabs>
          <w:tab w:val="clear" w:pos="567"/>
        </w:tabs>
        <w:autoSpaceDE w:val="0"/>
        <w:autoSpaceDN w:val="0"/>
        <w:adjustRightInd w:val="0"/>
        <w:spacing w:line="240" w:lineRule="auto"/>
        <w:ind w:right="71"/>
        <w:jc w:val="both"/>
        <w:rPr>
          <w:szCs w:val="22"/>
          <w:lang w:val="sr-Latn-ME" w:eastAsia="sl-SI"/>
        </w:rPr>
      </w:pPr>
      <w:r>
        <w:rPr>
          <w:szCs w:val="22"/>
          <w:lang w:val="sr-Latn-ME" w:eastAsia="sl-SI"/>
        </w:rPr>
        <w:t>Svetlane Kane Radević br. 3, 81000 Podgorica, Crna Gora</w:t>
      </w:r>
    </w:p>
    <w:p w14:paraId="64DEA327" w14:textId="77777777" w:rsidR="005F7A91" w:rsidRDefault="005F7A91">
      <w:pPr>
        <w:widowControl w:val="0"/>
        <w:spacing w:line="240" w:lineRule="auto"/>
        <w:jc w:val="both"/>
        <w:rPr>
          <w:szCs w:val="22"/>
          <w:lang w:val="sr-Latn-ME"/>
        </w:rPr>
      </w:pPr>
    </w:p>
    <w:p w14:paraId="4C25F66B" w14:textId="77777777" w:rsidR="005F7A91" w:rsidRDefault="005F7A91">
      <w:pPr>
        <w:widowControl w:val="0"/>
        <w:spacing w:line="240" w:lineRule="auto"/>
        <w:jc w:val="both"/>
        <w:rPr>
          <w:szCs w:val="22"/>
          <w:lang w:val="sr-Latn-ME"/>
        </w:rPr>
      </w:pPr>
    </w:p>
    <w:p w14:paraId="676B4C3F" w14:textId="77777777" w:rsidR="005F7A91" w:rsidRDefault="007C7639">
      <w:pPr>
        <w:tabs>
          <w:tab w:val="left" w:pos="540"/>
        </w:tabs>
        <w:spacing w:line="240" w:lineRule="auto"/>
        <w:jc w:val="both"/>
        <w:rPr>
          <w:b/>
          <w:bCs/>
          <w:szCs w:val="22"/>
          <w:lang w:val="sr-Latn-ME" w:eastAsia="sl-SI"/>
        </w:rPr>
      </w:pPr>
      <w:r>
        <w:rPr>
          <w:b/>
          <w:bCs/>
          <w:szCs w:val="22"/>
          <w:lang w:val="sr-Latn-ME" w:eastAsia="sl-SI"/>
        </w:rPr>
        <w:t xml:space="preserve">8. </w:t>
      </w:r>
      <w:r>
        <w:rPr>
          <w:b/>
          <w:bCs/>
          <w:szCs w:val="22"/>
          <w:lang w:val="sr-Latn-ME" w:eastAsia="sl-SI"/>
        </w:rPr>
        <w:tab/>
        <w:t>BROJ DOZVOLE ZA STAVLJANJE LIJEKA U PROMET</w:t>
      </w:r>
    </w:p>
    <w:p w14:paraId="1A5903E0" w14:textId="77777777" w:rsidR="005F7A91" w:rsidRDefault="005F7A91">
      <w:pPr>
        <w:tabs>
          <w:tab w:val="left" w:pos="540"/>
        </w:tabs>
        <w:spacing w:line="240" w:lineRule="auto"/>
        <w:jc w:val="both"/>
        <w:rPr>
          <w:b/>
          <w:bCs/>
          <w:szCs w:val="22"/>
          <w:lang w:val="sr-Latn-ME" w:eastAsia="sl-SI"/>
        </w:rPr>
      </w:pPr>
    </w:p>
    <w:p w14:paraId="63F66CEF" w14:textId="77777777" w:rsidR="005F7A91" w:rsidRDefault="007C7639">
      <w:pPr>
        <w:tabs>
          <w:tab w:val="clear" w:pos="567"/>
        </w:tabs>
        <w:spacing w:line="240" w:lineRule="auto"/>
        <w:jc w:val="both"/>
        <w:rPr>
          <w:szCs w:val="22"/>
          <w:lang w:val="sr-Latn-ME" w:eastAsia="sl-SI"/>
        </w:rPr>
      </w:pPr>
      <w:r>
        <w:rPr>
          <w:szCs w:val="22"/>
          <w:lang w:val="sr-Latn-ME" w:eastAsia="sl-SI"/>
        </w:rPr>
        <w:t>Xerdoxo, film tableta, 10 mg, blister, 14 (1x14) film tableta: 2030/22/996 - 3447</w:t>
      </w:r>
    </w:p>
    <w:p w14:paraId="7FBDEE61" w14:textId="77777777" w:rsidR="005F7A91" w:rsidRDefault="007C7639">
      <w:pPr>
        <w:tabs>
          <w:tab w:val="clear" w:pos="567"/>
        </w:tabs>
        <w:spacing w:line="240" w:lineRule="auto"/>
        <w:jc w:val="both"/>
        <w:rPr>
          <w:szCs w:val="22"/>
          <w:lang w:val="sr-Latn-ME" w:eastAsia="sl-SI"/>
        </w:rPr>
      </w:pPr>
      <w:r>
        <w:rPr>
          <w:szCs w:val="22"/>
          <w:lang w:val="sr-Latn-ME" w:eastAsia="sl-SI"/>
        </w:rPr>
        <w:t>Xerdoxo, film tableta, 10 mg, blister, 28 (2x14) film tableta: 2030/22</w:t>
      </w:r>
      <w:r>
        <w:rPr>
          <w:szCs w:val="22"/>
          <w:lang w:val="sr-Latn-RS" w:eastAsia="sl-SI"/>
        </w:rPr>
        <w:t>/</w:t>
      </w:r>
      <w:r>
        <w:rPr>
          <w:szCs w:val="22"/>
          <w:lang w:val="sr-Latn-ME" w:eastAsia="sl-SI"/>
        </w:rPr>
        <w:t>997 - 3448</w:t>
      </w:r>
    </w:p>
    <w:p w14:paraId="346EEC1C" w14:textId="77777777" w:rsidR="005F7A91" w:rsidRDefault="005F7A91">
      <w:pPr>
        <w:tabs>
          <w:tab w:val="clear" w:pos="567"/>
        </w:tabs>
        <w:spacing w:line="240" w:lineRule="auto"/>
        <w:jc w:val="both"/>
        <w:rPr>
          <w:szCs w:val="22"/>
          <w:lang w:val="sr-Latn-ME" w:eastAsia="sl-SI"/>
        </w:rPr>
      </w:pPr>
    </w:p>
    <w:p w14:paraId="1E64C52A" w14:textId="77777777" w:rsidR="005F7A91" w:rsidRDefault="005F7A91">
      <w:pPr>
        <w:tabs>
          <w:tab w:val="left" w:pos="540"/>
        </w:tabs>
        <w:spacing w:line="240" w:lineRule="auto"/>
        <w:jc w:val="both"/>
        <w:rPr>
          <w:bCs/>
          <w:szCs w:val="22"/>
          <w:lang w:val="sr-Latn-ME" w:eastAsia="sl-SI"/>
        </w:rPr>
      </w:pPr>
    </w:p>
    <w:p w14:paraId="1AECB1AE" w14:textId="77777777" w:rsidR="005F7A91" w:rsidRDefault="007C7639">
      <w:pPr>
        <w:tabs>
          <w:tab w:val="left" w:pos="540"/>
        </w:tabs>
        <w:spacing w:line="240" w:lineRule="auto"/>
        <w:jc w:val="both"/>
        <w:rPr>
          <w:b/>
          <w:bCs/>
          <w:szCs w:val="22"/>
          <w:lang w:val="sr-Latn-ME" w:eastAsia="sl-SI"/>
        </w:rPr>
      </w:pPr>
      <w:r>
        <w:rPr>
          <w:b/>
          <w:bCs/>
          <w:szCs w:val="22"/>
          <w:lang w:val="sr-Latn-ME" w:eastAsia="sl-SI"/>
        </w:rPr>
        <w:t xml:space="preserve">9. </w:t>
      </w:r>
      <w:r>
        <w:rPr>
          <w:b/>
          <w:bCs/>
          <w:szCs w:val="22"/>
          <w:lang w:val="sr-Latn-ME" w:eastAsia="sl-SI"/>
        </w:rPr>
        <w:tab/>
        <w:t>DATUM PRVE DOZVOLE/ OBNOVE DOZVOLE ZA STAVLJANJE LIJEKA U PROMET</w:t>
      </w:r>
    </w:p>
    <w:p w14:paraId="05691663" w14:textId="77777777" w:rsidR="005F7A91" w:rsidRDefault="005F7A91">
      <w:pPr>
        <w:tabs>
          <w:tab w:val="left" w:pos="540"/>
        </w:tabs>
        <w:spacing w:line="240" w:lineRule="auto"/>
        <w:jc w:val="both"/>
        <w:rPr>
          <w:b/>
          <w:bCs/>
          <w:szCs w:val="22"/>
          <w:lang w:val="sr-Latn-ME" w:eastAsia="sl-SI"/>
        </w:rPr>
      </w:pPr>
    </w:p>
    <w:p w14:paraId="2B8C93F5" w14:textId="77777777" w:rsidR="005F7A91" w:rsidRDefault="007C7639">
      <w:pPr>
        <w:tabs>
          <w:tab w:val="clear" w:pos="567"/>
        </w:tabs>
        <w:spacing w:line="240" w:lineRule="auto"/>
        <w:jc w:val="both"/>
        <w:rPr>
          <w:szCs w:val="22"/>
          <w:lang w:val="sr-Latn-ME" w:eastAsia="sl-SI"/>
        </w:rPr>
      </w:pPr>
      <w:r>
        <w:rPr>
          <w:szCs w:val="22"/>
          <w:lang w:val="sr-Latn-ME" w:eastAsia="sl-SI"/>
        </w:rPr>
        <w:t>Xerdoxo, film tableta, 10 mg, blister, 14 (1x14) film tableta: 09.05.2022. godine</w:t>
      </w:r>
    </w:p>
    <w:p w14:paraId="4B14D620" w14:textId="77777777" w:rsidR="005F7A91" w:rsidRDefault="007C7639">
      <w:pPr>
        <w:tabs>
          <w:tab w:val="clear" w:pos="567"/>
        </w:tabs>
        <w:spacing w:line="240" w:lineRule="auto"/>
        <w:jc w:val="both"/>
        <w:rPr>
          <w:szCs w:val="22"/>
          <w:lang w:val="sr-Latn-ME" w:eastAsia="sl-SI"/>
        </w:rPr>
      </w:pPr>
      <w:r>
        <w:rPr>
          <w:szCs w:val="22"/>
          <w:lang w:val="sr-Latn-ME" w:eastAsia="sl-SI"/>
        </w:rPr>
        <w:t>Xerdoxo, film tableta, 10 mg, blister, 28 (2x14) film tableta: 09.05.2022. godine</w:t>
      </w:r>
    </w:p>
    <w:p w14:paraId="79676556" w14:textId="77777777" w:rsidR="005F7A91" w:rsidRDefault="005F7A91">
      <w:pPr>
        <w:tabs>
          <w:tab w:val="left" w:pos="540"/>
        </w:tabs>
        <w:spacing w:line="240" w:lineRule="auto"/>
        <w:jc w:val="both"/>
        <w:rPr>
          <w:bCs/>
          <w:szCs w:val="22"/>
          <w:lang w:val="sr-Latn-ME" w:eastAsia="sl-SI"/>
        </w:rPr>
      </w:pPr>
    </w:p>
    <w:p w14:paraId="0EA77AAC" w14:textId="77777777" w:rsidR="005F7A91" w:rsidRDefault="005F7A91">
      <w:pPr>
        <w:tabs>
          <w:tab w:val="left" w:pos="540"/>
        </w:tabs>
        <w:spacing w:line="240" w:lineRule="auto"/>
        <w:jc w:val="both"/>
        <w:rPr>
          <w:bCs/>
          <w:szCs w:val="22"/>
          <w:lang w:val="sr-Latn-ME" w:eastAsia="sl-SI"/>
        </w:rPr>
      </w:pPr>
    </w:p>
    <w:p w14:paraId="4A19D7A6" w14:textId="77777777" w:rsidR="005F7A91" w:rsidRDefault="007C7639">
      <w:pPr>
        <w:tabs>
          <w:tab w:val="left" w:pos="540"/>
        </w:tabs>
        <w:spacing w:line="240" w:lineRule="auto"/>
        <w:ind w:left="540" w:hanging="540"/>
        <w:jc w:val="both"/>
        <w:rPr>
          <w:b/>
          <w:bCs/>
          <w:szCs w:val="22"/>
          <w:lang w:val="sr-Latn-ME" w:eastAsia="sl-SI"/>
        </w:rPr>
      </w:pPr>
      <w:r>
        <w:rPr>
          <w:b/>
          <w:bCs/>
          <w:szCs w:val="22"/>
          <w:lang w:val="sr-Latn-ME" w:eastAsia="sl-SI"/>
        </w:rPr>
        <w:t xml:space="preserve">10. </w:t>
      </w:r>
      <w:r>
        <w:rPr>
          <w:b/>
          <w:bCs/>
          <w:szCs w:val="22"/>
          <w:lang w:val="sr-Latn-ME" w:eastAsia="sl-SI"/>
        </w:rPr>
        <w:tab/>
        <w:t xml:space="preserve">DATUM  REVIZIJE TEKSTA </w:t>
      </w:r>
    </w:p>
    <w:p w14:paraId="5C72D9DD" w14:textId="77777777" w:rsidR="005F7A91" w:rsidRDefault="005F7A91">
      <w:pPr>
        <w:tabs>
          <w:tab w:val="left" w:pos="540"/>
        </w:tabs>
        <w:spacing w:line="240" w:lineRule="auto"/>
        <w:ind w:left="540" w:hanging="540"/>
        <w:jc w:val="both"/>
        <w:rPr>
          <w:b/>
          <w:bCs/>
          <w:szCs w:val="22"/>
          <w:lang w:val="sr-Latn-ME" w:eastAsia="sl-SI"/>
        </w:rPr>
      </w:pPr>
    </w:p>
    <w:p w14:paraId="3D1CD5F7" w14:textId="64991882" w:rsidR="005F7A91" w:rsidRDefault="00A13867">
      <w:pPr>
        <w:tabs>
          <w:tab w:val="left" w:pos="540"/>
        </w:tabs>
        <w:spacing w:line="240" w:lineRule="auto"/>
        <w:ind w:left="540" w:hanging="540"/>
        <w:jc w:val="both"/>
        <w:rPr>
          <w:bCs/>
          <w:szCs w:val="22"/>
          <w:lang w:val="sr-Latn-ME" w:eastAsia="sl-SI"/>
        </w:rPr>
      </w:pPr>
      <w:r>
        <w:rPr>
          <w:bCs/>
          <w:szCs w:val="22"/>
          <w:lang w:val="sr-Latn-ME" w:eastAsia="sl-SI"/>
        </w:rPr>
        <w:t>Decembar, 2024. godine</w:t>
      </w:r>
      <w:bookmarkStart w:id="1" w:name="_GoBack"/>
      <w:bookmarkEnd w:id="1"/>
    </w:p>
    <w:p w14:paraId="1649470A" w14:textId="77777777" w:rsidR="005F7A91" w:rsidRDefault="005F7A91">
      <w:pPr>
        <w:widowControl w:val="0"/>
        <w:tabs>
          <w:tab w:val="clear" w:pos="567"/>
        </w:tabs>
        <w:spacing w:line="240" w:lineRule="auto"/>
        <w:ind w:left="567" w:hanging="567"/>
        <w:jc w:val="both"/>
        <w:outlineLvl w:val="0"/>
        <w:rPr>
          <w:noProof/>
          <w:szCs w:val="22"/>
          <w:lang w:val="sl-SI"/>
        </w:rPr>
      </w:pPr>
    </w:p>
    <w:p w14:paraId="14370A1A" w14:textId="77777777" w:rsidR="005F7A91" w:rsidRDefault="005F7A91"/>
    <w:sectPr w:rsidR="005F7A9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42F3E" w14:textId="77777777" w:rsidR="00DB6092" w:rsidRDefault="00DB6092">
      <w:pPr>
        <w:spacing w:line="240" w:lineRule="auto"/>
      </w:pPr>
      <w:r>
        <w:separator/>
      </w:r>
    </w:p>
  </w:endnote>
  <w:endnote w:type="continuationSeparator" w:id="0">
    <w:p w14:paraId="44D72774" w14:textId="77777777" w:rsidR="00DB6092" w:rsidRDefault="00DB6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S Joey">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FCEF" w14:textId="77777777" w:rsidR="00804AC8" w:rsidRDefault="00804A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257F" w14:textId="4CDA2596" w:rsidR="00804AC8" w:rsidRDefault="00804AC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13867">
      <w:rPr>
        <w:rStyle w:val="PageNumber"/>
        <w:rFonts w:cs="Arial"/>
      </w:rPr>
      <w:t>25</w:t>
    </w:r>
    <w:r>
      <w:rPr>
        <w:rStyle w:val="PageNumber"/>
        <w:rFonts w:cs="Arial"/>
      </w:rPr>
      <w:fldChar w:fldCharType="end"/>
    </w:r>
    <w:r>
      <w:rPr>
        <w:rStyle w:val="PageNumber"/>
        <w:rFonts w:cs="Arial"/>
      </w:rPr>
      <w:t xml:space="preserve"> / 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918F" w14:textId="77777777" w:rsidR="00804AC8" w:rsidRDefault="00804AC8">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4D21E" w14:textId="77777777" w:rsidR="00DB6092" w:rsidRDefault="00DB6092">
      <w:pPr>
        <w:spacing w:line="240" w:lineRule="auto"/>
      </w:pPr>
      <w:r>
        <w:separator/>
      </w:r>
    </w:p>
  </w:footnote>
  <w:footnote w:type="continuationSeparator" w:id="0">
    <w:p w14:paraId="439929D8" w14:textId="77777777" w:rsidR="00DB6092" w:rsidRDefault="00DB60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2068" w14:textId="77777777" w:rsidR="00804AC8" w:rsidRDefault="00804A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8874" w14:textId="77777777" w:rsidR="00804AC8" w:rsidRDefault="00804AC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20EC" w14:textId="77777777" w:rsidR="00804AC8" w:rsidRDefault="00804A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8CA"/>
    <w:multiLevelType w:val="hybridMultilevel"/>
    <w:tmpl w:val="C0DC742C"/>
    <w:lvl w:ilvl="0" w:tplc="921002C6">
      <w:numFmt w:val="bullet"/>
      <w:lvlText w:val=""/>
      <w:lvlJc w:val="left"/>
      <w:pPr>
        <w:ind w:left="420" w:hanging="360"/>
      </w:pPr>
      <w:rPr>
        <w:rFonts w:ascii="Symbol" w:eastAsia="Times New Roman" w:hAnsi="Symbol"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 w15:restartNumberingAfterBreak="0">
    <w:nsid w:val="0F060422"/>
    <w:multiLevelType w:val="hybridMultilevel"/>
    <w:tmpl w:val="B6C66318"/>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DE649D9"/>
    <w:multiLevelType w:val="hybridMultilevel"/>
    <w:tmpl w:val="B1E2C5EE"/>
    <w:lvl w:ilvl="0" w:tplc="FFFFFFFF">
      <w:start w:val="1"/>
      <w:numFmt w:val="bullet"/>
      <w:lvlText w:val="-"/>
      <w:lvlJc w:val="left"/>
      <w:pPr>
        <w:ind w:left="720" w:hanging="360"/>
      </w:pPr>
    </w:lvl>
    <w:lvl w:ilvl="1" w:tplc="FFFFFFFF">
      <w:start w:val="1"/>
      <w:numFmt w:val="bullet"/>
      <w:lvlText w:val="-"/>
      <w:lvlJc w:val="left"/>
      <w:pPr>
        <w:ind w:left="1650" w:hanging="57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E18174C"/>
    <w:multiLevelType w:val="hybridMultilevel"/>
    <w:tmpl w:val="F1980B90"/>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F7A91"/>
    <w:rsid w:val="00046017"/>
    <w:rsid w:val="00147FF4"/>
    <w:rsid w:val="002B6613"/>
    <w:rsid w:val="00473C8C"/>
    <w:rsid w:val="005F7A91"/>
    <w:rsid w:val="007C7639"/>
    <w:rsid w:val="00804AC8"/>
    <w:rsid w:val="00A13867"/>
    <w:rsid w:val="00C340C8"/>
    <w:rsid w:val="00DB6092"/>
    <w:rsid w:val="00E25081"/>
    <w:rsid w:val="00EE75D0"/>
    <w:rsid w:val="00FC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E56E"/>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Cs w:val="22"/>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Cs w:val="22"/>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Cs w:val="22"/>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2"/>
      <w:szCs w:val="22"/>
      <w:u w:val="single"/>
      <w:lang w:val="en-US" w:eastAsia="sl-SI"/>
    </w:rPr>
  </w:style>
  <w:style w:type="character" w:customStyle="1" w:styleId="Heading3Char">
    <w:name w:val="Heading 3 Char"/>
    <w:link w:val="Heading3"/>
    <w:rPr>
      <w:rFonts w:eastAsia="Times New Roman"/>
      <w:b/>
      <w:sz w:val="22"/>
      <w:szCs w:val="22"/>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2"/>
      <w:szCs w:val="22"/>
      <w:lang w:val="en-US" w:eastAsia="sl-SI"/>
    </w:rPr>
  </w:style>
  <w:style w:type="numbering" w:customStyle="1" w:styleId="Brezseznama1">
    <w:name w:val="Brez seznama1"/>
    <w:next w:val="NoList"/>
    <w:uiPriority w:val="99"/>
    <w:semiHidden/>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szCs w:val="22"/>
      <w:lang w:eastAsia="sl-SI"/>
    </w:rPr>
  </w:style>
  <w:style w:type="character" w:customStyle="1" w:styleId="PlainTextChar">
    <w:name w:val="Plain Text Char"/>
    <w:link w:val="PlainText"/>
    <w:rPr>
      <w:rFonts w:ascii="Courier New" w:eastAsia="Times New Roman" w:hAnsi="Courier New"/>
      <w:szCs w:val="22"/>
      <w:lang w:eastAsia="sl-SI"/>
    </w:rPr>
  </w:style>
  <w:style w:type="paragraph" w:styleId="Caption">
    <w:name w:val="caption"/>
    <w:basedOn w:val="Normal"/>
    <w:next w:val="Normal"/>
    <w:qFormat/>
    <w:pPr>
      <w:tabs>
        <w:tab w:val="clear" w:pos="567"/>
      </w:tabs>
      <w:spacing w:line="240" w:lineRule="auto"/>
      <w:jc w:val="both"/>
    </w:pPr>
    <w:rPr>
      <w:szCs w:val="22"/>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Cs w:val="28"/>
      <w:lang w:val="sl-SI" w:eastAsia="sl-SI"/>
    </w:rPr>
  </w:style>
  <w:style w:type="paragraph" w:styleId="BodyText2">
    <w:name w:val="Body Text 2"/>
    <w:basedOn w:val="Normal"/>
    <w:link w:val="BodyText2Char"/>
    <w:pPr>
      <w:tabs>
        <w:tab w:val="clear" w:pos="567"/>
      </w:tabs>
      <w:spacing w:after="120" w:line="480" w:lineRule="auto"/>
    </w:pPr>
    <w:rPr>
      <w:szCs w:val="22"/>
      <w:lang w:val="sl-SI" w:eastAsia="sl-SI"/>
    </w:rPr>
  </w:style>
  <w:style w:type="character" w:customStyle="1" w:styleId="BodyText2Char">
    <w:name w:val="Body Text 2 Char"/>
    <w:link w:val="BodyText2"/>
    <w:rPr>
      <w:rFonts w:eastAsia="Times New Roman"/>
      <w:sz w:val="22"/>
      <w:szCs w:val="22"/>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numbering" w:customStyle="1" w:styleId="Brezseznama11">
    <w:name w:val="Brez seznama11"/>
    <w:next w:val="NoList"/>
    <w:semiHidden/>
  </w:style>
  <w:style w:type="paragraph" w:styleId="EndnoteText">
    <w:name w:val="endnote text"/>
    <w:basedOn w:val="Normal"/>
    <w:link w:val="EndnoteTextChar"/>
    <w:pPr>
      <w:spacing w:line="240" w:lineRule="auto"/>
    </w:pPr>
    <w:rPr>
      <w:szCs w:val="22"/>
    </w:rPr>
  </w:style>
  <w:style w:type="character" w:customStyle="1" w:styleId="EndnoteTextChar">
    <w:name w:val="Endnote Text Char"/>
    <w:link w:val="EndnoteText"/>
    <w:rPr>
      <w:rFonts w:eastAsia="Times New Roman"/>
      <w:sz w:val="22"/>
      <w:szCs w:val="22"/>
      <w:lang w:eastAsia="en-US"/>
    </w:rPr>
  </w:style>
  <w:style w:type="numbering" w:customStyle="1" w:styleId="Brezseznama2">
    <w:name w:val="Brez seznama2"/>
    <w:next w:val="NoList"/>
    <w:semiHidden/>
  </w:style>
  <w:style w:type="numbering" w:customStyle="1" w:styleId="Brezseznama3">
    <w:name w:val="Brez seznama3"/>
    <w:next w:val="NoList"/>
    <w:semiHidden/>
  </w:style>
  <w:style w:type="paragraph" w:styleId="Title">
    <w:name w:val="Title"/>
    <w:basedOn w:val="Normal"/>
    <w:link w:val="TitleChar"/>
    <w:qFormat/>
    <w:pPr>
      <w:tabs>
        <w:tab w:val="clear" w:pos="567"/>
      </w:tabs>
      <w:spacing w:line="240" w:lineRule="auto"/>
      <w:jc w:val="center"/>
    </w:pPr>
    <w:rPr>
      <w:b/>
      <w:szCs w:val="22"/>
    </w:rPr>
  </w:style>
  <w:style w:type="character" w:customStyle="1" w:styleId="TitleChar">
    <w:name w:val="Title Char"/>
    <w:link w:val="Title"/>
    <w:rPr>
      <w:rFonts w:eastAsia="Times New Roman"/>
      <w:b/>
      <w:sz w:val="22"/>
      <w:szCs w:val="22"/>
      <w:lang w:eastAsia="en-US"/>
    </w:rPr>
  </w:style>
  <w:style w:type="numbering" w:customStyle="1" w:styleId="Brezseznama4">
    <w:name w:val="Brez seznama4"/>
    <w:next w:val="NoList"/>
    <w:semiHidden/>
  </w:style>
  <w:style w:type="numbering" w:customStyle="1" w:styleId="Brezseznama5">
    <w:name w:val="Brez seznama5"/>
    <w:next w:val="NoList"/>
    <w:uiPriority w:val="99"/>
    <w:semiHidden/>
    <w:unhideWhenUsed/>
  </w:style>
  <w:style w:type="character" w:customStyle="1" w:styleId="HeaderChar">
    <w:name w:val="Header Char"/>
    <w:link w:val="Header"/>
    <w:rPr>
      <w:rFonts w:ascii="Arial" w:eastAsia="Times New Roman" w:hAnsi="Arial"/>
      <w:lang w:eastAsia="en-US"/>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customStyle="1" w:styleId="TitleA">
    <w:name w:val="Title A"/>
    <w:basedOn w:val="Normal"/>
    <w:qFormat/>
    <w:pPr>
      <w:widowControl w:val="0"/>
      <w:tabs>
        <w:tab w:val="clear" w:pos="567"/>
      </w:tabs>
      <w:spacing w:line="240" w:lineRule="auto"/>
      <w:jc w:val="center"/>
      <w:outlineLvl w:val="0"/>
    </w:pPr>
    <w:rPr>
      <w:b/>
      <w:noProof/>
      <w:szCs w:val="22"/>
    </w:rPr>
  </w:style>
  <w:style w:type="character" w:customStyle="1" w:styleId="BalloonTextChar">
    <w:name w:val="Balloon Text Char"/>
    <w:link w:val="BalloonText"/>
    <w:uiPriority w:val="99"/>
    <w:rPr>
      <w:rFonts w:ascii="Tahoma" w:eastAsia="Times New Roman" w:hAnsi="Tahoma" w:cs="Tahoma"/>
      <w:sz w:val="16"/>
      <w:szCs w:val="16"/>
      <w:lang w:eastAsia="en-US"/>
    </w:rPr>
  </w:style>
  <w:style w:type="numbering" w:customStyle="1" w:styleId="Brezseznama6">
    <w:name w:val="Brez seznama6"/>
    <w:next w:val="NoList"/>
    <w:uiPriority w:val="99"/>
    <w:semiHidden/>
    <w:unhideWhenUsed/>
  </w:style>
  <w:style w:type="numbering" w:customStyle="1" w:styleId="Brezseznama7">
    <w:name w:val="Brez seznama7"/>
    <w:next w:val="NoList"/>
    <w:uiPriority w:val="99"/>
    <w:semiHidden/>
    <w:unhideWhenUsed/>
  </w:style>
  <w:style w:type="numbering" w:customStyle="1" w:styleId="Brezseznama8">
    <w:name w:val="Brez seznama8"/>
    <w:next w:val="NoList"/>
    <w:uiPriority w:val="99"/>
    <w:semiHidden/>
    <w:unhideWhenUsed/>
  </w:style>
  <w:style w:type="numbering" w:customStyle="1" w:styleId="Brezseznama9">
    <w:name w:val="Brez seznama9"/>
    <w:next w:val="NoList"/>
    <w:uiPriority w:val="99"/>
    <w:semiHidden/>
    <w:unhideWhenUsed/>
  </w:style>
  <w:style w:type="numbering" w:customStyle="1" w:styleId="Brezseznama10">
    <w:name w:val="Brez seznama10"/>
    <w:next w:val="NoList"/>
    <w:uiPriority w:val="99"/>
    <w:semiHidden/>
    <w:unhideWhenUsed/>
  </w:style>
  <w:style w:type="numbering" w:customStyle="1" w:styleId="Brezseznama111">
    <w:name w:val="Brez seznama111"/>
    <w:next w:val="NoList"/>
    <w:uiPriority w:val="99"/>
    <w:semiHidden/>
    <w:unhideWhenUsed/>
  </w:style>
  <w:style w:type="numbering" w:customStyle="1" w:styleId="Brezseznama12">
    <w:name w:val="Brez seznama12"/>
    <w:next w:val="NoList"/>
    <w:uiPriority w:val="99"/>
    <w:semiHidden/>
    <w:unhideWhenUsed/>
  </w:style>
  <w:style w:type="paragraph" w:styleId="ListParagraph">
    <w:name w:val="List Paragraph"/>
    <w:basedOn w:val="Normal"/>
    <w:uiPriority w:val="1"/>
    <w:qFormat/>
    <w:pPr>
      <w:widowControl w:val="0"/>
      <w:tabs>
        <w:tab w:val="clear" w:pos="567"/>
      </w:tabs>
      <w:autoSpaceDE w:val="0"/>
      <w:autoSpaceDN w:val="0"/>
      <w:adjustRightInd w:val="0"/>
      <w:spacing w:line="240" w:lineRule="auto"/>
      <w:ind w:left="1164" w:hanging="566"/>
    </w:pPr>
    <w:rPr>
      <w:sz w:val="24"/>
      <w:szCs w:val="24"/>
      <w:lang w:val="en-US" w:eastAsia="sl-SI"/>
    </w:rPr>
  </w:style>
  <w:style w:type="character" w:customStyle="1" w:styleId="A1">
    <w:name w:val="A1"/>
    <w:uiPriority w:val="99"/>
    <w:rPr>
      <w:rFonts w:cs="FS Joey"/>
      <w:color w:val="000000"/>
      <w:sz w:val="18"/>
      <w:szCs w:val="18"/>
    </w:rPr>
  </w:style>
  <w:style w:type="paragraph" w:customStyle="1" w:styleId="Pa3">
    <w:name w:val="Pa3"/>
    <w:basedOn w:val="Default"/>
    <w:next w:val="Default"/>
    <w:uiPriority w:val="99"/>
    <w:pPr>
      <w:spacing w:line="241" w:lineRule="atLeast"/>
    </w:pPr>
    <w:rPr>
      <w:rFonts w:ascii="FS Joey" w:hAnsi="FS Joey"/>
      <w:color w:val="auto"/>
    </w:rPr>
  </w:style>
  <w:style w:type="paragraph" w:styleId="NormalWeb">
    <w:name w:val="Normal (Web)"/>
    <w:basedOn w:val="Normal"/>
    <w:pPr>
      <w:tabs>
        <w:tab w:val="clear" w:pos="567"/>
      </w:tabs>
      <w:spacing w:before="100" w:beforeAutospacing="1" w:after="69" w:line="240" w:lineRule="auto"/>
    </w:pPr>
    <w:rPr>
      <w:color w:val="000000"/>
      <w:sz w:val="24"/>
      <w:szCs w:val="24"/>
      <w:lang w:val="en-US"/>
    </w:rPr>
  </w:style>
  <w:style w:type="paragraph" w:styleId="NoSpacing">
    <w:name w:val="No Spacing"/>
    <w:uiPriority w:val="1"/>
    <w:qFormat/>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11399</Words>
  <Characters>64979</Characters>
  <Application>Microsoft Office Word</Application>
  <DocSecurity>0</DocSecurity>
  <Lines>541</Lines>
  <Paragraphs>152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76226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Ljumović</cp:lastModifiedBy>
  <cp:revision>3</cp:revision>
  <dcterms:created xsi:type="dcterms:W3CDTF">2024-12-11T10:28:00Z</dcterms:created>
  <dcterms:modified xsi:type="dcterms:W3CDTF">2024-12-11T10:28:00Z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