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2BF93" w14:textId="77777777" w:rsidR="001A5518" w:rsidRPr="00CA6CBA" w:rsidRDefault="001A5518" w:rsidP="001A5518">
      <w:pPr>
        <w:rPr>
          <w:b/>
          <w:bCs/>
          <w:i/>
          <w:iCs/>
          <w:sz w:val="22"/>
          <w:szCs w:val="22"/>
          <w:u w:val="single"/>
          <w:lang w:val="sr-Latn-ME"/>
        </w:rPr>
      </w:pPr>
    </w:p>
    <w:p w14:paraId="085C321D" w14:textId="77777777" w:rsidR="00F91C7B" w:rsidRPr="00CA6CBA" w:rsidRDefault="00F91C7B" w:rsidP="001A5518">
      <w:pPr>
        <w:rPr>
          <w:b/>
          <w:bCs/>
          <w:i/>
          <w:iCs/>
          <w:sz w:val="22"/>
          <w:szCs w:val="22"/>
          <w:u w:val="single"/>
          <w:lang w:val="sr-Latn-ME"/>
        </w:rPr>
      </w:pPr>
    </w:p>
    <w:p w14:paraId="53FB2F7E" w14:textId="77777777" w:rsidR="002510A5" w:rsidRPr="00CA6CBA" w:rsidRDefault="002510A5" w:rsidP="002510A5">
      <w:pPr>
        <w:jc w:val="center"/>
        <w:rPr>
          <w:b/>
          <w:bCs/>
          <w:iCs/>
          <w:sz w:val="22"/>
          <w:szCs w:val="22"/>
          <w:u w:val="single"/>
          <w:lang w:val="sr-Latn-ME"/>
        </w:rPr>
      </w:pPr>
      <w:r w:rsidRPr="00CA6CBA">
        <w:rPr>
          <w:b/>
          <w:bCs/>
          <w:iCs/>
          <w:sz w:val="22"/>
          <w:szCs w:val="22"/>
          <w:u w:val="single"/>
          <w:lang w:val="sr-Latn-ME"/>
        </w:rPr>
        <w:t>SAŽETAK KARAKTERISTIKA LIJEKA</w:t>
      </w:r>
    </w:p>
    <w:p w14:paraId="6659CE03" w14:textId="77777777" w:rsidR="002510A5" w:rsidRPr="00CA6CBA" w:rsidRDefault="002510A5" w:rsidP="002510A5">
      <w:pPr>
        <w:rPr>
          <w:b/>
          <w:bCs/>
          <w:i/>
          <w:iCs/>
          <w:sz w:val="22"/>
          <w:szCs w:val="22"/>
          <w:u w:val="single"/>
          <w:lang w:val="sr-Latn-ME"/>
        </w:rPr>
      </w:pPr>
    </w:p>
    <w:p w14:paraId="0C5D6B0C" w14:textId="4BC35B23" w:rsidR="003C17AB" w:rsidRPr="00CA6CBA" w:rsidRDefault="003C17AB" w:rsidP="00F5167F">
      <w:pPr>
        <w:tabs>
          <w:tab w:val="left" w:pos="540"/>
          <w:tab w:val="left" w:pos="569"/>
        </w:tabs>
        <w:rPr>
          <w:noProof/>
          <w:sz w:val="22"/>
          <w:szCs w:val="22"/>
          <w:lang w:val="sr-Latn-ME"/>
        </w:rPr>
      </w:pPr>
    </w:p>
    <w:p w14:paraId="76E06CEB" w14:textId="77777777" w:rsidR="00C37FD7" w:rsidRPr="00CA6CBA" w:rsidRDefault="00C37FD7" w:rsidP="00F5167F">
      <w:pPr>
        <w:tabs>
          <w:tab w:val="left" w:pos="540"/>
          <w:tab w:val="left" w:pos="569"/>
        </w:tabs>
        <w:rPr>
          <w:bCs/>
          <w:sz w:val="22"/>
          <w:szCs w:val="22"/>
          <w:lang w:val="sr-Latn-ME"/>
        </w:rPr>
      </w:pPr>
    </w:p>
    <w:p w14:paraId="1ABF711A" w14:textId="77777777" w:rsidR="00411B4B" w:rsidRPr="00CA6CBA" w:rsidRDefault="00411B4B" w:rsidP="00F5167F">
      <w:pPr>
        <w:tabs>
          <w:tab w:val="left" w:pos="540"/>
          <w:tab w:val="left" w:pos="569"/>
        </w:tabs>
        <w:rPr>
          <w:b/>
          <w:bCs/>
          <w:sz w:val="22"/>
          <w:szCs w:val="22"/>
          <w:lang w:val="sr-Latn-ME"/>
        </w:rPr>
      </w:pPr>
      <w:r w:rsidRPr="00CA6CBA">
        <w:rPr>
          <w:b/>
          <w:bCs/>
          <w:sz w:val="22"/>
          <w:szCs w:val="22"/>
          <w:lang w:val="sr-Latn-ME"/>
        </w:rPr>
        <w:t>1.</w:t>
      </w:r>
      <w:r w:rsidR="00F5167F" w:rsidRPr="00CA6CBA">
        <w:rPr>
          <w:b/>
          <w:bCs/>
          <w:sz w:val="22"/>
          <w:szCs w:val="22"/>
          <w:lang w:val="sr-Latn-ME"/>
        </w:rPr>
        <w:tab/>
      </w:r>
      <w:r w:rsidR="002846DB" w:rsidRPr="00CA6CBA">
        <w:rPr>
          <w:b/>
          <w:bCs/>
          <w:sz w:val="22"/>
          <w:szCs w:val="22"/>
          <w:lang w:val="sr-Latn-ME"/>
        </w:rPr>
        <w:t xml:space="preserve">NAZIV </w:t>
      </w:r>
      <w:r w:rsidRPr="00CA6CBA">
        <w:rPr>
          <w:b/>
          <w:bCs/>
          <w:sz w:val="22"/>
          <w:szCs w:val="22"/>
          <w:lang w:val="sr-Latn-ME"/>
        </w:rPr>
        <w:t>LIJEKA</w:t>
      </w:r>
    </w:p>
    <w:p w14:paraId="3D62C47E" w14:textId="77777777" w:rsidR="00EC2532" w:rsidRPr="00CA6CBA" w:rsidRDefault="00EC2532">
      <w:pPr>
        <w:rPr>
          <w:sz w:val="22"/>
          <w:szCs w:val="22"/>
          <w:lang w:val="sr-Latn-ME"/>
        </w:rPr>
      </w:pPr>
    </w:p>
    <w:p w14:paraId="497E73FD" w14:textId="40681004" w:rsidR="00C2694B" w:rsidRPr="00CA6CBA" w:rsidRDefault="00C2694B" w:rsidP="00C2694B">
      <w:pPr>
        <w:jc w:val="both"/>
        <w:rPr>
          <w:sz w:val="22"/>
          <w:szCs w:val="22"/>
          <w:lang w:val="sr-Latn-ME"/>
        </w:rPr>
      </w:pPr>
      <w:r w:rsidRPr="00CA6CBA">
        <w:rPr>
          <w:sz w:val="22"/>
          <w:szCs w:val="22"/>
          <w:lang w:val="sr-Latn-ME"/>
        </w:rPr>
        <w:t xml:space="preserve">Azopt, </w:t>
      </w:r>
      <w:r w:rsidR="0003137C" w:rsidRPr="00CA6CBA">
        <w:rPr>
          <w:sz w:val="22"/>
          <w:szCs w:val="22"/>
          <w:lang w:val="sr-Latn-ME"/>
        </w:rPr>
        <w:t xml:space="preserve">10 mg/ml, </w:t>
      </w:r>
      <w:r w:rsidRPr="00CA6CBA">
        <w:rPr>
          <w:sz w:val="22"/>
          <w:szCs w:val="22"/>
          <w:lang w:val="sr-Latn-ME"/>
        </w:rPr>
        <w:t xml:space="preserve">kapi za oči, suspenzija </w:t>
      </w:r>
    </w:p>
    <w:p w14:paraId="13347E2A" w14:textId="77777777" w:rsidR="00C2694B" w:rsidRPr="00CA6CBA" w:rsidRDefault="00C2694B" w:rsidP="00C2694B">
      <w:pPr>
        <w:jc w:val="both"/>
        <w:rPr>
          <w:sz w:val="22"/>
          <w:szCs w:val="22"/>
          <w:lang w:val="sr-Latn-ME"/>
        </w:rPr>
      </w:pPr>
    </w:p>
    <w:p w14:paraId="5FD8CF26" w14:textId="77777777" w:rsidR="00C2694B" w:rsidRPr="00CA6CBA" w:rsidRDefault="00C2694B" w:rsidP="00C2694B">
      <w:pPr>
        <w:jc w:val="both"/>
        <w:rPr>
          <w:sz w:val="22"/>
          <w:szCs w:val="22"/>
          <w:lang w:val="sr-Latn-ME"/>
        </w:rPr>
      </w:pPr>
      <w:r w:rsidRPr="00CA6CBA">
        <w:rPr>
          <w:sz w:val="22"/>
          <w:szCs w:val="22"/>
          <w:lang w:val="sr-Latn-ME"/>
        </w:rPr>
        <w:t>INN: brinzolamid</w:t>
      </w:r>
    </w:p>
    <w:p w14:paraId="5276F6EB" w14:textId="77777777" w:rsidR="006D20A5" w:rsidRPr="00CA6CBA" w:rsidRDefault="006D20A5">
      <w:pPr>
        <w:rPr>
          <w:bCs/>
          <w:sz w:val="22"/>
          <w:szCs w:val="22"/>
          <w:lang w:val="sr-Latn-ME"/>
        </w:rPr>
      </w:pPr>
    </w:p>
    <w:p w14:paraId="38EB8251" w14:textId="77777777" w:rsidR="00530BD7" w:rsidRPr="00CA6CBA" w:rsidRDefault="00530BD7">
      <w:pPr>
        <w:rPr>
          <w:bCs/>
          <w:sz w:val="22"/>
          <w:szCs w:val="22"/>
          <w:lang w:val="sr-Latn-ME"/>
        </w:rPr>
      </w:pPr>
    </w:p>
    <w:p w14:paraId="3DF33B50" w14:textId="77777777" w:rsidR="00411B4B" w:rsidRPr="00CA6CBA" w:rsidRDefault="00411B4B" w:rsidP="00F5167F">
      <w:pPr>
        <w:tabs>
          <w:tab w:val="left" w:pos="540"/>
          <w:tab w:val="left" w:pos="569"/>
        </w:tabs>
        <w:rPr>
          <w:b/>
          <w:bCs/>
          <w:sz w:val="22"/>
          <w:szCs w:val="22"/>
          <w:lang w:val="sr-Latn-ME"/>
        </w:rPr>
      </w:pPr>
      <w:r w:rsidRPr="00CA6CBA">
        <w:rPr>
          <w:b/>
          <w:bCs/>
          <w:sz w:val="22"/>
          <w:szCs w:val="22"/>
          <w:lang w:val="sr-Latn-ME"/>
        </w:rPr>
        <w:t xml:space="preserve">2. </w:t>
      </w:r>
      <w:r w:rsidR="00F5167F" w:rsidRPr="00CA6CBA">
        <w:rPr>
          <w:b/>
          <w:bCs/>
          <w:sz w:val="22"/>
          <w:szCs w:val="22"/>
          <w:lang w:val="sr-Latn-ME"/>
        </w:rPr>
        <w:tab/>
      </w:r>
      <w:r w:rsidRPr="00CA6CBA">
        <w:rPr>
          <w:b/>
          <w:bCs/>
          <w:sz w:val="22"/>
          <w:szCs w:val="22"/>
          <w:lang w:val="sr-Latn-ME"/>
        </w:rPr>
        <w:t>KVALITATIVNI I KVANTITATIVNI SASTAV</w:t>
      </w:r>
    </w:p>
    <w:p w14:paraId="4DC8C515" w14:textId="77777777" w:rsidR="004B54F9" w:rsidRPr="00CA6CBA" w:rsidRDefault="004B54F9" w:rsidP="004B54F9">
      <w:pPr>
        <w:rPr>
          <w:b/>
          <w:bCs/>
          <w:sz w:val="22"/>
          <w:szCs w:val="22"/>
          <w:lang w:val="sr-Latn-ME"/>
        </w:rPr>
      </w:pPr>
    </w:p>
    <w:p w14:paraId="2C9A478E" w14:textId="77777777" w:rsidR="00C2694B" w:rsidRPr="00CA6CBA" w:rsidRDefault="00C2694B" w:rsidP="00C2694B">
      <w:pPr>
        <w:pStyle w:val="Header"/>
        <w:tabs>
          <w:tab w:val="left" w:pos="284"/>
        </w:tabs>
        <w:jc w:val="both"/>
        <w:rPr>
          <w:sz w:val="22"/>
          <w:szCs w:val="22"/>
          <w:lang w:val="sr-Latn-ME"/>
        </w:rPr>
      </w:pPr>
      <w:r w:rsidRPr="00CA6CBA">
        <w:rPr>
          <w:sz w:val="22"/>
          <w:szCs w:val="22"/>
          <w:lang w:val="sr-Latn-ME"/>
        </w:rPr>
        <w:t>Aktivna supstanca: 1 ml suspenzije sadrži 10 mg brinzolamida.</w:t>
      </w:r>
    </w:p>
    <w:p w14:paraId="35B7EFF3" w14:textId="77777777" w:rsidR="00C2694B" w:rsidRPr="00CA6CBA" w:rsidRDefault="00C2694B" w:rsidP="00C2694B">
      <w:pPr>
        <w:pStyle w:val="Header"/>
        <w:tabs>
          <w:tab w:val="left" w:pos="284"/>
        </w:tabs>
        <w:jc w:val="both"/>
        <w:rPr>
          <w:sz w:val="22"/>
          <w:szCs w:val="22"/>
          <w:lang w:val="sr-Latn-ME"/>
        </w:rPr>
      </w:pPr>
    </w:p>
    <w:p w14:paraId="6C7CFD30" w14:textId="77777777" w:rsidR="00C2694B" w:rsidRPr="00CA6CBA" w:rsidRDefault="00C2694B" w:rsidP="00C2694B">
      <w:pPr>
        <w:jc w:val="both"/>
        <w:rPr>
          <w:sz w:val="22"/>
          <w:szCs w:val="22"/>
          <w:lang w:val="sr-Latn-ME"/>
        </w:rPr>
      </w:pPr>
      <w:r w:rsidRPr="00CA6CBA">
        <w:rPr>
          <w:color w:val="000000"/>
          <w:sz w:val="22"/>
          <w:szCs w:val="22"/>
          <w:lang w:val="sr-Latn-ME"/>
        </w:rPr>
        <w:t>Pomoćne supstance sa potvrđenim dejstvom:</w:t>
      </w:r>
      <w:r w:rsidRPr="00CA6CBA">
        <w:rPr>
          <w:i/>
          <w:color w:val="000000"/>
          <w:sz w:val="22"/>
          <w:szCs w:val="22"/>
          <w:lang w:val="sr-Latn-ME"/>
        </w:rPr>
        <w:t xml:space="preserve"> </w:t>
      </w:r>
      <w:r w:rsidRPr="00CA6CBA">
        <w:rPr>
          <w:sz w:val="22"/>
          <w:szCs w:val="22"/>
          <w:lang w:val="sr-Latn-ME"/>
        </w:rPr>
        <w:t>1 ml suspenzije sadrži 0,1 mg benzalkonijum hlorida.</w:t>
      </w:r>
    </w:p>
    <w:p w14:paraId="503B3960" w14:textId="77777777" w:rsidR="005D37E0" w:rsidRPr="00CA6CBA" w:rsidRDefault="005D37E0" w:rsidP="00C2694B">
      <w:pPr>
        <w:jc w:val="both"/>
        <w:rPr>
          <w:sz w:val="22"/>
          <w:szCs w:val="22"/>
          <w:lang w:val="sr-Latn-ME"/>
        </w:rPr>
      </w:pPr>
    </w:p>
    <w:p w14:paraId="120A1852" w14:textId="1FEC39CC" w:rsidR="00C2694B" w:rsidRPr="00CA6CBA" w:rsidRDefault="00C913A4" w:rsidP="00C2694B">
      <w:pPr>
        <w:jc w:val="both"/>
        <w:rPr>
          <w:color w:val="000000"/>
          <w:sz w:val="22"/>
          <w:szCs w:val="22"/>
          <w:lang w:val="sr-Latn-ME"/>
        </w:rPr>
      </w:pPr>
      <w:r w:rsidRPr="00CA6CBA">
        <w:rPr>
          <w:sz w:val="22"/>
          <w:szCs w:val="22"/>
          <w:lang w:val="sr-Latn-ME"/>
        </w:rPr>
        <w:t>Za spisak svih ekscipijenasa, pogledati dio 6.1.</w:t>
      </w:r>
    </w:p>
    <w:p w14:paraId="738A5F89" w14:textId="77777777" w:rsidR="004072F6" w:rsidRPr="00CA6CBA" w:rsidRDefault="004072F6" w:rsidP="00C2694B">
      <w:pPr>
        <w:jc w:val="both"/>
        <w:rPr>
          <w:sz w:val="22"/>
          <w:szCs w:val="22"/>
          <w:lang w:val="sr-Latn-ME"/>
        </w:rPr>
      </w:pPr>
    </w:p>
    <w:p w14:paraId="5F8E3723" w14:textId="77777777" w:rsidR="00C37FD7" w:rsidRPr="00CA6CBA" w:rsidRDefault="00C37FD7">
      <w:pPr>
        <w:rPr>
          <w:sz w:val="22"/>
          <w:szCs w:val="22"/>
          <w:lang w:val="sr-Latn-ME"/>
        </w:rPr>
      </w:pPr>
    </w:p>
    <w:p w14:paraId="6DE62BFA" w14:textId="77777777" w:rsidR="00411B4B" w:rsidRPr="00CA6CBA" w:rsidRDefault="00411B4B" w:rsidP="00F5167F">
      <w:pPr>
        <w:tabs>
          <w:tab w:val="left" w:pos="540"/>
          <w:tab w:val="left" w:pos="569"/>
        </w:tabs>
        <w:rPr>
          <w:b/>
          <w:bCs/>
          <w:sz w:val="22"/>
          <w:szCs w:val="22"/>
          <w:lang w:val="sr-Latn-ME"/>
        </w:rPr>
      </w:pPr>
      <w:r w:rsidRPr="00CA6CBA">
        <w:rPr>
          <w:b/>
          <w:bCs/>
          <w:sz w:val="22"/>
          <w:szCs w:val="22"/>
          <w:lang w:val="sr-Latn-ME"/>
        </w:rPr>
        <w:t xml:space="preserve">3. </w:t>
      </w:r>
      <w:r w:rsidR="00F5167F" w:rsidRPr="00CA6CBA">
        <w:rPr>
          <w:b/>
          <w:bCs/>
          <w:sz w:val="22"/>
          <w:szCs w:val="22"/>
          <w:lang w:val="sr-Latn-ME"/>
        </w:rPr>
        <w:tab/>
      </w:r>
      <w:r w:rsidRPr="00CA6CBA">
        <w:rPr>
          <w:b/>
          <w:bCs/>
          <w:sz w:val="22"/>
          <w:szCs w:val="22"/>
          <w:lang w:val="sr-Latn-ME"/>
        </w:rPr>
        <w:t>FARMACEUTSKI OBLIK</w:t>
      </w:r>
      <w:r w:rsidR="009F2D23" w:rsidRPr="00CA6CBA">
        <w:rPr>
          <w:b/>
          <w:bCs/>
          <w:sz w:val="22"/>
          <w:szCs w:val="22"/>
          <w:lang w:val="sr-Latn-ME"/>
        </w:rPr>
        <w:t xml:space="preserve"> </w:t>
      </w:r>
    </w:p>
    <w:p w14:paraId="32321619" w14:textId="77777777" w:rsidR="00411B4B" w:rsidRPr="00CA6CBA" w:rsidRDefault="00411B4B">
      <w:pPr>
        <w:rPr>
          <w:bCs/>
          <w:sz w:val="22"/>
          <w:szCs w:val="22"/>
          <w:lang w:val="sr-Latn-ME"/>
        </w:rPr>
      </w:pPr>
    </w:p>
    <w:p w14:paraId="775CF4BB" w14:textId="77777777" w:rsidR="00C2694B" w:rsidRPr="00CA6CBA" w:rsidRDefault="00C2694B" w:rsidP="00C2694B">
      <w:pPr>
        <w:jc w:val="both"/>
        <w:rPr>
          <w:color w:val="000000"/>
          <w:sz w:val="22"/>
          <w:szCs w:val="22"/>
          <w:lang w:val="sr-Latn-ME"/>
        </w:rPr>
      </w:pPr>
      <w:r w:rsidRPr="00CA6CBA">
        <w:rPr>
          <w:color w:val="000000"/>
          <w:sz w:val="22"/>
          <w:szCs w:val="22"/>
          <w:lang w:val="sr-Latn-ME"/>
        </w:rPr>
        <w:t>Kapi za oči, suspenzija.</w:t>
      </w:r>
    </w:p>
    <w:p w14:paraId="44259D79" w14:textId="4920CBB2" w:rsidR="00C2694B" w:rsidRPr="00CA6CBA" w:rsidRDefault="00C2694B" w:rsidP="00C2694B">
      <w:pPr>
        <w:jc w:val="both"/>
        <w:rPr>
          <w:sz w:val="22"/>
          <w:szCs w:val="22"/>
          <w:lang w:val="sr-Latn-ME"/>
        </w:rPr>
      </w:pPr>
      <w:r w:rsidRPr="00CA6CBA">
        <w:rPr>
          <w:sz w:val="22"/>
          <w:szCs w:val="22"/>
          <w:lang w:val="sr-Latn-ME"/>
        </w:rPr>
        <w:t>Bijela do skoro bijela suspenzija.</w:t>
      </w:r>
    </w:p>
    <w:p w14:paraId="0A334F79" w14:textId="77777777" w:rsidR="004072F6" w:rsidRPr="00CA6CBA" w:rsidRDefault="004072F6" w:rsidP="00C2694B">
      <w:pPr>
        <w:jc w:val="both"/>
        <w:rPr>
          <w:sz w:val="22"/>
          <w:szCs w:val="22"/>
          <w:lang w:val="sr-Latn-ME"/>
        </w:rPr>
      </w:pPr>
    </w:p>
    <w:p w14:paraId="468695B9" w14:textId="77777777" w:rsidR="00EC2532" w:rsidRPr="00CA6CBA" w:rsidRDefault="00EC2532">
      <w:pPr>
        <w:rPr>
          <w:bCs/>
          <w:sz w:val="22"/>
          <w:szCs w:val="22"/>
          <w:lang w:val="sr-Latn-ME"/>
        </w:rPr>
      </w:pPr>
    </w:p>
    <w:p w14:paraId="342AAF7A" w14:textId="77777777" w:rsidR="00411B4B" w:rsidRPr="00CA6CBA" w:rsidRDefault="00411B4B" w:rsidP="00035899">
      <w:pPr>
        <w:tabs>
          <w:tab w:val="left" w:pos="540"/>
          <w:tab w:val="left" w:pos="569"/>
        </w:tabs>
        <w:jc w:val="both"/>
        <w:rPr>
          <w:b/>
          <w:bCs/>
          <w:sz w:val="22"/>
          <w:szCs w:val="22"/>
          <w:lang w:val="sr-Latn-ME"/>
        </w:rPr>
      </w:pPr>
      <w:r w:rsidRPr="00CA6CBA">
        <w:rPr>
          <w:b/>
          <w:bCs/>
          <w:sz w:val="22"/>
          <w:szCs w:val="22"/>
          <w:lang w:val="sr-Latn-ME"/>
        </w:rPr>
        <w:t xml:space="preserve">4. </w:t>
      </w:r>
      <w:r w:rsidR="00480FB1" w:rsidRPr="00CA6CBA">
        <w:rPr>
          <w:b/>
          <w:bCs/>
          <w:sz w:val="22"/>
          <w:szCs w:val="22"/>
          <w:lang w:val="sr-Latn-ME"/>
        </w:rPr>
        <w:tab/>
      </w:r>
      <w:r w:rsidRPr="00CA6CBA">
        <w:rPr>
          <w:b/>
          <w:bCs/>
          <w:sz w:val="22"/>
          <w:szCs w:val="22"/>
          <w:lang w:val="sr-Latn-ME"/>
        </w:rPr>
        <w:t>KLINIČKI PODACI</w:t>
      </w:r>
    </w:p>
    <w:p w14:paraId="649AA9EB" w14:textId="77777777" w:rsidR="00CD6F02" w:rsidRPr="00CA6CBA" w:rsidRDefault="00CD6F02" w:rsidP="00035899">
      <w:pPr>
        <w:tabs>
          <w:tab w:val="left" w:pos="540"/>
          <w:tab w:val="left" w:pos="569"/>
        </w:tabs>
        <w:jc w:val="both"/>
        <w:rPr>
          <w:bCs/>
          <w:sz w:val="22"/>
          <w:szCs w:val="22"/>
          <w:lang w:val="sr-Latn-ME"/>
        </w:rPr>
      </w:pPr>
    </w:p>
    <w:p w14:paraId="1C758AF8" w14:textId="77777777" w:rsidR="00411B4B" w:rsidRPr="00CA6CBA" w:rsidRDefault="00411B4B" w:rsidP="00035899">
      <w:pPr>
        <w:tabs>
          <w:tab w:val="left" w:pos="540"/>
          <w:tab w:val="left" w:pos="569"/>
        </w:tabs>
        <w:jc w:val="both"/>
        <w:rPr>
          <w:b/>
          <w:bCs/>
          <w:sz w:val="22"/>
          <w:szCs w:val="22"/>
          <w:lang w:val="sr-Latn-ME"/>
        </w:rPr>
      </w:pPr>
      <w:r w:rsidRPr="00CA6CBA">
        <w:rPr>
          <w:b/>
          <w:bCs/>
          <w:sz w:val="22"/>
          <w:szCs w:val="22"/>
          <w:lang w:val="sr-Latn-ME"/>
        </w:rPr>
        <w:t xml:space="preserve">4.1. </w:t>
      </w:r>
      <w:r w:rsidR="00480FB1" w:rsidRPr="00CA6CBA">
        <w:rPr>
          <w:b/>
          <w:bCs/>
          <w:sz w:val="22"/>
          <w:szCs w:val="22"/>
          <w:lang w:val="sr-Latn-ME"/>
        </w:rPr>
        <w:tab/>
      </w:r>
      <w:r w:rsidRPr="00CA6CBA">
        <w:rPr>
          <w:b/>
          <w:bCs/>
          <w:sz w:val="22"/>
          <w:szCs w:val="22"/>
          <w:lang w:val="sr-Latn-ME"/>
        </w:rPr>
        <w:t>Terapijske indikacije</w:t>
      </w:r>
    </w:p>
    <w:p w14:paraId="64610377" w14:textId="68628262" w:rsidR="00411B4B" w:rsidRPr="00CA6CBA" w:rsidRDefault="00411B4B" w:rsidP="00035899">
      <w:pPr>
        <w:tabs>
          <w:tab w:val="left" w:pos="540"/>
          <w:tab w:val="left" w:pos="569"/>
        </w:tabs>
        <w:jc w:val="both"/>
        <w:rPr>
          <w:bCs/>
          <w:sz w:val="22"/>
          <w:szCs w:val="22"/>
          <w:lang w:val="sr-Latn-ME"/>
        </w:rPr>
      </w:pPr>
    </w:p>
    <w:p w14:paraId="4977C23B" w14:textId="77777777" w:rsidR="00C2694B" w:rsidRPr="00CA6CBA" w:rsidRDefault="00C2694B" w:rsidP="00CE15C2">
      <w:pPr>
        <w:pStyle w:val="Header"/>
        <w:tabs>
          <w:tab w:val="left" w:pos="284"/>
        </w:tabs>
        <w:rPr>
          <w:sz w:val="22"/>
          <w:szCs w:val="22"/>
          <w:lang w:val="sr-Latn-ME"/>
        </w:rPr>
      </w:pPr>
      <w:r w:rsidRPr="00CA6CBA">
        <w:rPr>
          <w:bCs/>
          <w:sz w:val="22"/>
          <w:szCs w:val="22"/>
          <w:lang w:val="sr-Latn-ME"/>
        </w:rPr>
        <w:t xml:space="preserve">Azopt je indikovan za </w:t>
      </w:r>
      <w:r w:rsidRPr="00CA6CBA">
        <w:rPr>
          <w:sz w:val="22"/>
          <w:szCs w:val="22"/>
          <w:lang w:val="sr-Latn-ME"/>
        </w:rPr>
        <w:t xml:space="preserve">smanjenje povišenog intraokularnog pritiska kod: </w:t>
      </w:r>
      <w:r w:rsidRPr="00CA6CBA">
        <w:rPr>
          <w:sz w:val="22"/>
          <w:szCs w:val="22"/>
          <w:lang w:val="sr-Latn-ME"/>
        </w:rPr>
        <w:br/>
        <w:t xml:space="preserve">• okularne hipertenzije </w:t>
      </w:r>
      <w:r w:rsidRPr="00CA6CBA">
        <w:rPr>
          <w:sz w:val="22"/>
          <w:szCs w:val="22"/>
          <w:lang w:val="sr-Latn-ME"/>
        </w:rPr>
        <w:br/>
        <w:t xml:space="preserve">• glaukoma otvorenog ugla </w:t>
      </w:r>
    </w:p>
    <w:p w14:paraId="12633D1C" w14:textId="3A154175" w:rsidR="00C2694B" w:rsidRPr="00CA6CBA" w:rsidRDefault="00C2694B" w:rsidP="00CE15C2">
      <w:pPr>
        <w:tabs>
          <w:tab w:val="left" w:pos="540"/>
          <w:tab w:val="left" w:pos="569"/>
        </w:tabs>
        <w:jc w:val="both"/>
        <w:rPr>
          <w:sz w:val="22"/>
          <w:szCs w:val="22"/>
          <w:lang w:val="sr-Latn-ME"/>
        </w:rPr>
      </w:pPr>
      <w:r w:rsidRPr="00CA6CBA">
        <w:rPr>
          <w:sz w:val="22"/>
          <w:szCs w:val="22"/>
          <w:lang w:val="sr-Latn-ME"/>
        </w:rPr>
        <w:t xml:space="preserve">kao monoterapija kod </w:t>
      </w:r>
      <w:r w:rsidR="00CE15C2" w:rsidRPr="00CA6CBA">
        <w:rPr>
          <w:sz w:val="22"/>
          <w:szCs w:val="22"/>
          <w:lang w:val="sr-Latn-ME"/>
        </w:rPr>
        <w:t xml:space="preserve">odraslih </w:t>
      </w:r>
      <w:r w:rsidRPr="00CA6CBA">
        <w:rPr>
          <w:sz w:val="22"/>
          <w:szCs w:val="22"/>
          <w:lang w:val="sr-Latn-ME"/>
        </w:rPr>
        <w:t>pacijenata koji ne reaguju na beta blokatore, kod</w:t>
      </w:r>
      <w:r w:rsidR="00CE15C2" w:rsidRPr="00CA6CBA">
        <w:rPr>
          <w:sz w:val="22"/>
          <w:szCs w:val="22"/>
          <w:lang w:val="sr-Latn-ME"/>
        </w:rPr>
        <w:t xml:space="preserve"> odraslih </w:t>
      </w:r>
      <w:r w:rsidRPr="00CA6CBA">
        <w:rPr>
          <w:sz w:val="22"/>
          <w:szCs w:val="22"/>
          <w:lang w:val="sr-Latn-ME"/>
        </w:rPr>
        <w:t xml:space="preserve"> pacijenata kod kojih su beta blokatori kontraindikovani, ili kao prateća terapija uz beta blokatore ili analoge prostaglandina (vidjeti i dio 5.1).</w:t>
      </w:r>
    </w:p>
    <w:p w14:paraId="2630D6ED" w14:textId="77777777" w:rsidR="004B54F9" w:rsidRPr="00CA6CBA" w:rsidRDefault="004B54F9" w:rsidP="00035899">
      <w:pPr>
        <w:tabs>
          <w:tab w:val="left" w:pos="540"/>
          <w:tab w:val="left" w:pos="569"/>
        </w:tabs>
        <w:jc w:val="both"/>
        <w:rPr>
          <w:bCs/>
          <w:sz w:val="22"/>
          <w:szCs w:val="22"/>
          <w:lang w:val="sr-Latn-ME"/>
        </w:rPr>
      </w:pPr>
    </w:p>
    <w:p w14:paraId="78CECEFC" w14:textId="77777777" w:rsidR="00411B4B" w:rsidRPr="00CA6CBA" w:rsidRDefault="00411B4B" w:rsidP="00035899">
      <w:pPr>
        <w:tabs>
          <w:tab w:val="left" w:pos="540"/>
          <w:tab w:val="left" w:pos="569"/>
        </w:tabs>
        <w:jc w:val="both"/>
        <w:rPr>
          <w:b/>
          <w:bCs/>
          <w:sz w:val="22"/>
          <w:szCs w:val="22"/>
          <w:lang w:val="sr-Latn-ME"/>
        </w:rPr>
      </w:pPr>
      <w:r w:rsidRPr="00CA6CBA">
        <w:rPr>
          <w:b/>
          <w:bCs/>
          <w:sz w:val="22"/>
          <w:szCs w:val="22"/>
          <w:lang w:val="sr-Latn-ME"/>
        </w:rPr>
        <w:t xml:space="preserve">4.2. </w:t>
      </w:r>
      <w:r w:rsidR="00480FB1" w:rsidRPr="00CA6CBA">
        <w:rPr>
          <w:b/>
          <w:bCs/>
          <w:sz w:val="22"/>
          <w:szCs w:val="22"/>
          <w:lang w:val="sr-Latn-ME"/>
        </w:rPr>
        <w:tab/>
      </w:r>
      <w:r w:rsidRPr="00CA6CBA">
        <w:rPr>
          <w:b/>
          <w:bCs/>
          <w:sz w:val="22"/>
          <w:szCs w:val="22"/>
          <w:lang w:val="sr-Latn-ME"/>
        </w:rPr>
        <w:t>Doziranje i način primjene</w:t>
      </w:r>
    </w:p>
    <w:p w14:paraId="30E782D3" w14:textId="77777777" w:rsidR="0072020E" w:rsidRPr="00CA6CBA" w:rsidRDefault="0072020E" w:rsidP="00035899">
      <w:pPr>
        <w:tabs>
          <w:tab w:val="left" w:pos="540"/>
          <w:tab w:val="left" w:pos="569"/>
        </w:tabs>
        <w:jc w:val="both"/>
        <w:rPr>
          <w:bCs/>
          <w:sz w:val="22"/>
          <w:szCs w:val="22"/>
          <w:lang w:val="sr-Latn-ME"/>
        </w:rPr>
      </w:pPr>
    </w:p>
    <w:p w14:paraId="752D7EC1" w14:textId="77777777" w:rsidR="00C2694B" w:rsidRPr="00CA6CBA" w:rsidRDefault="00C2694B" w:rsidP="00CE15C2">
      <w:pPr>
        <w:tabs>
          <w:tab w:val="left" w:pos="540"/>
          <w:tab w:val="left" w:pos="569"/>
        </w:tabs>
        <w:jc w:val="both"/>
        <w:rPr>
          <w:bCs/>
          <w:sz w:val="22"/>
          <w:szCs w:val="22"/>
          <w:u w:val="single"/>
          <w:lang w:val="sr-Latn-ME"/>
        </w:rPr>
      </w:pPr>
      <w:r w:rsidRPr="00CA6CBA">
        <w:rPr>
          <w:bCs/>
          <w:sz w:val="22"/>
          <w:szCs w:val="22"/>
          <w:u w:val="single"/>
          <w:lang w:val="sr-Latn-ME"/>
        </w:rPr>
        <w:t>Doziranje</w:t>
      </w:r>
    </w:p>
    <w:p w14:paraId="6D649E3B" w14:textId="77777777" w:rsidR="00C2694B" w:rsidRPr="00CA6CBA" w:rsidRDefault="00C2694B" w:rsidP="00CE15C2">
      <w:pPr>
        <w:jc w:val="both"/>
        <w:rPr>
          <w:sz w:val="22"/>
          <w:szCs w:val="22"/>
          <w:lang w:val="sr-Latn-ME"/>
        </w:rPr>
      </w:pPr>
      <w:r w:rsidRPr="00CA6CBA">
        <w:rPr>
          <w:bCs/>
          <w:sz w:val="22"/>
          <w:szCs w:val="22"/>
          <w:lang w:val="sr-Latn-ME"/>
        </w:rPr>
        <w:t xml:space="preserve">Kada se primjenjuje kao monoterapija </w:t>
      </w:r>
      <w:r w:rsidRPr="00CA6CBA">
        <w:rPr>
          <w:sz w:val="22"/>
          <w:szCs w:val="22"/>
          <w:lang w:val="sr-Latn-ME"/>
        </w:rPr>
        <w:t xml:space="preserve">ili prateća terapija, uobičajena doza je jedna kap lijeka Azopt ukapana u konjuktivalnu kesicu oboljelog oka/očiju dva puta dnevno. Kod nekih pacijenata se postiže bolji odgovor sa dozom od jedne kapi tri puta dnevno. </w:t>
      </w:r>
    </w:p>
    <w:p w14:paraId="481741D5" w14:textId="77777777" w:rsidR="00C2694B" w:rsidRPr="00CA6CBA" w:rsidRDefault="00C2694B" w:rsidP="00CE15C2">
      <w:pPr>
        <w:jc w:val="both"/>
        <w:rPr>
          <w:sz w:val="22"/>
          <w:szCs w:val="22"/>
          <w:lang w:val="sr-Latn-ME"/>
        </w:rPr>
      </w:pPr>
    </w:p>
    <w:p w14:paraId="3F4560B8" w14:textId="77777777" w:rsidR="00C2694B" w:rsidRPr="00CA6CBA" w:rsidRDefault="00C2694B" w:rsidP="00A34CA5">
      <w:pPr>
        <w:jc w:val="both"/>
        <w:rPr>
          <w:i/>
          <w:color w:val="000000"/>
          <w:sz w:val="22"/>
          <w:szCs w:val="22"/>
          <w:u w:val="single"/>
          <w:lang w:val="sr-Latn-ME"/>
        </w:rPr>
      </w:pPr>
      <w:r w:rsidRPr="00CA6CBA">
        <w:rPr>
          <w:i/>
          <w:color w:val="000000"/>
          <w:sz w:val="22"/>
          <w:szCs w:val="22"/>
          <w:u w:val="single"/>
          <w:lang w:val="sr-Latn-ME"/>
        </w:rPr>
        <w:t>Posebne populacije pacijenata</w:t>
      </w:r>
    </w:p>
    <w:p w14:paraId="639C529A" w14:textId="77777777" w:rsidR="00C2694B" w:rsidRPr="00CA6CBA" w:rsidRDefault="00C2694B">
      <w:pPr>
        <w:jc w:val="both"/>
        <w:rPr>
          <w:i/>
          <w:color w:val="000000"/>
          <w:sz w:val="22"/>
          <w:szCs w:val="22"/>
          <w:lang w:val="sr-Latn-ME"/>
        </w:rPr>
      </w:pPr>
    </w:p>
    <w:p w14:paraId="7F19BD07" w14:textId="77777777" w:rsidR="00C2694B" w:rsidRPr="00CA6CBA" w:rsidRDefault="00C2694B">
      <w:pPr>
        <w:jc w:val="both"/>
        <w:rPr>
          <w:i/>
          <w:sz w:val="22"/>
          <w:szCs w:val="22"/>
          <w:lang w:val="sr-Latn-ME"/>
        </w:rPr>
      </w:pPr>
      <w:r w:rsidRPr="00CA6CBA">
        <w:rPr>
          <w:i/>
          <w:sz w:val="22"/>
          <w:szCs w:val="22"/>
          <w:lang w:val="sr-Latn-ME"/>
        </w:rPr>
        <w:t xml:space="preserve">Primjena kod starijih pacijenta </w:t>
      </w:r>
    </w:p>
    <w:p w14:paraId="1975A2A4" w14:textId="77777777" w:rsidR="00C2694B" w:rsidRPr="00CA6CBA" w:rsidRDefault="00C2694B">
      <w:pPr>
        <w:jc w:val="both"/>
        <w:rPr>
          <w:sz w:val="22"/>
          <w:szCs w:val="22"/>
          <w:lang w:val="sr-Latn-ME"/>
        </w:rPr>
      </w:pPr>
      <w:r w:rsidRPr="00CA6CBA">
        <w:rPr>
          <w:sz w:val="22"/>
          <w:szCs w:val="22"/>
          <w:lang w:val="sr-Latn-ME"/>
        </w:rPr>
        <w:t xml:space="preserve">Nije potrebno prilagođavanje doziranja kod starijih pacijenata. </w:t>
      </w:r>
    </w:p>
    <w:p w14:paraId="50ED3309" w14:textId="77777777" w:rsidR="00C2694B" w:rsidRPr="00CA6CBA" w:rsidRDefault="00C2694B">
      <w:pPr>
        <w:jc w:val="both"/>
        <w:rPr>
          <w:i/>
          <w:color w:val="000000"/>
          <w:sz w:val="22"/>
          <w:szCs w:val="22"/>
          <w:lang w:val="sr-Latn-ME"/>
        </w:rPr>
      </w:pPr>
    </w:p>
    <w:p w14:paraId="36CBC8B8" w14:textId="77777777" w:rsidR="00C2694B" w:rsidRPr="00CA6CBA" w:rsidRDefault="00C2694B">
      <w:pPr>
        <w:jc w:val="both"/>
        <w:rPr>
          <w:i/>
          <w:sz w:val="22"/>
          <w:szCs w:val="22"/>
          <w:lang w:val="sr-Latn-ME"/>
        </w:rPr>
      </w:pPr>
      <w:r w:rsidRPr="00CA6CBA">
        <w:rPr>
          <w:i/>
          <w:sz w:val="22"/>
          <w:szCs w:val="22"/>
          <w:lang w:val="sr-Latn-ME"/>
        </w:rPr>
        <w:t>Primjena kod pacijenata sa oštećenom funkcijom jetre i bubrega</w:t>
      </w:r>
    </w:p>
    <w:p w14:paraId="42E01CA0" w14:textId="211A61E9" w:rsidR="00C2694B" w:rsidRPr="00CA6CBA" w:rsidRDefault="00C2694B">
      <w:pPr>
        <w:jc w:val="both"/>
        <w:rPr>
          <w:sz w:val="22"/>
          <w:szCs w:val="22"/>
          <w:lang w:val="sr-Latn-ME"/>
        </w:rPr>
      </w:pPr>
      <w:r w:rsidRPr="00CA6CBA">
        <w:rPr>
          <w:sz w:val="22"/>
          <w:szCs w:val="22"/>
          <w:lang w:val="sr-Latn-ME"/>
        </w:rPr>
        <w:t>Azopt nije ispitivan kod pacijenata sa oštećenom funkcijom jetre ili bubrega, pa se njegova primjena ne preporučuje kod ovih grupa pacijenata.</w:t>
      </w:r>
    </w:p>
    <w:p w14:paraId="0C2AE2C4" w14:textId="77777777" w:rsidR="00CE15C2" w:rsidRPr="00CA6CBA" w:rsidRDefault="00CE15C2">
      <w:pPr>
        <w:jc w:val="both"/>
        <w:rPr>
          <w:sz w:val="22"/>
          <w:szCs w:val="22"/>
          <w:lang w:val="sr-Latn-ME"/>
        </w:rPr>
      </w:pPr>
    </w:p>
    <w:p w14:paraId="31C8EB76" w14:textId="5B3141D4" w:rsidR="00C2694B" w:rsidRPr="00CA6CBA" w:rsidRDefault="00C2694B">
      <w:pPr>
        <w:jc w:val="both"/>
        <w:rPr>
          <w:sz w:val="22"/>
          <w:szCs w:val="22"/>
          <w:lang w:val="sr-Latn-ME"/>
        </w:rPr>
      </w:pPr>
      <w:r w:rsidRPr="00CA6CBA">
        <w:rPr>
          <w:sz w:val="22"/>
          <w:szCs w:val="22"/>
          <w:lang w:val="sr-Latn-ME"/>
        </w:rPr>
        <w:lastRenderedPageBreak/>
        <w:t>Azopt nije ispitivan kod pacijenata sa teškim oštećenjem bubrega (klirens kreatinina &lt;30 ml/min) ni kod pacijenata sa hiperhloremijskom acidozom. Pošto se brinzolamid i njegov glavni metabolit izlučuju uglavnom preko bubrega, Azopt je kontraindikovan kod takvih pacijenata (</w:t>
      </w:r>
      <w:r w:rsidR="00CE15C2" w:rsidRPr="00CA6CBA">
        <w:rPr>
          <w:sz w:val="22"/>
          <w:szCs w:val="22"/>
          <w:lang w:val="sr-Latn-ME"/>
        </w:rPr>
        <w:t>v</w:t>
      </w:r>
      <w:r w:rsidRPr="00CA6CBA">
        <w:rPr>
          <w:sz w:val="22"/>
          <w:szCs w:val="22"/>
          <w:lang w:val="sr-Latn-ME"/>
        </w:rPr>
        <w:t>idjeti i dio 4.3).</w:t>
      </w:r>
    </w:p>
    <w:p w14:paraId="03FDE95C" w14:textId="77777777" w:rsidR="00C2694B" w:rsidRPr="00CA6CBA" w:rsidRDefault="00C2694B">
      <w:pPr>
        <w:jc w:val="both"/>
        <w:rPr>
          <w:i/>
          <w:color w:val="000000"/>
          <w:sz w:val="22"/>
          <w:szCs w:val="22"/>
          <w:lang w:val="sr-Latn-ME"/>
        </w:rPr>
      </w:pPr>
    </w:p>
    <w:p w14:paraId="5DC22BDF" w14:textId="77777777" w:rsidR="00140FC3" w:rsidRPr="00CA6CBA" w:rsidRDefault="00C2694B">
      <w:pPr>
        <w:jc w:val="both"/>
        <w:rPr>
          <w:sz w:val="22"/>
          <w:szCs w:val="22"/>
          <w:u w:val="single"/>
          <w:lang w:val="sr-Latn-ME"/>
        </w:rPr>
      </w:pPr>
      <w:r w:rsidRPr="00CA6CBA">
        <w:rPr>
          <w:i/>
          <w:sz w:val="22"/>
          <w:szCs w:val="22"/>
          <w:lang w:val="sr-Latn-ME"/>
        </w:rPr>
        <w:t>Pedijatrijska populacija</w:t>
      </w:r>
      <w:r w:rsidRPr="00CA6CBA">
        <w:rPr>
          <w:sz w:val="22"/>
          <w:szCs w:val="22"/>
          <w:u w:val="single"/>
          <w:lang w:val="sr-Latn-ME"/>
        </w:rPr>
        <w:t xml:space="preserve"> </w:t>
      </w:r>
    </w:p>
    <w:p w14:paraId="3EEE1995" w14:textId="7F282E29" w:rsidR="00C2694B" w:rsidRPr="00CA6CBA" w:rsidRDefault="00C2694B" w:rsidP="00E763DD">
      <w:pPr>
        <w:jc w:val="both"/>
        <w:rPr>
          <w:sz w:val="22"/>
          <w:szCs w:val="22"/>
          <w:lang w:val="sr-Latn-ME"/>
        </w:rPr>
      </w:pPr>
      <w:r w:rsidRPr="00CA6CBA">
        <w:rPr>
          <w:sz w:val="22"/>
          <w:szCs w:val="22"/>
          <w:lang w:val="sr-Latn-ME"/>
        </w:rPr>
        <w:t xml:space="preserve">Efikasnost i bezbjednost lijeka Azopt kod </w:t>
      </w:r>
      <w:r w:rsidR="003263EC" w:rsidRPr="00CA6CBA">
        <w:rPr>
          <w:sz w:val="22"/>
          <w:szCs w:val="22"/>
          <w:lang w:val="sr-Latn-ME"/>
        </w:rPr>
        <w:t xml:space="preserve">novorođenčadi, djece i adolescenata </w:t>
      </w:r>
      <w:r w:rsidRPr="00CA6CBA">
        <w:rPr>
          <w:sz w:val="22"/>
          <w:szCs w:val="22"/>
          <w:lang w:val="sr-Latn-ME"/>
        </w:rPr>
        <w:t xml:space="preserve">starosti od 0 do 17 godina nije utvrđena. </w:t>
      </w:r>
      <w:r w:rsidRPr="00CA6CBA">
        <w:rPr>
          <w:bCs/>
          <w:sz w:val="22"/>
          <w:szCs w:val="22"/>
          <w:lang w:val="sr-Latn-ME"/>
        </w:rPr>
        <w:t>Trenutno raspoloživi podaci opisani su u dijelu 4.8 i 5.1. Ne preporučuje se primjena lijeka AZOPT kod novorođenčadi, djece i adolescenata.</w:t>
      </w:r>
    </w:p>
    <w:p w14:paraId="4F583495" w14:textId="77777777" w:rsidR="00C2694B" w:rsidRPr="00CA6CBA" w:rsidRDefault="00C2694B" w:rsidP="00E763DD">
      <w:pPr>
        <w:jc w:val="both"/>
        <w:rPr>
          <w:sz w:val="22"/>
          <w:szCs w:val="22"/>
          <w:u w:val="single"/>
          <w:lang w:val="sr-Latn-ME"/>
        </w:rPr>
      </w:pPr>
    </w:p>
    <w:p w14:paraId="05E60E9A" w14:textId="77777777" w:rsidR="00C2694B" w:rsidRPr="00CA6CBA" w:rsidRDefault="00C2694B" w:rsidP="00E763DD">
      <w:pPr>
        <w:jc w:val="both"/>
        <w:rPr>
          <w:sz w:val="22"/>
          <w:szCs w:val="22"/>
          <w:u w:val="single"/>
          <w:lang w:val="sr-Latn-ME"/>
        </w:rPr>
      </w:pPr>
      <w:r w:rsidRPr="00CA6CBA">
        <w:rPr>
          <w:sz w:val="22"/>
          <w:szCs w:val="22"/>
          <w:u w:val="single"/>
          <w:lang w:val="sr-Latn-ME"/>
        </w:rPr>
        <w:t>Način primjene</w:t>
      </w:r>
    </w:p>
    <w:p w14:paraId="65CACE95" w14:textId="77777777" w:rsidR="00C2694B" w:rsidRPr="00CA6CBA" w:rsidRDefault="00C2694B" w:rsidP="00E763DD">
      <w:pPr>
        <w:jc w:val="both"/>
        <w:rPr>
          <w:sz w:val="22"/>
          <w:szCs w:val="22"/>
          <w:u w:val="single"/>
          <w:lang w:val="sr-Latn-ME"/>
        </w:rPr>
      </w:pPr>
    </w:p>
    <w:p w14:paraId="30642384" w14:textId="1B93780D" w:rsidR="00C2694B" w:rsidRPr="00CA6CBA" w:rsidRDefault="00C2694B" w:rsidP="00E763DD">
      <w:pPr>
        <w:jc w:val="both"/>
        <w:rPr>
          <w:sz w:val="22"/>
          <w:szCs w:val="22"/>
          <w:lang w:val="sr-Latn-ME"/>
        </w:rPr>
      </w:pPr>
      <w:r w:rsidRPr="00CA6CBA">
        <w:rPr>
          <w:sz w:val="22"/>
          <w:szCs w:val="22"/>
          <w:lang w:val="sr-Latn-ME"/>
        </w:rPr>
        <w:t xml:space="preserve">Za okularnu </w:t>
      </w:r>
      <w:r w:rsidR="00140FC3" w:rsidRPr="00CA6CBA">
        <w:rPr>
          <w:sz w:val="22"/>
          <w:szCs w:val="22"/>
          <w:lang w:val="sr-Latn-ME"/>
        </w:rPr>
        <w:t>prim</w:t>
      </w:r>
      <w:r w:rsidR="00364F04" w:rsidRPr="00CA6CBA">
        <w:rPr>
          <w:sz w:val="22"/>
          <w:szCs w:val="22"/>
          <w:lang w:val="sr-Latn-ME"/>
        </w:rPr>
        <w:t>j</w:t>
      </w:r>
      <w:r w:rsidR="00140FC3" w:rsidRPr="00CA6CBA">
        <w:rPr>
          <w:sz w:val="22"/>
          <w:szCs w:val="22"/>
          <w:lang w:val="sr-Latn-ME"/>
        </w:rPr>
        <w:t>enu</w:t>
      </w:r>
      <w:r w:rsidRPr="00CA6CBA">
        <w:rPr>
          <w:sz w:val="22"/>
          <w:szCs w:val="22"/>
          <w:lang w:val="sr-Latn-ME"/>
        </w:rPr>
        <w:t>.</w:t>
      </w:r>
    </w:p>
    <w:p w14:paraId="0CB33C53" w14:textId="77777777" w:rsidR="00C2694B" w:rsidRPr="00CA6CBA" w:rsidRDefault="00C2694B">
      <w:pPr>
        <w:jc w:val="both"/>
        <w:rPr>
          <w:sz w:val="22"/>
          <w:szCs w:val="22"/>
          <w:lang w:val="sr-Latn-ME"/>
        </w:rPr>
      </w:pPr>
    </w:p>
    <w:p w14:paraId="531DE690" w14:textId="768CFB21" w:rsidR="00C2694B" w:rsidRPr="00CA6CBA" w:rsidRDefault="00C2694B">
      <w:pPr>
        <w:jc w:val="both"/>
        <w:rPr>
          <w:sz w:val="22"/>
          <w:szCs w:val="22"/>
          <w:lang w:val="sr-Latn-ME"/>
        </w:rPr>
      </w:pPr>
      <w:r w:rsidRPr="00CA6CBA">
        <w:rPr>
          <w:sz w:val="22"/>
          <w:szCs w:val="22"/>
          <w:lang w:val="sr-Latn-ME"/>
        </w:rPr>
        <w:t>Savjetuju se okluzija nazolakrimalnog kanala ili nježno zatvaranje očnog kapka nakon ukapavanja lijeka. Ovim može da se smanji sistemska resorpcija ljekova prim</w:t>
      </w:r>
      <w:r w:rsidR="00CE15C2" w:rsidRPr="00CA6CBA">
        <w:rPr>
          <w:sz w:val="22"/>
          <w:szCs w:val="22"/>
          <w:lang w:val="sr-Latn-ME"/>
        </w:rPr>
        <w:t>i</w:t>
      </w:r>
      <w:r w:rsidRPr="00CA6CBA">
        <w:rPr>
          <w:sz w:val="22"/>
          <w:szCs w:val="22"/>
          <w:lang w:val="sr-Latn-ME"/>
        </w:rPr>
        <w:t>jenjenih okularnim putem, kao i sistemska neželjena dejstva.</w:t>
      </w:r>
    </w:p>
    <w:p w14:paraId="3D22F4CF" w14:textId="77777777" w:rsidR="00C2694B" w:rsidRPr="00CA6CBA" w:rsidRDefault="00C2694B">
      <w:pPr>
        <w:jc w:val="both"/>
        <w:rPr>
          <w:sz w:val="22"/>
          <w:szCs w:val="22"/>
          <w:lang w:val="sr-Latn-ME"/>
        </w:rPr>
      </w:pPr>
    </w:p>
    <w:p w14:paraId="01168285" w14:textId="77777777" w:rsidR="00C2694B" w:rsidRPr="00CA6CBA" w:rsidRDefault="00C2694B">
      <w:pPr>
        <w:autoSpaceDE w:val="0"/>
        <w:autoSpaceDN w:val="0"/>
        <w:adjustRightInd w:val="0"/>
        <w:jc w:val="both"/>
        <w:rPr>
          <w:sz w:val="22"/>
          <w:szCs w:val="22"/>
          <w:lang w:val="sr-Latn-ME"/>
        </w:rPr>
      </w:pPr>
      <w:r w:rsidRPr="00CA6CBA">
        <w:rPr>
          <w:sz w:val="22"/>
          <w:szCs w:val="22"/>
          <w:lang w:val="sr-Latn-ME"/>
        </w:rPr>
        <w:t>Posavjetujte pacijenta da bočicu dobro promućka prije upotrebe. Po skidanju zatvarača, ukoliko je sigurnosni prsten olabavljen, treba ga ukloniti prije nego što se upotrijebi lijek.</w:t>
      </w:r>
    </w:p>
    <w:p w14:paraId="5799C935" w14:textId="77777777" w:rsidR="00C2694B" w:rsidRPr="00CA6CBA" w:rsidRDefault="00C2694B">
      <w:pPr>
        <w:autoSpaceDE w:val="0"/>
        <w:autoSpaceDN w:val="0"/>
        <w:adjustRightInd w:val="0"/>
        <w:jc w:val="both"/>
        <w:rPr>
          <w:sz w:val="22"/>
          <w:szCs w:val="22"/>
          <w:lang w:val="sr-Latn-ME"/>
        </w:rPr>
      </w:pPr>
    </w:p>
    <w:p w14:paraId="41C8EC7E" w14:textId="77777777" w:rsidR="00C2694B" w:rsidRPr="00CA6CBA" w:rsidRDefault="00C2694B">
      <w:pPr>
        <w:autoSpaceDE w:val="0"/>
        <w:autoSpaceDN w:val="0"/>
        <w:adjustRightInd w:val="0"/>
        <w:jc w:val="both"/>
        <w:rPr>
          <w:sz w:val="22"/>
          <w:szCs w:val="22"/>
          <w:lang w:val="sr-Latn-ME"/>
        </w:rPr>
      </w:pPr>
      <w:r w:rsidRPr="00CA6CBA">
        <w:rPr>
          <w:sz w:val="22"/>
          <w:szCs w:val="22"/>
          <w:lang w:val="sr-Latn-ME"/>
        </w:rPr>
        <w:t>Da bi se izbjegla kontaminacija vrha kapaljke kao i suspenzije, trebalo bi paziti da se vrhom kapaljke na bočici ne dodirnu očni kapci, okolna tkiva ili bilo koje druge površine. Bočicu držati čvrsto zatvorenu kad nije u upotrebi.</w:t>
      </w:r>
    </w:p>
    <w:p w14:paraId="542574D7" w14:textId="77777777" w:rsidR="00C2694B" w:rsidRPr="00CA6CBA" w:rsidRDefault="00C2694B">
      <w:pPr>
        <w:jc w:val="both"/>
        <w:rPr>
          <w:sz w:val="22"/>
          <w:szCs w:val="22"/>
          <w:u w:val="single"/>
          <w:lang w:val="sr-Latn-ME"/>
        </w:rPr>
      </w:pPr>
    </w:p>
    <w:p w14:paraId="3C00387E" w14:textId="0CB3EDEF" w:rsidR="00C2694B" w:rsidRPr="00CA6CBA" w:rsidRDefault="00C2694B">
      <w:pPr>
        <w:jc w:val="both"/>
        <w:rPr>
          <w:sz w:val="22"/>
          <w:szCs w:val="22"/>
          <w:lang w:val="sr-Latn-ME"/>
        </w:rPr>
      </w:pPr>
      <w:r w:rsidRPr="00CA6CBA">
        <w:rPr>
          <w:sz w:val="22"/>
          <w:szCs w:val="22"/>
          <w:lang w:val="sr-Latn-ME"/>
        </w:rPr>
        <w:t>Kada se drugi oftamološki lijek za liječenje glaukoma zam</w:t>
      </w:r>
      <w:r w:rsidR="00A34CA5" w:rsidRPr="00CA6CBA">
        <w:rPr>
          <w:sz w:val="22"/>
          <w:szCs w:val="22"/>
          <w:lang w:val="sr-Latn-ME"/>
        </w:rPr>
        <w:t>j</w:t>
      </w:r>
      <w:r w:rsidRPr="00CA6CBA">
        <w:rPr>
          <w:sz w:val="22"/>
          <w:szCs w:val="22"/>
          <w:lang w:val="sr-Latn-ME"/>
        </w:rPr>
        <w:t>enjuje lijekom Azopt, treba prekinuti sa primjenom tog lijeka, a primjenu lijeka Azopt</w:t>
      </w:r>
      <w:r w:rsidRPr="00CA6CBA">
        <w:rPr>
          <w:bCs/>
          <w:sz w:val="22"/>
          <w:szCs w:val="22"/>
          <w:lang w:val="sr-Latn-ME"/>
        </w:rPr>
        <w:t xml:space="preserve"> započeti sljedećeg dana</w:t>
      </w:r>
      <w:r w:rsidRPr="00CA6CBA">
        <w:rPr>
          <w:sz w:val="22"/>
          <w:szCs w:val="22"/>
          <w:lang w:val="sr-Latn-ME"/>
        </w:rPr>
        <w:t xml:space="preserve">. </w:t>
      </w:r>
    </w:p>
    <w:p w14:paraId="6F841230" w14:textId="77777777" w:rsidR="00C2694B" w:rsidRPr="00CA6CBA" w:rsidRDefault="00C2694B">
      <w:pPr>
        <w:jc w:val="both"/>
        <w:rPr>
          <w:sz w:val="22"/>
          <w:szCs w:val="22"/>
          <w:lang w:val="sr-Latn-ME"/>
        </w:rPr>
      </w:pPr>
    </w:p>
    <w:p w14:paraId="38BAA22A" w14:textId="615F8AED" w:rsidR="00C2694B" w:rsidRPr="00CA6CBA" w:rsidRDefault="00C2694B">
      <w:pPr>
        <w:jc w:val="both"/>
        <w:rPr>
          <w:sz w:val="22"/>
          <w:szCs w:val="22"/>
          <w:lang w:val="sr-Latn-ME"/>
        </w:rPr>
      </w:pPr>
      <w:r w:rsidRPr="00CA6CBA">
        <w:rPr>
          <w:sz w:val="22"/>
          <w:szCs w:val="22"/>
          <w:lang w:val="sr-Latn-ME"/>
        </w:rPr>
        <w:t xml:space="preserve">U slučaju primjene više od jednog </w:t>
      </w:r>
      <w:r w:rsidR="00140FC3" w:rsidRPr="00CA6CBA">
        <w:rPr>
          <w:sz w:val="22"/>
          <w:szCs w:val="22"/>
          <w:lang w:val="sr-Latn-ME"/>
        </w:rPr>
        <w:t>oftalmološkog l</w:t>
      </w:r>
      <w:r w:rsidR="00364F04" w:rsidRPr="00CA6CBA">
        <w:rPr>
          <w:sz w:val="22"/>
          <w:szCs w:val="22"/>
          <w:lang w:val="sr-Latn-ME"/>
        </w:rPr>
        <w:t>ij</w:t>
      </w:r>
      <w:r w:rsidR="00140FC3" w:rsidRPr="00CA6CBA">
        <w:rPr>
          <w:sz w:val="22"/>
          <w:szCs w:val="22"/>
          <w:lang w:val="sr-Latn-ME"/>
        </w:rPr>
        <w:t>eka za topikalnu prim</w:t>
      </w:r>
      <w:r w:rsidR="00364F04" w:rsidRPr="00CA6CBA">
        <w:rPr>
          <w:sz w:val="22"/>
          <w:szCs w:val="22"/>
          <w:lang w:val="sr-Latn-ME"/>
        </w:rPr>
        <w:t>j</w:t>
      </w:r>
      <w:r w:rsidR="00140FC3" w:rsidRPr="00CA6CBA">
        <w:rPr>
          <w:sz w:val="22"/>
          <w:szCs w:val="22"/>
          <w:lang w:val="sr-Latn-ME"/>
        </w:rPr>
        <w:t>enu</w:t>
      </w:r>
      <w:r w:rsidRPr="00CA6CBA">
        <w:rPr>
          <w:sz w:val="22"/>
          <w:szCs w:val="22"/>
          <w:lang w:val="sr-Latn-ME"/>
        </w:rPr>
        <w:t xml:space="preserve">, neophodan je interval od bar 5 minuta između primjene različitih </w:t>
      </w:r>
      <w:r w:rsidR="00A34CA5" w:rsidRPr="00CA6CBA">
        <w:rPr>
          <w:sz w:val="22"/>
          <w:szCs w:val="22"/>
          <w:lang w:val="sr-Latn-ME"/>
        </w:rPr>
        <w:t>ljekova</w:t>
      </w:r>
      <w:r w:rsidRPr="00CA6CBA">
        <w:rPr>
          <w:sz w:val="22"/>
          <w:szCs w:val="22"/>
          <w:lang w:val="sr-Latn-ME"/>
        </w:rPr>
        <w:t>. Masti za oči treba staviti posljednje.</w:t>
      </w:r>
    </w:p>
    <w:p w14:paraId="6AEC004B" w14:textId="77777777" w:rsidR="00C2694B" w:rsidRPr="00CA6CBA" w:rsidRDefault="00C2694B">
      <w:pPr>
        <w:jc w:val="both"/>
        <w:rPr>
          <w:sz w:val="22"/>
          <w:szCs w:val="22"/>
          <w:lang w:val="sr-Latn-ME"/>
        </w:rPr>
      </w:pPr>
    </w:p>
    <w:p w14:paraId="7AD431AE" w14:textId="77777777" w:rsidR="00C2694B" w:rsidRPr="00CA6CBA" w:rsidRDefault="00C2694B">
      <w:pPr>
        <w:jc w:val="both"/>
        <w:rPr>
          <w:sz w:val="22"/>
          <w:szCs w:val="22"/>
          <w:lang w:val="sr-Latn-ME"/>
        </w:rPr>
      </w:pPr>
      <w:r w:rsidRPr="00CA6CBA">
        <w:rPr>
          <w:sz w:val="22"/>
          <w:szCs w:val="22"/>
          <w:lang w:val="sr-Latn-ME"/>
        </w:rPr>
        <w:t xml:space="preserve">Ukoliko zaboravite da stavite </w:t>
      </w:r>
      <w:r w:rsidRPr="00CA6CBA">
        <w:rPr>
          <w:rFonts w:eastAsia="HelveticaNeueLTPro-Bd"/>
          <w:sz w:val="22"/>
          <w:szCs w:val="22"/>
          <w:lang w:val="sr-Latn-ME"/>
        </w:rPr>
        <w:t>Azopt</w:t>
      </w:r>
      <w:r w:rsidRPr="00CA6CBA">
        <w:rPr>
          <w:sz w:val="22"/>
          <w:szCs w:val="22"/>
          <w:lang w:val="sr-Latn-ME"/>
        </w:rPr>
        <w:t xml:space="preserve"> kapi, treba nastaviti sa sljedećom dozom po planu. Doza ne treba da bude veća od 1 kapi u oboljelo oko/oči tri puta dnevno.</w:t>
      </w:r>
    </w:p>
    <w:p w14:paraId="6B4FF5BC" w14:textId="6C9E96FA" w:rsidR="00452E9D" w:rsidRPr="00CA6CBA" w:rsidRDefault="00452E9D" w:rsidP="00035899">
      <w:pPr>
        <w:tabs>
          <w:tab w:val="left" w:pos="540"/>
          <w:tab w:val="left" w:pos="569"/>
        </w:tabs>
        <w:jc w:val="both"/>
        <w:rPr>
          <w:bCs/>
          <w:sz w:val="22"/>
          <w:szCs w:val="22"/>
          <w:lang w:val="sr-Latn-ME"/>
        </w:rPr>
      </w:pPr>
    </w:p>
    <w:p w14:paraId="759329E6" w14:textId="77777777" w:rsidR="00411B4B" w:rsidRPr="00CA6CBA" w:rsidRDefault="00411B4B" w:rsidP="00035899">
      <w:pPr>
        <w:tabs>
          <w:tab w:val="left" w:pos="540"/>
          <w:tab w:val="left" w:pos="569"/>
        </w:tabs>
        <w:jc w:val="both"/>
        <w:rPr>
          <w:b/>
          <w:bCs/>
          <w:sz w:val="22"/>
          <w:szCs w:val="22"/>
          <w:lang w:val="sr-Latn-ME"/>
        </w:rPr>
      </w:pPr>
      <w:r w:rsidRPr="00CA6CBA">
        <w:rPr>
          <w:b/>
          <w:bCs/>
          <w:sz w:val="22"/>
          <w:szCs w:val="22"/>
          <w:lang w:val="sr-Latn-ME"/>
        </w:rPr>
        <w:t xml:space="preserve">4.3. </w:t>
      </w:r>
      <w:r w:rsidR="00480FB1" w:rsidRPr="00CA6CBA">
        <w:rPr>
          <w:b/>
          <w:bCs/>
          <w:sz w:val="22"/>
          <w:szCs w:val="22"/>
          <w:lang w:val="sr-Latn-ME"/>
        </w:rPr>
        <w:tab/>
      </w:r>
      <w:r w:rsidRPr="00CA6CBA">
        <w:rPr>
          <w:b/>
          <w:bCs/>
          <w:sz w:val="22"/>
          <w:szCs w:val="22"/>
          <w:lang w:val="sr-Latn-ME"/>
        </w:rPr>
        <w:t>Kontraindikacije</w:t>
      </w:r>
    </w:p>
    <w:p w14:paraId="29BB5F75" w14:textId="6001E73B" w:rsidR="0072020E" w:rsidRPr="00CA6CBA" w:rsidRDefault="0072020E" w:rsidP="00035899">
      <w:pPr>
        <w:tabs>
          <w:tab w:val="left" w:pos="540"/>
          <w:tab w:val="left" w:pos="569"/>
        </w:tabs>
        <w:jc w:val="both"/>
        <w:rPr>
          <w:bCs/>
          <w:sz w:val="22"/>
          <w:szCs w:val="22"/>
          <w:lang w:val="sr-Latn-ME"/>
        </w:rPr>
      </w:pPr>
    </w:p>
    <w:p w14:paraId="09E2CAB1" w14:textId="1C8A9BE7" w:rsidR="00C2694B" w:rsidRPr="00CA6CBA" w:rsidRDefault="00C2694B" w:rsidP="00A34CA5">
      <w:pPr>
        <w:pStyle w:val="Header"/>
        <w:tabs>
          <w:tab w:val="left" w:pos="284"/>
        </w:tabs>
        <w:ind w:right="-566"/>
        <w:rPr>
          <w:sz w:val="22"/>
          <w:szCs w:val="22"/>
          <w:lang w:val="sr-Latn-ME"/>
        </w:rPr>
      </w:pPr>
      <w:r w:rsidRPr="00CA6CBA">
        <w:rPr>
          <w:sz w:val="22"/>
          <w:szCs w:val="22"/>
          <w:lang w:val="sr-Latn-ME"/>
        </w:rPr>
        <w:t xml:space="preserve">• Preosjetljivost na brinzolamid ili bilo koju pomoćnu supstancu koja je navedena u dijelu  6.1. </w:t>
      </w:r>
      <w:r w:rsidRPr="00CA6CBA">
        <w:rPr>
          <w:sz w:val="22"/>
          <w:szCs w:val="22"/>
          <w:lang w:val="sr-Latn-ME"/>
        </w:rPr>
        <w:br/>
        <w:t>• Poznata preosjetljivost na sulfonamide (</w:t>
      </w:r>
      <w:r w:rsidR="00761E64" w:rsidRPr="00CA6CBA">
        <w:rPr>
          <w:sz w:val="22"/>
          <w:szCs w:val="22"/>
          <w:lang w:val="sr-Latn-ME"/>
        </w:rPr>
        <w:t>v</w:t>
      </w:r>
      <w:r w:rsidRPr="00CA6CBA">
        <w:rPr>
          <w:sz w:val="22"/>
          <w:szCs w:val="22"/>
          <w:lang w:val="sr-Latn-ME"/>
        </w:rPr>
        <w:t xml:space="preserve">idjeti i dio  4.4). </w:t>
      </w:r>
      <w:r w:rsidRPr="00CA6CBA">
        <w:rPr>
          <w:sz w:val="22"/>
          <w:szCs w:val="22"/>
          <w:lang w:val="sr-Latn-ME"/>
        </w:rPr>
        <w:br/>
        <w:t xml:space="preserve">• Teško oštećenje bubrega. </w:t>
      </w:r>
      <w:r w:rsidRPr="00CA6CBA">
        <w:rPr>
          <w:sz w:val="22"/>
          <w:szCs w:val="22"/>
          <w:lang w:val="sr-Latn-ME"/>
        </w:rPr>
        <w:br/>
        <w:t xml:space="preserve">• Hiperhloremijska acidoza. </w:t>
      </w:r>
    </w:p>
    <w:p w14:paraId="4410B7FF" w14:textId="77777777" w:rsidR="004B54F9" w:rsidRPr="00CA6CBA" w:rsidRDefault="004B54F9" w:rsidP="00035899">
      <w:pPr>
        <w:tabs>
          <w:tab w:val="left" w:pos="540"/>
          <w:tab w:val="left" w:pos="569"/>
        </w:tabs>
        <w:jc w:val="both"/>
        <w:rPr>
          <w:bCs/>
          <w:sz w:val="22"/>
          <w:szCs w:val="22"/>
          <w:lang w:val="sr-Latn-ME"/>
        </w:rPr>
      </w:pPr>
    </w:p>
    <w:p w14:paraId="1449CB92" w14:textId="77777777" w:rsidR="00411B4B" w:rsidRPr="00CA6CBA" w:rsidRDefault="00411B4B" w:rsidP="00035899">
      <w:pPr>
        <w:tabs>
          <w:tab w:val="left" w:pos="540"/>
          <w:tab w:val="left" w:pos="569"/>
        </w:tabs>
        <w:jc w:val="both"/>
        <w:rPr>
          <w:b/>
          <w:bCs/>
          <w:sz w:val="22"/>
          <w:szCs w:val="22"/>
          <w:lang w:val="sr-Latn-ME"/>
        </w:rPr>
      </w:pPr>
      <w:r w:rsidRPr="00CA6CBA">
        <w:rPr>
          <w:b/>
          <w:bCs/>
          <w:sz w:val="22"/>
          <w:szCs w:val="22"/>
          <w:lang w:val="sr-Latn-ME"/>
        </w:rPr>
        <w:t xml:space="preserve">4.4. </w:t>
      </w:r>
      <w:r w:rsidR="00480FB1" w:rsidRPr="00CA6CBA">
        <w:rPr>
          <w:b/>
          <w:bCs/>
          <w:sz w:val="22"/>
          <w:szCs w:val="22"/>
          <w:lang w:val="sr-Latn-ME"/>
        </w:rPr>
        <w:tab/>
      </w:r>
      <w:r w:rsidRPr="00CA6CBA">
        <w:rPr>
          <w:b/>
          <w:bCs/>
          <w:sz w:val="22"/>
          <w:szCs w:val="22"/>
          <w:lang w:val="sr-Latn-ME"/>
        </w:rPr>
        <w:t>Posebna upozorenja i mjere opreza pri upotrebi lijeka</w:t>
      </w:r>
    </w:p>
    <w:p w14:paraId="6E135F20" w14:textId="374DEC22" w:rsidR="0072020E" w:rsidRPr="00CA6CBA" w:rsidRDefault="0072020E" w:rsidP="00035899">
      <w:pPr>
        <w:tabs>
          <w:tab w:val="left" w:pos="540"/>
          <w:tab w:val="left" w:pos="569"/>
        </w:tabs>
        <w:jc w:val="both"/>
        <w:rPr>
          <w:bCs/>
          <w:sz w:val="22"/>
          <w:szCs w:val="22"/>
          <w:lang w:val="sr-Latn-ME"/>
        </w:rPr>
      </w:pPr>
    </w:p>
    <w:p w14:paraId="4ECEDB0A" w14:textId="77777777" w:rsidR="00C2694B" w:rsidRPr="00CA6CBA" w:rsidRDefault="00C2694B" w:rsidP="00CE15C2">
      <w:pPr>
        <w:jc w:val="both"/>
        <w:rPr>
          <w:sz w:val="22"/>
          <w:szCs w:val="22"/>
          <w:u w:val="single"/>
          <w:lang w:val="sr-Latn-ME"/>
        </w:rPr>
      </w:pPr>
      <w:r w:rsidRPr="00CA6CBA">
        <w:rPr>
          <w:sz w:val="22"/>
          <w:szCs w:val="22"/>
          <w:u w:val="single"/>
          <w:lang w:val="sr-Latn-ME"/>
        </w:rPr>
        <w:t>Sistemski efekti</w:t>
      </w:r>
    </w:p>
    <w:p w14:paraId="70B5E52C" w14:textId="77777777" w:rsidR="00C2694B" w:rsidRPr="00CA6CBA" w:rsidRDefault="00C2694B" w:rsidP="00CE15C2">
      <w:pPr>
        <w:jc w:val="both"/>
        <w:rPr>
          <w:sz w:val="22"/>
          <w:szCs w:val="22"/>
          <w:u w:val="single"/>
          <w:lang w:val="sr-Latn-ME"/>
        </w:rPr>
      </w:pPr>
    </w:p>
    <w:p w14:paraId="0D25C153" w14:textId="16E1A50B" w:rsidR="00C2694B" w:rsidRPr="00CA6CBA" w:rsidRDefault="00C2694B" w:rsidP="00CE15C2">
      <w:pPr>
        <w:jc w:val="both"/>
        <w:rPr>
          <w:sz w:val="22"/>
          <w:szCs w:val="22"/>
          <w:lang w:val="sr-Latn-ME"/>
        </w:rPr>
      </w:pPr>
      <w:r w:rsidRPr="00CA6CBA">
        <w:rPr>
          <w:sz w:val="22"/>
          <w:szCs w:val="22"/>
          <w:lang w:val="sr-Latn-ME"/>
        </w:rPr>
        <w:t xml:space="preserve">Azopt je sulfonamidski inhibitor karboanhidraze koji se sistemski resorbuje i kada se primjenjuje topikalno. </w:t>
      </w:r>
      <w:r w:rsidR="00140FC3" w:rsidRPr="00CA6CBA">
        <w:rPr>
          <w:sz w:val="22"/>
          <w:szCs w:val="22"/>
          <w:lang w:val="sr-Latn-ME"/>
        </w:rPr>
        <w:t xml:space="preserve">Ista </w:t>
      </w:r>
      <w:r w:rsidRPr="00CA6CBA">
        <w:rPr>
          <w:sz w:val="22"/>
          <w:szCs w:val="22"/>
          <w:lang w:val="sr-Latn-ME"/>
        </w:rPr>
        <w:t xml:space="preserve">neželjena dejstva koja se </w:t>
      </w:r>
      <w:r w:rsidR="00140FC3" w:rsidRPr="00CA6CBA">
        <w:rPr>
          <w:sz w:val="22"/>
          <w:szCs w:val="22"/>
          <w:lang w:val="sr-Latn-ME"/>
        </w:rPr>
        <w:t>povezuju sa prim</w:t>
      </w:r>
      <w:r w:rsidR="00364F04" w:rsidRPr="00CA6CBA">
        <w:rPr>
          <w:sz w:val="22"/>
          <w:szCs w:val="22"/>
          <w:lang w:val="sr-Latn-ME"/>
        </w:rPr>
        <w:t>j</w:t>
      </w:r>
      <w:r w:rsidR="00140FC3" w:rsidRPr="00CA6CBA">
        <w:rPr>
          <w:sz w:val="22"/>
          <w:szCs w:val="22"/>
          <w:lang w:val="sr-Latn-ME"/>
        </w:rPr>
        <w:t>enom</w:t>
      </w:r>
      <w:r w:rsidRPr="00CA6CBA">
        <w:rPr>
          <w:sz w:val="22"/>
          <w:szCs w:val="22"/>
          <w:lang w:val="sr-Latn-ME"/>
        </w:rPr>
        <w:t xml:space="preserve"> sulfonamidia </w:t>
      </w:r>
      <w:r w:rsidR="00140FC3" w:rsidRPr="00CA6CBA">
        <w:rPr>
          <w:sz w:val="22"/>
          <w:szCs w:val="22"/>
          <w:lang w:val="sr-Latn-ME"/>
        </w:rPr>
        <w:t xml:space="preserve">se mogu javiti </w:t>
      </w:r>
      <w:r w:rsidRPr="00CA6CBA">
        <w:rPr>
          <w:sz w:val="22"/>
          <w:szCs w:val="22"/>
          <w:lang w:val="sr-Latn-ME"/>
        </w:rPr>
        <w:t>i kod topikalne primjene</w:t>
      </w:r>
      <w:r w:rsidR="00140FC3" w:rsidRPr="00CA6CBA">
        <w:rPr>
          <w:sz w:val="22"/>
          <w:szCs w:val="22"/>
          <w:lang w:val="sr-Latn-ME"/>
        </w:rPr>
        <w:t>, uključujući Stevens</w:t>
      </w:r>
      <w:r w:rsidR="00140FC3" w:rsidRPr="00CA6CBA">
        <w:rPr>
          <w:sz w:val="22"/>
          <w:szCs w:val="22"/>
          <w:lang w:val="sr-Latn-ME"/>
        </w:rPr>
        <w:noBreakHyphen/>
        <w:t>Johnsonov sindrom (SJS) i toksičnu epidermalnu nekrolizu (TEN). Nakon propisivanja l</w:t>
      </w:r>
      <w:r w:rsidR="00364F04" w:rsidRPr="00CA6CBA">
        <w:rPr>
          <w:sz w:val="22"/>
          <w:szCs w:val="22"/>
          <w:lang w:val="sr-Latn-ME"/>
        </w:rPr>
        <w:t>ij</w:t>
      </w:r>
      <w:r w:rsidR="00140FC3" w:rsidRPr="00CA6CBA">
        <w:rPr>
          <w:sz w:val="22"/>
          <w:szCs w:val="22"/>
          <w:lang w:val="sr-Latn-ME"/>
        </w:rPr>
        <w:t>eka, pacijente treba uputiti na pojavu znaka i simptoma i pažljivo pratiti zbog pojave kožnih reakcija.</w:t>
      </w:r>
      <w:r w:rsidRPr="00CA6CBA">
        <w:rPr>
          <w:sz w:val="22"/>
          <w:szCs w:val="22"/>
          <w:lang w:val="sr-Latn-ME"/>
        </w:rPr>
        <w:t>. Ukoliko se jave znaci ozbiljnih neželjenih dejstava</w:t>
      </w:r>
      <w:r w:rsidR="00140FC3" w:rsidRPr="00CA6CBA">
        <w:rPr>
          <w:sz w:val="22"/>
          <w:szCs w:val="22"/>
          <w:lang w:val="sr-Latn-ME"/>
        </w:rPr>
        <w:t xml:space="preserve"> ili preos</w:t>
      </w:r>
      <w:r w:rsidR="00364F04" w:rsidRPr="00CA6CBA">
        <w:rPr>
          <w:sz w:val="22"/>
          <w:szCs w:val="22"/>
          <w:lang w:val="sr-Latn-ME"/>
        </w:rPr>
        <w:t>j</w:t>
      </w:r>
      <w:r w:rsidR="00140FC3" w:rsidRPr="00CA6CBA">
        <w:rPr>
          <w:sz w:val="22"/>
          <w:szCs w:val="22"/>
          <w:lang w:val="sr-Latn-ME"/>
        </w:rPr>
        <w:t>etljivost, potrebno je odmah prekinuti sa prim</w:t>
      </w:r>
      <w:r w:rsidR="00364F04" w:rsidRPr="00CA6CBA">
        <w:rPr>
          <w:sz w:val="22"/>
          <w:szCs w:val="22"/>
          <w:lang w:val="sr-Latn-ME"/>
        </w:rPr>
        <w:t>j</w:t>
      </w:r>
      <w:r w:rsidR="00140FC3" w:rsidRPr="00CA6CBA">
        <w:rPr>
          <w:sz w:val="22"/>
          <w:szCs w:val="22"/>
          <w:lang w:val="sr-Latn-ME"/>
        </w:rPr>
        <w:t>enom l</w:t>
      </w:r>
      <w:r w:rsidR="00364F04" w:rsidRPr="00CA6CBA">
        <w:rPr>
          <w:sz w:val="22"/>
          <w:szCs w:val="22"/>
          <w:lang w:val="sr-Latn-ME"/>
        </w:rPr>
        <w:t>ij</w:t>
      </w:r>
      <w:r w:rsidR="00140FC3" w:rsidRPr="00CA6CBA">
        <w:rPr>
          <w:sz w:val="22"/>
          <w:szCs w:val="22"/>
          <w:lang w:val="sr-Latn-ME"/>
        </w:rPr>
        <w:t>eka Azopt</w:t>
      </w:r>
      <w:r w:rsidRPr="00CA6CBA">
        <w:rPr>
          <w:sz w:val="22"/>
          <w:szCs w:val="22"/>
          <w:lang w:val="sr-Latn-ME"/>
        </w:rPr>
        <w:t xml:space="preserve">. </w:t>
      </w:r>
    </w:p>
    <w:p w14:paraId="7C7635D6" w14:textId="77777777" w:rsidR="00C2694B" w:rsidRPr="00CA6CBA" w:rsidRDefault="00C2694B" w:rsidP="00A34CA5">
      <w:pPr>
        <w:jc w:val="both"/>
        <w:rPr>
          <w:sz w:val="22"/>
          <w:szCs w:val="22"/>
          <w:lang w:val="sr-Latn-ME"/>
        </w:rPr>
      </w:pPr>
    </w:p>
    <w:p w14:paraId="5DFC44C8" w14:textId="699C0241" w:rsidR="00C2694B" w:rsidRPr="00CA6CBA" w:rsidRDefault="00C2694B" w:rsidP="00E763DD">
      <w:pPr>
        <w:jc w:val="both"/>
        <w:rPr>
          <w:sz w:val="22"/>
          <w:szCs w:val="22"/>
          <w:lang w:val="sr-Latn-ME"/>
        </w:rPr>
      </w:pPr>
      <w:r w:rsidRPr="00CA6CBA">
        <w:rPr>
          <w:sz w:val="22"/>
          <w:szCs w:val="22"/>
          <w:lang w:val="sr-Latn-ME"/>
        </w:rPr>
        <w:t>Prijavljeni su acido-bazni poremećaji kod primjene oralnih inhibitora karboanhridaze. Oprezno koristiti kod pacijenata sa potencijalnim oštećenjem funkcije bubrega zbog mogućeg rizika od metaboličke acidoze (vidjeti dio 4.2).</w:t>
      </w:r>
    </w:p>
    <w:p w14:paraId="210F69BB" w14:textId="77777777" w:rsidR="00A34CA5" w:rsidRPr="00CA6CBA" w:rsidRDefault="00A34CA5">
      <w:pPr>
        <w:jc w:val="both"/>
        <w:rPr>
          <w:sz w:val="22"/>
          <w:szCs w:val="22"/>
          <w:lang w:val="sr-Latn-ME"/>
        </w:rPr>
      </w:pPr>
    </w:p>
    <w:p w14:paraId="31E7982E" w14:textId="246A849C" w:rsidR="00C2694B" w:rsidRPr="00CA6CBA" w:rsidRDefault="00C2694B">
      <w:pPr>
        <w:jc w:val="both"/>
        <w:rPr>
          <w:sz w:val="22"/>
          <w:szCs w:val="22"/>
          <w:lang w:val="sr-Latn-ME"/>
        </w:rPr>
      </w:pPr>
      <w:r w:rsidRPr="00CA6CBA">
        <w:rPr>
          <w:sz w:val="22"/>
          <w:szCs w:val="22"/>
          <w:lang w:val="sr-Latn-ME"/>
        </w:rPr>
        <w:t>Brinzolamid nije proučavan kod prijevremeno rođenih beba (manje od 36 nedjelja gestaci</w:t>
      </w:r>
      <w:r w:rsidR="00E763DD" w:rsidRPr="00CA6CBA">
        <w:rPr>
          <w:sz w:val="22"/>
          <w:szCs w:val="22"/>
          <w:lang w:val="sr-Latn-ME"/>
        </w:rPr>
        <w:t>one</w:t>
      </w:r>
      <w:r w:rsidRPr="00CA6CBA">
        <w:rPr>
          <w:sz w:val="22"/>
          <w:szCs w:val="22"/>
          <w:lang w:val="sr-Latn-ME"/>
        </w:rPr>
        <w:t xml:space="preserve"> starosti) ili kod novorođenčadi manje od 1 nedjelje starosti. Pacijenti sa značajnom nezrelošću ili </w:t>
      </w:r>
      <w:r w:rsidRPr="00CA6CBA">
        <w:rPr>
          <w:sz w:val="22"/>
          <w:szCs w:val="22"/>
          <w:lang w:val="sr-Latn-ME"/>
        </w:rPr>
        <w:lastRenderedPageBreak/>
        <w:t xml:space="preserve">abnormalnostima bubrega mogu da prime brinzolamid samo nakon pažljivog razmatranja odnosa koristi i rizika zbog mogućeg rizika od metaboličke acidize.   </w:t>
      </w:r>
    </w:p>
    <w:p w14:paraId="1CC5E94A" w14:textId="77777777" w:rsidR="00C2694B" w:rsidRPr="00CA6CBA" w:rsidRDefault="00C2694B">
      <w:pPr>
        <w:jc w:val="both"/>
        <w:rPr>
          <w:sz w:val="22"/>
          <w:szCs w:val="22"/>
          <w:lang w:val="sr-Latn-ME"/>
        </w:rPr>
      </w:pPr>
    </w:p>
    <w:p w14:paraId="6F9387C8" w14:textId="77777777" w:rsidR="00C2694B" w:rsidRPr="00CA6CBA" w:rsidRDefault="00C2694B">
      <w:pPr>
        <w:jc w:val="both"/>
        <w:rPr>
          <w:sz w:val="22"/>
          <w:szCs w:val="22"/>
          <w:lang w:val="sr-Latn-ME"/>
        </w:rPr>
      </w:pPr>
      <w:r w:rsidRPr="00CA6CBA">
        <w:rPr>
          <w:sz w:val="22"/>
          <w:szCs w:val="22"/>
          <w:lang w:val="sr-Latn-ME"/>
        </w:rPr>
        <w:t>Oralni inhibitori karboanhidraze mogu da umanje sposobnost obavljanja zadataka koji zahtijevaju mentalnu budnost i/ili fizičku koordinaciju. Azopt se resorbuje sistemski pa prema tome ovo može da se dogodi i pri topikalnoj primjeni.</w:t>
      </w:r>
    </w:p>
    <w:p w14:paraId="09CD03F0" w14:textId="77777777" w:rsidR="00C2694B" w:rsidRPr="00CA6CBA" w:rsidRDefault="00C2694B">
      <w:pPr>
        <w:jc w:val="both"/>
        <w:rPr>
          <w:sz w:val="22"/>
          <w:szCs w:val="22"/>
          <w:lang w:val="sr-Latn-ME"/>
        </w:rPr>
      </w:pPr>
    </w:p>
    <w:p w14:paraId="191CC078" w14:textId="77777777" w:rsidR="00C2694B" w:rsidRPr="00CA6CBA" w:rsidRDefault="00C2694B">
      <w:pPr>
        <w:jc w:val="both"/>
        <w:rPr>
          <w:sz w:val="22"/>
          <w:szCs w:val="22"/>
          <w:u w:val="single"/>
          <w:lang w:val="sr-Latn-ME"/>
        </w:rPr>
      </w:pPr>
      <w:r w:rsidRPr="00CA6CBA">
        <w:rPr>
          <w:sz w:val="22"/>
          <w:szCs w:val="22"/>
          <w:u w:val="single"/>
          <w:lang w:val="sr-Latn-ME"/>
        </w:rPr>
        <w:t>Istovremena terapija</w:t>
      </w:r>
    </w:p>
    <w:p w14:paraId="7F106A7F" w14:textId="77777777" w:rsidR="00C2694B" w:rsidRPr="00CA6CBA" w:rsidRDefault="00C2694B">
      <w:pPr>
        <w:jc w:val="both"/>
        <w:rPr>
          <w:sz w:val="22"/>
          <w:szCs w:val="22"/>
          <w:u w:val="single"/>
          <w:lang w:val="sr-Latn-ME"/>
        </w:rPr>
      </w:pPr>
    </w:p>
    <w:p w14:paraId="33D27F1A" w14:textId="2E8E5C31" w:rsidR="00C2694B" w:rsidRPr="00CA6CBA" w:rsidRDefault="00C2694B">
      <w:pPr>
        <w:jc w:val="both"/>
        <w:rPr>
          <w:sz w:val="22"/>
          <w:szCs w:val="22"/>
          <w:lang w:val="sr-Latn-ME"/>
        </w:rPr>
      </w:pPr>
      <w:r w:rsidRPr="00CA6CBA">
        <w:rPr>
          <w:sz w:val="22"/>
          <w:szCs w:val="22"/>
          <w:lang w:val="sr-Latn-ME"/>
        </w:rPr>
        <w:t xml:space="preserve">Postoji potencijal za aditivno dejstvo sa poznatim sistemskim dejstvima inhibicije karboanhidraze kod pacijenata koji uzimaju oralni inhibitor karboanhidraze i Azopt. Konkomitantna primjena lijeka Azopt i oralnih inhibitora  karboanhidraze nije proučavana i ne preporučuje se (vidjeti i </w:t>
      </w:r>
      <w:r w:rsidR="00E763DD" w:rsidRPr="00CA6CBA">
        <w:rPr>
          <w:sz w:val="22"/>
          <w:szCs w:val="22"/>
          <w:lang w:val="sr-Latn-ME"/>
        </w:rPr>
        <w:t>dio</w:t>
      </w:r>
      <w:r w:rsidRPr="00CA6CBA">
        <w:rPr>
          <w:sz w:val="22"/>
          <w:szCs w:val="22"/>
          <w:lang w:val="sr-Latn-ME"/>
        </w:rPr>
        <w:t xml:space="preserve"> 4.5). </w:t>
      </w:r>
    </w:p>
    <w:p w14:paraId="2D62D0C1" w14:textId="77777777" w:rsidR="00C2694B" w:rsidRPr="00CA6CBA" w:rsidRDefault="00C2694B">
      <w:pPr>
        <w:jc w:val="both"/>
        <w:rPr>
          <w:sz w:val="22"/>
          <w:szCs w:val="22"/>
          <w:lang w:val="sr-Latn-ME"/>
        </w:rPr>
      </w:pPr>
    </w:p>
    <w:p w14:paraId="42EF3A74" w14:textId="304C41EB" w:rsidR="00C2694B" w:rsidRPr="00CA6CBA" w:rsidRDefault="00C2694B">
      <w:pPr>
        <w:jc w:val="both"/>
        <w:rPr>
          <w:sz w:val="22"/>
          <w:szCs w:val="22"/>
          <w:lang w:val="sr-Latn-ME"/>
        </w:rPr>
      </w:pPr>
      <w:r w:rsidRPr="00CA6CBA">
        <w:rPr>
          <w:sz w:val="22"/>
          <w:szCs w:val="22"/>
          <w:lang w:val="sr-Latn-ME"/>
        </w:rPr>
        <w:t xml:space="preserve">Azopt je uglavnom </w:t>
      </w:r>
      <w:r w:rsidR="00E763DD" w:rsidRPr="00CA6CBA">
        <w:rPr>
          <w:sz w:val="22"/>
          <w:szCs w:val="22"/>
          <w:lang w:val="sr-Latn-ME"/>
        </w:rPr>
        <w:t>procjenjivan</w:t>
      </w:r>
      <w:r w:rsidRPr="00CA6CBA">
        <w:rPr>
          <w:sz w:val="22"/>
          <w:szCs w:val="22"/>
          <w:lang w:val="sr-Latn-ME"/>
        </w:rPr>
        <w:t xml:space="preserve"> kod istovremene primjene sa timololom u kombinovanoj terapiji glaukoma. Dodatno, proučavan je efekat smanjenja intraokularnog pritiska lijeka Azopt kao prateće terapije analogu prostaglandina, travoprostu. Ni</w:t>
      </w:r>
      <w:r w:rsidR="00E763DD" w:rsidRPr="00CA6CBA">
        <w:rPr>
          <w:sz w:val="22"/>
          <w:szCs w:val="22"/>
          <w:lang w:val="sr-Latn-ME"/>
        </w:rPr>
        <w:t>je</w:t>
      </w:r>
      <w:r w:rsidRPr="00CA6CBA">
        <w:rPr>
          <w:sz w:val="22"/>
          <w:szCs w:val="22"/>
          <w:lang w:val="sr-Latn-ME"/>
        </w:rPr>
        <w:t xml:space="preserve">su dostupni dugoročni podaci o upotrebi lijeka Azopt kao preteće terapije travoprostu (vidjeti i dio 5.1).  </w:t>
      </w:r>
    </w:p>
    <w:p w14:paraId="6EA252C6" w14:textId="77777777" w:rsidR="00C2694B" w:rsidRPr="00CA6CBA" w:rsidRDefault="00C2694B">
      <w:pPr>
        <w:jc w:val="both"/>
        <w:rPr>
          <w:sz w:val="22"/>
          <w:szCs w:val="22"/>
          <w:lang w:val="sr-Latn-ME"/>
        </w:rPr>
      </w:pPr>
    </w:p>
    <w:p w14:paraId="644E5F94" w14:textId="4CB23E9D" w:rsidR="00C2694B" w:rsidRPr="00CA6CBA" w:rsidRDefault="00C2694B">
      <w:pPr>
        <w:jc w:val="both"/>
        <w:rPr>
          <w:sz w:val="22"/>
          <w:szCs w:val="22"/>
          <w:lang w:val="sr-Latn-ME"/>
        </w:rPr>
      </w:pPr>
      <w:r w:rsidRPr="00CA6CBA">
        <w:rPr>
          <w:sz w:val="22"/>
          <w:szCs w:val="22"/>
          <w:lang w:val="sr-Latn-ME"/>
        </w:rPr>
        <w:t xml:space="preserve">Postoji ograničeno iskustvo sa lijekom Azopt u liječenju pacijenata sa pseudoeksfolijativnim glaukomom ili pigmentnim glaukomom. Potreban je oprez kod liječenja ovih pacijenata i preporučuje se pažljivo praćenje intraokularnog pritiska (IOP). Azopt nije ispitivan kod pacijenata sa glaukomom </w:t>
      </w:r>
      <w:r w:rsidR="004332C4" w:rsidRPr="00CA6CBA">
        <w:rPr>
          <w:sz w:val="22"/>
          <w:szCs w:val="22"/>
          <w:lang w:val="sr-Latn-ME"/>
        </w:rPr>
        <w:t>zatvorenog</w:t>
      </w:r>
      <w:r w:rsidRPr="00CA6CBA">
        <w:rPr>
          <w:sz w:val="22"/>
          <w:szCs w:val="22"/>
          <w:lang w:val="sr-Latn-ME"/>
        </w:rPr>
        <w:t xml:space="preserve"> ugla, pa se ne preporučije upotreba kod ovih pacijenata.</w:t>
      </w:r>
    </w:p>
    <w:p w14:paraId="2DB58F1A" w14:textId="6FFD8D6F" w:rsidR="00C2694B" w:rsidRPr="00CA6CBA" w:rsidRDefault="00C2694B">
      <w:pPr>
        <w:jc w:val="both"/>
        <w:rPr>
          <w:sz w:val="22"/>
          <w:szCs w:val="22"/>
          <w:lang w:val="sr-Latn-ME"/>
        </w:rPr>
      </w:pPr>
      <w:r w:rsidRPr="00CA6CBA">
        <w:rPr>
          <w:sz w:val="22"/>
          <w:szCs w:val="22"/>
          <w:lang w:val="sr-Latn-ME"/>
        </w:rPr>
        <w:br/>
        <w:t>Mogući uticaj brinzolamida na funkciju endotela rožnjače nije ispitivan kod pacijenata sa ugroženom rožnjačom (naročito kod pacijenata sa niskim brojem ćelija u endotelijumu). Pacijenti koji nose kontaktna sočiva ni</w:t>
      </w:r>
      <w:r w:rsidR="00E763DD" w:rsidRPr="00CA6CBA">
        <w:rPr>
          <w:sz w:val="22"/>
          <w:szCs w:val="22"/>
          <w:lang w:val="sr-Latn-ME"/>
        </w:rPr>
        <w:t>je</w:t>
      </w:r>
      <w:r w:rsidRPr="00CA6CBA">
        <w:rPr>
          <w:sz w:val="22"/>
          <w:szCs w:val="22"/>
          <w:lang w:val="sr-Latn-ME"/>
        </w:rPr>
        <w:t>su posebno ispitivani, pa je neophodno pažljivo praćenje ovih pacijenata kada se primjenjuje brinzolamid, jer inhibitori karboanhidraze mogu da utiču na hidra</w:t>
      </w:r>
      <w:r w:rsidR="00FA2E91" w:rsidRPr="00CA6CBA">
        <w:rPr>
          <w:sz w:val="22"/>
          <w:szCs w:val="22"/>
          <w:lang w:val="sr-Latn-ME"/>
        </w:rPr>
        <w:t>ta</w:t>
      </w:r>
      <w:r w:rsidRPr="00CA6CBA">
        <w:rPr>
          <w:sz w:val="22"/>
          <w:szCs w:val="22"/>
          <w:lang w:val="sr-Latn-ME"/>
        </w:rPr>
        <w:t xml:space="preserve">ciju rožnjače, a nošenje kontaktnih sočiva može da poveća rizik za </w:t>
      </w:r>
      <w:r w:rsidR="00FA2E91" w:rsidRPr="00CA6CBA">
        <w:rPr>
          <w:sz w:val="22"/>
          <w:szCs w:val="22"/>
          <w:lang w:val="sr-Latn-ME"/>
        </w:rPr>
        <w:t>rožnjaču</w:t>
      </w:r>
      <w:r w:rsidRPr="00CA6CBA">
        <w:rPr>
          <w:sz w:val="22"/>
          <w:szCs w:val="22"/>
          <w:lang w:val="sr-Latn-ME"/>
        </w:rPr>
        <w:t xml:space="preserve">. Neophodno je pažljivo praćenje pacijenata kod kojih je rožnjača ugrožena, kao što su pacijenti sa dijabetesom melitusom ili distrofijom rožnjače. </w:t>
      </w:r>
    </w:p>
    <w:p w14:paraId="293FA639" w14:textId="77777777" w:rsidR="00C2694B" w:rsidRPr="00CA6CBA" w:rsidRDefault="00C2694B">
      <w:pPr>
        <w:jc w:val="both"/>
        <w:rPr>
          <w:sz w:val="22"/>
          <w:szCs w:val="22"/>
          <w:lang w:val="sr-Latn-ME"/>
        </w:rPr>
      </w:pPr>
    </w:p>
    <w:p w14:paraId="09D8A104" w14:textId="520F1EB6" w:rsidR="00C2694B" w:rsidRPr="00CA6CBA" w:rsidRDefault="00C2694B">
      <w:pPr>
        <w:pStyle w:val="Header"/>
        <w:tabs>
          <w:tab w:val="left" w:pos="284"/>
        </w:tabs>
        <w:jc w:val="both"/>
        <w:rPr>
          <w:sz w:val="22"/>
          <w:szCs w:val="22"/>
          <w:lang w:val="sr-Latn-ME"/>
        </w:rPr>
      </w:pPr>
      <w:r w:rsidRPr="00CA6CBA">
        <w:rPr>
          <w:sz w:val="22"/>
          <w:szCs w:val="22"/>
          <w:lang w:val="sr-Latn-ME"/>
        </w:rPr>
        <w:t>Prijavljeno je da benzalkonijum</w:t>
      </w:r>
      <w:r w:rsidR="00E763DD" w:rsidRPr="00CA6CBA">
        <w:rPr>
          <w:sz w:val="22"/>
          <w:szCs w:val="22"/>
          <w:lang w:val="sr-Latn-ME"/>
        </w:rPr>
        <w:t xml:space="preserve"> </w:t>
      </w:r>
      <w:r w:rsidRPr="00CA6CBA">
        <w:rPr>
          <w:sz w:val="22"/>
          <w:szCs w:val="22"/>
          <w:lang w:val="sr-Latn-ME"/>
        </w:rPr>
        <w:t>hlorid, koji se često koristi kao konzervans u oftalmološkim proizvodima, izaziva tačkastu keratopatiju i/ili toksičnu ulceroznu keratopatiju. Pošto Azopt sadrži benzalkonijum hlorid, neophodno je pažljivo praćenje kod česte ili dugotrajne primjene kod pacijenata sa suvoćom očiju, ili kod stanja u kojima je rožnjača ugrožena.</w:t>
      </w:r>
    </w:p>
    <w:p w14:paraId="56A5D4CB" w14:textId="77777777" w:rsidR="00C2694B" w:rsidRPr="00CA6CBA" w:rsidRDefault="00C2694B">
      <w:pPr>
        <w:jc w:val="both"/>
        <w:rPr>
          <w:sz w:val="22"/>
          <w:szCs w:val="22"/>
          <w:lang w:val="sr-Latn-ME"/>
        </w:rPr>
      </w:pPr>
    </w:p>
    <w:p w14:paraId="32E14E62" w14:textId="5A5A413C" w:rsidR="00C2694B" w:rsidRPr="00CA6CBA" w:rsidRDefault="00C2694B">
      <w:pPr>
        <w:jc w:val="both"/>
        <w:rPr>
          <w:sz w:val="22"/>
          <w:szCs w:val="22"/>
          <w:lang w:val="sr-Latn-ME"/>
        </w:rPr>
      </w:pPr>
      <w:r w:rsidRPr="00CA6CBA">
        <w:rPr>
          <w:sz w:val="22"/>
          <w:szCs w:val="22"/>
          <w:lang w:val="sr-Latn-ME"/>
        </w:rPr>
        <w:t xml:space="preserve">Azopt nije ispitivan kod pacijenata koji nose kontaktna sočiva. Azopt sadrži konzervans benzalkonijum hlorid, koji može da izazove iritaciju oka i poznato je da može da obezboji meka kontaktna sočiva. Treba izbjegavati kontakt sa mekim kontaktnim sočivima. Pacijentima se mora savjetovati da skinu kontaktna sočiva prije primjene lijeka Azopt i da sačekaju najmanje 15 minuta nakon ukapavanja a prije stavljanja sočiva. </w:t>
      </w:r>
    </w:p>
    <w:p w14:paraId="53858DE3" w14:textId="77777777" w:rsidR="00E763DD" w:rsidRPr="00CA6CBA" w:rsidRDefault="00E763DD">
      <w:pPr>
        <w:jc w:val="both"/>
        <w:rPr>
          <w:sz w:val="22"/>
          <w:szCs w:val="22"/>
          <w:lang w:val="sr-Latn-ME"/>
        </w:rPr>
      </w:pPr>
    </w:p>
    <w:p w14:paraId="0888C8E4" w14:textId="3ABE59BA" w:rsidR="00C2694B" w:rsidRPr="00CA6CBA" w:rsidRDefault="00C2694B">
      <w:pPr>
        <w:jc w:val="both"/>
        <w:rPr>
          <w:sz w:val="22"/>
          <w:szCs w:val="22"/>
          <w:lang w:val="sr-Latn-ME"/>
        </w:rPr>
      </w:pPr>
      <w:r w:rsidRPr="00CA6CBA">
        <w:rPr>
          <w:sz w:val="22"/>
          <w:szCs w:val="22"/>
          <w:lang w:val="sr-Latn-ME"/>
        </w:rPr>
        <w:t>Potencijalni povratni efekti nakon prekida terapije Azopt ni</w:t>
      </w:r>
      <w:r w:rsidR="00E763DD" w:rsidRPr="00CA6CBA">
        <w:rPr>
          <w:sz w:val="22"/>
          <w:szCs w:val="22"/>
          <w:lang w:val="sr-Latn-ME"/>
        </w:rPr>
        <w:t>je</w:t>
      </w:r>
      <w:r w:rsidRPr="00CA6CBA">
        <w:rPr>
          <w:sz w:val="22"/>
          <w:szCs w:val="22"/>
          <w:lang w:val="sr-Latn-ME"/>
        </w:rPr>
        <w:t xml:space="preserve">su ispitivani; očekuje se da dejstvo smanjenja intraokularnog pritiska traje 5-7 dana. </w:t>
      </w:r>
    </w:p>
    <w:p w14:paraId="028F8AA7" w14:textId="77777777" w:rsidR="00C2694B" w:rsidRPr="00CA6CBA" w:rsidRDefault="00C2694B">
      <w:pPr>
        <w:jc w:val="both"/>
        <w:rPr>
          <w:sz w:val="22"/>
          <w:szCs w:val="22"/>
          <w:lang w:val="sr-Latn-ME"/>
        </w:rPr>
      </w:pPr>
    </w:p>
    <w:p w14:paraId="57C6E881" w14:textId="1FC6DCFE" w:rsidR="00C2694B" w:rsidRPr="00CA6CBA" w:rsidRDefault="00C2694B" w:rsidP="00035899">
      <w:pPr>
        <w:tabs>
          <w:tab w:val="left" w:pos="284"/>
        </w:tabs>
        <w:spacing w:after="120"/>
        <w:jc w:val="both"/>
        <w:rPr>
          <w:sz w:val="22"/>
          <w:szCs w:val="22"/>
          <w:lang w:val="sr-Latn-ME"/>
        </w:rPr>
      </w:pPr>
      <w:r w:rsidRPr="00CA6CBA">
        <w:rPr>
          <w:sz w:val="22"/>
          <w:szCs w:val="22"/>
          <w:u w:val="single"/>
          <w:lang w:val="sr-Latn-ME"/>
        </w:rPr>
        <w:t>Pedijatrijska populacija</w:t>
      </w:r>
    </w:p>
    <w:p w14:paraId="04D293C8" w14:textId="77777777" w:rsidR="00C2694B" w:rsidRPr="00CA6CBA" w:rsidRDefault="00C2694B" w:rsidP="00CE15C2">
      <w:pPr>
        <w:autoSpaceDE w:val="0"/>
        <w:autoSpaceDN w:val="0"/>
        <w:adjustRightInd w:val="0"/>
        <w:jc w:val="both"/>
        <w:rPr>
          <w:sz w:val="22"/>
          <w:szCs w:val="22"/>
          <w:lang w:val="sr-Latn-ME"/>
        </w:rPr>
      </w:pPr>
      <w:r w:rsidRPr="00CA6CBA">
        <w:rPr>
          <w:sz w:val="22"/>
          <w:szCs w:val="22"/>
          <w:lang w:val="sr-Latn-ME"/>
        </w:rPr>
        <w:t xml:space="preserve">Bezbjednost i efikasnost lijeka Azopt kod novorođenčadi, djece i adolescenata uzrasta od 0 do 17 godina nije ustanovljena, pa se njegova upotreba ne preporučuje kod novorođenčadi, djece i adolescenata. </w:t>
      </w:r>
    </w:p>
    <w:p w14:paraId="3BC4C92E" w14:textId="77777777" w:rsidR="004B54F9" w:rsidRPr="00CA6CBA" w:rsidRDefault="004B54F9" w:rsidP="00035899">
      <w:pPr>
        <w:tabs>
          <w:tab w:val="left" w:pos="540"/>
          <w:tab w:val="left" w:pos="569"/>
        </w:tabs>
        <w:jc w:val="both"/>
        <w:rPr>
          <w:bCs/>
          <w:sz w:val="22"/>
          <w:szCs w:val="22"/>
          <w:lang w:val="sr-Latn-ME"/>
        </w:rPr>
      </w:pPr>
    </w:p>
    <w:p w14:paraId="1AD06C8E" w14:textId="67499F4B" w:rsidR="00411B4B" w:rsidRPr="00CA6CBA" w:rsidRDefault="00411B4B" w:rsidP="00035899">
      <w:pPr>
        <w:tabs>
          <w:tab w:val="left" w:pos="540"/>
          <w:tab w:val="left" w:pos="569"/>
        </w:tabs>
        <w:jc w:val="both"/>
        <w:rPr>
          <w:b/>
          <w:bCs/>
          <w:sz w:val="22"/>
          <w:szCs w:val="22"/>
          <w:lang w:val="sr-Latn-ME"/>
        </w:rPr>
      </w:pPr>
      <w:r w:rsidRPr="00CA6CBA">
        <w:rPr>
          <w:b/>
          <w:bCs/>
          <w:sz w:val="22"/>
          <w:szCs w:val="22"/>
          <w:lang w:val="sr-Latn-ME"/>
        </w:rPr>
        <w:t>4.5.</w:t>
      </w:r>
      <w:r w:rsidR="000D60CC" w:rsidRPr="00CA6CBA">
        <w:rPr>
          <w:b/>
          <w:bCs/>
          <w:sz w:val="22"/>
          <w:szCs w:val="22"/>
          <w:lang w:val="sr-Latn-ME"/>
        </w:rPr>
        <w:tab/>
      </w:r>
      <w:r w:rsidRPr="00CA6CBA">
        <w:rPr>
          <w:b/>
          <w:bCs/>
          <w:sz w:val="22"/>
          <w:szCs w:val="22"/>
          <w:lang w:val="sr-Latn-ME"/>
        </w:rPr>
        <w:t>Interakcije sa drugim ljekovima i druge vrste interakcija</w:t>
      </w:r>
    </w:p>
    <w:p w14:paraId="0E70E8D9" w14:textId="77777777" w:rsidR="00101BB3" w:rsidRPr="00CA6CBA" w:rsidRDefault="00101BB3" w:rsidP="00035899">
      <w:pPr>
        <w:tabs>
          <w:tab w:val="left" w:pos="540"/>
          <w:tab w:val="left" w:pos="569"/>
        </w:tabs>
        <w:jc w:val="both"/>
        <w:rPr>
          <w:b/>
          <w:bCs/>
          <w:sz w:val="22"/>
          <w:szCs w:val="22"/>
          <w:lang w:val="sr-Latn-ME"/>
        </w:rPr>
      </w:pPr>
    </w:p>
    <w:p w14:paraId="6086D170" w14:textId="660B20B6" w:rsidR="00C2694B" w:rsidRPr="00CA6CBA" w:rsidRDefault="00C2694B" w:rsidP="00CE15C2">
      <w:pPr>
        <w:pStyle w:val="NormalWeb"/>
        <w:spacing w:before="0" w:beforeAutospacing="0" w:after="0" w:afterAutospacing="0"/>
        <w:jc w:val="both"/>
        <w:rPr>
          <w:sz w:val="22"/>
          <w:szCs w:val="22"/>
          <w:lang w:val="sr-Latn-ME"/>
        </w:rPr>
      </w:pPr>
      <w:r w:rsidRPr="00CA6CBA">
        <w:rPr>
          <w:bCs/>
          <w:sz w:val="22"/>
          <w:szCs w:val="22"/>
          <w:lang w:val="sr-Latn-ME"/>
        </w:rPr>
        <w:t>Ni</w:t>
      </w:r>
      <w:r w:rsidR="00E763DD" w:rsidRPr="00CA6CBA">
        <w:rPr>
          <w:bCs/>
          <w:sz w:val="22"/>
          <w:szCs w:val="22"/>
          <w:lang w:val="sr-Latn-ME"/>
        </w:rPr>
        <w:t>je</w:t>
      </w:r>
      <w:r w:rsidRPr="00CA6CBA">
        <w:rPr>
          <w:bCs/>
          <w:sz w:val="22"/>
          <w:szCs w:val="22"/>
          <w:lang w:val="sr-Latn-ME"/>
        </w:rPr>
        <w:t xml:space="preserve">su rađene posebne studije interakcija </w:t>
      </w:r>
      <w:r w:rsidRPr="00CA6CBA">
        <w:rPr>
          <w:sz w:val="22"/>
          <w:szCs w:val="22"/>
          <w:lang w:val="sr-Latn-ME"/>
        </w:rPr>
        <w:t xml:space="preserve">lijeka Azopt sa drugim ljekovima. </w:t>
      </w:r>
    </w:p>
    <w:p w14:paraId="2F1DA1E3" w14:textId="77777777" w:rsidR="00C2694B" w:rsidRPr="00CA6CBA" w:rsidRDefault="00C2694B" w:rsidP="00CE15C2">
      <w:pPr>
        <w:pStyle w:val="NormalWeb"/>
        <w:spacing w:before="0" w:beforeAutospacing="0" w:after="0" w:afterAutospacing="0"/>
        <w:jc w:val="both"/>
        <w:rPr>
          <w:sz w:val="22"/>
          <w:szCs w:val="22"/>
          <w:lang w:val="sr-Latn-ME"/>
        </w:rPr>
      </w:pPr>
    </w:p>
    <w:p w14:paraId="1ED84008" w14:textId="3424DDF9"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 xml:space="preserve">Azopt je u kliničkim studijama primjenjivan zajedno sa analozima prostaglandina i sa timololom bez prijavljenih neželjenih  interakcija. Veza između lijeka Azopt i miotika ili adrenergičkih agonista nije ispitivana u toku kombinovane terapije glaukoma. </w:t>
      </w:r>
    </w:p>
    <w:p w14:paraId="223042EB" w14:textId="77777777" w:rsidR="00C2694B" w:rsidRPr="00CA6CBA" w:rsidRDefault="00C2694B" w:rsidP="00A34CA5">
      <w:pPr>
        <w:pStyle w:val="NormalWeb"/>
        <w:spacing w:before="0" w:beforeAutospacing="0" w:after="0" w:afterAutospacing="0"/>
        <w:jc w:val="both"/>
        <w:rPr>
          <w:sz w:val="22"/>
          <w:szCs w:val="22"/>
          <w:lang w:val="sr-Latn-ME"/>
        </w:rPr>
      </w:pPr>
      <w:r w:rsidRPr="00CA6CBA">
        <w:rPr>
          <w:sz w:val="22"/>
          <w:szCs w:val="22"/>
          <w:lang w:val="sr-Latn-ME"/>
        </w:rPr>
        <w:lastRenderedPageBreak/>
        <w:t xml:space="preserve">Azopt je inhibitor karboanhidraze koji se resorbuje sistemski i pri topikalnoj primjeni. Prijavljeni su i  poremećaji acidobazne ravnoteže pri primjeni inhibitora karboanhidraze. Kod pacijenata koji uzimaju Azopt </w:t>
      </w:r>
      <w:r w:rsidRPr="00CA6CBA">
        <w:rPr>
          <w:bCs/>
          <w:sz w:val="22"/>
          <w:szCs w:val="22"/>
          <w:lang w:val="sr-Latn-ME"/>
        </w:rPr>
        <w:t xml:space="preserve">mora da se uzme u obzir </w:t>
      </w:r>
      <w:r w:rsidRPr="00CA6CBA">
        <w:rPr>
          <w:sz w:val="22"/>
          <w:szCs w:val="22"/>
          <w:lang w:val="sr-Latn-ME"/>
        </w:rPr>
        <w:t xml:space="preserve">potencijal za interakcije. </w:t>
      </w:r>
    </w:p>
    <w:p w14:paraId="3083EA51" w14:textId="77777777" w:rsidR="00C2694B" w:rsidRPr="00CA6CBA" w:rsidRDefault="00C2694B">
      <w:pPr>
        <w:pStyle w:val="NormalWeb"/>
        <w:spacing w:before="0" w:beforeAutospacing="0" w:after="0" w:afterAutospacing="0"/>
        <w:jc w:val="both"/>
        <w:rPr>
          <w:sz w:val="22"/>
          <w:szCs w:val="22"/>
          <w:lang w:val="sr-Latn-ME"/>
        </w:rPr>
      </w:pPr>
    </w:p>
    <w:p w14:paraId="4FC10110" w14:textId="06FD289F" w:rsidR="00C2694B" w:rsidRPr="00CA6CBA" w:rsidRDefault="00C2694B">
      <w:pPr>
        <w:pStyle w:val="NormalWeb"/>
        <w:spacing w:before="0" w:beforeAutospacing="0" w:after="0" w:afterAutospacing="0"/>
        <w:jc w:val="both"/>
        <w:rPr>
          <w:sz w:val="22"/>
          <w:szCs w:val="22"/>
          <w:lang w:val="sr-Latn-ME"/>
        </w:rPr>
      </w:pPr>
      <w:r w:rsidRPr="00CA6CBA">
        <w:rPr>
          <w:sz w:val="22"/>
          <w:szCs w:val="22"/>
          <w:lang w:val="sr-Latn-ME"/>
        </w:rPr>
        <w:t>Citohrom P-450 izoenzimi odgovorni za metabolizam brinzolamida uključuju CYP3A4 (glavni), CYP2A6, CYP2C8 i CYP2C9. Očekivano je da će inhibitori CYP3A4 kao što su ketokonazol, itrakonazol, klotrimazol, ritonavir i troleandomicin inhibi</w:t>
      </w:r>
      <w:r w:rsidR="00D437C4" w:rsidRPr="00CA6CBA">
        <w:rPr>
          <w:sz w:val="22"/>
          <w:szCs w:val="22"/>
          <w:lang w:val="sr-Latn-ME"/>
        </w:rPr>
        <w:t>r</w:t>
      </w:r>
      <w:r w:rsidRPr="00CA6CBA">
        <w:rPr>
          <w:sz w:val="22"/>
          <w:szCs w:val="22"/>
          <w:lang w:val="sr-Latn-ME"/>
        </w:rPr>
        <w:t>ati metabolizam brinzolamida preko CYP3A4. Savjetuje se oprez ukoliko se inhibitori CYP3A4 daju istovremeno. Međutim, mogućnost akumulacije brinzolamida je malo vjerovatna jer je glavni put eliminacije preko bubrega. Brinzolamid nije inhibitor citohrom P-450 izoenzima.</w:t>
      </w:r>
    </w:p>
    <w:p w14:paraId="3A52A246" w14:textId="77777777" w:rsidR="00C2694B" w:rsidRPr="00CA6CBA" w:rsidRDefault="00C2694B">
      <w:pPr>
        <w:tabs>
          <w:tab w:val="left" w:pos="540"/>
          <w:tab w:val="left" w:pos="569"/>
        </w:tabs>
        <w:jc w:val="both"/>
        <w:rPr>
          <w:b/>
          <w:bCs/>
          <w:sz w:val="22"/>
          <w:szCs w:val="22"/>
          <w:lang w:val="sr-Latn-ME"/>
        </w:rPr>
      </w:pPr>
    </w:p>
    <w:p w14:paraId="05CA72CE" w14:textId="77777777" w:rsidR="0072020E" w:rsidRPr="00CA6CBA" w:rsidRDefault="0072020E" w:rsidP="00035899">
      <w:pPr>
        <w:tabs>
          <w:tab w:val="left" w:pos="540"/>
          <w:tab w:val="left" w:pos="569"/>
        </w:tabs>
        <w:jc w:val="both"/>
        <w:rPr>
          <w:b/>
          <w:sz w:val="22"/>
          <w:szCs w:val="22"/>
          <w:lang w:val="sr-Latn-ME"/>
        </w:rPr>
      </w:pPr>
      <w:r w:rsidRPr="00CA6CBA">
        <w:rPr>
          <w:b/>
          <w:bCs/>
          <w:sz w:val="22"/>
          <w:szCs w:val="22"/>
          <w:lang w:val="sr-Latn-ME"/>
        </w:rPr>
        <w:t xml:space="preserve">4.6. </w:t>
      </w:r>
      <w:r w:rsidR="00480FB1" w:rsidRPr="00CA6CBA">
        <w:rPr>
          <w:b/>
          <w:bCs/>
          <w:sz w:val="22"/>
          <w:szCs w:val="22"/>
          <w:lang w:val="sr-Latn-ME"/>
        </w:rPr>
        <w:tab/>
      </w:r>
      <w:r w:rsidR="006D20A5" w:rsidRPr="00CA6CBA">
        <w:rPr>
          <w:b/>
          <w:sz w:val="22"/>
          <w:szCs w:val="22"/>
          <w:lang w:val="sr-Latn-ME"/>
        </w:rPr>
        <w:t>Plodnost, trudnoća i dojenje</w:t>
      </w:r>
    </w:p>
    <w:p w14:paraId="42A2EFA6" w14:textId="77777777" w:rsidR="002031B3" w:rsidRPr="00CA6CBA" w:rsidRDefault="002031B3" w:rsidP="00035899">
      <w:pPr>
        <w:tabs>
          <w:tab w:val="left" w:pos="540"/>
          <w:tab w:val="left" w:pos="569"/>
        </w:tabs>
        <w:jc w:val="both"/>
        <w:rPr>
          <w:sz w:val="22"/>
          <w:szCs w:val="22"/>
          <w:u w:val="single"/>
          <w:lang w:val="sr-Latn-ME"/>
        </w:rPr>
      </w:pPr>
    </w:p>
    <w:p w14:paraId="320E165A" w14:textId="77777777" w:rsidR="00C2694B" w:rsidRPr="00CA6CBA" w:rsidRDefault="00C2694B" w:rsidP="00CE15C2">
      <w:pPr>
        <w:jc w:val="both"/>
        <w:rPr>
          <w:iCs/>
          <w:sz w:val="22"/>
          <w:szCs w:val="22"/>
          <w:lang w:val="sr-Latn-ME"/>
        </w:rPr>
      </w:pPr>
      <w:r w:rsidRPr="00CA6CBA">
        <w:rPr>
          <w:sz w:val="22"/>
          <w:szCs w:val="22"/>
          <w:u w:val="single"/>
          <w:lang w:val="sr-Latn-ME"/>
        </w:rPr>
        <w:t xml:space="preserve">Trudnoća </w:t>
      </w:r>
      <w:r w:rsidRPr="00CA6CBA">
        <w:rPr>
          <w:sz w:val="22"/>
          <w:szCs w:val="22"/>
          <w:lang w:val="sr-Latn-ME"/>
        </w:rPr>
        <w:br/>
        <w:t xml:space="preserve">Nema odgovarajućih podataka o oftalmološkoj primjeni brinzolamida kod trudnica. Studije na životinjama su pokazale reproduktivnu toksičnost (vidjeti dio </w:t>
      </w:r>
      <w:r w:rsidRPr="00CA6CBA">
        <w:rPr>
          <w:iCs/>
          <w:sz w:val="22"/>
          <w:szCs w:val="22"/>
          <w:lang w:val="sr-Latn-ME"/>
        </w:rPr>
        <w:t>5.3) nakon sistemske primjene.</w:t>
      </w:r>
    </w:p>
    <w:p w14:paraId="617C3789" w14:textId="77777777" w:rsidR="00C2694B" w:rsidRPr="00CA6CBA" w:rsidRDefault="00C2694B" w:rsidP="00CE15C2">
      <w:pPr>
        <w:jc w:val="both"/>
        <w:rPr>
          <w:iCs/>
          <w:sz w:val="22"/>
          <w:szCs w:val="22"/>
          <w:lang w:val="sr-Latn-ME"/>
        </w:rPr>
      </w:pPr>
    </w:p>
    <w:p w14:paraId="756B6F7D" w14:textId="77777777" w:rsidR="00C2694B" w:rsidRPr="00CA6CBA" w:rsidRDefault="00C2694B" w:rsidP="00CE15C2">
      <w:pPr>
        <w:jc w:val="both"/>
        <w:rPr>
          <w:sz w:val="22"/>
          <w:szCs w:val="22"/>
          <w:lang w:val="sr-Latn-ME"/>
        </w:rPr>
      </w:pPr>
      <w:r w:rsidRPr="00CA6CBA">
        <w:rPr>
          <w:sz w:val="22"/>
          <w:szCs w:val="22"/>
          <w:lang w:val="sr-Latn-ME"/>
        </w:rPr>
        <w:t>Azopt se ne preporučuje u trudnoći ni kod žena koje mogu ostati trudne i ne koriste kontracepciju.</w:t>
      </w:r>
    </w:p>
    <w:p w14:paraId="35A0FDC1" w14:textId="77777777" w:rsidR="00C2694B" w:rsidRPr="00CA6CBA" w:rsidRDefault="00C2694B" w:rsidP="00A34CA5">
      <w:pPr>
        <w:jc w:val="both"/>
        <w:rPr>
          <w:sz w:val="22"/>
          <w:szCs w:val="22"/>
          <w:lang w:val="sr-Latn-ME"/>
        </w:rPr>
      </w:pPr>
    </w:p>
    <w:p w14:paraId="7C33ABF4" w14:textId="03E04A70" w:rsidR="00C2694B" w:rsidRPr="00CA6CBA" w:rsidRDefault="00C2694B">
      <w:pPr>
        <w:jc w:val="both"/>
        <w:rPr>
          <w:sz w:val="22"/>
          <w:szCs w:val="22"/>
          <w:lang w:val="sr-Latn-ME"/>
        </w:rPr>
      </w:pPr>
      <w:r w:rsidRPr="00CA6CBA">
        <w:rPr>
          <w:sz w:val="22"/>
          <w:szCs w:val="22"/>
          <w:u w:val="single"/>
          <w:lang w:val="sr-Latn-ME"/>
        </w:rPr>
        <w:t xml:space="preserve">Dojenje </w:t>
      </w:r>
      <w:r w:rsidRPr="00CA6CBA">
        <w:rPr>
          <w:sz w:val="22"/>
          <w:szCs w:val="22"/>
          <w:lang w:val="sr-Latn-ME"/>
        </w:rPr>
        <w:br/>
        <w:t xml:space="preserve">Nije poznato da li se brinzolamid/metaboliti izlučuju u ljudsko mlijeko nakon topikalne okularne primjene. Studije na životinjama su pokazale da se minimalne količine brinzolamida izlučuju u mlijeko nakon oralne primjene. </w:t>
      </w:r>
    </w:p>
    <w:p w14:paraId="65589D7C" w14:textId="77777777" w:rsidR="00C2694B" w:rsidRPr="00CA6CBA" w:rsidRDefault="00C2694B">
      <w:pPr>
        <w:jc w:val="both"/>
        <w:rPr>
          <w:sz w:val="22"/>
          <w:szCs w:val="22"/>
          <w:lang w:val="sr-Latn-ME"/>
        </w:rPr>
      </w:pPr>
    </w:p>
    <w:p w14:paraId="139E82FA" w14:textId="15C1AD19" w:rsidR="00C2694B" w:rsidRPr="00CA6CBA" w:rsidRDefault="00C2694B">
      <w:pPr>
        <w:jc w:val="both"/>
        <w:rPr>
          <w:sz w:val="22"/>
          <w:szCs w:val="22"/>
          <w:lang w:val="sr-Latn-ME"/>
        </w:rPr>
      </w:pPr>
      <w:r w:rsidRPr="00CA6CBA">
        <w:rPr>
          <w:sz w:val="22"/>
          <w:szCs w:val="22"/>
          <w:lang w:val="sr-Latn-ME"/>
        </w:rPr>
        <w:t>Ne može se isključiti rizik za novorođenče/odojče. Mora se donijeti odluka o prekidu dojenja ili o prekidu primjene lijeka AZOPT, uzimajuć</w:t>
      </w:r>
      <w:r w:rsidR="00A52A56" w:rsidRPr="00CA6CBA">
        <w:rPr>
          <w:sz w:val="22"/>
          <w:szCs w:val="22"/>
          <w:lang w:val="sr-Latn-ME"/>
        </w:rPr>
        <w:t>i</w:t>
      </w:r>
      <w:r w:rsidRPr="00CA6CBA">
        <w:rPr>
          <w:sz w:val="22"/>
          <w:szCs w:val="22"/>
          <w:lang w:val="sr-Latn-ME"/>
        </w:rPr>
        <w:t xml:space="preserve"> u obzir korist dojenja za dijete i korist terapije za ženu.</w:t>
      </w:r>
    </w:p>
    <w:p w14:paraId="43137DFF" w14:textId="77777777" w:rsidR="00C2694B" w:rsidRPr="00CA6CBA" w:rsidRDefault="00C2694B">
      <w:pPr>
        <w:autoSpaceDE w:val="0"/>
        <w:autoSpaceDN w:val="0"/>
        <w:adjustRightInd w:val="0"/>
        <w:jc w:val="both"/>
        <w:rPr>
          <w:sz w:val="22"/>
          <w:szCs w:val="22"/>
          <w:lang w:val="sr-Latn-ME"/>
        </w:rPr>
      </w:pPr>
    </w:p>
    <w:p w14:paraId="5DD57CEC" w14:textId="77777777" w:rsidR="00C2694B" w:rsidRPr="00CA6CBA" w:rsidRDefault="00C2694B">
      <w:pPr>
        <w:autoSpaceDE w:val="0"/>
        <w:autoSpaceDN w:val="0"/>
        <w:adjustRightInd w:val="0"/>
        <w:jc w:val="both"/>
        <w:rPr>
          <w:sz w:val="22"/>
          <w:szCs w:val="22"/>
          <w:u w:val="single"/>
          <w:lang w:val="sr-Latn-ME"/>
        </w:rPr>
      </w:pPr>
      <w:r w:rsidRPr="00CA6CBA">
        <w:rPr>
          <w:sz w:val="22"/>
          <w:szCs w:val="22"/>
          <w:u w:val="single"/>
          <w:lang w:val="sr-Latn-ME"/>
        </w:rPr>
        <w:t>Plodnost</w:t>
      </w:r>
    </w:p>
    <w:p w14:paraId="426AFFC0" w14:textId="68522A4F" w:rsidR="0072020E" w:rsidRPr="00CA6CBA" w:rsidRDefault="00C2694B" w:rsidP="00035899">
      <w:pPr>
        <w:autoSpaceDE w:val="0"/>
        <w:autoSpaceDN w:val="0"/>
        <w:adjustRightInd w:val="0"/>
        <w:jc w:val="both"/>
        <w:rPr>
          <w:lang w:val="sr-Latn-ME"/>
        </w:rPr>
      </w:pPr>
      <w:r w:rsidRPr="00CA6CBA">
        <w:rPr>
          <w:sz w:val="22"/>
          <w:szCs w:val="22"/>
          <w:lang w:val="sr-Latn-ME"/>
        </w:rPr>
        <w:t>Studije na životinjama sa brinzolamidom su pokazale da nema uticaja na plodnost. Ni</w:t>
      </w:r>
      <w:r w:rsidR="00A52A56" w:rsidRPr="00CA6CBA">
        <w:rPr>
          <w:sz w:val="22"/>
          <w:szCs w:val="22"/>
          <w:lang w:val="sr-Latn-ME"/>
        </w:rPr>
        <w:t>je</w:t>
      </w:r>
      <w:r w:rsidRPr="00CA6CBA">
        <w:rPr>
          <w:sz w:val="22"/>
          <w:szCs w:val="22"/>
          <w:lang w:val="sr-Latn-ME"/>
        </w:rPr>
        <w:t>su rađene studije</w:t>
      </w:r>
      <w:r w:rsidR="00A52A56" w:rsidRPr="00CA6CBA">
        <w:rPr>
          <w:sz w:val="22"/>
          <w:szCs w:val="22"/>
          <w:lang w:val="sr-Latn-ME"/>
        </w:rPr>
        <w:t xml:space="preserve"> koje bi procijenile</w:t>
      </w:r>
      <w:r w:rsidRPr="00CA6CBA">
        <w:rPr>
          <w:sz w:val="22"/>
          <w:szCs w:val="22"/>
          <w:lang w:val="sr-Latn-ME"/>
        </w:rPr>
        <w:t xml:space="preserve"> efek</w:t>
      </w:r>
      <w:r w:rsidR="00A52A56" w:rsidRPr="00CA6CBA">
        <w:rPr>
          <w:sz w:val="22"/>
          <w:szCs w:val="22"/>
          <w:lang w:val="sr-Latn-ME"/>
        </w:rPr>
        <w:t>a</w:t>
      </w:r>
      <w:r w:rsidRPr="00CA6CBA">
        <w:rPr>
          <w:sz w:val="22"/>
          <w:szCs w:val="22"/>
          <w:lang w:val="sr-Latn-ME"/>
        </w:rPr>
        <w:t>t topikalne okularne primjene brinzolamida na plodnost kod ljudi.</w:t>
      </w:r>
    </w:p>
    <w:p w14:paraId="1DE24763" w14:textId="77777777" w:rsidR="00227BDB" w:rsidRPr="00CA6CBA" w:rsidRDefault="00227BDB" w:rsidP="00035899">
      <w:pPr>
        <w:tabs>
          <w:tab w:val="left" w:pos="540"/>
          <w:tab w:val="left" w:pos="569"/>
        </w:tabs>
        <w:ind w:left="540" w:hanging="540"/>
        <w:jc w:val="both"/>
        <w:rPr>
          <w:b/>
          <w:bCs/>
          <w:sz w:val="22"/>
          <w:szCs w:val="22"/>
          <w:lang w:val="sr-Latn-ME"/>
        </w:rPr>
      </w:pPr>
    </w:p>
    <w:p w14:paraId="0CD96441" w14:textId="77777777" w:rsidR="0072020E" w:rsidRPr="00CA6CBA" w:rsidRDefault="0072020E" w:rsidP="00035899">
      <w:pPr>
        <w:tabs>
          <w:tab w:val="left" w:pos="540"/>
          <w:tab w:val="left" w:pos="569"/>
        </w:tabs>
        <w:ind w:left="540" w:hanging="540"/>
        <w:jc w:val="both"/>
        <w:rPr>
          <w:b/>
          <w:bCs/>
          <w:sz w:val="22"/>
          <w:szCs w:val="22"/>
          <w:lang w:val="sr-Latn-ME"/>
        </w:rPr>
      </w:pPr>
      <w:r w:rsidRPr="00CA6CBA">
        <w:rPr>
          <w:b/>
          <w:bCs/>
          <w:sz w:val="22"/>
          <w:szCs w:val="22"/>
          <w:lang w:val="sr-Latn-ME"/>
        </w:rPr>
        <w:t xml:space="preserve">4.7. </w:t>
      </w:r>
      <w:r w:rsidR="00480FB1" w:rsidRPr="00CA6CBA">
        <w:rPr>
          <w:b/>
          <w:bCs/>
          <w:sz w:val="22"/>
          <w:szCs w:val="22"/>
          <w:lang w:val="sr-Latn-ME"/>
        </w:rPr>
        <w:tab/>
      </w:r>
      <w:r w:rsidRPr="00CA6CBA">
        <w:rPr>
          <w:b/>
          <w:bCs/>
          <w:sz w:val="22"/>
          <w:szCs w:val="22"/>
          <w:lang w:val="sr-Latn-ME"/>
        </w:rPr>
        <w:t xml:space="preserve">Uticaj na </w:t>
      </w:r>
      <w:r w:rsidR="002031B3" w:rsidRPr="00CA6CBA">
        <w:rPr>
          <w:b/>
          <w:bCs/>
          <w:sz w:val="22"/>
          <w:szCs w:val="22"/>
          <w:lang w:val="sr-Latn-ME"/>
        </w:rPr>
        <w:t xml:space="preserve">sposobnost </w:t>
      </w:r>
      <w:r w:rsidR="00F34554" w:rsidRPr="00CA6CBA">
        <w:rPr>
          <w:b/>
          <w:bCs/>
          <w:sz w:val="22"/>
          <w:szCs w:val="22"/>
          <w:lang w:val="sr-Latn-ME"/>
        </w:rPr>
        <w:t>upravljanja vozili</w:t>
      </w:r>
      <w:r w:rsidRPr="00CA6CBA">
        <w:rPr>
          <w:b/>
          <w:bCs/>
          <w:sz w:val="22"/>
          <w:szCs w:val="22"/>
          <w:lang w:val="sr-Latn-ME"/>
        </w:rPr>
        <w:t>m</w:t>
      </w:r>
      <w:r w:rsidR="00F34554" w:rsidRPr="00CA6CBA">
        <w:rPr>
          <w:b/>
          <w:bCs/>
          <w:sz w:val="22"/>
          <w:szCs w:val="22"/>
          <w:lang w:val="sr-Latn-ME"/>
        </w:rPr>
        <w:t>a</w:t>
      </w:r>
      <w:r w:rsidRPr="00CA6CBA">
        <w:rPr>
          <w:b/>
          <w:bCs/>
          <w:sz w:val="22"/>
          <w:szCs w:val="22"/>
          <w:lang w:val="sr-Latn-ME"/>
        </w:rPr>
        <w:t xml:space="preserve"> i </w:t>
      </w:r>
      <w:r w:rsidR="000D3449" w:rsidRPr="00CA6CBA">
        <w:rPr>
          <w:b/>
          <w:bCs/>
          <w:sz w:val="22"/>
          <w:szCs w:val="22"/>
          <w:lang w:val="sr-Latn-ME"/>
        </w:rPr>
        <w:t xml:space="preserve">rukovanje </w:t>
      </w:r>
      <w:r w:rsidRPr="00CA6CBA">
        <w:rPr>
          <w:b/>
          <w:bCs/>
          <w:sz w:val="22"/>
          <w:szCs w:val="22"/>
          <w:lang w:val="sr-Latn-ME"/>
        </w:rPr>
        <w:t>mašinama</w:t>
      </w:r>
    </w:p>
    <w:p w14:paraId="0AE7C970" w14:textId="324FFE87" w:rsidR="0072020E" w:rsidRPr="00CA6CBA" w:rsidRDefault="0072020E" w:rsidP="00035899">
      <w:pPr>
        <w:tabs>
          <w:tab w:val="left" w:pos="540"/>
          <w:tab w:val="left" w:pos="569"/>
        </w:tabs>
        <w:jc w:val="both"/>
        <w:rPr>
          <w:b/>
          <w:bCs/>
          <w:sz w:val="22"/>
          <w:szCs w:val="22"/>
          <w:lang w:val="sr-Latn-ME"/>
        </w:rPr>
      </w:pPr>
    </w:p>
    <w:p w14:paraId="6CF47742" w14:textId="77777777" w:rsidR="00C2694B" w:rsidRPr="00CA6CBA" w:rsidRDefault="00C2694B" w:rsidP="00CE15C2">
      <w:pPr>
        <w:jc w:val="both"/>
        <w:rPr>
          <w:bCs/>
          <w:sz w:val="22"/>
          <w:szCs w:val="22"/>
          <w:lang w:val="sr-Latn-ME"/>
        </w:rPr>
      </w:pPr>
      <w:r w:rsidRPr="00CA6CBA">
        <w:rPr>
          <w:bCs/>
          <w:sz w:val="22"/>
          <w:szCs w:val="22"/>
          <w:lang w:val="sr-Latn-ME"/>
        </w:rPr>
        <w:t xml:space="preserve">AZOPT ima manji uticaj na </w:t>
      </w:r>
      <w:r w:rsidRPr="00CA6CBA">
        <w:rPr>
          <w:sz w:val="22"/>
          <w:szCs w:val="22"/>
          <w:lang w:val="sr-Latn-ME"/>
        </w:rPr>
        <w:t>sposobnost upravljanja motornim vozilima ili rukovanja mašinama.</w:t>
      </w:r>
    </w:p>
    <w:p w14:paraId="799002A1" w14:textId="77777777" w:rsidR="00C2694B" w:rsidRPr="00CA6CBA" w:rsidRDefault="00C2694B" w:rsidP="00CE15C2">
      <w:pPr>
        <w:jc w:val="both"/>
        <w:rPr>
          <w:bCs/>
          <w:sz w:val="22"/>
          <w:szCs w:val="22"/>
          <w:lang w:val="sr-Latn-ME"/>
        </w:rPr>
      </w:pPr>
    </w:p>
    <w:p w14:paraId="24C1CACF" w14:textId="77777777" w:rsidR="00C2694B" w:rsidRPr="00CA6CBA" w:rsidRDefault="00C2694B" w:rsidP="00CE15C2">
      <w:pPr>
        <w:jc w:val="both"/>
        <w:rPr>
          <w:sz w:val="22"/>
          <w:szCs w:val="22"/>
          <w:lang w:val="sr-Latn-ME"/>
        </w:rPr>
      </w:pPr>
      <w:r w:rsidRPr="00CA6CBA">
        <w:rPr>
          <w:bCs/>
          <w:sz w:val="22"/>
          <w:szCs w:val="22"/>
          <w:lang w:val="sr-Latn-ME"/>
        </w:rPr>
        <w:t xml:space="preserve">Privremeno zamućenje vida </w:t>
      </w:r>
      <w:r w:rsidRPr="00CA6CBA">
        <w:rPr>
          <w:sz w:val="22"/>
          <w:szCs w:val="22"/>
          <w:lang w:val="sr-Latn-ME"/>
        </w:rPr>
        <w:t>ili drugi poremećaji vida mogu da utiču na sposobnost upravljanja motornim vozilima ili rukovanja mašinama (vidjeti i dio 4.8). Ukoliko dođe do zamućenja vida prilikom primjene lijeka, pacijent mora da sačeka da se vid razbistri prije vožnje ili upravljanja mašinama.</w:t>
      </w:r>
    </w:p>
    <w:p w14:paraId="398E2577" w14:textId="77777777" w:rsidR="00C2694B" w:rsidRPr="00CA6CBA" w:rsidRDefault="00C2694B" w:rsidP="00A34CA5">
      <w:pPr>
        <w:jc w:val="both"/>
        <w:rPr>
          <w:sz w:val="22"/>
          <w:szCs w:val="22"/>
          <w:lang w:val="sr-Latn-ME"/>
        </w:rPr>
      </w:pPr>
    </w:p>
    <w:p w14:paraId="3FC7C7F6" w14:textId="734048C6" w:rsidR="00C2694B" w:rsidRPr="00CA6CBA" w:rsidRDefault="00C2694B" w:rsidP="00035899">
      <w:pPr>
        <w:jc w:val="both"/>
        <w:rPr>
          <w:b/>
          <w:bCs/>
          <w:sz w:val="22"/>
          <w:szCs w:val="22"/>
          <w:lang w:val="sr-Latn-ME"/>
        </w:rPr>
      </w:pPr>
      <w:r w:rsidRPr="00CA6CBA">
        <w:rPr>
          <w:sz w:val="22"/>
          <w:szCs w:val="22"/>
          <w:lang w:val="sr-Latn-ME"/>
        </w:rPr>
        <w:t>Oralni inhibitori karboanhidraze mogu da umanje sposobnost obavljanja zadataka koji zaht</w:t>
      </w:r>
      <w:r w:rsidR="00A52A56" w:rsidRPr="00CA6CBA">
        <w:rPr>
          <w:sz w:val="22"/>
          <w:szCs w:val="22"/>
          <w:lang w:val="sr-Latn-ME"/>
        </w:rPr>
        <w:t>i</w:t>
      </w:r>
      <w:r w:rsidRPr="00CA6CBA">
        <w:rPr>
          <w:sz w:val="22"/>
          <w:szCs w:val="22"/>
          <w:lang w:val="sr-Latn-ME"/>
        </w:rPr>
        <w:t>jevaju mentalnu budnost i/ili fizičku koordinaciju (vidjeti i dio 4.4 i 4.8).</w:t>
      </w:r>
    </w:p>
    <w:p w14:paraId="41E45E07" w14:textId="77777777" w:rsidR="004B54F9" w:rsidRPr="00CA6CBA" w:rsidRDefault="004B54F9" w:rsidP="00035899">
      <w:pPr>
        <w:tabs>
          <w:tab w:val="left" w:pos="540"/>
          <w:tab w:val="left" w:pos="569"/>
        </w:tabs>
        <w:jc w:val="both"/>
        <w:rPr>
          <w:b/>
          <w:bCs/>
          <w:sz w:val="22"/>
          <w:szCs w:val="22"/>
          <w:lang w:val="sr-Latn-ME"/>
        </w:rPr>
      </w:pPr>
    </w:p>
    <w:p w14:paraId="79278D86" w14:textId="77777777" w:rsidR="0072020E" w:rsidRPr="00CA6CBA" w:rsidRDefault="0072020E" w:rsidP="00035899">
      <w:pPr>
        <w:tabs>
          <w:tab w:val="left" w:pos="540"/>
          <w:tab w:val="left" w:pos="569"/>
        </w:tabs>
        <w:jc w:val="both"/>
        <w:rPr>
          <w:b/>
          <w:bCs/>
          <w:sz w:val="22"/>
          <w:szCs w:val="22"/>
          <w:lang w:val="sr-Latn-ME"/>
        </w:rPr>
      </w:pPr>
      <w:r w:rsidRPr="00CA6CBA">
        <w:rPr>
          <w:b/>
          <w:bCs/>
          <w:sz w:val="22"/>
          <w:szCs w:val="22"/>
          <w:lang w:val="sr-Latn-ME"/>
        </w:rPr>
        <w:t xml:space="preserve">4.8. </w:t>
      </w:r>
      <w:r w:rsidR="00480FB1" w:rsidRPr="00CA6CBA">
        <w:rPr>
          <w:b/>
          <w:bCs/>
          <w:sz w:val="22"/>
          <w:szCs w:val="22"/>
          <w:lang w:val="sr-Latn-ME"/>
        </w:rPr>
        <w:tab/>
      </w:r>
      <w:r w:rsidRPr="00CA6CBA">
        <w:rPr>
          <w:b/>
          <w:bCs/>
          <w:sz w:val="22"/>
          <w:szCs w:val="22"/>
          <w:lang w:val="sr-Latn-ME"/>
        </w:rPr>
        <w:t>Neželjena dejstva</w:t>
      </w:r>
    </w:p>
    <w:p w14:paraId="7D6D4496" w14:textId="243BD074" w:rsidR="004E70AD" w:rsidRPr="00CA6CBA" w:rsidRDefault="004E70AD" w:rsidP="00035899">
      <w:pPr>
        <w:tabs>
          <w:tab w:val="left" w:pos="540"/>
          <w:tab w:val="left" w:pos="569"/>
        </w:tabs>
        <w:jc w:val="both"/>
        <w:rPr>
          <w:b/>
          <w:bCs/>
          <w:sz w:val="22"/>
          <w:szCs w:val="22"/>
          <w:lang w:val="sr-Latn-ME"/>
        </w:rPr>
      </w:pPr>
    </w:p>
    <w:p w14:paraId="6B3BFB76" w14:textId="77777777" w:rsidR="00C2694B" w:rsidRPr="00CA6CBA" w:rsidRDefault="00C2694B" w:rsidP="00CE15C2">
      <w:pPr>
        <w:pStyle w:val="NormalWeb"/>
        <w:spacing w:before="0" w:beforeAutospacing="0" w:after="0" w:afterAutospacing="0"/>
        <w:jc w:val="both"/>
        <w:rPr>
          <w:bCs/>
          <w:sz w:val="22"/>
          <w:szCs w:val="22"/>
          <w:u w:val="single"/>
          <w:lang w:val="sr-Latn-ME"/>
        </w:rPr>
      </w:pPr>
      <w:r w:rsidRPr="00CA6CBA">
        <w:rPr>
          <w:bCs/>
          <w:sz w:val="22"/>
          <w:szCs w:val="22"/>
          <w:u w:val="single"/>
          <w:lang w:val="sr-Latn-ME"/>
        </w:rPr>
        <w:t>Sažetak bezbjednosnog profila</w:t>
      </w:r>
    </w:p>
    <w:p w14:paraId="772ABEBF" w14:textId="0F219482" w:rsidR="00C2694B" w:rsidRPr="00CA6CBA" w:rsidRDefault="00C2694B" w:rsidP="00CE15C2">
      <w:pPr>
        <w:jc w:val="both"/>
        <w:rPr>
          <w:sz w:val="22"/>
          <w:szCs w:val="22"/>
          <w:lang w:val="sr-Latn-ME"/>
        </w:rPr>
      </w:pPr>
      <w:r w:rsidRPr="00CA6CBA">
        <w:rPr>
          <w:bCs/>
          <w:sz w:val="22"/>
          <w:szCs w:val="22"/>
          <w:lang w:val="sr-Latn-ME"/>
        </w:rPr>
        <w:t xml:space="preserve">U kliničkim studijama sa 2732 </w:t>
      </w:r>
      <w:r w:rsidRPr="00CA6CBA">
        <w:rPr>
          <w:sz w:val="22"/>
          <w:szCs w:val="22"/>
          <w:lang w:val="sr-Latn-ME"/>
        </w:rPr>
        <w:t xml:space="preserve">pacijenata liječenih lijekom Azopt kao monoterapijom ili dodatnom terapijom uz timolol maleat 5 mg/ml najčešće prijavljivana neželjena dejstva bila su:  </w:t>
      </w:r>
      <w:r w:rsidR="00CB2AFA" w:rsidRPr="00CA6CBA">
        <w:rPr>
          <w:sz w:val="22"/>
          <w:szCs w:val="22"/>
          <w:lang w:val="sr-Latn-ME"/>
        </w:rPr>
        <w:t>disgeuzija</w:t>
      </w:r>
      <w:r w:rsidR="005E1A46" w:rsidRPr="00CA6CBA">
        <w:rPr>
          <w:sz w:val="22"/>
          <w:szCs w:val="22"/>
          <w:lang w:val="sr-Latn-ME"/>
        </w:rPr>
        <w:t xml:space="preserve"> </w:t>
      </w:r>
      <w:r w:rsidRPr="00CA6CBA">
        <w:rPr>
          <w:sz w:val="22"/>
          <w:szCs w:val="22"/>
          <w:lang w:val="sr-Latn-ME"/>
        </w:rPr>
        <w:t xml:space="preserve">(gorak ili neobičan ukus u ustima, vidjeti opis niže) (6,0%) i privremeno zamućenje vida nakon ukapavanja, u trajanju od nekoliko sekundi do nekoliko minuta (5,4%) (vidjeti i dio 4.7). </w:t>
      </w:r>
    </w:p>
    <w:p w14:paraId="3DE4A058" w14:textId="77777777" w:rsidR="00C2694B" w:rsidRPr="00CA6CBA" w:rsidRDefault="00C2694B" w:rsidP="00CE15C2">
      <w:pPr>
        <w:jc w:val="both"/>
        <w:rPr>
          <w:sz w:val="22"/>
          <w:szCs w:val="22"/>
          <w:lang w:val="sr-Latn-ME"/>
        </w:rPr>
      </w:pPr>
    </w:p>
    <w:p w14:paraId="06E82CA9" w14:textId="77777777" w:rsidR="00C2694B" w:rsidRPr="00CA6CBA" w:rsidRDefault="00C2694B" w:rsidP="00A34CA5">
      <w:pPr>
        <w:jc w:val="both"/>
        <w:rPr>
          <w:sz w:val="22"/>
          <w:szCs w:val="22"/>
          <w:u w:val="single"/>
          <w:lang w:val="sr-Latn-ME"/>
        </w:rPr>
      </w:pPr>
      <w:r w:rsidRPr="00CA6CBA">
        <w:rPr>
          <w:sz w:val="22"/>
          <w:szCs w:val="22"/>
          <w:u w:val="single"/>
          <w:lang w:val="sr-Latn-ME"/>
        </w:rPr>
        <w:t>Tabelarni sažetak neželjenih reakcija</w:t>
      </w:r>
    </w:p>
    <w:p w14:paraId="43DFEB3F" w14:textId="6F991771" w:rsidR="00C2694B" w:rsidRPr="00CA6CBA" w:rsidRDefault="00C2694B" w:rsidP="00035899">
      <w:pPr>
        <w:jc w:val="both"/>
        <w:rPr>
          <w:b/>
          <w:bCs/>
          <w:sz w:val="22"/>
          <w:szCs w:val="22"/>
          <w:lang w:val="sr-Latn-ME"/>
        </w:rPr>
      </w:pPr>
      <w:r w:rsidRPr="00CA6CBA">
        <w:rPr>
          <w:sz w:val="22"/>
          <w:szCs w:val="22"/>
          <w:lang w:val="sr-Latn-ME"/>
        </w:rPr>
        <w:t>Sljedeće neželjene reakcije su prijavljene sa brinzolamid 10 mg/ml kapi za oči, suspenzijom i klasifikovane su prema sljedećem pravilu: veoma česta (≥1/10), česta (≥1/100 do &lt;1/10), povremena (≥1/1000 do &lt;1/100), rijetka (≥1/10000 do &lt;1/1000), veoma rijetka (&lt;1/10000) ili nepoznata (ne može se utvrditi iz raspoloživih podataka). U svakoj grupi, neželjene reakcije su poređane prema ozbiljnosti, opadajućim redom. Neželjene reakcije su dobijene iz kliničkih studija i postmarketinških spontanih prijava.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8"/>
        <w:gridCol w:w="4344"/>
      </w:tblGrid>
      <w:tr w:rsidR="00C2694B" w:rsidRPr="00CA6CBA" w14:paraId="6F0A2F63"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192F8570" w14:textId="77777777" w:rsidR="00C2694B" w:rsidRPr="00CA6CBA" w:rsidRDefault="00C2694B">
            <w:pPr>
              <w:pStyle w:val="NormalWeb"/>
              <w:spacing w:before="0" w:beforeAutospacing="0" w:after="0" w:afterAutospacing="0"/>
              <w:jc w:val="both"/>
              <w:rPr>
                <w:sz w:val="22"/>
                <w:szCs w:val="22"/>
                <w:lang w:val="sr-Latn-ME"/>
              </w:rPr>
            </w:pPr>
            <w:r w:rsidRPr="00CA6CBA">
              <w:rPr>
                <w:b/>
                <w:bCs/>
                <w:sz w:val="22"/>
                <w:szCs w:val="22"/>
                <w:lang w:val="sr-Latn-ME" w:eastAsia="sr-Latn-CS"/>
              </w:rPr>
              <w:lastRenderedPageBreak/>
              <w:t>Sistem organa</w:t>
            </w:r>
          </w:p>
        </w:tc>
        <w:tc>
          <w:tcPr>
            <w:tcW w:w="4344" w:type="dxa"/>
            <w:tcBorders>
              <w:top w:val="single" w:sz="4" w:space="0" w:color="000000"/>
              <w:left w:val="single" w:sz="4" w:space="0" w:color="000000"/>
              <w:bottom w:val="single" w:sz="4" w:space="0" w:color="000000"/>
              <w:right w:val="single" w:sz="4" w:space="0" w:color="000000"/>
            </w:tcBorders>
          </w:tcPr>
          <w:p w14:paraId="4F1EE37E" w14:textId="77777777" w:rsidR="00C2694B" w:rsidRPr="00CA6CBA" w:rsidRDefault="00C2694B">
            <w:pPr>
              <w:pStyle w:val="NormalWeb"/>
              <w:spacing w:before="0" w:beforeAutospacing="0" w:after="0" w:afterAutospacing="0"/>
              <w:jc w:val="both"/>
              <w:rPr>
                <w:sz w:val="22"/>
                <w:szCs w:val="22"/>
                <w:lang w:val="sr-Latn-ME"/>
              </w:rPr>
            </w:pPr>
            <w:r w:rsidRPr="00CA6CBA">
              <w:rPr>
                <w:b/>
                <w:sz w:val="22"/>
                <w:szCs w:val="22"/>
                <w:lang w:val="sr-Latn-ME" w:eastAsia="sr-Latn-CS"/>
              </w:rPr>
              <w:t>MedDRA termini (Preferred Term) (v.15.1)</w:t>
            </w:r>
          </w:p>
        </w:tc>
      </w:tr>
      <w:tr w:rsidR="00C2694B" w:rsidRPr="00CA6CBA" w14:paraId="0D69E8C6"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74C8E844"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eastAsia="sr-Latn-CS"/>
              </w:rPr>
              <w:t>Infekcije i infestacije</w:t>
            </w:r>
          </w:p>
        </w:tc>
        <w:tc>
          <w:tcPr>
            <w:tcW w:w="4344" w:type="dxa"/>
            <w:tcBorders>
              <w:top w:val="single" w:sz="4" w:space="0" w:color="000000"/>
              <w:left w:val="single" w:sz="4" w:space="0" w:color="000000"/>
              <w:bottom w:val="single" w:sz="4" w:space="0" w:color="000000"/>
              <w:right w:val="single" w:sz="4" w:space="0" w:color="000000"/>
            </w:tcBorders>
          </w:tcPr>
          <w:p w14:paraId="5A8369EB"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nazofaringitis, faringitis, sinuzitis</w:t>
            </w:r>
          </w:p>
          <w:p w14:paraId="7E8347E4"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u w:val="single"/>
                <w:lang w:val="sr-Latn-ME" w:eastAsia="sr-Latn-CS"/>
              </w:rPr>
              <w:t>Nepoznato</w:t>
            </w:r>
            <w:r w:rsidRPr="00CA6CBA">
              <w:rPr>
                <w:sz w:val="22"/>
                <w:szCs w:val="22"/>
                <w:lang w:val="sr-Latn-ME" w:eastAsia="sr-Latn-CS"/>
              </w:rPr>
              <w:t>: rinitis</w:t>
            </w:r>
          </w:p>
        </w:tc>
      </w:tr>
      <w:tr w:rsidR="00C2694B" w:rsidRPr="00CA6CBA" w14:paraId="1ED6A9A7"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3313999F"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eastAsia="sr-Latn-CS"/>
              </w:rPr>
              <w:t>Poremećaji krvi i limfnog sistema</w:t>
            </w:r>
          </w:p>
        </w:tc>
        <w:tc>
          <w:tcPr>
            <w:tcW w:w="4344" w:type="dxa"/>
            <w:tcBorders>
              <w:top w:val="single" w:sz="4" w:space="0" w:color="000000"/>
              <w:left w:val="single" w:sz="4" w:space="0" w:color="000000"/>
              <w:bottom w:val="single" w:sz="4" w:space="0" w:color="000000"/>
              <w:right w:val="single" w:sz="4" w:space="0" w:color="000000"/>
            </w:tcBorders>
          </w:tcPr>
          <w:p w14:paraId="11F92A41" w14:textId="7702B039"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u w:val="single"/>
                <w:lang w:val="sr-Latn-ME" w:eastAsia="sr-Latn-CS"/>
              </w:rPr>
              <w:t>Povremeno</w:t>
            </w:r>
            <w:r w:rsidRPr="00CA6CBA">
              <w:rPr>
                <w:sz w:val="22"/>
                <w:szCs w:val="22"/>
                <w:lang w:val="sr-Latn-ME" w:eastAsia="sr-Latn-CS"/>
              </w:rPr>
              <w:t>: smanjen broj crvenih krvnih zrnaca, povećan nivo  hlorida u krvi</w:t>
            </w:r>
          </w:p>
        </w:tc>
      </w:tr>
      <w:tr w:rsidR="00C2694B" w:rsidRPr="00CA6CBA" w14:paraId="3CAE3980"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2C371B53"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eastAsia="sr-Latn-CS"/>
              </w:rPr>
              <w:t>Poremećaji imunog sistema</w:t>
            </w:r>
          </w:p>
        </w:tc>
        <w:tc>
          <w:tcPr>
            <w:tcW w:w="4344" w:type="dxa"/>
            <w:tcBorders>
              <w:top w:val="single" w:sz="4" w:space="0" w:color="000000"/>
              <w:left w:val="single" w:sz="4" w:space="0" w:color="000000"/>
              <w:bottom w:val="single" w:sz="4" w:space="0" w:color="000000"/>
              <w:right w:val="single" w:sz="4" w:space="0" w:color="000000"/>
            </w:tcBorders>
          </w:tcPr>
          <w:p w14:paraId="592006B5"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u w:val="single"/>
                <w:lang w:val="sr-Latn-ME" w:eastAsia="sr-Latn-CS"/>
              </w:rPr>
              <w:t>Nepoznato</w:t>
            </w:r>
            <w:r w:rsidRPr="00CA6CBA">
              <w:rPr>
                <w:sz w:val="22"/>
                <w:szCs w:val="22"/>
                <w:lang w:val="sr-Latn-ME" w:eastAsia="sr-Latn-CS"/>
              </w:rPr>
              <w:t xml:space="preserve">: preosjetljivost </w:t>
            </w:r>
          </w:p>
        </w:tc>
      </w:tr>
      <w:tr w:rsidR="00C2694B" w:rsidRPr="00CA6CBA" w14:paraId="6B09A208"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02E0C4FC"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lang w:val="sr-Latn-ME" w:eastAsia="sr-Latn-CS"/>
              </w:rPr>
              <w:t>Poremećaji metabolizma i ishrane</w:t>
            </w:r>
          </w:p>
        </w:tc>
        <w:tc>
          <w:tcPr>
            <w:tcW w:w="4344" w:type="dxa"/>
            <w:tcBorders>
              <w:top w:val="single" w:sz="4" w:space="0" w:color="000000"/>
              <w:left w:val="single" w:sz="4" w:space="0" w:color="000000"/>
              <w:bottom w:val="single" w:sz="4" w:space="0" w:color="000000"/>
              <w:right w:val="single" w:sz="4" w:space="0" w:color="000000"/>
            </w:tcBorders>
          </w:tcPr>
          <w:p w14:paraId="03F1B717" w14:textId="77777777" w:rsidR="00C2694B" w:rsidRPr="00CA6CBA" w:rsidRDefault="00C2694B" w:rsidP="00CE15C2">
            <w:pPr>
              <w:pStyle w:val="NormalWeb"/>
              <w:spacing w:before="0" w:beforeAutospacing="0" w:after="0" w:afterAutospacing="0"/>
              <w:jc w:val="both"/>
              <w:rPr>
                <w:sz w:val="22"/>
                <w:szCs w:val="22"/>
                <w:u w:val="single"/>
                <w:lang w:val="sr-Latn-ME" w:eastAsia="sr-Latn-CS"/>
              </w:rPr>
            </w:pPr>
            <w:r w:rsidRPr="00CA6CBA">
              <w:rPr>
                <w:sz w:val="22"/>
                <w:szCs w:val="22"/>
                <w:u w:val="single"/>
                <w:lang w:val="sr-Latn-ME" w:eastAsia="sr-Latn-CS"/>
              </w:rPr>
              <w:t xml:space="preserve">Nepoznato: </w:t>
            </w:r>
            <w:r w:rsidRPr="00CA6CBA">
              <w:rPr>
                <w:sz w:val="22"/>
                <w:szCs w:val="22"/>
                <w:lang w:val="sr-Latn-ME" w:eastAsia="sr-Latn-CS"/>
              </w:rPr>
              <w:t>smanjen apetit</w:t>
            </w:r>
          </w:p>
        </w:tc>
      </w:tr>
      <w:tr w:rsidR="00C2694B" w:rsidRPr="00CA6CBA" w14:paraId="331D4BC6"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6B99F1F9"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Psihijatrijski poremećaji</w:t>
            </w:r>
          </w:p>
        </w:tc>
        <w:tc>
          <w:tcPr>
            <w:tcW w:w="4344" w:type="dxa"/>
            <w:tcBorders>
              <w:top w:val="single" w:sz="4" w:space="0" w:color="000000"/>
              <w:left w:val="single" w:sz="4" w:space="0" w:color="000000"/>
              <w:bottom w:val="single" w:sz="4" w:space="0" w:color="000000"/>
              <w:right w:val="single" w:sz="4" w:space="0" w:color="000000"/>
            </w:tcBorders>
          </w:tcPr>
          <w:p w14:paraId="0BE4CFBA"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xml:space="preserve">: apatija, depresija, depresivno raspoloženje, smanjen libido, košmari,  nervoza </w:t>
            </w:r>
          </w:p>
          <w:p w14:paraId="6401C632"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u w:val="single"/>
                <w:lang w:val="sr-Latn-ME" w:eastAsia="sr-Latn-CS"/>
              </w:rPr>
              <w:t>Rijetko</w:t>
            </w:r>
            <w:r w:rsidRPr="00CA6CBA">
              <w:rPr>
                <w:sz w:val="22"/>
                <w:szCs w:val="22"/>
                <w:lang w:val="sr-Latn-ME" w:eastAsia="sr-Latn-CS"/>
              </w:rPr>
              <w:t>: nesanica</w:t>
            </w:r>
          </w:p>
        </w:tc>
      </w:tr>
      <w:tr w:rsidR="00C2694B" w:rsidRPr="00CA6CBA" w14:paraId="4B517FAC"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05F0BC15"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eastAsia="sr-Latn-CS"/>
              </w:rPr>
              <w:t>Poremećaji nervnog sistema</w:t>
            </w:r>
          </w:p>
        </w:tc>
        <w:tc>
          <w:tcPr>
            <w:tcW w:w="4344" w:type="dxa"/>
            <w:tcBorders>
              <w:top w:val="single" w:sz="4" w:space="0" w:color="000000"/>
              <w:left w:val="single" w:sz="4" w:space="0" w:color="000000"/>
              <w:bottom w:val="single" w:sz="4" w:space="0" w:color="000000"/>
              <w:right w:val="single" w:sz="4" w:space="0" w:color="000000"/>
            </w:tcBorders>
          </w:tcPr>
          <w:p w14:paraId="7F6C1A3D"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motorna disfunkcija, amnezija, vrtoglavica, parestezija, glavobolja</w:t>
            </w:r>
          </w:p>
          <w:p w14:paraId="7137813B"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Rijetko</w:t>
            </w:r>
            <w:r w:rsidRPr="00CA6CBA">
              <w:rPr>
                <w:sz w:val="22"/>
                <w:szCs w:val="22"/>
                <w:lang w:val="sr-Latn-ME" w:eastAsia="sr-Latn-CS"/>
              </w:rPr>
              <w:t>: poremećaj pamćenja, somnolencija</w:t>
            </w:r>
          </w:p>
          <w:p w14:paraId="7965A400" w14:textId="77777777" w:rsidR="00C2694B" w:rsidRPr="00CA6CBA" w:rsidRDefault="00C2694B" w:rsidP="00A34CA5">
            <w:pPr>
              <w:pStyle w:val="NormalWeb"/>
              <w:spacing w:before="0" w:beforeAutospacing="0" w:after="0" w:afterAutospacing="0"/>
              <w:jc w:val="both"/>
              <w:rPr>
                <w:sz w:val="22"/>
                <w:szCs w:val="22"/>
                <w:lang w:val="sr-Latn-ME"/>
              </w:rPr>
            </w:pPr>
            <w:r w:rsidRPr="00CA6CBA">
              <w:rPr>
                <w:sz w:val="22"/>
                <w:szCs w:val="22"/>
                <w:u w:val="single"/>
                <w:lang w:val="sr-Latn-ME" w:eastAsia="sr-Latn-CS"/>
              </w:rPr>
              <w:t>Nepoznato:</w:t>
            </w:r>
            <w:r w:rsidRPr="00CA6CBA">
              <w:rPr>
                <w:sz w:val="22"/>
                <w:szCs w:val="22"/>
                <w:lang w:val="sr-Latn-ME" w:eastAsia="sr-Latn-CS"/>
              </w:rPr>
              <w:t xml:space="preserve"> tremor, hipoestezija, ageuzija</w:t>
            </w:r>
          </w:p>
        </w:tc>
      </w:tr>
      <w:tr w:rsidR="00C2694B" w:rsidRPr="00CA6CBA" w14:paraId="4A6959E9"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109BC413"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Poremećaji oka</w:t>
            </w:r>
          </w:p>
        </w:tc>
        <w:tc>
          <w:tcPr>
            <w:tcW w:w="4344" w:type="dxa"/>
            <w:tcBorders>
              <w:top w:val="single" w:sz="4" w:space="0" w:color="000000"/>
              <w:left w:val="single" w:sz="4" w:space="0" w:color="000000"/>
              <w:bottom w:val="single" w:sz="4" w:space="0" w:color="000000"/>
              <w:right w:val="single" w:sz="4" w:space="0" w:color="000000"/>
            </w:tcBorders>
          </w:tcPr>
          <w:p w14:paraId="42BDD788"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u w:val="single"/>
                <w:lang w:val="sr-Latn-ME" w:eastAsia="sr-Latn-CS"/>
              </w:rPr>
              <w:t>Često</w:t>
            </w:r>
            <w:r w:rsidRPr="00CA6CBA">
              <w:rPr>
                <w:sz w:val="22"/>
                <w:szCs w:val="22"/>
                <w:lang w:val="sr-Latn-ME" w:eastAsia="sr-Latn-CS"/>
              </w:rPr>
              <w:t xml:space="preserve">: </w:t>
            </w:r>
            <w:r w:rsidRPr="00CA6CBA">
              <w:rPr>
                <w:sz w:val="22"/>
                <w:szCs w:val="22"/>
                <w:lang w:val="sr-Latn-ME"/>
              </w:rPr>
              <w:t>zamućenje vida, iritacija oka, bol u oku, osjećaj stranog tijela u oku, okularna hiperemija.</w:t>
            </w:r>
          </w:p>
          <w:p w14:paraId="080252F4" w14:textId="0555F6E9"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u w:val="single"/>
                <w:lang w:val="sr-Latn-ME" w:eastAsia="sr-Latn-CS"/>
              </w:rPr>
              <w:t>Povremeno</w:t>
            </w:r>
            <w:r w:rsidRPr="00CA6CBA">
              <w:rPr>
                <w:sz w:val="22"/>
                <w:szCs w:val="22"/>
                <w:lang w:val="sr-Latn-ME" w:eastAsia="sr-Latn-CS"/>
              </w:rPr>
              <w:t xml:space="preserve">: </w:t>
            </w:r>
            <w:r w:rsidRPr="00CA6CBA">
              <w:rPr>
                <w:sz w:val="22"/>
                <w:szCs w:val="22"/>
                <w:lang w:val="sr-Latn-ME"/>
              </w:rPr>
              <w:t>erozija rožnjače, keratitis, tačkasti keratitis, keratopatija, depoziti u oku, prebojenost rožnjače, oštećenje epitela rožnjače, poremećaji epitela rožnjače, blefaritis, svrab u oku, konjunktivitis, otok oka, meibomianitis, bljetaštavilo, fotofobija, suvoća oka, alergijski konjunktivitis, pterigijum, pigmentacija sklere, astenopija, osjećaj nelagodnosti u oku,</w:t>
            </w:r>
            <w:r w:rsidR="004B45AE" w:rsidRPr="00CA6CBA">
              <w:rPr>
                <w:sz w:val="22"/>
                <w:szCs w:val="22"/>
                <w:lang w:val="sr-Latn-ME"/>
              </w:rPr>
              <w:t xml:space="preserve"> abnormalni os</w:t>
            </w:r>
            <w:r w:rsidR="00DF1755" w:rsidRPr="00CA6CBA">
              <w:rPr>
                <w:sz w:val="22"/>
                <w:szCs w:val="22"/>
                <w:lang w:val="sr-Latn-ME"/>
              </w:rPr>
              <w:t>j</w:t>
            </w:r>
            <w:r w:rsidR="004B45AE" w:rsidRPr="00CA6CBA">
              <w:rPr>
                <w:sz w:val="22"/>
                <w:szCs w:val="22"/>
                <w:lang w:val="sr-Latn-ME"/>
              </w:rPr>
              <w:t>ećaj u oku,</w:t>
            </w:r>
            <w:r w:rsidRPr="00CA6CBA">
              <w:rPr>
                <w:sz w:val="22"/>
                <w:szCs w:val="22"/>
                <w:lang w:val="sr-Latn-ME"/>
              </w:rPr>
              <w:t xml:space="preserve"> keratokonjunktivitis sicca, subkonjunktivalna cista, konjuktivalna hiperemija, svrab očnih kapaka, sekrecija iz oka, krustacija ivice očnih kapaka,  pojačano suzenje</w:t>
            </w:r>
          </w:p>
          <w:p w14:paraId="5C35063F" w14:textId="59FB1CAC" w:rsidR="00C2694B" w:rsidRPr="00CA6CBA" w:rsidRDefault="00C2694B" w:rsidP="00A34CA5">
            <w:pPr>
              <w:pStyle w:val="NormalWeb"/>
              <w:spacing w:before="0" w:beforeAutospacing="0" w:after="0" w:afterAutospacing="0"/>
              <w:jc w:val="both"/>
              <w:rPr>
                <w:sz w:val="22"/>
                <w:szCs w:val="22"/>
                <w:lang w:val="sr-Latn-ME"/>
              </w:rPr>
            </w:pPr>
            <w:r w:rsidRPr="00CA6CBA">
              <w:rPr>
                <w:sz w:val="22"/>
                <w:szCs w:val="22"/>
                <w:u w:val="single"/>
                <w:lang w:val="sr-Latn-ME"/>
              </w:rPr>
              <w:t>Rijetko:</w:t>
            </w:r>
            <w:r w:rsidRPr="00CA6CBA">
              <w:rPr>
                <w:sz w:val="22"/>
                <w:szCs w:val="22"/>
                <w:lang w:val="sr-Latn-ME"/>
              </w:rPr>
              <w:t xml:space="preserve"> edem rožnjače, diplopija, smanjena oštrina vida, fotopsija, hipo</w:t>
            </w:r>
            <w:r w:rsidR="006144EA" w:rsidRPr="00CA6CBA">
              <w:rPr>
                <w:sz w:val="22"/>
                <w:szCs w:val="22"/>
                <w:lang w:val="sr-Latn-ME"/>
              </w:rPr>
              <w:t>e</w:t>
            </w:r>
            <w:r w:rsidRPr="00CA6CBA">
              <w:rPr>
                <w:sz w:val="22"/>
                <w:szCs w:val="22"/>
                <w:lang w:val="sr-Latn-ME"/>
              </w:rPr>
              <w:t>stezija oka, periorbitalni edem, povećan intraokularni pritisak, povećan odnos prečnika ekskavacije i optičkog diska</w:t>
            </w:r>
          </w:p>
          <w:p w14:paraId="793D9425" w14:textId="77777777" w:rsidR="00C2694B" w:rsidRPr="00CA6CBA" w:rsidRDefault="00C2694B">
            <w:pPr>
              <w:pStyle w:val="NormalWeb"/>
              <w:spacing w:before="0" w:beforeAutospacing="0" w:after="0" w:afterAutospacing="0"/>
              <w:jc w:val="both"/>
              <w:rPr>
                <w:sz w:val="22"/>
                <w:szCs w:val="22"/>
                <w:lang w:val="sr-Latn-ME"/>
              </w:rPr>
            </w:pPr>
            <w:r w:rsidRPr="00CA6CBA">
              <w:rPr>
                <w:sz w:val="22"/>
                <w:szCs w:val="22"/>
                <w:u w:val="single"/>
                <w:lang w:val="sr-Latn-ME" w:eastAsia="sr-Latn-CS"/>
              </w:rPr>
              <w:t>Nepoznato:</w:t>
            </w:r>
            <w:r w:rsidRPr="00CA6CBA">
              <w:rPr>
                <w:sz w:val="22"/>
                <w:szCs w:val="22"/>
                <w:lang w:val="sr-Latn-ME" w:eastAsia="sr-Latn-CS"/>
              </w:rPr>
              <w:t xml:space="preserve"> poremećaj rožnjače, poremećaj vida, alergija oka, madaroza, </w:t>
            </w:r>
            <w:r w:rsidRPr="00CA6CBA">
              <w:rPr>
                <w:sz w:val="22"/>
                <w:szCs w:val="22"/>
                <w:lang w:val="sr-Latn-ME"/>
              </w:rPr>
              <w:t>poremećaj očnih kapaka, eritem očnih kapaka</w:t>
            </w:r>
          </w:p>
        </w:tc>
      </w:tr>
      <w:tr w:rsidR="00C2694B" w:rsidRPr="00CA6CBA" w14:paraId="0A8CF8F6" w14:textId="77777777" w:rsidTr="00387646">
        <w:tc>
          <w:tcPr>
            <w:tcW w:w="4978" w:type="dxa"/>
            <w:tcBorders>
              <w:top w:val="single" w:sz="4" w:space="0" w:color="000000"/>
              <w:left w:val="single" w:sz="4" w:space="0" w:color="000000"/>
              <w:bottom w:val="single" w:sz="4" w:space="0" w:color="000000"/>
              <w:right w:val="single" w:sz="4" w:space="0" w:color="000000"/>
            </w:tcBorders>
            <w:vAlign w:val="center"/>
          </w:tcPr>
          <w:p w14:paraId="46AB0CE5"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eastAsia="sr-Latn-CS"/>
              </w:rPr>
              <w:t>Poremećaji uha i labirinta</w:t>
            </w:r>
          </w:p>
        </w:tc>
        <w:tc>
          <w:tcPr>
            <w:tcW w:w="4344" w:type="dxa"/>
            <w:tcBorders>
              <w:top w:val="single" w:sz="4" w:space="0" w:color="000000"/>
              <w:left w:val="single" w:sz="4" w:space="0" w:color="000000"/>
              <w:bottom w:val="single" w:sz="4" w:space="0" w:color="000000"/>
              <w:right w:val="single" w:sz="4" w:space="0" w:color="000000"/>
            </w:tcBorders>
          </w:tcPr>
          <w:p w14:paraId="2B1A9172"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Rijetko</w:t>
            </w:r>
            <w:r w:rsidRPr="00CA6CBA">
              <w:rPr>
                <w:sz w:val="22"/>
                <w:szCs w:val="22"/>
                <w:lang w:val="sr-Latn-ME" w:eastAsia="sr-Latn-CS"/>
              </w:rPr>
              <w:t>: tinitus</w:t>
            </w:r>
          </w:p>
          <w:p w14:paraId="354A9D9A"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u w:val="single"/>
                <w:lang w:val="sr-Latn-ME" w:eastAsia="sr-Latn-CS"/>
              </w:rPr>
              <w:t>Nepoznato:</w:t>
            </w:r>
            <w:r w:rsidRPr="00CA6CBA">
              <w:rPr>
                <w:sz w:val="22"/>
                <w:szCs w:val="22"/>
                <w:lang w:val="sr-Latn-ME" w:eastAsia="sr-Latn-CS"/>
              </w:rPr>
              <w:t xml:space="preserve"> vertigo</w:t>
            </w:r>
          </w:p>
        </w:tc>
      </w:tr>
      <w:tr w:rsidR="00C2694B" w:rsidRPr="00CA6CBA" w14:paraId="204B9D60"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5D37AAF1"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lang w:val="sr-Latn-ME" w:eastAsia="sr-Latn-CS"/>
              </w:rPr>
              <w:t>Poremećaji rada srca</w:t>
            </w:r>
          </w:p>
        </w:tc>
        <w:tc>
          <w:tcPr>
            <w:tcW w:w="4344" w:type="dxa"/>
            <w:tcBorders>
              <w:top w:val="single" w:sz="4" w:space="0" w:color="000000"/>
              <w:left w:val="single" w:sz="4" w:space="0" w:color="000000"/>
              <w:bottom w:val="single" w:sz="4" w:space="0" w:color="000000"/>
              <w:right w:val="single" w:sz="4" w:space="0" w:color="000000"/>
            </w:tcBorders>
          </w:tcPr>
          <w:p w14:paraId="3BA5B485"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xml:space="preserve">: kardio-respiratorni poremećaji, bradikardija, palpitacije </w:t>
            </w:r>
          </w:p>
          <w:p w14:paraId="5F0B2B68" w14:textId="77777777" w:rsidR="00C2694B" w:rsidRPr="00CA6CBA" w:rsidRDefault="00C2694B" w:rsidP="00CE15C2">
            <w:pPr>
              <w:pStyle w:val="NormalWeb"/>
              <w:spacing w:before="0" w:beforeAutospacing="0" w:after="0" w:afterAutospacing="0"/>
              <w:jc w:val="both"/>
              <w:rPr>
                <w:sz w:val="22"/>
                <w:szCs w:val="22"/>
                <w:u w:val="single"/>
                <w:lang w:val="sr-Latn-ME" w:eastAsia="sr-Latn-CS"/>
              </w:rPr>
            </w:pPr>
            <w:r w:rsidRPr="00CA6CBA">
              <w:rPr>
                <w:sz w:val="22"/>
                <w:szCs w:val="22"/>
                <w:u w:val="single"/>
                <w:lang w:val="sr-Latn-ME" w:eastAsia="sr-Latn-CS"/>
              </w:rPr>
              <w:t xml:space="preserve">Rijetko: </w:t>
            </w:r>
            <w:r w:rsidRPr="00CA6CBA">
              <w:rPr>
                <w:sz w:val="22"/>
                <w:szCs w:val="22"/>
                <w:lang w:val="sr-Latn-ME" w:eastAsia="sr-Latn-CS"/>
              </w:rPr>
              <w:t>angina pektoris, nepravilan puls</w:t>
            </w:r>
          </w:p>
          <w:p w14:paraId="4A8D0D7F" w14:textId="77777777" w:rsidR="00C2694B" w:rsidRPr="00CA6CBA" w:rsidRDefault="00C2694B" w:rsidP="00A34CA5">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Nepoznato:</w:t>
            </w:r>
            <w:r w:rsidRPr="00CA6CBA">
              <w:rPr>
                <w:sz w:val="22"/>
                <w:szCs w:val="22"/>
                <w:lang w:val="sr-Latn-ME" w:eastAsia="sr-Latn-CS"/>
              </w:rPr>
              <w:t xml:space="preserve"> aritmija, tahikardija, hipertenzija, povišen krvni pritisak, snižen krvni pritisak, povećan puls</w:t>
            </w:r>
          </w:p>
        </w:tc>
      </w:tr>
      <w:tr w:rsidR="00C2694B" w:rsidRPr="00CA6CBA" w14:paraId="25DE6375"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0FE1365B"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Poremećaji respiratornog sistema, grudnog koša i medijastinuma</w:t>
            </w:r>
          </w:p>
        </w:tc>
        <w:tc>
          <w:tcPr>
            <w:tcW w:w="4344" w:type="dxa"/>
            <w:tcBorders>
              <w:top w:val="single" w:sz="4" w:space="0" w:color="000000"/>
              <w:left w:val="single" w:sz="4" w:space="0" w:color="000000"/>
              <w:bottom w:val="single" w:sz="4" w:space="0" w:color="000000"/>
              <w:right w:val="single" w:sz="4" w:space="0" w:color="000000"/>
            </w:tcBorders>
          </w:tcPr>
          <w:p w14:paraId="4DEF09AA" w14:textId="35861D69"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dispneja, epista</w:t>
            </w:r>
            <w:r w:rsidR="00A52A56" w:rsidRPr="00CA6CBA">
              <w:rPr>
                <w:sz w:val="22"/>
                <w:szCs w:val="22"/>
                <w:lang w:val="sr-Latn-ME" w:eastAsia="sr-Latn-CS"/>
              </w:rPr>
              <w:t>ksa</w:t>
            </w:r>
            <w:r w:rsidRPr="00CA6CBA">
              <w:rPr>
                <w:sz w:val="22"/>
                <w:szCs w:val="22"/>
                <w:lang w:val="sr-Latn-ME" w:eastAsia="sr-Latn-CS"/>
              </w:rPr>
              <w:t>, orofaringealni bol, faringolaringealni bol, iritacija grla, sindrom kašlja gornjih respiratornih puteva, rinoreja, kijanje</w:t>
            </w:r>
          </w:p>
          <w:p w14:paraId="665298F8" w14:textId="03BA4AF1"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Rijetko</w:t>
            </w:r>
            <w:r w:rsidRPr="00CA6CBA">
              <w:rPr>
                <w:sz w:val="22"/>
                <w:szCs w:val="22"/>
                <w:lang w:val="sr-Latn-ME" w:eastAsia="sr-Latn-CS"/>
              </w:rPr>
              <w:t xml:space="preserve">: bronhijalna preosetljivost, kongestija </w:t>
            </w:r>
            <w:r w:rsidR="00A52A56" w:rsidRPr="00CA6CBA">
              <w:rPr>
                <w:sz w:val="22"/>
                <w:szCs w:val="22"/>
                <w:lang w:val="sr-Latn-ME" w:eastAsia="sr-Latn-CS"/>
              </w:rPr>
              <w:t xml:space="preserve">u </w:t>
            </w:r>
            <w:r w:rsidRPr="00CA6CBA">
              <w:rPr>
                <w:sz w:val="22"/>
                <w:szCs w:val="22"/>
                <w:lang w:val="sr-Latn-ME" w:eastAsia="sr-Latn-CS"/>
              </w:rPr>
              <w:t>gornje</w:t>
            </w:r>
            <w:r w:rsidR="00A52A56" w:rsidRPr="00CA6CBA">
              <w:rPr>
                <w:sz w:val="22"/>
                <w:szCs w:val="22"/>
                <w:lang w:val="sr-Latn-ME" w:eastAsia="sr-Latn-CS"/>
              </w:rPr>
              <w:t>m</w:t>
            </w:r>
            <w:r w:rsidRPr="00CA6CBA">
              <w:rPr>
                <w:sz w:val="22"/>
                <w:szCs w:val="22"/>
                <w:lang w:val="sr-Latn-ME" w:eastAsia="sr-Latn-CS"/>
              </w:rPr>
              <w:t xml:space="preserve"> </w:t>
            </w:r>
            <w:r w:rsidR="00A52A56" w:rsidRPr="00CA6CBA">
              <w:rPr>
                <w:sz w:val="22"/>
                <w:szCs w:val="22"/>
                <w:lang w:val="sr-Latn-ME" w:eastAsia="sr-Latn-CS"/>
              </w:rPr>
              <w:t xml:space="preserve">dijelu </w:t>
            </w:r>
            <w:r w:rsidRPr="00CA6CBA">
              <w:rPr>
                <w:sz w:val="22"/>
                <w:szCs w:val="22"/>
                <w:lang w:val="sr-Latn-ME" w:eastAsia="sr-Latn-CS"/>
              </w:rPr>
              <w:t>respiratornog trakta, sinusna kongestija, nazalna kongestija, kašalj, nazalna suvoća</w:t>
            </w:r>
          </w:p>
          <w:p w14:paraId="09C3569C" w14:textId="77777777" w:rsidR="00C2694B" w:rsidRPr="00CA6CBA" w:rsidRDefault="00C2694B" w:rsidP="00A34CA5">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Nepoznato</w:t>
            </w:r>
            <w:r w:rsidRPr="00CA6CBA">
              <w:rPr>
                <w:sz w:val="22"/>
                <w:szCs w:val="22"/>
                <w:lang w:val="sr-Latn-ME" w:eastAsia="sr-Latn-CS"/>
              </w:rPr>
              <w:t>: astma</w:t>
            </w:r>
          </w:p>
        </w:tc>
      </w:tr>
      <w:tr w:rsidR="00C2694B" w:rsidRPr="00CA6CBA" w14:paraId="60C4FFF5"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5F9A4F9A"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Gastrointestinalni poremećaji</w:t>
            </w:r>
          </w:p>
        </w:tc>
        <w:tc>
          <w:tcPr>
            <w:tcW w:w="4344" w:type="dxa"/>
            <w:tcBorders>
              <w:top w:val="single" w:sz="4" w:space="0" w:color="000000"/>
              <w:left w:val="single" w:sz="4" w:space="0" w:color="000000"/>
              <w:bottom w:val="single" w:sz="4" w:space="0" w:color="000000"/>
              <w:right w:val="single" w:sz="4" w:space="0" w:color="000000"/>
            </w:tcBorders>
          </w:tcPr>
          <w:p w14:paraId="3DECA774"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u w:val="single"/>
                <w:lang w:val="sr-Latn-ME"/>
              </w:rPr>
              <w:t>Često:</w:t>
            </w:r>
            <w:r w:rsidRPr="00CA6CBA">
              <w:rPr>
                <w:sz w:val="22"/>
                <w:szCs w:val="22"/>
                <w:lang w:val="sr-Latn-ME"/>
              </w:rPr>
              <w:t xml:space="preserve"> disgeuzija</w:t>
            </w:r>
          </w:p>
          <w:p w14:paraId="3AE0E52F" w14:textId="0321012A"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lastRenderedPageBreak/>
              <w:t>Povremeno</w:t>
            </w:r>
            <w:r w:rsidRPr="00CA6CBA">
              <w:rPr>
                <w:sz w:val="22"/>
                <w:szCs w:val="22"/>
                <w:lang w:val="sr-Latn-ME" w:eastAsia="sr-Latn-CS"/>
              </w:rPr>
              <w:t xml:space="preserve">: </w:t>
            </w:r>
            <w:r w:rsidRPr="00CA6CBA">
              <w:rPr>
                <w:sz w:val="22"/>
                <w:szCs w:val="22"/>
                <w:lang w:val="sr-Latn-ME"/>
              </w:rPr>
              <w:t>ezofagitis, dijareja, mučnina, povraćanje, dispepsija, bol u gornjem dijelu abdomena, nelagodnost u abdomenu, nelagodnost u stomaku, nadimanje, učestali pokreti crijeva,</w:t>
            </w:r>
            <w:r w:rsidR="00A52A56" w:rsidRPr="00CA6CBA">
              <w:rPr>
                <w:sz w:val="22"/>
                <w:szCs w:val="22"/>
                <w:lang w:val="sr-Latn-ME"/>
              </w:rPr>
              <w:t xml:space="preserve"> </w:t>
            </w:r>
            <w:r w:rsidRPr="00CA6CBA">
              <w:rPr>
                <w:sz w:val="22"/>
                <w:szCs w:val="22"/>
                <w:lang w:val="sr-Latn-ME"/>
              </w:rPr>
              <w:t>gastrointestinalni poremećaj, oralna hipoestezija, oralna parestezija, suvoća usta</w:t>
            </w:r>
          </w:p>
        </w:tc>
      </w:tr>
      <w:tr w:rsidR="00C2694B" w:rsidRPr="00CA6CBA" w14:paraId="74ABADC2"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009C4994"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lastRenderedPageBreak/>
              <w:t>Hepatobiliarni poremećaji</w:t>
            </w:r>
          </w:p>
        </w:tc>
        <w:tc>
          <w:tcPr>
            <w:tcW w:w="4344" w:type="dxa"/>
            <w:tcBorders>
              <w:top w:val="single" w:sz="4" w:space="0" w:color="000000"/>
              <w:left w:val="single" w:sz="4" w:space="0" w:color="000000"/>
              <w:bottom w:val="single" w:sz="4" w:space="0" w:color="000000"/>
              <w:right w:val="single" w:sz="4" w:space="0" w:color="000000"/>
            </w:tcBorders>
          </w:tcPr>
          <w:p w14:paraId="06BF51A4"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Nepoznato</w:t>
            </w:r>
            <w:r w:rsidRPr="00CA6CBA">
              <w:rPr>
                <w:sz w:val="22"/>
                <w:szCs w:val="22"/>
                <w:lang w:val="sr-Latn-ME" w:eastAsia="sr-Latn-CS"/>
              </w:rPr>
              <w:t>: Poremećaji u vrijednostima funkcionalnih testova jetre</w:t>
            </w:r>
          </w:p>
        </w:tc>
      </w:tr>
      <w:tr w:rsidR="00C2694B" w:rsidRPr="00CA6CBA" w14:paraId="4FDFAEF5"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7935E51F"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Poremećaji kože i potkožnog tkiva</w:t>
            </w:r>
          </w:p>
        </w:tc>
        <w:tc>
          <w:tcPr>
            <w:tcW w:w="4344" w:type="dxa"/>
            <w:tcBorders>
              <w:top w:val="single" w:sz="4" w:space="0" w:color="000000"/>
              <w:left w:val="single" w:sz="4" w:space="0" w:color="000000"/>
              <w:bottom w:val="single" w:sz="4" w:space="0" w:color="000000"/>
              <w:right w:val="single" w:sz="4" w:space="0" w:color="000000"/>
            </w:tcBorders>
          </w:tcPr>
          <w:p w14:paraId="23A3BF3D"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xml:space="preserve">: osip, makulo-papularni osip,  zategnutost kože </w:t>
            </w:r>
          </w:p>
          <w:p w14:paraId="5BEC4D11" w14:textId="072CC60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Rijetko</w:t>
            </w:r>
            <w:r w:rsidRPr="00CA6CBA">
              <w:rPr>
                <w:sz w:val="22"/>
                <w:szCs w:val="22"/>
                <w:lang w:val="sr-Latn-ME" w:eastAsia="sr-Latn-CS"/>
              </w:rPr>
              <w:t>: urtikarija, alopecija,</w:t>
            </w:r>
            <w:r w:rsidR="00A52A56" w:rsidRPr="00CA6CBA">
              <w:rPr>
                <w:sz w:val="22"/>
                <w:szCs w:val="22"/>
                <w:lang w:val="sr-Latn-ME" w:eastAsia="sr-Latn-CS"/>
              </w:rPr>
              <w:t xml:space="preserve"> </w:t>
            </w:r>
            <w:r w:rsidRPr="00CA6CBA">
              <w:rPr>
                <w:sz w:val="22"/>
                <w:szCs w:val="22"/>
                <w:lang w:val="sr-Latn-ME" w:eastAsia="sr-Latn-CS"/>
              </w:rPr>
              <w:t>generalizovani pruritis</w:t>
            </w:r>
          </w:p>
          <w:p w14:paraId="13557113" w14:textId="324419D5" w:rsidR="00C2694B" w:rsidRPr="00CA6CBA" w:rsidRDefault="00C2694B" w:rsidP="00A34CA5">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Nepoznato</w:t>
            </w:r>
            <w:r w:rsidRPr="00CA6CBA">
              <w:rPr>
                <w:sz w:val="22"/>
                <w:szCs w:val="22"/>
                <w:lang w:val="sr-Latn-ME" w:eastAsia="sr-Latn-CS"/>
              </w:rPr>
              <w:t xml:space="preserve">: </w:t>
            </w:r>
            <w:r w:rsidR="00BB6A18" w:rsidRPr="00CA6CBA">
              <w:rPr>
                <w:sz w:val="22"/>
                <w:szCs w:val="22"/>
                <w:lang w:val="sr-Latn-ME" w:eastAsia="sr-Latn-CS"/>
              </w:rPr>
              <w:t>Stevens</w:t>
            </w:r>
            <w:r w:rsidR="00BB6A18" w:rsidRPr="00CA6CBA">
              <w:rPr>
                <w:sz w:val="22"/>
                <w:szCs w:val="22"/>
                <w:lang w:val="sr-Latn-ME" w:eastAsia="sr-Latn-CS"/>
              </w:rPr>
              <w:noBreakHyphen/>
              <w:t>Johnsonov sindrom (SJS)/toksična epidermalna nekroliza (TEN) (vid</w:t>
            </w:r>
            <w:r w:rsidR="00364F04" w:rsidRPr="00CA6CBA">
              <w:rPr>
                <w:sz w:val="22"/>
                <w:szCs w:val="22"/>
                <w:lang w:val="sr-Latn-ME" w:eastAsia="sr-Latn-CS"/>
              </w:rPr>
              <w:t>j</w:t>
            </w:r>
            <w:r w:rsidR="00BB6A18" w:rsidRPr="00CA6CBA">
              <w:rPr>
                <w:sz w:val="22"/>
                <w:szCs w:val="22"/>
                <w:lang w:val="sr-Latn-ME" w:eastAsia="sr-Latn-CS"/>
              </w:rPr>
              <w:t xml:space="preserve">eti </w:t>
            </w:r>
            <w:r w:rsidR="002A72AD" w:rsidRPr="00CA6CBA">
              <w:rPr>
                <w:sz w:val="22"/>
                <w:szCs w:val="22"/>
                <w:lang w:val="sr-Latn-ME" w:eastAsia="sr-Latn-CS"/>
              </w:rPr>
              <w:t>dio</w:t>
            </w:r>
            <w:r w:rsidR="00BB6A18" w:rsidRPr="00CA6CBA">
              <w:rPr>
                <w:sz w:val="22"/>
                <w:szCs w:val="22"/>
                <w:lang w:val="sr-Latn-ME" w:eastAsia="sr-Latn-CS"/>
              </w:rPr>
              <w:t xml:space="preserve"> 4.4), </w:t>
            </w:r>
            <w:r w:rsidRPr="00CA6CBA">
              <w:rPr>
                <w:sz w:val="22"/>
                <w:szCs w:val="22"/>
                <w:lang w:val="sr-Latn-ME" w:eastAsia="sr-Latn-CS"/>
              </w:rPr>
              <w:t>dermatitis, eritem</w:t>
            </w:r>
          </w:p>
        </w:tc>
      </w:tr>
      <w:tr w:rsidR="00C2694B" w:rsidRPr="00CA6CBA" w14:paraId="3628D829"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5347CAAA"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Poremećaji  koštano-mišićnog sistema i vezivnog tkiva</w:t>
            </w:r>
          </w:p>
        </w:tc>
        <w:tc>
          <w:tcPr>
            <w:tcW w:w="4344" w:type="dxa"/>
            <w:tcBorders>
              <w:top w:val="single" w:sz="4" w:space="0" w:color="000000"/>
              <w:left w:val="single" w:sz="4" w:space="0" w:color="000000"/>
              <w:bottom w:val="single" w:sz="4" w:space="0" w:color="000000"/>
              <w:right w:val="single" w:sz="4" w:space="0" w:color="000000"/>
            </w:tcBorders>
          </w:tcPr>
          <w:p w14:paraId="0436B78D"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xml:space="preserve">: bol u leđima, mišićni spazam, mialgija </w:t>
            </w:r>
          </w:p>
          <w:p w14:paraId="422C3CE4"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Nepoznato</w:t>
            </w:r>
            <w:r w:rsidRPr="00CA6CBA">
              <w:rPr>
                <w:sz w:val="22"/>
                <w:szCs w:val="22"/>
                <w:lang w:val="sr-Latn-ME" w:eastAsia="sr-Latn-CS"/>
              </w:rPr>
              <w:t>: artralgija, bol u ekstremitetima</w:t>
            </w:r>
          </w:p>
        </w:tc>
      </w:tr>
      <w:tr w:rsidR="00C2694B" w:rsidRPr="00CA6CBA" w14:paraId="4D4F9834"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57F974DC"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Poremećaji bubrega i mokraćnog sistema</w:t>
            </w:r>
          </w:p>
        </w:tc>
        <w:tc>
          <w:tcPr>
            <w:tcW w:w="4344" w:type="dxa"/>
            <w:tcBorders>
              <w:top w:val="single" w:sz="4" w:space="0" w:color="000000"/>
              <w:left w:val="single" w:sz="4" w:space="0" w:color="000000"/>
              <w:bottom w:val="single" w:sz="4" w:space="0" w:color="000000"/>
              <w:right w:val="single" w:sz="4" w:space="0" w:color="000000"/>
            </w:tcBorders>
          </w:tcPr>
          <w:p w14:paraId="1804FF34"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renalni bol</w:t>
            </w:r>
          </w:p>
          <w:p w14:paraId="12BF3B38"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Nepoznato</w:t>
            </w:r>
            <w:r w:rsidRPr="00CA6CBA">
              <w:rPr>
                <w:sz w:val="22"/>
                <w:szCs w:val="22"/>
                <w:lang w:val="sr-Latn-ME" w:eastAsia="sr-Latn-CS"/>
              </w:rPr>
              <w:t>:  polakiurija</w:t>
            </w:r>
          </w:p>
        </w:tc>
      </w:tr>
      <w:tr w:rsidR="00C2694B" w:rsidRPr="00CA6CBA" w14:paraId="6E4D9CBE"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018ED9F6"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eastAsia="sr-Latn-CS"/>
              </w:rPr>
              <w:t>Poremećaji reproduktivnog sistema i na nivou dojki</w:t>
            </w:r>
          </w:p>
        </w:tc>
        <w:tc>
          <w:tcPr>
            <w:tcW w:w="4344" w:type="dxa"/>
            <w:tcBorders>
              <w:top w:val="single" w:sz="4" w:space="0" w:color="000000"/>
              <w:left w:val="single" w:sz="4" w:space="0" w:color="000000"/>
              <w:bottom w:val="single" w:sz="4" w:space="0" w:color="000000"/>
              <w:right w:val="single" w:sz="4" w:space="0" w:color="000000"/>
            </w:tcBorders>
          </w:tcPr>
          <w:p w14:paraId="604C6864"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erektilna disfunkcija</w:t>
            </w:r>
          </w:p>
        </w:tc>
      </w:tr>
      <w:tr w:rsidR="00C2694B" w:rsidRPr="00CA6CBA" w14:paraId="7E22B70B" w14:textId="77777777" w:rsidTr="00387646">
        <w:tc>
          <w:tcPr>
            <w:tcW w:w="4978" w:type="dxa"/>
            <w:tcBorders>
              <w:top w:val="single" w:sz="4" w:space="0" w:color="000000"/>
              <w:left w:val="single" w:sz="4" w:space="0" w:color="000000"/>
              <w:bottom w:val="single" w:sz="4" w:space="0" w:color="000000"/>
              <w:right w:val="single" w:sz="4" w:space="0" w:color="000000"/>
            </w:tcBorders>
          </w:tcPr>
          <w:p w14:paraId="32831737"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Opšti poremećaji i stanja na mjestu primjene</w:t>
            </w:r>
          </w:p>
        </w:tc>
        <w:tc>
          <w:tcPr>
            <w:tcW w:w="4344" w:type="dxa"/>
            <w:tcBorders>
              <w:top w:val="single" w:sz="4" w:space="0" w:color="000000"/>
              <w:left w:val="single" w:sz="4" w:space="0" w:color="000000"/>
              <w:bottom w:val="single" w:sz="4" w:space="0" w:color="000000"/>
              <w:right w:val="single" w:sz="4" w:space="0" w:color="000000"/>
            </w:tcBorders>
          </w:tcPr>
          <w:p w14:paraId="6A1E6BED" w14:textId="3169FC49"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bol, nelagodnost u grudima, opšta slabost</w:t>
            </w:r>
            <w:r w:rsidR="006144EA" w:rsidRPr="00CA6CBA">
              <w:rPr>
                <w:sz w:val="22"/>
                <w:szCs w:val="22"/>
                <w:lang w:val="sr-Latn-ME" w:eastAsia="sr-Latn-CS"/>
              </w:rPr>
              <w:t>, opšta nelagodnost</w:t>
            </w:r>
            <w:r w:rsidRPr="00CA6CBA">
              <w:rPr>
                <w:sz w:val="22"/>
                <w:szCs w:val="22"/>
                <w:lang w:val="sr-Latn-ME" w:eastAsia="sr-Latn-CS"/>
              </w:rPr>
              <w:t xml:space="preserve"> </w:t>
            </w:r>
          </w:p>
          <w:p w14:paraId="2C1F3FDC"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 xml:space="preserve">Rijetko: </w:t>
            </w:r>
            <w:r w:rsidRPr="00CA6CBA">
              <w:rPr>
                <w:sz w:val="22"/>
                <w:szCs w:val="22"/>
                <w:lang w:val="sr-Latn-ME" w:eastAsia="sr-Latn-CS"/>
              </w:rPr>
              <w:t xml:space="preserve">bol u grudima, osjećaj nelagode i nervoze, astenija, iritabilnost </w:t>
            </w:r>
          </w:p>
          <w:p w14:paraId="45E1AFD1" w14:textId="77777777" w:rsidR="00C2694B" w:rsidRPr="00CA6CBA" w:rsidRDefault="00C2694B" w:rsidP="00A34CA5">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Nepoznato</w:t>
            </w:r>
            <w:r w:rsidRPr="00CA6CBA">
              <w:rPr>
                <w:sz w:val="22"/>
                <w:szCs w:val="22"/>
                <w:lang w:val="sr-Latn-ME" w:eastAsia="sr-Latn-CS"/>
              </w:rPr>
              <w:t>:  periferni edem, slabost</w:t>
            </w:r>
          </w:p>
        </w:tc>
      </w:tr>
      <w:tr w:rsidR="00C2694B" w:rsidRPr="00CA6CBA" w14:paraId="09BEB06B" w14:textId="77777777" w:rsidTr="00387646">
        <w:trPr>
          <w:trHeight w:val="411"/>
        </w:trPr>
        <w:tc>
          <w:tcPr>
            <w:tcW w:w="4978" w:type="dxa"/>
            <w:tcBorders>
              <w:top w:val="single" w:sz="4" w:space="0" w:color="000000"/>
              <w:left w:val="single" w:sz="4" w:space="0" w:color="000000"/>
              <w:bottom w:val="single" w:sz="4" w:space="0" w:color="000000"/>
              <w:right w:val="single" w:sz="4" w:space="0" w:color="000000"/>
            </w:tcBorders>
          </w:tcPr>
          <w:p w14:paraId="14D52433" w14:textId="77777777"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eastAsia="sr-Latn-CS"/>
              </w:rPr>
              <w:t>Povrede, trovanje i komplikacije tokom primjene lijeka</w:t>
            </w:r>
          </w:p>
        </w:tc>
        <w:tc>
          <w:tcPr>
            <w:tcW w:w="4344" w:type="dxa"/>
            <w:tcBorders>
              <w:top w:val="single" w:sz="4" w:space="0" w:color="000000"/>
              <w:left w:val="single" w:sz="4" w:space="0" w:color="000000"/>
              <w:bottom w:val="single" w:sz="4" w:space="0" w:color="000000"/>
              <w:right w:val="single" w:sz="4" w:space="0" w:color="000000"/>
            </w:tcBorders>
          </w:tcPr>
          <w:p w14:paraId="4FDA6E1A" w14:textId="77777777" w:rsidR="00C2694B" w:rsidRPr="00CA6CBA" w:rsidRDefault="00C2694B" w:rsidP="00CE15C2">
            <w:pPr>
              <w:pStyle w:val="NormalWeb"/>
              <w:spacing w:before="0" w:beforeAutospacing="0" w:after="0" w:afterAutospacing="0"/>
              <w:jc w:val="both"/>
              <w:rPr>
                <w:sz w:val="22"/>
                <w:szCs w:val="22"/>
                <w:lang w:val="sr-Latn-ME" w:eastAsia="sr-Latn-CS"/>
              </w:rPr>
            </w:pPr>
            <w:r w:rsidRPr="00CA6CBA">
              <w:rPr>
                <w:sz w:val="22"/>
                <w:szCs w:val="22"/>
                <w:u w:val="single"/>
                <w:lang w:val="sr-Latn-ME" w:eastAsia="sr-Latn-CS"/>
              </w:rPr>
              <w:t>Povremeno</w:t>
            </w:r>
            <w:r w:rsidRPr="00CA6CBA">
              <w:rPr>
                <w:sz w:val="22"/>
                <w:szCs w:val="22"/>
                <w:lang w:val="sr-Latn-ME" w:eastAsia="sr-Latn-CS"/>
              </w:rPr>
              <w:t>: strano tijelo u oku</w:t>
            </w:r>
          </w:p>
        </w:tc>
      </w:tr>
    </w:tbl>
    <w:p w14:paraId="7BB61FD1" w14:textId="23598809" w:rsidR="00C2694B" w:rsidRPr="00CA6CBA" w:rsidRDefault="00C2694B" w:rsidP="00CE15C2">
      <w:pPr>
        <w:tabs>
          <w:tab w:val="left" w:pos="540"/>
          <w:tab w:val="left" w:pos="569"/>
        </w:tabs>
        <w:jc w:val="both"/>
        <w:rPr>
          <w:b/>
          <w:bCs/>
          <w:sz w:val="22"/>
          <w:szCs w:val="22"/>
          <w:lang w:val="sr-Latn-ME"/>
        </w:rPr>
      </w:pPr>
    </w:p>
    <w:p w14:paraId="5DBF3658" w14:textId="77777777" w:rsidR="00C2694B" w:rsidRPr="00CA6CBA" w:rsidRDefault="00C2694B" w:rsidP="00CE15C2">
      <w:pPr>
        <w:jc w:val="both"/>
        <w:rPr>
          <w:sz w:val="22"/>
          <w:szCs w:val="22"/>
          <w:u w:val="single"/>
          <w:lang w:val="sr-Latn-ME"/>
        </w:rPr>
      </w:pPr>
      <w:r w:rsidRPr="00CA6CBA">
        <w:rPr>
          <w:sz w:val="22"/>
          <w:szCs w:val="22"/>
          <w:u w:val="single"/>
          <w:lang w:val="sr-Latn-ME"/>
        </w:rPr>
        <w:t>Opis odabranih neželjenih dejstava</w:t>
      </w:r>
    </w:p>
    <w:p w14:paraId="0B94AB42" w14:textId="44720AD8" w:rsidR="00C2694B" w:rsidRPr="00CA6CBA" w:rsidRDefault="00C2694B" w:rsidP="00CE15C2">
      <w:pPr>
        <w:jc w:val="both"/>
        <w:rPr>
          <w:sz w:val="22"/>
          <w:szCs w:val="22"/>
          <w:lang w:val="sr-Latn-ME"/>
        </w:rPr>
      </w:pPr>
      <w:r w:rsidRPr="00CA6CBA">
        <w:rPr>
          <w:sz w:val="22"/>
          <w:szCs w:val="22"/>
          <w:lang w:val="sr-Latn-ME"/>
        </w:rPr>
        <w:t>Disgeuzija (gorak ili neobičan ukus u ustima nakon ukapavanja) je najčešće prijavljeno neželjeno sistemsko dejstvo povezano sa primjenom lijeka Azopt</w:t>
      </w:r>
      <w:r w:rsidRPr="00CA6CBA">
        <w:rPr>
          <w:bCs/>
          <w:sz w:val="22"/>
          <w:szCs w:val="22"/>
          <w:lang w:val="sr-Latn-ME"/>
        </w:rPr>
        <w:t xml:space="preserve"> u toku kliničkih studija.</w:t>
      </w:r>
      <w:r w:rsidRPr="00CA6CBA">
        <w:rPr>
          <w:sz w:val="22"/>
          <w:szCs w:val="22"/>
          <w:lang w:val="sr-Latn-ME"/>
        </w:rPr>
        <w:t xml:space="preserve"> V</w:t>
      </w:r>
      <w:r w:rsidR="002A72AD" w:rsidRPr="00CA6CBA">
        <w:rPr>
          <w:sz w:val="22"/>
          <w:szCs w:val="22"/>
          <w:lang w:val="sr-Latn-ME"/>
        </w:rPr>
        <w:t>j</w:t>
      </w:r>
      <w:r w:rsidRPr="00CA6CBA">
        <w:rPr>
          <w:sz w:val="22"/>
          <w:szCs w:val="22"/>
          <w:lang w:val="sr-Latn-ME"/>
        </w:rPr>
        <w:t>erovatno je izazvana prolaskom kapi za oči u nazofarinks preko nazolakrimalnog kanala. Okluzija nazolakrimalnog kanala ili nježno zatvaranje očnog kapka nakon ukapavanja lijeka mogu da pomognu u smanjenju incidence ovog dejstva (vidjeti i dio 4.2).</w:t>
      </w:r>
    </w:p>
    <w:p w14:paraId="617ABBEC" w14:textId="77777777" w:rsidR="00C2694B" w:rsidRPr="00CA6CBA" w:rsidRDefault="00C2694B" w:rsidP="00A34CA5">
      <w:pPr>
        <w:jc w:val="both"/>
        <w:rPr>
          <w:sz w:val="22"/>
          <w:szCs w:val="22"/>
          <w:lang w:val="sr-Latn-ME"/>
        </w:rPr>
      </w:pPr>
    </w:p>
    <w:p w14:paraId="3C88285F" w14:textId="77777777" w:rsidR="00C2694B" w:rsidRPr="00CA6CBA" w:rsidRDefault="00C2694B">
      <w:pPr>
        <w:jc w:val="both"/>
        <w:rPr>
          <w:sz w:val="22"/>
          <w:szCs w:val="22"/>
          <w:lang w:val="sr-Latn-ME"/>
        </w:rPr>
      </w:pPr>
      <w:r w:rsidRPr="00CA6CBA">
        <w:rPr>
          <w:sz w:val="22"/>
          <w:szCs w:val="22"/>
          <w:lang w:val="sr-Latn-ME"/>
        </w:rPr>
        <w:t>Azopt je sulfonamidski inhibitor karboanhidraze sa sistemskom resorpcijom. Gastrointestinalna, dejstva na nervni sistem, hematološka, bubrežna i metabolička dejstva su uglavnom povezana sa sistemskim inhibitorima karboanhidraze. Ista vrsta neželjenih dejstava koja se može pripisati oralnim inhibitorima karboanhidraze može da se javi i kod topikalne primjene.</w:t>
      </w:r>
    </w:p>
    <w:p w14:paraId="4E81A3F8" w14:textId="77777777" w:rsidR="00C2694B" w:rsidRPr="00CA6CBA" w:rsidRDefault="00C2694B">
      <w:pPr>
        <w:tabs>
          <w:tab w:val="left" w:pos="540"/>
          <w:tab w:val="left" w:pos="569"/>
        </w:tabs>
        <w:jc w:val="both"/>
        <w:rPr>
          <w:b/>
          <w:bCs/>
          <w:sz w:val="22"/>
          <w:szCs w:val="22"/>
          <w:lang w:val="sr-Latn-ME"/>
        </w:rPr>
      </w:pPr>
    </w:p>
    <w:p w14:paraId="5E7C4AAB" w14:textId="3669699E" w:rsidR="00C2694B" w:rsidRPr="00CA6CBA" w:rsidRDefault="00C2694B">
      <w:pPr>
        <w:jc w:val="both"/>
        <w:rPr>
          <w:sz w:val="22"/>
          <w:szCs w:val="22"/>
          <w:lang w:val="sr-Latn-ME"/>
        </w:rPr>
      </w:pPr>
      <w:r w:rsidRPr="00CA6CBA">
        <w:rPr>
          <w:sz w:val="22"/>
          <w:szCs w:val="22"/>
          <w:lang w:val="sr-Latn-ME"/>
        </w:rPr>
        <w:t>Ni</w:t>
      </w:r>
      <w:r w:rsidR="002A72AD" w:rsidRPr="00CA6CBA">
        <w:rPr>
          <w:sz w:val="22"/>
          <w:szCs w:val="22"/>
          <w:lang w:val="sr-Latn-ME"/>
        </w:rPr>
        <w:t>je</w:t>
      </w:r>
      <w:r w:rsidRPr="00CA6CBA">
        <w:rPr>
          <w:sz w:val="22"/>
          <w:szCs w:val="22"/>
          <w:lang w:val="sr-Latn-ME"/>
        </w:rPr>
        <w:t>su prim</w:t>
      </w:r>
      <w:r w:rsidR="002A72AD" w:rsidRPr="00CA6CBA">
        <w:rPr>
          <w:sz w:val="22"/>
          <w:szCs w:val="22"/>
          <w:lang w:val="sr-Latn-ME"/>
        </w:rPr>
        <w:t>i</w:t>
      </w:r>
      <w:r w:rsidRPr="00CA6CBA">
        <w:rPr>
          <w:sz w:val="22"/>
          <w:szCs w:val="22"/>
          <w:lang w:val="sr-Latn-ME"/>
        </w:rPr>
        <w:t>jećene neočekivane neželjene reakcije kod lijeka Azopt kada se koristi kao prateća terapija travoprostu. Neželjene reakcije zabilježene u pratećoj terapiji su već primjećene kod svake aktivne supstance posebno.</w:t>
      </w:r>
    </w:p>
    <w:p w14:paraId="61495956" w14:textId="77777777" w:rsidR="00C2694B" w:rsidRPr="00CA6CBA" w:rsidRDefault="00C2694B">
      <w:pPr>
        <w:jc w:val="both"/>
        <w:rPr>
          <w:sz w:val="22"/>
          <w:szCs w:val="22"/>
          <w:lang w:val="sr-Latn-ME"/>
        </w:rPr>
      </w:pPr>
    </w:p>
    <w:p w14:paraId="55F52290" w14:textId="77777777" w:rsidR="00C2694B" w:rsidRPr="00CA6CBA" w:rsidRDefault="00C2694B">
      <w:pPr>
        <w:jc w:val="both"/>
        <w:rPr>
          <w:sz w:val="22"/>
          <w:szCs w:val="22"/>
          <w:u w:val="single"/>
          <w:lang w:val="sr-Latn-ME"/>
        </w:rPr>
      </w:pPr>
      <w:r w:rsidRPr="00CA6CBA">
        <w:rPr>
          <w:sz w:val="22"/>
          <w:szCs w:val="22"/>
          <w:u w:val="single"/>
          <w:lang w:val="sr-Latn-ME"/>
        </w:rPr>
        <w:t>Primjena kod djece</w:t>
      </w:r>
    </w:p>
    <w:p w14:paraId="383BE4DA" w14:textId="3A0C9D32" w:rsidR="00C2694B" w:rsidRPr="00CA6CBA" w:rsidRDefault="00C2694B">
      <w:pPr>
        <w:jc w:val="both"/>
        <w:rPr>
          <w:sz w:val="22"/>
          <w:szCs w:val="22"/>
          <w:lang w:val="sr-Latn-ME"/>
        </w:rPr>
      </w:pPr>
      <w:r w:rsidRPr="00CA6CBA">
        <w:rPr>
          <w:sz w:val="22"/>
          <w:szCs w:val="22"/>
          <w:lang w:val="sr-Latn-ME"/>
        </w:rPr>
        <w:t xml:space="preserve">U malim kratkotrajnim kliničkim studijama, približno 12.5 % pedijatrijskih pacijenata je imalo neželjene reakcije, većina su bila lokalne, očne reakcije koje nisu </w:t>
      </w:r>
      <w:r w:rsidR="00BB6A18" w:rsidRPr="00CA6CBA">
        <w:rPr>
          <w:sz w:val="22"/>
          <w:szCs w:val="22"/>
          <w:lang w:val="sr-Latn-ME"/>
        </w:rPr>
        <w:t xml:space="preserve">bile </w:t>
      </w:r>
      <w:r w:rsidRPr="00CA6CBA">
        <w:rPr>
          <w:sz w:val="22"/>
          <w:szCs w:val="22"/>
          <w:lang w:val="sr-Latn-ME"/>
        </w:rPr>
        <w:t>ozbiljnog karaktera kao što su konjunktivalna hiperemija, iritacija oka, sekrecija iz oka i pojačano suzenje (vidjeti i dio 5.1).</w:t>
      </w:r>
    </w:p>
    <w:p w14:paraId="3CC47ABD" w14:textId="77777777" w:rsidR="00C2694B" w:rsidRPr="00CA6CBA" w:rsidRDefault="00C2694B">
      <w:pPr>
        <w:tabs>
          <w:tab w:val="left" w:pos="540"/>
          <w:tab w:val="left" w:pos="569"/>
        </w:tabs>
        <w:jc w:val="both"/>
        <w:rPr>
          <w:b/>
          <w:bCs/>
          <w:sz w:val="22"/>
          <w:szCs w:val="22"/>
          <w:lang w:val="sr-Latn-ME"/>
        </w:rPr>
      </w:pPr>
    </w:p>
    <w:p w14:paraId="63ED38E2" w14:textId="77777777" w:rsidR="005A23D2" w:rsidRPr="00CA6CBA" w:rsidRDefault="005A23D2" w:rsidP="00035899">
      <w:pPr>
        <w:spacing w:after="200" w:line="276" w:lineRule="auto"/>
        <w:jc w:val="both"/>
        <w:rPr>
          <w:rFonts w:eastAsia="Calibri"/>
          <w:sz w:val="22"/>
          <w:szCs w:val="22"/>
          <w:u w:val="single"/>
          <w:lang w:val="sr-Latn-ME"/>
        </w:rPr>
      </w:pPr>
      <w:r w:rsidRPr="00CA6CBA">
        <w:rPr>
          <w:rFonts w:eastAsia="Calibri"/>
          <w:sz w:val="22"/>
          <w:szCs w:val="22"/>
          <w:u w:val="single"/>
          <w:lang w:val="sr-Latn-ME"/>
        </w:rPr>
        <w:t>Prijavljivanje sumnji na neželjena dejstva</w:t>
      </w:r>
    </w:p>
    <w:p w14:paraId="1EAC22D3" w14:textId="77777777" w:rsidR="005A23D2" w:rsidRPr="00CA6CBA" w:rsidRDefault="005A23D2" w:rsidP="00CE15C2">
      <w:pPr>
        <w:spacing w:after="200"/>
        <w:jc w:val="both"/>
        <w:rPr>
          <w:rFonts w:eastAsia="Calibri"/>
          <w:sz w:val="22"/>
          <w:szCs w:val="22"/>
          <w:lang w:val="sr-Latn-ME"/>
        </w:rPr>
      </w:pPr>
      <w:r w:rsidRPr="00CA6CBA">
        <w:rPr>
          <w:rFonts w:eastAsia="Calibri"/>
          <w:sz w:val="22"/>
          <w:szCs w:val="22"/>
          <w:lang w:val="sr-Latn-ME"/>
        </w:rPr>
        <w:t>Prijavljivanje neželjenih dejstava nakon dobijanja dozvole je od velikog značaja jer obezbjeđuje kont</w:t>
      </w:r>
      <w:r w:rsidR="00EA5765" w:rsidRPr="00CA6CBA">
        <w:rPr>
          <w:rFonts w:eastAsia="Calibri"/>
          <w:sz w:val="22"/>
          <w:szCs w:val="22"/>
          <w:lang w:val="sr-Latn-ME"/>
        </w:rPr>
        <w:t>inuirano praćenje odnosa korist</w:t>
      </w:r>
      <w:r w:rsidRPr="00CA6CBA">
        <w:rPr>
          <w:rFonts w:eastAsia="Calibri"/>
          <w:sz w:val="22"/>
          <w:szCs w:val="22"/>
          <w:lang w:val="sr-Latn-ME"/>
        </w:rPr>
        <w:t>/rizik primjene lijeka. Zdravstveni radnici treba da prijave svaku sumnju na neželjeno</w:t>
      </w:r>
      <w:r w:rsidR="009B062A" w:rsidRPr="00CA6CBA">
        <w:rPr>
          <w:rFonts w:eastAsia="Calibri"/>
          <w:sz w:val="22"/>
          <w:szCs w:val="22"/>
          <w:lang w:val="sr-Latn-ME"/>
        </w:rPr>
        <w:t xml:space="preserve"> </w:t>
      </w:r>
      <w:r w:rsidRPr="00CA6CBA">
        <w:rPr>
          <w:rFonts w:eastAsia="Calibri"/>
          <w:sz w:val="22"/>
          <w:szCs w:val="22"/>
          <w:lang w:val="sr-Latn-ME"/>
        </w:rPr>
        <w:t xml:space="preserve">dejstvo ovog lijeka </w:t>
      </w:r>
      <w:r w:rsidR="004E70AD" w:rsidRPr="00CA6CBA">
        <w:rPr>
          <w:rFonts w:eastAsia="Calibri"/>
          <w:sz w:val="22"/>
          <w:szCs w:val="22"/>
          <w:lang w:val="sr-Latn-ME"/>
        </w:rPr>
        <w:t>Institutu</w:t>
      </w:r>
      <w:r w:rsidRPr="00CA6CBA">
        <w:rPr>
          <w:rFonts w:eastAsia="Calibri"/>
          <w:sz w:val="22"/>
          <w:szCs w:val="22"/>
          <w:lang w:val="sr-Latn-ME"/>
        </w:rPr>
        <w:t xml:space="preserve"> za ljekove i medicinska sredstva</w:t>
      </w:r>
      <w:r w:rsidR="004E70AD" w:rsidRPr="00CA6CBA">
        <w:rPr>
          <w:rFonts w:eastAsia="Calibri"/>
          <w:sz w:val="22"/>
          <w:szCs w:val="22"/>
          <w:lang w:val="sr-Latn-ME"/>
        </w:rPr>
        <w:t xml:space="preserve"> </w:t>
      </w:r>
      <w:r w:rsidRPr="00CA6CBA">
        <w:rPr>
          <w:rFonts w:eastAsia="Calibri"/>
          <w:sz w:val="22"/>
          <w:szCs w:val="22"/>
          <w:lang w:val="sr-Latn-ME"/>
        </w:rPr>
        <w:t>(</w:t>
      </w:r>
      <w:r w:rsidR="004E70AD" w:rsidRPr="00CA6CBA">
        <w:rPr>
          <w:rFonts w:eastAsia="Calibri"/>
          <w:sz w:val="22"/>
          <w:szCs w:val="22"/>
          <w:lang w:val="sr-Latn-ME"/>
        </w:rPr>
        <w:t>CInMED</w:t>
      </w:r>
      <w:r w:rsidRPr="00CA6CBA">
        <w:rPr>
          <w:rFonts w:eastAsia="Calibri"/>
          <w:sz w:val="22"/>
          <w:szCs w:val="22"/>
          <w:lang w:val="sr-Latn-ME"/>
        </w:rPr>
        <w:t>):</w:t>
      </w:r>
    </w:p>
    <w:p w14:paraId="4CC0C1A2" w14:textId="77777777" w:rsidR="005A23D2" w:rsidRPr="00CA6CBA" w:rsidRDefault="004E70AD" w:rsidP="00CE15C2">
      <w:pPr>
        <w:pStyle w:val="NoSpacing"/>
        <w:jc w:val="both"/>
        <w:rPr>
          <w:rFonts w:eastAsia="Calibri"/>
          <w:sz w:val="22"/>
          <w:szCs w:val="22"/>
          <w:lang w:val="sr-Latn-ME"/>
        </w:rPr>
      </w:pPr>
      <w:r w:rsidRPr="00CA6CBA">
        <w:rPr>
          <w:rFonts w:eastAsia="Calibri"/>
          <w:sz w:val="22"/>
          <w:szCs w:val="22"/>
          <w:lang w:val="sr-Latn-ME"/>
        </w:rPr>
        <w:lastRenderedPageBreak/>
        <w:t xml:space="preserve">Institut </w:t>
      </w:r>
      <w:r w:rsidR="005A23D2" w:rsidRPr="00CA6CBA">
        <w:rPr>
          <w:rFonts w:eastAsia="Calibri"/>
          <w:sz w:val="22"/>
          <w:szCs w:val="22"/>
          <w:lang w:val="sr-Latn-ME"/>
        </w:rPr>
        <w:t xml:space="preserve">za ljekove i medicinska sredstva </w:t>
      </w:r>
    </w:p>
    <w:p w14:paraId="19D13A8C" w14:textId="77777777" w:rsidR="005A23D2" w:rsidRPr="00CA6CBA" w:rsidRDefault="005A23D2" w:rsidP="00CE15C2">
      <w:pPr>
        <w:pStyle w:val="NoSpacing"/>
        <w:jc w:val="both"/>
        <w:rPr>
          <w:rFonts w:eastAsia="Calibri"/>
          <w:sz w:val="22"/>
          <w:szCs w:val="22"/>
          <w:lang w:val="sr-Latn-ME"/>
        </w:rPr>
      </w:pPr>
      <w:r w:rsidRPr="00CA6CBA">
        <w:rPr>
          <w:rFonts w:eastAsia="Calibri"/>
          <w:sz w:val="22"/>
          <w:szCs w:val="22"/>
          <w:lang w:val="sr-Latn-ME"/>
        </w:rPr>
        <w:t>Odjeljenje za farmakovigilancu</w:t>
      </w:r>
    </w:p>
    <w:p w14:paraId="0ABFC668" w14:textId="77777777" w:rsidR="00EA5765" w:rsidRPr="00CA6CBA" w:rsidRDefault="005A23D2" w:rsidP="00CE15C2">
      <w:pPr>
        <w:pStyle w:val="NoSpacing"/>
        <w:jc w:val="both"/>
        <w:rPr>
          <w:rFonts w:eastAsia="Calibri"/>
          <w:sz w:val="22"/>
          <w:szCs w:val="22"/>
          <w:lang w:val="sr-Latn-ME"/>
        </w:rPr>
      </w:pPr>
      <w:r w:rsidRPr="00CA6CBA">
        <w:rPr>
          <w:rFonts w:eastAsia="Calibri"/>
          <w:sz w:val="22"/>
          <w:szCs w:val="22"/>
          <w:lang w:val="sr-Latn-ME"/>
        </w:rPr>
        <w:t>Bulevar Ivana Crnojevića 64a, 81000 Podgorica</w:t>
      </w:r>
    </w:p>
    <w:p w14:paraId="7A2B4A6F" w14:textId="77777777" w:rsidR="00EA5765" w:rsidRPr="00CA6CBA" w:rsidRDefault="00EA5765" w:rsidP="00035899">
      <w:pPr>
        <w:pStyle w:val="NoSpacing"/>
        <w:jc w:val="both"/>
        <w:rPr>
          <w:rFonts w:eastAsia="Calibri"/>
          <w:sz w:val="22"/>
          <w:szCs w:val="22"/>
          <w:lang w:val="sr-Latn-ME"/>
        </w:rPr>
      </w:pPr>
    </w:p>
    <w:p w14:paraId="69D38F8A" w14:textId="77777777" w:rsidR="005A23D2" w:rsidRPr="00CA6CBA" w:rsidRDefault="005A23D2" w:rsidP="00CE15C2">
      <w:pPr>
        <w:pStyle w:val="NoSpacing"/>
        <w:jc w:val="both"/>
        <w:rPr>
          <w:rFonts w:eastAsia="Calibri"/>
          <w:sz w:val="22"/>
          <w:szCs w:val="22"/>
          <w:lang w:val="sr-Latn-ME"/>
        </w:rPr>
      </w:pPr>
      <w:r w:rsidRPr="00CA6CBA">
        <w:rPr>
          <w:rFonts w:eastAsia="Calibri"/>
          <w:sz w:val="22"/>
          <w:szCs w:val="22"/>
          <w:lang w:val="sr-Latn-ME"/>
        </w:rPr>
        <w:t>tel: +382 (0) 20 310 280</w:t>
      </w:r>
    </w:p>
    <w:p w14:paraId="74368DDA" w14:textId="77777777" w:rsidR="00EA5765" w:rsidRPr="00CA6CBA" w:rsidRDefault="005A23D2" w:rsidP="00CE15C2">
      <w:pPr>
        <w:pStyle w:val="NoSpacing"/>
        <w:jc w:val="both"/>
        <w:rPr>
          <w:rFonts w:eastAsia="Calibri"/>
          <w:sz w:val="22"/>
          <w:szCs w:val="22"/>
          <w:lang w:val="sr-Latn-ME"/>
        </w:rPr>
      </w:pPr>
      <w:r w:rsidRPr="00CA6CBA">
        <w:rPr>
          <w:rFonts w:eastAsia="Calibri"/>
          <w:sz w:val="22"/>
          <w:szCs w:val="22"/>
          <w:lang w:val="sr-Latn-ME"/>
        </w:rPr>
        <w:t>fax:</w:t>
      </w:r>
      <w:r w:rsidR="00EA5765" w:rsidRPr="00CA6CBA">
        <w:rPr>
          <w:rFonts w:eastAsia="Calibri"/>
          <w:sz w:val="22"/>
          <w:szCs w:val="22"/>
          <w:lang w:val="sr-Latn-ME"/>
        </w:rPr>
        <w:t xml:space="preserve"> </w:t>
      </w:r>
      <w:r w:rsidRPr="00CA6CBA">
        <w:rPr>
          <w:rFonts w:eastAsia="Calibri"/>
          <w:sz w:val="22"/>
          <w:szCs w:val="22"/>
          <w:lang w:val="sr-Latn-ME"/>
        </w:rPr>
        <w:t>+382 (0) 20 310 581</w:t>
      </w:r>
    </w:p>
    <w:p w14:paraId="6BECD389" w14:textId="77777777" w:rsidR="005A23D2" w:rsidRPr="00CA6CBA" w:rsidRDefault="0071519C" w:rsidP="00CE15C2">
      <w:pPr>
        <w:pStyle w:val="NoSpacing"/>
        <w:jc w:val="both"/>
        <w:rPr>
          <w:rFonts w:eastAsia="Calibri"/>
          <w:sz w:val="22"/>
          <w:szCs w:val="22"/>
          <w:lang w:val="sr-Latn-ME"/>
        </w:rPr>
      </w:pPr>
      <w:hyperlink r:id="rId8" w:history="1">
        <w:r w:rsidR="004E70AD" w:rsidRPr="00CA6CBA">
          <w:rPr>
            <w:rStyle w:val="Hyperlink"/>
            <w:rFonts w:eastAsia="Calibri"/>
            <w:sz w:val="22"/>
            <w:szCs w:val="22"/>
            <w:lang w:val="sr-Latn-ME"/>
          </w:rPr>
          <w:t>www.cinmed.me</w:t>
        </w:r>
      </w:hyperlink>
    </w:p>
    <w:p w14:paraId="777C2BF9" w14:textId="77777777" w:rsidR="00EA5765" w:rsidRPr="00CA6CBA" w:rsidRDefault="0071519C" w:rsidP="00CE15C2">
      <w:pPr>
        <w:pStyle w:val="NoSpacing"/>
        <w:jc w:val="both"/>
        <w:rPr>
          <w:rFonts w:eastAsia="Calibri"/>
          <w:color w:val="0000FF"/>
          <w:sz w:val="22"/>
          <w:szCs w:val="22"/>
          <w:u w:val="single"/>
          <w:lang w:val="sr-Latn-ME"/>
        </w:rPr>
      </w:pPr>
      <w:hyperlink r:id="rId9" w:history="1">
        <w:r w:rsidR="004E70AD" w:rsidRPr="00CA6CBA">
          <w:rPr>
            <w:rStyle w:val="Hyperlink"/>
            <w:rFonts w:eastAsia="Calibri"/>
            <w:sz w:val="22"/>
            <w:szCs w:val="22"/>
            <w:lang w:val="sr-Latn-ME"/>
          </w:rPr>
          <w:t>nezeljenadejstva@cinmed.me</w:t>
        </w:r>
      </w:hyperlink>
    </w:p>
    <w:p w14:paraId="71AFDD60" w14:textId="29728FC1" w:rsidR="005A23D2" w:rsidRPr="00CA6CBA" w:rsidRDefault="005A23D2" w:rsidP="00CE15C2">
      <w:pPr>
        <w:pStyle w:val="NoSpacing"/>
        <w:jc w:val="both"/>
        <w:rPr>
          <w:rFonts w:eastAsia="Calibri"/>
          <w:sz w:val="22"/>
          <w:szCs w:val="22"/>
          <w:lang w:val="sr-Latn-ME"/>
        </w:rPr>
      </w:pPr>
      <w:r w:rsidRPr="00CA6CBA">
        <w:rPr>
          <w:rFonts w:eastAsia="Calibri"/>
          <w:sz w:val="22"/>
          <w:szCs w:val="22"/>
          <w:lang w:val="sr-Latn-ME"/>
        </w:rPr>
        <w:t>putem IS zdravstvene zaštite</w:t>
      </w:r>
    </w:p>
    <w:p w14:paraId="228AC8D5" w14:textId="77777777" w:rsidR="002A72AD" w:rsidRPr="00CA6CBA" w:rsidRDefault="002A72AD" w:rsidP="002A72AD">
      <w:pPr>
        <w:rPr>
          <w:sz w:val="22"/>
          <w:szCs w:val="22"/>
          <w:lang w:val="sr-Latn-ME"/>
        </w:rPr>
      </w:pPr>
      <w:r w:rsidRPr="00CA6CBA">
        <w:rPr>
          <w:sz w:val="22"/>
          <w:szCs w:val="22"/>
          <w:lang w:val="sr-Latn-ME"/>
        </w:rPr>
        <w:t>QR kod za online prijavu sumnje na neželjeno dejstvo lijeka:</w:t>
      </w:r>
    </w:p>
    <w:p w14:paraId="41475385" w14:textId="77777777" w:rsidR="002A72AD" w:rsidRPr="00CA6CBA" w:rsidRDefault="002A72AD" w:rsidP="002A72AD">
      <w:pPr>
        <w:rPr>
          <w:sz w:val="22"/>
          <w:szCs w:val="22"/>
          <w:lang w:val="sr-Latn-ME"/>
        </w:rPr>
      </w:pPr>
    </w:p>
    <w:p w14:paraId="2B01A8FF" w14:textId="294ACC3C" w:rsidR="002A72AD" w:rsidRPr="00CA6CBA" w:rsidRDefault="005D37E0" w:rsidP="00035899">
      <w:pPr>
        <w:rPr>
          <w:sz w:val="22"/>
          <w:szCs w:val="22"/>
          <w:lang w:val="sr-Latn-ME"/>
        </w:rPr>
      </w:pPr>
      <w:r w:rsidRPr="00CA6CBA">
        <w:rPr>
          <w:b/>
          <w:bCs/>
          <w:noProof/>
          <w:sz w:val="22"/>
          <w:szCs w:val="22"/>
          <w:lang w:val="sr-Latn-ME"/>
        </w:rPr>
        <w:drawing>
          <wp:inline distT="0" distB="0" distL="0" distR="0" wp14:anchorId="52E4D1B6" wp14:editId="7F1B65CC">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2CC97B3" w14:textId="77777777" w:rsidR="00836B35" w:rsidRPr="00CA6CBA" w:rsidRDefault="00836B35" w:rsidP="00035899">
      <w:pPr>
        <w:tabs>
          <w:tab w:val="left" w:pos="540"/>
          <w:tab w:val="left" w:pos="569"/>
        </w:tabs>
        <w:jc w:val="both"/>
        <w:rPr>
          <w:b/>
          <w:bCs/>
          <w:sz w:val="22"/>
          <w:szCs w:val="22"/>
          <w:lang w:val="sr-Latn-ME"/>
        </w:rPr>
      </w:pPr>
    </w:p>
    <w:p w14:paraId="7DE47030" w14:textId="0A79687F" w:rsidR="00CD6F02" w:rsidRPr="00CA6CBA" w:rsidRDefault="0072020E" w:rsidP="00035899">
      <w:pPr>
        <w:tabs>
          <w:tab w:val="left" w:pos="540"/>
          <w:tab w:val="left" w:pos="569"/>
        </w:tabs>
        <w:jc w:val="both"/>
        <w:rPr>
          <w:b/>
          <w:bCs/>
          <w:sz w:val="22"/>
          <w:szCs w:val="22"/>
          <w:lang w:val="sr-Latn-ME"/>
        </w:rPr>
      </w:pPr>
      <w:r w:rsidRPr="00CA6CBA">
        <w:rPr>
          <w:b/>
          <w:bCs/>
          <w:sz w:val="22"/>
          <w:szCs w:val="22"/>
          <w:lang w:val="sr-Latn-ME"/>
        </w:rPr>
        <w:t xml:space="preserve">4.9. </w:t>
      </w:r>
      <w:r w:rsidR="00480FB1" w:rsidRPr="00CA6CBA">
        <w:rPr>
          <w:b/>
          <w:bCs/>
          <w:sz w:val="22"/>
          <w:szCs w:val="22"/>
          <w:lang w:val="sr-Latn-ME"/>
        </w:rPr>
        <w:tab/>
      </w:r>
      <w:r w:rsidRPr="00CA6CBA">
        <w:rPr>
          <w:b/>
          <w:bCs/>
          <w:sz w:val="22"/>
          <w:szCs w:val="22"/>
          <w:lang w:val="sr-Latn-ME"/>
        </w:rPr>
        <w:t>Predoziranje</w:t>
      </w:r>
      <w:r w:rsidR="002846DB" w:rsidRPr="00CA6CBA">
        <w:rPr>
          <w:b/>
          <w:bCs/>
          <w:sz w:val="22"/>
          <w:szCs w:val="22"/>
          <w:lang w:val="sr-Latn-ME"/>
        </w:rPr>
        <w:t xml:space="preserve"> </w:t>
      </w:r>
    </w:p>
    <w:p w14:paraId="6EAA7779" w14:textId="77777777" w:rsidR="004B54F9" w:rsidRPr="00CA6CBA" w:rsidRDefault="004B54F9" w:rsidP="00035899">
      <w:pPr>
        <w:tabs>
          <w:tab w:val="left" w:pos="540"/>
          <w:tab w:val="left" w:pos="569"/>
        </w:tabs>
        <w:jc w:val="both"/>
        <w:rPr>
          <w:b/>
          <w:bCs/>
          <w:sz w:val="22"/>
          <w:szCs w:val="22"/>
          <w:lang w:val="sr-Latn-ME"/>
        </w:rPr>
      </w:pPr>
    </w:p>
    <w:p w14:paraId="3A282541" w14:textId="77777777" w:rsidR="00C2694B" w:rsidRPr="00CA6CBA" w:rsidRDefault="00C2694B" w:rsidP="00CE15C2">
      <w:pPr>
        <w:jc w:val="both"/>
        <w:rPr>
          <w:sz w:val="22"/>
          <w:szCs w:val="22"/>
          <w:lang w:val="sr-Latn-ME"/>
        </w:rPr>
      </w:pPr>
      <w:r w:rsidRPr="00CA6CBA">
        <w:rPr>
          <w:sz w:val="22"/>
          <w:szCs w:val="22"/>
          <w:lang w:val="sr-Latn-ME"/>
        </w:rPr>
        <w:t xml:space="preserve">Nije prijavljen nijedan slučaj predoziranja. </w:t>
      </w:r>
    </w:p>
    <w:p w14:paraId="312A005C" w14:textId="51424EF7" w:rsidR="00C2694B" w:rsidRPr="00CA6CBA" w:rsidRDefault="00C2694B" w:rsidP="00CE15C2">
      <w:pPr>
        <w:jc w:val="both"/>
        <w:rPr>
          <w:sz w:val="22"/>
          <w:szCs w:val="22"/>
          <w:lang w:val="sr-Latn-ME"/>
        </w:rPr>
      </w:pPr>
      <w:r w:rsidRPr="00CA6CBA">
        <w:rPr>
          <w:sz w:val="22"/>
          <w:szCs w:val="22"/>
          <w:lang w:val="sr-Latn-ME"/>
        </w:rPr>
        <w:t xml:space="preserve">Liječenje treba da bude simptomatsko i </w:t>
      </w:r>
      <w:r w:rsidR="002A72AD" w:rsidRPr="00CA6CBA">
        <w:rPr>
          <w:sz w:val="22"/>
          <w:szCs w:val="22"/>
          <w:lang w:val="sr-Latn-ME"/>
        </w:rPr>
        <w:t>suportivno</w:t>
      </w:r>
      <w:r w:rsidRPr="00CA6CBA">
        <w:rPr>
          <w:sz w:val="22"/>
          <w:szCs w:val="22"/>
          <w:lang w:val="sr-Latn-ME"/>
        </w:rPr>
        <w:t xml:space="preserve">. Disbalans elektrolita, razvoj stanja acidoze i moguća dejstva na nervni sistem mogu da se jave. Moraju da se prate koncentracije elektrolita u serumu (posebno kalijuma) kao i pH krvi. </w:t>
      </w:r>
    </w:p>
    <w:p w14:paraId="3FB0CA31" w14:textId="77777777" w:rsidR="00CD6F02" w:rsidRPr="00CA6CBA" w:rsidRDefault="00CD6F02" w:rsidP="00035899">
      <w:pPr>
        <w:tabs>
          <w:tab w:val="left" w:pos="540"/>
          <w:tab w:val="left" w:pos="569"/>
        </w:tabs>
        <w:jc w:val="both"/>
        <w:rPr>
          <w:b/>
          <w:bCs/>
          <w:sz w:val="22"/>
          <w:szCs w:val="22"/>
          <w:lang w:val="sr-Latn-ME"/>
        </w:rPr>
      </w:pPr>
    </w:p>
    <w:p w14:paraId="7C4981CE" w14:textId="77777777" w:rsidR="00227BDB" w:rsidRPr="00CA6CBA" w:rsidRDefault="00227BDB" w:rsidP="00035899">
      <w:pPr>
        <w:tabs>
          <w:tab w:val="left" w:pos="540"/>
          <w:tab w:val="left" w:pos="569"/>
        </w:tabs>
        <w:jc w:val="both"/>
        <w:rPr>
          <w:b/>
          <w:bCs/>
          <w:sz w:val="22"/>
          <w:szCs w:val="22"/>
          <w:lang w:val="sr-Latn-ME"/>
        </w:rPr>
      </w:pPr>
    </w:p>
    <w:p w14:paraId="2B05AB08" w14:textId="77777777" w:rsidR="0072020E" w:rsidRPr="00CA6CBA" w:rsidRDefault="0072020E" w:rsidP="00035899">
      <w:pPr>
        <w:tabs>
          <w:tab w:val="left" w:pos="540"/>
          <w:tab w:val="left" w:pos="569"/>
        </w:tabs>
        <w:jc w:val="both"/>
        <w:rPr>
          <w:b/>
          <w:bCs/>
          <w:sz w:val="22"/>
          <w:szCs w:val="22"/>
          <w:lang w:val="sr-Latn-ME"/>
        </w:rPr>
      </w:pPr>
      <w:r w:rsidRPr="00CA6CBA">
        <w:rPr>
          <w:b/>
          <w:bCs/>
          <w:sz w:val="22"/>
          <w:szCs w:val="22"/>
          <w:lang w:val="sr-Latn-ME"/>
        </w:rPr>
        <w:t xml:space="preserve">5. </w:t>
      </w:r>
      <w:r w:rsidR="00480FB1" w:rsidRPr="00CA6CBA">
        <w:rPr>
          <w:b/>
          <w:bCs/>
          <w:sz w:val="22"/>
          <w:szCs w:val="22"/>
          <w:lang w:val="sr-Latn-ME"/>
        </w:rPr>
        <w:tab/>
      </w:r>
      <w:r w:rsidRPr="00CA6CBA">
        <w:rPr>
          <w:b/>
          <w:bCs/>
          <w:sz w:val="22"/>
          <w:szCs w:val="22"/>
          <w:lang w:val="sr-Latn-ME"/>
        </w:rPr>
        <w:t>FARMAKOLOŠK</w:t>
      </w:r>
      <w:r w:rsidR="000D425A" w:rsidRPr="00CA6CBA">
        <w:rPr>
          <w:b/>
          <w:bCs/>
          <w:sz w:val="22"/>
          <w:szCs w:val="22"/>
          <w:lang w:val="sr-Latn-ME"/>
        </w:rPr>
        <w:t>I</w:t>
      </w:r>
      <w:r w:rsidRPr="00CA6CBA">
        <w:rPr>
          <w:b/>
          <w:bCs/>
          <w:sz w:val="22"/>
          <w:szCs w:val="22"/>
          <w:lang w:val="sr-Latn-ME"/>
        </w:rPr>
        <w:t xml:space="preserve"> PODACI</w:t>
      </w:r>
    </w:p>
    <w:p w14:paraId="137F1AAA" w14:textId="77777777" w:rsidR="0072020E" w:rsidRPr="00CA6CBA" w:rsidRDefault="0072020E" w:rsidP="00035899">
      <w:pPr>
        <w:tabs>
          <w:tab w:val="left" w:pos="540"/>
          <w:tab w:val="left" w:pos="569"/>
        </w:tabs>
        <w:jc w:val="both"/>
        <w:rPr>
          <w:b/>
          <w:bCs/>
          <w:sz w:val="22"/>
          <w:szCs w:val="22"/>
          <w:lang w:val="sr-Latn-ME"/>
        </w:rPr>
      </w:pPr>
    </w:p>
    <w:p w14:paraId="3F1A0F80" w14:textId="77777777" w:rsidR="00C2694B" w:rsidRPr="00CA6CBA" w:rsidRDefault="00C2694B" w:rsidP="00CE15C2">
      <w:pPr>
        <w:tabs>
          <w:tab w:val="left" w:pos="540"/>
          <w:tab w:val="left" w:pos="569"/>
        </w:tabs>
        <w:jc w:val="both"/>
        <w:rPr>
          <w:b/>
          <w:bCs/>
          <w:sz w:val="22"/>
          <w:szCs w:val="22"/>
          <w:lang w:val="sr-Latn-ME"/>
        </w:rPr>
      </w:pPr>
      <w:r w:rsidRPr="00CA6CBA">
        <w:rPr>
          <w:b/>
          <w:bCs/>
          <w:sz w:val="22"/>
          <w:szCs w:val="22"/>
          <w:lang w:val="sr-Latn-ME"/>
        </w:rPr>
        <w:t xml:space="preserve">5.1. </w:t>
      </w:r>
      <w:r w:rsidRPr="00CA6CBA">
        <w:rPr>
          <w:b/>
          <w:bCs/>
          <w:sz w:val="22"/>
          <w:szCs w:val="22"/>
          <w:lang w:val="sr-Latn-ME"/>
        </w:rPr>
        <w:tab/>
        <w:t>Farmakodinamski podaci</w:t>
      </w:r>
    </w:p>
    <w:p w14:paraId="65D185FA" w14:textId="77777777" w:rsidR="00C2694B" w:rsidRPr="00CA6CBA" w:rsidRDefault="00C2694B" w:rsidP="00CE15C2">
      <w:pPr>
        <w:tabs>
          <w:tab w:val="left" w:pos="540"/>
          <w:tab w:val="left" w:pos="569"/>
        </w:tabs>
        <w:jc w:val="both"/>
        <w:rPr>
          <w:b/>
          <w:bCs/>
          <w:sz w:val="22"/>
          <w:szCs w:val="22"/>
          <w:lang w:val="sr-Latn-ME"/>
        </w:rPr>
      </w:pPr>
    </w:p>
    <w:p w14:paraId="320DB7EA" w14:textId="77777777" w:rsidR="00C2694B" w:rsidRPr="00CA6CBA" w:rsidRDefault="00C2694B" w:rsidP="00CE15C2">
      <w:pPr>
        <w:tabs>
          <w:tab w:val="left" w:pos="540"/>
          <w:tab w:val="left" w:pos="569"/>
        </w:tabs>
        <w:jc w:val="both"/>
        <w:rPr>
          <w:bCs/>
          <w:sz w:val="22"/>
          <w:szCs w:val="22"/>
          <w:lang w:val="sr-Latn-ME"/>
        </w:rPr>
      </w:pPr>
      <w:r w:rsidRPr="00CA6CBA">
        <w:rPr>
          <w:b/>
          <w:bCs/>
          <w:sz w:val="22"/>
          <w:szCs w:val="22"/>
          <w:lang w:val="sr-Latn-ME"/>
        </w:rPr>
        <w:t>Farmakoterapijska grupa:</w:t>
      </w:r>
      <w:r w:rsidRPr="00CA6CBA">
        <w:rPr>
          <w:sz w:val="22"/>
          <w:szCs w:val="22"/>
          <w:lang w:val="sr-Latn-ME"/>
        </w:rPr>
        <w:t xml:space="preserve"> Oftalmološki ljekovi; ljekovi u terapiji glaukoma i miotici; inhibitori karboanhidraze.</w:t>
      </w:r>
    </w:p>
    <w:p w14:paraId="53555BA8" w14:textId="77777777" w:rsidR="00C2694B" w:rsidRPr="00CA6CBA" w:rsidRDefault="00C2694B" w:rsidP="00A34CA5">
      <w:pPr>
        <w:tabs>
          <w:tab w:val="left" w:pos="540"/>
          <w:tab w:val="left" w:pos="569"/>
        </w:tabs>
        <w:jc w:val="both"/>
        <w:rPr>
          <w:bCs/>
          <w:sz w:val="22"/>
          <w:szCs w:val="22"/>
          <w:lang w:val="sr-Latn-ME"/>
        </w:rPr>
      </w:pPr>
      <w:r w:rsidRPr="00CA6CBA">
        <w:rPr>
          <w:b/>
          <w:bCs/>
          <w:sz w:val="22"/>
          <w:szCs w:val="22"/>
          <w:lang w:val="sr-Latn-ME"/>
        </w:rPr>
        <w:t>ATC kod:</w:t>
      </w:r>
      <w:r w:rsidRPr="00CA6CBA">
        <w:rPr>
          <w:sz w:val="22"/>
          <w:szCs w:val="22"/>
          <w:lang w:val="sr-Latn-ME"/>
        </w:rPr>
        <w:t xml:space="preserve"> S01EC04</w:t>
      </w:r>
    </w:p>
    <w:p w14:paraId="0CAA1918" w14:textId="77777777" w:rsidR="00C2694B" w:rsidRPr="00CA6CBA" w:rsidRDefault="00C2694B">
      <w:pPr>
        <w:tabs>
          <w:tab w:val="left" w:pos="540"/>
          <w:tab w:val="left" w:pos="569"/>
        </w:tabs>
        <w:jc w:val="both"/>
        <w:rPr>
          <w:b/>
          <w:bCs/>
          <w:sz w:val="22"/>
          <w:szCs w:val="22"/>
          <w:lang w:val="sr-Latn-ME"/>
        </w:rPr>
      </w:pPr>
    </w:p>
    <w:p w14:paraId="7491781F" w14:textId="77777777" w:rsidR="00C2694B" w:rsidRPr="00CA6CBA" w:rsidRDefault="00C2694B">
      <w:pPr>
        <w:pStyle w:val="Header"/>
        <w:tabs>
          <w:tab w:val="left" w:pos="284"/>
        </w:tabs>
        <w:jc w:val="both"/>
        <w:rPr>
          <w:sz w:val="22"/>
          <w:szCs w:val="22"/>
          <w:u w:val="single"/>
          <w:lang w:val="sr-Latn-ME"/>
        </w:rPr>
      </w:pPr>
      <w:r w:rsidRPr="00CA6CBA">
        <w:rPr>
          <w:sz w:val="22"/>
          <w:szCs w:val="22"/>
          <w:u w:val="single"/>
          <w:lang w:val="sr-Latn-ME"/>
        </w:rPr>
        <w:t>Mehanizam dejstva</w:t>
      </w:r>
    </w:p>
    <w:p w14:paraId="0BBA2544" w14:textId="77777777" w:rsidR="00C2694B" w:rsidRPr="00CA6CBA" w:rsidRDefault="00C2694B">
      <w:pPr>
        <w:pStyle w:val="Header"/>
        <w:tabs>
          <w:tab w:val="left" w:pos="284"/>
        </w:tabs>
        <w:jc w:val="both"/>
        <w:rPr>
          <w:sz w:val="22"/>
          <w:szCs w:val="22"/>
          <w:lang w:val="sr-Latn-ME"/>
        </w:rPr>
      </w:pPr>
      <w:r w:rsidRPr="00CA6CBA">
        <w:rPr>
          <w:sz w:val="22"/>
          <w:szCs w:val="22"/>
          <w:lang w:val="sr-Latn-ME"/>
        </w:rPr>
        <w:t xml:space="preserve">Karboanhidraza (CA) je enzim koji se može naći u mnogim tkivima tijela, uključujući oko. Karboanhidraza katalizuje reverzibilnu reakciju koja uključuje hidrataciju ugljen dioksida i dehidraciju ugljene kiseline. </w:t>
      </w:r>
    </w:p>
    <w:p w14:paraId="7F3459AC" w14:textId="67974596" w:rsidR="00C2694B" w:rsidRPr="00CA6CBA" w:rsidRDefault="00C2694B">
      <w:pPr>
        <w:pStyle w:val="Header"/>
        <w:tabs>
          <w:tab w:val="left" w:pos="284"/>
        </w:tabs>
        <w:jc w:val="both"/>
        <w:rPr>
          <w:color w:val="000000"/>
          <w:sz w:val="22"/>
          <w:szCs w:val="22"/>
          <w:lang w:val="sr-Latn-ME"/>
        </w:rPr>
      </w:pPr>
      <w:r w:rsidRPr="00CA6CBA">
        <w:rPr>
          <w:sz w:val="22"/>
          <w:szCs w:val="22"/>
          <w:lang w:val="sr-Latn-ME"/>
        </w:rPr>
        <w:br/>
        <w:t>Inhibicija karboanhidraze u cilijarnim procesima oka smanjuje sekreciju očne vodice, vjerovatno usporavanjem formiranja bikarbonatnih jona i posljedičnim smanjenjem transporta natrijuma i tečnosti. Rezultat je smanjenje intraokularnog pritiska (IOP) koji je veliki faktor rizika u patogenezi oštećenja optičkog nerva i gubitka vidnog polja usl</w:t>
      </w:r>
      <w:r w:rsidR="002A72AD" w:rsidRPr="00CA6CBA">
        <w:rPr>
          <w:sz w:val="22"/>
          <w:szCs w:val="22"/>
          <w:lang w:val="sr-Latn-ME"/>
        </w:rPr>
        <w:t>j</w:t>
      </w:r>
      <w:r w:rsidRPr="00CA6CBA">
        <w:rPr>
          <w:sz w:val="22"/>
          <w:szCs w:val="22"/>
          <w:lang w:val="sr-Latn-ME"/>
        </w:rPr>
        <w:t xml:space="preserve">ed glaukoma. Brinzolamid je inhibitor karboanhidraze II (CA-II) koja je preovlađujući izo-enzim u oku, sa </w:t>
      </w:r>
      <w:r w:rsidRPr="00CA6CBA">
        <w:rPr>
          <w:i/>
          <w:iCs/>
          <w:sz w:val="22"/>
          <w:szCs w:val="22"/>
          <w:lang w:val="sr-Latn-ME"/>
        </w:rPr>
        <w:t xml:space="preserve">in </w:t>
      </w:r>
      <w:r w:rsidRPr="00CA6CBA">
        <w:rPr>
          <w:i/>
          <w:iCs/>
          <w:color w:val="000000"/>
          <w:sz w:val="22"/>
          <w:szCs w:val="22"/>
          <w:lang w:val="sr-Latn-ME"/>
        </w:rPr>
        <w:t xml:space="preserve">vitro </w:t>
      </w:r>
      <w:r w:rsidRPr="00CA6CBA">
        <w:rPr>
          <w:color w:val="000000"/>
          <w:sz w:val="22"/>
          <w:szCs w:val="22"/>
          <w:lang w:val="sr-Latn-ME"/>
        </w:rPr>
        <w:t>IC</w:t>
      </w:r>
      <w:r w:rsidRPr="00CA6CBA">
        <w:rPr>
          <w:color w:val="000000"/>
          <w:sz w:val="22"/>
          <w:szCs w:val="22"/>
          <w:vertAlign w:val="subscript"/>
          <w:lang w:val="sr-Latn-ME"/>
        </w:rPr>
        <w:t>50</w:t>
      </w:r>
      <w:r w:rsidRPr="00CA6CBA">
        <w:rPr>
          <w:color w:val="000000"/>
          <w:sz w:val="22"/>
          <w:szCs w:val="22"/>
          <w:lang w:val="sr-Latn-ME"/>
        </w:rPr>
        <w:t xml:space="preserve"> od 3.2 nM i K</w:t>
      </w:r>
      <w:r w:rsidRPr="00CA6CBA">
        <w:rPr>
          <w:color w:val="000000"/>
          <w:sz w:val="22"/>
          <w:szCs w:val="22"/>
          <w:vertAlign w:val="subscript"/>
          <w:lang w:val="sr-Latn-ME"/>
        </w:rPr>
        <w:t>i</w:t>
      </w:r>
      <w:r w:rsidRPr="00CA6CBA">
        <w:rPr>
          <w:color w:val="000000"/>
          <w:sz w:val="22"/>
          <w:szCs w:val="22"/>
          <w:lang w:val="sr-Latn-ME"/>
        </w:rPr>
        <w:t xml:space="preserve"> od 0,13 nM naspram CA-II.</w:t>
      </w:r>
    </w:p>
    <w:p w14:paraId="16610FA0" w14:textId="77777777" w:rsidR="00C2694B" w:rsidRPr="00CA6CBA" w:rsidRDefault="00C2694B">
      <w:pPr>
        <w:pStyle w:val="Header"/>
        <w:tabs>
          <w:tab w:val="left" w:pos="284"/>
        </w:tabs>
        <w:jc w:val="both"/>
        <w:rPr>
          <w:color w:val="000000"/>
          <w:sz w:val="22"/>
          <w:szCs w:val="22"/>
          <w:lang w:val="sr-Latn-ME"/>
        </w:rPr>
      </w:pPr>
    </w:p>
    <w:p w14:paraId="24A13595" w14:textId="77777777" w:rsidR="00C2694B" w:rsidRPr="00CA6CBA" w:rsidRDefault="00C2694B">
      <w:pPr>
        <w:pStyle w:val="Header"/>
        <w:tabs>
          <w:tab w:val="left" w:pos="284"/>
        </w:tabs>
        <w:jc w:val="both"/>
        <w:rPr>
          <w:color w:val="000000"/>
          <w:sz w:val="22"/>
          <w:szCs w:val="22"/>
          <w:u w:val="single"/>
          <w:lang w:val="sr-Latn-ME"/>
        </w:rPr>
      </w:pPr>
      <w:r w:rsidRPr="00CA6CBA">
        <w:rPr>
          <w:color w:val="000000"/>
          <w:sz w:val="22"/>
          <w:szCs w:val="22"/>
          <w:u w:val="single"/>
          <w:lang w:val="sr-Latn-ME"/>
        </w:rPr>
        <w:t>Klinička efikasnost i bezbjednost</w:t>
      </w:r>
    </w:p>
    <w:p w14:paraId="57916168" w14:textId="4E499E29" w:rsidR="00C2694B" w:rsidRPr="00CA6CBA" w:rsidRDefault="00C2694B">
      <w:pPr>
        <w:pStyle w:val="Header"/>
        <w:tabs>
          <w:tab w:val="left" w:pos="284"/>
        </w:tabs>
        <w:jc w:val="both"/>
        <w:rPr>
          <w:sz w:val="22"/>
          <w:szCs w:val="22"/>
          <w:lang w:val="sr-Latn-ME"/>
        </w:rPr>
      </w:pPr>
      <w:r w:rsidRPr="00CA6CBA">
        <w:rPr>
          <w:sz w:val="22"/>
          <w:szCs w:val="22"/>
          <w:lang w:val="sr-Latn-ME"/>
        </w:rPr>
        <w:t>Proučavan je efekat sniženja IOP lijeka Azopt kao prateće terapije analogu prostaglandina travoprostu. Nakon 4 nedjelje na terapiji travoprostom, pacijenti sa IOP ≥ 19 mmHg su randomiz</w:t>
      </w:r>
      <w:r w:rsidR="004F5693" w:rsidRPr="00CA6CBA">
        <w:rPr>
          <w:sz w:val="22"/>
          <w:szCs w:val="22"/>
          <w:lang w:val="sr-Latn-ME"/>
        </w:rPr>
        <w:t>ovani</w:t>
      </w:r>
      <w:r w:rsidRPr="00CA6CBA">
        <w:rPr>
          <w:sz w:val="22"/>
          <w:szCs w:val="22"/>
          <w:lang w:val="sr-Latn-ME"/>
        </w:rPr>
        <w:t xml:space="preserve"> da prime dodatnu terapiju brinzolamid ili timolol. Uočeno je dodatno sniženje u prosječnoj dnevnoj vrijednosti IOP od 3</w:t>
      </w:r>
      <w:r w:rsidR="004F5693" w:rsidRPr="00CA6CBA">
        <w:rPr>
          <w:sz w:val="22"/>
          <w:szCs w:val="22"/>
          <w:lang w:val="sr-Latn-ME"/>
        </w:rPr>
        <w:t>,</w:t>
      </w:r>
      <w:r w:rsidRPr="00CA6CBA">
        <w:rPr>
          <w:sz w:val="22"/>
          <w:szCs w:val="22"/>
          <w:lang w:val="sr-Latn-ME"/>
        </w:rPr>
        <w:t>2 do 3</w:t>
      </w:r>
      <w:r w:rsidR="004F5693" w:rsidRPr="00CA6CBA">
        <w:rPr>
          <w:sz w:val="22"/>
          <w:szCs w:val="22"/>
          <w:lang w:val="sr-Latn-ME"/>
        </w:rPr>
        <w:t>,</w:t>
      </w:r>
      <w:r w:rsidRPr="00CA6CBA">
        <w:rPr>
          <w:sz w:val="22"/>
          <w:szCs w:val="22"/>
          <w:lang w:val="sr-Latn-ME"/>
        </w:rPr>
        <w:t>4 mmHg u grupi brizolamida i sniženje od 3</w:t>
      </w:r>
      <w:r w:rsidR="004F5693" w:rsidRPr="00CA6CBA">
        <w:rPr>
          <w:sz w:val="22"/>
          <w:szCs w:val="22"/>
          <w:lang w:val="sr-Latn-ME"/>
        </w:rPr>
        <w:t>,</w:t>
      </w:r>
      <w:r w:rsidRPr="00CA6CBA">
        <w:rPr>
          <w:sz w:val="22"/>
          <w:szCs w:val="22"/>
          <w:lang w:val="sr-Latn-ME"/>
        </w:rPr>
        <w:t>2 do 4</w:t>
      </w:r>
      <w:r w:rsidR="004F5693" w:rsidRPr="00CA6CBA">
        <w:rPr>
          <w:sz w:val="22"/>
          <w:szCs w:val="22"/>
          <w:lang w:val="sr-Latn-ME"/>
        </w:rPr>
        <w:t>,</w:t>
      </w:r>
      <w:r w:rsidRPr="00CA6CBA">
        <w:rPr>
          <w:sz w:val="22"/>
          <w:szCs w:val="22"/>
          <w:lang w:val="sr-Latn-ME"/>
        </w:rPr>
        <w:t xml:space="preserve">2 mmHg u grupi timolola. Ukupno bila je veća incidenca očnih neželjenih reakcija koje </w:t>
      </w:r>
      <w:r w:rsidR="00BB6A18" w:rsidRPr="00CA6CBA">
        <w:rPr>
          <w:sz w:val="22"/>
          <w:szCs w:val="22"/>
          <w:lang w:val="sr-Latn-ME"/>
        </w:rPr>
        <w:t>ni</w:t>
      </w:r>
      <w:r w:rsidR="00BB3755" w:rsidRPr="00CA6CBA">
        <w:rPr>
          <w:sz w:val="22"/>
          <w:szCs w:val="22"/>
          <w:lang w:val="sr-Latn-ME"/>
        </w:rPr>
        <w:t>je</w:t>
      </w:r>
      <w:r w:rsidR="00BB6A18" w:rsidRPr="00CA6CBA">
        <w:rPr>
          <w:sz w:val="22"/>
          <w:szCs w:val="22"/>
          <w:lang w:val="sr-Latn-ME"/>
        </w:rPr>
        <w:t xml:space="preserve">su imale </w:t>
      </w:r>
      <w:r w:rsidRPr="00CA6CBA">
        <w:rPr>
          <w:sz w:val="22"/>
          <w:szCs w:val="22"/>
          <w:lang w:val="sr-Latn-ME"/>
        </w:rPr>
        <w:t>ozbiljan karakter, uglavnom povezanih sa znacima lokalne iritacije u grupi brinzolamid/travoprost. Dejstva su bila blaga i ni</w:t>
      </w:r>
      <w:r w:rsidR="00BB3755" w:rsidRPr="00CA6CBA">
        <w:rPr>
          <w:sz w:val="22"/>
          <w:szCs w:val="22"/>
          <w:lang w:val="sr-Latn-ME"/>
        </w:rPr>
        <w:t>je</w:t>
      </w:r>
      <w:r w:rsidRPr="00CA6CBA">
        <w:rPr>
          <w:sz w:val="22"/>
          <w:szCs w:val="22"/>
          <w:lang w:val="sr-Latn-ME"/>
        </w:rPr>
        <w:t>su uticala na ukup</w:t>
      </w:r>
      <w:r w:rsidR="004F5693" w:rsidRPr="00CA6CBA">
        <w:rPr>
          <w:sz w:val="22"/>
          <w:szCs w:val="22"/>
          <w:lang w:val="sr-Latn-ME"/>
        </w:rPr>
        <w:t>nu</w:t>
      </w:r>
      <w:r w:rsidRPr="00CA6CBA">
        <w:rPr>
          <w:sz w:val="22"/>
          <w:szCs w:val="22"/>
          <w:lang w:val="sr-Latn-ME"/>
        </w:rPr>
        <w:t xml:space="preserve"> </w:t>
      </w:r>
      <w:r w:rsidR="004F5693" w:rsidRPr="00CA6CBA">
        <w:rPr>
          <w:sz w:val="22"/>
          <w:szCs w:val="22"/>
          <w:lang w:val="sr-Latn-ME"/>
        </w:rPr>
        <w:t>stopu</w:t>
      </w:r>
      <w:r w:rsidRPr="00CA6CBA">
        <w:rPr>
          <w:sz w:val="22"/>
          <w:szCs w:val="22"/>
          <w:lang w:val="sr-Latn-ME"/>
        </w:rPr>
        <w:t xml:space="preserve"> prekida terapije u studijama (vidjeti i dio 4.8).</w:t>
      </w:r>
    </w:p>
    <w:p w14:paraId="7F52A92C" w14:textId="77777777" w:rsidR="00C2694B" w:rsidRPr="00CA6CBA" w:rsidRDefault="00C2694B">
      <w:pPr>
        <w:pStyle w:val="Header"/>
        <w:tabs>
          <w:tab w:val="left" w:pos="284"/>
        </w:tabs>
        <w:jc w:val="both"/>
        <w:rPr>
          <w:sz w:val="22"/>
          <w:szCs w:val="22"/>
          <w:lang w:val="sr-Latn-ME"/>
        </w:rPr>
      </w:pPr>
    </w:p>
    <w:p w14:paraId="2130E762" w14:textId="13CD4B07" w:rsidR="00C2694B" w:rsidRPr="00CA6CBA" w:rsidRDefault="00C2694B">
      <w:pPr>
        <w:pStyle w:val="Header"/>
        <w:tabs>
          <w:tab w:val="left" w:pos="284"/>
        </w:tabs>
        <w:jc w:val="both"/>
        <w:rPr>
          <w:sz w:val="22"/>
          <w:szCs w:val="22"/>
          <w:lang w:val="sr-Latn-ME"/>
        </w:rPr>
      </w:pPr>
      <w:r w:rsidRPr="00CA6CBA">
        <w:rPr>
          <w:sz w:val="22"/>
          <w:szCs w:val="22"/>
          <w:lang w:val="sr-Latn-ME"/>
        </w:rPr>
        <w:t>Sprovedena je klinička studija sa lijekom Azopt sa 32 pedijatriska pacijenta sa manje od 6 godina starosti, sa dijagnozom glaukom</w:t>
      </w:r>
      <w:r w:rsidR="004F5693" w:rsidRPr="00CA6CBA">
        <w:rPr>
          <w:sz w:val="22"/>
          <w:szCs w:val="22"/>
          <w:lang w:val="sr-Latn-ME"/>
        </w:rPr>
        <w:t>a</w:t>
      </w:r>
      <w:r w:rsidRPr="00CA6CBA">
        <w:rPr>
          <w:sz w:val="22"/>
          <w:szCs w:val="22"/>
          <w:lang w:val="sr-Latn-ME"/>
        </w:rPr>
        <w:t xml:space="preserve"> ili okularn</w:t>
      </w:r>
      <w:r w:rsidR="004F5693" w:rsidRPr="00CA6CBA">
        <w:rPr>
          <w:sz w:val="22"/>
          <w:szCs w:val="22"/>
          <w:lang w:val="sr-Latn-ME"/>
        </w:rPr>
        <w:t>e</w:t>
      </w:r>
      <w:r w:rsidRPr="00CA6CBA">
        <w:rPr>
          <w:sz w:val="22"/>
          <w:szCs w:val="22"/>
          <w:lang w:val="sr-Latn-ME"/>
        </w:rPr>
        <w:t xml:space="preserve"> hipertenzij</w:t>
      </w:r>
      <w:r w:rsidR="004F5693" w:rsidRPr="00CA6CBA">
        <w:rPr>
          <w:sz w:val="22"/>
          <w:szCs w:val="22"/>
          <w:lang w:val="sr-Latn-ME"/>
        </w:rPr>
        <w:t>e</w:t>
      </w:r>
      <w:r w:rsidRPr="00CA6CBA">
        <w:rPr>
          <w:sz w:val="22"/>
          <w:szCs w:val="22"/>
          <w:lang w:val="sr-Latn-ME"/>
        </w:rPr>
        <w:t>. Neki pacijenti ni</w:t>
      </w:r>
      <w:r w:rsidR="00BB3755" w:rsidRPr="00CA6CBA">
        <w:rPr>
          <w:sz w:val="22"/>
          <w:szCs w:val="22"/>
          <w:lang w:val="sr-Latn-ME"/>
        </w:rPr>
        <w:t>je</w:t>
      </w:r>
      <w:r w:rsidRPr="00CA6CBA">
        <w:rPr>
          <w:sz w:val="22"/>
          <w:szCs w:val="22"/>
          <w:lang w:val="sr-Latn-ME"/>
        </w:rPr>
        <w:t>su ranije primali IO</w:t>
      </w:r>
      <w:r w:rsidR="00BB3755" w:rsidRPr="00CA6CBA">
        <w:rPr>
          <w:sz w:val="22"/>
          <w:szCs w:val="22"/>
          <w:lang w:val="sr-Latn-ME"/>
        </w:rPr>
        <w:t>P</w:t>
      </w:r>
      <w:r w:rsidRPr="00CA6CBA">
        <w:rPr>
          <w:sz w:val="22"/>
          <w:szCs w:val="22"/>
          <w:lang w:val="sr-Latn-ME"/>
        </w:rPr>
        <w:t xml:space="preserve"> terapiju  dok su drugi bili pod terapijom drugi</w:t>
      </w:r>
      <w:r w:rsidR="004F5693" w:rsidRPr="00CA6CBA">
        <w:rPr>
          <w:sz w:val="22"/>
          <w:szCs w:val="22"/>
          <w:lang w:val="sr-Latn-ME"/>
        </w:rPr>
        <w:t>m</w:t>
      </w:r>
      <w:r w:rsidRPr="00CA6CBA">
        <w:rPr>
          <w:sz w:val="22"/>
          <w:szCs w:val="22"/>
          <w:lang w:val="sr-Latn-ME"/>
        </w:rPr>
        <w:t xml:space="preserve"> ljekov</w:t>
      </w:r>
      <w:r w:rsidR="004F5693" w:rsidRPr="00CA6CBA">
        <w:rPr>
          <w:sz w:val="22"/>
          <w:szCs w:val="22"/>
          <w:lang w:val="sr-Latn-ME"/>
        </w:rPr>
        <w:t>im</w:t>
      </w:r>
      <w:r w:rsidRPr="00CA6CBA">
        <w:rPr>
          <w:sz w:val="22"/>
          <w:szCs w:val="22"/>
          <w:lang w:val="sr-Latn-ME"/>
        </w:rPr>
        <w:t xml:space="preserve">a za sniženje IOP. Od pacijenata koji su </w:t>
      </w:r>
      <w:r w:rsidRPr="00CA6CBA">
        <w:rPr>
          <w:sz w:val="22"/>
          <w:szCs w:val="22"/>
          <w:lang w:val="sr-Latn-ME"/>
        </w:rPr>
        <w:lastRenderedPageBreak/>
        <w:t>prethodno bili pod terapijom lijeka /ljekova za sniženje IOP, nije zaht</w:t>
      </w:r>
      <w:r w:rsidR="007A045D" w:rsidRPr="00CA6CBA">
        <w:rPr>
          <w:sz w:val="22"/>
          <w:szCs w:val="22"/>
          <w:lang w:val="sr-Latn-ME"/>
        </w:rPr>
        <w:t>i</w:t>
      </w:r>
      <w:r w:rsidRPr="00CA6CBA">
        <w:rPr>
          <w:sz w:val="22"/>
          <w:szCs w:val="22"/>
          <w:lang w:val="sr-Latn-ME"/>
        </w:rPr>
        <w:t>jevano da prekinu svoju terapiju do uvođenja lijeka Azopt kao monoterapije.</w:t>
      </w:r>
    </w:p>
    <w:p w14:paraId="6C2971BE" w14:textId="77777777" w:rsidR="00C2694B" w:rsidRPr="00CA6CBA" w:rsidRDefault="00C2694B">
      <w:pPr>
        <w:pStyle w:val="Header"/>
        <w:tabs>
          <w:tab w:val="left" w:pos="284"/>
        </w:tabs>
        <w:jc w:val="both"/>
        <w:rPr>
          <w:sz w:val="22"/>
          <w:szCs w:val="22"/>
          <w:lang w:val="sr-Latn-ME"/>
        </w:rPr>
      </w:pPr>
    </w:p>
    <w:p w14:paraId="0CFD6962" w14:textId="0F689F0C" w:rsidR="00C2694B" w:rsidRPr="00CA6CBA" w:rsidRDefault="00C2694B">
      <w:pPr>
        <w:pStyle w:val="Header"/>
        <w:tabs>
          <w:tab w:val="left" w:pos="284"/>
        </w:tabs>
        <w:jc w:val="both"/>
        <w:rPr>
          <w:sz w:val="22"/>
          <w:szCs w:val="22"/>
          <w:lang w:val="sr-Latn-ME"/>
        </w:rPr>
      </w:pPr>
      <w:r w:rsidRPr="00CA6CBA">
        <w:rPr>
          <w:sz w:val="22"/>
          <w:szCs w:val="22"/>
          <w:lang w:val="sr-Latn-ME"/>
        </w:rPr>
        <w:t>Među pacijentima koji ni</w:t>
      </w:r>
      <w:r w:rsidR="007A045D" w:rsidRPr="00CA6CBA">
        <w:rPr>
          <w:sz w:val="22"/>
          <w:szCs w:val="22"/>
          <w:lang w:val="sr-Latn-ME"/>
        </w:rPr>
        <w:t>je</w:t>
      </w:r>
      <w:r w:rsidRPr="00CA6CBA">
        <w:rPr>
          <w:sz w:val="22"/>
          <w:szCs w:val="22"/>
          <w:lang w:val="sr-Latn-ME"/>
        </w:rPr>
        <w:t>su ranije primali IO</w:t>
      </w:r>
      <w:r w:rsidR="00BB3755" w:rsidRPr="00CA6CBA">
        <w:rPr>
          <w:sz w:val="22"/>
          <w:szCs w:val="22"/>
          <w:lang w:val="sr-Latn-ME"/>
        </w:rPr>
        <w:t>P</w:t>
      </w:r>
      <w:r w:rsidRPr="00CA6CBA">
        <w:rPr>
          <w:sz w:val="22"/>
          <w:szCs w:val="22"/>
          <w:lang w:val="sr-Latn-ME"/>
        </w:rPr>
        <w:t xml:space="preserve"> terapiju  (10 pacijenata), efikasnost lijeka Azopt je bila slična kao kod odraslih pacijenata, prosječno sniženje IOP od opsega početne vrijednosti  je bilo do 5 mmHg. Među pacijentima koji su primali ljekove za sniženje IOP (22 pacijenta), prosječni IOP </w:t>
      </w:r>
      <w:r w:rsidR="00BB6A18" w:rsidRPr="00CA6CBA">
        <w:rPr>
          <w:sz w:val="22"/>
          <w:szCs w:val="22"/>
          <w:lang w:val="sr-Latn-ME"/>
        </w:rPr>
        <w:t xml:space="preserve">se </w:t>
      </w:r>
      <w:r w:rsidRPr="00CA6CBA">
        <w:rPr>
          <w:sz w:val="22"/>
          <w:szCs w:val="22"/>
          <w:lang w:val="sr-Latn-ME"/>
        </w:rPr>
        <w:t xml:space="preserve">blago </w:t>
      </w:r>
      <w:r w:rsidR="00BB6A18" w:rsidRPr="00CA6CBA">
        <w:rPr>
          <w:sz w:val="22"/>
          <w:szCs w:val="22"/>
          <w:lang w:val="sr-Latn-ME"/>
        </w:rPr>
        <w:t xml:space="preserve">povećao u odnosu na </w:t>
      </w:r>
      <w:r w:rsidRPr="00CA6CBA">
        <w:rPr>
          <w:sz w:val="22"/>
          <w:szCs w:val="22"/>
          <w:lang w:val="sr-Latn-ME"/>
        </w:rPr>
        <w:t xml:space="preserve">početne vrijednosti u grupi </w:t>
      </w:r>
      <w:r w:rsidR="00BB6A18" w:rsidRPr="00CA6CBA">
        <w:rPr>
          <w:sz w:val="22"/>
          <w:szCs w:val="22"/>
          <w:lang w:val="sr-Latn-ME"/>
        </w:rPr>
        <w:t>koja je prim</w:t>
      </w:r>
      <w:r w:rsidR="00364F04" w:rsidRPr="00CA6CBA">
        <w:rPr>
          <w:sz w:val="22"/>
          <w:szCs w:val="22"/>
          <w:lang w:val="sr-Latn-ME"/>
        </w:rPr>
        <w:t>j</w:t>
      </w:r>
      <w:r w:rsidR="00BB6A18" w:rsidRPr="00CA6CBA">
        <w:rPr>
          <w:sz w:val="22"/>
          <w:szCs w:val="22"/>
          <w:lang w:val="sr-Latn-ME"/>
        </w:rPr>
        <w:t>enjivala l</w:t>
      </w:r>
      <w:r w:rsidR="00364F04" w:rsidRPr="00CA6CBA">
        <w:rPr>
          <w:sz w:val="22"/>
          <w:szCs w:val="22"/>
          <w:lang w:val="sr-Latn-ME"/>
        </w:rPr>
        <w:t>ij</w:t>
      </w:r>
      <w:r w:rsidR="00BB6A18" w:rsidRPr="00CA6CBA">
        <w:rPr>
          <w:sz w:val="22"/>
          <w:szCs w:val="22"/>
          <w:lang w:val="sr-Latn-ME"/>
        </w:rPr>
        <w:t xml:space="preserve">ek </w:t>
      </w:r>
      <w:r w:rsidRPr="00CA6CBA">
        <w:rPr>
          <w:sz w:val="22"/>
          <w:szCs w:val="22"/>
          <w:lang w:val="sr-Latn-ME"/>
        </w:rPr>
        <w:t>Azopt.</w:t>
      </w:r>
    </w:p>
    <w:p w14:paraId="70C082AE" w14:textId="77777777" w:rsidR="00C2694B" w:rsidRPr="00CA6CBA" w:rsidRDefault="00C2694B">
      <w:pPr>
        <w:tabs>
          <w:tab w:val="left" w:pos="540"/>
          <w:tab w:val="left" w:pos="569"/>
        </w:tabs>
        <w:jc w:val="both"/>
        <w:rPr>
          <w:b/>
          <w:bCs/>
          <w:sz w:val="22"/>
          <w:szCs w:val="22"/>
          <w:lang w:val="sr-Latn-ME"/>
        </w:rPr>
      </w:pPr>
    </w:p>
    <w:p w14:paraId="4E68B29B" w14:textId="77777777" w:rsidR="0072020E" w:rsidRPr="00CA6CBA" w:rsidRDefault="0072020E" w:rsidP="00035899">
      <w:pPr>
        <w:tabs>
          <w:tab w:val="left" w:pos="540"/>
          <w:tab w:val="left" w:pos="569"/>
        </w:tabs>
        <w:jc w:val="both"/>
        <w:rPr>
          <w:b/>
          <w:bCs/>
          <w:sz w:val="22"/>
          <w:szCs w:val="22"/>
          <w:lang w:val="sr-Latn-ME"/>
        </w:rPr>
      </w:pPr>
      <w:r w:rsidRPr="00CA6CBA">
        <w:rPr>
          <w:b/>
          <w:bCs/>
          <w:sz w:val="22"/>
          <w:szCs w:val="22"/>
          <w:lang w:val="sr-Latn-ME"/>
        </w:rPr>
        <w:t xml:space="preserve">5.2. </w:t>
      </w:r>
      <w:r w:rsidR="00480FB1" w:rsidRPr="00CA6CBA">
        <w:rPr>
          <w:b/>
          <w:bCs/>
          <w:sz w:val="22"/>
          <w:szCs w:val="22"/>
          <w:lang w:val="sr-Latn-ME"/>
        </w:rPr>
        <w:tab/>
      </w:r>
      <w:r w:rsidRPr="00CA6CBA">
        <w:rPr>
          <w:b/>
          <w:bCs/>
          <w:sz w:val="22"/>
          <w:szCs w:val="22"/>
          <w:lang w:val="sr-Latn-ME"/>
        </w:rPr>
        <w:t>Farmakokinetički podaci</w:t>
      </w:r>
      <w:r w:rsidR="003A7059" w:rsidRPr="00CA6CBA">
        <w:rPr>
          <w:b/>
          <w:bCs/>
          <w:sz w:val="22"/>
          <w:szCs w:val="22"/>
          <w:lang w:val="sr-Latn-ME"/>
        </w:rPr>
        <w:t xml:space="preserve"> </w:t>
      </w:r>
    </w:p>
    <w:p w14:paraId="2198C5A5" w14:textId="175BE168" w:rsidR="0072020E" w:rsidRPr="00CA6CBA" w:rsidRDefault="0072020E" w:rsidP="00035899">
      <w:pPr>
        <w:tabs>
          <w:tab w:val="left" w:pos="540"/>
          <w:tab w:val="left" w:pos="569"/>
        </w:tabs>
        <w:jc w:val="both"/>
        <w:rPr>
          <w:bCs/>
          <w:sz w:val="22"/>
          <w:szCs w:val="22"/>
          <w:lang w:val="sr-Latn-ME"/>
        </w:rPr>
      </w:pPr>
    </w:p>
    <w:p w14:paraId="3A03EDC8" w14:textId="41A09E82" w:rsidR="00C2694B" w:rsidRPr="00CA6CBA" w:rsidRDefault="00C2694B" w:rsidP="00CE15C2">
      <w:pPr>
        <w:jc w:val="both"/>
        <w:rPr>
          <w:sz w:val="22"/>
          <w:szCs w:val="22"/>
          <w:lang w:val="sr-Latn-ME"/>
        </w:rPr>
      </w:pPr>
      <w:r w:rsidRPr="00CA6CBA">
        <w:rPr>
          <w:sz w:val="22"/>
          <w:szCs w:val="22"/>
          <w:lang w:val="sr-Latn-ME"/>
        </w:rPr>
        <w:t>Nakon topikalne okularne primjene, brinzolamid se resorbuje u sistemsku cirkulaciju. Brinzolamid se, usl</w:t>
      </w:r>
      <w:r w:rsidR="00BB3755" w:rsidRPr="00CA6CBA">
        <w:rPr>
          <w:sz w:val="22"/>
          <w:szCs w:val="22"/>
          <w:lang w:val="sr-Latn-ME"/>
        </w:rPr>
        <w:t>j</w:t>
      </w:r>
      <w:r w:rsidRPr="00CA6CBA">
        <w:rPr>
          <w:sz w:val="22"/>
          <w:szCs w:val="22"/>
          <w:lang w:val="sr-Latn-ME"/>
        </w:rPr>
        <w:t xml:space="preserve">ed jakog afiniteta za CA-II, široko distribuira u eritrocite i pokazuje dugo poluvrijeme eliminacije u cijeloj krvi (u prosjeku oko 24 nedjelja). Kod ljudi se formira metabolit N-dezetil-brinzolamid, koji se takođe vezuje za CA i akumulira u eritrocitima. Ovaj metabolit se u prisustvu brinzolamida uglavnom </w:t>
      </w:r>
    </w:p>
    <w:p w14:paraId="43C5F71C" w14:textId="77777777" w:rsidR="00C2694B" w:rsidRPr="00CA6CBA" w:rsidRDefault="00C2694B" w:rsidP="00CE15C2">
      <w:pPr>
        <w:jc w:val="both"/>
        <w:rPr>
          <w:sz w:val="22"/>
          <w:szCs w:val="22"/>
          <w:lang w:val="sr-Latn-ME"/>
        </w:rPr>
      </w:pPr>
      <w:r w:rsidRPr="00CA6CBA">
        <w:rPr>
          <w:sz w:val="22"/>
          <w:szCs w:val="22"/>
          <w:lang w:val="sr-Latn-ME"/>
        </w:rPr>
        <w:t xml:space="preserve">vezuje za CA-I. U plazmi su koncentracije brinzolamida i N-dezetil-brinzolamida niske i uglavnom ispod granice određivanja metode </w:t>
      </w:r>
      <w:r w:rsidRPr="00CA6CBA">
        <w:rPr>
          <w:iCs/>
          <w:sz w:val="22"/>
          <w:szCs w:val="22"/>
          <w:lang w:val="sr-Latn-ME"/>
        </w:rPr>
        <w:t xml:space="preserve">(&lt;7,5 </w:t>
      </w:r>
      <w:r w:rsidRPr="00CA6CBA">
        <w:rPr>
          <w:sz w:val="22"/>
          <w:szCs w:val="22"/>
          <w:lang w:val="sr-Latn-ME"/>
        </w:rPr>
        <w:t xml:space="preserve">ng/ml). </w:t>
      </w:r>
    </w:p>
    <w:p w14:paraId="1CA5C4C4" w14:textId="77777777" w:rsidR="00C2694B" w:rsidRPr="00CA6CBA" w:rsidRDefault="00C2694B" w:rsidP="00CE15C2">
      <w:pPr>
        <w:jc w:val="both"/>
        <w:rPr>
          <w:sz w:val="22"/>
          <w:szCs w:val="22"/>
          <w:lang w:val="sr-Latn-ME"/>
        </w:rPr>
      </w:pPr>
    </w:p>
    <w:p w14:paraId="1E7A53A5" w14:textId="5BE06A3F" w:rsidR="00C2694B" w:rsidRPr="00CA6CBA" w:rsidRDefault="00C2694B" w:rsidP="00A34CA5">
      <w:pPr>
        <w:jc w:val="both"/>
        <w:rPr>
          <w:sz w:val="22"/>
          <w:szCs w:val="22"/>
          <w:lang w:val="sr-Latn-ME"/>
        </w:rPr>
      </w:pPr>
      <w:r w:rsidRPr="00CA6CBA">
        <w:rPr>
          <w:sz w:val="22"/>
          <w:szCs w:val="22"/>
          <w:lang w:val="sr-Latn-ME"/>
        </w:rPr>
        <w:t xml:space="preserve">Vezivanje za proteine plazme nije široko (oko 60%). Brinzolamid se primarno eliminiše renalnom ekskrecijom (približno 60%). Oko 20% doze u urinu čine metaboliti. Brinzolamid i N-dezetil-brinzolamid su preovladavajuće komponente u urinu uz koncentracije u tragovima N-desmetoksipropila i </w:t>
      </w:r>
      <w:r w:rsidR="007A045D" w:rsidRPr="00CA6CBA">
        <w:rPr>
          <w:sz w:val="22"/>
          <w:szCs w:val="22"/>
          <w:lang w:val="sr-Latn-ME"/>
        </w:rPr>
        <w:t>O</w:t>
      </w:r>
      <w:r w:rsidRPr="00CA6CBA">
        <w:rPr>
          <w:sz w:val="22"/>
          <w:szCs w:val="22"/>
          <w:lang w:val="sr-Latn-ME"/>
        </w:rPr>
        <w:t xml:space="preserve">-dezmetil metabolita. </w:t>
      </w:r>
    </w:p>
    <w:p w14:paraId="55E79C82" w14:textId="77777777" w:rsidR="00C2694B" w:rsidRPr="00CA6CBA" w:rsidRDefault="00C2694B">
      <w:pPr>
        <w:jc w:val="both"/>
        <w:rPr>
          <w:sz w:val="22"/>
          <w:szCs w:val="22"/>
          <w:lang w:val="sr-Latn-ME"/>
        </w:rPr>
      </w:pPr>
    </w:p>
    <w:p w14:paraId="316C1094" w14:textId="6772C170" w:rsidR="00C2694B" w:rsidRPr="00CA6CBA" w:rsidRDefault="00C2694B">
      <w:pPr>
        <w:jc w:val="both"/>
        <w:rPr>
          <w:sz w:val="22"/>
          <w:szCs w:val="22"/>
          <w:lang w:val="sr-Latn-ME"/>
        </w:rPr>
      </w:pPr>
      <w:r w:rsidRPr="00CA6CBA">
        <w:rPr>
          <w:sz w:val="22"/>
          <w:szCs w:val="22"/>
          <w:lang w:val="sr-Latn-ME"/>
        </w:rPr>
        <w:t>U oralnoj farmakokinetičkoj studiji, zdravi dobrovoljci dobijali su kapsule brinzolamida od 1mg dva puta dnevno do 32 nedjelje, i mjerena je aktivnost CA eritrocita da bi se proc</w:t>
      </w:r>
      <w:r w:rsidR="00E87003" w:rsidRPr="00CA6CBA">
        <w:rPr>
          <w:sz w:val="22"/>
          <w:szCs w:val="22"/>
          <w:lang w:val="sr-Latn-ME"/>
        </w:rPr>
        <w:t>i</w:t>
      </w:r>
      <w:r w:rsidRPr="00CA6CBA">
        <w:rPr>
          <w:sz w:val="22"/>
          <w:szCs w:val="22"/>
          <w:lang w:val="sr-Latn-ME"/>
        </w:rPr>
        <w:t xml:space="preserve">jenio stepen sistemske inhibicije CA. </w:t>
      </w:r>
    </w:p>
    <w:p w14:paraId="19C4C014" w14:textId="77777777" w:rsidR="00C2694B" w:rsidRPr="00CA6CBA" w:rsidRDefault="00C2694B">
      <w:pPr>
        <w:jc w:val="both"/>
        <w:rPr>
          <w:sz w:val="22"/>
          <w:szCs w:val="22"/>
          <w:lang w:val="sr-Latn-ME"/>
        </w:rPr>
      </w:pPr>
    </w:p>
    <w:p w14:paraId="2C098F97" w14:textId="77777777" w:rsidR="00C2694B" w:rsidRPr="00CA6CBA" w:rsidRDefault="00C2694B">
      <w:pPr>
        <w:jc w:val="both"/>
        <w:rPr>
          <w:sz w:val="22"/>
          <w:szCs w:val="22"/>
          <w:lang w:val="sr-Latn-ME"/>
        </w:rPr>
      </w:pPr>
      <w:r w:rsidRPr="00CA6CBA">
        <w:rPr>
          <w:sz w:val="22"/>
          <w:szCs w:val="22"/>
          <w:lang w:val="sr-Latn-ME"/>
        </w:rPr>
        <w:t xml:space="preserve">Saturacija CA-II eritrocita brinzolamidom postignuta je za 4 nedjelje (koncentracije u eritrocitima su bile približno 20 μM). N-dezetil-brinzolamid akumulirao se u crvenim krvnim ćelijama do stanja ravnoteže za 20-28 nedjelja, postižući koncentracije u rasponu od 6 do 30 μM. Inhibicija ukupne aktivnosti CA eritrocita u stanju ravnoteže iznosila je približno 70-75%. </w:t>
      </w:r>
    </w:p>
    <w:p w14:paraId="05D662E9" w14:textId="77777777" w:rsidR="00C2694B" w:rsidRPr="00CA6CBA" w:rsidRDefault="00C2694B">
      <w:pPr>
        <w:jc w:val="both"/>
        <w:rPr>
          <w:sz w:val="22"/>
          <w:szCs w:val="22"/>
          <w:lang w:val="sr-Latn-ME"/>
        </w:rPr>
      </w:pPr>
    </w:p>
    <w:p w14:paraId="0C9D29F6" w14:textId="77777777" w:rsidR="00C2694B" w:rsidRPr="00CA6CBA" w:rsidRDefault="00C2694B">
      <w:pPr>
        <w:jc w:val="both"/>
        <w:rPr>
          <w:sz w:val="22"/>
          <w:szCs w:val="22"/>
          <w:lang w:val="sr-Latn-ME"/>
        </w:rPr>
      </w:pPr>
      <w:r w:rsidRPr="00CA6CBA">
        <w:rPr>
          <w:sz w:val="22"/>
          <w:szCs w:val="22"/>
          <w:lang w:val="sr-Latn-ME"/>
        </w:rPr>
        <w:t xml:space="preserve">Osobe sa umjerenim oštećenjem bubrega (klirens kreatinina od 30-60 ml/minuti) dobijale su 1mg brinzolamida dva puta dnevno, oralno, do 54 nedjelje. Koncentracija brinzolamida u  eritrocitima bila je u rasponu od 20 do 40 μM do 4 nedjelje liječenja. Koncentracije brinzolamida i njegovog metabolita u erotrocitima u stanju ravnoteže bile su u rasponu od 22.0 do 46.1, odnosno 17.1 do 88.6 μM. </w:t>
      </w:r>
    </w:p>
    <w:p w14:paraId="045F8761" w14:textId="77777777" w:rsidR="00C2694B" w:rsidRPr="00CA6CBA" w:rsidRDefault="00C2694B">
      <w:pPr>
        <w:jc w:val="both"/>
        <w:rPr>
          <w:sz w:val="22"/>
          <w:szCs w:val="22"/>
          <w:lang w:val="sr-Latn-ME"/>
        </w:rPr>
      </w:pPr>
    </w:p>
    <w:p w14:paraId="5FD952E0" w14:textId="77777777" w:rsidR="00C2694B" w:rsidRPr="00CA6CBA" w:rsidRDefault="00C2694B">
      <w:pPr>
        <w:tabs>
          <w:tab w:val="left" w:pos="540"/>
          <w:tab w:val="left" w:pos="569"/>
        </w:tabs>
        <w:jc w:val="both"/>
        <w:rPr>
          <w:bCs/>
          <w:sz w:val="22"/>
          <w:szCs w:val="22"/>
          <w:lang w:val="sr-Latn-ME"/>
        </w:rPr>
      </w:pPr>
      <w:r w:rsidRPr="00CA6CBA">
        <w:rPr>
          <w:sz w:val="22"/>
          <w:szCs w:val="22"/>
          <w:lang w:val="sr-Latn-ME"/>
        </w:rPr>
        <w:t>Koncentracije N-dezetil-brinzolamida u eritrocitima se povećala a ukupna aktivnost CA eritrocita se smanjila sa smanjenjem klirensa kreatinina, međutim koncentracije brinzolamida u eritrocitima i aktivnost CA-II ostale su nepromijenjene. Kod osoba sa najvećim stepenom oštećenja bubrega, inhibicija ukupne aktivnosti CA bila je jača iako je bila manja od 90% u stanju ravnoteže.</w:t>
      </w:r>
    </w:p>
    <w:p w14:paraId="2F4D55E2" w14:textId="77777777" w:rsidR="00C2694B" w:rsidRPr="00CA6CBA" w:rsidRDefault="00C2694B">
      <w:pPr>
        <w:tabs>
          <w:tab w:val="left" w:pos="540"/>
          <w:tab w:val="left" w:pos="569"/>
        </w:tabs>
        <w:jc w:val="both"/>
        <w:rPr>
          <w:bCs/>
          <w:sz w:val="22"/>
          <w:szCs w:val="22"/>
          <w:lang w:val="sr-Latn-ME"/>
        </w:rPr>
      </w:pPr>
    </w:p>
    <w:p w14:paraId="44E49844" w14:textId="77777777" w:rsidR="00C2694B" w:rsidRPr="00CA6CBA" w:rsidRDefault="00C2694B">
      <w:pPr>
        <w:tabs>
          <w:tab w:val="left" w:pos="540"/>
          <w:tab w:val="left" w:pos="569"/>
        </w:tabs>
        <w:jc w:val="both"/>
        <w:rPr>
          <w:bCs/>
          <w:sz w:val="22"/>
          <w:szCs w:val="22"/>
          <w:lang w:val="sr-Latn-ME"/>
        </w:rPr>
      </w:pPr>
      <w:r w:rsidRPr="00CA6CBA">
        <w:rPr>
          <w:sz w:val="22"/>
          <w:szCs w:val="22"/>
          <w:lang w:val="sr-Latn-ME"/>
        </w:rPr>
        <w:t xml:space="preserve">U topikalnoj okularnoj studiji, u stanju ravnoteže su koncentracije brinzolamida u eritrocitima bile slične onima nađenim u oralnoj studiji, ali su nivoi N-dezetil-brinzolamida bile niže. Aktivnost karboanhidraze iznosila je približno 40-70% nivoa prije doziranja. </w:t>
      </w:r>
    </w:p>
    <w:p w14:paraId="3AE305BC" w14:textId="77777777" w:rsidR="004B54F9" w:rsidRPr="00CA6CBA" w:rsidRDefault="004B54F9" w:rsidP="00035899">
      <w:pPr>
        <w:tabs>
          <w:tab w:val="left" w:pos="540"/>
          <w:tab w:val="left" w:pos="569"/>
        </w:tabs>
        <w:jc w:val="both"/>
        <w:rPr>
          <w:bCs/>
          <w:sz w:val="22"/>
          <w:szCs w:val="22"/>
          <w:lang w:val="sr-Latn-ME"/>
        </w:rPr>
      </w:pPr>
    </w:p>
    <w:p w14:paraId="7CE2FC8A" w14:textId="77777777" w:rsidR="0072020E" w:rsidRPr="00CA6CBA" w:rsidRDefault="0072020E" w:rsidP="00035899">
      <w:pPr>
        <w:tabs>
          <w:tab w:val="left" w:pos="540"/>
          <w:tab w:val="left" w:pos="569"/>
        </w:tabs>
        <w:jc w:val="both"/>
        <w:rPr>
          <w:b/>
          <w:bCs/>
          <w:sz w:val="22"/>
          <w:szCs w:val="22"/>
          <w:lang w:val="sr-Latn-ME"/>
        </w:rPr>
      </w:pPr>
      <w:r w:rsidRPr="00CA6CBA">
        <w:rPr>
          <w:b/>
          <w:bCs/>
          <w:sz w:val="22"/>
          <w:szCs w:val="22"/>
          <w:lang w:val="sr-Latn-ME"/>
        </w:rPr>
        <w:t xml:space="preserve">5.3. </w:t>
      </w:r>
      <w:r w:rsidR="00480FB1" w:rsidRPr="00CA6CBA">
        <w:rPr>
          <w:b/>
          <w:bCs/>
          <w:sz w:val="22"/>
          <w:szCs w:val="22"/>
          <w:lang w:val="sr-Latn-ME"/>
        </w:rPr>
        <w:tab/>
      </w:r>
      <w:r w:rsidRPr="00CA6CBA">
        <w:rPr>
          <w:b/>
          <w:bCs/>
          <w:sz w:val="22"/>
          <w:szCs w:val="22"/>
          <w:lang w:val="sr-Latn-ME"/>
        </w:rPr>
        <w:t xml:space="preserve">Pretklinički podaci o bezbjednosti </w:t>
      </w:r>
    </w:p>
    <w:p w14:paraId="2AFF43C7" w14:textId="77777777" w:rsidR="00836B35" w:rsidRPr="00CA6CBA" w:rsidRDefault="00836B35" w:rsidP="00035899">
      <w:pPr>
        <w:tabs>
          <w:tab w:val="left" w:pos="540"/>
          <w:tab w:val="left" w:pos="569"/>
        </w:tabs>
        <w:jc w:val="both"/>
        <w:rPr>
          <w:bCs/>
          <w:sz w:val="22"/>
          <w:szCs w:val="22"/>
          <w:lang w:val="sr-Latn-ME"/>
        </w:rPr>
      </w:pPr>
    </w:p>
    <w:p w14:paraId="018D96BE" w14:textId="43DEFDD3" w:rsidR="00C2694B" w:rsidRPr="00CA6CBA" w:rsidRDefault="00C2694B" w:rsidP="00CE15C2">
      <w:pPr>
        <w:pStyle w:val="NormalWeb"/>
        <w:spacing w:before="0" w:beforeAutospacing="0" w:after="0" w:afterAutospacing="0"/>
        <w:jc w:val="both"/>
        <w:rPr>
          <w:sz w:val="22"/>
          <w:szCs w:val="22"/>
          <w:lang w:val="sr-Latn-ME"/>
        </w:rPr>
      </w:pPr>
      <w:r w:rsidRPr="00CA6CBA">
        <w:rPr>
          <w:sz w:val="22"/>
          <w:szCs w:val="22"/>
          <w:lang w:val="sr-Latn-ME"/>
        </w:rPr>
        <w:t>Pretklinički podaci ne pokazuju posebnu opasnost za ljude na osnovu konvencionalnih studija bezbjednosne farmakologije,</w:t>
      </w:r>
      <w:r w:rsidR="008C2498" w:rsidRPr="00CA6CBA">
        <w:rPr>
          <w:sz w:val="22"/>
          <w:szCs w:val="22"/>
          <w:lang w:val="sr-Latn-ME"/>
        </w:rPr>
        <w:t xml:space="preserve"> toksičnosti pojedinačne doze, toksičnosti ponovljenih doza</w:t>
      </w:r>
      <w:r w:rsidRPr="00CA6CBA">
        <w:rPr>
          <w:sz w:val="22"/>
          <w:szCs w:val="22"/>
          <w:lang w:val="sr-Latn-ME"/>
        </w:rPr>
        <w:t xml:space="preserve">, genotoksičnosti i </w:t>
      </w:r>
      <w:r w:rsidR="00CB03BE" w:rsidRPr="00CA6CBA">
        <w:rPr>
          <w:sz w:val="22"/>
          <w:szCs w:val="22"/>
          <w:lang w:val="sr-Latn-ME"/>
        </w:rPr>
        <w:t>karcinogenog</w:t>
      </w:r>
      <w:r w:rsidRPr="00CA6CBA">
        <w:rPr>
          <w:sz w:val="22"/>
          <w:szCs w:val="22"/>
          <w:lang w:val="sr-Latn-ME"/>
        </w:rPr>
        <w:t xml:space="preserve"> potencijala.</w:t>
      </w:r>
    </w:p>
    <w:p w14:paraId="2FDCACD3" w14:textId="77777777" w:rsidR="00C2694B" w:rsidRPr="00CA6CBA" w:rsidRDefault="00C2694B" w:rsidP="00CE15C2">
      <w:pPr>
        <w:pStyle w:val="NormalWeb"/>
        <w:spacing w:before="0" w:beforeAutospacing="0" w:after="0" w:afterAutospacing="0"/>
        <w:jc w:val="both"/>
        <w:rPr>
          <w:sz w:val="22"/>
          <w:szCs w:val="22"/>
          <w:lang w:val="sr-Latn-ME"/>
        </w:rPr>
      </w:pPr>
    </w:p>
    <w:p w14:paraId="3FDEDE2A" w14:textId="280CB73C" w:rsidR="00C2694B" w:rsidRPr="00CA6CBA" w:rsidRDefault="00C2694B" w:rsidP="00CE15C2">
      <w:pPr>
        <w:pStyle w:val="NormalWeb"/>
        <w:spacing w:before="0" w:beforeAutospacing="0" w:after="0" w:afterAutospacing="0"/>
        <w:jc w:val="both"/>
        <w:rPr>
          <w:color w:val="000000"/>
          <w:sz w:val="22"/>
          <w:szCs w:val="22"/>
          <w:lang w:val="sr-Latn-ME"/>
        </w:rPr>
      </w:pPr>
      <w:r w:rsidRPr="00CA6CBA">
        <w:rPr>
          <w:sz w:val="22"/>
          <w:szCs w:val="22"/>
          <w:lang w:val="sr-Latn-ME"/>
        </w:rPr>
        <w:t xml:space="preserve">Razvojne studije toksičnosti kod </w:t>
      </w:r>
      <w:r w:rsidR="00E87003" w:rsidRPr="00CA6CBA">
        <w:rPr>
          <w:sz w:val="22"/>
          <w:szCs w:val="22"/>
          <w:lang w:val="sr-Latn-ME"/>
        </w:rPr>
        <w:t>kunića</w:t>
      </w:r>
      <w:r w:rsidRPr="00CA6CBA">
        <w:rPr>
          <w:sz w:val="22"/>
          <w:szCs w:val="22"/>
          <w:lang w:val="sr-Latn-ME"/>
        </w:rPr>
        <w:t xml:space="preserve"> sa oralnim dozama brinzolamida do 6 mg/kg/dan (125 puta više od preporučene oftalmološke humane doze) ni</w:t>
      </w:r>
      <w:r w:rsidR="00E87003" w:rsidRPr="00CA6CBA">
        <w:rPr>
          <w:sz w:val="22"/>
          <w:szCs w:val="22"/>
          <w:lang w:val="sr-Latn-ME"/>
        </w:rPr>
        <w:t>je</w:t>
      </w:r>
      <w:r w:rsidRPr="00CA6CBA">
        <w:rPr>
          <w:sz w:val="22"/>
          <w:szCs w:val="22"/>
          <w:lang w:val="sr-Latn-ME"/>
        </w:rPr>
        <w:t xml:space="preserve">su pokazale bilo kakvo dejstvo na fetalni razvoj uprkos značajne toksičnosti po ženku. Slične studije na pacovima pokazale su blago smanjenu osifikaciju lobanje i sternebre fetusa majki koje su dobijale brinzolamid u dozama od 18 mg/kg/dan (375 puta više od preporučene oftalmološke humane doze), ali ne i pri dozama od 6 mg/kg/dan. Ovi nalazi pojavljivali su se pri dozama koje su izazivale metaboličku acidozu sa smanjenom tjelesnom težinom kod majki i </w:t>
      </w:r>
      <w:r w:rsidRPr="00CA6CBA">
        <w:rPr>
          <w:sz w:val="22"/>
          <w:szCs w:val="22"/>
          <w:lang w:val="sr-Latn-ME"/>
        </w:rPr>
        <w:lastRenderedPageBreak/>
        <w:t>smanjenom tjelesnom težinom fetusa. Dozno zavisno smanjenja fetalne tjelesne težine primjećeno je kod okota ženki koje su oralno dobijale brinzolamid, u rasponu od blagog smanjenja (oko 5-6%) pri dozi od 2 mg/kg/dan do skoro 14% pri dozama od 18 mg/kg/dan. Tokom laktacije, nivo od 5 mg/kg/danu nije izazivao neželjene efekte na potomstvu.</w:t>
      </w:r>
    </w:p>
    <w:p w14:paraId="63FDC97C" w14:textId="77777777" w:rsidR="00C2694B" w:rsidRPr="00CA6CBA" w:rsidRDefault="00C2694B" w:rsidP="00A34CA5">
      <w:pPr>
        <w:tabs>
          <w:tab w:val="left" w:pos="540"/>
          <w:tab w:val="left" w:pos="569"/>
        </w:tabs>
        <w:jc w:val="both"/>
        <w:rPr>
          <w:b/>
          <w:bCs/>
          <w:sz w:val="22"/>
          <w:szCs w:val="22"/>
          <w:lang w:val="sr-Latn-ME"/>
        </w:rPr>
      </w:pPr>
    </w:p>
    <w:p w14:paraId="34B65A8A" w14:textId="77777777" w:rsidR="004B54F9" w:rsidRPr="00CA6CBA" w:rsidRDefault="004B54F9" w:rsidP="00035899">
      <w:pPr>
        <w:tabs>
          <w:tab w:val="left" w:pos="540"/>
          <w:tab w:val="left" w:pos="569"/>
        </w:tabs>
        <w:jc w:val="both"/>
        <w:rPr>
          <w:b/>
          <w:bCs/>
          <w:sz w:val="22"/>
          <w:szCs w:val="22"/>
          <w:lang w:val="sr-Latn-ME"/>
        </w:rPr>
      </w:pPr>
    </w:p>
    <w:p w14:paraId="011FD67F" w14:textId="77777777" w:rsidR="0072020E" w:rsidRPr="00CA6CBA" w:rsidRDefault="0072020E" w:rsidP="00480FB1">
      <w:pPr>
        <w:tabs>
          <w:tab w:val="left" w:pos="540"/>
          <w:tab w:val="left" w:pos="569"/>
        </w:tabs>
        <w:rPr>
          <w:b/>
          <w:bCs/>
          <w:sz w:val="22"/>
          <w:szCs w:val="22"/>
          <w:lang w:val="sr-Latn-ME"/>
        </w:rPr>
      </w:pPr>
      <w:r w:rsidRPr="00CA6CBA">
        <w:rPr>
          <w:b/>
          <w:bCs/>
          <w:sz w:val="22"/>
          <w:szCs w:val="22"/>
          <w:lang w:val="sr-Latn-ME"/>
        </w:rPr>
        <w:t xml:space="preserve">6. </w:t>
      </w:r>
      <w:r w:rsidR="00480FB1" w:rsidRPr="00CA6CBA">
        <w:rPr>
          <w:b/>
          <w:bCs/>
          <w:sz w:val="22"/>
          <w:szCs w:val="22"/>
          <w:lang w:val="sr-Latn-ME"/>
        </w:rPr>
        <w:tab/>
      </w:r>
      <w:r w:rsidRPr="00CA6CBA">
        <w:rPr>
          <w:b/>
          <w:bCs/>
          <w:sz w:val="22"/>
          <w:szCs w:val="22"/>
          <w:lang w:val="sr-Latn-ME"/>
        </w:rPr>
        <w:t>FARMACEUTSKI PODACI</w:t>
      </w:r>
    </w:p>
    <w:p w14:paraId="3D7472B8" w14:textId="77777777" w:rsidR="00836B35" w:rsidRPr="00CA6CBA" w:rsidRDefault="00836B35" w:rsidP="00480FB1">
      <w:pPr>
        <w:tabs>
          <w:tab w:val="left" w:pos="540"/>
          <w:tab w:val="left" w:pos="569"/>
        </w:tabs>
        <w:rPr>
          <w:bCs/>
          <w:sz w:val="22"/>
          <w:szCs w:val="22"/>
          <w:lang w:val="sr-Latn-ME"/>
        </w:rPr>
      </w:pPr>
    </w:p>
    <w:p w14:paraId="41764873" w14:textId="53163ECD" w:rsidR="00C2694B" w:rsidRPr="00CA6CBA" w:rsidRDefault="00C2694B" w:rsidP="00C2694B">
      <w:pPr>
        <w:tabs>
          <w:tab w:val="left" w:pos="540"/>
          <w:tab w:val="left" w:pos="569"/>
        </w:tabs>
        <w:jc w:val="both"/>
        <w:rPr>
          <w:b/>
          <w:bCs/>
          <w:sz w:val="22"/>
          <w:szCs w:val="22"/>
          <w:lang w:val="sr-Latn-ME"/>
        </w:rPr>
      </w:pPr>
      <w:r w:rsidRPr="00CA6CBA">
        <w:rPr>
          <w:b/>
          <w:bCs/>
          <w:sz w:val="22"/>
          <w:szCs w:val="22"/>
          <w:lang w:val="sr-Latn-ME"/>
        </w:rPr>
        <w:t xml:space="preserve">6.1. </w:t>
      </w:r>
      <w:r w:rsidRPr="00CA6CBA">
        <w:rPr>
          <w:b/>
          <w:bCs/>
          <w:sz w:val="22"/>
          <w:szCs w:val="22"/>
          <w:lang w:val="sr-Latn-ME"/>
        </w:rPr>
        <w:tab/>
        <w:t>Lista pomoćnih supstanci</w:t>
      </w:r>
      <w:r w:rsidR="004072F6" w:rsidRPr="00CA6CBA">
        <w:rPr>
          <w:b/>
          <w:bCs/>
          <w:sz w:val="22"/>
          <w:szCs w:val="22"/>
          <w:lang w:val="sr-Latn-ME"/>
        </w:rPr>
        <w:t xml:space="preserve"> (ekscipijenasa)</w:t>
      </w:r>
    </w:p>
    <w:p w14:paraId="71C62AE2" w14:textId="77777777" w:rsidR="00C2694B" w:rsidRPr="00CA6CBA" w:rsidRDefault="00C2694B" w:rsidP="00C2694B">
      <w:pPr>
        <w:tabs>
          <w:tab w:val="left" w:pos="540"/>
          <w:tab w:val="left" w:pos="569"/>
        </w:tabs>
        <w:jc w:val="both"/>
        <w:rPr>
          <w:b/>
          <w:bCs/>
          <w:sz w:val="22"/>
          <w:szCs w:val="22"/>
          <w:lang w:val="sr-Latn-ME"/>
        </w:rPr>
      </w:pPr>
    </w:p>
    <w:p w14:paraId="5A680867" w14:textId="147CC573" w:rsidR="00C2694B" w:rsidRPr="00CA6CBA" w:rsidRDefault="004072F6" w:rsidP="00C2694B">
      <w:pPr>
        <w:jc w:val="both"/>
        <w:rPr>
          <w:sz w:val="22"/>
          <w:szCs w:val="22"/>
          <w:lang w:val="sr-Latn-ME"/>
        </w:rPr>
      </w:pPr>
      <w:r w:rsidRPr="00CA6CBA">
        <w:rPr>
          <w:sz w:val="22"/>
          <w:szCs w:val="22"/>
          <w:lang w:val="sr-Latn-ME"/>
        </w:rPr>
        <w:t>b</w:t>
      </w:r>
      <w:r w:rsidR="00C2694B" w:rsidRPr="00CA6CBA">
        <w:rPr>
          <w:sz w:val="22"/>
          <w:szCs w:val="22"/>
          <w:lang w:val="sr-Latn-ME"/>
        </w:rPr>
        <w:t>enzalkonijum hlorid</w:t>
      </w:r>
    </w:p>
    <w:p w14:paraId="64172B43" w14:textId="77777777" w:rsidR="00C2694B" w:rsidRPr="00CA6CBA" w:rsidRDefault="00C2694B" w:rsidP="00C2694B">
      <w:pPr>
        <w:jc w:val="both"/>
        <w:rPr>
          <w:sz w:val="22"/>
          <w:szCs w:val="22"/>
          <w:lang w:val="sr-Latn-ME"/>
        </w:rPr>
      </w:pPr>
      <w:r w:rsidRPr="00CA6CBA">
        <w:rPr>
          <w:sz w:val="22"/>
          <w:szCs w:val="22"/>
          <w:lang w:val="sr-Latn-ME"/>
        </w:rPr>
        <w:t>manitol (E421)</w:t>
      </w:r>
    </w:p>
    <w:p w14:paraId="67E38CFE" w14:textId="77777777" w:rsidR="00C2694B" w:rsidRPr="00CA6CBA" w:rsidRDefault="00C2694B" w:rsidP="00C2694B">
      <w:pPr>
        <w:jc w:val="both"/>
        <w:rPr>
          <w:sz w:val="22"/>
          <w:szCs w:val="22"/>
          <w:lang w:val="sr-Latn-ME"/>
        </w:rPr>
      </w:pPr>
      <w:r w:rsidRPr="00CA6CBA">
        <w:rPr>
          <w:sz w:val="22"/>
          <w:szCs w:val="22"/>
          <w:lang w:val="sr-Latn-ME"/>
        </w:rPr>
        <w:t>karbomer (974P)</w:t>
      </w:r>
    </w:p>
    <w:p w14:paraId="1FA4DC72" w14:textId="77777777" w:rsidR="00C2694B" w:rsidRPr="00CA6CBA" w:rsidRDefault="00C2694B" w:rsidP="00C2694B">
      <w:pPr>
        <w:jc w:val="both"/>
        <w:rPr>
          <w:sz w:val="22"/>
          <w:szCs w:val="22"/>
          <w:lang w:val="sr-Latn-ME"/>
        </w:rPr>
      </w:pPr>
      <w:r w:rsidRPr="00CA6CBA">
        <w:rPr>
          <w:sz w:val="22"/>
          <w:szCs w:val="22"/>
          <w:lang w:val="sr-Latn-ME"/>
        </w:rPr>
        <w:t>tiloksapol</w:t>
      </w:r>
    </w:p>
    <w:p w14:paraId="12A9B1AC" w14:textId="140CB6E5" w:rsidR="00C2694B" w:rsidRPr="00CA6CBA" w:rsidRDefault="00C2694B" w:rsidP="00C2694B">
      <w:pPr>
        <w:jc w:val="both"/>
        <w:rPr>
          <w:sz w:val="22"/>
          <w:szCs w:val="22"/>
          <w:lang w:val="sr-Latn-ME"/>
        </w:rPr>
      </w:pPr>
      <w:r w:rsidRPr="00CA6CBA">
        <w:rPr>
          <w:sz w:val="22"/>
          <w:szCs w:val="22"/>
          <w:lang w:val="sr-Latn-ME"/>
        </w:rPr>
        <w:t>dinatrijum edetat</w:t>
      </w:r>
    </w:p>
    <w:p w14:paraId="1311C610" w14:textId="46D12A16" w:rsidR="00C2694B" w:rsidRPr="00CA6CBA" w:rsidRDefault="00C2694B" w:rsidP="00C2694B">
      <w:pPr>
        <w:jc w:val="both"/>
        <w:rPr>
          <w:sz w:val="22"/>
          <w:szCs w:val="22"/>
          <w:lang w:val="sr-Latn-ME"/>
        </w:rPr>
      </w:pPr>
      <w:r w:rsidRPr="00CA6CBA">
        <w:rPr>
          <w:sz w:val="22"/>
          <w:szCs w:val="22"/>
          <w:lang w:val="sr-Latn-ME"/>
        </w:rPr>
        <w:t>natrijum hlorid</w:t>
      </w:r>
    </w:p>
    <w:p w14:paraId="2BE81E98" w14:textId="61485EFD" w:rsidR="00C2694B" w:rsidRPr="00CA6CBA" w:rsidRDefault="00C2694B" w:rsidP="00C2694B">
      <w:pPr>
        <w:ind w:left="72" w:hanging="72"/>
        <w:jc w:val="both"/>
        <w:rPr>
          <w:sz w:val="22"/>
          <w:szCs w:val="22"/>
          <w:lang w:val="sr-Latn-ME"/>
        </w:rPr>
      </w:pPr>
      <w:r w:rsidRPr="00CA6CBA">
        <w:rPr>
          <w:sz w:val="22"/>
          <w:szCs w:val="22"/>
          <w:lang w:val="sr-Latn-ME"/>
        </w:rPr>
        <w:t>hlorovodonična kiselina /natrijum hidroksid (za korekciju pH)</w:t>
      </w:r>
    </w:p>
    <w:p w14:paraId="76248BF8" w14:textId="78CC8503" w:rsidR="00C2694B" w:rsidRPr="00CA6CBA" w:rsidRDefault="00C2694B" w:rsidP="00C2694B">
      <w:pPr>
        <w:tabs>
          <w:tab w:val="left" w:pos="540"/>
          <w:tab w:val="left" w:pos="569"/>
        </w:tabs>
        <w:jc w:val="both"/>
        <w:rPr>
          <w:bCs/>
          <w:sz w:val="22"/>
          <w:szCs w:val="22"/>
          <w:lang w:val="sr-Latn-ME"/>
        </w:rPr>
      </w:pPr>
      <w:r w:rsidRPr="00CA6CBA">
        <w:rPr>
          <w:sz w:val="22"/>
          <w:szCs w:val="22"/>
          <w:lang w:val="sr-Latn-ME"/>
        </w:rPr>
        <w:t>prečišćena voda</w:t>
      </w:r>
    </w:p>
    <w:p w14:paraId="3FE5EFAB" w14:textId="77777777" w:rsidR="0072020E" w:rsidRPr="00CA6CBA" w:rsidRDefault="0072020E" w:rsidP="00480FB1">
      <w:pPr>
        <w:tabs>
          <w:tab w:val="left" w:pos="540"/>
          <w:tab w:val="left" w:pos="569"/>
        </w:tabs>
        <w:rPr>
          <w:bCs/>
          <w:sz w:val="22"/>
          <w:szCs w:val="22"/>
          <w:lang w:val="sr-Latn-ME"/>
        </w:rPr>
      </w:pPr>
    </w:p>
    <w:p w14:paraId="73283D39" w14:textId="77777777" w:rsidR="0072020E" w:rsidRPr="00CA6CBA" w:rsidRDefault="0072020E" w:rsidP="00480FB1">
      <w:pPr>
        <w:tabs>
          <w:tab w:val="left" w:pos="540"/>
          <w:tab w:val="left" w:pos="569"/>
        </w:tabs>
        <w:rPr>
          <w:b/>
          <w:bCs/>
          <w:sz w:val="22"/>
          <w:szCs w:val="22"/>
          <w:lang w:val="sr-Latn-ME"/>
        </w:rPr>
      </w:pPr>
      <w:r w:rsidRPr="00CA6CBA">
        <w:rPr>
          <w:b/>
          <w:bCs/>
          <w:sz w:val="22"/>
          <w:szCs w:val="22"/>
          <w:lang w:val="sr-Latn-ME"/>
        </w:rPr>
        <w:t xml:space="preserve">6.2. </w:t>
      </w:r>
      <w:r w:rsidR="00480FB1" w:rsidRPr="00CA6CBA">
        <w:rPr>
          <w:b/>
          <w:bCs/>
          <w:sz w:val="22"/>
          <w:szCs w:val="22"/>
          <w:lang w:val="sr-Latn-ME"/>
        </w:rPr>
        <w:tab/>
      </w:r>
      <w:r w:rsidRPr="00CA6CBA">
        <w:rPr>
          <w:b/>
          <w:bCs/>
          <w:sz w:val="22"/>
          <w:szCs w:val="22"/>
          <w:lang w:val="sr-Latn-ME"/>
        </w:rPr>
        <w:t>Inkompatibilnost</w:t>
      </w:r>
      <w:r w:rsidR="002846DB" w:rsidRPr="00CA6CBA">
        <w:rPr>
          <w:b/>
          <w:bCs/>
          <w:sz w:val="22"/>
          <w:szCs w:val="22"/>
          <w:lang w:val="sr-Latn-ME"/>
        </w:rPr>
        <w:t>i</w:t>
      </w:r>
    </w:p>
    <w:p w14:paraId="69C1A632" w14:textId="30854497" w:rsidR="0072020E" w:rsidRPr="00CA6CBA" w:rsidRDefault="0072020E" w:rsidP="00480FB1">
      <w:pPr>
        <w:tabs>
          <w:tab w:val="left" w:pos="540"/>
          <w:tab w:val="left" w:pos="569"/>
        </w:tabs>
        <w:rPr>
          <w:bCs/>
          <w:sz w:val="22"/>
          <w:szCs w:val="22"/>
          <w:lang w:val="sr-Latn-ME"/>
        </w:rPr>
      </w:pPr>
    </w:p>
    <w:p w14:paraId="707C312C" w14:textId="77777777" w:rsidR="004B54F9" w:rsidRPr="00CA6CBA" w:rsidRDefault="004B54F9" w:rsidP="00704351">
      <w:pPr>
        <w:pStyle w:val="BodyText"/>
        <w:kinsoku w:val="0"/>
        <w:overflowPunct w:val="0"/>
        <w:spacing w:line="250" w:lineRule="exact"/>
        <w:rPr>
          <w:lang w:val="sr-Latn-ME"/>
        </w:rPr>
      </w:pPr>
      <w:r w:rsidRPr="00CA6CBA">
        <w:rPr>
          <w:lang w:val="sr-Latn-ME"/>
        </w:rPr>
        <w:t>Nije</w:t>
      </w:r>
      <w:r w:rsidRPr="00CA6CBA">
        <w:rPr>
          <w:spacing w:val="-4"/>
          <w:lang w:val="sr-Latn-ME"/>
        </w:rPr>
        <w:t xml:space="preserve"> </w:t>
      </w:r>
      <w:r w:rsidRPr="00CA6CBA">
        <w:rPr>
          <w:lang w:val="sr-Latn-ME"/>
        </w:rPr>
        <w:t>primjenljivo.</w:t>
      </w:r>
    </w:p>
    <w:p w14:paraId="03A51DFD" w14:textId="77777777" w:rsidR="004B54F9" w:rsidRPr="00CA6CBA" w:rsidRDefault="004B54F9" w:rsidP="00480FB1">
      <w:pPr>
        <w:tabs>
          <w:tab w:val="left" w:pos="540"/>
          <w:tab w:val="left" w:pos="569"/>
        </w:tabs>
        <w:rPr>
          <w:bCs/>
          <w:sz w:val="22"/>
          <w:szCs w:val="22"/>
          <w:lang w:val="sr-Latn-ME"/>
        </w:rPr>
      </w:pPr>
    </w:p>
    <w:p w14:paraId="4511BAFC" w14:textId="77777777" w:rsidR="0072020E" w:rsidRPr="00CA6CBA" w:rsidRDefault="0072020E" w:rsidP="00480FB1">
      <w:pPr>
        <w:tabs>
          <w:tab w:val="left" w:pos="540"/>
          <w:tab w:val="left" w:pos="569"/>
        </w:tabs>
        <w:rPr>
          <w:b/>
          <w:bCs/>
          <w:sz w:val="22"/>
          <w:szCs w:val="22"/>
          <w:lang w:val="sr-Latn-ME"/>
        </w:rPr>
      </w:pPr>
      <w:r w:rsidRPr="00CA6CBA">
        <w:rPr>
          <w:b/>
          <w:bCs/>
          <w:sz w:val="22"/>
          <w:szCs w:val="22"/>
          <w:lang w:val="sr-Latn-ME"/>
        </w:rPr>
        <w:t>6.3.</w:t>
      </w:r>
      <w:r w:rsidR="00C05DF8" w:rsidRPr="00CA6CBA">
        <w:rPr>
          <w:b/>
          <w:bCs/>
          <w:sz w:val="22"/>
          <w:szCs w:val="22"/>
          <w:lang w:val="sr-Latn-ME"/>
        </w:rPr>
        <w:t xml:space="preserve"> </w:t>
      </w:r>
      <w:r w:rsidR="00480FB1" w:rsidRPr="00CA6CBA">
        <w:rPr>
          <w:b/>
          <w:bCs/>
          <w:sz w:val="22"/>
          <w:szCs w:val="22"/>
          <w:lang w:val="sr-Latn-ME"/>
        </w:rPr>
        <w:tab/>
      </w:r>
      <w:r w:rsidRPr="00CA6CBA">
        <w:rPr>
          <w:b/>
          <w:bCs/>
          <w:sz w:val="22"/>
          <w:szCs w:val="22"/>
          <w:lang w:val="sr-Latn-ME"/>
        </w:rPr>
        <w:t>Rok upotrebe</w:t>
      </w:r>
    </w:p>
    <w:p w14:paraId="543F21D3" w14:textId="6C5833E1" w:rsidR="0072020E" w:rsidRPr="00CA6CBA" w:rsidRDefault="0072020E" w:rsidP="00480FB1">
      <w:pPr>
        <w:tabs>
          <w:tab w:val="left" w:pos="540"/>
          <w:tab w:val="left" w:pos="569"/>
        </w:tabs>
        <w:rPr>
          <w:bCs/>
          <w:sz w:val="22"/>
          <w:szCs w:val="22"/>
          <w:lang w:val="sr-Latn-ME"/>
        </w:rPr>
      </w:pPr>
    </w:p>
    <w:p w14:paraId="34765D89" w14:textId="77777777" w:rsidR="00C2694B" w:rsidRPr="00CA6CBA" w:rsidRDefault="00C2694B" w:rsidP="00C2694B">
      <w:pPr>
        <w:jc w:val="both"/>
        <w:rPr>
          <w:sz w:val="22"/>
          <w:szCs w:val="22"/>
          <w:lang w:val="sr-Latn-ME"/>
        </w:rPr>
      </w:pPr>
      <w:r w:rsidRPr="00CA6CBA">
        <w:rPr>
          <w:sz w:val="22"/>
          <w:szCs w:val="22"/>
          <w:lang w:val="sr-Latn-ME"/>
        </w:rPr>
        <w:t>Neotvoreno: 2 godine.</w:t>
      </w:r>
    </w:p>
    <w:p w14:paraId="3BEF2D75" w14:textId="4B871CEA" w:rsidR="00C2694B" w:rsidRPr="00CA6CBA" w:rsidRDefault="00C2694B" w:rsidP="00C2694B">
      <w:pPr>
        <w:tabs>
          <w:tab w:val="left" w:pos="540"/>
          <w:tab w:val="left" w:pos="569"/>
        </w:tabs>
        <w:jc w:val="both"/>
        <w:rPr>
          <w:sz w:val="22"/>
          <w:szCs w:val="22"/>
          <w:lang w:val="sr-Latn-ME"/>
        </w:rPr>
      </w:pPr>
      <w:r w:rsidRPr="00CA6CBA">
        <w:rPr>
          <w:sz w:val="22"/>
          <w:szCs w:val="22"/>
          <w:lang w:val="sr-Latn-ME"/>
        </w:rPr>
        <w:t>Rok upotrebe nakon prvog otvaranja lijeka je 28 dana.</w:t>
      </w:r>
    </w:p>
    <w:p w14:paraId="196D1A85" w14:textId="77777777" w:rsidR="00C2694B" w:rsidRPr="00CA6CBA" w:rsidRDefault="00C2694B" w:rsidP="00C2694B">
      <w:pPr>
        <w:tabs>
          <w:tab w:val="left" w:pos="540"/>
          <w:tab w:val="left" w:pos="569"/>
        </w:tabs>
        <w:jc w:val="both"/>
        <w:rPr>
          <w:bCs/>
          <w:sz w:val="22"/>
          <w:szCs w:val="22"/>
          <w:lang w:val="sr-Latn-ME"/>
        </w:rPr>
      </w:pPr>
    </w:p>
    <w:p w14:paraId="1501720C" w14:textId="77777777" w:rsidR="0072020E" w:rsidRPr="00CA6CBA" w:rsidRDefault="0072020E" w:rsidP="00480FB1">
      <w:pPr>
        <w:tabs>
          <w:tab w:val="left" w:pos="540"/>
          <w:tab w:val="left" w:pos="569"/>
        </w:tabs>
        <w:rPr>
          <w:b/>
          <w:bCs/>
          <w:sz w:val="22"/>
          <w:szCs w:val="22"/>
          <w:lang w:val="sr-Latn-ME"/>
        </w:rPr>
      </w:pPr>
      <w:r w:rsidRPr="00CA6CBA">
        <w:rPr>
          <w:b/>
          <w:bCs/>
          <w:sz w:val="22"/>
          <w:szCs w:val="22"/>
          <w:lang w:val="sr-Latn-ME"/>
        </w:rPr>
        <w:t xml:space="preserve">6.4. </w:t>
      </w:r>
      <w:r w:rsidR="00480FB1" w:rsidRPr="00CA6CBA">
        <w:rPr>
          <w:b/>
          <w:bCs/>
          <w:sz w:val="22"/>
          <w:szCs w:val="22"/>
          <w:lang w:val="sr-Latn-ME"/>
        </w:rPr>
        <w:tab/>
      </w:r>
      <w:r w:rsidRPr="00CA6CBA">
        <w:rPr>
          <w:b/>
          <w:bCs/>
          <w:sz w:val="22"/>
          <w:szCs w:val="22"/>
          <w:lang w:val="sr-Latn-ME"/>
        </w:rPr>
        <w:t>Posebne mjere upozorenja pri čuvanju</w:t>
      </w:r>
      <w:r w:rsidR="00F8570A" w:rsidRPr="00CA6CBA">
        <w:rPr>
          <w:b/>
          <w:bCs/>
          <w:sz w:val="22"/>
          <w:szCs w:val="22"/>
          <w:lang w:val="sr-Latn-ME"/>
        </w:rPr>
        <w:t xml:space="preserve"> lijeka</w:t>
      </w:r>
    </w:p>
    <w:p w14:paraId="7380FA64" w14:textId="4488CD58" w:rsidR="00EC2532" w:rsidRPr="00CA6CBA" w:rsidRDefault="00EC2532" w:rsidP="00480FB1">
      <w:pPr>
        <w:tabs>
          <w:tab w:val="left" w:pos="540"/>
          <w:tab w:val="left" w:pos="569"/>
        </w:tabs>
        <w:rPr>
          <w:bCs/>
          <w:sz w:val="22"/>
          <w:szCs w:val="22"/>
          <w:lang w:val="sr-Latn-ME"/>
        </w:rPr>
      </w:pPr>
    </w:p>
    <w:p w14:paraId="319E8FC6" w14:textId="77777777" w:rsidR="00C2694B" w:rsidRPr="00CA6CBA" w:rsidRDefault="00C2694B" w:rsidP="00C2694B">
      <w:pPr>
        <w:jc w:val="both"/>
        <w:rPr>
          <w:color w:val="000000"/>
          <w:sz w:val="22"/>
          <w:szCs w:val="22"/>
          <w:lang w:val="sr-Latn-ME"/>
        </w:rPr>
      </w:pPr>
      <w:r w:rsidRPr="00CA6CBA">
        <w:rPr>
          <w:color w:val="000000"/>
          <w:sz w:val="22"/>
          <w:szCs w:val="22"/>
          <w:lang w:val="sr-Latn-ME"/>
        </w:rPr>
        <w:t>Čuvati van vidokruga i domašaja djece.</w:t>
      </w:r>
    </w:p>
    <w:p w14:paraId="2AFE7DF1" w14:textId="77777777" w:rsidR="00C2694B" w:rsidRPr="00CA6CBA" w:rsidRDefault="00C2694B" w:rsidP="00C2694B">
      <w:pPr>
        <w:pStyle w:val="Header"/>
        <w:tabs>
          <w:tab w:val="left" w:pos="284"/>
        </w:tabs>
        <w:jc w:val="both"/>
        <w:rPr>
          <w:sz w:val="22"/>
          <w:szCs w:val="22"/>
          <w:lang w:val="sr-Latn-ME"/>
        </w:rPr>
      </w:pPr>
      <w:r w:rsidRPr="00CA6CBA">
        <w:rPr>
          <w:bCs/>
          <w:sz w:val="22"/>
          <w:szCs w:val="22"/>
          <w:lang w:val="sr-Latn-ME"/>
        </w:rPr>
        <w:t>Ovaj lijek ne zahtijeva posebne uslove čuvanja</w:t>
      </w:r>
      <w:r w:rsidRPr="00CA6CBA">
        <w:rPr>
          <w:sz w:val="22"/>
          <w:szCs w:val="22"/>
          <w:lang w:val="sr-Latn-ME"/>
        </w:rPr>
        <w:t>.</w:t>
      </w:r>
    </w:p>
    <w:p w14:paraId="4F3A9264" w14:textId="77777777" w:rsidR="00704351" w:rsidRPr="00CA6CBA" w:rsidRDefault="00704351" w:rsidP="00480FB1">
      <w:pPr>
        <w:tabs>
          <w:tab w:val="left" w:pos="540"/>
          <w:tab w:val="left" w:pos="569"/>
        </w:tabs>
        <w:rPr>
          <w:bCs/>
          <w:sz w:val="22"/>
          <w:szCs w:val="22"/>
          <w:lang w:val="sr-Latn-ME"/>
        </w:rPr>
      </w:pPr>
    </w:p>
    <w:p w14:paraId="3612CBD5" w14:textId="77777777" w:rsidR="0072020E" w:rsidRPr="00CA6CBA" w:rsidRDefault="0072020E" w:rsidP="00480FB1">
      <w:pPr>
        <w:tabs>
          <w:tab w:val="left" w:pos="540"/>
          <w:tab w:val="left" w:pos="569"/>
        </w:tabs>
        <w:rPr>
          <w:b/>
          <w:bCs/>
          <w:sz w:val="22"/>
          <w:szCs w:val="22"/>
          <w:lang w:val="sr-Latn-ME"/>
        </w:rPr>
      </w:pPr>
      <w:r w:rsidRPr="00CA6CBA">
        <w:rPr>
          <w:b/>
          <w:bCs/>
          <w:sz w:val="22"/>
          <w:szCs w:val="22"/>
          <w:lang w:val="sr-Latn-ME"/>
        </w:rPr>
        <w:t xml:space="preserve">6.5. </w:t>
      </w:r>
      <w:r w:rsidR="00480FB1" w:rsidRPr="00CA6CBA">
        <w:rPr>
          <w:b/>
          <w:bCs/>
          <w:sz w:val="22"/>
          <w:szCs w:val="22"/>
          <w:lang w:val="sr-Latn-ME"/>
        </w:rPr>
        <w:tab/>
      </w:r>
      <w:r w:rsidR="002846DB" w:rsidRPr="00CA6CBA">
        <w:rPr>
          <w:b/>
          <w:bCs/>
          <w:sz w:val="22"/>
          <w:szCs w:val="22"/>
          <w:lang w:val="sr-Latn-ME"/>
        </w:rPr>
        <w:t xml:space="preserve">Vrsta i sadržaj </w:t>
      </w:r>
      <w:r w:rsidR="00F8570A" w:rsidRPr="00CA6CBA">
        <w:rPr>
          <w:b/>
          <w:bCs/>
          <w:sz w:val="22"/>
          <w:szCs w:val="22"/>
          <w:lang w:val="sr-Latn-ME"/>
        </w:rPr>
        <w:t>pakovanja</w:t>
      </w:r>
      <w:r w:rsidR="00C06864" w:rsidRPr="00CA6CBA">
        <w:rPr>
          <w:b/>
          <w:bCs/>
          <w:sz w:val="22"/>
          <w:szCs w:val="22"/>
          <w:lang w:val="sr-Latn-ME"/>
        </w:rPr>
        <w:t xml:space="preserve"> </w:t>
      </w:r>
    </w:p>
    <w:p w14:paraId="0A228DD0" w14:textId="6416EEC1" w:rsidR="0072020E" w:rsidRPr="00CA6CBA" w:rsidRDefault="0072020E" w:rsidP="00480FB1">
      <w:pPr>
        <w:tabs>
          <w:tab w:val="left" w:pos="540"/>
          <w:tab w:val="left" w:pos="569"/>
        </w:tabs>
        <w:rPr>
          <w:bCs/>
          <w:sz w:val="22"/>
          <w:szCs w:val="22"/>
          <w:lang w:val="sr-Latn-ME"/>
        </w:rPr>
      </w:pPr>
    </w:p>
    <w:p w14:paraId="45E02D8E" w14:textId="7360871E" w:rsidR="00C2694B" w:rsidRPr="00CA6CBA" w:rsidRDefault="00C2694B" w:rsidP="00C2694B">
      <w:pPr>
        <w:tabs>
          <w:tab w:val="left" w:pos="540"/>
          <w:tab w:val="left" w:pos="569"/>
        </w:tabs>
        <w:jc w:val="both"/>
        <w:rPr>
          <w:sz w:val="22"/>
          <w:szCs w:val="22"/>
          <w:lang w:val="sr-Latn-ME"/>
        </w:rPr>
      </w:pPr>
      <w:r w:rsidRPr="00CA6CBA">
        <w:rPr>
          <w:sz w:val="22"/>
          <w:szCs w:val="22"/>
          <w:lang w:val="sr-Latn-ME"/>
        </w:rPr>
        <w:t xml:space="preserve">Unutrašnje pakovanje je neprovidna bočica od polietilena niske gustine sa kapaljkom koja se zatvara zatvaračem sa navojem i sigurnosnim prstenom od polipropilena. </w:t>
      </w:r>
    </w:p>
    <w:p w14:paraId="44408717" w14:textId="77777777" w:rsidR="00C2694B" w:rsidRPr="00CA6CBA" w:rsidRDefault="00C2694B" w:rsidP="00C2694B">
      <w:pPr>
        <w:tabs>
          <w:tab w:val="left" w:pos="540"/>
          <w:tab w:val="left" w:pos="569"/>
        </w:tabs>
        <w:jc w:val="both"/>
        <w:rPr>
          <w:b/>
          <w:bCs/>
          <w:sz w:val="22"/>
          <w:szCs w:val="22"/>
          <w:lang w:val="sr-Latn-ME"/>
        </w:rPr>
      </w:pPr>
      <w:r w:rsidRPr="00CA6CBA">
        <w:rPr>
          <w:sz w:val="22"/>
          <w:szCs w:val="22"/>
          <w:lang w:val="sr-Latn-ME"/>
        </w:rPr>
        <w:t>U složivoj kartonskoj kutiji nalazi se 1 bočica sa 5 ml suspenzije i Uputstvo za lijek.</w:t>
      </w:r>
    </w:p>
    <w:p w14:paraId="5ED243D1" w14:textId="77777777" w:rsidR="00704351" w:rsidRPr="00CA6CBA" w:rsidRDefault="00704351" w:rsidP="00480FB1">
      <w:pPr>
        <w:tabs>
          <w:tab w:val="left" w:pos="540"/>
          <w:tab w:val="left" w:pos="569"/>
        </w:tabs>
        <w:rPr>
          <w:bCs/>
          <w:sz w:val="22"/>
          <w:szCs w:val="22"/>
          <w:lang w:val="sr-Latn-ME"/>
        </w:rPr>
      </w:pPr>
    </w:p>
    <w:p w14:paraId="14F4A9B3" w14:textId="77777777" w:rsidR="00C2694B" w:rsidRPr="00CA6CBA" w:rsidRDefault="00C2694B" w:rsidP="00C2694B">
      <w:pPr>
        <w:tabs>
          <w:tab w:val="left" w:pos="540"/>
          <w:tab w:val="left" w:pos="569"/>
        </w:tabs>
        <w:jc w:val="both"/>
        <w:rPr>
          <w:b/>
          <w:bCs/>
          <w:sz w:val="22"/>
          <w:szCs w:val="22"/>
          <w:lang w:val="sr-Latn-ME"/>
        </w:rPr>
      </w:pPr>
      <w:r w:rsidRPr="00CA6CBA">
        <w:rPr>
          <w:b/>
          <w:bCs/>
          <w:sz w:val="22"/>
          <w:szCs w:val="22"/>
          <w:lang w:val="sr-Latn-ME"/>
        </w:rPr>
        <w:t xml:space="preserve">6.6. </w:t>
      </w:r>
      <w:r w:rsidRPr="00CA6CBA">
        <w:rPr>
          <w:b/>
          <w:bCs/>
          <w:sz w:val="22"/>
          <w:szCs w:val="22"/>
          <w:lang w:val="sr-Latn-ME"/>
        </w:rPr>
        <w:tab/>
        <w:t xml:space="preserve">Posebne mjere opreza pri odlaganju materijala koji treba odbaciti nakon primjene lijeka </w:t>
      </w:r>
    </w:p>
    <w:p w14:paraId="091EE1FE" w14:textId="77777777" w:rsidR="00C2694B" w:rsidRPr="00CA6CBA" w:rsidRDefault="00C2694B" w:rsidP="00C2694B">
      <w:pPr>
        <w:tabs>
          <w:tab w:val="left" w:pos="540"/>
          <w:tab w:val="left" w:pos="569"/>
        </w:tabs>
        <w:jc w:val="both"/>
        <w:rPr>
          <w:i/>
          <w:sz w:val="22"/>
          <w:szCs w:val="22"/>
          <w:lang w:val="sr-Latn-ME"/>
        </w:rPr>
      </w:pPr>
    </w:p>
    <w:p w14:paraId="00D08177" w14:textId="3686401F" w:rsidR="00C2694B" w:rsidRPr="00CA6CBA" w:rsidRDefault="00C2694B" w:rsidP="00C2694B">
      <w:pPr>
        <w:tabs>
          <w:tab w:val="left" w:pos="540"/>
          <w:tab w:val="left" w:pos="569"/>
        </w:tabs>
        <w:jc w:val="both"/>
        <w:rPr>
          <w:bCs/>
          <w:sz w:val="22"/>
          <w:szCs w:val="22"/>
          <w:lang w:val="sr-Latn-ME"/>
        </w:rPr>
      </w:pPr>
      <w:r w:rsidRPr="00CA6CBA">
        <w:rPr>
          <w:sz w:val="22"/>
          <w:szCs w:val="22"/>
          <w:lang w:val="sr-Latn-ME"/>
        </w:rPr>
        <w:t>Neiskorišćeni proizvod ili otpadni materi</w:t>
      </w:r>
      <w:r w:rsidR="00761E64" w:rsidRPr="00CA6CBA">
        <w:rPr>
          <w:sz w:val="22"/>
          <w:szCs w:val="22"/>
          <w:lang w:val="sr-Latn-ME"/>
        </w:rPr>
        <w:t>j</w:t>
      </w:r>
      <w:r w:rsidRPr="00CA6CBA">
        <w:rPr>
          <w:sz w:val="22"/>
          <w:szCs w:val="22"/>
          <w:lang w:val="sr-Latn-ME"/>
        </w:rPr>
        <w:t xml:space="preserve">al odlagati u skladu sa važećim propisima. </w:t>
      </w:r>
    </w:p>
    <w:p w14:paraId="5A036631" w14:textId="77777777" w:rsidR="00C2694B" w:rsidRPr="00CA6CBA" w:rsidRDefault="00C2694B" w:rsidP="00C2694B">
      <w:pPr>
        <w:tabs>
          <w:tab w:val="left" w:pos="540"/>
          <w:tab w:val="left" w:pos="569"/>
        </w:tabs>
        <w:jc w:val="both"/>
        <w:rPr>
          <w:b/>
          <w:bCs/>
          <w:sz w:val="22"/>
          <w:szCs w:val="22"/>
          <w:lang w:val="sr-Latn-ME"/>
        </w:rPr>
      </w:pPr>
    </w:p>
    <w:p w14:paraId="4075AAA6" w14:textId="77777777" w:rsidR="0072020E" w:rsidRPr="00CA6CBA" w:rsidRDefault="0072020E" w:rsidP="00480FB1">
      <w:pPr>
        <w:tabs>
          <w:tab w:val="left" w:pos="540"/>
          <w:tab w:val="left" w:pos="569"/>
        </w:tabs>
        <w:rPr>
          <w:bCs/>
          <w:sz w:val="22"/>
          <w:szCs w:val="22"/>
          <w:lang w:val="sr-Latn-ME"/>
        </w:rPr>
      </w:pPr>
    </w:p>
    <w:p w14:paraId="7D2077A5" w14:textId="77777777" w:rsidR="00F8570A" w:rsidRPr="00CA6CBA" w:rsidRDefault="0072020E" w:rsidP="00480FB1">
      <w:pPr>
        <w:tabs>
          <w:tab w:val="left" w:pos="540"/>
          <w:tab w:val="left" w:pos="569"/>
        </w:tabs>
        <w:rPr>
          <w:b/>
          <w:bCs/>
          <w:sz w:val="22"/>
          <w:szCs w:val="22"/>
          <w:lang w:val="sr-Latn-ME"/>
        </w:rPr>
      </w:pPr>
      <w:r w:rsidRPr="00CA6CBA">
        <w:rPr>
          <w:b/>
          <w:bCs/>
          <w:sz w:val="22"/>
          <w:szCs w:val="22"/>
          <w:lang w:val="sr-Latn-ME"/>
        </w:rPr>
        <w:t xml:space="preserve">7. </w:t>
      </w:r>
      <w:r w:rsidR="00480FB1" w:rsidRPr="00CA6CBA">
        <w:rPr>
          <w:b/>
          <w:bCs/>
          <w:sz w:val="22"/>
          <w:szCs w:val="22"/>
          <w:lang w:val="sr-Latn-ME"/>
        </w:rPr>
        <w:tab/>
      </w:r>
      <w:r w:rsidRPr="00CA6CBA">
        <w:rPr>
          <w:b/>
          <w:bCs/>
          <w:sz w:val="22"/>
          <w:szCs w:val="22"/>
          <w:lang w:val="sr-Latn-ME"/>
        </w:rPr>
        <w:t>NOSILAC DOZVOLE</w:t>
      </w:r>
      <w:r w:rsidR="00483928" w:rsidRPr="00CA6CBA">
        <w:rPr>
          <w:b/>
          <w:bCs/>
          <w:sz w:val="22"/>
          <w:szCs w:val="22"/>
          <w:lang w:val="sr-Latn-ME"/>
        </w:rPr>
        <w:t xml:space="preserve"> </w:t>
      </w:r>
    </w:p>
    <w:p w14:paraId="619AF0DF" w14:textId="77777777" w:rsidR="00C61BE0" w:rsidRPr="00CA6CBA" w:rsidRDefault="00C61BE0" w:rsidP="00480FB1">
      <w:pPr>
        <w:tabs>
          <w:tab w:val="left" w:pos="540"/>
          <w:tab w:val="left" w:pos="569"/>
        </w:tabs>
        <w:rPr>
          <w:bCs/>
          <w:sz w:val="22"/>
          <w:szCs w:val="22"/>
          <w:lang w:val="sr-Latn-ME"/>
        </w:rPr>
      </w:pPr>
    </w:p>
    <w:p w14:paraId="37DCA187" w14:textId="77777777" w:rsidR="00704351" w:rsidRPr="00CA6CBA" w:rsidRDefault="00704351" w:rsidP="00704351">
      <w:pPr>
        <w:tabs>
          <w:tab w:val="left" w:pos="540"/>
          <w:tab w:val="left" w:pos="569"/>
        </w:tabs>
        <w:rPr>
          <w:bCs/>
          <w:sz w:val="22"/>
          <w:szCs w:val="22"/>
          <w:lang w:val="sr-Latn-ME"/>
        </w:rPr>
      </w:pPr>
      <w:r w:rsidRPr="00CA6CBA">
        <w:rPr>
          <w:bCs/>
          <w:sz w:val="22"/>
          <w:szCs w:val="22"/>
          <w:lang w:val="sr-Latn-ME"/>
        </w:rPr>
        <w:t>“Novartis Pharma Services AG” dio stranog društva Podgorica</w:t>
      </w:r>
    </w:p>
    <w:p w14:paraId="262D8346" w14:textId="7C9CDB49" w:rsidR="00704351" w:rsidRPr="00CA6CBA" w:rsidRDefault="00704351" w:rsidP="00704351">
      <w:pPr>
        <w:tabs>
          <w:tab w:val="left" w:pos="540"/>
          <w:tab w:val="left" w:pos="569"/>
        </w:tabs>
        <w:rPr>
          <w:bCs/>
          <w:sz w:val="22"/>
          <w:szCs w:val="22"/>
          <w:lang w:val="sr-Latn-ME"/>
        </w:rPr>
      </w:pPr>
      <w:r w:rsidRPr="00CA6CBA">
        <w:rPr>
          <w:bCs/>
          <w:sz w:val="22"/>
          <w:szCs w:val="22"/>
          <w:lang w:val="sr-Latn-ME"/>
        </w:rPr>
        <w:t>ul. Svetlane Kane Radević 3, 81000 Podgorica, Crna Gora</w:t>
      </w:r>
    </w:p>
    <w:p w14:paraId="28958604" w14:textId="77777777" w:rsidR="004072F6" w:rsidRPr="00CA6CBA" w:rsidRDefault="004072F6" w:rsidP="00704351">
      <w:pPr>
        <w:tabs>
          <w:tab w:val="left" w:pos="540"/>
          <w:tab w:val="left" w:pos="569"/>
        </w:tabs>
        <w:rPr>
          <w:bCs/>
          <w:sz w:val="22"/>
          <w:szCs w:val="22"/>
          <w:lang w:val="sr-Latn-ME"/>
        </w:rPr>
      </w:pPr>
    </w:p>
    <w:p w14:paraId="101785A3" w14:textId="77777777" w:rsidR="00C37FD7" w:rsidRPr="00CA6CBA" w:rsidRDefault="00C37FD7" w:rsidP="00480FB1">
      <w:pPr>
        <w:tabs>
          <w:tab w:val="left" w:pos="540"/>
          <w:tab w:val="left" w:pos="569"/>
        </w:tabs>
        <w:rPr>
          <w:bCs/>
          <w:sz w:val="22"/>
          <w:szCs w:val="22"/>
          <w:lang w:val="sr-Latn-ME"/>
        </w:rPr>
      </w:pPr>
    </w:p>
    <w:p w14:paraId="716E83E5" w14:textId="77777777" w:rsidR="0072020E" w:rsidRPr="00CA6CBA" w:rsidRDefault="0072020E" w:rsidP="00480FB1">
      <w:pPr>
        <w:tabs>
          <w:tab w:val="left" w:pos="540"/>
          <w:tab w:val="left" w:pos="569"/>
        </w:tabs>
        <w:rPr>
          <w:b/>
          <w:bCs/>
          <w:sz w:val="22"/>
          <w:szCs w:val="22"/>
          <w:lang w:val="sr-Latn-ME"/>
        </w:rPr>
      </w:pPr>
      <w:r w:rsidRPr="00CA6CBA">
        <w:rPr>
          <w:b/>
          <w:bCs/>
          <w:sz w:val="22"/>
          <w:szCs w:val="22"/>
          <w:lang w:val="sr-Latn-ME"/>
        </w:rPr>
        <w:t xml:space="preserve">8. </w:t>
      </w:r>
      <w:r w:rsidR="00480FB1" w:rsidRPr="00CA6CBA">
        <w:rPr>
          <w:b/>
          <w:bCs/>
          <w:sz w:val="22"/>
          <w:szCs w:val="22"/>
          <w:lang w:val="sr-Latn-ME"/>
        </w:rPr>
        <w:tab/>
      </w:r>
      <w:r w:rsidRPr="00CA6CBA">
        <w:rPr>
          <w:b/>
          <w:bCs/>
          <w:sz w:val="22"/>
          <w:szCs w:val="22"/>
          <w:lang w:val="sr-Latn-ME"/>
        </w:rPr>
        <w:t>BROJ DOZVOLE</w:t>
      </w:r>
      <w:r w:rsidR="008A6D43" w:rsidRPr="00CA6CBA">
        <w:rPr>
          <w:b/>
          <w:bCs/>
          <w:sz w:val="22"/>
          <w:szCs w:val="22"/>
          <w:lang w:val="sr-Latn-ME"/>
        </w:rPr>
        <w:t xml:space="preserve"> ZA STAVLJANJE LIJEKA U PROMET</w:t>
      </w:r>
    </w:p>
    <w:p w14:paraId="37C6E58C" w14:textId="77777777" w:rsidR="0072020E" w:rsidRPr="00CA6CBA" w:rsidRDefault="0072020E" w:rsidP="00480FB1">
      <w:pPr>
        <w:tabs>
          <w:tab w:val="left" w:pos="540"/>
          <w:tab w:val="left" w:pos="569"/>
        </w:tabs>
        <w:rPr>
          <w:bCs/>
          <w:sz w:val="22"/>
          <w:szCs w:val="22"/>
          <w:lang w:val="sr-Latn-ME"/>
        </w:rPr>
      </w:pPr>
    </w:p>
    <w:p w14:paraId="6461015A" w14:textId="7083F118" w:rsidR="00F45F77" w:rsidRPr="00CA6CBA" w:rsidRDefault="00CA6CBA" w:rsidP="00480FB1">
      <w:pPr>
        <w:tabs>
          <w:tab w:val="left" w:pos="540"/>
          <w:tab w:val="left" w:pos="569"/>
        </w:tabs>
        <w:rPr>
          <w:bCs/>
          <w:sz w:val="22"/>
          <w:szCs w:val="22"/>
          <w:lang w:val="sr-Latn-ME"/>
        </w:rPr>
      </w:pPr>
      <w:r w:rsidRPr="00CA6CBA">
        <w:rPr>
          <w:bCs/>
          <w:sz w:val="22"/>
          <w:szCs w:val="22"/>
          <w:lang w:val="sr-Latn-ME"/>
        </w:rPr>
        <w:t>2030/24/6640 - 3616</w:t>
      </w:r>
    </w:p>
    <w:p w14:paraId="62AC4FEF" w14:textId="1B7CBC9D" w:rsidR="004072F6" w:rsidRDefault="004072F6" w:rsidP="00480FB1">
      <w:pPr>
        <w:tabs>
          <w:tab w:val="left" w:pos="540"/>
          <w:tab w:val="left" w:pos="569"/>
        </w:tabs>
        <w:rPr>
          <w:bCs/>
          <w:sz w:val="22"/>
          <w:szCs w:val="22"/>
          <w:lang w:val="sr-Latn-ME"/>
        </w:rPr>
      </w:pPr>
    </w:p>
    <w:p w14:paraId="1B5C90A1" w14:textId="787F7268" w:rsidR="00CA6CBA" w:rsidRDefault="00CA6CBA" w:rsidP="00480FB1">
      <w:pPr>
        <w:tabs>
          <w:tab w:val="left" w:pos="540"/>
          <w:tab w:val="left" w:pos="569"/>
        </w:tabs>
        <w:rPr>
          <w:bCs/>
          <w:sz w:val="22"/>
          <w:szCs w:val="22"/>
          <w:lang w:val="sr-Latn-ME"/>
        </w:rPr>
      </w:pPr>
    </w:p>
    <w:p w14:paraId="4C55066D" w14:textId="77777777" w:rsidR="00CA6CBA" w:rsidRPr="00CA6CBA" w:rsidRDefault="00CA6CBA" w:rsidP="00480FB1">
      <w:pPr>
        <w:tabs>
          <w:tab w:val="left" w:pos="540"/>
          <w:tab w:val="left" w:pos="569"/>
        </w:tabs>
        <w:rPr>
          <w:bCs/>
          <w:sz w:val="22"/>
          <w:szCs w:val="22"/>
          <w:lang w:val="sr-Latn-ME"/>
        </w:rPr>
      </w:pPr>
      <w:bookmarkStart w:id="0" w:name="_GoBack"/>
      <w:bookmarkEnd w:id="0"/>
    </w:p>
    <w:p w14:paraId="787DBD32" w14:textId="77777777" w:rsidR="0072020E" w:rsidRPr="00CA6CBA" w:rsidRDefault="0072020E" w:rsidP="00480FB1">
      <w:pPr>
        <w:tabs>
          <w:tab w:val="left" w:pos="540"/>
          <w:tab w:val="left" w:pos="569"/>
        </w:tabs>
        <w:rPr>
          <w:b/>
          <w:bCs/>
          <w:sz w:val="22"/>
          <w:szCs w:val="22"/>
          <w:lang w:val="sr-Latn-ME"/>
        </w:rPr>
      </w:pPr>
      <w:r w:rsidRPr="00CA6CBA">
        <w:rPr>
          <w:b/>
          <w:bCs/>
          <w:sz w:val="22"/>
          <w:szCs w:val="22"/>
          <w:lang w:val="sr-Latn-ME"/>
        </w:rPr>
        <w:lastRenderedPageBreak/>
        <w:t xml:space="preserve">9. </w:t>
      </w:r>
      <w:r w:rsidR="00480FB1" w:rsidRPr="00CA6CBA">
        <w:rPr>
          <w:b/>
          <w:bCs/>
          <w:sz w:val="22"/>
          <w:szCs w:val="22"/>
          <w:lang w:val="sr-Latn-ME"/>
        </w:rPr>
        <w:tab/>
      </w:r>
      <w:r w:rsidRPr="00CA6CBA">
        <w:rPr>
          <w:b/>
          <w:bCs/>
          <w:sz w:val="22"/>
          <w:szCs w:val="22"/>
          <w:lang w:val="sr-Latn-ME"/>
        </w:rPr>
        <w:t xml:space="preserve">DATUM </w:t>
      </w:r>
      <w:r w:rsidR="00C05DF8" w:rsidRPr="00CA6CBA">
        <w:rPr>
          <w:b/>
          <w:bCs/>
          <w:sz w:val="22"/>
          <w:szCs w:val="22"/>
          <w:lang w:val="sr-Latn-ME"/>
        </w:rPr>
        <w:t xml:space="preserve">PRVE </w:t>
      </w:r>
      <w:r w:rsidR="008A6D43" w:rsidRPr="00CA6CBA">
        <w:rPr>
          <w:b/>
          <w:bCs/>
          <w:sz w:val="22"/>
          <w:szCs w:val="22"/>
          <w:lang w:val="sr-Latn-ME"/>
        </w:rPr>
        <w:t>DOZVOLE</w:t>
      </w:r>
      <w:r w:rsidR="00C05DF8" w:rsidRPr="00CA6CBA">
        <w:rPr>
          <w:b/>
          <w:bCs/>
          <w:sz w:val="22"/>
          <w:szCs w:val="22"/>
          <w:lang w:val="sr-Latn-ME"/>
        </w:rPr>
        <w:t>/OBNOVE DOZVOLE</w:t>
      </w:r>
      <w:r w:rsidR="008A6D43" w:rsidRPr="00CA6CBA">
        <w:rPr>
          <w:b/>
          <w:bCs/>
          <w:sz w:val="22"/>
          <w:szCs w:val="22"/>
          <w:lang w:val="sr-Latn-ME"/>
        </w:rPr>
        <w:t xml:space="preserve"> ZA STAVLJANJE LIJEKA U PROMET</w:t>
      </w:r>
    </w:p>
    <w:p w14:paraId="0AD02FC3" w14:textId="77777777" w:rsidR="0072020E" w:rsidRPr="00CA6CBA" w:rsidRDefault="0072020E" w:rsidP="00480FB1">
      <w:pPr>
        <w:tabs>
          <w:tab w:val="left" w:pos="540"/>
          <w:tab w:val="left" w:pos="569"/>
        </w:tabs>
        <w:rPr>
          <w:bCs/>
          <w:sz w:val="22"/>
          <w:szCs w:val="22"/>
          <w:lang w:val="sr-Latn-ME"/>
        </w:rPr>
      </w:pPr>
    </w:p>
    <w:p w14:paraId="47395FC2" w14:textId="77777777" w:rsidR="00DA11B6" w:rsidRPr="00CA6CBA" w:rsidRDefault="009B231C" w:rsidP="00C2694B">
      <w:pPr>
        <w:tabs>
          <w:tab w:val="left" w:pos="540"/>
          <w:tab w:val="left" w:pos="569"/>
        </w:tabs>
        <w:jc w:val="both"/>
        <w:rPr>
          <w:bCs/>
          <w:sz w:val="22"/>
          <w:szCs w:val="22"/>
          <w:lang w:val="sr-Latn-ME"/>
        </w:rPr>
      </w:pPr>
      <w:r w:rsidRPr="00CA6CBA">
        <w:rPr>
          <w:bCs/>
          <w:sz w:val="22"/>
          <w:szCs w:val="22"/>
          <w:lang w:val="sr-Latn-ME"/>
        </w:rPr>
        <w:t xml:space="preserve">Datum prve dozvole: </w:t>
      </w:r>
      <w:r w:rsidR="00C2694B" w:rsidRPr="00CA6CBA">
        <w:rPr>
          <w:bCs/>
          <w:sz w:val="22"/>
          <w:szCs w:val="22"/>
          <w:lang w:val="sr-Latn-ME"/>
        </w:rPr>
        <w:t>28.11.2014. godine</w:t>
      </w:r>
    </w:p>
    <w:p w14:paraId="21E9ADF9" w14:textId="13603CF2" w:rsidR="009B231C" w:rsidRPr="00CA6CBA" w:rsidRDefault="009B231C" w:rsidP="00C2694B">
      <w:pPr>
        <w:tabs>
          <w:tab w:val="left" w:pos="540"/>
          <w:tab w:val="left" w:pos="569"/>
        </w:tabs>
        <w:jc w:val="both"/>
        <w:rPr>
          <w:bCs/>
          <w:sz w:val="22"/>
          <w:szCs w:val="22"/>
          <w:lang w:val="sr-Latn-ME"/>
        </w:rPr>
      </w:pPr>
      <w:r w:rsidRPr="00CA6CBA">
        <w:rPr>
          <w:bCs/>
          <w:sz w:val="22"/>
          <w:szCs w:val="22"/>
          <w:lang w:val="sr-Latn-ME"/>
        </w:rPr>
        <w:t xml:space="preserve">Datum poslednje obnove dozvole: </w:t>
      </w:r>
      <w:r w:rsidR="00CA6CBA">
        <w:rPr>
          <w:bCs/>
          <w:sz w:val="22"/>
          <w:szCs w:val="22"/>
          <w:lang w:val="sr-Latn-ME"/>
        </w:rPr>
        <w:t>12.12.2024. godine</w:t>
      </w:r>
    </w:p>
    <w:p w14:paraId="5F05D3D2" w14:textId="77777777" w:rsidR="004072F6" w:rsidRPr="00CA6CBA" w:rsidRDefault="004072F6" w:rsidP="00C2694B">
      <w:pPr>
        <w:tabs>
          <w:tab w:val="left" w:pos="540"/>
          <w:tab w:val="left" w:pos="569"/>
        </w:tabs>
        <w:jc w:val="both"/>
        <w:rPr>
          <w:bCs/>
          <w:sz w:val="22"/>
          <w:szCs w:val="22"/>
          <w:lang w:val="sr-Latn-ME"/>
        </w:rPr>
      </w:pPr>
    </w:p>
    <w:p w14:paraId="6FC50468" w14:textId="77777777" w:rsidR="00836B35" w:rsidRPr="00CA6CBA" w:rsidRDefault="00836B35" w:rsidP="00480FB1">
      <w:pPr>
        <w:tabs>
          <w:tab w:val="left" w:pos="540"/>
          <w:tab w:val="left" w:pos="569"/>
        </w:tabs>
        <w:rPr>
          <w:bCs/>
          <w:sz w:val="22"/>
          <w:szCs w:val="22"/>
          <w:lang w:val="sr-Latn-ME"/>
        </w:rPr>
      </w:pPr>
    </w:p>
    <w:p w14:paraId="74470F4D" w14:textId="2E91DDB7" w:rsidR="003F6A59" w:rsidRPr="00CA6CBA" w:rsidRDefault="0072020E" w:rsidP="00C05DF8">
      <w:pPr>
        <w:tabs>
          <w:tab w:val="left" w:pos="540"/>
          <w:tab w:val="left" w:pos="569"/>
        </w:tabs>
        <w:ind w:left="540" w:hanging="540"/>
        <w:rPr>
          <w:b/>
          <w:bCs/>
          <w:sz w:val="22"/>
          <w:szCs w:val="22"/>
          <w:lang w:val="sr-Latn-ME"/>
        </w:rPr>
      </w:pPr>
      <w:r w:rsidRPr="00CA6CBA">
        <w:rPr>
          <w:b/>
          <w:bCs/>
          <w:sz w:val="22"/>
          <w:szCs w:val="22"/>
          <w:lang w:val="sr-Latn-ME"/>
        </w:rPr>
        <w:t xml:space="preserve">10. </w:t>
      </w:r>
      <w:r w:rsidR="00480FB1" w:rsidRPr="00CA6CBA">
        <w:rPr>
          <w:b/>
          <w:bCs/>
          <w:sz w:val="22"/>
          <w:szCs w:val="22"/>
          <w:lang w:val="sr-Latn-ME"/>
        </w:rPr>
        <w:tab/>
      </w:r>
      <w:r w:rsidR="002846DB" w:rsidRPr="00CA6CBA">
        <w:rPr>
          <w:b/>
          <w:bCs/>
          <w:sz w:val="22"/>
          <w:szCs w:val="22"/>
          <w:lang w:val="sr-Latn-ME"/>
        </w:rPr>
        <w:t>D</w:t>
      </w:r>
      <w:r w:rsidR="00EC2532" w:rsidRPr="00CA6CBA">
        <w:rPr>
          <w:b/>
          <w:bCs/>
          <w:sz w:val="22"/>
          <w:szCs w:val="22"/>
          <w:lang w:val="sr-Latn-ME"/>
        </w:rPr>
        <w:t xml:space="preserve">ATUM REVIZIJE TEKSTA </w:t>
      </w:r>
    </w:p>
    <w:p w14:paraId="6522F12F" w14:textId="7B5B94B3" w:rsidR="003F6A59" w:rsidRPr="00CA6CBA" w:rsidRDefault="003F6A59" w:rsidP="00480FB1">
      <w:pPr>
        <w:tabs>
          <w:tab w:val="left" w:pos="540"/>
          <w:tab w:val="left" w:pos="569"/>
        </w:tabs>
        <w:rPr>
          <w:bCs/>
          <w:sz w:val="22"/>
          <w:szCs w:val="22"/>
          <w:lang w:val="sr-Latn-ME"/>
        </w:rPr>
      </w:pPr>
    </w:p>
    <w:p w14:paraId="088B8DCA" w14:textId="54F3E7AC" w:rsidR="008A6D43" w:rsidRPr="00CA6CBA" w:rsidRDefault="00CA6CBA" w:rsidP="00480FB1">
      <w:pPr>
        <w:tabs>
          <w:tab w:val="left" w:pos="540"/>
          <w:tab w:val="left" w:pos="569"/>
        </w:tabs>
        <w:rPr>
          <w:bCs/>
          <w:sz w:val="22"/>
          <w:szCs w:val="22"/>
          <w:lang w:val="sr-Latn-ME"/>
        </w:rPr>
      </w:pPr>
      <w:r>
        <w:rPr>
          <w:bCs/>
          <w:sz w:val="22"/>
          <w:szCs w:val="22"/>
          <w:lang w:val="sr-Latn-ME"/>
        </w:rPr>
        <w:t>Decembar, 2024. godine</w:t>
      </w:r>
    </w:p>
    <w:p w14:paraId="1DF2BA3D" w14:textId="003B84FB" w:rsidR="003F6A59" w:rsidRPr="00CA6CBA" w:rsidRDefault="003F6A59" w:rsidP="00DE3F5C">
      <w:pPr>
        <w:rPr>
          <w:b/>
          <w:bCs/>
          <w:sz w:val="22"/>
          <w:szCs w:val="22"/>
          <w:lang w:val="sr-Latn-ME"/>
        </w:rPr>
      </w:pPr>
    </w:p>
    <w:p w14:paraId="06693BE6" w14:textId="77777777" w:rsidR="00704351" w:rsidRPr="00CA6CBA" w:rsidRDefault="00704351" w:rsidP="00DE3F5C">
      <w:pPr>
        <w:rPr>
          <w:sz w:val="22"/>
          <w:szCs w:val="22"/>
          <w:lang w:val="sr-Latn-ME"/>
        </w:rPr>
      </w:pPr>
    </w:p>
    <w:sectPr w:rsidR="00704351" w:rsidRPr="00CA6CBA"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D6AF5" w14:textId="77777777" w:rsidR="0071519C" w:rsidRDefault="0071519C">
      <w:r>
        <w:separator/>
      </w:r>
    </w:p>
  </w:endnote>
  <w:endnote w:type="continuationSeparator" w:id="0">
    <w:p w14:paraId="6C398322" w14:textId="77777777" w:rsidR="0071519C" w:rsidRDefault="0071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3962" w14:textId="182826B2"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A6CBA">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A6CBA">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15E23" w14:textId="77777777" w:rsidR="0071519C" w:rsidRDefault="0071519C">
      <w:r>
        <w:separator/>
      </w:r>
    </w:p>
  </w:footnote>
  <w:footnote w:type="continuationSeparator" w:id="0">
    <w:p w14:paraId="356095D6" w14:textId="77777777" w:rsidR="0071519C" w:rsidRDefault="0071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4pt;height:14.4pt;visibility:visible" o:bullet="t">
        <v:imagedata r:id="rId1" o:title="BT_1000x858px"/>
      </v:shape>
    </w:pict>
  </w:numPicBullet>
  <w:abstractNum w:abstractNumId="0" w15:restartNumberingAfterBreak="0">
    <w:nsid w:val="00000404"/>
    <w:multiLevelType w:val="multilevel"/>
    <w:tmpl w:val="00000887"/>
    <w:lvl w:ilvl="0">
      <w:start w:val="1"/>
      <w:numFmt w:val="decimal"/>
      <w:lvlText w:val="%1."/>
      <w:lvlJc w:val="left"/>
      <w:pPr>
        <w:ind w:left="657" w:hanging="541"/>
      </w:pPr>
      <w:rPr>
        <w:rFonts w:ascii="Times New Roman" w:hAnsi="Times New Roman" w:cs="Times New Roman"/>
        <w:b/>
        <w:bCs/>
        <w:i w:val="0"/>
        <w:iCs w:val="0"/>
        <w:w w:val="100"/>
        <w:sz w:val="22"/>
        <w:szCs w:val="22"/>
      </w:rPr>
    </w:lvl>
    <w:lvl w:ilvl="1">
      <w:start w:val="1"/>
      <w:numFmt w:val="decimal"/>
      <w:lvlText w:val="%1.%2."/>
      <w:lvlJc w:val="left"/>
      <w:pPr>
        <w:ind w:left="657" w:hanging="541"/>
      </w:pPr>
      <w:rPr>
        <w:rFonts w:ascii="Times New Roman" w:hAnsi="Times New Roman" w:cs="Times New Roman"/>
        <w:b/>
        <w:bCs/>
        <w:i w:val="0"/>
        <w:iCs w:val="0"/>
        <w:w w:val="100"/>
        <w:sz w:val="22"/>
        <w:szCs w:val="22"/>
      </w:rPr>
    </w:lvl>
    <w:lvl w:ilvl="2">
      <w:numFmt w:val="bullet"/>
      <w:lvlText w:val="•"/>
      <w:lvlJc w:val="left"/>
      <w:pPr>
        <w:ind w:left="2501" w:hanging="541"/>
      </w:pPr>
    </w:lvl>
    <w:lvl w:ilvl="3">
      <w:numFmt w:val="bullet"/>
      <w:lvlText w:val="•"/>
      <w:lvlJc w:val="left"/>
      <w:pPr>
        <w:ind w:left="3421" w:hanging="541"/>
      </w:pPr>
    </w:lvl>
    <w:lvl w:ilvl="4">
      <w:numFmt w:val="bullet"/>
      <w:lvlText w:val="•"/>
      <w:lvlJc w:val="left"/>
      <w:pPr>
        <w:ind w:left="4342" w:hanging="541"/>
      </w:pPr>
    </w:lvl>
    <w:lvl w:ilvl="5">
      <w:numFmt w:val="bullet"/>
      <w:lvlText w:val="•"/>
      <w:lvlJc w:val="left"/>
      <w:pPr>
        <w:ind w:left="5263" w:hanging="541"/>
      </w:pPr>
    </w:lvl>
    <w:lvl w:ilvl="6">
      <w:numFmt w:val="bullet"/>
      <w:lvlText w:val="•"/>
      <w:lvlJc w:val="left"/>
      <w:pPr>
        <w:ind w:left="6183" w:hanging="541"/>
      </w:pPr>
    </w:lvl>
    <w:lvl w:ilvl="7">
      <w:numFmt w:val="bullet"/>
      <w:lvlText w:val="•"/>
      <w:lvlJc w:val="left"/>
      <w:pPr>
        <w:ind w:left="7104" w:hanging="541"/>
      </w:pPr>
    </w:lvl>
    <w:lvl w:ilvl="8">
      <w:numFmt w:val="bullet"/>
      <w:lvlText w:val="•"/>
      <w:lvlJc w:val="left"/>
      <w:pPr>
        <w:ind w:left="8025" w:hanging="541"/>
      </w:pPr>
    </w:lvl>
  </w:abstractNum>
  <w:abstractNum w:abstractNumId="1" w15:restartNumberingAfterBreak="0">
    <w:nsid w:val="00000405"/>
    <w:multiLevelType w:val="multilevel"/>
    <w:tmpl w:val="00000888"/>
    <w:lvl w:ilvl="0">
      <w:start w:val="1"/>
      <w:numFmt w:val="decimal"/>
      <w:lvlText w:val="%1"/>
      <w:lvlJc w:val="left"/>
      <w:pPr>
        <w:ind w:left="117" w:hanging="173"/>
      </w:pPr>
      <w:rPr>
        <w:rFonts w:ascii="Times New Roman" w:hAnsi="Times New Roman" w:cs="Times New Roman"/>
        <w:b w:val="0"/>
        <w:bCs w:val="0"/>
        <w:i w:val="0"/>
        <w:iCs w:val="0"/>
        <w:w w:val="100"/>
        <w:sz w:val="22"/>
        <w:szCs w:val="22"/>
      </w:rPr>
    </w:lvl>
    <w:lvl w:ilvl="1">
      <w:numFmt w:val="bullet"/>
      <w:lvlText w:val="•"/>
      <w:lvlJc w:val="left"/>
      <w:pPr>
        <w:ind w:left="1094" w:hanging="173"/>
      </w:pPr>
    </w:lvl>
    <w:lvl w:ilvl="2">
      <w:numFmt w:val="bullet"/>
      <w:lvlText w:val="•"/>
      <w:lvlJc w:val="left"/>
      <w:pPr>
        <w:ind w:left="2069" w:hanging="173"/>
      </w:pPr>
    </w:lvl>
    <w:lvl w:ilvl="3">
      <w:numFmt w:val="bullet"/>
      <w:lvlText w:val="•"/>
      <w:lvlJc w:val="left"/>
      <w:pPr>
        <w:ind w:left="3043" w:hanging="173"/>
      </w:pPr>
    </w:lvl>
    <w:lvl w:ilvl="4">
      <w:numFmt w:val="bullet"/>
      <w:lvlText w:val="•"/>
      <w:lvlJc w:val="left"/>
      <w:pPr>
        <w:ind w:left="4018" w:hanging="173"/>
      </w:pPr>
    </w:lvl>
    <w:lvl w:ilvl="5">
      <w:numFmt w:val="bullet"/>
      <w:lvlText w:val="•"/>
      <w:lvlJc w:val="left"/>
      <w:pPr>
        <w:ind w:left="4993" w:hanging="173"/>
      </w:pPr>
    </w:lvl>
    <w:lvl w:ilvl="6">
      <w:numFmt w:val="bullet"/>
      <w:lvlText w:val="•"/>
      <w:lvlJc w:val="left"/>
      <w:pPr>
        <w:ind w:left="5967" w:hanging="173"/>
      </w:pPr>
    </w:lvl>
    <w:lvl w:ilvl="7">
      <w:numFmt w:val="bullet"/>
      <w:lvlText w:val="•"/>
      <w:lvlJc w:val="left"/>
      <w:pPr>
        <w:ind w:left="6942" w:hanging="173"/>
      </w:pPr>
    </w:lvl>
    <w:lvl w:ilvl="8">
      <w:numFmt w:val="bullet"/>
      <w:lvlText w:val="•"/>
      <w:lvlJc w:val="left"/>
      <w:pPr>
        <w:ind w:left="7917" w:hanging="173"/>
      </w:pPr>
    </w:lvl>
  </w:abstractNum>
  <w:abstractNum w:abstractNumId="2" w15:restartNumberingAfterBreak="0">
    <w:nsid w:val="00000406"/>
    <w:multiLevelType w:val="multilevel"/>
    <w:tmpl w:val="00000889"/>
    <w:lvl w:ilvl="0">
      <w:numFmt w:val="bullet"/>
      <w:lvlText w:val="•"/>
      <w:lvlJc w:val="left"/>
      <w:pPr>
        <w:ind w:left="144" w:hanging="144"/>
      </w:pPr>
      <w:rPr>
        <w:rFonts w:ascii="Courier New" w:hAnsi="Courier New" w:cs="Courier New"/>
        <w:b w:val="0"/>
        <w:bCs w:val="0"/>
        <w:i w:val="0"/>
        <w:iCs w:val="0"/>
        <w:spacing w:val="11"/>
        <w:w w:val="100"/>
        <w:sz w:val="20"/>
        <w:szCs w:val="20"/>
      </w:rPr>
    </w:lvl>
    <w:lvl w:ilvl="1">
      <w:numFmt w:val="bullet"/>
      <w:lvlText w:val="•"/>
      <w:lvlJc w:val="left"/>
      <w:pPr>
        <w:ind w:left="1104" w:hanging="144"/>
      </w:pPr>
    </w:lvl>
    <w:lvl w:ilvl="2">
      <w:numFmt w:val="bullet"/>
      <w:lvlText w:val="•"/>
      <w:lvlJc w:val="left"/>
      <w:pPr>
        <w:ind w:left="2065" w:hanging="144"/>
      </w:pPr>
    </w:lvl>
    <w:lvl w:ilvl="3">
      <w:numFmt w:val="bullet"/>
      <w:lvlText w:val="•"/>
      <w:lvlJc w:val="left"/>
      <w:pPr>
        <w:ind w:left="3025" w:hanging="144"/>
      </w:pPr>
    </w:lvl>
    <w:lvl w:ilvl="4">
      <w:numFmt w:val="bullet"/>
      <w:lvlText w:val="•"/>
      <w:lvlJc w:val="left"/>
      <w:pPr>
        <w:ind w:left="3986" w:hanging="144"/>
      </w:pPr>
    </w:lvl>
    <w:lvl w:ilvl="5">
      <w:numFmt w:val="bullet"/>
      <w:lvlText w:val="•"/>
      <w:lvlJc w:val="left"/>
      <w:pPr>
        <w:ind w:left="4947" w:hanging="144"/>
      </w:pPr>
    </w:lvl>
    <w:lvl w:ilvl="6">
      <w:numFmt w:val="bullet"/>
      <w:lvlText w:val="•"/>
      <w:lvlJc w:val="left"/>
      <w:pPr>
        <w:ind w:left="5907" w:hanging="144"/>
      </w:pPr>
    </w:lvl>
    <w:lvl w:ilvl="7">
      <w:numFmt w:val="bullet"/>
      <w:lvlText w:val="•"/>
      <w:lvlJc w:val="left"/>
      <w:pPr>
        <w:ind w:left="6868" w:hanging="144"/>
      </w:pPr>
    </w:lvl>
    <w:lvl w:ilvl="8">
      <w:numFmt w:val="bullet"/>
      <w:lvlText w:val="•"/>
      <w:lvlJc w:val="left"/>
      <w:pPr>
        <w:ind w:left="7829" w:hanging="144"/>
      </w:p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72B24"/>
    <w:multiLevelType w:val="multilevel"/>
    <w:tmpl w:val="00000888"/>
    <w:lvl w:ilvl="0">
      <w:start w:val="1"/>
      <w:numFmt w:val="decimal"/>
      <w:lvlText w:val="%1"/>
      <w:lvlJc w:val="left"/>
      <w:pPr>
        <w:ind w:left="117" w:hanging="173"/>
      </w:pPr>
      <w:rPr>
        <w:rFonts w:ascii="Times New Roman" w:hAnsi="Times New Roman" w:cs="Times New Roman"/>
        <w:b w:val="0"/>
        <w:bCs w:val="0"/>
        <w:i w:val="0"/>
        <w:iCs w:val="0"/>
        <w:w w:val="100"/>
        <w:sz w:val="22"/>
        <w:szCs w:val="22"/>
      </w:rPr>
    </w:lvl>
    <w:lvl w:ilvl="1">
      <w:numFmt w:val="bullet"/>
      <w:lvlText w:val="•"/>
      <w:lvlJc w:val="left"/>
      <w:pPr>
        <w:ind w:left="1094" w:hanging="173"/>
      </w:pPr>
    </w:lvl>
    <w:lvl w:ilvl="2">
      <w:numFmt w:val="bullet"/>
      <w:lvlText w:val="•"/>
      <w:lvlJc w:val="left"/>
      <w:pPr>
        <w:ind w:left="2069" w:hanging="173"/>
      </w:pPr>
    </w:lvl>
    <w:lvl w:ilvl="3">
      <w:numFmt w:val="bullet"/>
      <w:lvlText w:val="•"/>
      <w:lvlJc w:val="left"/>
      <w:pPr>
        <w:ind w:left="3043" w:hanging="173"/>
      </w:pPr>
    </w:lvl>
    <w:lvl w:ilvl="4">
      <w:numFmt w:val="bullet"/>
      <w:lvlText w:val="•"/>
      <w:lvlJc w:val="left"/>
      <w:pPr>
        <w:ind w:left="4018" w:hanging="173"/>
      </w:pPr>
    </w:lvl>
    <w:lvl w:ilvl="5">
      <w:numFmt w:val="bullet"/>
      <w:lvlText w:val="•"/>
      <w:lvlJc w:val="left"/>
      <w:pPr>
        <w:ind w:left="4993" w:hanging="173"/>
      </w:pPr>
    </w:lvl>
    <w:lvl w:ilvl="6">
      <w:numFmt w:val="bullet"/>
      <w:lvlText w:val="•"/>
      <w:lvlJc w:val="left"/>
      <w:pPr>
        <w:ind w:left="5967" w:hanging="173"/>
      </w:pPr>
    </w:lvl>
    <w:lvl w:ilvl="7">
      <w:numFmt w:val="bullet"/>
      <w:lvlText w:val="•"/>
      <w:lvlJc w:val="left"/>
      <w:pPr>
        <w:ind w:left="6942" w:hanging="173"/>
      </w:pPr>
    </w:lvl>
    <w:lvl w:ilvl="8">
      <w:numFmt w:val="bullet"/>
      <w:lvlText w:val="•"/>
      <w:lvlJc w:val="left"/>
      <w:pPr>
        <w:ind w:left="7917" w:hanging="173"/>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12"/>
  </w:num>
  <w:num w:numId="5">
    <w:abstractNumId w:val="7"/>
  </w:num>
  <w:num w:numId="6">
    <w:abstractNumId w:val="4"/>
  </w:num>
  <w:num w:numId="7">
    <w:abstractNumId w:val="11"/>
  </w:num>
  <w:num w:numId="8">
    <w:abstractNumId w:val="6"/>
  </w:num>
  <w:num w:numId="9">
    <w:abstractNumId w:val="10"/>
  </w:num>
  <w:num w:numId="10">
    <w:abstractNumId w:val="14"/>
  </w:num>
  <w:num w:numId="11">
    <w:abstractNumId w:val="8"/>
  </w:num>
  <w:num w:numId="12">
    <w:abstractNumId w:val="1"/>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37C"/>
    <w:rsid w:val="00035899"/>
    <w:rsid w:val="00036FA0"/>
    <w:rsid w:val="0003793F"/>
    <w:rsid w:val="00057E35"/>
    <w:rsid w:val="00076726"/>
    <w:rsid w:val="00080303"/>
    <w:rsid w:val="00086BEC"/>
    <w:rsid w:val="00086C59"/>
    <w:rsid w:val="000A3F58"/>
    <w:rsid w:val="000B73EE"/>
    <w:rsid w:val="000C4B0B"/>
    <w:rsid w:val="000D2343"/>
    <w:rsid w:val="000D3449"/>
    <w:rsid w:val="000D425A"/>
    <w:rsid w:val="000D60CC"/>
    <w:rsid w:val="000E2084"/>
    <w:rsid w:val="000E6F55"/>
    <w:rsid w:val="000F77FA"/>
    <w:rsid w:val="000F7D79"/>
    <w:rsid w:val="00101BB3"/>
    <w:rsid w:val="00107BF7"/>
    <w:rsid w:val="00126F53"/>
    <w:rsid w:val="00140FC3"/>
    <w:rsid w:val="0014766D"/>
    <w:rsid w:val="00153340"/>
    <w:rsid w:val="001536CC"/>
    <w:rsid w:val="0018190B"/>
    <w:rsid w:val="001A3FBA"/>
    <w:rsid w:val="001A5518"/>
    <w:rsid w:val="001B1C6A"/>
    <w:rsid w:val="001C1263"/>
    <w:rsid w:val="001C1417"/>
    <w:rsid w:val="001D2D2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A72AD"/>
    <w:rsid w:val="002C6637"/>
    <w:rsid w:val="002D78CA"/>
    <w:rsid w:val="002E0135"/>
    <w:rsid w:val="002E37A5"/>
    <w:rsid w:val="003065BA"/>
    <w:rsid w:val="00310F03"/>
    <w:rsid w:val="0031177D"/>
    <w:rsid w:val="003247D2"/>
    <w:rsid w:val="003263EC"/>
    <w:rsid w:val="00330FED"/>
    <w:rsid w:val="003445C1"/>
    <w:rsid w:val="00353912"/>
    <w:rsid w:val="00355B61"/>
    <w:rsid w:val="00362686"/>
    <w:rsid w:val="00364F04"/>
    <w:rsid w:val="00371510"/>
    <w:rsid w:val="00396DFD"/>
    <w:rsid w:val="003A294F"/>
    <w:rsid w:val="003A7059"/>
    <w:rsid w:val="003B7A36"/>
    <w:rsid w:val="003C17AB"/>
    <w:rsid w:val="003C7823"/>
    <w:rsid w:val="003E0AF4"/>
    <w:rsid w:val="003E1DCC"/>
    <w:rsid w:val="003F11A1"/>
    <w:rsid w:val="003F6A59"/>
    <w:rsid w:val="004065C8"/>
    <w:rsid w:val="004072F6"/>
    <w:rsid w:val="004109FA"/>
    <w:rsid w:val="00411B4B"/>
    <w:rsid w:val="00415BEE"/>
    <w:rsid w:val="00427F85"/>
    <w:rsid w:val="004332C4"/>
    <w:rsid w:val="00436F42"/>
    <w:rsid w:val="004378B4"/>
    <w:rsid w:val="00442366"/>
    <w:rsid w:val="00451314"/>
    <w:rsid w:val="00452E9D"/>
    <w:rsid w:val="004534C7"/>
    <w:rsid w:val="004671AA"/>
    <w:rsid w:val="00480FB1"/>
    <w:rsid w:val="00482F28"/>
    <w:rsid w:val="00483928"/>
    <w:rsid w:val="0048734C"/>
    <w:rsid w:val="004B45AE"/>
    <w:rsid w:val="004B54F9"/>
    <w:rsid w:val="004C331F"/>
    <w:rsid w:val="004D6103"/>
    <w:rsid w:val="004D7279"/>
    <w:rsid w:val="004E3BCE"/>
    <w:rsid w:val="004E70AD"/>
    <w:rsid w:val="004F0E97"/>
    <w:rsid w:val="004F5693"/>
    <w:rsid w:val="00501DD1"/>
    <w:rsid w:val="00515C21"/>
    <w:rsid w:val="00530BD7"/>
    <w:rsid w:val="00537727"/>
    <w:rsid w:val="005443EE"/>
    <w:rsid w:val="00545CD2"/>
    <w:rsid w:val="005476F3"/>
    <w:rsid w:val="00572527"/>
    <w:rsid w:val="00573E40"/>
    <w:rsid w:val="00576348"/>
    <w:rsid w:val="005941CE"/>
    <w:rsid w:val="005A0B2E"/>
    <w:rsid w:val="005A23D2"/>
    <w:rsid w:val="005A36CB"/>
    <w:rsid w:val="005B49B8"/>
    <w:rsid w:val="005C0741"/>
    <w:rsid w:val="005C5EF4"/>
    <w:rsid w:val="005D37E0"/>
    <w:rsid w:val="005E1A46"/>
    <w:rsid w:val="005E2E0B"/>
    <w:rsid w:val="005E7A7D"/>
    <w:rsid w:val="005F64FC"/>
    <w:rsid w:val="00602457"/>
    <w:rsid w:val="006144EA"/>
    <w:rsid w:val="00644FC3"/>
    <w:rsid w:val="00646BD1"/>
    <w:rsid w:val="006561C2"/>
    <w:rsid w:val="00671CB3"/>
    <w:rsid w:val="00674BAF"/>
    <w:rsid w:val="00682200"/>
    <w:rsid w:val="00692BF6"/>
    <w:rsid w:val="006A1497"/>
    <w:rsid w:val="006B0BD1"/>
    <w:rsid w:val="006B5404"/>
    <w:rsid w:val="006D20A5"/>
    <w:rsid w:val="006D37BF"/>
    <w:rsid w:val="00702E22"/>
    <w:rsid w:val="00704351"/>
    <w:rsid w:val="007129AA"/>
    <w:rsid w:val="0071519C"/>
    <w:rsid w:val="0072020E"/>
    <w:rsid w:val="00761E64"/>
    <w:rsid w:val="00766FF1"/>
    <w:rsid w:val="00786071"/>
    <w:rsid w:val="00796208"/>
    <w:rsid w:val="007A045D"/>
    <w:rsid w:val="007A3ECB"/>
    <w:rsid w:val="007B1F3B"/>
    <w:rsid w:val="007D7BB3"/>
    <w:rsid w:val="00813709"/>
    <w:rsid w:val="00824AB9"/>
    <w:rsid w:val="00836B35"/>
    <w:rsid w:val="00843BDE"/>
    <w:rsid w:val="00850483"/>
    <w:rsid w:val="00862871"/>
    <w:rsid w:val="0087588C"/>
    <w:rsid w:val="00886CCF"/>
    <w:rsid w:val="0089705C"/>
    <w:rsid w:val="008A6D43"/>
    <w:rsid w:val="008B491E"/>
    <w:rsid w:val="008C1A28"/>
    <w:rsid w:val="008C2498"/>
    <w:rsid w:val="008C2E98"/>
    <w:rsid w:val="008E49BD"/>
    <w:rsid w:val="008E53E9"/>
    <w:rsid w:val="008E5771"/>
    <w:rsid w:val="008F4ACF"/>
    <w:rsid w:val="00915F9E"/>
    <w:rsid w:val="00924166"/>
    <w:rsid w:val="00940B9B"/>
    <w:rsid w:val="0095676E"/>
    <w:rsid w:val="00956983"/>
    <w:rsid w:val="00963CF0"/>
    <w:rsid w:val="00964BB1"/>
    <w:rsid w:val="009775D9"/>
    <w:rsid w:val="0098005A"/>
    <w:rsid w:val="00985B16"/>
    <w:rsid w:val="00992623"/>
    <w:rsid w:val="00997175"/>
    <w:rsid w:val="009A1847"/>
    <w:rsid w:val="009B062A"/>
    <w:rsid w:val="009B231C"/>
    <w:rsid w:val="009B500E"/>
    <w:rsid w:val="009E7C6F"/>
    <w:rsid w:val="009F1793"/>
    <w:rsid w:val="009F2D23"/>
    <w:rsid w:val="00A01D69"/>
    <w:rsid w:val="00A02335"/>
    <w:rsid w:val="00A13249"/>
    <w:rsid w:val="00A34CA5"/>
    <w:rsid w:val="00A46C9A"/>
    <w:rsid w:val="00A52A56"/>
    <w:rsid w:val="00A619F3"/>
    <w:rsid w:val="00A62A73"/>
    <w:rsid w:val="00A87FF6"/>
    <w:rsid w:val="00AA0A3B"/>
    <w:rsid w:val="00AA2763"/>
    <w:rsid w:val="00AA33B6"/>
    <w:rsid w:val="00AB50CA"/>
    <w:rsid w:val="00AB6D64"/>
    <w:rsid w:val="00AC53CE"/>
    <w:rsid w:val="00AC72E6"/>
    <w:rsid w:val="00AD2193"/>
    <w:rsid w:val="00AF2AC7"/>
    <w:rsid w:val="00AF74CE"/>
    <w:rsid w:val="00B13E9E"/>
    <w:rsid w:val="00B208DB"/>
    <w:rsid w:val="00B21134"/>
    <w:rsid w:val="00B23F69"/>
    <w:rsid w:val="00B501E7"/>
    <w:rsid w:val="00B60619"/>
    <w:rsid w:val="00B66A70"/>
    <w:rsid w:val="00B67366"/>
    <w:rsid w:val="00B80EE1"/>
    <w:rsid w:val="00B84135"/>
    <w:rsid w:val="00B93277"/>
    <w:rsid w:val="00B935E3"/>
    <w:rsid w:val="00BB3755"/>
    <w:rsid w:val="00BB6A18"/>
    <w:rsid w:val="00C04D34"/>
    <w:rsid w:val="00C05DF8"/>
    <w:rsid w:val="00C06864"/>
    <w:rsid w:val="00C10F54"/>
    <w:rsid w:val="00C23D8D"/>
    <w:rsid w:val="00C2694B"/>
    <w:rsid w:val="00C37AA3"/>
    <w:rsid w:val="00C37FD7"/>
    <w:rsid w:val="00C43419"/>
    <w:rsid w:val="00C44CF3"/>
    <w:rsid w:val="00C518B0"/>
    <w:rsid w:val="00C61BE0"/>
    <w:rsid w:val="00C6707E"/>
    <w:rsid w:val="00C70B0E"/>
    <w:rsid w:val="00C773CA"/>
    <w:rsid w:val="00C83785"/>
    <w:rsid w:val="00C913A4"/>
    <w:rsid w:val="00C94C0D"/>
    <w:rsid w:val="00CA1FEB"/>
    <w:rsid w:val="00CA6CBA"/>
    <w:rsid w:val="00CB03BE"/>
    <w:rsid w:val="00CB2AFA"/>
    <w:rsid w:val="00CD4F85"/>
    <w:rsid w:val="00CD6F02"/>
    <w:rsid w:val="00CE15C2"/>
    <w:rsid w:val="00CE246D"/>
    <w:rsid w:val="00CF07A0"/>
    <w:rsid w:val="00CF3E03"/>
    <w:rsid w:val="00D0082A"/>
    <w:rsid w:val="00D21455"/>
    <w:rsid w:val="00D437C4"/>
    <w:rsid w:val="00D47634"/>
    <w:rsid w:val="00D709B3"/>
    <w:rsid w:val="00DA11B6"/>
    <w:rsid w:val="00DA2ED6"/>
    <w:rsid w:val="00DB76B8"/>
    <w:rsid w:val="00DC2EA1"/>
    <w:rsid w:val="00DD6AAF"/>
    <w:rsid w:val="00DE3F5C"/>
    <w:rsid w:val="00DF1755"/>
    <w:rsid w:val="00DF1D20"/>
    <w:rsid w:val="00E21324"/>
    <w:rsid w:val="00E246B9"/>
    <w:rsid w:val="00E31FEA"/>
    <w:rsid w:val="00E41860"/>
    <w:rsid w:val="00E45169"/>
    <w:rsid w:val="00E47787"/>
    <w:rsid w:val="00E51C30"/>
    <w:rsid w:val="00E64180"/>
    <w:rsid w:val="00E74AEE"/>
    <w:rsid w:val="00E763DD"/>
    <w:rsid w:val="00E868E5"/>
    <w:rsid w:val="00E87003"/>
    <w:rsid w:val="00E92374"/>
    <w:rsid w:val="00E9237A"/>
    <w:rsid w:val="00E939FA"/>
    <w:rsid w:val="00EA2D42"/>
    <w:rsid w:val="00EA5765"/>
    <w:rsid w:val="00EC2532"/>
    <w:rsid w:val="00ED7812"/>
    <w:rsid w:val="00EE7549"/>
    <w:rsid w:val="00EF3B86"/>
    <w:rsid w:val="00F317E9"/>
    <w:rsid w:val="00F34554"/>
    <w:rsid w:val="00F45F77"/>
    <w:rsid w:val="00F5167F"/>
    <w:rsid w:val="00F52258"/>
    <w:rsid w:val="00F62C5F"/>
    <w:rsid w:val="00F70B58"/>
    <w:rsid w:val="00F8570A"/>
    <w:rsid w:val="00F91C7B"/>
    <w:rsid w:val="00FA2E9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C252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4B54F9"/>
    <w:pPr>
      <w:widowControl w:val="0"/>
      <w:autoSpaceDE w:val="0"/>
      <w:autoSpaceDN w:val="0"/>
      <w:adjustRightInd w:val="0"/>
    </w:pPr>
    <w:rPr>
      <w:rFonts w:eastAsiaTheme="minorEastAsia"/>
      <w:sz w:val="22"/>
      <w:szCs w:val="22"/>
      <w:lang w:val="en-GB" w:eastAsia="en-GB"/>
    </w:rPr>
  </w:style>
  <w:style w:type="character" w:customStyle="1" w:styleId="BodyTextChar">
    <w:name w:val="Body Text Char"/>
    <w:basedOn w:val="DefaultParagraphFont"/>
    <w:link w:val="BodyText"/>
    <w:uiPriority w:val="99"/>
    <w:rsid w:val="004B54F9"/>
    <w:rPr>
      <w:rFonts w:eastAsiaTheme="minorEastAsia"/>
      <w:sz w:val="22"/>
      <w:szCs w:val="22"/>
      <w:lang w:val="en-GB" w:eastAsia="en-GB"/>
    </w:rPr>
  </w:style>
  <w:style w:type="paragraph" w:styleId="ListParagraph">
    <w:name w:val="List Paragraph"/>
    <w:basedOn w:val="Normal"/>
    <w:uiPriority w:val="1"/>
    <w:qFormat/>
    <w:rsid w:val="004B54F9"/>
    <w:pPr>
      <w:widowControl w:val="0"/>
      <w:autoSpaceDE w:val="0"/>
      <w:autoSpaceDN w:val="0"/>
      <w:adjustRightInd w:val="0"/>
      <w:ind w:left="657" w:hanging="541"/>
    </w:pPr>
    <w:rPr>
      <w:rFonts w:eastAsiaTheme="minorEastAsia"/>
      <w:lang w:val="en-GB" w:eastAsia="en-GB"/>
    </w:rPr>
  </w:style>
  <w:style w:type="paragraph" w:customStyle="1" w:styleId="TableParagraph">
    <w:name w:val="Table Paragraph"/>
    <w:basedOn w:val="Normal"/>
    <w:uiPriority w:val="1"/>
    <w:qFormat/>
    <w:rsid w:val="004B54F9"/>
    <w:pPr>
      <w:widowControl w:val="0"/>
      <w:autoSpaceDE w:val="0"/>
      <w:autoSpaceDN w:val="0"/>
      <w:adjustRightInd w:val="0"/>
      <w:ind w:left="107"/>
    </w:pPr>
    <w:rPr>
      <w:rFonts w:eastAsiaTheme="minorEastAsia"/>
      <w:lang w:val="en-GB" w:eastAsia="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C2694B"/>
    <w:rPr>
      <w:sz w:val="24"/>
      <w:szCs w:val="24"/>
      <w:lang w:val="en-US" w:eastAsia="en-US"/>
    </w:rPr>
  </w:style>
  <w:style w:type="paragraph" w:styleId="NormalWeb">
    <w:name w:val="Normal (Web)"/>
    <w:basedOn w:val="Normal"/>
    <w:uiPriority w:val="99"/>
    <w:rsid w:val="00C2694B"/>
    <w:pPr>
      <w:spacing w:before="100" w:beforeAutospacing="1" w:after="100" w:afterAutospacing="1"/>
    </w:pPr>
    <w:rPr>
      <w:lang w:val="sr-Latn-CS"/>
    </w:rPr>
  </w:style>
  <w:style w:type="paragraph" w:styleId="Revision">
    <w:name w:val="Revision"/>
    <w:hidden/>
    <w:uiPriority w:val="99"/>
    <w:semiHidden/>
    <w:rsid w:val="008C249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C11A-1821-45A6-B350-7BD4BEC3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25203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dcterms:created xsi:type="dcterms:W3CDTF">2024-12-12T13:02:00Z</dcterms:created>
  <dcterms:modified xsi:type="dcterms:W3CDTF">2024-12-12T13:02:00Z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2021-08-17T21:25:57Z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56620e7a-2e1d-4409-a658-0fcf30c19ca2</vt:lpwstr>
  </property>
  <property fmtid="{D5CDD505-2E9C-101B-9397-08002B2CF9AE}" pid="9" name="MSIP_Label_4929bff8-5b33-42aa-95d2-28f72e792cb0_ContentBits">
    <vt:lpwstr>0</vt:lpwstr>
  </property>
</Properties>
</file>