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AC07" w14:textId="77777777" w:rsidR="001A5518" w:rsidRPr="00042267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628EDD4" w14:textId="77777777" w:rsidR="002510A5" w:rsidRPr="00042267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04226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B389F33" w14:textId="77777777" w:rsidR="002510A5" w:rsidRPr="00042267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64068C7" w14:textId="77777777" w:rsidR="003C17AB" w:rsidRPr="00042267" w:rsidRDefault="003C17AB" w:rsidP="00CA1FEB">
      <w:pPr>
        <w:rPr>
          <w:sz w:val="22"/>
          <w:szCs w:val="22"/>
          <w:lang w:val="sr-Latn-ME"/>
        </w:rPr>
      </w:pPr>
    </w:p>
    <w:p w14:paraId="561006DA" w14:textId="77777777" w:rsidR="00C37FD7" w:rsidRPr="00042267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E3BCA0" w14:textId="77777777" w:rsidR="00411B4B" w:rsidRPr="0004226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>1.</w:t>
      </w:r>
      <w:r w:rsidR="00F5167F" w:rsidRPr="00042267">
        <w:rPr>
          <w:b/>
          <w:bCs/>
          <w:sz w:val="22"/>
          <w:szCs w:val="22"/>
          <w:lang w:val="sr-Latn-ME"/>
        </w:rPr>
        <w:tab/>
      </w:r>
      <w:r w:rsidR="002846DB" w:rsidRPr="00042267">
        <w:rPr>
          <w:b/>
          <w:bCs/>
          <w:sz w:val="22"/>
          <w:szCs w:val="22"/>
          <w:lang w:val="sr-Latn-ME"/>
        </w:rPr>
        <w:t xml:space="preserve">NAZIV </w:t>
      </w:r>
      <w:r w:rsidRPr="00042267">
        <w:rPr>
          <w:b/>
          <w:bCs/>
          <w:sz w:val="22"/>
          <w:szCs w:val="22"/>
          <w:lang w:val="sr-Latn-ME"/>
        </w:rPr>
        <w:t>LIJEKA</w:t>
      </w:r>
    </w:p>
    <w:p w14:paraId="1EC82164" w14:textId="77777777" w:rsidR="00EC2532" w:rsidRPr="00042267" w:rsidRDefault="00EC2532">
      <w:pPr>
        <w:rPr>
          <w:sz w:val="22"/>
          <w:szCs w:val="22"/>
          <w:lang w:val="sr-Latn-ME"/>
        </w:rPr>
      </w:pPr>
    </w:p>
    <w:p w14:paraId="703D40EC" w14:textId="77777777" w:rsidR="0037452F" w:rsidRPr="00042267" w:rsidRDefault="0037452F" w:rsidP="0037452F">
      <w:pPr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Salcrozine, 500 mg, supozitorija</w:t>
      </w:r>
    </w:p>
    <w:p w14:paraId="1F2E2A37" w14:textId="77777777" w:rsidR="00042267" w:rsidRPr="00042267" w:rsidRDefault="00042267" w:rsidP="0037452F">
      <w:pPr>
        <w:rPr>
          <w:sz w:val="22"/>
          <w:szCs w:val="22"/>
          <w:lang w:val="sr-Latn-ME"/>
        </w:rPr>
      </w:pPr>
    </w:p>
    <w:p w14:paraId="78F094CB" w14:textId="6862539A" w:rsidR="0037452F" w:rsidRPr="00042267" w:rsidRDefault="0037452F" w:rsidP="0037452F">
      <w:pPr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INN: mesalazin</w:t>
      </w:r>
    </w:p>
    <w:p w14:paraId="66E2C45C" w14:textId="77777777" w:rsidR="006D20A5" w:rsidRPr="00042267" w:rsidRDefault="006D20A5">
      <w:pPr>
        <w:rPr>
          <w:bCs/>
          <w:sz w:val="22"/>
          <w:szCs w:val="22"/>
          <w:lang w:val="sr-Latn-ME"/>
        </w:rPr>
      </w:pPr>
    </w:p>
    <w:p w14:paraId="2493E80C" w14:textId="77777777" w:rsidR="00530BD7" w:rsidRPr="00042267" w:rsidRDefault="00530BD7">
      <w:pPr>
        <w:rPr>
          <w:bCs/>
          <w:sz w:val="22"/>
          <w:szCs w:val="22"/>
          <w:lang w:val="sr-Latn-ME"/>
        </w:rPr>
      </w:pPr>
    </w:p>
    <w:p w14:paraId="5939DA0B" w14:textId="77777777" w:rsidR="00411B4B" w:rsidRPr="0004226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2. </w:t>
      </w:r>
      <w:r w:rsidR="00F5167F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KVALITATIVNI I KVANTITATIVNI SASTAV</w:t>
      </w:r>
    </w:p>
    <w:p w14:paraId="3A046C6C" w14:textId="77777777" w:rsidR="00042267" w:rsidRPr="00042267" w:rsidRDefault="00042267" w:rsidP="000A6A59">
      <w:pPr>
        <w:pStyle w:val="BodyText"/>
        <w:rPr>
          <w:lang w:val="sr-Latn-ME"/>
        </w:rPr>
      </w:pPr>
    </w:p>
    <w:p w14:paraId="1FB28F42" w14:textId="4FE32BF0" w:rsidR="0037452F" w:rsidRPr="00042267" w:rsidRDefault="0037452F" w:rsidP="000A6A59">
      <w:pPr>
        <w:pStyle w:val="BodyText"/>
        <w:rPr>
          <w:lang w:val="sr-Latn-ME"/>
        </w:rPr>
      </w:pPr>
      <w:r w:rsidRPr="00042267">
        <w:rPr>
          <w:lang w:val="sr-Latn-ME"/>
        </w:rPr>
        <w:t>Jedna supozitorija sadrži 500 mg mesalazina.</w:t>
      </w:r>
    </w:p>
    <w:p w14:paraId="7751FF0D" w14:textId="77777777" w:rsidR="0037452F" w:rsidRPr="00042267" w:rsidRDefault="0037452F">
      <w:pPr>
        <w:rPr>
          <w:sz w:val="22"/>
          <w:szCs w:val="22"/>
          <w:lang w:val="sr-Latn-ME"/>
        </w:rPr>
      </w:pPr>
    </w:p>
    <w:p w14:paraId="003BF555" w14:textId="48EAEB4F" w:rsidR="0003793F" w:rsidRPr="00042267" w:rsidRDefault="0003793F">
      <w:pPr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Za spisak svih ekscipijenasa, pogledati dio 6.1.</w:t>
      </w:r>
    </w:p>
    <w:p w14:paraId="173F740E" w14:textId="77777777" w:rsidR="0003793F" w:rsidRPr="00042267" w:rsidRDefault="0003793F">
      <w:pPr>
        <w:rPr>
          <w:sz w:val="22"/>
          <w:szCs w:val="22"/>
          <w:lang w:val="sr-Latn-ME"/>
        </w:rPr>
      </w:pPr>
    </w:p>
    <w:p w14:paraId="7853FD13" w14:textId="77777777" w:rsidR="00C37FD7" w:rsidRPr="00042267" w:rsidRDefault="00C37FD7">
      <w:pPr>
        <w:rPr>
          <w:sz w:val="22"/>
          <w:szCs w:val="22"/>
          <w:lang w:val="sr-Latn-ME"/>
        </w:rPr>
      </w:pPr>
    </w:p>
    <w:p w14:paraId="4920AEC1" w14:textId="77777777" w:rsidR="00411B4B" w:rsidRPr="0004226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3. </w:t>
      </w:r>
      <w:r w:rsidR="00F5167F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FARMACEUTSKI OBLIK</w:t>
      </w:r>
      <w:r w:rsidR="009F2D23" w:rsidRPr="00042267">
        <w:rPr>
          <w:b/>
          <w:bCs/>
          <w:sz w:val="22"/>
          <w:szCs w:val="22"/>
          <w:lang w:val="sr-Latn-ME"/>
        </w:rPr>
        <w:t xml:space="preserve"> </w:t>
      </w:r>
    </w:p>
    <w:p w14:paraId="05DD00E7" w14:textId="77777777" w:rsidR="00411B4B" w:rsidRPr="00042267" w:rsidRDefault="00411B4B">
      <w:pPr>
        <w:rPr>
          <w:bCs/>
          <w:sz w:val="22"/>
          <w:szCs w:val="22"/>
          <w:lang w:val="sr-Latn-ME"/>
        </w:rPr>
      </w:pPr>
    </w:p>
    <w:p w14:paraId="3DE0E32A" w14:textId="00C4DCE4" w:rsidR="0037452F" w:rsidRPr="00042267" w:rsidRDefault="0037452F">
      <w:pPr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Supozitorija.</w:t>
      </w:r>
    </w:p>
    <w:p w14:paraId="067FD376" w14:textId="77777777" w:rsidR="0037452F" w:rsidRPr="00042267" w:rsidRDefault="0037452F">
      <w:pPr>
        <w:rPr>
          <w:bCs/>
          <w:sz w:val="22"/>
          <w:szCs w:val="22"/>
          <w:lang w:val="sr-Latn-ME"/>
        </w:rPr>
      </w:pPr>
    </w:p>
    <w:p w14:paraId="0A7848C8" w14:textId="7D5B0B14" w:rsidR="00EC2532" w:rsidRPr="00042267" w:rsidRDefault="000966EE">
      <w:pPr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Supozitorija oblik</w:t>
      </w:r>
      <w:r w:rsidR="00042267" w:rsidRPr="00042267">
        <w:rPr>
          <w:bCs/>
          <w:sz w:val="22"/>
          <w:szCs w:val="22"/>
          <w:lang w:val="sr-Latn-ME"/>
        </w:rPr>
        <w:t>a</w:t>
      </w:r>
      <w:r w:rsidRPr="00042267">
        <w:rPr>
          <w:bCs/>
          <w:sz w:val="22"/>
          <w:szCs w:val="22"/>
          <w:lang w:val="sr-Latn-ME"/>
        </w:rPr>
        <w:t xml:space="preserve"> torpeda, siv</w:t>
      </w:r>
      <w:r w:rsidR="00042267" w:rsidRPr="00042267">
        <w:rPr>
          <w:bCs/>
          <w:sz w:val="22"/>
          <w:szCs w:val="22"/>
          <w:lang w:val="sr-Latn-ME"/>
        </w:rPr>
        <w:t>kast</w:t>
      </w:r>
      <w:r w:rsidRPr="00042267">
        <w:rPr>
          <w:bCs/>
          <w:sz w:val="22"/>
          <w:szCs w:val="22"/>
          <w:lang w:val="sr-Latn-ME"/>
        </w:rPr>
        <w:t>o-bijele do blago crven</w:t>
      </w:r>
      <w:r w:rsidR="00042267" w:rsidRPr="00042267">
        <w:rPr>
          <w:bCs/>
          <w:sz w:val="22"/>
          <w:szCs w:val="22"/>
          <w:lang w:val="sr-Latn-ME"/>
        </w:rPr>
        <w:t>kasto-ljubičaste</w:t>
      </w:r>
      <w:r w:rsidRPr="00042267">
        <w:rPr>
          <w:bCs/>
          <w:sz w:val="22"/>
          <w:szCs w:val="22"/>
          <w:lang w:val="sr-Latn-ME"/>
        </w:rPr>
        <w:t xml:space="preserve"> boje.</w:t>
      </w:r>
    </w:p>
    <w:p w14:paraId="409CDDD1" w14:textId="4E0A88B4" w:rsidR="000966EE" w:rsidRPr="00042267" w:rsidRDefault="000966EE">
      <w:pPr>
        <w:rPr>
          <w:bCs/>
          <w:sz w:val="22"/>
          <w:szCs w:val="22"/>
          <w:lang w:val="sr-Latn-ME"/>
        </w:rPr>
      </w:pPr>
    </w:p>
    <w:p w14:paraId="052B4E31" w14:textId="77777777" w:rsidR="00042267" w:rsidRPr="00042267" w:rsidRDefault="00042267">
      <w:pPr>
        <w:rPr>
          <w:bCs/>
          <w:sz w:val="22"/>
          <w:szCs w:val="22"/>
          <w:lang w:val="sr-Latn-ME"/>
        </w:rPr>
      </w:pPr>
    </w:p>
    <w:p w14:paraId="438CD03C" w14:textId="77777777" w:rsidR="00411B4B" w:rsidRPr="0004226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KLINIČKI PODACI</w:t>
      </w:r>
    </w:p>
    <w:p w14:paraId="0C1D74C0" w14:textId="77777777" w:rsidR="00CD6F02" w:rsidRPr="00042267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14B341" w14:textId="77777777" w:rsidR="00411B4B" w:rsidRPr="000422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4.1.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Terapijske indikacije</w:t>
      </w:r>
    </w:p>
    <w:p w14:paraId="722DA5B8" w14:textId="77777777" w:rsidR="00411B4B" w:rsidRPr="00042267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97502C" w14:textId="5FA0439D" w:rsidR="000966EE" w:rsidRPr="000A6A59" w:rsidRDefault="0037452F" w:rsidP="0037452F">
      <w:pPr>
        <w:jc w:val="both"/>
        <w:rPr>
          <w:sz w:val="22"/>
          <w:szCs w:val="22"/>
          <w:lang w:val="sr-Latn-ME"/>
        </w:rPr>
      </w:pPr>
      <w:r w:rsidRPr="00042267">
        <w:rPr>
          <w:iCs/>
          <w:sz w:val="22"/>
          <w:szCs w:val="22"/>
          <w:lang w:val="sr-Latn-ME"/>
        </w:rPr>
        <w:t xml:space="preserve">Lijek </w:t>
      </w:r>
      <w:bookmarkStart w:id="0" w:name="_Hlk133234231"/>
      <w:r w:rsidRPr="00042267">
        <w:rPr>
          <w:iCs/>
          <w:sz w:val="22"/>
          <w:szCs w:val="22"/>
          <w:lang w:val="sr-Latn-ME"/>
        </w:rPr>
        <w:t xml:space="preserve">Salcrozine, 500 mg, supozitorija </w:t>
      </w:r>
      <w:bookmarkEnd w:id="0"/>
      <w:r w:rsidRPr="00042267">
        <w:rPr>
          <w:iCs/>
          <w:sz w:val="22"/>
          <w:szCs w:val="22"/>
          <w:lang w:val="sr-Latn-ME"/>
        </w:rPr>
        <w:t xml:space="preserve">indikovan je za </w:t>
      </w:r>
      <w:r w:rsidRPr="000A6A59">
        <w:rPr>
          <w:sz w:val="22"/>
          <w:szCs w:val="22"/>
          <w:lang w:val="sr-Latn-ME"/>
        </w:rPr>
        <w:t>terapiju distalnog ulceroznog kolitisa (proktitis i proktosigmoiditis)</w:t>
      </w:r>
      <w:r w:rsidR="005C3A77" w:rsidRPr="000A6A59">
        <w:rPr>
          <w:sz w:val="22"/>
          <w:szCs w:val="22"/>
          <w:lang w:val="sr-Latn-ME"/>
        </w:rPr>
        <w:t xml:space="preserve"> za</w:t>
      </w:r>
      <w:r w:rsidR="000966EE" w:rsidRPr="000A6A59">
        <w:rPr>
          <w:sz w:val="22"/>
          <w:szCs w:val="22"/>
          <w:lang w:val="sr-Latn-ME"/>
        </w:rPr>
        <w:t>:</w:t>
      </w:r>
    </w:p>
    <w:p w14:paraId="6347FD25" w14:textId="136340DC" w:rsidR="000966EE" w:rsidRPr="00042267" w:rsidRDefault="000966EE" w:rsidP="000966EE">
      <w:pPr>
        <w:pStyle w:val="ListParagraph"/>
        <w:numPr>
          <w:ilvl w:val="0"/>
          <w:numId w:val="17"/>
        </w:numPr>
        <w:jc w:val="both"/>
        <w:rPr>
          <w:lang w:val="sr-Latn-ME"/>
        </w:rPr>
      </w:pPr>
      <w:r w:rsidRPr="00042267">
        <w:rPr>
          <w:lang w:val="sr-Latn-ME"/>
        </w:rPr>
        <w:t>terapij</w:t>
      </w:r>
      <w:r w:rsidR="005C3A77" w:rsidRPr="00042267">
        <w:rPr>
          <w:lang w:val="sr-Latn-ME"/>
        </w:rPr>
        <w:t>u</w:t>
      </w:r>
      <w:r w:rsidRPr="00042267">
        <w:rPr>
          <w:lang w:val="sr-Latn-ME"/>
        </w:rPr>
        <w:t xml:space="preserve"> blag</w:t>
      </w:r>
      <w:r w:rsidR="005C3A77" w:rsidRPr="00042267">
        <w:rPr>
          <w:lang w:val="sr-Latn-ME"/>
        </w:rPr>
        <w:t>ih</w:t>
      </w:r>
      <w:r w:rsidRPr="00042267">
        <w:rPr>
          <w:lang w:val="sr-Latn-ME"/>
        </w:rPr>
        <w:t xml:space="preserve"> do umjeren</w:t>
      </w:r>
      <w:r w:rsidR="005C3A77" w:rsidRPr="00042267">
        <w:rPr>
          <w:lang w:val="sr-Latn-ME"/>
        </w:rPr>
        <w:t>ih</w:t>
      </w:r>
      <w:r w:rsidRPr="00042267">
        <w:rPr>
          <w:lang w:val="sr-Latn-ME"/>
        </w:rPr>
        <w:t xml:space="preserve"> akutnih </w:t>
      </w:r>
      <w:r w:rsidR="005C3A77" w:rsidRPr="00042267">
        <w:rPr>
          <w:lang w:val="sr-Latn-ME"/>
        </w:rPr>
        <w:t>egzacerbacija,</w:t>
      </w:r>
    </w:p>
    <w:p w14:paraId="1963824D" w14:textId="374BAE77" w:rsidR="0037452F" w:rsidRPr="00042267" w:rsidRDefault="0037452F" w:rsidP="000966EE">
      <w:pPr>
        <w:pStyle w:val="ListParagraph"/>
        <w:numPr>
          <w:ilvl w:val="0"/>
          <w:numId w:val="17"/>
        </w:numPr>
        <w:jc w:val="both"/>
        <w:rPr>
          <w:lang w:val="sr-Latn-ME"/>
        </w:rPr>
      </w:pPr>
      <w:r w:rsidRPr="00042267">
        <w:rPr>
          <w:lang w:val="sr-Latn-ME"/>
        </w:rPr>
        <w:t>održavanje remisije distalnog ulceroznog kolitisa.</w:t>
      </w:r>
    </w:p>
    <w:p w14:paraId="2D3D07DD" w14:textId="77777777" w:rsidR="0037452F" w:rsidRPr="00042267" w:rsidRDefault="003745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3B6D44" w14:textId="77777777" w:rsidR="00411B4B" w:rsidRPr="000422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4.2.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Doziranje i način primjene</w:t>
      </w:r>
    </w:p>
    <w:p w14:paraId="6EDBB96B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0C1BD1" w14:textId="77777777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042267">
        <w:rPr>
          <w:bCs/>
          <w:sz w:val="22"/>
          <w:szCs w:val="22"/>
          <w:u w:val="single"/>
          <w:lang w:val="sr-Latn-ME"/>
        </w:rPr>
        <w:t>Doziranje</w:t>
      </w:r>
    </w:p>
    <w:p w14:paraId="20FE298C" w14:textId="77777777" w:rsidR="0037452F" w:rsidRPr="00042267" w:rsidRDefault="0037452F" w:rsidP="0037452F">
      <w:pPr>
        <w:jc w:val="both"/>
        <w:rPr>
          <w:sz w:val="22"/>
          <w:szCs w:val="22"/>
          <w:lang w:val="sr-Latn-ME"/>
        </w:rPr>
      </w:pPr>
    </w:p>
    <w:p w14:paraId="518C9642" w14:textId="46341E69" w:rsidR="0037452F" w:rsidRPr="00042267" w:rsidRDefault="0037452F" w:rsidP="003745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Dozu treba prilagoditi </w:t>
      </w:r>
      <w:r w:rsidR="00E7394F" w:rsidRPr="00042267">
        <w:rPr>
          <w:sz w:val="22"/>
          <w:szCs w:val="22"/>
          <w:lang w:val="sr-Latn-ME"/>
        </w:rPr>
        <w:t>svakom pacijentu</w:t>
      </w:r>
      <w:r w:rsidR="00F26557" w:rsidRPr="00042267">
        <w:rPr>
          <w:sz w:val="22"/>
          <w:szCs w:val="22"/>
          <w:lang w:val="sr-Latn-ME"/>
        </w:rPr>
        <w:t xml:space="preserve"> </w:t>
      </w:r>
      <w:r w:rsidR="00A91C87" w:rsidRPr="00042267">
        <w:rPr>
          <w:sz w:val="22"/>
          <w:szCs w:val="22"/>
          <w:lang w:val="sr-Latn-ME"/>
        </w:rPr>
        <w:t xml:space="preserve">na osnovu terapije koju je propisao ljekar, </w:t>
      </w:r>
      <w:r w:rsidRPr="00042267">
        <w:rPr>
          <w:sz w:val="22"/>
          <w:szCs w:val="22"/>
          <w:lang w:val="sr-Latn-ME"/>
        </w:rPr>
        <w:t>prema odgovoru pacijenta na terapiju. Preporučuju se sljede</w:t>
      </w:r>
      <w:r w:rsidR="00042267">
        <w:rPr>
          <w:sz w:val="22"/>
          <w:szCs w:val="22"/>
          <w:lang w:val="sr-Latn-ME"/>
        </w:rPr>
        <w:t>ć</w:t>
      </w:r>
      <w:r w:rsidRPr="00042267">
        <w:rPr>
          <w:sz w:val="22"/>
          <w:szCs w:val="22"/>
          <w:lang w:val="sr-Latn-ME"/>
        </w:rPr>
        <w:t>e doze:</w:t>
      </w:r>
    </w:p>
    <w:p w14:paraId="196D36DF" w14:textId="77777777" w:rsidR="0037452F" w:rsidRPr="00042267" w:rsidRDefault="0037452F" w:rsidP="0037452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DDEDB23" w14:textId="77777777" w:rsidR="0037452F" w:rsidRPr="00042267" w:rsidRDefault="0037452F" w:rsidP="0037452F">
      <w:pPr>
        <w:rPr>
          <w:i/>
          <w:sz w:val="22"/>
          <w:szCs w:val="22"/>
          <w:u w:val="single"/>
          <w:lang w:val="sr-Latn-ME"/>
        </w:rPr>
      </w:pPr>
      <w:r w:rsidRPr="00042267">
        <w:rPr>
          <w:i/>
          <w:sz w:val="22"/>
          <w:szCs w:val="22"/>
          <w:u w:val="single"/>
          <w:lang w:val="sr-Latn-ME"/>
        </w:rPr>
        <w:t>Odrasli</w:t>
      </w:r>
    </w:p>
    <w:p w14:paraId="6BA1014C" w14:textId="142DCC61" w:rsidR="0037452F" w:rsidRPr="00042267" w:rsidRDefault="00F26557" w:rsidP="00F26557">
      <w:pPr>
        <w:pStyle w:val="BodyText"/>
        <w:numPr>
          <w:ilvl w:val="0"/>
          <w:numId w:val="17"/>
        </w:numPr>
        <w:spacing w:before="3" w:line="250" w:lineRule="exact"/>
        <w:jc w:val="both"/>
        <w:rPr>
          <w:lang w:val="sr-Latn-ME"/>
        </w:rPr>
      </w:pPr>
      <w:r w:rsidRPr="00042267">
        <w:rPr>
          <w:iCs/>
          <w:lang w:val="sr-Latn-ME"/>
        </w:rPr>
        <w:t>kod terapije blagih do umjerenih akutnih egzacerbacija: jedna supozitorija dvaput ili triput dnevno (1000 – 1500 mg);</w:t>
      </w:r>
    </w:p>
    <w:p w14:paraId="121EF3CD" w14:textId="1C5BDCCC" w:rsidR="00F26557" w:rsidRPr="00042267" w:rsidRDefault="00F26557" w:rsidP="00F26557">
      <w:pPr>
        <w:pStyle w:val="BodyText"/>
        <w:numPr>
          <w:ilvl w:val="0"/>
          <w:numId w:val="17"/>
        </w:numPr>
        <w:spacing w:before="3" w:line="250" w:lineRule="exact"/>
        <w:jc w:val="both"/>
        <w:rPr>
          <w:lang w:val="sr-Latn-ME"/>
        </w:rPr>
      </w:pPr>
      <w:r w:rsidRPr="00042267">
        <w:rPr>
          <w:lang w:val="sr-Latn-ME"/>
        </w:rPr>
        <w:t>održavanje remisije: jedna supozitorija jednom ili dvaput dnevno (500 – 1000 mg).</w:t>
      </w:r>
    </w:p>
    <w:p w14:paraId="6C37CC69" w14:textId="77777777" w:rsidR="0037452F" w:rsidRPr="00042267" w:rsidRDefault="0037452F" w:rsidP="0037452F">
      <w:pPr>
        <w:pStyle w:val="BodyText"/>
        <w:spacing w:before="40" w:line="250" w:lineRule="exact"/>
        <w:ind w:right="531"/>
        <w:jc w:val="both"/>
        <w:rPr>
          <w:lang w:val="sr-Latn-ME"/>
        </w:rPr>
      </w:pPr>
    </w:p>
    <w:p w14:paraId="33A9C1B8" w14:textId="77777777" w:rsidR="0037452F" w:rsidRPr="00042267" w:rsidRDefault="0037452F" w:rsidP="0037452F">
      <w:pPr>
        <w:rPr>
          <w:i/>
          <w:sz w:val="22"/>
          <w:szCs w:val="22"/>
          <w:u w:val="single"/>
          <w:lang w:val="sr-Latn-ME"/>
        </w:rPr>
      </w:pPr>
      <w:r w:rsidRPr="00042267">
        <w:rPr>
          <w:i/>
          <w:sz w:val="22"/>
          <w:szCs w:val="22"/>
          <w:u w:val="single"/>
          <w:lang w:val="sr-Latn-ME"/>
        </w:rPr>
        <w:t>Djeca</w:t>
      </w:r>
    </w:p>
    <w:p w14:paraId="5B4214A4" w14:textId="0E0618D8" w:rsidR="0037452F" w:rsidRPr="00042267" w:rsidRDefault="0037452F" w:rsidP="0037452F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Lijek Salcrozine ne treba koristiti kod djece mlađe od </w:t>
      </w:r>
      <w:r w:rsidR="00F26557" w:rsidRPr="00042267">
        <w:rPr>
          <w:sz w:val="22"/>
          <w:szCs w:val="22"/>
          <w:lang w:val="sr-Latn-ME"/>
        </w:rPr>
        <w:t>6</w:t>
      </w:r>
      <w:r w:rsidRPr="00042267">
        <w:rPr>
          <w:sz w:val="22"/>
          <w:szCs w:val="22"/>
          <w:lang w:val="sr-Latn-ME"/>
        </w:rPr>
        <w:t xml:space="preserve"> godina zbog ograničenih podataka o efikasnosti i bezbjednosti mesalazina</w:t>
      </w:r>
      <w:r w:rsidR="00F26557" w:rsidRPr="00042267">
        <w:rPr>
          <w:sz w:val="22"/>
          <w:szCs w:val="22"/>
          <w:lang w:val="sr-Latn-ME"/>
        </w:rPr>
        <w:t>. Informacije o upotrebi</w:t>
      </w:r>
      <w:r w:rsidRPr="00042267">
        <w:rPr>
          <w:sz w:val="22"/>
          <w:szCs w:val="22"/>
          <w:lang w:val="sr-Latn-ME"/>
        </w:rPr>
        <w:t xml:space="preserve"> </w:t>
      </w:r>
      <w:r w:rsidR="005B3637" w:rsidRPr="00042267">
        <w:rPr>
          <w:sz w:val="22"/>
          <w:szCs w:val="22"/>
          <w:lang w:val="sr-Latn-ME"/>
        </w:rPr>
        <w:t xml:space="preserve">lijeka Salcrozine </w:t>
      </w:r>
      <w:r w:rsidRPr="00042267">
        <w:rPr>
          <w:sz w:val="22"/>
          <w:szCs w:val="22"/>
          <w:lang w:val="sr-Latn-ME"/>
        </w:rPr>
        <w:t xml:space="preserve">kod djece i adolescenata, uzrasta </w:t>
      </w:r>
      <w:r w:rsidR="00F26557" w:rsidRPr="00042267">
        <w:rPr>
          <w:sz w:val="22"/>
          <w:szCs w:val="22"/>
          <w:lang w:val="sr-Latn-ME"/>
        </w:rPr>
        <w:t xml:space="preserve">od 6 </w:t>
      </w:r>
      <w:r w:rsidRPr="00042267">
        <w:rPr>
          <w:sz w:val="22"/>
          <w:szCs w:val="22"/>
          <w:lang w:val="sr-Latn-ME"/>
        </w:rPr>
        <w:t>do 18 godina</w:t>
      </w:r>
      <w:r w:rsidR="000452AD" w:rsidRPr="00042267">
        <w:rPr>
          <w:sz w:val="22"/>
          <w:szCs w:val="22"/>
          <w:lang w:val="sr-Latn-ME"/>
        </w:rPr>
        <w:t>, ograničene su</w:t>
      </w:r>
      <w:r w:rsidRPr="00042267">
        <w:rPr>
          <w:sz w:val="22"/>
          <w:szCs w:val="22"/>
          <w:lang w:val="sr-Latn-ME"/>
        </w:rPr>
        <w:t>.</w:t>
      </w:r>
      <w:r w:rsidR="00F26557" w:rsidRPr="00042267">
        <w:rPr>
          <w:sz w:val="22"/>
          <w:szCs w:val="22"/>
          <w:lang w:val="sr-Latn-ME"/>
        </w:rPr>
        <w:t xml:space="preserve"> Trenutno dostupni podaci su opisani u dijelu 5.1, ali se ne može dati preporuka o dozi.</w:t>
      </w:r>
    </w:p>
    <w:p w14:paraId="111EC9FF" w14:textId="77777777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6537FD1F" w14:textId="77777777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042267">
        <w:rPr>
          <w:bCs/>
          <w:sz w:val="22"/>
          <w:szCs w:val="22"/>
          <w:u w:val="single"/>
          <w:lang w:val="sr-Latn-ME"/>
        </w:rPr>
        <w:t>Način primjene</w:t>
      </w:r>
    </w:p>
    <w:p w14:paraId="2FF68506" w14:textId="77777777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1F5A0D33" w14:textId="3E1749A2" w:rsidR="0037452F" w:rsidRPr="00042267" w:rsidRDefault="0069426E" w:rsidP="0037452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Lijek Salcrozine treba da se koristi redovno i </w:t>
      </w:r>
      <w:r w:rsidR="00CF19B6" w:rsidRPr="00042267">
        <w:rPr>
          <w:sz w:val="22"/>
          <w:szCs w:val="22"/>
          <w:lang w:val="sr-Latn-ME"/>
        </w:rPr>
        <w:t>konstantno</w:t>
      </w:r>
      <w:r w:rsidRPr="00042267">
        <w:rPr>
          <w:sz w:val="22"/>
          <w:szCs w:val="22"/>
          <w:lang w:val="sr-Latn-ME"/>
        </w:rPr>
        <w:t>, bilo tokom akutne faze ili tokom dugoročne terapije u fazi održavanja, kako bi se postig</w:t>
      </w:r>
      <w:r w:rsidR="00CF19B6" w:rsidRPr="00042267">
        <w:rPr>
          <w:sz w:val="22"/>
          <w:szCs w:val="22"/>
          <w:lang w:val="sr-Latn-ME"/>
        </w:rPr>
        <w:t>lo</w:t>
      </w:r>
      <w:r w:rsidRPr="00042267">
        <w:rPr>
          <w:sz w:val="22"/>
          <w:szCs w:val="22"/>
          <w:lang w:val="sr-Latn-ME"/>
        </w:rPr>
        <w:t xml:space="preserve"> željen</w:t>
      </w:r>
      <w:r w:rsidR="00CF19B6" w:rsidRPr="00042267">
        <w:rPr>
          <w:sz w:val="22"/>
          <w:szCs w:val="22"/>
          <w:lang w:val="sr-Latn-ME"/>
        </w:rPr>
        <w:t>o</w:t>
      </w:r>
      <w:r w:rsidRPr="00042267">
        <w:rPr>
          <w:sz w:val="22"/>
          <w:szCs w:val="22"/>
          <w:lang w:val="sr-Latn-ME"/>
        </w:rPr>
        <w:t xml:space="preserve"> </w:t>
      </w:r>
      <w:r w:rsidR="00CF19B6" w:rsidRPr="00042267">
        <w:rPr>
          <w:sz w:val="22"/>
          <w:szCs w:val="22"/>
          <w:lang w:val="sr-Latn-ME"/>
        </w:rPr>
        <w:t>dejstvo</w:t>
      </w:r>
      <w:r w:rsidRPr="00042267">
        <w:rPr>
          <w:sz w:val="22"/>
          <w:szCs w:val="22"/>
          <w:lang w:val="sr-Latn-ME"/>
        </w:rPr>
        <w:t>.</w:t>
      </w:r>
    </w:p>
    <w:p w14:paraId="5CB92515" w14:textId="77777777" w:rsidR="0037452F" w:rsidRPr="00042267" w:rsidRDefault="0037452F" w:rsidP="0037452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5D08260" w14:textId="0AA22271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Neposredno prije primjene supozitorija preporučuje se pražnjenje crijeva.</w:t>
      </w:r>
    </w:p>
    <w:p w14:paraId="091003E0" w14:textId="77777777" w:rsidR="004A4BA9" w:rsidRPr="00042267" w:rsidRDefault="004A4BA9" w:rsidP="0037452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267E5B" w14:textId="55E30A53" w:rsidR="0037452F" w:rsidRPr="00042267" w:rsidRDefault="0037452F" w:rsidP="00E83E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Supozitoriju unijeti</w:t>
      </w:r>
      <w:r w:rsidRPr="00042267">
        <w:rPr>
          <w:lang w:val="sr-Latn-ME"/>
        </w:rPr>
        <w:t xml:space="preserve"> </w:t>
      </w:r>
      <w:r w:rsidRPr="00042267">
        <w:rPr>
          <w:bCs/>
          <w:sz w:val="22"/>
          <w:szCs w:val="22"/>
          <w:lang w:val="sr-Latn-ME"/>
        </w:rPr>
        <w:t>dok pacijent leži na lijevoj strani i preporučuje se da ostane u ovom položaju približno sat vremena.</w:t>
      </w:r>
    </w:p>
    <w:p w14:paraId="020FE434" w14:textId="77777777" w:rsidR="004A4BA9" w:rsidRPr="00042267" w:rsidRDefault="004A4BA9" w:rsidP="00E83E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CA4EF6" w14:textId="77777777" w:rsidR="0037452F" w:rsidRPr="00042267" w:rsidRDefault="0037452F" w:rsidP="00E83E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Supozitoriju unijeti što je dublje moguće u anus i preporučuje se da se zadrži u rektumu 1-3 časa</w:t>
      </w:r>
      <w:r w:rsidRPr="00042267">
        <w:rPr>
          <w:lang w:val="sr-Latn-ME"/>
        </w:rPr>
        <w:t xml:space="preserve"> </w:t>
      </w:r>
      <w:r w:rsidRPr="00042267">
        <w:rPr>
          <w:bCs/>
          <w:sz w:val="22"/>
          <w:szCs w:val="22"/>
          <w:lang w:val="sr-Latn-ME"/>
        </w:rPr>
        <w:t>da bi se osiguralo dostizanje terapijske doze.</w:t>
      </w:r>
    </w:p>
    <w:p w14:paraId="2B571B94" w14:textId="77777777" w:rsidR="00452E9D" w:rsidRPr="00042267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C9CBAA" w14:textId="77777777" w:rsidR="00411B4B" w:rsidRPr="000422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4.3.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Kontraindikacije</w:t>
      </w:r>
    </w:p>
    <w:p w14:paraId="23971CDD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1D36D0" w14:textId="1FAB26B6" w:rsidR="0037452F" w:rsidRPr="00042267" w:rsidRDefault="0037452F" w:rsidP="00CF19B6">
      <w:pPr>
        <w:pStyle w:val="ListParagraph"/>
        <w:numPr>
          <w:ilvl w:val="0"/>
          <w:numId w:val="12"/>
        </w:numPr>
        <w:ind w:left="540" w:hanging="180"/>
        <w:rPr>
          <w:bCs/>
          <w:lang w:val="sr-Latn-ME"/>
        </w:rPr>
      </w:pPr>
      <w:r w:rsidRPr="00042267">
        <w:rPr>
          <w:bCs/>
          <w:lang w:val="sr-Latn-ME"/>
        </w:rPr>
        <w:t xml:space="preserve">Hipersenzitivnost na </w:t>
      </w:r>
      <w:r w:rsidR="00CF19B6" w:rsidRPr="00042267">
        <w:rPr>
          <w:bCs/>
          <w:lang w:val="sr-Latn-ME"/>
        </w:rPr>
        <w:t>aktivnu supstancu (</w:t>
      </w:r>
      <w:r w:rsidRPr="00042267">
        <w:rPr>
          <w:bCs/>
          <w:lang w:val="sr-Latn-ME"/>
        </w:rPr>
        <w:t>mesalazin</w:t>
      </w:r>
      <w:r w:rsidR="00CF19B6" w:rsidRPr="00042267">
        <w:rPr>
          <w:bCs/>
          <w:lang w:val="sr-Latn-ME"/>
        </w:rPr>
        <w:t>)</w:t>
      </w:r>
      <w:r w:rsidRPr="00042267">
        <w:rPr>
          <w:bCs/>
          <w:lang w:val="sr-Latn-ME"/>
        </w:rPr>
        <w:t xml:space="preserve"> ili na bilo koju od pomoćnih supstanci ovog lijeka </w:t>
      </w:r>
      <w:r w:rsidR="00CF19B6" w:rsidRPr="00042267">
        <w:rPr>
          <w:bCs/>
          <w:lang w:val="sr-Latn-ME"/>
        </w:rPr>
        <w:t>navedenih u dijelu 6.1.</w:t>
      </w:r>
      <w:r w:rsidRPr="00042267">
        <w:rPr>
          <w:bCs/>
          <w:lang w:val="sr-Latn-ME"/>
        </w:rPr>
        <w:t xml:space="preserve">  </w:t>
      </w:r>
    </w:p>
    <w:p w14:paraId="1E8070CB" w14:textId="037FE155" w:rsidR="0037452F" w:rsidRPr="00042267" w:rsidRDefault="00CF19B6" w:rsidP="0037452F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lang w:val="sr-Latn-ME"/>
        </w:rPr>
      </w:pPr>
      <w:r w:rsidRPr="00042267">
        <w:rPr>
          <w:bCs/>
          <w:lang w:val="sr-Latn-ME"/>
        </w:rPr>
        <w:t>Teško oštećenje bubrega i jetre.</w:t>
      </w:r>
    </w:p>
    <w:p w14:paraId="4073E2A1" w14:textId="33BC3FC7" w:rsidR="0037452F" w:rsidRPr="00042267" w:rsidRDefault="0037452F" w:rsidP="0037452F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lang w:val="sr-Latn-ME"/>
        </w:rPr>
      </w:pPr>
      <w:r w:rsidRPr="00042267">
        <w:rPr>
          <w:bCs/>
          <w:lang w:val="sr-Latn-ME"/>
        </w:rPr>
        <w:t>Hemoragična dijateza</w:t>
      </w:r>
      <w:r w:rsidR="00E83E7B" w:rsidRPr="00042267">
        <w:rPr>
          <w:bCs/>
          <w:lang w:val="sr-Latn-ME"/>
        </w:rPr>
        <w:t>.</w:t>
      </w:r>
    </w:p>
    <w:p w14:paraId="4355C2C1" w14:textId="77777777" w:rsidR="0037452F" w:rsidRPr="00042267" w:rsidRDefault="003745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3B1788" w14:textId="77777777" w:rsidR="00411B4B" w:rsidRPr="000422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4.4.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102C706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525D5E" w14:textId="271DF0A3" w:rsidR="00520A98" w:rsidRPr="00042267" w:rsidRDefault="00520A98" w:rsidP="009C4E54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Terapiju lijekom Salcrozine treba sprovesti pod ljekarskim nadzorom.</w:t>
      </w:r>
    </w:p>
    <w:p w14:paraId="21B1B0BD" w14:textId="374C4163" w:rsidR="009C4E54" w:rsidRPr="00042267" w:rsidRDefault="009C4E54" w:rsidP="009C4E54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 xml:space="preserve">Laboratorijske analize krvi (kompletna krvna slika, parametri funkcije jetre kao što su vrijednosti transaminaze, koncentracija kreatinina u serumu) i analizu urina treba </w:t>
      </w:r>
      <w:r w:rsidR="00D776DB" w:rsidRPr="00042267">
        <w:rPr>
          <w:lang w:val="sr-Latn-ME"/>
        </w:rPr>
        <w:t>sprovesti</w:t>
      </w:r>
      <w:r w:rsidRPr="00042267">
        <w:rPr>
          <w:lang w:val="sr-Latn-ME"/>
        </w:rPr>
        <w:t xml:space="preserve"> dvije nedjelje nakon početka terapije i u intervalima od 4 nedjelje tokom 3 mjeseca. Ako su rezultati </w:t>
      </w:r>
      <w:r w:rsidR="00D776DB" w:rsidRPr="00042267">
        <w:rPr>
          <w:lang w:val="sr-Latn-ME"/>
        </w:rPr>
        <w:t>u granicama referentnih vrijednosti</w:t>
      </w:r>
      <w:r w:rsidRPr="00042267">
        <w:rPr>
          <w:lang w:val="sr-Latn-ME"/>
        </w:rPr>
        <w:t xml:space="preserve">, </w:t>
      </w:r>
      <w:r w:rsidR="00D776DB" w:rsidRPr="00042267">
        <w:rPr>
          <w:lang w:val="sr-Latn-ME"/>
        </w:rPr>
        <w:t>naredne kontrolne analize treba raditi na</w:t>
      </w:r>
      <w:r w:rsidRPr="00042267">
        <w:rPr>
          <w:lang w:val="sr-Latn-ME"/>
        </w:rPr>
        <w:t xml:space="preserve"> svaka 3 mjeseca. Ako se pojave dodatni simptomi, </w:t>
      </w:r>
      <w:r w:rsidR="00D776DB" w:rsidRPr="00042267">
        <w:rPr>
          <w:lang w:val="sr-Latn-ME"/>
        </w:rPr>
        <w:t>ove analize treba sprovesti odmah</w:t>
      </w:r>
      <w:r w:rsidRPr="00042267">
        <w:rPr>
          <w:lang w:val="sr-Latn-ME"/>
        </w:rPr>
        <w:t>.</w:t>
      </w:r>
    </w:p>
    <w:p w14:paraId="7056813B" w14:textId="4216BA4A" w:rsidR="00520A98" w:rsidRPr="00042267" w:rsidRDefault="00D776DB" w:rsidP="00520A98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Potreban je poseban nadzor pa</w:t>
      </w:r>
      <w:r w:rsidR="0037452F" w:rsidRPr="00042267">
        <w:rPr>
          <w:lang w:val="sr-Latn-ME"/>
        </w:rPr>
        <w:t>cijen</w:t>
      </w:r>
      <w:r w:rsidRPr="00042267">
        <w:rPr>
          <w:lang w:val="sr-Latn-ME"/>
        </w:rPr>
        <w:t>ata</w:t>
      </w:r>
      <w:r w:rsidR="0037452F" w:rsidRPr="00042267">
        <w:rPr>
          <w:lang w:val="sr-Latn-ME"/>
        </w:rPr>
        <w:t xml:space="preserve"> sa teškom insuficijencijom bubrega</w:t>
      </w:r>
      <w:r w:rsidRPr="00042267">
        <w:rPr>
          <w:lang w:val="sr-Latn-ME"/>
        </w:rPr>
        <w:t xml:space="preserve"> i/ili jetre</w:t>
      </w:r>
      <w:r w:rsidR="0037452F" w:rsidRPr="00042267">
        <w:rPr>
          <w:lang w:val="sr-Latn-ME"/>
        </w:rPr>
        <w:t xml:space="preserve">. </w:t>
      </w:r>
      <w:r w:rsidR="00520A98" w:rsidRPr="00042267">
        <w:rPr>
          <w:lang w:val="sr-Latn-ME"/>
        </w:rPr>
        <w:t>Ukoliko dođe do pogoršanja funkcije bubrega za vr</w:t>
      </w:r>
      <w:r w:rsidR="00815C1F" w:rsidRPr="00042267">
        <w:rPr>
          <w:lang w:val="sr-Latn-ME"/>
        </w:rPr>
        <w:t>ij</w:t>
      </w:r>
      <w:r w:rsidR="00520A98" w:rsidRPr="00042267">
        <w:rPr>
          <w:lang w:val="sr-Latn-ME"/>
        </w:rPr>
        <w:t>eme terapije, potrebno je uzeti u obzir nefrotoksičnost izazvanu mesalazinom.</w:t>
      </w:r>
    </w:p>
    <w:p w14:paraId="6190A36C" w14:textId="3AC004EF" w:rsidR="00520A98" w:rsidRPr="00042267" w:rsidRDefault="00520A98" w:rsidP="00520A98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Pri primjeni mesalazina prijavljeni su slučajevi nefrolitijaze, uključujući kamenac sa 100%-tnim sadržajem mesalazina. Preporučuje se da se obezbijedi odgovarajući unos tečnosti tokom liječenja.</w:t>
      </w:r>
    </w:p>
    <w:p w14:paraId="341DE72D" w14:textId="5B2F665B" w:rsidR="00520A98" w:rsidRPr="00042267" w:rsidRDefault="00520A98" w:rsidP="00520A98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Pacijente sa respiratornim oboljenjima, naročito astmom, potrebno je pažljivo pratiti za vrijeme terapije mesalazinom.</w:t>
      </w:r>
    </w:p>
    <w:p w14:paraId="264D6E2B" w14:textId="533A2E52" w:rsidR="00AC0D0E" w:rsidRPr="00042267" w:rsidRDefault="00AC0D0E" w:rsidP="00520A98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Kod pacijenata sa reakcijama</w:t>
      </w:r>
      <w:r w:rsidR="004A4BA9" w:rsidRPr="00042267">
        <w:rPr>
          <w:lang w:val="sr-Latn-ME"/>
        </w:rPr>
        <w:t xml:space="preserve"> preosjetljivosti</w:t>
      </w:r>
      <w:r w:rsidRPr="00042267">
        <w:rPr>
          <w:lang w:val="sr-Latn-ME"/>
        </w:rPr>
        <w:t xml:space="preserve"> na preparate koji sadrže sulfasalazin u anamnezi, terapija lijekom Salcrozine smije da se započne samo pod strogim nadzorom ljekara. Ako se pojave akutne reakcije nepodnošenja kao što su npr. grčevi u abdomenu, akutni abdominalni bol, povišena tjelesna temperatura, glavobolja ili osip po koži, terapija se mora odmah prekinuti.</w:t>
      </w:r>
    </w:p>
    <w:p w14:paraId="0D568749" w14:textId="718E67E9" w:rsidR="00A40D7E" w:rsidRPr="00042267" w:rsidRDefault="00A40D7E" w:rsidP="00520A98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Rijetko, prijavljene su mesalazinom izazvane reakcije srčane preosjetljivosti (miokarditis i perikarditis).</w:t>
      </w:r>
    </w:p>
    <w:p w14:paraId="3914BB12" w14:textId="4BE518FC" w:rsidR="00A40D7E" w:rsidRPr="00042267" w:rsidRDefault="00A40D7E" w:rsidP="00520A98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Veoma rijetko, u toku terapije mesalazinom, prijavljene su pojave teških krvnih diskrazija. Istovremena primjena mesalazina sa azatioprinom ili 6-merkaptopurinom može povećati rizik od nastanka krvnih diskrazija. Ukoliko se kod pacijenata jave ove neželjene reakcije ili se na njih posumnja, treba prekinuti terapiju mesalazinom.</w:t>
      </w:r>
    </w:p>
    <w:p w14:paraId="23BD4D9C" w14:textId="7372551A" w:rsidR="00A40D7E" w:rsidRPr="00042267" w:rsidRDefault="00A40D7E" w:rsidP="00520A98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U slučaju postojanja gastričnog ili duodenalnog ulkusa, terapiju treba započeti sa oprezom.</w:t>
      </w:r>
    </w:p>
    <w:p w14:paraId="267B9435" w14:textId="405C4F32" w:rsidR="00A40D7E" w:rsidRPr="00042267" w:rsidRDefault="00A40D7E" w:rsidP="00A40D7E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 xml:space="preserve">Prijavljene su ozbiljne kožne reakcije (Severe cutaneous adverse reactions - SCARs), uključujući </w:t>
      </w:r>
      <w:r w:rsidRPr="00042267">
        <w:rPr>
          <w:i/>
          <w:iCs/>
          <w:lang w:val="sr-Latn-ME"/>
        </w:rPr>
        <w:t>Stevens – Johnson</w:t>
      </w:r>
      <w:r w:rsidRPr="00042267">
        <w:rPr>
          <w:lang w:val="sr-Latn-ME"/>
        </w:rPr>
        <w:t xml:space="preserve"> - ov sindrom (SJS) i toksičnu epidermalnu nekrolizu (toxic epidermal necrolysis - TEN), povezane sa liječenjem mesalazinom. Terapiju mesalazinom treba prekinuti pri prvoj pojavi znakova i simptoma teških kožnih reakcija, kao što je osip na koži, lezije sluzokože ili bilo koji drugi znak preosjetljivosti.</w:t>
      </w:r>
    </w:p>
    <w:p w14:paraId="6748E89A" w14:textId="20E81F02" w:rsidR="00A40D7E" w:rsidRPr="00042267" w:rsidRDefault="00815C1F" w:rsidP="00520A98">
      <w:pPr>
        <w:pStyle w:val="ListParagraph"/>
        <w:numPr>
          <w:ilvl w:val="0"/>
          <w:numId w:val="13"/>
        </w:numPr>
        <w:jc w:val="both"/>
        <w:rPr>
          <w:lang w:val="sr-Latn-ME"/>
        </w:rPr>
      </w:pPr>
      <w:r w:rsidRPr="00042267">
        <w:rPr>
          <w:lang w:val="sr-Latn-ME"/>
        </w:rPr>
        <w:t>Mesalazin može prouzrokovati promjenu boje urina u crveno-braon nakon kontakta sa izbjeljivačem natrijum hipohloritom (npr. u toaletima koji se čiste natrijum hipohloritom koji se nalazi u nekim izbjeljivačima).</w:t>
      </w:r>
    </w:p>
    <w:p w14:paraId="019650CE" w14:textId="77777777" w:rsidR="00520A98" w:rsidRPr="00042267" w:rsidRDefault="00520A98" w:rsidP="00520A98">
      <w:pPr>
        <w:jc w:val="both"/>
        <w:rPr>
          <w:lang w:val="sr-Latn-ME"/>
        </w:rPr>
      </w:pPr>
    </w:p>
    <w:p w14:paraId="5A252A9D" w14:textId="77777777" w:rsidR="00411B4B" w:rsidRPr="0004226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>4.5.</w:t>
      </w:r>
      <w:r w:rsidR="000D60CC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EE09ED4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3FDA01" w14:textId="76D26ADC" w:rsidR="00543E6D" w:rsidRPr="00042267" w:rsidRDefault="00815C1F" w:rsidP="00543E6D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Specifična ispitivanja interakcija nisu rađena. Kod pacijenata koji su istovremeno na terapiji</w:t>
      </w:r>
      <w:r w:rsidR="009D06AA" w:rsidRPr="00042267">
        <w:rPr>
          <w:sz w:val="22"/>
          <w:szCs w:val="22"/>
          <w:lang w:val="sr-Latn-ME"/>
        </w:rPr>
        <w:t xml:space="preserve"> nefrotoksičnim ljekovima, kao što su</w:t>
      </w:r>
      <w:r w:rsidRPr="00042267">
        <w:rPr>
          <w:sz w:val="22"/>
          <w:szCs w:val="22"/>
          <w:lang w:val="sr-Latn-ME"/>
        </w:rPr>
        <w:t xml:space="preserve"> </w:t>
      </w:r>
      <w:r w:rsidR="009D06AA" w:rsidRPr="00042267">
        <w:rPr>
          <w:sz w:val="22"/>
          <w:szCs w:val="22"/>
          <w:lang w:val="sr-Latn-ME"/>
        </w:rPr>
        <w:t xml:space="preserve">NSAIL i </w:t>
      </w:r>
      <w:r w:rsidRPr="00042267">
        <w:rPr>
          <w:sz w:val="22"/>
          <w:szCs w:val="22"/>
          <w:lang w:val="sr-Latn-ME"/>
        </w:rPr>
        <w:t>azatioprin</w:t>
      </w:r>
      <w:r w:rsidR="00543E6D" w:rsidRPr="00042267">
        <w:rPr>
          <w:lang w:val="sr-Latn-ME"/>
        </w:rPr>
        <w:t xml:space="preserve"> </w:t>
      </w:r>
      <w:r w:rsidR="00543E6D" w:rsidRPr="00042267">
        <w:rPr>
          <w:sz w:val="22"/>
          <w:szCs w:val="22"/>
          <w:lang w:val="sr-Latn-ME"/>
        </w:rPr>
        <w:t>može povećati rizik od nefrotoksičnosti.</w:t>
      </w:r>
    </w:p>
    <w:p w14:paraId="359B070B" w14:textId="77777777" w:rsidR="00543E6D" w:rsidRPr="00042267" w:rsidRDefault="00543E6D" w:rsidP="00543E6D">
      <w:pPr>
        <w:jc w:val="both"/>
        <w:rPr>
          <w:sz w:val="22"/>
          <w:szCs w:val="22"/>
          <w:lang w:val="sr-Latn-ME"/>
        </w:rPr>
      </w:pPr>
    </w:p>
    <w:p w14:paraId="3F5CB2C5" w14:textId="2BA6C042" w:rsidR="0037452F" w:rsidRPr="00042267" w:rsidRDefault="00543E6D" w:rsidP="00112D85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lastRenderedPageBreak/>
        <w:t>Kod pacijenata koji su istovremeno na terapiji azatioprinom, 6-merkaptopurinom ili tiogvaninom, treba imati u vidu moguće povećanje mijelosupresivnog dejstva ovih ljekova</w:t>
      </w:r>
      <w:r w:rsidR="00815C1F" w:rsidRPr="00042267">
        <w:rPr>
          <w:sz w:val="22"/>
          <w:szCs w:val="22"/>
          <w:lang w:val="sr-Latn-ME"/>
        </w:rPr>
        <w:t xml:space="preserve">. </w:t>
      </w:r>
      <w:r w:rsidRPr="00042267">
        <w:rPr>
          <w:sz w:val="22"/>
          <w:szCs w:val="22"/>
          <w:lang w:val="sr-Latn-ME"/>
        </w:rPr>
        <w:t>M</w:t>
      </w:r>
      <w:r w:rsidR="00815C1F" w:rsidRPr="00042267">
        <w:rPr>
          <w:sz w:val="22"/>
          <w:szCs w:val="22"/>
          <w:lang w:val="sr-Latn-ME"/>
        </w:rPr>
        <w:t>esalazin može da umanji antikoagulantn</w:t>
      </w:r>
      <w:r w:rsidRPr="00042267">
        <w:rPr>
          <w:sz w:val="22"/>
          <w:szCs w:val="22"/>
          <w:lang w:val="sr-Latn-ME"/>
        </w:rPr>
        <w:t>o dejstvo</w:t>
      </w:r>
      <w:r w:rsidR="00815C1F" w:rsidRPr="00042267">
        <w:rPr>
          <w:sz w:val="22"/>
          <w:szCs w:val="22"/>
          <w:lang w:val="sr-Latn-ME"/>
        </w:rPr>
        <w:t xml:space="preserve"> varfarina.</w:t>
      </w:r>
    </w:p>
    <w:p w14:paraId="7427A65C" w14:textId="77777777" w:rsidR="0037452F" w:rsidRPr="00042267" w:rsidRDefault="003745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A3A0407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4.6.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="006D20A5" w:rsidRPr="00042267">
        <w:rPr>
          <w:b/>
          <w:sz w:val="22"/>
          <w:szCs w:val="22"/>
          <w:lang w:val="sr-Latn-ME"/>
        </w:rPr>
        <w:t>Plodnost, trudnoća i dojenje</w:t>
      </w:r>
    </w:p>
    <w:p w14:paraId="4EB978A7" w14:textId="77777777" w:rsidR="002031B3" w:rsidRPr="00042267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F089A16" w14:textId="497F06CB" w:rsidR="00227BDB" w:rsidRPr="00042267" w:rsidRDefault="00543E6D" w:rsidP="00E97107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Tokom trudnoće i dojenja mesalazin treba koristiti oprezno i to samo ako je po mišljenju l</w:t>
      </w:r>
      <w:r w:rsidR="00417820" w:rsidRPr="00042267">
        <w:rPr>
          <w:sz w:val="22"/>
          <w:szCs w:val="22"/>
          <w:lang w:val="sr-Latn-ME"/>
        </w:rPr>
        <w:t>j</w:t>
      </w:r>
      <w:r w:rsidRPr="00042267">
        <w:rPr>
          <w:sz w:val="22"/>
          <w:szCs w:val="22"/>
          <w:lang w:val="sr-Latn-ME"/>
        </w:rPr>
        <w:t>ekara korist od terapije majke veća od mogućeg rizika po fetus. Bolest sama po sebi (inflamatorna bolest cr</w:t>
      </w:r>
      <w:r w:rsidR="00E97107" w:rsidRPr="00042267">
        <w:rPr>
          <w:sz w:val="22"/>
          <w:szCs w:val="22"/>
          <w:lang w:val="sr-Latn-ME"/>
        </w:rPr>
        <w:t>ij</w:t>
      </w:r>
      <w:r w:rsidRPr="00042267">
        <w:rPr>
          <w:sz w:val="22"/>
          <w:szCs w:val="22"/>
          <w:lang w:val="sr-Latn-ME"/>
        </w:rPr>
        <w:t>eva (IBD)) može povećati rizik od neželjenog ishoda trudnoće.</w:t>
      </w:r>
    </w:p>
    <w:p w14:paraId="5C5CF200" w14:textId="77777777" w:rsidR="00E97107" w:rsidRPr="00042267" w:rsidRDefault="00E97107" w:rsidP="00E97107">
      <w:pPr>
        <w:jc w:val="both"/>
        <w:rPr>
          <w:sz w:val="22"/>
          <w:szCs w:val="22"/>
          <w:lang w:val="sr-Latn-ME"/>
        </w:rPr>
      </w:pPr>
    </w:p>
    <w:p w14:paraId="08D17F5C" w14:textId="709B0DE2" w:rsidR="00E97107" w:rsidRPr="000A6A59" w:rsidRDefault="00E97107" w:rsidP="00E97107">
      <w:pPr>
        <w:jc w:val="both"/>
        <w:rPr>
          <w:sz w:val="22"/>
          <w:szCs w:val="22"/>
          <w:u w:val="single"/>
          <w:lang w:val="sr-Latn-ME"/>
        </w:rPr>
      </w:pPr>
      <w:r w:rsidRPr="000A6A59">
        <w:rPr>
          <w:sz w:val="22"/>
          <w:szCs w:val="22"/>
          <w:u w:val="single"/>
          <w:lang w:val="sr-Latn-ME"/>
        </w:rPr>
        <w:t xml:space="preserve">Trudnoća </w:t>
      </w:r>
    </w:p>
    <w:p w14:paraId="00FCD00B" w14:textId="052330B3" w:rsidR="00E97107" w:rsidRPr="00042267" w:rsidRDefault="00E97107" w:rsidP="00E97107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Poznato je da mesalazin prolazi placentarnu barijeru i njegova koncentracija u krvi pupčane vrpce je niža od koncentracije mesalazina u krvi majke. Metabolit acetil-mesalazin je nađen u istoj koncentraciji u krvi majke i krvi pupčane vrpce. Studije na životinjama prilikom oralne primjene mesalazina nisu pokazale indirektn</w:t>
      </w:r>
      <w:r w:rsidR="00556A4B" w:rsidRPr="00042267">
        <w:rPr>
          <w:sz w:val="22"/>
          <w:szCs w:val="22"/>
          <w:lang w:val="sr-Latn-ME"/>
        </w:rPr>
        <w:t>a</w:t>
      </w:r>
      <w:r w:rsidRPr="00042267">
        <w:rPr>
          <w:sz w:val="22"/>
          <w:szCs w:val="22"/>
          <w:lang w:val="sr-Latn-ME"/>
        </w:rPr>
        <w:t xml:space="preserve"> ili direktn</w:t>
      </w:r>
      <w:r w:rsidR="00556A4B" w:rsidRPr="00042267">
        <w:rPr>
          <w:sz w:val="22"/>
          <w:szCs w:val="22"/>
          <w:lang w:val="sr-Latn-ME"/>
        </w:rPr>
        <w:t>a</w:t>
      </w:r>
      <w:r w:rsidRPr="00042267">
        <w:rPr>
          <w:sz w:val="22"/>
          <w:szCs w:val="22"/>
          <w:lang w:val="sr-Latn-ME"/>
        </w:rPr>
        <w:t xml:space="preserve"> štetn</w:t>
      </w:r>
      <w:r w:rsidR="00556A4B" w:rsidRPr="00042267">
        <w:rPr>
          <w:sz w:val="22"/>
          <w:szCs w:val="22"/>
          <w:lang w:val="sr-Latn-ME"/>
        </w:rPr>
        <w:t>a</w:t>
      </w:r>
      <w:r w:rsidRPr="00042267">
        <w:rPr>
          <w:sz w:val="22"/>
          <w:szCs w:val="22"/>
          <w:lang w:val="sr-Latn-ME"/>
        </w:rPr>
        <w:t xml:space="preserve"> </w:t>
      </w:r>
      <w:r w:rsidR="00556A4B" w:rsidRPr="00042267">
        <w:rPr>
          <w:sz w:val="22"/>
          <w:szCs w:val="22"/>
          <w:lang w:val="sr-Latn-ME"/>
        </w:rPr>
        <w:t>dejstva</w:t>
      </w:r>
      <w:r w:rsidRPr="00042267">
        <w:rPr>
          <w:sz w:val="22"/>
          <w:szCs w:val="22"/>
          <w:lang w:val="sr-Latn-ME"/>
        </w:rPr>
        <w:t xml:space="preserve"> na trudnoću, embrio-fetalni razvoj, porođaj kao ni postnatalni razvoj. Ne postoje odgovarajuće i dobro kontrolisane studije sa upotrebom l</w:t>
      </w:r>
      <w:r w:rsidR="00556A4B" w:rsidRPr="00042267">
        <w:rPr>
          <w:sz w:val="22"/>
          <w:szCs w:val="22"/>
          <w:lang w:val="sr-Latn-ME"/>
        </w:rPr>
        <w:t>ij</w:t>
      </w:r>
      <w:r w:rsidRPr="00042267">
        <w:rPr>
          <w:sz w:val="22"/>
          <w:szCs w:val="22"/>
          <w:lang w:val="sr-Latn-ME"/>
        </w:rPr>
        <w:t xml:space="preserve">eka </w:t>
      </w:r>
      <w:r w:rsidR="00556A4B" w:rsidRPr="00042267">
        <w:rPr>
          <w:sz w:val="22"/>
          <w:szCs w:val="22"/>
          <w:lang w:val="sr-Latn-ME"/>
        </w:rPr>
        <w:t xml:space="preserve">Salcrozine </w:t>
      </w:r>
      <w:r w:rsidRPr="00042267">
        <w:rPr>
          <w:sz w:val="22"/>
          <w:szCs w:val="22"/>
          <w:lang w:val="sr-Latn-ME"/>
        </w:rPr>
        <w:t>kod trudnica. Ograničene publikovane studije na ljudima sa mesalazinom ne pokazuju povećanje ukupne stope kongenitalnih malformacija. Neki podaci pokazuju povećanu stopu pr</w:t>
      </w:r>
      <w:r w:rsidR="008D117B" w:rsidRPr="00042267">
        <w:rPr>
          <w:sz w:val="22"/>
          <w:szCs w:val="22"/>
          <w:lang w:val="sr-Latn-ME"/>
        </w:rPr>
        <w:t>ij</w:t>
      </w:r>
      <w:r w:rsidRPr="00042267">
        <w:rPr>
          <w:sz w:val="22"/>
          <w:szCs w:val="22"/>
          <w:lang w:val="sr-Latn-ME"/>
        </w:rPr>
        <w:t>evremenih porođaja, mrtvorođene d</w:t>
      </w:r>
      <w:r w:rsidR="00556A4B" w:rsidRPr="00042267">
        <w:rPr>
          <w:sz w:val="22"/>
          <w:szCs w:val="22"/>
          <w:lang w:val="sr-Latn-ME"/>
        </w:rPr>
        <w:t>j</w:t>
      </w:r>
      <w:r w:rsidRPr="00042267">
        <w:rPr>
          <w:sz w:val="22"/>
          <w:szCs w:val="22"/>
          <w:lang w:val="sr-Latn-ME"/>
        </w:rPr>
        <w:t>ece i malu t</w:t>
      </w:r>
      <w:r w:rsidR="00556A4B" w:rsidRPr="00042267">
        <w:rPr>
          <w:sz w:val="22"/>
          <w:szCs w:val="22"/>
          <w:lang w:val="sr-Latn-ME"/>
        </w:rPr>
        <w:t>j</w:t>
      </w:r>
      <w:r w:rsidRPr="00042267">
        <w:rPr>
          <w:sz w:val="22"/>
          <w:szCs w:val="22"/>
          <w:lang w:val="sr-Latn-ME"/>
        </w:rPr>
        <w:t>elesnu masu na rođenju, međutim ovi neželjeni ishodi trudnoće su takođe povezani sa akutnom inflamatornom bolesti cr</w:t>
      </w:r>
      <w:r w:rsidR="00556A4B" w:rsidRPr="00042267">
        <w:rPr>
          <w:sz w:val="22"/>
          <w:szCs w:val="22"/>
          <w:lang w:val="sr-Latn-ME"/>
        </w:rPr>
        <w:t>ij</w:t>
      </w:r>
      <w:r w:rsidRPr="00042267">
        <w:rPr>
          <w:sz w:val="22"/>
          <w:szCs w:val="22"/>
          <w:lang w:val="sr-Latn-ME"/>
        </w:rPr>
        <w:t>eva.</w:t>
      </w:r>
    </w:p>
    <w:p w14:paraId="5B9DA2CC" w14:textId="5F524721" w:rsidR="00556A4B" w:rsidRPr="00042267" w:rsidRDefault="00556A4B" w:rsidP="00E97107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Postoje izvještaji o slučajevima poremećaja krvne slike (leukopenija, trombocitopenija, anemija) kod novorođenčadi majki prethodno liječenih mesalazinom. Zabilježen je jedan slučaj pojave bubrežne insuficijencije kod novorođenčeta majke nakon dugotrajnog uzimanja visokih doza mesalazina (2-4 g, oralno) u toku trudnoće.</w:t>
      </w:r>
    </w:p>
    <w:p w14:paraId="365A609F" w14:textId="77777777" w:rsidR="00417820" w:rsidRPr="00042267" w:rsidRDefault="00417820" w:rsidP="00417820">
      <w:pPr>
        <w:rPr>
          <w:b/>
          <w:bCs/>
          <w:sz w:val="22"/>
          <w:szCs w:val="22"/>
          <w:lang w:val="sr-Latn-ME"/>
        </w:rPr>
      </w:pPr>
    </w:p>
    <w:p w14:paraId="6AA46D33" w14:textId="77777777" w:rsidR="00556A4B" w:rsidRPr="000A6A59" w:rsidRDefault="00556A4B" w:rsidP="00417820">
      <w:pPr>
        <w:rPr>
          <w:sz w:val="22"/>
          <w:szCs w:val="22"/>
          <w:u w:val="single"/>
          <w:lang w:val="sr-Latn-ME"/>
        </w:rPr>
      </w:pPr>
      <w:r w:rsidRPr="000A6A59">
        <w:rPr>
          <w:sz w:val="22"/>
          <w:szCs w:val="22"/>
          <w:u w:val="single"/>
          <w:lang w:val="sr-Latn-ME"/>
        </w:rPr>
        <w:t xml:space="preserve">Dojenje </w:t>
      </w:r>
    </w:p>
    <w:p w14:paraId="50520FFC" w14:textId="77777777" w:rsidR="00556A4B" w:rsidRPr="00042267" w:rsidRDefault="00556A4B" w:rsidP="00556A4B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Mesalazin se izlučuje u majčino mlijeko. Koncentracija mesalazina u mlijeku je manja od one u krvi majke, dok se metabolit acetil-mesalazin javlja u jednakim ili višim koncentracijama. Ne postoje kontrolisane studije o upotrebi mesalazina u toku dojenja. Iskustvo o korišćenju oralnog oblika mesalazina kod dojilja je ograničeno. Ne mogu se isključiti ni reakcije preosjetljivosti kao što je dijareja kod djeteta. Ukoliko se kod novorođenčeta javi dijareja, dojenje treba prekinuti. </w:t>
      </w:r>
    </w:p>
    <w:p w14:paraId="58FF5899" w14:textId="77777777" w:rsidR="00556A4B" w:rsidRPr="00042267" w:rsidRDefault="00556A4B" w:rsidP="00556A4B">
      <w:pPr>
        <w:jc w:val="both"/>
        <w:rPr>
          <w:sz w:val="22"/>
          <w:szCs w:val="22"/>
          <w:lang w:val="sr-Latn-ME"/>
        </w:rPr>
      </w:pPr>
    </w:p>
    <w:p w14:paraId="5450D5F0" w14:textId="77777777" w:rsidR="00556A4B" w:rsidRPr="000A6A59" w:rsidRDefault="00556A4B" w:rsidP="00556A4B">
      <w:pPr>
        <w:jc w:val="both"/>
        <w:rPr>
          <w:sz w:val="22"/>
          <w:szCs w:val="22"/>
          <w:u w:val="single"/>
          <w:lang w:val="sr-Latn-ME"/>
        </w:rPr>
      </w:pPr>
      <w:r w:rsidRPr="000A6A59">
        <w:rPr>
          <w:sz w:val="22"/>
          <w:szCs w:val="22"/>
          <w:u w:val="single"/>
          <w:lang w:val="sr-Latn-ME"/>
        </w:rPr>
        <w:t xml:space="preserve">Plodnost </w:t>
      </w:r>
    </w:p>
    <w:p w14:paraId="4C0B7E3E" w14:textId="08C12E9D" w:rsidR="00556A4B" w:rsidRPr="00042267" w:rsidRDefault="00556A4B" w:rsidP="00556A4B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Studije na životinjama sa primjenom mesalazina ne pokazuju uticaj na mušku i žensku plodnost. </w:t>
      </w:r>
    </w:p>
    <w:p w14:paraId="78612A51" w14:textId="77777777" w:rsidR="00556A4B" w:rsidRPr="00042267" w:rsidRDefault="00556A4B" w:rsidP="00556A4B">
      <w:pPr>
        <w:jc w:val="both"/>
        <w:rPr>
          <w:b/>
          <w:bCs/>
          <w:sz w:val="22"/>
          <w:szCs w:val="22"/>
          <w:lang w:val="sr-Latn-ME"/>
        </w:rPr>
      </w:pPr>
    </w:p>
    <w:p w14:paraId="480C246B" w14:textId="77777777" w:rsidR="0072020E" w:rsidRPr="00042267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4.7.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 xml:space="preserve">Uticaj na </w:t>
      </w:r>
      <w:r w:rsidR="002031B3" w:rsidRPr="0004226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42267">
        <w:rPr>
          <w:b/>
          <w:bCs/>
          <w:sz w:val="22"/>
          <w:szCs w:val="22"/>
          <w:lang w:val="sr-Latn-ME"/>
        </w:rPr>
        <w:t>upravljanja vozili</w:t>
      </w:r>
      <w:r w:rsidRPr="00042267">
        <w:rPr>
          <w:b/>
          <w:bCs/>
          <w:sz w:val="22"/>
          <w:szCs w:val="22"/>
          <w:lang w:val="sr-Latn-ME"/>
        </w:rPr>
        <w:t>m</w:t>
      </w:r>
      <w:r w:rsidR="00F34554" w:rsidRPr="00042267">
        <w:rPr>
          <w:b/>
          <w:bCs/>
          <w:sz w:val="22"/>
          <w:szCs w:val="22"/>
          <w:lang w:val="sr-Latn-ME"/>
        </w:rPr>
        <w:t>a</w:t>
      </w:r>
      <w:r w:rsidRPr="00042267">
        <w:rPr>
          <w:b/>
          <w:bCs/>
          <w:sz w:val="22"/>
          <w:szCs w:val="22"/>
          <w:lang w:val="sr-Latn-ME"/>
        </w:rPr>
        <w:t xml:space="preserve"> i </w:t>
      </w:r>
      <w:r w:rsidR="000D3449" w:rsidRPr="00042267">
        <w:rPr>
          <w:b/>
          <w:bCs/>
          <w:sz w:val="22"/>
          <w:szCs w:val="22"/>
          <w:lang w:val="sr-Latn-ME"/>
        </w:rPr>
        <w:t xml:space="preserve">rukovanje </w:t>
      </w:r>
      <w:r w:rsidRPr="00042267">
        <w:rPr>
          <w:b/>
          <w:bCs/>
          <w:sz w:val="22"/>
          <w:szCs w:val="22"/>
          <w:lang w:val="sr-Latn-ME"/>
        </w:rPr>
        <w:t>mašinama</w:t>
      </w:r>
    </w:p>
    <w:p w14:paraId="26EAB5E3" w14:textId="77777777" w:rsidR="00556A4B" w:rsidRPr="00042267" w:rsidRDefault="00556A4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14DE0254" w14:textId="15060D4C" w:rsidR="0072020E" w:rsidRPr="00042267" w:rsidRDefault="00556A4B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Nije zapažen uticaj na sposobnost upravljanja vozilima i rukovanja mašinama.</w:t>
      </w:r>
    </w:p>
    <w:p w14:paraId="18FF774D" w14:textId="77777777" w:rsidR="00556A4B" w:rsidRPr="00042267" w:rsidRDefault="00556A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0C01BF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4.8.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Neželjena dejstva</w:t>
      </w:r>
    </w:p>
    <w:p w14:paraId="7BABBCD2" w14:textId="77777777" w:rsidR="004E70AD" w:rsidRPr="00042267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FEFA450" w14:textId="08B23F2A" w:rsidR="0037452F" w:rsidRPr="00042267" w:rsidRDefault="0037452F" w:rsidP="0037452F">
      <w:pPr>
        <w:jc w:val="both"/>
        <w:rPr>
          <w:noProof/>
          <w:sz w:val="22"/>
          <w:szCs w:val="22"/>
          <w:lang w:val="sr-Latn-ME"/>
        </w:rPr>
      </w:pPr>
      <w:r w:rsidRPr="00042267">
        <w:rPr>
          <w:noProof/>
          <w:sz w:val="22"/>
          <w:szCs w:val="22"/>
          <w:lang w:val="sr-Latn-ME"/>
        </w:rPr>
        <w:t>Neželjene reakcije prijavljene sa mesalazinom su navedene u nastavku, klasifikovane prema sistemu organa i učestalosti. Učestalosti su definisane na sl</w:t>
      </w:r>
      <w:r w:rsidR="008D117B" w:rsidRPr="00042267">
        <w:rPr>
          <w:noProof/>
          <w:sz w:val="22"/>
          <w:szCs w:val="22"/>
          <w:lang w:val="sr-Latn-ME"/>
        </w:rPr>
        <w:t>j</w:t>
      </w:r>
      <w:r w:rsidRPr="00042267">
        <w:rPr>
          <w:noProof/>
          <w:sz w:val="22"/>
          <w:szCs w:val="22"/>
          <w:lang w:val="sr-Latn-ME"/>
        </w:rPr>
        <w:t>edeći način: Veoma često (≥1/10); često (≥1/100, &lt;1/10); povremeno (≥1/1000, &lt;1/100); rijetko (≥1/10000 i &lt;1/1000); veoma rijetko (&lt;1/10000) i n</w:t>
      </w:r>
      <w:r w:rsidRPr="00042267">
        <w:rPr>
          <w:sz w:val="22"/>
          <w:szCs w:val="22"/>
          <w:lang w:val="sr-Latn-ME"/>
        </w:rPr>
        <w:t>epoznata učestalost</w:t>
      </w:r>
      <w:r w:rsidRPr="00042267">
        <w:rPr>
          <w:noProof/>
          <w:sz w:val="22"/>
          <w:szCs w:val="22"/>
          <w:lang w:val="sr-Latn-ME"/>
        </w:rPr>
        <w:t xml:space="preserve"> (ne može se utvrditi iz dostupnih podataka).</w:t>
      </w:r>
    </w:p>
    <w:p w14:paraId="6655002A" w14:textId="77777777" w:rsidR="00A07B9E" w:rsidRPr="00042267" w:rsidRDefault="00A07B9E" w:rsidP="0037452F">
      <w:pPr>
        <w:jc w:val="both"/>
        <w:rPr>
          <w:noProof/>
          <w:sz w:val="22"/>
          <w:szCs w:val="22"/>
          <w:lang w:val="sr-Latn-M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2114"/>
        <w:gridCol w:w="2653"/>
        <w:gridCol w:w="2063"/>
      </w:tblGrid>
      <w:tr w:rsidR="00AC11EA" w:rsidRPr="00042267" w14:paraId="6C356638" w14:textId="77777777" w:rsidTr="000A6A59">
        <w:trPr>
          <w:jc w:val="center"/>
        </w:trPr>
        <w:tc>
          <w:tcPr>
            <w:tcW w:w="1916" w:type="dxa"/>
            <w:vMerge w:val="restart"/>
          </w:tcPr>
          <w:p w14:paraId="5521EB40" w14:textId="370C7189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42267">
              <w:rPr>
                <w:b/>
                <w:bCs/>
                <w:sz w:val="22"/>
                <w:szCs w:val="22"/>
                <w:lang w:val="sr-Latn-ME"/>
              </w:rPr>
              <w:t xml:space="preserve">Klasa </w:t>
            </w:r>
            <w:r w:rsidR="00605046" w:rsidRPr="00042267">
              <w:rPr>
                <w:b/>
                <w:bCs/>
                <w:sz w:val="22"/>
                <w:szCs w:val="22"/>
                <w:lang w:val="sr-Latn-ME"/>
              </w:rPr>
              <w:t>sistema organa</w:t>
            </w:r>
          </w:p>
          <w:p w14:paraId="5E98D7F2" w14:textId="30A56BB6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ME"/>
              </w:rPr>
            </w:pPr>
          </w:p>
        </w:tc>
        <w:tc>
          <w:tcPr>
            <w:tcW w:w="4767" w:type="dxa"/>
            <w:gridSpan w:val="2"/>
          </w:tcPr>
          <w:p w14:paraId="28A13575" w14:textId="4E8836BD" w:rsidR="00AC11EA" w:rsidRPr="000A6A59" w:rsidRDefault="00AC11EA" w:rsidP="000A6A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0A6A59">
              <w:rPr>
                <w:b/>
                <w:bCs/>
                <w:sz w:val="22"/>
                <w:szCs w:val="22"/>
                <w:lang w:val="sr-Latn-ME"/>
              </w:rPr>
              <w:t>Učestalost prema MedDRA konvenciji</w:t>
            </w:r>
          </w:p>
        </w:tc>
        <w:tc>
          <w:tcPr>
            <w:tcW w:w="2063" w:type="dxa"/>
          </w:tcPr>
          <w:p w14:paraId="4B8C9B7A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ME"/>
              </w:rPr>
            </w:pPr>
          </w:p>
        </w:tc>
      </w:tr>
      <w:tr w:rsidR="00AC11EA" w:rsidRPr="00042267" w14:paraId="6D73E5B3" w14:textId="77777777" w:rsidTr="000A6A59">
        <w:trPr>
          <w:jc w:val="center"/>
        </w:trPr>
        <w:tc>
          <w:tcPr>
            <w:tcW w:w="1916" w:type="dxa"/>
            <w:vMerge/>
          </w:tcPr>
          <w:p w14:paraId="579F5672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ME"/>
              </w:rPr>
            </w:pPr>
          </w:p>
        </w:tc>
        <w:tc>
          <w:tcPr>
            <w:tcW w:w="2114" w:type="dxa"/>
          </w:tcPr>
          <w:p w14:paraId="02E5BBCD" w14:textId="19FAE2AC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ME" w:eastAsia="pt-PT"/>
              </w:rPr>
            </w:pPr>
            <w:r w:rsidRPr="00042267">
              <w:rPr>
                <w:b/>
                <w:bCs/>
                <w:sz w:val="22"/>
                <w:szCs w:val="22"/>
                <w:lang w:val="sr-Latn-ME" w:eastAsia="pt-PT"/>
              </w:rPr>
              <w:t>Rijetko ≥1/10000 do &lt;1/1000</w:t>
            </w:r>
          </w:p>
        </w:tc>
        <w:tc>
          <w:tcPr>
            <w:tcW w:w="2653" w:type="dxa"/>
          </w:tcPr>
          <w:p w14:paraId="42625C4C" w14:textId="0173019F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ME" w:eastAsia="pt-PT"/>
              </w:rPr>
            </w:pPr>
            <w:r w:rsidRPr="00042267">
              <w:rPr>
                <w:b/>
                <w:bCs/>
                <w:sz w:val="22"/>
                <w:szCs w:val="22"/>
                <w:lang w:val="sr-Latn-ME" w:eastAsia="pt-PT"/>
              </w:rPr>
              <w:t>Veoma rijetko ≤1/10000</w:t>
            </w:r>
          </w:p>
        </w:tc>
        <w:tc>
          <w:tcPr>
            <w:tcW w:w="2063" w:type="dxa"/>
          </w:tcPr>
          <w:p w14:paraId="527BAB9F" w14:textId="1B02E6A6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ME" w:eastAsia="pt-PT"/>
              </w:rPr>
            </w:pPr>
            <w:r w:rsidRPr="00042267">
              <w:rPr>
                <w:b/>
                <w:bCs/>
                <w:sz w:val="22"/>
                <w:szCs w:val="22"/>
                <w:lang w:val="sr-Latn-ME" w:eastAsia="pt-PT"/>
              </w:rPr>
              <w:t>Nepoznat</w:t>
            </w:r>
            <w:r w:rsidR="00605046" w:rsidRPr="00042267">
              <w:rPr>
                <w:b/>
                <w:bCs/>
                <w:sz w:val="22"/>
                <w:szCs w:val="22"/>
                <w:lang w:val="sr-Latn-ME" w:eastAsia="pt-PT"/>
              </w:rPr>
              <w:t>a učestalost</w:t>
            </w:r>
            <w:r w:rsidRPr="00042267">
              <w:rPr>
                <w:b/>
                <w:bCs/>
                <w:sz w:val="22"/>
                <w:szCs w:val="22"/>
                <w:lang w:val="sr-Latn-ME" w:eastAsia="pt-PT"/>
              </w:rPr>
              <w:t xml:space="preserve"> (ne može se procijeniti na osnovu dostupnih podataka)</w:t>
            </w:r>
          </w:p>
        </w:tc>
      </w:tr>
      <w:tr w:rsidR="00AC11EA" w:rsidRPr="00042267" w14:paraId="5F582D90" w14:textId="77777777" w:rsidTr="000A6A59">
        <w:trPr>
          <w:jc w:val="center"/>
        </w:trPr>
        <w:tc>
          <w:tcPr>
            <w:tcW w:w="1916" w:type="dxa"/>
          </w:tcPr>
          <w:p w14:paraId="3480DF92" w14:textId="57C3C3E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lang w:val="sr-Latn-ME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Poremećaji krvi i limfnog sistema</w:t>
            </w:r>
          </w:p>
        </w:tc>
        <w:tc>
          <w:tcPr>
            <w:tcW w:w="2114" w:type="dxa"/>
          </w:tcPr>
          <w:p w14:paraId="4F0DA201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653" w:type="dxa"/>
          </w:tcPr>
          <w:p w14:paraId="590CE285" w14:textId="61667D53" w:rsidR="00AC11EA" w:rsidRPr="00042267" w:rsidRDefault="00605046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Promjene krvne slike</w:t>
            </w:r>
            <w:r w:rsidR="00F511EB" w:rsidRPr="00042267">
              <w:rPr>
                <w:sz w:val="22"/>
                <w:szCs w:val="22"/>
                <w:lang w:val="sr-Latn-ME" w:eastAsia="pt-PT"/>
              </w:rPr>
              <w:t xml:space="preserve"> </w:t>
            </w:r>
            <w:r w:rsidR="00795BE9" w:rsidRPr="00042267">
              <w:rPr>
                <w:sz w:val="22"/>
                <w:szCs w:val="22"/>
                <w:lang w:val="sr-Latn-ME" w:eastAsia="pt-PT"/>
              </w:rPr>
              <w:t xml:space="preserve">(agranulocitoza, pancitopenija, leukopenija, neutropenija, </w:t>
            </w:r>
            <w:r w:rsidR="00795BE9" w:rsidRPr="00042267">
              <w:rPr>
                <w:sz w:val="22"/>
                <w:szCs w:val="22"/>
                <w:lang w:val="sr-Latn-ME" w:eastAsia="pt-PT"/>
              </w:rPr>
              <w:lastRenderedPageBreak/>
              <w:t>trombocitopenija, aplastična anemija)</w:t>
            </w:r>
          </w:p>
        </w:tc>
        <w:tc>
          <w:tcPr>
            <w:tcW w:w="2063" w:type="dxa"/>
          </w:tcPr>
          <w:p w14:paraId="5E5AE035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  <w:tr w:rsidR="00AC11EA" w:rsidRPr="00042267" w14:paraId="50899AB3" w14:textId="77777777" w:rsidTr="000A6A59">
        <w:trPr>
          <w:jc w:val="center"/>
        </w:trPr>
        <w:tc>
          <w:tcPr>
            <w:tcW w:w="1916" w:type="dxa"/>
          </w:tcPr>
          <w:p w14:paraId="198E8EBD" w14:textId="14882013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Poremećaji imunskog sistema</w:t>
            </w:r>
          </w:p>
        </w:tc>
        <w:tc>
          <w:tcPr>
            <w:tcW w:w="2114" w:type="dxa"/>
          </w:tcPr>
          <w:p w14:paraId="0D06B7A3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653" w:type="dxa"/>
          </w:tcPr>
          <w:p w14:paraId="55BFACEC" w14:textId="783D4995" w:rsidR="00AC11EA" w:rsidRPr="00042267" w:rsidRDefault="00795BE9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Reakcije hipersenzitivnosti, kao što su: alergijsk</w:t>
            </w:r>
            <w:r w:rsidR="00605046" w:rsidRPr="00042267">
              <w:rPr>
                <w:sz w:val="22"/>
                <w:szCs w:val="22"/>
                <w:lang w:val="sr-Latn-ME" w:eastAsia="pt-PT"/>
              </w:rPr>
              <w:t>i</w:t>
            </w:r>
            <w:r w:rsidRPr="00042267">
              <w:rPr>
                <w:sz w:val="22"/>
                <w:szCs w:val="22"/>
                <w:lang w:val="sr-Latn-ME" w:eastAsia="pt-PT"/>
              </w:rPr>
              <w:t xml:space="preserve"> egzantem, </w:t>
            </w:r>
            <w:r w:rsidR="00605046" w:rsidRPr="00042267">
              <w:rPr>
                <w:sz w:val="22"/>
                <w:szCs w:val="22"/>
                <w:lang w:val="sr-Latn-ME" w:eastAsia="pt-PT"/>
              </w:rPr>
              <w:t>medikamentozna groznica</w:t>
            </w:r>
            <w:r w:rsidRPr="00042267">
              <w:rPr>
                <w:sz w:val="22"/>
                <w:szCs w:val="22"/>
                <w:lang w:val="sr-Latn-ME" w:eastAsia="pt-PT"/>
              </w:rPr>
              <w:t xml:space="preserve">, sistemski </w:t>
            </w:r>
            <w:r w:rsidR="00AB55D4" w:rsidRPr="00042267">
              <w:rPr>
                <w:rFonts w:eastAsia="SimSun"/>
                <w:i/>
                <w:iCs/>
                <w:sz w:val="22"/>
                <w:szCs w:val="22"/>
                <w:lang w:val="sr-Latn-ME"/>
              </w:rPr>
              <w:t>lupus erythematosus</w:t>
            </w:r>
            <w:r w:rsidR="00AB55D4" w:rsidRPr="00042267">
              <w:rPr>
                <w:rFonts w:eastAsia="SimSun"/>
                <w:sz w:val="22"/>
                <w:szCs w:val="22"/>
                <w:lang w:val="sr-Latn-ME"/>
              </w:rPr>
              <w:t xml:space="preserve"> sindrom</w:t>
            </w:r>
            <w:r w:rsidRPr="00042267">
              <w:rPr>
                <w:sz w:val="22"/>
                <w:szCs w:val="22"/>
                <w:lang w:val="sr-Latn-ME" w:eastAsia="pt-PT"/>
              </w:rPr>
              <w:t>, pan</w:t>
            </w:r>
            <w:r w:rsidR="00AB55D4" w:rsidRPr="00042267">
              <w:rPr>
                <w:sz w:val="22"/>
                <w:szCs w:val="22"/>
                <w:lang w:val="sr-Latn-ME" w:eastAsia="pt-PT"/>
              </w:rPr>
              <w:t>k</w:t>
            </w:r>
            <w:r w:rsidRPr="00042267">
              <w:rPr>
                <w:sz w:val="22"/>
                <w:szCs w:val="22"/>
                <w:lang w:val="sr-Latn-ME" w:eastAsia="pt-PT"/>
              </w:rPr>
              <w:t>olitis.</w:t>
            </w:r>
          </w:p>
        </w:tc>
        <w:tc>
          <w:tcPr>
            <w:tcW w:w="2063" w:type="dxa"/>
          </w:tcPr>
          <w:p w14:paraId="3559C93B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  <w:tr w:rsidR="00AC11EA" w:rsidRPr="00042267" w14:paraId="2BB1D741" w14:textId="77777777" w:rsidTr="000A6A59">
        <w:trPr>
          <w:trHeight w:val="611"/>
          <w:jc w:val="center"/>
        </w:trPr>
        <w:tc>
          <w:tcPr>
            <w:tcW w:w="1916" w:type="dxa"/>
          </w:tcPr>
          <w:p w14:paraId="408663D2" w14:textId="6FFA55AA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Poremećaji nervnog sistema</w:t>
            </w:r>
          </w:p>
        </w:tc>
        <w:tc>
          <w:tcPr>
            <w:tcW w:w="2114" w:type="dxa"/>
          </w:tcPr>
          <w:p w14:paraId="7EB033B2" w14:textId="596DCD78" w:rsidR="00AC11EA" w:rsidRPr="00042267" w:rsidRDefault="00795BE9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Glavobolja, vrtoglavica</w:t>
            </w:r>
          </w:p>
        </w:tc>
        <w:tc>
          <w:tcPr>
            <w:tcW w:w="2653" w:type="dxa"/>
          </w:tcPr>
          <w:p w14:paraId="48BC2DA6" w14:textId="5195E0FD" w:rsidR="00AC11EA" w:rsidRPr="00042267" w:rsidRDefault="00795BE9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Periferna neuropatija.</w:t>
            </w:r>
          </w:p>
        </w:tc>
        <w:tc>
          <w:tcPr>
            <w:tcW w:w="2063" w:type="dxa"/>
          </w:tcPr>
          <w:p w14:paraId="7630080D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  <w:tr w:rsidR="00AC11EA" w:rsidRPr="00042267" w14:paraId="4EB8DFCA" w14:textId="77777777" w:rsidTr="000A6A59">
        <w:trPr>
          <w:jc w:val="center"/>
        </w:trPr>
        <w:tc>
          <w:tcPr>
            <w:tcW w:w="1916" w:type="dxa"/>
          </w:tcPr>
          <w:p w14:paraId="1FAD0101" w14:textId="27056F6D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Kardiološki poremećaji</w:t>
            </w:r>
          </w:p>
        </w:tc>
        <w:tc>
          <w:tcPr>
            <w:tcW w:w="2114" w:type="dxa"/>
          </w:tcPr>
          <w:p w14:paraId="4B0C4C45" w14:textId="3DF70720" w:rsidR="00AC11EA" w:rsidRPr="00042267" w:rsidRDefault="00795BE9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Miokarditis, perikarditis.</w:t>
            </w:r>
          </w:p>
        </w:tc>
        <w:tc>
          <w:tcPr>
            <w:tcW w:w="2653" w:type="dxa"/>
          </w:tcPr>
          <w:p w14:paraId="31D6C2CB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063" w:type="dxa"/>
          </w:tcPr>
          <w:p w14:paraId="16FBA36A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  <w:tr w:rsidR="00AC11EA" w:rsidRPr="00042267" w14:paraId="1DF0D4F9" w14:textId="77777777" w:rsidTr="000A6A59">
        <w:trPr>
          <w:jc w:val="center"/>
        </w:trPr>
        <w:tc>
          <w:tcPr>
            <w:tcW w:w="1916" w:type="dxa"/>
          </w:tcPr>
          <w:p w14:paraId="62B018B6" w14:textId="6EFD1444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Respiratorni, torakalni i medijastinalni poremećaji</w:t>
            </w:r>
          </w:p>
        </w:tc>
        <w:tc>
          <w:tcPr>
            <w:tcW w:w="2114" w:type="dxa"/>
          </w:tcPr>
          <w:p w14:paraId="18B0ED3D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653" w:type="dxa"/>
          </w:tcPr>
          <w:p w14:paraId="5689FEF2" w14:textId="2FEA8C83" w:rsidR="00AC11EA" w:rsidRPr="00042267" w:rsidRDefault="002C20B2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Alergijske reakcije na plućima (uključujući dispne</w:t>
            </w:r>
            <w:r w:rsidR="00042267">
              <w:rPr>
                <w:sz w:val="22"/>
                <w:szCs w:val="22"/>
                <w:lang w:val="sr-Latn-ME" w:eastAsia="pt-PT"/>
              </w:rPr>
              <w:t>j</w:t>
            </w:r>
            <w:r w:rsidRPr="00042267">
              <w:rPr>
                <w:sz w:val="22"/>
                <w:szCs w:val="22"/>
                <w:lang w:val="sr-Latn-ME" w:eastAsia="pt-PT"/>
              </w:rPr>
              <w:t>u, kašalj, alergijski alveolitis plućnu eozionofiliju, infiltraciju pluća, pneumonitis).</w:t>
            </w:r>
          </w:p>
        </w:tc>
        <w:tc>
          <w:tcPr>
            <w:tcW w:w="2063" w:type="dxa"/>
          </w:tcPr>
          <w:p w14:paraId="07067630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  <w:tr w:rsidR="00AC11EA" w:rsidRPr="00042267" w14:paraId="63631331" w14:textId="77777777" w:rsidTr="000A6A59">
        <w:trPr>
          <w:jc w:val="center"/>
        </w:trPr>
        <w:tc>
          <w:tcPr>
            <w:tcW w:w="1916" w:type="dxa"/>
          </w:tcPr>
          <w:p w14:paraId="302DC892" w14:textId="29E44337" w:rsidR="00AC11EA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Gastrointestinalni poremećaji</w:t>
            </w:r>
          </w:p>
        </w:tc>
        <w:tc>
          <w:tcPr>
            <w:tcW w:w="2114" w:type="dxa"/>
          </w:tcPr>
          <w:p w14:paraId="67745D68" w14:textId="1EFB84A8" w:rsidR="00AC11EA" w:rsidRPr="00042267" w:rsidRDefault="002C20B2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Nelagodnost</w:t>
            </w:r>
            <w:r w:rsidR="002A0E1F" w:rsidRPr="00042267">
              <w:rPr>
                <w:sz w:val="22"/>
                <w:szCs w:val="22"/>
                <w:lang w:val="sr-Latn-ME" w:eastAsia="pt-PT"/>
              </w:rPr>
              <w:t xml:space="preserve"> i</w:t>
            </w:r>
            <w:r w:rsidRPr="00042267">
              <w:rPr>
                <w:sz w:val="22"/>
                <w:szCs w:val="22"/>
                <w:lang w:val="sr-Latn-ME" w:eastAsia="pt-PT"/>
              </w:rPr>
              <w:t xml:space="preserve"> bol</w:t>
            </w:r>
            <w:r w:rsidR="00AB55D4" w:rsidRPr="00042267">
              <w:rPr>
                <w:sz w:val="22"/>
                <w:szCs w:val="22"/>
                <w:lang w:val="sr-Latn-ME" w:eastAsia="pt-PT"/>
              </w:rPr>
              <w:t xml:space="preserve"> u abdomenu</w:t>
            </w:r>
            <w:r w:rsidRPr="00042267">
              <w:rPr>
                <w:sz w:val="22"/>
                <w:szCs w:val="22"/>
                <w:lang w:val="sr-Latn-ME" w:eastAsia="pt-PT"/>
              </w:rPr>
              <w:t>, dijareja, flatulencija, nau</w:t>
            </w:r>
            <w:r w:rsidR="00042267">
              <w:rPr>
                <w:sz w:val="22"/>
                <w:szCs w:val="22"/>
                <w:lang w:val="sr-Latn-ME" w:eastAsia="pt-PT"/>
              </w:rPr>
              <w:t>z</w:t>
            </w:r>
            <w:r w:rsidRPr="00042267">
              <w:rPr>
                <w:sz w:val="22"/>
                <w:szCs w:val="22"/>
                <w:lang w:val="sr-Latn-ME" w:eastAsia="pt-PT"/>
              </w:rPr>
              <w:t>e</w:t>
            </w:r>
            <w:r w:rsidR="00042267">
              <w:rPr>
                <w:sz w:val="22"/>
                <w:szCs w:val="22"/>
                <w:lang w:val="sr-Latn-ME" w:eastAsia="pt-PT"/>
              </w:rPr>
              <w:t>j</w:t>
            </w:r>
            <w:r w:rsidRPr="00042267">
              <w:rPr>
                <w:sz w:val="22"/>
                <w:szCs w:val="22"/>
                <w:lang w:val="sr-Latn-ME" w:eastAsia="pt-PT"/>
              </w:rPr>
              <w:t>a, povraćanje.</w:t>
            </w:r>
          </w:p>
        </w:tc>
        <w:tc>
          <w:tcPr>
            <w:tcW w:w="2653" w:type="dxa"/>
          </w:tcPr>
          <w:p w14:paraId="76304CD9" w14:textId="146647CF" w:rsidR="00AC11EA" w:rsidRPr="00042267" w:rsidRDefault="002C20B2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Akutni pankreatitis, pogoršanje simptoma kolitisa.</w:t>
            </w:r>
          </w:p>
        </w:tc>
        <w:tc>
          <w:tcPr>
            <w:tcW w:w="2063" w:type="dxa"/>
          </w:tcPr>
          <w:p w14:paraId="36011A84" w14:textId="77777777" w:rsidR="00AC11EA" w:rsidRPr="00042267" w:rsidRDefault="00AC11EA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  <w:tr w:rsidR="00F511EB" w:rsidRPr="00042267" w14:paraId="0C5AA5B7" w14:textId="77777777" w:rsidTr="000A6A59">
        <w:trPr>
          <w:jc w:val="center"/>
        </w:trPr>
        <w:tc>
          <w:tcPr>
            <w:tcW w:w="1916" w:type="dxa"/>
          </w:tcPr>
          <w:p w14:paraId="11667FC0" w14:textId="0C9407AB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Hepatobilijarni poremećaji</w:t>
            </w:r>
          </w:p>
        </w:tc>
        <w:tc>
          <w:tcPr>
            <w:tcW w:w="2114" w:type="dxa"/>
          </w:tcPr>
          <w:p w14:paraId="243FA106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653" w:type="dxa"/>
          </w:tcPr>
          <w:p w14:paraId="38112677" w14:textId="7108F6C1" w:rsidR="00F511EB" w:rsidRPr="00042267" w:rsidRDefault="002C20B2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Promjene</w:t>
            </w:r>
            <w:r w:rsidR="00AB55D4" w:rsidRPr="00042267">
              <w:rPr>
                <w:sz w:val="22"/>
                <w:szCs w:val="22"/>
                <w:lang w:val="sr-Latn-ME" w:eastAsia="pt-PT"/>
              </w:rPr>
              <w:t xml:space="preserve"> </w:t>
            </w:r>
            <w:r w:rsidRPr="00042267">
              <w:rPr>
                <w:sz w:val="22"/>
                <w:szCs w:val="22"/>
                <w:lang w:val="sr-Latn-ME" w:eastAsia="pt-PT"/>
              </w:rPr>
              <w:t>parameta</w:t>
            </w:r>
            <w:r w:rsidR="00AB55D4" w:rsidRPr="00042267">
              <w:rPr>
                <w:sz w:val="22"/>
                <w:szCs w:val="22"/>
                <w:lang w:val="sr-Latn-ME" w:eastAsia="pt-PT"/>
              </w:rPr>
              <w:t>ra</w:t>
            </w:r>
            <w:r w:rsidRPr="00042267">
              <w:rPr>
                <w:sz w:val="22"/>
                <w:szCs w:val="22"/>
                <w:lang w:val="sr-Latn-ME" w:eastAsia="pt-PT"/>
              </w:rPr>
              <w:t xml:space="preserve"> funkcije jetre (povišene transaminaze i parametri holestaze</w:t>
            </w:r>
            <w:r w:rsidR="008D117B" w:rsidRPr="00042267">
              <w:rPr>
                <w:sz w:val="22"/>
                <w:szCs w:val="22"/>
                <w:lang w:val="sr-Latn-ME" w:eastAsia="pt-PT"/>
              </w:rPr>
              <w:t>),</w:t>
            </w:r>
            <w:r w:rsidRPr="00042267">
              <w:rPr>
                <w:sz w:val="22"/>
                <w:szCs w:val="22"/>
                <w:lang w:val="sr-Latn-ME" w:eastAsia="pt-PT"/>
              </w:rPr>
              <w:t xml:space="preserve"> hepatitis, holestatski hepatitis.</w:t>
            </w:r>
          </w:p>
        </w:tc>
        <w:tc>
          <w:tcPr>
            <w:tcW w:w="2063" w:type="dxa"/>
          </w:tcPr>
          <w:p w14:paraId="04FD816B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  <w:tr w:rsidR="00F511EB" w:rsidRPr="00042267" w14:paraId="68622C4F" w14:textId="77777777" w:rsidTr="000A6A59">
        <w:trPr>
          <w:jc w:val="center"/>
        </w:trPr>
        <w:tc>
          <w:tcPr>
            <w:tcW w:w="1916" w:type="dxa"/>
          </w:tcPr>
          <w:p w14:paraId="194ABC80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Poremećaji kože i potkožnog tkiva</w:t>
            </w:r>
          </w:p>
          <w:p w14:paraId="6F396A09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114" w:type="dxa"/>
          </w:tcPr>
          <w:p w14:paraId="08A5D794" w14:textId="6485D1B6" w:rsidR="00F511EB" w:rsidRPr="00042267" w:rsidRDefault="002C20B2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Fotosenzitivnost</w:t>
            </w:r>
            <w:r w:rsidR="0078188F" w:rsidRPr="00042267">
              <w:rPr>
                <w:sz w:val="22"/>
                <w:szCs w:val="22"/>
                <w:lang w:val="sr-Latn-ME" w:eastAsia="pt-PT"/>
              </w:rPr>
              <w:t>*</w:t>
            </w:r>
          </w:p>
        </w:tc>
        <w:tc>
          <w:tcPr>
            <w:tcW w:w="2653" w:type="dxa"/>
          </w:tcPr>
          <w:p w14:paraId="5D4C096D" w14:textId="3079C984" w:rsidR="00F511EB" w:rsidRPr="00042267" w:rsidRDefault="002C20B2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Alopecija</w:t>
            </w:r>
            <w:r w:rsidR="008D117B" w:rsidRPr="00042267">
              <w:rPr>
                <w:sz w:val="22"/>
                <w:szCs w:val="22"/>
                <w:lang w:val="sr-Latn-ME" w:eastAsia="pt-PT"/>
              </w:rPr>
              <w:t>,</w:t>
            </w:r>
            <w:r w:rsidRPr="00042267">
              <w:rPr>
                <w:sz w:val="22"/>
                <w:szCs w:val="22"/>
                <w:lang w:val="sr-Latn-ME" w:eastAsia="pt-PT"/>
              </w:rPr>
              <w:t xml:space="preserve"> </w:t>
            </w:r>
            <w:r w:rsidR="00007EDD" w:rsidRPr="00042267">
              <w:rPr>
                <w:sz w:val="22"/>
                <w:szCs w:val="22"/>
                <w:lang w:val="sr-Latn-ME" w:eastAsia="pt-PT"/>
              </w:rPr>
              <w:t>Eritema multiforme.</w:t>
            </w:r>
          </w:p>
        </w:tc>
        <w:tc>
          <w:tcPr>
            <w:tcW w:w="2063" w:type="dxa"/>
          </w:tcPr>
          <w:p w14:paraId="4912916F" w14:textId="5AD9D4A4" w:rsidR="00F511EB" w:rsidRPr="00042267" w:rsidRDefault="0078188F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 xml:space="preserve">Reakcija na lijek sa eozinofilijom i sistemskim simptomima (DRESS), </w:t>
            </w:r>
            <w:r w:rsidRPr="00042267">
              <w:rPr>
                <w:i/>
                <w:iCs/>
                <w:sz w:val="22"/>
                <w:szCs w:val="22"/>
                <w:lang w:val="sr-Latn-ME" w:eastAsia="pt-PT"/>
              </w:rPr>
              <w:t>Stevens-Johnson</w:t>
            </w:r>
            <w:r w:rsidRPr="00042267">
              <w:rPr>
                <w:sz w:val="22"/>
                <w:szCs w:val="22"/>
                <w:lang w:val="sr-Latn-ME" w:eastAsia="pt-PT"/>
              </w:rPr>
              <w:t xml:space="preserve"> sindrom (SJS), toksična epidermalna nekroliza (TEN)**</w:t>
            </w:r>
          </w:p>
        </w:tc>
      </w:tr>
      <w:tr w:rsidR="00F511EB" w:rsidRPr="00042267" w14:paraId="427DC838" w14:textId="77777777" w:rsidTr="000A6A59">
        <w:trPr>
          <w:jc w:val="center"/>
        </w:trPr>
        <w:tc>
          <w:tcPr>
            <w:tcW w:w="1916" w:type="dxa"/>
          </w:tcPr>
          <w:p w14:paraId="649853D9" w14:textId="71BF777C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Poremećaji mišićno</w:t>
            </w:r>
            <w:r w:rsidR="0078188F" w:rsidRPr="00042267">
              <w:rPr>
                <w:sz w:val="22"/>
                <w:szCs w:val="22"/>
                <w:lang w:val="sr-Latn-ME" w:eastAsia="pt-PT"/>
              </w:rPr>
              <w:t>-</w:t>
            </w:r>
            <w:r w:rsidRPr="00042267">
              <w:rPr>
                <w:sz w:val="22"/>
                <w:szCs w:val="22"/>
                <w:lang w:val="sr-Latn-ME" w:eastAsia="pt-PT"/>
              </w:rPr>
              <w:t>koštanog sistema i vezivnog tkiva</w:t>
            </w:r>
          </w:p>
        </w:tc>
        <w:tc>
          <w:tcPr>
            <w:tcW w:w="2114" w:type="dxa"/>
          </w:tcPr>
          <w:p w14:paraId="42D59781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653" w:type="dxa"/>
          </w:tcPr>
          <w:p w14:paraId="17220A61" w14:textId="05C92C31" w:rsidR="00F511EB" w:rsidRPr="00042267" w:rsidRDefault="0078188F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Mijalgija, artralgija.</w:t>
            </w:r>
          </w:p>
        </w:tc>
        <w:tc>
          <w:tcPr>
            <w:tcW w:w="2063" w:type="dxa"/>
          </w:tcPr>
          <w:p w14:paraId="0FF4EEE7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  <w:tr w:rsidR="00F511EB" w:rsidRPr="00042267" w14:paraId="6AD7F02D" w14:textId="77777777" w:rsidTr="000A6A59">
        <w:trPr>
          <w:jc w:val="center"/>
        </w:trPr>
        <w:tc>
          <w:tcPr>
            <w:tcW w:w="1916" w:type="dxa"/>
          </w:tcPr>
          <w:p w14:paraId="4CABC568" w14:textId="462C0E01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Poremećaji bubrega i urinarnog sistema</w:t>
            </w:r>
          </w:p>
        </w:tc>
        <w:tc>
          <w:tcPr>
            <w:tcW w:w="2114" w:type="dxa"/>
          </w:tcPr>
          <w:p w14:paraId="74C0F262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653" w:type="dxa"/>
          </w:tcPr>
          <w:p w14:paraId="291F7E02" w14:textId="7FBF9FED" w:rsidR="00F511EB" w:rsidRPr="00042267" w:rsidRDefault="0078188F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Intersticijalni nefritis, renalna insuficijencija, nefrotski sindrom.</w:t>
            </w:r>
          </w:p>
        </w:tc>
        <w:tc>
          <w:tcPr>
            <w:tcW w:w="2063" w:type="dxa"/>
          </w:tcPr>
          <w:p w14:paraId="3831D57D" w14:textId="4BB84A97" w:rsidR="00F511EB" w:rsidRPr="00042267" w:rsidRDefault="0078188F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Nefrolitijaza</w:t>
            </w:r>
          </w:p>
        </w:tc>
      </w:tr>
      <w:tr w:rsidR="00F511EB" w:rsidRPr="00042267" w14:paraId="01B1173B" w14:textId="77777777" w:rsidTr="000A6A59">
        <w:trPr>
          <w:jc w:val="center"/>
        </w:trPr>
        <w:tc>
          <w:tcPr>
            <w:tcW w:w="1916" w:type="dxa"/>
          </w:tcPr>
          <w:p w14:paraId="5FF3443F" w14:textId="2322208B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Poremećaji reproduktivnog sistema i dojki</w:t>
            </w:r>
          </w:p>
        </w:tc>
        <w:tc>
          <w:tcPr>
            <w:tcW w:w="2114" w:type="dxa"/>
          </w:tcPr>
          <w:p w14:paraId="128E1D00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  <w:tc>
          <w:tcPr>
            <w:tcW w:w="2653" w:type="dxa"/>
          </w:tcPr>
          <w:p w14:paraId="70FB42FE" w14:textId="76BC6364" w:rsidR="00F511EB" w:rsidRPr="00042267" w:rsidRDefault="0078188F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  <w:r w:rsidRPr="00042267">
              <w:rPr>
                <w:sz w:val="22"/>
                <w:szCs w:val="22"/>
                <w:lang w:val="sr-Latn-ME" w:eastAsia="pt-PT"/>
              </w:rPr>
              <w:t>Oligospermija (reverzibilna).</w:t>
            </w:r>
          </w:p>
        </w:tc>
        <w:tc>
          <w:tcPr>
            <w:tcW w:w="2063" w:type="dxa"/>
          </w:tcPr>
          <w:p w14:paraId="7245FABD" w14:textId="77777777" w:rsidR="00F511EB" w:rsidRPr="00042267" w:rsidRDefault="00F511EB" w:rsidP="000A6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pt-PT"/>
              </w:rPr>
            </w:pPr>
          </w:p>
        </w:tc>
      </w:tr>
    </w:tbl>
    <w:p w14:paraId="52ABC36B" w14:textId="77777777" w:rsidR="00510131" w:rsidRPr="00042267" w:rsidRDefault="0078188F" w:rsidP="0037452F">
      <w:pPr>
        <w:jc w:val="both"/>
        <w:rPr>
          <w:noProof/>
          <w:sz w:val="22"/>
          <w:szCs w:val="22"/>
          <w:lang w:val="sr-Latn-ME"/>
        </w:rPr>
      </w:pPr>
      <w:r w:rsidRPr="00042267">
        <w:rPr>
          <w:noProof/>
          <w:sz w:val="22"/>
          <w:szCs w:val="22"/>
          <w:lang w:val="sr-Latn-ME"/>
        </w:rPr>
        <w:t xml:space="preserve">* Fotosenzitivnost </w:t>
      </w:r>
    </w:p>
    <w:p w14:paraId="67E8C092" w14:textId="62A8AA48" w:rsidR="00A07B9E" w:rsidRPr="00042267" w:rsidRDefault="0078188F" w:rsidP="0037452F">
      <w:pPr>
        <w:jc w:val="both"/>
        <w:rPr>
          <w:noProof/>
          <w:sz w:val="22"/>
          <w:szCs w:val="22"/>
          <w:lang w:val="sr-Latn-ME"/>
        </w:rPr>
      </w:pPr>
      <w:r w:rsidRPr="00042267">
        <w:rPr>
          <w:noProof/>
          <w:sz w:val="22"/>
          <w:szCs w:val="22"/>
          <w:lang w:val="sr-Latn-ME"/>
        </w:rPr>
        <w:t>Ozbiljn</w:t>
      </w:r>
      <w:r w:rsidR="002A0E1F" w:rsidRPr="00042267">
        <w:rPr>
          <w:noProof/>
          <w:sz w:val="22"/>
          <w:szCs w:val="22"/>
          <w:lang w:val="sr-Latn-ME"/>
        </w:rPr>
        <w:t>ije</w:t>
      </w:r>
      <w:r w:rsidRPr="00042267">
        <w:rPr>
          <w:noProof/>
          <w:sz w:val="22"/>
          <w:szCs w:val="22"/>
          <w:lang w:val="sr-Latn-ME"/>
        </w:rPr>
        <w:t xml:space="preserve"> reakcije su zabilježene kod pacijenata sa postojećim oboljenjima kože kao što su atopijski dermatitis i atopijski ekcem.</w:t>
      </w:r>
    </w:p>
    <w:p w14:paraId="377F5F10" w14:textId="77777777" w:rsidR="0037452F" w:rsidRPr="00042267" w:rsidRDefault="0037452F" w:rsidP="0037452F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27F53897" w14:textId="197977B5" w:rsidR="00510131" w:rsidRPr="00042267" w:rsidRDefault="00510131" w:rsidP="00510131">
      <w:pPr>
        <w:jc w:val="both"/>
        <w:rPr>
          <w:noProof/>
          <w:sz w:val="22"/>
          <w:szCs w:val="22"/>
          <w:lang w:val="sr-Latn-ME"/>
        </w:rPr>
      </w:pPr>
      <w:r w:rsidRPr="00042267">
        <w:rPr>
          <w:noProof/>
          <w:sz w:val="22"/>
          <w:szCs w:val="22"/>
          <w:lang w:val="sr-Latn-ME"/>
        </w:rPr>
        <w:t xml:space="preserve">**Teške neželjene reakcije na koži (SCAR), uključujući reakciju na lijek sa eozinofilijom i sistemskim simptomima (DRESS), </w:t>
      </w:r>
      <w:r w:rsidRPr="00042267">
        <w:rPr>
          <w:i/>
          <w:iCs/>
          <w:noProof/>
          <w:sz w:val="22"/>
          <w:szCs w:val="22"/>
          <w:lang w:val="sr-Latn-ME"/>
        </w:rPr>
        <w:t>Stevens - Johnsonov</w:t>
      </w:r>
      <w:r w:rsidRPr="00042267">
        <w:rPr>
          <w:noProof/>
          <w:sz w:val="22"/>
          <w:szCs w:val="22"/>
          <w:lang w:val="sr-Latn-ME"/>
        </w:rPr>
        <w:t xml:space="preserve"> sindrom (SJS) i toksičnu epidermalnu nekrolizu (TEN), prijavljene su u vezi sa liječenjem mesalazinom (vidjeti dio 4.4).</w:t>
      </w:r>
    </w:p>
    <w:p w14:paraId="2E9A91C6" w14:textId="77777777" w:rsidR="00510131" w:rsidRPr="00042267" w:rsidRDefault="00510131" w:rsidP="0037452F">
      <w:pPr>
        <w:jc w:val="both"/>
        <w:rPr>
          <w:noProof/>
          <w:sz w:val="22"/>
          <w:szCs w:val="22"/>
          <w:lang w:val="sr-Latn-ME"/>
        </w:rPr>
      </w:pPr>
    </w:p>
    <w:p w14:paraId="0677CC96" w14:textId="77777777" w:rsidR="005A23D2" w:rsidRPr="00042267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04226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CF0598E" w14:textId="77777777" w:rsidR="005A23D2" w:rsidRPr="00042267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042267">
        <w:rPr>
          <w:rFonts w:eastAsia="Calibri"/>
          <w:sz w:val="22"/>
          <w:szCs w:val="22"/>
          <w:lang w:val="sr-Latn-ME"/>
        </w:rPr>
        <w:lastRenderedPageBreak/>
        <w:t>Prijavljivanje neželjenih dejstava nakon dobijanja dozvole je od velikog značaja jer obezbjeđuje kont</w:t>
      </w:r>
      <w:r w:rsidR="00EA5765" w:rsidRPr="00042267">
        <w:rPr>
          <w:rFonts w:eastAsia="Calibri"/>
          <w:sz w:val="22"/>
          <w:szCs w:val="22"/>
          <w:lang w:val="sr-Latn-ME"/>
        </w:rPr>
        <w:t>inuirano praćenje odnosa korist</w:t>
      </w:r>
      <w:r w:rsidRPr="00042267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042267">
        <w:rPr>
          <w:rFonts w:eastAsia="Calibri"/>
          <w:sz w:val="22"/>
          <w:szCs w:val="22"/>
          <w:lang w:val="sr-Latn-ME"/>
        </w:rPr>
        <w:t xml:space="preserve"> </w:t>
      </w:r>
      <w:r w:rsidRPr="00042267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042267">
        <w:rPr>
          <w:rFonts w:eastAsia="Calibri"/>
          <w:sz w:val="22"/>
          <w:szCs w:val="22"/>
          <w:lang w:val="sr-Latn-ME"/>
        </w:rPr>
        <w:t>Institutu</w:t>
      </w:r>
      <w:r w:rsidRPr="00042267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042267">
        <w:rPr>
          <w:rFonts w:eastAsia="Calibri"/>
          <w:sz w:val="22"/>
          <w:szCs w:val="22"/>
          <w:lang w:val="sr-Latn-ME"/>
        </w:rPr>
        <w:t xml:space="preserve"> </w:t>
      </w:r>
      <w:r w:rsidRPr="00042267">
        <w:rPr>
          <w:rFonts w:eastAsia="Calibri"/>
          <w:sz w:val="22"/>
          <w:szCs w:val="22"/>
          <w:lang w:val="sr-Latn-ME"/>
        </w:rPr>
        <w:t>(</w:t>
      </w:r>
      <w:r w:rsidR="004E70AD" w:rsidRPr="00042267">
        <w:rPr>
          <w:rFonts w:eastAsia="Calibri"/>
          <w:sz w:val="22"/>
          <w:szCs w:val="22"/>
          <w:lang w:val="sr-Latn-ME"/>
        </w:rPr>
        <w:t>CInMED</w:t>
      </w:r>
      <w:r w:rsidRPr="00042267">
        <w:rPr>
          <w:rFonts w:eastAsia="Calibri"/>
          <w:sz w:val="22"/>
          <w:szCs w:val="22"/>
          <w:lang w:val="sr-Latn-ME"/>
        </w:rPr>
        <w:t>):</w:t>
      </w:r>
    </w:p>
    <w:p w14:paraId="6BA865DD" w14:textId="77777777" w:rsidR="005A23D2" w:rsidRPr="00042267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2267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042267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658C1DA" w14:textId="77777777" w:rsidR="005A23D2" w:rsidRPr="0004226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2267">
        <w:rPr>
          <w:rFonts w:eastAsia="Calibri"/>
          <w:sz w:val="22"/>
          <w:szCs w:val="22"/>
          <w:lang w:val="sr-Latn-ME"/>
        </w:rPr>
        <w:t>Odjeljenje za farmakovigilancu</w:t>
      </w:r>
    </w:p>
    <w:p w14:paraId="061197B3" w14:textId="77777777" w:rsidR="00EA5765" w:rsidRPr="0004226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226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BF556C9" w14:textId="77777777" w:rsidR="00EA5765" w:rsidRPr="00042267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3E0F5607" w14:textId="77777777" w:rsidR="005A23D2" w:rsidRPr="0004226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2267">
        <w:rPr>
          <w:rFonts w:eastAsia="Calibri"/>
          <w:sz w:val="22"/>
          <w:szCs w:val="22"/>
          <w:lang w:val="sr-Latn-ME"/>
        </w:rPr>
        <w:t>tel: +382 (0) 20 310 280</w:t>
      </w:r>
    </w:p>
    <w:p w14:paraId="6D6431DE" w14:textId="77777777" w:rsidR="00EA5765" w:rsidRPr="00042267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042267">
        <w:rPr>
          <w:rFonts w:eastAsia="Calibri"/>
          <w:sz w:val="22"/>
          <w:szCs w:val="22"/>
          <w:lang w:val="sr-Latn-ME"/>
        </w:rPr>
        <w:t>fax:</w:t>
      </w:r>
      <w:r w:rsidR="00EA5765" w:rsidRPr="00042267">
        <w:rPr>
          <w:rFonts w:eastAsia="Calibri"/>
          <w:sz w:val="22"/>
          <w:szCs w:val="22"/>
          <w:lang w:val="sr-Latn-ME"/>
        </w:rPr>
        <w:t xml:space="preserve"> </w:t>
      </w:r>
      <w:r w:rsidRPr="00042267">
        <w:rPr>
          <w:rFonts w:eastAsia="Calibri"/>
          <w:sz w:val="22"/>
          <w:szCs w:val="22"/>
          <w:lang w:val="sr-Latn-ME"/>
        </w:rPr>
        <w:t>+382 (0) 20 310 581</w:t>
      </w:r>
      <w:r w:rsidR="00FF3EDF" w:rsidRPr="00042267">
        <w:rPr>
          <w:rFonts w:eastAsia="Calibri"/>
          <w:sz w:val="22"/>
          <w:szCs w:val="22"/>
          <w:lang w:val="sr-Latn-ME"/>
        </w:rPr>
        <w:tab/>
      </w:r>
    </w:p>
    <w:p w14:paraId="37D9FDFF" w14:textId="77777777" w:rsidR="005A23D2" w:rsidRPr="00042267" w:rsidRDefault="00032B0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04226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0F1EC4A" w14:textId="77777777" w:rsidR="00EA5765" w:rsidRPr="00042267" w:rsidRDefault="00032B0D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04226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C02A5C2" w14:textId="77777777" w:rsidR="005A23D2" w:rsidRPr="0004226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2267">
        <w:rPr>
          <w:rFonts w:eastAsia="Calibri"/>
          <w:sz w:val="22"/>
          <w:szCs w:val="22"/>
          <w:lang w:val="sr-Latn-ME"/>
        </w:rPr>
        <w:t>putem IS zdravstvene zaštite</w:t>
      </w:r>
    </w:p>
    <w:p w14:paraId="2C9DB2E8" w14:textId="77777777" w:rsidR="007E31E9" w:rsidRPr="00042267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2267">
        <w:rPr>
          <w:rFonts w:eastAsia="Calibri"/>
          <w:sz w:val="22"/>
          <w:szCs w:val="22"/>
          <w:lang w:val="sr-Latn-ME"/>
        </w:rPr>
        <w:t>QR kod za online prijavu</w:t>
      </w:r>
      <w:r w:rsidR="00D74CD2" w:rsidRPr="00042267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042267">
        <w:rPr>
          <w:rFonts w:eastAsia="Calibri"/>
          <w:sz w:val="22"/>
          <w:szCs w:val="22"/>
          <w:lang w:val="sr-Latn-ME"/>
        </w:rPr>
        <w:t>:</w:t>
      </w:r>
    </w:p>
    <w:p w14:paraId="38E5474C" w14:textId="77777777" w:rsidR="004F17E2" w:rsidRPr="00042267" w:rsidRDefault="004F17E2" w:rsidP="007E31E9">
      <w:pPr>
        <w:pStyle w:val="NoSpacing"/>
        <w:rPr>
          <w:rFonts w:eastAsia="Calibri"/>
          <w:sz w:val="22"/>
          <w:szCs w:val="22"/>
          <w:lang w:val="sr-Latn-ME"/>
        </w:rPr>
      </w:pPr>
    </w:p>
    <w:p w14:paraId="4EED005B" w14:textId="77777777" w:rsidR="00836B35" w:rsidRPr="00042267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noProof/>
          <w:sz w:val="22"/>
          <w:szCs w:val="22"/>
        </w:rPr>
        <w:drawing>
          <wp:inline distT="0" distB="0" distL="0" distR="0" wp14:anchorId="1E3E77EF" wp14:editId="337DDF08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33836A" w14:textId="77777777" w:rsidR="007F661E" w:rsidRPr="00042267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44569F9" w14:textId="77777777" w:rsidR="00CD6F02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4.9.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Predoziranje</w:t>
      </w:r>
      <w:r w:rsidR="002846DB" w:rsidRPr="00042267">
        <w:rPr>
          <w:b/>
          <w:bCs/>
          <w:sz w:val="22"/>
          <w:szCs w:val="22"/>
          <w:lang w:val="sr-Latn-ME"/>
        </w:rPr>
        <w:t xml:space="preserve"> </w:t>
      </w:r>
    </w:p>
    <w:p w14:paraId="05FF6807" w14:textId="77777777" w:rsidR="00CD6F02" w:rsidRPr="00042267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736AD16" w14:textId="078CF9F6" w:rsidR="0037452F" w:rsidRPr="00042267" w:rsidRDefault="0037452F" w:rsidP="0037452F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Do danas nisu opisani slučajevi predoziranja.</w:t>
      </w:r>
      <w:r w:rsidR="00605046" w:rsidRPr="00042267">
        <w:rPr>
          <w:sz w:val="22"/>
          <w:szCs w:val="22"/>
          <w:lang w:val="sr-Latn-ME"/>
        </w:rPr>
        <w:t xml:space="preserve"> Pod normalnim okolnostima, resorpcija mesalazina u debelom crijevu je ograničena. Pošto ne postoji specifičan antidot, u slučaju predoziranja, liječenje treba da bude simptomatsko i suportivno.</w:t>
      </w:r>
    </w:p>
    <w:p w14:paraId="32467D9B" w14:textId="61CF1174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FDD7D49" w14:textId="77777777" w:rsidR="00042267" w:rsidRPr="00042267" w:rsidRDefault="0004226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4D6B77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5.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FARMAKOLOŠK</w:t>
      </w:r>
      <w:r w:rsidR="000D425A" w:rsidRPr="00042267">
        <w:rPr>
          <w:b/>
          <w:bCs/>
          <w:sz w:val="22"/>
          <w:szCs w:val="22"/>
          <w:lang w:val="sr-Latn-ME"/>
        </w:rPr>
        <w:t>I</w:t>
      </w:r>
      <w:r w:rsidRPr="00042267">
        <w:rPr>
          <w:b/>
          <w:bCs/>
          <w:sz w:val="22"/>
          <w:szCs w:val="22"/>
          <w:lang w:val="sr-Latn-ME"/>
        </w:rPr>
        <w:t xml:space="preserve"> PODACI</w:t>
      </w:r>
    </w:p>
    <w:p w14:paraId="16208B00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9813F83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5.1.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Farmakodinamski podaci</w:t>
      </w:r>
      <w:r w:rsidR="003A7059" w:rsidRPr="00042267">
        <w:rPr>
          <w:b/>
          <w:bCs/>
          <w:sz w:val="22"/>
          <w:szCs w:val="22"/>
          <w:lang w:val="sr-Latn-ME"/>
        </w:rPr>
        <w:t xml:space="preserve"> </w:t>
      </w:r>
    </w:p>
    <w:p w14:paraId="6E6E6D7D" w14:textId="77777777" w:rsidR="00F45F77" w:rsidRPr="00042267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C23892" w14:textId="42C4E714" w:rsidR="0037452F" w:rsidRPr="00042267" w:rsidRDefault="0037452F" w:rsidP="0037452F">
      <w:pPr>
        <w:pStyle w:val="BodyText"/>
        <w:spacing w:line="242" w:lineRule="auto"/>
        <w:ind w:right="233"/>
        <w:jc w:val="both"/>
        <w:rPr>
          <w:lang w:val="sr-Latn-ME"/>
        </w:rPr>
      </w:pPr>
      <w:r w:rsidRPr="00042267">
        <w:rPr>
          <w:bCs/>
          <w:lang w:val="sr-Latn-ME"/>
        </w:rPr>
        <w:t>Farmakoterapijska grupa:</w:t>
      </w:r>
      <w:r w:rsidRPr="00042267">
        <w:rPr>
          <w:lang w:val="sr-Latn-ME"/>
        </w:rPr>
        <w:t xml:space="preserve"> intestinalni antiinflamatorni ljekovi, aminosalicilna kiselina i slični preparati</w:t>
      </w:r>
    </w:p>
    <w:p w14:paraId="7F0111D3" w14:textId="77777777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15D538" w14:textId="77777777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ATC kod: A07EC02</w:t>
      </w:r>
    </w:p>
    <w:p w14:paraId="4BA1B210" w14:textId="77777777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8E029E" w14:textId="77777777" w:rsidR="0037452F" w:rsidRPr="00042267" w:rsidRDefault="0037452F" w:rsidP="0037452F">
      <w:pPr>
        <w:jc w:val="both"/>
        <w:rPr>
          <w:sz w:val="22"/>
          <w:szCs w:val="22"/>
          <w:u w:val="single"/>
          <w:lang w:val="sr-Latn-ME"/>
        </w:rPr>
      </w:pPr>
      <w:r w:rsidRPr="00042267">
        <w:rPr>
          <w:sz w:val="22"/>
          <w:szCs w:val="22"/>
          <w:u w:val="single"/>
          <w:lang w:val="sr-Latn-ME"/>
        </w:rPr>
        <w:t>Mehanizam dejstva</w:t>
      </w:r>
    </w:p>
    <w:p w14:paraId="2C1E459E" w14:textId="3A4F3AAF" w:rsidR="0037452F" w:rsidRPr="00042267" w:rsidRDefault="00AB55D4" w:rsidP="00AB55D4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Lijek Salcrozine sadrži mesalazin, poznat i kao 5-aminosalicilna kiselina, koja ima antiinflamatorno dejstvo kroz mehanizam koji još nije potpuno utvrđen. Pokazano je da mesalazin inhibira migraciju intestinalnih makrofaga izazvanu LTB4, čime može smanjiti </w:t>
      </w:r>
      <w:r w:rsidR="00FD2528" w:rsidRPr="00042267">
        <w:rPr>
          <w:sz w:val="22"/>
          <w:szCs w:val="22"/>
          <w:lang w:val="sr-Latn-ME"/>
        </w:rPr>
        <w:t>intestinalnu inflamaciju</w:t>
      </w:r>
      <w:r w:rsidRPr="00042267">
        <w:rPr>
          <w:sz w:val="22"/>
          <w:szCs w:val="22"/>
          <w:lang w:val="sr-Latn-ME"/>
        </w:rPr>
        <w:t xml:space="preserve"> ograničavanjem migracije makrofaga u zapaljena područja. Inhibira se proizvodnja proinflamatornih leukotriena (LTB4 i 5-HETE) u makrofagima </w:t>
      </w:r>
      <w:r w:rsidR="00FD2528" w:rsidRPr="00042267">
        <w:rPr>
          <w:sz w:val="22"/>
          <w:szCs w:val="22"/>
          <w:lang w:val="sr-Latn-ME"/>
        </w:rPr>
        <w:t>intestinalne</w:t>
      </w:r>
      <w:r w:rsidRPr="00042267">
        <w:rPr>
          <w:sz w:val="22"/>
          <w:szCs w:val="22"/>
          <w:lang w:val="sr-Latn-ME"/>
        </w:rPr>
        <w:t xml:space="preserve"> sluzokože. Pokazano je da mesalazin aktivira PPAR-γ receptore koji neutralizuju nuklearnu aktivaciju inflamatornih odgovora u cr</w:t>
      </w:r>
      <w:r w:rsidR="00FD2528" w:rsidRPr="00042267">
        <w:rPr>
          <w:sz w:val="22"/>
          <w:szCs w:val="22"/>
          <w:lang w:val="sr-Latn-ME"/>
        </w:rPr>
        <w:t>ij</w:t>
      </w:r>
      <w:r w:rsidRPr="00042267">
        <w:rPr>
          <w:sz w:val="22"/>
          <w:szCs w:val="22"/>
          <w:lang w:val="sr-Latn-ME"/>
        </w:rPr>
        <w:t>evima.</w:t>
      </w:r>
    </w:p>
    <w:p w14:paraId="262E2020" w14:textId="77777777" w:rsidR="00C709C0" w:rsidRPr="00042267" w:rsidRDefault="00C709C0" w:rsidP="00AB55D4">
      <w:pPr>
        <w:jc w:val="both"/>
        <w:rPr>
          <w:sz w:val="22"/>
          <w:szCs w:val="22"/>
          <w:lang w:val="sr-Latn-ME"/>
        </w:rPr>
      </w:pPr>
    </w:p>
    <w:p w14:paraId="1BF99661" w14:textId="1230B664" w:rsidR="00C709C0" w:rsidRPr="00042267" w:rsidRDefault="00C709C0" w:rsidP="00C709C0">
      <w:pPr>
        <w:jc w:val="both"/>
        <w:rPr>
          <w:sz w:val="22"/>
          <w:szCs w:val="22"/>
          <w:u w:val="single"/>
          <w:lang w:val="sr-Latn-ME"/>
        </w:rPr>
      </w:pPr>
      <w:r w:rsidRPr="00042267">
        <w:rPr>
          <w:sz w:val="22"/>
          <w:szCs w:val="22"/>
          <w:u w:val="single"/>
          <w:lang w:val="sr-Latn-ME"/>
        </w:rPr>
        <w:t>Farmakodinamsko dejstvo</w:t>
      </w:r>
    </w:p>
    <w:p w14:paraId="510ACABF" w14:textId="466A91F5" w:rsidR="00C709C0" w:rsidRPr="00042267" w:rsidRDefault="004A277A" w:rsidP="00C709C0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U</w:t>
      </w:r>
      <w:r w:rsidR="00C709C0" w:rsidRPr="00042267">
        <w:rPr>
          <w:sz w:val="22"/>
          <w:szCs w:val="22"/>
          <w:lang w:val="sr-Latn-ME"/>
        </w:rPr>
        <w:t xml:space="preserve"> uslovima </w:t>
      </w:r>
      <w:r w:rsidRPr="00042267">
        <w:rPr>
          <w:sz w:val="22"/>
          <w:szCs w:val="22"/>
          <w:lang w:val="sr-Latn-ME"/>
        </w:rPr>
        <w:t xml:space="preserve">kliničkog </w:t>
      </w:r>
      <w:r w:rsidR="00C709C0" w:rsidRPr="00042267">
        <w:rPr>
          <w:sz w:val="22"/>
          <w:szCs w:val="22"/>
          <w:lang w:val="sr-Latn-ME"/>
        </w:rPr>
        <w:t xml:space="preserve">ispitivanja, mesalazin je inhibirao ciklooksigenazu i time oslobađanje tromboksana B2 i prostaglandina E2, ali kliničko značenje ovog </w:t>
      </w:r>
      <w:r w:rsidRPr="00042267">
        <w:rPr>
          <w:sz w:val="22"/>
          <w:szCs w:val="22"/>
          <w:lang w:val="sr-Latn-ME"/>
        </w:rPr>
        <w:t>dejstva</w:t>
      </w:r>
      <w:r w:rsidR="00C709C0" w:rsidRPr="00042267">
        <w:rPr>
          <w:sz w:val="22"/>
          <w:szCs w:val="22"/>
          <w:lang w:val="sr-Latn-ME"/>
        </w:rPr>
        <w:t xml:space="preserve"> još nije jasno. Mesalazin inhibira formiranje faktora aktivacije trombocita (PAF). Mesalazin je takođe antioksidans; pokazano je da smanjuje formiranje reaktivnih proizvoda kiseonika i hvata slobodne radikale.</w:t>
      </w:r>
    </w:p>
    <w:p w14:paraId="2610F47A" w14:textId="77777777" w:rsidR="00C709C0" w:rsidRPr="00042267" w:rsidRDefault="00C709C0" w:rsidP="00C709C0">
      <w:pPr>
        <w:jc w:val="both"/>
        <w:rPr>
          <w:sz w:val="22"/>
          <w:szCs w:val="22"/>
          <w:lang w:val="sr-Latn-ME"/>
        </w:rPr>
      </w:pPr>
    </w:p>
    <w:p w14:paraId="737FC628" w14:textId="03E197E9" w:rsidR="00C709C0" w:rsidRPr="00042267" w:rsidRDefault="00C709C0" w:rsidP="00C709C0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U kliničkim ispitivanjima kod pacijenata sa aktivnim distalnim ulceroznim kolitisom (proktitis/ proktosigmoiditis), l</w:t>
      </w:r>
      <w:r w:rsidR="004A277A" w:rsidRPr="00042267">
        <w:rPr>
          <w:sz w:val="22"/>
          <w:szCs w:val="22"/>
          <w:lang w:val="sr-Latn-ME"/>
        </w:rPr>
        <w:t>ij</w:t>
      </w:r>
      <w:r w:rsidRPr="00042267">
        <w:rPr>
          <w:sz w:val="22"/>
          <w:szCs w:val="22"/>
          <w:lang w:val="sr-Latn-ME"/>
        </w:rPr>
        <w:t>ečenje mesalazin supozitorijama od 500 mg i 1 g u različitim režimima doziranja (</w:t>
      </w:r>
      <w:r w:rsidR="004A277A" w:rsidRPr="00042267">
        <w:rPr>
          <w:sz w:val="22"/>
          <w:szCs w:val="22"/>
          <w:lang w:val="sr-Latn-ME"/>
        </w:rPr>
        <w:t>jednom dnevno/ dvaput dnevno/ triput dnevno</w:t>
      </w:r>
      <w:r w:rsidRPr="00042267">
        <w:rPr>
          <w:sz w:val="22"/>
          <w:szCs w:val="22"/>
          <w:lang w:val="sr-Latn-ME"/>
        </w:rPr>
        <w:t>) bilo je efikasno za indukovanje kliničke, endoskopske i histološke remisije bolesti. Dugoročno l</w:t>
      </w:r>
      <w:r w:rsidR="004A277A" w:rsidRPr="00042267">
        <w:rPr>
          <w:sz w:val="22"/>
          <w:szCs w:val="22"/>
          <w:lang w:val="sr-Latn-ME"/>
        </w:rPr>
        <w:t>ij</w:t>
      </w:r>
      <w:r w:rsidRPr="00042267">
        <w:rPr>
          <w:sz w:val="22"/>
          <w:szCs w:val="22"/>
          <w:lang w:val="sr-Latn-ME"/>
        </w:rPr>
        <w:t>ečenje mesalazin supozitorijama bilo je efikasno i sigurno za održavanje remisije kod pacijenata sa distalnim ulceroznim kolitisom.</w:t>
      </w:r>
    </w:p>
    <w:p w14:paraId="07E1E492" w14:textId="77777777" w:rsidR="00C709C0" w:rsidRPr="00042267" w:rsidRDefault="00C709C0" w:rsidP="00C709C0">
      <w:pPr>
        <w:jc w:val="both"/>
        <w:rPr>
          <w:sz w:val="22"/>
          <w:szCs w:val="22"/>
          <w:lang w:val="sr-Latn-ME"/>
        </w:rPr>
      </w:pPr>
    </w:p>
    <w:p w14:paraId="000A6838" w14:textId="77777777" w:rsidR="00C709C0" w:rsidRPr="00042267" w:rsidRDefault="00C709C0" w:rsidP="00C709C0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Pedijatrijska populacija:</w:t>
      </w:r>
    </w:p>
    <w:p w14:paraId="72536C26" w14:textId="6C16C9B4" w:rsidR="00C709C0" w:rsidRPr="00042267" w:rsidRDefault="00C709C0" w:rsidP="00C709C0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U kliničkom ispitivanju sa 49 pedijatrijskih pacijenata (5-17 godina starosti) sa blagim do umjerenim ulceroznim proktitisom, liječenje mesalazin supozitorijama od 500 mg jednom dnevno postiglo je značajno smanjenje indeksa aktivnosti bolesti nakon 3 i 6 nedjelja.</w:t>
      </w:r>
    </w:p>
    <w:p w14:paraId="27BD2B90" w14:textId="77777777" w:rsidR="002E37A5" w:rsidRPr="00042267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F3D013E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5.2.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Farmakokinetički podaci</w:t>
      </w:r>
      <w:r w:rsidR="003A7059" w:rsidRPr="00042267">
        <w:rPr>
          <w:b/>
          <w:bCs/>
          <w:sz w:val="22"/>
          <w:szCs w:val="22"/>
          <w:lang w:val="sr-Latn-ME"/>
        </w:rPr>
        <w:t xml:space="preserve"> </w:t>
      </w:r>
    </w:p>
    <w:p w14:paraId="02655768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D5E125" w14:textId="77777777" w:rsidR="005C7195" w:rsidRPr="000A6A59" w:rsidRDefault="005C7195" w:rsidP="0037452F">
      <w:pPr>
        <w:rPr>
          <w:bCs/>
          <w:i/>
          <w:sz w:val="22"/>
          <w:szCs w:val="22"/>
          <w:lang w:val="sr-Latn-ME"/>
        </w:rPr>
      </w:pPr>
      <w:r w:rsidRPr="000A6A59">
        <w:rPr>
          <w:bCs/>
          <w:i/>
          <w:sz w:val="22"/>
          <w:szCs w:val="22"/>
          <w:lang w:val="sr-Latn-ME"/>
        </w:rPr>
        <w:t xml:space="preserve">Opšte karakteristike aktivne supstance </w:t>
      </w:r>
    </w:p>
    <w:p w14:paraId="3BB9F0A3" w14:textId="67689667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Farmakokinetika i lokalna raspoloživost: Terapijsko dejstvo mesalazina najvjerovatnije zavisi od lokalnog kontakta lijeka sa oboljelom površinom sluzokože crijeva.</w:t>
      </w:r>
    </w:p>
    <w:p w14:paraId="7AF4CACA" w14:textId="77777777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</w:p>
    <w:p w14:paraId="5E79A24E" w14:textId="1E3DFB59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Lijek Salcrozine je dizajniran tako da se obezbijede visoke koncentracije mesalazina u distalnim djelovima crijeva i niska sistemska resorpcija. Supozitorije pokrivaju rektum.</w:t>
      </w:r>
    </w:p>
    <w:p w14:paraId="2815B643" w14:textId="77777777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</w:p>
    <w:p w14:paraId="3DEFF491" w14:textId="6B25CE49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  <w:r w:rsidRPr="000A6A59">
        <w:rPr>
          <w:bCs/>
          <w:i/>
          <w:sz w:val="22"/>
          <w:szCs w:val="22"/>
          <w:lang w:val="sr-Latn-ME"/>
        </w:rPr>
        <w:t>Resorpcija:</w:t>
      </w:r>
      <w:r w:rsidRPr="00042267">
        <w:rPr>
          <w:bCs/>
          <w:sz w:val="22"/>
          <w:szCs w:val="22"/>
          <w:lang w:val="sr-Latn-ME"/>
        </w:rPr>
        <w:t xml:space="preserve"> Resorpcija nakon rektalne primjene je mala, i zavisi od doze, formulacije i obima širenja. Na osnovu analize urina zdravih dobrovoljaca u uslovima stanja ravnoteže uz dnevnu dozu od 2 g (1g x2), približno 10% doze se resorbuje nakon primjene supozitorija. </w:t>
      </w:r>
    </w:p>
    <w:p w14:paraId="69C918F0" w14:textId="77777777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</w:p>
    <w:p w14:paraId="22BD6F5A" w14:textId="4779AD47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  <w:r w:rsidRPr="000A6A59">
        <w:rPr>
          <w:bCs/>
          <w:i/>
          <w:sz w:val="22"/>
          <w:szCs w:val="22"/>
          <w:lang w:val="sr-Latn-ME"/>
        </w:rPr>
        <w:t>Distribucija:</w:t>
      </w:r>
      <w:r w:rsidRPr="00042267">
        <w:rPr>
          <w:bCs/>
          <w:sz w:val="22"/>
          <w:szCs w:val="22"/>
          <w:lang w:val="sr-Latn-ME"/>
        </w:rPr>
        <w:t xml:space="preserve"> Vezivanje mesalazina za proteine iznosi oko 50%, a acetil</w:t>
      </w:r>
      <w:r w:rsidR="00042267">
        <w:rPr>
          <w:bCs/>
          <w:sz w:val="22"/>
          <w:szCs w:val="22"/>
          <w:lang w:val="sr-Latn-ME"/>
        </w:rPr>
        <w:t>-</w:t>
      </w:r>
      <w:r w:rsidRPr="00042267">
        <w:rPr>
          <w:bCs/>
          <w:sz w:val="22"/>
          <w:szCs w:val="22"/>
          <w:lang w:val="sr-Latn-ME"/>
        </w:rPr>
        <w:t>mesalazina oko 80%.</w:t>
      </w:r>
    </w:p>
    <w:p w14:paraId="3BC99E55" w14:textId="77777777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</w:p>
    <w:p w14:paraId="6B43A0AE" w14:textId="7C03AE74" w:rsidR="005C7195" w:rsidRPr="00042267" w:rsidRDefault="005C7195" w:rsidP="005C7195">
      <w:pPr>
        <w:jc w:val="both"/>
        <w:rPr>
          <w:bCs/>
          <w:sz w:val="22"/>
          <w:szCs w:val="22"/>
          <w:lang w:val="sr-Latn-ME"/>
        </w:rPr>
      </w:pPr>
      <w:r w:rsidRPr="000A6A59">
        <w:rPr>
          <w:bCs/>
          <w:i/>
          <w:sz w:val="22"/>
          <w:szCs w:val="22"/>
          <w:lang w:val="sr-Latn-ME"/>
        </w:rPr>
        <w:t>Biotransformacija:</w:t>
      </w:r>
      <w:r w:rsidRPr="00042267">
        <w:rPr>
          <w:bCs/>
          <w:sz w:val="22"/>
          <w:szCs w:val="22"/>
          <w:lang w:val="sr-Latn-ME"/>
        </w:rPr>
        <w:t xml:space="preserve"> Mesalazin se metaboliše presistemski, u intestinalnoj mukozi i </w:t>
      </w:r>
      <w:r w:rsidR="00A037C7" w:rsidRPr="00042267">
        <w:rPr>
          <w:bCs/>
          <w:sz w:val="22"/>
          <w:szCs w:val="22"/>
          <w:lang w:val="sr-Latn-ME"/>
        </w:rPr>
        <w:t xml:space="preserve">sistemski u </w:t>
      </w:r>
      <w:r w:rsidRPr="00042267">
        <w:rPr>
          <w:bCs/>
          <w:sz w:val="22"/>
          <w:szCs w:val="22"/>
          <w:lang w:val="sr-Latn-ME"/>
        </w:rPr>
        <w:t>jetri, do N-acetil-</w:t>
      </w:r>
      <w:r w:rsidR="00A037C7" w:rsidRPr="00042267">
        <w:rPr>
          <w:bCs/>
          <w:sz w:val="22"/>
          <w:szCs w:val="22"/>
          <w:lang w:val="sr-Latn-ME"/>
        </w:rPr>
        <w:t>mesalazina</w:t>
      </w:r>
      <w:r w:rsidRPr="00042267">
        <w:rPr>
          <w:bCs/>
          <w:sz w:val="22"/>
          <w:szCs w:val="22"/>
          <w:lang w:val="sr-Latn-ME"/>
        </w:rPr>
        <w:t xml:space="preserve"> (</w:t>
      </w:r>
      <w:r w:rsidR="00A037C7" w:rsidRPr="00042267">
        <w:rPr>
          <w:bCs/>
          <w:sz w:val="22"/>
          <w:szCs w:val="22"/>
          <w:lang w:val="sr-Latn-ME"/>
        </w:rPr>
        <w:t>acetil-mesalazin). U acetilaciji djelimično učestvuju i bakterije u debelom crijevu. Čini se da acetilacija ne zavisi od acetilacijskog fenotipa pacijenta. Vjeruje se da je acetil-mesalazin klinički neaktivan, ali to još treba da bude potvrđeno.</w:t>
      </w:r>
    </w:p>
    <w:p w14:paraId="60F20F2A" w14:textId="77777777" w:rsidR="00A037C7" w:rsidRPr="00042267" w:rsidRDefault="00A037C7" w:rsidP="005C7195">
      <w:pPr>
        <w:jc w:val="both"/>
        <w:rPr>
          <w:bCs/>
          <w:sz w:val="22"/>
          <w:szCs w:val="22"/>
          <w:lang w:val="sr-Latn-ME"/>
        </w:rPr>
      </w:pPr>
    </w:p>
    <w:p w14:paraId="4E4A55BE" w14:textId="60E3F346" w:rsidR="00A037C7" w:rsidRPr="00042267" w:rsidRDefault="00A037C7" w:rsidP="005C7195">
      <w:pPr>
        <w:jc w:val="both"/>
        <w:rPr>
          <w:bCs/>
          <w:sz w:val="22"/>
          <w:szCs w:val="22"/>
          <w:lang w:val="sr-Latn-ME"/>
        </w:rPr>
      </w:pPr>
      <w:r w:rsidRPr="000A6A59">
        <w:rPr>
          <w:bCs/>
          <w:i/>
          <w:sz w:val="22"/>
          <w:szCs w:val="22"/>
          <w:lang w:val="sr-Latn-ME"/>
        </w:rPr>
        <w:t>Eliminacija:</w:t>
      </w:r>
      <w:r w:rsidRPr="00042267">
        <w:rPr>
          <w:bCs/>
          <w:sz w:val="22"/>
          <w:szCs w:val="22"/>
          <w:lang w:val="sr-Latn-ME"/>
        </w:rPr>
        <w:t xml:space="preserve"> Poluvrijeme eliminacije čistog mesalazina je oko 40 minuta, a acetil-mesalazina je oko 70 minuta. Mesalazin i acetil</w:t>
      </w:r>
      <w:r w:rsidR="00042267">
        <w:rPr>
          <w:bCs/>
          <w:sz w:val="22"/>
          <w:szCs w:val="22"/>
          <w:lang w:val="sr-Latn-ME"/>
        </w:rPr>
        <w:t>-</w:t>
      </w:r>
      <w:r w:rsidRPr="00042267">
        <w:rPr>
          <w:bCs/>
          <w:sz w:val="22"/>
          <w:szCs w:val="22"/>
          <w:lang w:val="sr-Latn-ME"/>
        </w:rPr>
        <w:t>mesalazin se ekskretuju urinom i fecesom. Urinom se ekskretuje uglavnom acetil</w:t>
      </w:r>
      <w:r w:rsidR="00042267">
        <w:rPr>
          <w:bCs/>
          <w:sz w:val="22"/>
          <w:szCs w:val="22"/>
          <w:lang w:val="sr-Latn-ME"/>
        </w:rPr>
        <w:t>-</w:t>
      </w:r>
      <w:r w:rsidRPr="00042267">
        <w:rPr>
          <w:bCs/>
          <w:sz w:val="22"/>
          <w:szCs w:val="22"/>
          <w:lang w:val="sr-Latn-ME"/>
        </w:rPr>
        <w:t>mesalazin.</w:t>
      </w:r>
    </w:p>
    <w:p w14:paraId="19789280" w14:textId="77777777" w:rsidR="00A037C7" w:rsidRPr="00042267" w:rsidRDefault="00A037C7" w:rsidP="005C7195">
      <w:pPr>
        <w:jc w:val="both"/>
        <w:rPr>
          <w:bCs/>
          <w:sz w:val="22"/>
          <w:szCs w:val="22"/>
          <w:lang w:val="sr-Latn-ME"/>
        </w:rPr>
      </w:pPr>
    </w:p>
    <w:p w14:paraId="3D7A2D61" w14:textId="77777777" w:rsidR="00A037C7" w:rsidRPr="000A6A59" w:rsidRDefault="00A037C7" w:rsidP="00A037C7">
      <w:pPr>
        <w:jc w:val="both"/>
        <w:rPr>
          <w:bCs/>
          <w:i/>
          <w:sz w:val="22"/>
          <w:szCs w:val="22"/>
          <w:lang w:val="sr-Latn-ME"/>
        </w:rPr>
      </w:pPr>
      <w:r w:rsidRPr="000A6A59">
        <w:rPr>
          <w:bCs/>
          <w:i/>
          <w:sz w:val="22"/>
          <w:szCs w:val="22"/>
          <w:lang w:val="sr-Latn-ME"/>
        </w:rPr>
        <w:t>Karakteristike pacijenata</w:t>
      </w:r>
    </w:p>
    <w:p w14:paraId="23C3FA6F" w14:textId="0053AEAD" w:rsidR="00A037C7" w:rsidRPr="00042267" w:rsidRDefault="00A037C7" w:rsidP="00A037C7">
      <w:pPr>
        <w:jc w:val="both"/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Kod pacijenata sa oštećenjem jetre i bubrega, brzina eliminacije 5-ASA (klirens) je smanjena, što rezultira povećanom koncentracijom mesalazina, što može povećati rizik od neželjenih nefrotoksičnih dejstava.</w:t>
      </w:r>
    </w:p>
    <w:p w14:paraId="3903E045" w14:textId="77777777" w:rsidR="005C7195" w:rsidRPr="00042267" w:rsidRDefault="005C7195" w:rsidP="00A037C7">
      <w:pPr>
        <w:jc w:val="both"/>
        <w:rPr>
          <w:b/>
          <w:sz w:val="22"/>
          <w:szCs w:val="22"/>
          <w:lang w:val="sr-Latn-ME"/>
        </w:rPr>
      </w:pPr>
    </w:p>
    <w:p w14:paraId="04D6E6E2" w14:textId="77777777" w:rsidR="0072020E" w:rsidRPr="00042267" w:rsidRDefault="0072020E" w:rsidP="00A037C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5.3.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3642520" w14:textId="77777777" w:rsidR="00836B35" w:rsidRPr="00042267" w:rsidRDefault="00836B35" w:rsidP="00A037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77562C" w14:textId="7D1E2FE4" w:rsidR="00A037C7" w:rsidRPr="00042267" w:rsidRDefault="00A037C7" w:rsidP="00A037C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Zabilježena su toksična dejstva na bubrege kod svih testiranih vrsta. Kod pacova i majmuna, doze i koncentracije u plazmi pri koncentracijama pri kojima nisu uočene neželjene reakcije (No Observed Adverse Effects Levels, NOAEL), premašile su one korišćene kod ljudi za 2-7,2 puta. </w:t>
      </w:r>
    </w:p>
    <w:p w14:paraId="507E6732" w14:textId="77777777" w:rsidR="00E83E7B" w:rsidRPr="00042267" w:rsidRDefault="00A037C7" w:rsidP="00A037C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Nije uočena značajna toksičnost povezana sa gastrointestinalnim traktom, jetrom ili hematopoetskim sistemom kod životinja. </w:t>
      </w:r>
    </w:p>
    <w:p w14:paraId="665E1B6C" w14:textId="61755D61" w:rsidR="0037452F" w:rsidRPr="00042267" w:rsidRDefault="00A037C7" w:rsidP="00A037C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42267">
        <w:rPr>
          <w:i/>
          <w:iCs/>
          <w:sz w:val="22"/>
          <w:szCs w:val="22"/>
          <w:lang w:val="sr-Latn-ME"/>
        </w:rPr>
        <w:t>In vitro</w:t>
      </w:r>
      <w:r w:rsidRPr="00042267">
        <w:rPr>
          <w:sz w:val="22"/>
          <w:szCs w:val="22"/>
          <w:lang w:val="sr-Latn-ME"/>
        </w:rPr>
        <w:t xml:space="preserve"> test sistemi i </w:t>
      </w:r>
      <w:r w:rsidRPr="00042267">
        <w:rPr>
          <w:i/>
          <w:iCs/>
          <w:sz w:val="22"/>
          <w:szCs w:val="22"/>
          <w:lang w:val="sr-Latn-ME"/>
        </w:rPr>
        <w:t>in vivo</w:t>
      </w:r>
      <w:r w:rsidRPr="00042267">
        <w:rPr>
          <w:sz w:val="22"/>
          <w:szCs w:val="22"/>
          <w:lang w:val="sr-Latn-ME"/>
        </w:rPr>
        <w:t xml:space="preserve"> studije nisu pokazali mutagene efekte. Studije o tumorogenom potencijalu sprovedene na pacovima nisu pokazale povećanje incidence tumora povezano sa upotrebom l</w:t>
      </w:r>
      <w:r w:rsidR="00E83E7B" w:rsidRPr="00042267">
        <w:rPr>
          <w:sz w:val="22"/>
          <w:szCs w:val="22"/>
          <w:lang w:val="sr-Latn-ME"/>
        </w:rPr>
        <w:t>ij</w:t>
      </w:r>
      <w:r w:rsidRPr="00042267">
        <w:rPr>
          <w:sz w:val="22"/>
          <w:szCs w:val="22"/>
          <w:lang w:val="sr-Latn-ME"/>
        </w:rPr>
        <w:t>ek</w:t>
      </w:r>
      <w:r w:rsidR="00E83E7B" w:rsidRPr="00042267">
        <w:rPr>
          <w:sz w:val="22"/>
          <w:szCs w:val="22"/>
          <w:lang w:val="sr-Latn-ME"/>
        </w:rPr>
        <w:t>a</w:t>
      </w:r>
      <w:r w:rsidRPr="00042267">
        <w:rPr>
          <w:sz w:val="22"/>
          <w:szCs w:val="22"/>
          <w:lang w:val="sr-Latn-ME"/>
        </w:rPr>
        <w:t>. Studije na životinjama sa oralnim mesalazinom ne ukazuju na direktne ili indirektne štetne efekte na plodnost, trudnoću, embrio-fetalni razvoj, porođaj ili postnatalni razvoj.</w:t>
      </w:r>
    </w:p>
    <w:p w14:paraId="73F10FDC" w14:textId="173450A9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071D2A" w14:textId="77777777" w:rsidR="00042267" w:rsidRPr="00042267" w:rsidRDefault="0004226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FA5446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6.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FARMACEUTSKI PODACI</w:t>
      </w:r>
    </w:p>
    <w:p w14:paraId="7B7FC3E3" w14:textId="77777777" w:rsidR="00836B35" w:rsidRPr="0004226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8AE016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6.1.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Lista pomoćnih supstanci</w:t>
      </w:r>
      <w:r w:rsidR="002E0135" w:rsidRPr="00042267">
        <w:rPr>
          <w:b/>
          <w:bCs/>
          <w:sz w:val="22"/>
          <w:szCs w:val="22"/>
          <w:lang w:val="sr-Latn-ME"/>
        </w:rPr>
        <w:t xml:space="preserve"> (ekscipijenasa)</w:t>
      </w:r>
    </w:p>
    <w:p w14:paraId="3DC3B03E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19D47F" w14:textId="32197B8E" w:rsidR="0037452F" w:rsidRPr="00042267" w:rsidRDefault="002915B2" w:rsidP="0037452F">
      <w:pPr>
        <w:rPr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Č</w:t>
      </w:r>
      <w:r w:rsidR="0037452F" w:rsidRPr="00042267">
        <w:rPr>
          <w:sz w:val="22"/>
          <w:szCs w:val="22"/>
          <w:lang w:val="sr-Latn-ME"/>
        </w:rPr>
        <w:t xml:space="preserve">vrsta </w:t>
      </w:r>
      <w:r>
        <w:rPr>
          <w:sz w:val="22"/>
          <w:szCs w:val="22"/>
          <w:lang w:val="sr-Latn-ME"/>
        </w:rPr>
        <w:t>mast</w:t>
      </w:r>
    </w:p>
    <w:p w14:paraId="071D823B" w14:textId="77777777" w:rsidR="0037452F" w:rsidRPr="00042267" w:rsidRDefault="003745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74D04EE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6.2.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Inkompatibilnost</w:t>
      </w:r>
      <w:r w:rsidR="002846DB" w:rsidRPr="00042267">
        <w:rPr>
          <w:b/>
          <w:bCs/>
          <w:sz w:val="22"/>
          <w:szCs w:val="22"/>
          <w:lang w:val="sr-Latn-ME"/>
        </w:rPr>
        <w:t>i</w:t>
      </w:r>
    </w:p>
    <w:p w14:paraId="00C2E01A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640BAB" w14:textId="55B57DBF" w:rsidR="0037452F" w:rsidRPr="00042267" w:rsidRDefault="0037452F" w:rsidP="0037452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42267">
        <w:rPr>
          <w:bCs/>
          <w:sz w:val="22"/>
          <w:szCs w:val="22"/>
          <w:lang w:val="sr-Latn-ME"/>
        </w:rPr>
        <w:t>Nije primjenjivo.</w:t>
      </w:r>
    </w:p>
    <w:p w14:paraId="7C65686D" w14:textId="77777777" w:rsidR="0037452F" w:rsidRPr="00042267" w:rsidRDefault="003745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1BFD6B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>6.3.</w:t>
      </w:r>
      <w:r w:rsidR="00C05DF8" w:rsidRPr="00042267">
        <w:rPr>
          <w:b/>
          <w:bCs/>
          <w:sz w:val="22"/>
          <w:szCs w:val="22"/>
          <w:lang w:val="sr-Latn-ME"/>
        </w:rPr>
        <w:t xml:space="preserve">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Rok upotrebe</w:t>
      </w:r>
    </w:p>
    <w:p w14:paraId="7FD5BFA5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FE44BB" w14:textId="77777777" w:rsidR="0037452F" w:rsidRPr="00042267" w:rsidRDefault="0037452F" w:rsidP="0037452F">
      <w:pPr>
        <w:tabs>
          <w:tab w:val="left" w:pos="540"/>
          <w:tab w:val="left" w:pos="569"/>
        </w:tabs>
        <w:rPr>
          <w:lang w:val="sr-Latn-ME"/>
        </w:rPr>
      </w:pPr>
      <w:bookmarkStart w:id="1" w:name="_Hlk116993317"/>
      <w:r w:rsidRPr="00042267">
        <w:rPr>
          <w:lang w:val="sr-Latn-ME"/>
        </w:rPr>
        <w:t>4 godine</w:t>
      </w:r>
      <w:bookmarkEnd w:id="1"/>
    </w:p>
    <w:p w14:paraId="21B76083" w14:textId="77777777" w:rsidR="0037452F" w:rsidRPr="00042267" w:rsidRDefault="003745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261713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6.4.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042267">
        <w:rPr>
          <w:b/>
          <w:bCs/>
          <w:sz w:val="22"/>
          <w:szCs w:val="22"/>
          <w:lang w:val="sr-Latn-ME"/>
        </w:rPr>
        <w:t xml:space="preserve"> lijeka</w:t>
      </w:r>
    </w:p>
    <w:p w14:paraId="3E5010BD" w14:textId="77777777" w:rsidR="00EC2532" w:rsidRPr="00042267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91B229" w14:textId="2C78DCD2" w:rsidR="0037452F" w:rsidRPr="00042267" w:rsidRDefault="0037452F" w:rsidP="0037452F">
      <w:pPr>
        <w:pStyle w:val="BodyText"/>
        <w:spacing w:before="1"/>
        <w:jc w:val="both"/>
        <w:rPr>
          <w:lang w:val="sr-Latn-ME"/>
        </w:rPr>
      </w:pPr>
      <w:r w:rsidRPr="00042267">
        <w:rPr>
          <w:lang w:val="sr-Latn-ME"/>
        </w:rPr>
        <w:t>Čuvati na temperaturi do 30</w:t>
      </w:r>
      <w:r w:rsidRPr="00042267">
        <w:rPr>
          <w:vertAlign w:val="superscript"/>
          <w:lang w:val="sr-Latn-ME"/>
        </w:rPr>
        <w:t>o</w:t>
      </w:r>
      <w:r w:rsidRPr="00042267">
        <w:rPr>
          <w:lang w:val="sr-Latn-ME"/>
        </w:rPr>
        <w:t>C.</w:t>
      </w:r>
    </w:p>
    <w:p w14:paraId="4084A3EE" w14:textId="77777777" w:rsidR="0037452F" w:rsidRPr="00042267" w:rsidRDefault="003745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9EFE86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6.5.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="002846DB" w:rsidRPr="00042267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042267">
        <w:rPr>
          <w:b/>
          <w:bCs/>
          <w:sz w:val="22"/>
          <w:szCs w:val="22"/>
          <w:lang w:val="sr-Latn-ME"/>
        </w:rPr>
        <w:t>pakovanja</w:t>
      </w:r>
      <w:r w:rsidR="00C06864" w:rsidRPr="00042267">
        <w:rPr>
          <w:b/>
          <w:bCs/>
          <w:sz w:val="22"/>
          <w:szCs w:val="22"/>
          <w:lang w:val="sr-Latn-ME"/>
        </w:rPr>
        <w:t xml:space="preserve"> </w:t>
      </w:r>
    </w:p>
    <w:p w14:paraId="0E9728AF" w14:textId="77777777" w:rsidR="0072020E" w:rsidRPr="0004226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507509" w14:textId="40857C86" w:rsidR="002915B2" w:rsidRDefault="008A760C" w:rsidP="0037452F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Unutrašnje p</w:t>
      </w:r>
      <w:r w:rsidR="0037452F" w:rsidRPr="00042267">
        <w:rPr>
          <w:sz w:val="22"/>
          <w:szCs w:val="22"/>
          <w:lang w:val="sr-Latn-ME"/>
        </w:rPr>
        <w:t>akovanje</w:t>
      </w:r>
      <w:r w:rsidR="002915B2">
        <w:rPr>
          <w:sz w:val="22"/>
          <w:szCs w:val="22"/>
          <w:lang w:val="sr-Latn-ME"/>
        </w:rPr>
        <w:t xml:space="preserve"> lijeka</w:t>
      </w:r>
      <w:r w:rsidR="0037452F" w:rsidRPr="00042267">
        <w:rPr>
          <w:sz w:val="22"/>
          <w:szCs w:val="22"/>
          <w:lang w:val="sr-Latn-ME"/>
        </w:rPr>
        <w:t xml:space="preserve"> </w:t>
      </w:r>
      <w:r w:rsidRPr="00042267">
        <w:rPr>
          <w:sz w:val="22"/>
          <w:szCs w:val="22"/>
          <w:lang w:val="sr-Latn-ME"/>
        </w:rPr>
        <w:t>je</w:t>
      </w:r>
      <w:r w:rsidR="002915B2" w:rsidRPr="002915B2">
        <w:rPr>
          <w:sz w:val="22"/>
          <w:szCs w:val="22"/>
          <w:lang w:val="sr-Latn-ME"/>
        </w:rPr>
        <w:t xml:space="preserve"> </w:t>
      </w:r>
      <w:r w:rsidR="002915B2" w:rsidRPr="00042267">
        <w:rPr>
          <w:sz w:val="22"/>
          <w:szCs w:val="22"/>
          <w:lang w:val="sr-Latn-ME"/>
        </w:rPr>
        <w:t>PVC/PE</w:t>
      </w:r>
      <w:r w:rsidRPr="00042267">
        <w:rPr>
          <w:sz w:val="22"/>
          <w:szCs w:val="22"/>
          <w:lang w:val="sr-Latn-ME"/>
        </w:rPr>
        <w:t xml:space="preserve"> strip </w:t>
      </w:r>
      <w:r w:rsidR="002915B2">
        <w:rPr>
          <w:sz w:val="22"/>
          <w:szCs w:val="22"/>
          <w:lang w:val="sr-Latn-ME"/>
        </w:rPr>
        <w:t>koji sadrži</w:t>
      </w:r>
      <w:r w:rsidRPr="00042267">
        <w:rPr>
          <w:sz w:val="22"/>
          <w:szCs w:val="22"/>
          <w:lang w:val="sr-Latn-ME"/>
        </w:rPr>
        <w:t xml:space="preserve"> </w:t>
      </w:r>
      <w:r w:rsidR="002915B2">
        <w:rPr>
          <w:sz w:val="22"/>
          <w:szCs w:val="22"/>
          <w:lang w:val="sr-Latn-ME"/>
        </w:rPr>
        <w:t>6</w:t>
      </w:r>
      <w:r w:rsidR="002915B2" w:rsidRPr="00042267">
        <w:rPr>
          <w:sz w:val="22"/>
          <w:szCs w:val="22"/>
          <w:lang w:val="sr-Latn-ME"/>
        </w:rPr>
        <w:t xml:space="preserve"> </w:t>
      </w:r>
      <w:r w:rsidRPr="00042267">
        <w:rPr>
          <w:sz w:val="22"/>
          <w:szCs w:val="22"/>
          <w:lang w:val="sr-Latn-ME"/>
        </w:rPr>
        <w:t xml:space="preserve">supozitorija. </w:t>
      </w:r>
    </w:p>
    <w:p w14:paraId="7A2C534A" w14:textId="77777777" w:rsidR="002915B2" w:rsidRDefault="002915B2" w:rsidP="0037452F">
      <w:pPr>
        <w:jc w:val="both"/>
        <w:rPr>
          <w:sz w:val="22"/>
          <w:szCs w:val="22"/>
          <w:lang w:val="sr-Latn-ME"/>
        </w:rPr>
      </w:pPr>
    </w:p>
    <w:p w14:paraId="722DE3AC" w14:textId="62E5FC46" w:rsidR="0037452F" w:rsidRPr="00042267" w:rsidRDefault="008A760C" w:rsidP="0037452F">
      <w:pPr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 xml:space="preserve">Spoljašnje pakovanje </w:t>
      </w:r>
      <w:r w:rsidR="002915B2">
        <w:rPr>
          <w:sz w:val="22"/>
          <w:szCs w:val="22"/>
          <w:lang w:val="sr-Latn-ME"/>
        </w:rPr>
        <w:t xml:space="preserve">lijeka </w:t>
      </w:r>
      <w:r w:rsidRPr="00042267">
        <w:rPr>
          <w:sz w:val="22"/>
          <w:szCs w:val="22"/>
          <w:lang w:val="sr-Latn-ME"/>
        </w:rPr>
        <w:t>je složiva kartonska kutija</w:t>
      </w:r>
      <w:r w:rsidR="002915B2">
        <w:rPr>
          <w:sz w:val="22"/>
          <w:szCs w:val="22"/>
          <w:lang w:val="sr-Latn-ME"/>
        </w:rPr>
        <w:t xml:space="preserve"> koja sadrži 2 stripa sa po 6 supozitorija (ukupno 12 supozitorija) i Uputstvo za lijek</w:t>
      </w:r>
      <w:r w:rsidRPr="00042267">
        <w:rPr>
          <w:sz w:val="22"/>
          <w:szCs w:val="22"/>
          <w:lang w:val="sr-Latn-ME"/>
        </w:rPr>
        <w:t>.</w:t>
      </w:r>
    </w:p>
    <w:p w14:paraId="62A1BF1F" w14:textId="77777777" w:rsidR="0037452F" w:rsidRPr="00042267" w:rsidRDefault="003745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00786C" w14:textId="77777777" w:rsidR="002846DB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6.6.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042267">
        <w:rPr>
          <w:b/>
          <w:bCs/>
          <w:sz w:val="22"/>
          <w:szCs w:val="22"/>
          <w:lang w:val="sr-Latn-ME"/>
        </w:rPr>
        <w:t xml:space="preserve"> </w:t>
      </w:r>
      <w:r w:rsidR="00310F03" w:rsidRPr="00042267">
        <w:rPr>
          <w:b/>
          <w:bCs/>
          <w:sz w:val="22"/>
          <w:szCs w:val="22"/>
          <w:lang w:val="sr-Latn-ME"/>
        </w:rPr>
        <w:t>(i druga uputs</w:t>
      </w:r>
      <w:r w:rsidR="004109FA" w:rsidRPr="00042267">
        <w:rPr>
          <w:b/>
          <w:bCs/>
          <w:sz w:val="22"/>
          <w:szCs w:val="22"/>
          <w:lang w:val="sr-Latn-ME"/>
        </w:rPr>
        <w:t>t</w:t>
      </w:r>
      <w:r w:rsidR="00310F03" w:rsidRPr="00042267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5189F94" w14:textId="77777777" w:rsidR="00B66A70" w:rsidRPr="00042267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EE73B73" w14:textId="28FA7152" w:rsidR="0037452F" w:rsidRPr="00042267" w:rsidRDefault="0037452F" w:rsidP="0037452F">
      <w:pPr>
        <w:widowControl w:val="0"/>
        <w:autoSpaceDE w:val="0"/>
        <w:autoSpaceDN w:val="0"/>
        <w:ind w:right="396"/>
        <w:jc w:val="both"/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3CAEAA29" w14:textId="7EA70D25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B02E76" w14:textId="77777777" w:rsidR="002915B2" w:rsidRPr="00042267" w:rsidRDefault="002915B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C2C5FB" w14:textId="77777777" w:rsidR="00F8570A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7.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NOSILAC DOZVOLE</w:t>
      </w:r>
      <w:r w:rsidR="00483928" w:rsidRPr="00042267">
        <w:rPr>
          <w:b/>
          <w:bCs/>
          <w:sz w:val="22"/>
          <w:szCs w:val="22"/>
          <w:lang w:val="sr-Latn-ME"/>
        </w:rPr>
        <w:t xml:space="preserve"> </w:t>
      </w:r>
    </w:p>
    <w:p w14:paraId="3231F4EB" w14:textId="77777777" w:rsidR="00C61BE0" w:rsidRPr="00042267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D96101" w14:textId="7E7592D9" w:rsidR="002915B2" w:rsidRDefault="0037452F" w:rsidP="0037452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Farmont M.P.,</w:t>
      </w:r>
    </w:p>
    <w:p w14:paraId="34C8943A" w14:textId="37799651" w:rsidR="0037452F" w:rsidRPr="00042267" w:rsidRDefault="0037452F" w:rsidP="0037452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42267">
        <w:rPr>
          <w:sz w:val="22"/>
          <w:szCs w:val="22"/>
          <w:lang w:val="sr-Latn-ME"/>
        </w:rPr>
        <w:t>Kosić</w:t>
      </w:r>
      <w:r w:rsidR="002915B2">
        <w:rPr>
          <w:sz w:val="22"/>
          <w:szCs w:val="22"/>
          <w:lang w:val="sr-Latn-ME"/>
        </w:rPr>
        <w:t xml:space="preserve"> -</w:t>
      </w:r>
      <w:r w:rsidRPr="00042267">
        <w:rPr>
          <w:sz w:val="22"/>
          <w:szCs w:val="22"/>
          <w:lang w:val="sr-Latn-ME"/>
        </w:rPr>
        <w:t xml:space="preserve"> Stari put</w:t>
      </w:r>
      <w:r w:rsidR="002915B2">
        <w:rPr>
          <w:sz w:val="22"/>
          <w:szCs w:val="22"/>
          <w:lang w:val="sr-Latn-ME"/>
        </w:rPr>
        <w:t xml:space="preserve"> bb</w:t>
      </w:r>
      <w:r w:rsidRPr="00042267">
        <w:rPr>
          <w:sz w:val="22"/>
          <w:szCs w:val="22"/>
          <w:lang w:val="sr-Latn-ME"/>
        </w:rPr>
        <w:t>, Danilovgrad</w:t>
      </w:r>
      <w:r w:rsidR="002915B2">
        <w:rPr>
          <w:sz w:val="22"/>
          <w:szCs w:val="22"/>
          <w:lang w:val="sr-Latn-ME"/>
        </w:rPr>
        <w:t>, Crna Gora</w:t>
      </w:r>
    </w:p>
    <w:p w14:paraId="418DA0D4" w14:textId="3912999A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9B6E2F" w14:textId="77777777" w:rsidR="002915B2" w:rsidRPr="00042267" w:rsidRDefault="002915B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5FCD77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8.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>BROJ DOZVOLE</w:t>
      </w:r>
      <w:r w:rsidR="008A6D43" w:rsidRPr="0004226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35A3004" w14:textId="1C23CD38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2" w:name="_GoBack"/>
      <w:bookmarkEnd w:id="2"/>
    </w:p>
    <w:p w14:paraId="24849445" w14:textId="5861D79B" w:rsidR="002915B2" w:rsidRPr="00042267" w:rsidRDefault="00F05F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91C6F">
        <w:rPr>
          <w:rFonts w:eastAsia="Calibri"/>
          <w:sz w:val="22"/>
          <w:szCs w:val="22"/>
          <w:lang w:val="sr-Latn-ME"/>
        </w:rPr>
        <w:t xml:space="preserve">2030/24/6628 – 3053 </w:t>
      </w:r>
    </w:p>
    <w:p w14:paraId="35F0BE94" w14:textId="7D01EB40"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DAAEFC8" w14:textId="77777777" w:rsidR="00F05FA9" w:rsidRPr="00042267" w:rsidRDefault="00F05F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CC0549" w14:textId="77777777" w:rsidR="0072020E" w:rsidRPr="0004226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9.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Pr="00042267">
        <w:rPr>
          <w:b/>
          <w:bCs/>
          <w:sz w:val="22"/>
          <w:szCs w:val="22"/>
          <w:lang w:val="sr-Latn-ME"/>
        </w:rPr>
        <w:t xml:space="preserve">DATUM </w:t>
      </w:r>
      <w:r w:rsidR="00C05DF8" w:rsidRPr="00042267">
        <w:rPr>
          <w:b/>
          <w:bCs/>
          <w:sz w:val="22"/>
          <w:szCs w:val="22"/>
          <w:lang w:val="sr-Latn-ME"/>
        </w:rPr>
        <w:t xml:space="preserve">PRVE </w:t>
      </w:r>
      <w:r w:rsidR="008A6D43" w:rsidRPr="00042267">
        <w:rPr>
          <w:b/>
          <w:bCs/>
          <w:sz w:val="22"/>
          <w:szCs w:val="22"/>
          <w:lang w:val="sr-Latn-ME"/>
        </w:rPr>
        <w:t>DOZVOLE</w:t>
      </w:r>
      <w:r w:rsidR="00C05DF8" w:rsidRPr="00042267">
        <w:rPr>
          <w:b/>
          <w:bCs/>
          <w:sz w:val="22"/>
          <w:szCs w:val="22"/>
          <w:lang w:val="sr-Latn-ME"/>
        </w:rPr>
        <w:t>/OBNOVE DOZVOLE</w:t>
      </w:r>
      <w:r w:rsidR="008A6D43" w:rsidRPr="0004226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0F3B357" w14:textId="57C2ED3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1341D3" w14:textId="60FE2EEA" w:rsidR="00F05FA9" w:rsidRDefault="00F05F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91C6F">
        <w:rPr>
          <w:rFonts w:eastAsia="Calibri"/>
          <w:sz w:val="22"/>
          <w:szCs w:val="22"/>
          <w:lang w:val="sr-Latn-ME"/>
        </w:rPr>
        <w:t>12.12.2024. godine</w:t>
      </w:r>
    </w:p>
    <w:p w14:paraId="2C14FBD5" w14:textId="77777777" w:rsidR="002915B2" w:rsidRPr="00042267" w:rsidRDefault="002915B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33C0C9" w14:textId="77777777" w:rsidR="00836B35" w:rsidRPr="0004226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C77B0FD" w14:textId="77777777" w:rsidR="003F6A59" w:rsidRPr="00042267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042267">
        <w:rPr>
          <w:b/>
          <w:bCs/>
          <w:sz w:val="22"/>
          <w:szCs w:val="22"/>
          <w:lang w:val="sr-Latn-ME"/>
        </w:rPr>
        <w:t xml:space="preserve">10. </w:t>
      </w:r>
      <w:r w:rsidR="00480FB1" w:rsidRPr="00042267">
        <w:rPr>
          <w:b/>
          <w:bCs/>
          <w:sz w:val="22"/>
          <w:szCs w:val="22"/>
          <w:lang w:val="sr-Latn-ME"/>
        </w:rPr>
        <w:tab/>
      </w:r>
      <w:r w:rsidR="002846DB" w:rsidRPr="00042267">
        <w:rPr>
          <w:b/>
          <w:bCs/>
          <w:sz w:val="22"/>
          <w:szCs w:val="22"/>
          <w:lang w:val="sr-Latn-ME"/>
        </w:rPr>
        <w:t>D</w:t>
      </w:r>
      <w:r w:rsidR="00EC2532" w:rsidRPr="00042267">
        <w:rPr>
          <w:b/>
          <w:bCs/>
          <w:sz w:val="22"/>
          <w:szCs w:val="22"/>
          <w:lang w:val="sr-Latn-ME"/>
        </w:rPr>
        <w:t xml:space="preserve">ATUM REVIZIJE TEKSTA </w:t>
      </w:r>
    </w:p>
    <w:p w14:paraId="16CDDAAD" w14:textId="77777777" w:rsidR="003F6A59" w:rsidRPr="00042267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4AEB59" w14:textId="5E9803D4" w:rsidR="008A6D43" w:rsidRPr="00042267" w:rsidRDefault="00F05FA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Decembar, 2024. godine</w:t>
      </w:r>
    </w:p>
    <w:p w14:paraId="33EEA788" w14:textId="77777777" w:rsidR="003F6A59" w:rsidRPr="00042267" w:rsidRDefault="003F6A59" w:rsidP="00DE3F5C">
      <w:pPr>
        <w:rPr>
          <w:sz w:val="22"/>
          <w:szCs w:val="22"/>
          <w:lang w:val="sr-Latn-ME"/>
        </w:rPr>
      </w:pPr>
    </w:p>
    <w:sectPr w:rsidR="003F6A59" w:rsidRPr="00042267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855C3" w14:textId="77777777" w:rsidR="00032B0D" w:rsidRDefault="00032B0D">
      <w:r>
        <w:separator/>
      </w:r>
    </w:p>
  </w:endnote>
  <w:endnote w:type="continuationSeparator" w:id="0">
    <w:p w14:paraId="54A7D806" w14:textId="77777777" w:rsidR="00032B0D" w:rsidRDefault="000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4D54" w14:textId="7EAC76FF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05FA9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05FA9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A35FD" w14:textId="77777777" w:rsidR="00032B0D" w:rsidRDefault="00032B0D">
      <w:r>
        <w:separator/>
      </w:r>
    </w:p>
  </w:footnote>
  <w:footnote w:type="continuationSeparator" w:id="0">
    <w:p w14:paraId="37B07416" w14:textId="77777777" w:rsidR="00032B0D" w:rsidRDefault="000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878706C"/>
    <w:multiLevelType w:val="hybridMultilevel"/>
    <w:tmpl w:val="6178A6D0"/>
    <w:lvl w:ilvl="0" w:tplc="B4387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F21"/>
    <w:multiLevelType w:val="hybridMultilevel"/>
    <w:tmpl w:val="A09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C3C2264"/>
    <w:multiLevelType w:val="hybridMultilevel"/>
    <w:tmpl w:val="CE2C0FDA"/>
    <w:lvl w:ilvl="0" w:tplc="0450DD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80C05"/>
    <w:multiLevelType w:val="hybridMultilevel"/>
    <w:tmpl w:val="7C3A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15CB9"/>
    <w:multiLevelType w:val="hybridMultilevel"/>
    <w:tmpl w:val="DE701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210B8"/>
    <w:multiLevelType w:val="hybridMultilevel"/>
    <w:tmpl w:val="4238C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5"/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7EDD"/>
    <w:rsid w:val="000176CA"/>
    <w:rsid w:val="00032B0D"/>
    <w:rsid w:val="00033469"/>
    <w:rsid w:val="00036FA0"/>
    <w:rsid w:val="0003793F"/>
    <w:rsid w:val="00042267"/>
    <w:rsid w:val="00045130"/>
    <w:rsid w:val="000452AD"/>
    <w:rsid w:val="00057E35"/>
    <w:rsid w:val="00075E28"/>
    <w:rsid w:val="00076726"/>
    <w:rsid w:val="00080303"/>
    <w:rsid w:val="00083D02"/>
    <w:rsid w:val="000966EE"/>
    <w:rsid w:val="000A3F58"/>
    <w:rsid w:val="000A6A59"/>
    <w:rsid w:val="000D2343"/>
    <w:rsid w:val="000D3449"/>
    <w:rsid w:val="000D425A"/>
    <w:rsid w:val="000D60CC"/>
    <w:rsid w:val="000E2084"/>
    <w:rsid w:val="000E6F55"/>
    <w:rsid w:val="000F77FA"/>
    <w:rsid w:val="00107BF7"/>
    <w:rsid w:val="00112D85"/>
    <w:rsid w:val="00126F53"/>
    <w:rsid w:val="001331F0"/>
    <w:rsid w:val="0014766D"/>
    <w:rsid w:val="001536CC"/>
    <w:rsid w:val="001828E0"/>
    <w:rsid w:val="00183922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70744"/>
    <w:rsid w:val="002846DB"/>
    <w:rsid w:val="00284CCD"/>
    <w:rsid w:val="002915B2"/>
    <w:rsid w:val="002A0E1F"/>
    <w:rsid w:val="002C20B2"/>
    <w:rsid w:val="002C6637"/>
    <w:rsid w:val="002E0135"/>
    <w:rsid w:val="002E37A5"/>
    <w:rsid w:val="00310F03"/>
    <w:rsid w:val="003247D2"/>
    <w:rsid w:val="003370FB"/>
    <w:rsid w:val="003445C1"/>
    <w:rsid w:val="00355B61"/>
    <w:rsid w:val="00362686"/>
    <w:rsid w:val="00370C20"/>
    <w:rsid w:val="00371510"/>
    <w:rsid w:val="0037452F"/>
    <w:rsid w:val="00396DFD"/>
    <w:rsid w:val="003A7059"/>
    <w:rsid w:val="003B7A36"/>
    <w:rsid w:val="003C17AB"/>
    <w:rsid w:val="003C7823"/>
    <w:rsid w:val="003E1DCC"/>
    <w:rsid w:val="003F11A1"/>
    <w:rsid w:val="003F4FAB"/>
    <w:rsid w:val="003F6A59"/>
    <w:rsid w:val="004065C8"/>
    <w:rsid w:val="004109FA"/>
    <w:rsid w:val="00411B4B"/>
    <w:rsid w:val="00415BEE"/>
    <w:rsid w:val="00417820"/>
    <w:rsid w:val="004254E9"/>
    <w:rsid w:val="00427F85"/>
    <w:rsid w:val="00436D43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A277A"/>
    <w:rsid w:val="004A4BA9"/>
    <w:rsid w:val="004C331F"/>
    <w:rsid w:val="004C45E5"/>
    <w:rsid w:val="004D6103"/>
    <w:rsid w:val="004E3BCE"/>
    <w:rsid w:val="004E70AD"/>
    <w:rsid w:val="004F0E97"/>
    <w:rsid w:val="004F17E2"/>
    <w:rsid w:val="00501DD1"/>
    <w:rsid w:val="00510131"/>
    <w:rsid w:val="00515C21"/>
    <w:rsid w:val="00520A98"/>
    <w:rsid w:val="00530BD7"/>
    <w:rsid w:val="00543E6D"/>
    <w:rsid w:val="00545CD2"/>
    <w:rsid w:val="005476F3"/>
    <w:rsid w:val="00556A4B"/>
    <w:rsid w:val="00572527"/>
    <w:rsid w:val="00573E40"/>
    <w:rsid w:val="00576348"/>
    <w:rsid w:val="005A0B2E"/>
    <w:rsid w:val="005A23D2"/>
    <w:rsid w:val="005A36CB"/>
    <w:rsid w:val="005B3637"/>
    <w:rsid w:val="005B49B8"/>
    <w:rsid w:val="005C0741"/>
    <w:rsid w:val="005C3A77"/>
    <w:rsid w:val="005C5EF4"/>
    <w:rsid w:val="005C7195"/>
    <w:rsid w:val="005E2E0B"/>
    <w:rsid w:val="005E67AD"/>
    <w:rsid w:val="005E7A7D"/>
    <w:rsid w:val="00602457"/>
    <w:rsid w:val="00605046"/>
    <w:rsid w:val="006169B6"/>
    <w:rsid w:val="00644FC3"/>
    <w:rsid w:val="00646BD1"/>
    <w:rsid w:val="006561C2"/>
    <w:rsid w:val="00671CB3"/>
    <w:rsid w:val="00674BAF"/>
    <w:rsid w:val="00682200"/>
    <w:rsid w:val="00692BF6"/>
    <w:rsid w:val="0069426E"/>
    <w:rsid w:val="006A1351"/>
    <w:rsid w:val="006A1497"/>
    <w:rsid w:val="006B0BD1"/>
    <w:rsid w:val="006B5404"/>
    <w:rsid w:val="006B6503"/>
    <w:rsid w:val="006C386F"/>
    <w:rsid w:val="006D20A5"/>
    <w:rsid w:val="006D37BF"/>
    <w:rsid w:val="00702E22"/>
    <w:rsid w:val="0072020E"/>
    <w:rsid w:val="00754902"/>
    <w:rsid w:val="0078188F"/>
    <w:rsid w:val="00786071"/>
    <w:rsid w:val="00795BE9"/>
    <w:rsid w:val="007A36D2"/>
    <w:rsid w:val="007A3ECB"/>
    <w:rsid w:val="007D7BB3"/>
    <w:rsid w:val="007E31E9"/>
    <w:rsid w:val="007F05E3"/>
    <w:rsid w:val="007F661E"/>
    <w:rsid w:val="00815C1F"/>
    <w:rsid w:val="00824AB9"/>
    <w:rsid w:val="00836B35"/>
    <w:rsid w:val="00843BDE"/>
    <w:rsid w:val="0087588C"/>
    <w:rsid w:val="0089705C"/>
    <w:rsid w:val="008A6D43"/>
    <w:rsid w:val="008A760C"/>
    <w:rsid w:val="008B491E"/>
    <w:rsid w:val="008C1A28"/>
    <w:rsid w:val="008C2E98"/>
    <w:rsid w:val="008C46AD"/>
    <w:rsid w:val="008D117B"/>
    <w:rsid w:val="008E49BD"/>
    <w:rsid w:val="008E53E9"/>
    <w:rsid w:val="008E5771"/>
    <w:rsid w:val="008F4ACF"/>
    <w:rsid w:val="00924166"/>
    <w:rsid w:val="00940B9B"/>
    <w:rsid w:val="00950F03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C4E54"/>
    <w:rsid w:val="009D06AA"/>
    <w:rsid w:val="009E7C6F"/>
    <w:rsid w:val="009F1793"/>
    <w:rsid w:val="009F2D23"/>
    <w:rsid w:val="00A01D69"/>
    <w:rsid w:val="00A02335"/>
    <w:rsid w:val="00A037C7"/>
    <w:rsid w:val="00A07B9E"/>
    <w:rsid w:val="00A40D7E"/>
    <w:rsid w:val="00A46C9A"/>
    <w:rsid w:val="00A619F3"/>
    <w:rsid w:val="00A62A73"/>
    <w:rsid w:val="00A64CBC"/>
    <w:rsid w:val="00A85862"/>
    <w:rsid w:val="00A87FF6"/>
    <w:rsid w:val="00A91C87"/>
    <w:rsid w:val="00AA0A3B"/>
    <w:rsid w:val="00AA2763"/>
    <w:rsid w:val="00AA33B6"/>
    <w:rsid w:val="00AB50CA"/>
    <w:rsid w:val="00AB55D4"/>
    <w:rsid w:val="00AB6D64"/>
    <w:rsid w:val="00AC0D0E"/>
    <w:rsid w:val="00AC11EA"/>
    <w:rsid w:val="00AC53CE"/>
    <w:rsid w:val="00AD2193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3519"/>
    <w:rsid w:val="00C61BE0"/>
    <w:rsid w:val="00C6707E"/>
    <w:rsid w:val="00C709C0"/>
    <w:rsid w:val="00C70B0E"/>
    <w:rsid w:val="00C773CA"/>
    <w:rsid w:val="00C83785"/>
    <w:rsid w:val="00C87FA8"/>
    <w:rsid w:val="00C90852"/>
    <w:rsid w:val="00C94C0D"/>
    <w:rsid w:val="00CA1FEB"/>
    <w:rsid w:val="00CD4F85"/>
    <w:rsid w:val="00CD6F02"/>
    <w:rsid w:val="00CE246D"/>
    <w:rsid w:val="00CF07A0"/>
    <w:rsid w:val="00CF19B6"/>
    <w:rsid w:val="00CF3E03"/>
    <w:rsid w:val="00D0082A"/>
    <w:rsid w:val="00D21455"/>
    <w:rsid w:val="00D3068F"/>
    <w:rsid w:val="00D47634"/>
    <w:rsid w:val="00D709B3"/>
    <w:rsid w:val="00D74CD2"/>
    <w:rsid w:val="00D776DB"/>
    <w:rsid w:val="00DA2ED6"/>
    <w:rsid w:val="00DB1D55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235D"/>
    <w:rsid w:val="00E7394F"/>
    <w:rsid w:val="00E74AEE"/>
    <w:rsid w:val="00E83E7B"/>
    <w:rsid w:val="00E868E5"/>
    <w:rsid w:val="00E91805"/>
    <w:rsid w:val="00E9237A"/>
    <w:rsid w:val="00E939FA"/>
    <w:rsid w:val="00E97107"/>
    <w:rsid w:val="00EA5765"/>
    <w:rsid w:val="00EC2532"/>
    <w:rsid w:val="00ED7812"/>
    <w:rsid w:val="00EE6F55"/>
    <w:rsid w:val="00EF3B86"/>
    <w:rsid w:val="00F05FA9"/>
    <w:rsid w:val="00F16223"/>
    <w:rsid w:val="00F26557"/>
    <w:rsid w:val="00F317E9"/>
    <w:rsid w:val="00F34554"/>
    <w:rsid w:val="00F35B68"/>
    <w:rsid w:val="00F45F77"/>
    <w:rsid w:val="00F511EB"/>
    <w:rsid w:val="00F5167F"/>
    <w:rsid w:val="00F52258"/>
    <w:rsid w:val="00F8570A"/>
    <w:rsid w:val="00F91C7B"/>
    <w:rsid w:val="00FD2528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3A25D"/>
  <w15:chartTrackingRefBased/>
  <w15:docId w15:val="{3BDA8E12-411B-4EEB-A5E2-CBFBD3C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7452F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745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37452F"/>
    <w:pPr>
      <w:widowControl w:val="0"/>
      <w:autoSpaceDE w:val="0"/>
      <w:autoSpaceDN w:val="0"/>
      <w:ind w:left="497" w:hanging="384"/>
    </w:pPr>
    <w:rPr>
      <w:sz w:val="22"/>
      <w:szCs w:val="22"/>
    </w:rPr>
  </w:style>
  <w:style w:type="paragraph" w:styleId="Revision">
    <w:name w:val="Revision"/>
    <w:hidden/>
    <w:uiPriority w:val="99"/>
    <w:semiHidden/>
    <w:rsid w:val="000A6A5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DEBE-8255-4102-9320-C304772B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16327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3</cp:revision>
  <cp:lastPrinted>2023-02-09T08:16:00Z</cp:lastPrinted>
  <dcterms:created xsi:type="dcterms:W3CDTF">2024-12-12T08:04:00Z</dcterms:created>
  <dcterms:modified xsi:type="dcterms:W3CDTF">2024-12-12T09:47:00Z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