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0168" w14:textId="77777777" w:rsidR="005829BA" w:rsidRPr="00C765E8" w:rsidRDefault="005829BA" w:rsidP="00685D64">
      <w:pPr>
        <w:widowControl w:val="0"/>
        <w:rPr>
          <w:b/>
          <w:szCs w:val="22"/>
          <w:lang w:val="sr-Latn-ME"/>
        </w:rPr>
      </w:pPr>
    </w:p>
    <w:p w14:paraId="364E1D03" w14:textId="3E6BEC58" w:rsidR="00D66380" w:rsidRPr="00C765E8" w:rsidRDefault="00D66380" w:rsidP="00685D64">
      <w:pPr>
        <w:tabs>
          <w:tab w:val="clear" w:pos="567"/>
        </w:tabs>
        <w:jc w:val="center"/>
        <w:rPr>
          <w:b/>
          <w:bCs/>
          <w:iCs/>
          <w:szCs w:val="22"/>
          <w:u w:val="single"/>
          <w:lang w:val="sr-Latn-ME"/>
        </w:rPr>
      </w:pPr>
      <w:r w:rsidRPr="00C765E8">
        <w:rPr>
          <w:b/>
          <w:bCs/>
          <w:iCs/>
          <w:szCs w:val="22"/>
          <w:u w:val="single"/>
          <w:lang w:val="sr-Latn-ME"/>
        </w:rPr>
        <w:t>SAŽETAK KARAKTERISTIKA LIJEKA</w:t>
      </w:r>
    </w:p>
    <w:p w14:paraId="4D56AEF4" w14:textId="77777777" w:rsidR="00D66380" w:rsidRPr="00C765E8" w:rsidRDefault="00D66380" w:rsidP="00685D64">
      <w:pPr>
        <w:tabs>
          <w:tab w:val="clear" w:pos="567"/>
        </w:tabs>
        <w:jc w:val="center"/>
        <w:rPr>
          <w:b/>
          <w:bCs/>
          <w:iCs/>
          <w:szCs w:val="22"/>
          <w:u w:val="single"/>
          <w:lang w:val="sr-Latn-ME"/>
        </w:rPr>
      </w:pPr>
    </w:p>
    <w:p w14:paraId="6DBBD0AE" w14:textId="77777777" w:rsidR="00D66380" w:rsidRPr="00C765E8" w:rsidRDefault="00D66380" w:rsidP="0081791C">
      <w:pPr>
        <w:tabs>
          <w:tab w:val="clear" w:pos="567"/>
        </w:tabs>
        <w:spacing w:after="40"/>
        <w:ind w:left="108"/>
        <w:rPr>
          <w:b/>
          <w:bCs/>
          <w:szCs w:val="22"/>
          <w:u w:val="single"/>
          <w:lang w:val="sr-Latn-ME"/>
        </w:rPr>
      </w:pPr>
    </w:p>
    <w:p w14:paraId="6B62E745" w14:textId="77777777" w:rsidR="005829BA" w:rsidRPr="00C765E8" w:rsidRDefault="005829BA" w:rsidP="005829BA">
      <w:pPr>
        <w:widowControl w:val="0"/>
        <w:numPr>
          <w:ilvl w:val="0"/>
          <w:numId w:val="26"/>
        </w:numPr>
        <w:spacing w:line="240" w:lineRule="auto"/>
        <w:ind w:left="567"/>
        <w:jc w:val="both"/>
        <w:rPr>
          <w:b/>
          <w:szCs w:val="22"/>
          <w:lang w:val="sr-Latn-ME"/>
        </w:rPr>
      </w:pPr>
      <w:r w:rsidRPr="00C765E8">
        <w:rPr>
          <w:b/>
          <w:szCs w:val="22"/>
          <w:lang w:val="sr-Latn-ME"/>
        </w:rPr>
        <w:t>NAZIV LIJEKA</w:t>
      </w:r>
    </w:p>
    <w:p w14:paraId="4C4F336F" w14:textId="77777777" w:rsidR="005829BA" w:rsidRPr="00C765E8" w:rsidRDefault="005829BA" w:rsidP="005829BA">
      <w:pPr>
        <w:widowControl w:val="0"/>
        <w:ind w:left="930"/>
        <w:jc w:val="both"/>
        <w:rPr>
          <w:b/>
          <w:szCs w:val="22"/>
          <w:lang w:val="sr-Latn-ME"/>
        </w:rPr>
      </w:pPr>
    </w:p>
    <w:p w14:paraId="1574FC6C" w14:textId="2C5943CE" w:rsidR="005829BA" w:rsidRPr="00C765E8" w:rsidRDefault="00B1555F" w:rsidP="005829BA">
      <w:pPr>
        <w:tabs>
          <w:tab w:val="left" w:pos="284"/>
        </w:tabs>
        <w:rPr>
          <w:rFonts w:eastAsia="MS Mincho"/>
          <w:szCs w:val="22"/>
          <w:lang w:val="sr-Latn-ME" w:eastAsia="ja-JP"/>
        </w:rPr>
      </w:pPr>
      <w:r w:rsidRPr="00C765E8">
        <w:rPr>
          <w:rFonts w:eastAsia="MS Mincho"/>
          <w:bCs/>
          <w:szCs w:val="22"/>
          <w:lang w:val="sr-Latn-ME" w:eastAsia="ja-JP"/>
        </w:rPr>
        <w:t>Ampril</w:t>
      </w:r>
      <w:r w:rsidR="005829BA" w:rsidRPr="00C765E8">
        <w:rPr>
          <w:rFonts w:eastAsia="MS Mincho"/>
          <w:bCs/>
          <w:szCs w:val="22"/>
          <w:lang w:val="sr-Latn-ME" w:eastAsia="ja-JP"/>
        </w:rPr>
        <w:t xml:space="preserve"> HL</w:t>
      </w:r>
      <w:r w:rsidR="00824B12" w:rsidRPr="00C765E8">
        <w:rPr>
          <w:rFonts w:eastAsia="MS Mincho"/>
          <w:bCs/>
          <w:szCs w:val="22"/>
          <w:lang w:val="sr-Latn-ME" w:eastAsia="ja-JP"/>
        </w:rPr>
        <w:t>,</w:t>
      </w:r>
      <w:r w:rsidR="005829BA" w:rsidRPr="00C765E8">
        <w:rPr>
          <w:rFonts w:eastAsia="MS Mincho"/>
          <w:b/>
          <w:szCs w:val="22"/>
          <w:lang w:val="sr-Latn-ME" w:eastAsia="ja-JP"/>
        </w:rPr>
        <w:t xml:space="preserve"> </w:t>
      </w:r>
      <w:r w:rsidR="0060118C" w:rsidRPr="00C765E8">
        <w:rPr>
          <w:rFonts w:eastAsia="MS Mincho"/>
          <w:szCs w:val="22"/>
          <w:lang w:val="sr-Latn-ME" w:eastAsia="ja-JP"/>
        </w:rPr>
        <w:t>2,5</w:t>
      </w:r>
      <w:r w:rsidR="002E61A3" w:rsidRPr="00C765E8">
        <w:rPr>
          <w:rFonts w:eastAsia="MS Mincho"/>
          <w:szCs w:val="22"/>
          <w:lang w:val="sr-Latn-ME" w:eastAsia="ja-JP"/>
        </w:rPr>
        <w:t xml:space="preserve"> </w:t>
      </w:r>
      <w:r w:rsidR="0060118C" w:rsidRPr="00C765E8">
        <w:rPr>
          <w:rFonts w:eastAsia="MS Mincho"/>
          <w:szCs w:val="22"/>
          <w:lang w:val="sr-Latn-ME" w:eastAsia="ja-JP"/>
        </w:rPr>
        <w:t>mg</w:t>
      </w:r>
      <w:r w:rsidR="002E61A3" w:rsidRPr="00C765E8">
        <w:rPr>
          <w:rFonts w:eastAsia="MS Mincho"/>
          <w:szCs w:val="22"/>
          <w:lang w:val="sr-Latn-ME" w:eastAsia="ja-JP"/>
        </w:rPr>
        <w:t xml:space="preserve"> </w:t>
      </w:r>
      <w:r w:rsidR="0060118C" w:rsidRPr="00C765E8">
        <w:rPr>
          <w:rFonts w:eastAsia="MS Mincho"/>
          <w:szCs w:val="22"/>
          <w:lang w:val="sr-Latn-ME" w:eastAsia="ja-JP"/>
        </w:rPr>
        <w:t>+</w:t>
      </w:r>
      <w:r w:rsidR="002E61A3" w:rsidRPr="00C765E8">
        <w:rPr>
          <w:rFonts w:eastAsia="MS Mincho"/>
          <w:szCs w:val="22"/>
          <w:lang w:val="sr-Latn-ME" w:eastAsia="ja-JP"/>
        </w:rPr>
        <w:t xml:space="preserve"> </w:t>
      </w:r>
      <w:r w:rsidR="0060118C" w:rsidRPr="00C765E8">
        <w:rPr>
          <w:rFonts w:eastAsia="MS Mincho"/>
          <w:szCs w:val="22"/>
          <w:lang w:val="sr-Latn-ME" w:eastAsia="ja-JP"/>
        </w:rPr>
        <w:t>12,5 mg</w:t>
      </w:r>
      <w:r w:rsidR="00824B12" w:rsidRPr="00C765E8">
        <w:rPr>
          <w:rFonts w:eastAsia="MS Mincho"/>
          <w:szCs w:val="22"/>
          <w:lang w:val="sr-Latn-ME" w:eastAsia="ja-JP"/>
        </w:rPr>
        <w:t>,</w:t>
      </w:r>
      <w:r w:rsidR="0060118C" w:rsidRPr="00C765E8">
        <w:rPr>
          <w:rFonts w:eastAsia="MS Mincho"/>
          <w:szCs w:val="22"/>
          <w:lang w:val="sr-Latn-ME" w:eastAsia="ja-JP"/>
        </w:rPr>
        <w:t xml:space="preserve"> tablet</w:t>
      </w:r>
      <w:r w:rsidR="002E61A3" w:rsidRPr="00C765E8">
        <w:rPr>
          <w:rFonts w:eastAsia="MS Mincho"/>
          <w:szCs w:val="22"/>
          <w:lang w:val="sr-Latn-ME" w:eastAsia="ja-JP"/>
        </w:rPr>
        <w:t>a</w:t>
      </w:r>
    </w:p>
    <w:p w14:paraId="44047F92" w14:textId="778AF57C" w:rsidR="005829BA" w:rsidRPr="00C765E8" w:rsidRDefault="00B1555F" w:rsidP="005829BA">
      <w:pPr>
        <w:widowControl w:val="0"/>
        <w:jc w:val="both"/>
        <w:rPr>
          <w:rFonts w:eastAsia="MS Mincho"/>
          <w:szCs w:val="22"/>
          <w:lang w:val="sr-Latn-ME" w:eastAsia="ja-JP"/>
        </w:rPr>
      </w:pPr>
      <w:r w:rsidRPr="00C765E8">
        <w:rPr>
          <w:rFonts w:eastAsia="MS Mincho"/>
          <w:bCs/>
          <w:szCs w:val="22"/>
          <w:lang w:val="sr-Latn-ME" w:eastAsia="ja-JP"/>
        </w:rPr>
        <w:t>Ampril</w:t>
      </w:r>
      <w:r w:rsidR="005829BA" w:rsidRPr="00C765E8">
        <w:rPr>
          <w:rFonts w:eastAsia="MS Mincho"/>
          <w:bCs/>
          <w:szCs w:val="22"/>
          <w:lang w:val="sr-Latn-ME" w:eastAsia="ja-JP"/>
        </w:rPr>
        <w:t xml:space="preserve"> HD</w:t>
      </w:r>
      <w:r w:rsidR="00824B12" w:rsidRPr="00C765E8">
        <w:rPr>
          <w:rFonts w:eastAsia="MS Mincho"/>
          <w:bCs/>
          <w:szCs w:val="22"/>
          <w:lang w:val="sr-Latn-ME" w:eastAsia="ja-JP"/>
        </w:rPr>
        <w:t>,</w:t>
      </w:r>
      <w:r w:rsidR="005829BA" w:rsidRPr="00C765E8">
        <w:rPr>
          <w:rFonts w:eastAsia="MS Mincho"/>
          <w:b/>
          <w:szCs w:val="22"/>
          <w:lang w:val="sr-Latn-ME" w:eastAsia="ja-JP"/>
        </w:rPr>
        <w:t xml:space="preserve"> </w:t>
      </w:r>
      <w:r w:rsidR="0060118C" w:rsidRPr="00C765E8">
        <w:rPr>
          <w:rFonts w:eastAsia="MS Mincho"/>
          <w:szCs w:val="22"/>
          <w:lang w:val="sr-Latn-ME" w:eastAsia="ja-JP"/>
        </w:rPr>
        <w:t>5</w:t>
      </w:r>
      <w:r w:rsidR="002E61A3" w:rsidRPr="00C765E8">
        <w:rPr>
          <w:rFonts w:eastAsia="MS Mincho"/>
          <w:szCs w:val="22"/>
          <w:lang w:val="sr-Latn-ME" w:eastAsia="ja-JP"/>
        </w:rPr>
        <w:t xml:space="preserve"> </w:t>
      </w:r>
      <w:r w:rsidR="0060118C" w:rsidRPr="00C765E8">
        <w:rPr>
          <w:rFonts w:eastAsia="MS Mincho"/>
          <w:szCs w:val="22"/>
          <w:lang w:val="sr-Latn-ME" w:eastAsia="ja-JP"/>
        </w:rPr>
        <w:t>mg</w:t>
      </w:r>
      <w:r w:rsidR="002E61A3" w:rsidRPr="00C765E8">
        <w:rPr>
          <w:rFonts w:eastAsia="MS Mincho"/>
          <w:szCs w:val="22"/>
          <w:lang w:val="sr-Latn-ME" w:eastAsia="ja-JP"/>
        </w:rPr>
        <w:t xml:space="preserve"> </w:t>
      </w:r>
      <w:r w:rsidR="0060118C" w:rsidRPr="00C765E8">
        <w:rPr>
          <w:rFonts w:eastAsia="MS Mincho"/>
          <w:szCs w:val="22"/>
          <w:lang w:val="sr-Latn-ME" w:eastAsia="ja-JP"/>
        </w:rPr>
        <w:t>+</w:t>
      </w:r>
      <w:r w:rsidR="002E61A3" w:rsidRPr="00C765E8">
        <w:rPr>
          <w:rFonts w:eastAsia="MS Mincho"/>
          <w:szCs w:val="22"/>
          <w:lang w:val="sr-Latn-ME" w:eastAsia="ja-JP"/>
        </w:rPr>
        <w:t xml:space="preserve"> </w:t>
      </w:r>
      <w:r w:rsidR="0060118C" w:rsidRPr="00C765E8">
        <w:rPr>
          <w:rFonts w:eastAsia="MS Mincho"/>
          <w:szCs w:val="22"/>
          <w:lang w:val="sr-Latn-ME" w:eastAsia="ja-JP"/>
        </w:rPr>
        <w:t>25 mg</w:t>
      </w:r>
      <w:r w:rsidR="00824B12" w:rsidRPr="00C765E8">
        <w:rPr>
          <w:rFonts w:eastAsia="MS Mincho"/>
          <w:szCs w:val="22"/>
          <w:lang w:val="sr-Latn-ME" w:eastAsia="ja-JP"/>
        </w:rPr>
        <w:t>,</w:t>
      </w:r>
      <w:r w:rsidR="0060118C" w:rsidRPr="00C765E8">
        <w:rPr>
          <w:rFonts w:eastAsia="MS Mincho"/>
          <w:szCs w:val="22"/>
          <w:lang w:val="sr-Latn-ME" w:eastAsia="ja-JP"/>
        </w:rPr>
        <w:t xml:space="preserve"> tablet</w:t>
      </w:r>
      <w:r w:rsidR="002E61A3" w:rsidRPr="00C765E8">
        <w:rPr>
          <w:rFonts w:eastAsia="MS Mincho"/>
          <w:szCs w:val="22"/>
          <w:lang w:val="sr-Latn-ME" w:eastAsia="ja-JP"/>
        </w:rPr>
        <w:t>a</w:t>
      </w:r>
    </w:p>
    <w:p w14:paraId="7B9ED0B0" w14:textId="77777777" w:rsidR="005829BA" w:rsidRPr="00C765E8" w:rsidRDefault="005829BA" w:rsidP="005829BA">
      <w:pPr>
        <w:widowControl w:val="0"/>
        <w:jc w:val="both"/>
        <w:rPr>
          <w:szCs w:val="22"/>
          <w:lang w:val="sr-Latn-ME"/>
        </w:rPr>
      </w:pPr>
    </w:p>
    <w:p w14:paraId="16B8E92D" w14:textId="77777777" w:rsidR="005829BA" w:rsidRPr="00C765E8" w:rsidRDefault="005829BA" w:rsidP="005829BA">
      <w:pPr>
        <w:tabs>
          <w:tab w:val="left" w:pos="284"/>
          <w:tab w:val="center" w:pos="4320"/>
          <w:tab w:val="right" w:pos="8640"/>
        </w:tabs>
        <w:rPr>
          <w:szCs w:val="22"/>
          <w:lang w:val="sr-Latn-ME"/>
        </w:rPr>
      </w:pPr>
      <w:r w:rsidRPr="00C765E8">
        <w:rPr>
          <w:szCs w:val="22"/>
          <w:lang w:val="sr-Latn-ME"/>
        </w:rPr>
        <w:t>INN:  ramipril, hidrohlortiazid</w:t>
      </w:r>
    </w:p>
    <w:p w14:paraId="4ED612ED" w14:textId="77777777" w:rsidR="005829BA" w:rsidRPr="00C765E8" w:rsidRDefault="005829BA" w:rsidP="005829BA">
      <w:pPr>
        <w:widowControl w:val="0"/>
        <w:jc w:val="both"/>
        <w:rPr>
          <w:szCs w:val="22"/>
          <w:lang w:val="sr-Latn-ME"/>
        </w:rPr>
      </w:pPr>
    </w:p>
    <w:p w14:paraId="05A0F50E" w14:textId="77777777" w:rsidR="005829BA" w:rsidRPr="00C765E8" w:rsidRDefault="005829BA" w:rsidP="005829BA">
      <w:pPr>
        <w:widowControl w:val="0"/>
        <w:jc w:val="both"/>
        <w:rPr>
          <w:szCs w:val="22"/>
          <w:lang w:val="sr-Latn-ME"/>
        </w:rPr>
      </w:pPr>
    </w:p>
    <w:p w14:paraId="0AE5BD3B" w14:textId="77777777" w:rsidR="005829BA" w:rsidRPr="00C765E8" w:rsidRDefault="005829BA" w:rsidP="005829BA">
      <w:pPr>
        <w:widowControl w:val="0"/>
        <w:jc w:val="both"/>
        <w:rPr>
          <w:szCs w:val="22"/>
          <w:lang w:val="sr-Latn-ME"/>
        </w:rPr>
      </w:pPr>
      <w:r w:rsidRPr="00C765E8">
        <w:rPr>
          <w:b/>
          <w:szCs w:val="22"/>
          <w:lang w:val="sr-Latn-ME"/>
        </w:rPr>
        <w:t>2.</w:t>
      </w:r>
      <w:r w:rsidRPr="00C765E8">
        <w:rPr>
          <w:b/>
          <w:szCs w:val="22"/>
          <w:lang w:val="sr-Latn-ME"/>
        </w:rPr>
        <w:tab/>
        <w:t>KVALITATIVNI I KVANTITATIVNI SASTAV</w:t>
      </w:r>
    </w:p>
    <w:p w14:paraId="2A993B2E" w14:textId="77777777" w:rsidR="005829BA" w:rsidRPr="00C765E8" w:rsidRDefault="005829BA" w:rsidP="005829BA">
      <w:pPr>
        <w:widowControl w:val="0"/>
        <w:jc w:val="both"/>
        <w:rPr>
          <w:szCs w:val="22"/>
          <w:lang w:val="sr-Latn-ME"/>
        </w:rPr>
      </w:pPr>
    </w:p>
    <w:p w14:paraId="538016C5" w14:textId="73E13D5F" w:rsidR="005829BA" w:rsidRPr="00C765E8" w:rsidRDefault="00B1555F" w:rsidP="005829BA">
      <w:pPr>
        <w:tabs>
          <w:tab w:val="right" w:pos="285"/>
          <w:tab w:val="center" w:pos="4320"/>
          <w:tab w:val="right" w:pos="8640"/>
        </w:tabs>
        <w:rPr>
          <w:i/>
          <w:szCs w:val="22"/>
          <w:lang w:val="sr-Latn-ME"/>
        </w:rPr>
      </w:pPr>
      <w:r w:rsidRPr="00C765E8">
        <w:rPr>
          <w:bCs/>
          <w:i/>
          <w:szCs w:val="22"/>
          <w:lang w:val="sr-Latn-ME"/>
        </w:rPr>
        <w:t>Ampril</w:t>
      </w:r>
      <w:r w:rsidR="005829BA" w:rsidRPr="00C765E8">
        <w:rPr>
          <w:bCs/>
          <w:i/>
          <w:szCs w:val="22"/>
          <w:lang w:val="sr-Latn-ME"/>
        </w:rPr>
        <w:t xml:space="preserve"> HL</w:t>
      </w:r>
      <w:r w:rsidR="00A178DE" w:rsidRPr="00C765E8">
        <w:rPr>
          <w:i/>
          <w:szCs w:val="22"/>
          <w:lang w:val="sr-Latn-ME"/>
        </w:rPr>
        <w:t xml:space="preserve"> 2,5 mg</w:t>
      </w:r>
      <w:r w:rsidR="002E61A3" w:rsidRPr="00C765E8">
        <w:rPr>
          <w:i/>
          <w:szCs w:val="22"/>
          <w:lang w:val="sr-Latn-ME"/>
        </w:rPr>
        <w:t xml:space="preserve"> </w:t>
      </w:r>
      <w:r w:rsidR="00A178DE" w:rsidRPr="00C765E8">
        <w:rPr>
          <w:i/>
          <w:szCs w:val="22"/>
          <w:lang w:val="sr-Latn-ME"/>
        </w:rPr>
        <w:t>+</w:t>
      </w:r>
      <w:r w:rsidR="002E61A3" w:rsidRPr="00C765E8">
        <w:rPr>
          <w:i/>
          <w:szCs w:val="22"/>
          <w:lang w:val="sr-Latn-ME"/>
        </w:rPr>
        <w:t xml:space="preserve"> </w:t>
      </w:r>
      <w:r w:rsidR="00A178DE" w:rsidRPr="00C765E8">
        <w:rPr>
          <w:i/>
          <w:szCs w:val="22"/>
          <w:lang w:val="sr-Latn-ME"/>
        </w:rPr>
        <w:t>12,5 mg tablete</w:t>
      </w:r>
    </w:p>
    <w:p w14:paraId="73F67335" w14:textId="4AC5062C" w:rsidR="005829BA" w:rsidRPr="00C765E8" w:rsidRDefault="00824B12" w:rsidP="005829BA">
      <w:pPr>
        <w:tabs>
          <w:tab w:val="right" w:pos="285"/>
          <w:tab w:val="center" w:pos="4320"/>
          <w:tab w:val="right" w:pos="8640"/>
        </w:tabs>
        <w:rPr>
          <w:szCs w:val="22"/>
          <w:lang w:val="sr-Latn-ME"/>
        </w:rPr>
      </w:pPr>
      <w:r w:rsidRPr="00C765E8">
        <w:rPr>
          <w:szCs w:val="22"/>
          <w:lang w:val="sr-Latn-ME"/>
        </w:rPr>
        <w:t xml:space="preserve">Svaka </w:t>
      </w:r>
      <w:r w:rsidR="005829BA" w:rsidRPr="00C765E8">
        <w:rPr>
          <w:szCs w:val="22"/>
          <w:lang w:val="sr-Latn-ME"/>
        </w:rPr>
        <w:t>tableta sadrži 2,5 mg ramiprila i 12,5 mg hidrohlortiazida.</w:t>
      </w:r>
    </w:p>
    <w:p w14:paraId="50AEAAD2" w14:textId="77777777" w:rsidR="005829BA" w:rsidRPr="00C765E8" w:rsidRDefault="005829BA" w:rsidP="005829BA">
      <w:pPr>
        <w:tabs>
          <w:tab w:val="right" w:pos="285"/>
          <w:tab w:val="center" w:pos="4320"/>
          <w:tab w:val="right" w:pos="8640"/>
        </w:tabs>
        <w:rPr>
          <w:szCs w:val="22"/>
          <w:lang w:val="sr-Latn-ME"/>
        </w:rPr>
      </w:pPr>
    </w:p>
    <w:p w14:paraId="57DC09C9" w14:textId="5F5F82E4" w:rsidR="005829BA" w:rsidRPr="00C765E8" w:rsidRDefault="00B1555F" w:rsidP="005829BA">
      <w:pPr>
        <w:tabs>
          <w:tab w:val="right" w:pos="285"/>
          <w:tab w:val="center" w:pos="4320"/>
          <w:tab w:val="right" w:pos="8640"/>
        </w:tabs>
        <w:rPr>
          <w:i/>
          <w:szCs w:val="22"/>
          <w:lang w:val="sr-Latn-ME"/>
        </w:rPr>
      </w:pPr>
      <w:r w:rsidRPr="00C765E8">
        <w:rPr>
          <w:bCs/>
          <w:i/>
          <w:szCs w:val="22"/>
          <w:lang w:val="sr-Latn-ME"/>
        </w:rPr>
        <w:t>Ampril</w:t>
      </w:r>
      <w:r w:rsidR="005829BA" w:rsidRPr="00C765E8">
        <w:rPr>
          <w:bCs/>
          <w:i/>
          <w:szCs w:val="22"/>
          <w:lang w:val="sr-Latn-ME"/>
        </w:rPr>
        <w:t xml:space="preserve"> HD</w:t>
      </w:r>
      <w:r w:rsidR="00A178DE" w:rsidRPr="00C765E8">
        <w:rPr>
          <w:i/>
          <w:szCs w:val="22"/>
          <w:lang w:val="sr-Latn-ME"/>
        </w:rPr>
        <w:t xml:space="preserve"> 5 mg</w:t>
      </w:r>
      <w:r w:rsidR="002E61A3" w:rsidRPr="00C765E8">
        <w:rPr>
          <w:i/>
          <w:szCs w:val="22"/>
          <w:lang w:val="sr-Latn-ME"/>
        </w:rPr>
        <w:t xml:space="preserve"> </w:t>
      </w:r>
      <w:r w:rsidR="00A178DE" w:rsidRPr="00C765E8">
        <w:rPr>
          <w:i/>
          <w:szCs w:val="22"/>
          <w:lang w:val="sr-Latn-ME"/>
        </w:rPr>
        <w:t>+</w:t>
      </w:r>
      <w:r w:rsidR="002E61A3" w:rsidRPr="00C765E8">
        <w:rPr>
          <w:i/>
          <w:szCs w:val="22"/>
          <w:lang w:val="sr-Latn-ME"/>
        </w:rPr>
        <w:t xml:space="preserve"> </w:t>
      </w:r>
      <w:r w:rsidR="00A178DE" w:rsidRPr="00C765E8">
        <w:rPr>
          <w:i/>
          <w:szCs w:val="22"/>
          <w:lang w:val="sr-Latn-ME"/>
        </w:rPr>
        <w:t>25 mg tablete</w:t>
      </w:r>
    </w:p>
    <w:p w14:paraId="2F705982" w14:textId="7AC894CD" w:rsidR="005829BA" w:rsidRPr="00C765E8" w:rsidRDefault="00824B12" w:rsidP="005829BA">
      <w:pPr>
        <w:tabs>
          <w:tab w:val="right" w:pos="285"/>
          <w:tab w:val="center" w:pos="4320"/>
          <w:tab w:val="right" w:pos="8640"/>
        </w:tabs>
        <w:rPr>
          <w:szCs w:val="22"/>
          <w:lang w:val="sr-Latn-ME"/>
        </w:rPr>
      </w:pPr>
      <w:r w:rsidRPr="00C765E8">
        <w:rPr>
          <w:szCs w:val="22"/>
          <w:lang w:val="sr-Latn-ME"/>
        </w:rPr>
        <w:t xml:space="preserve">Svaka </w:t>
      </w:r>
      <w:r w:rsidR="005829BA" w:rsidRPr="00C765E8">
        <w:rPr>
          <w:szCs w:val="22"/>
          <w:lang w:val="sr-Latn-ME"/>
        </w:rPr>
        <w:t>tableta sadrži 5 mg ramiprila i 25 mg hidrohlortiazida.</w:t>
      </w:r>
    </w:p>
    <w:p w14:paraId="0426A2E0" w14:textId="77777777" w:rsidR="005829BA" w:rsidRPr="00C765E8" w:rsidRDefault="005829BA" w:rsidP="005829BA">
      <w:pPr>
        <w:tabs>
          <w:tab w:val="right" w:pos="285"/>
          <w:tab w:val="center" w:pos="4320"/>
          <w:tab w:val="right" w:pos="8640"/>
        </w:tabs>
        <w:rPr>
          <w:szCs w:val="22"/>
          <w:lang w:val="sr-Latn-ME"/>
        </w:rPr>
      </w:pPr>
    </w:p>
    <w:p w14:paraId="59432C43" w14:textId="52B9F052" w:rsidR="005829BA" w:rsidRPr="00C765E8" w:rsidRDefault="005829BA" w:rsidP="005829BA">
      <w:pPr>
        <w:tabs>
          <w:tab w:val="right" w:pos="285"/>
          <w:tab w:val="center" w:pos="4320"/>
          <w:tab w:val="right" w:pos="8640"/>
        </w:tabs>
        <w:rPr>
          <w:szCs w:val="22"/>
          <w:u w:val="single"/>
          <w:lang w:val="sr-Latn-ME"/>
        </w:rPr>
      </w:pPr>
      <w:r w:rsidRPr="00C765E8">
        <w:rPr>
          <w:szCs w:val="22"/>
          <w:u w:val="single"/>
          <w:lang w:val="sr-Latn-ME"/>
        </w:rPr>
        <w:t>Pomoćne supstance</w:t>
      </w:r>
      <w:r w:rsidR="00D66380" w:rsidRPr="00C765E8">
        <w:rPr>
          <w:szCs w:val="22"/>
          <w:u w:val="single"/>
          <w:lang w:val="sr-Latn-ME"/>
        </w:rPr>
        <w:t xml:space="preserve"> sa potvrđenim dejstvom</w:t>
      </w:r>
      <w:r w:rsidRPr="00C765E8">
        <w:rPr>
          <w:szCs w:val="22"/>
          <w:u w:val="single"/>
          <w:lang w:val="sr-Latn-ME"/>
        </w:rPr>
        <w:t>:</w:t>
      </w:r>
    </w:p>
    <w:p w14:paraId="0105EBB9" w14:textId="60C5DAA4" w:rsidR="005829BA" w:rsidRPr="00C765E8" w:rsidRDefault="00B1555F" w:rsidP="005829BA">
      <w:pPr>
        <w:tabs>
          <w:tab w:val="right" w:pos="285"/>
          <w:tab w:val="center" w:pos="4320"/>
          <w:tab w:val="right" w:pos="8640"/>
        </w:tabs>
        <w:rPr>
          <w:bCs/>
          <w:i/>
          <w:szCs w:val="22"/>
          <w:lang w:val="sr-Latn-ME"/>
        </w:rPr>
      </w:pPr>
      <w:r w:rsidRPr="00C765E8">
        <w:rPr>
          <w:bCs/>
          <w:i/>
          <w:szCs w:val="22"/>
          <w:lang w:val="sr-Latn-ME"/>
        </w:rPr>
        <w:t>Ampril</w:t>
      </w:r>
      <w:r w:rsidR="00A178DE" w:rsidRPr="00C765E8">
        <w:rPr>
          <w:bCs/>
          <w:i/>
          <w:szCs w:val="22"/>
          <w:lang w:val="sr-Latn-ME"/>
        </w:rPr>
        <w:t xml:space="preserve"> HL 2,5 mg</w:t>
      </w:r>
      <w:r w:rsidR="002E61A3" w:rsidRPr="00C765E8">
        <w:rPr>
          <w:bCs/>
          <w:i/>
          <w:szCs w:val="22"/>
          <w:lang w:val="sr-Latn-ME"/>
        </w:rPr>
        <w:t xml:space="preserve"> </w:t>
      </w:r>
      <w:r w:rsidR="00A178DE" w:rsidRPr="00C765E8">
        <w:rPr>
          <w:bCs/>
          <w:i/>
          <w:szCs w:val="22"/>
          <w:lang w:val="sr-Latn-ME"/>
        </w:rPr>
        <w:t>+</w:t>
      </w:r>
      <w:r w:rsidR="002E61A3" w:rsidRPr="00C765E8">
        <w:rPr>
          <w:bCs/>
          <w:i/>
          <w:szCs w:val="22"/>
          <w:lang w:val="sr-Latn-ME"/>
        </w:rPr>
        <w:t xml:space="preserve"> </w:t>
      </w:r>
      <w:r w:rsidR="00A178DE" w:rsidRPr="00C765E8">
        <w:rPr>
          <w:bCs/>
          <w:i/>
          <w:szCs w:val="22"/>
          <w:lang w:val="sr-Latn-ME"/>
        </w:rPr>
        <w:t>12,5 mg tablete</w:t>
      </w:r>
    </w:p>
    <w:p w14:paraId="5B30C277" w14:textId="5E0222A6" w:rsidR="005829BA" w:rsidRPr="00C765E8" w:rsidRDefault="00824B12" w:rsidP="005829BA">
      <w:pPr>
        <w:tabs>
          <w:tab w:val="right" w:pos="285"/>
          <w:tab w:val="center" w:pos="4320"/>
          <w:tab w:val="right" w:pos="8640"/>
        </w:tabs>
        <w:rPr>
          <w:szCs w:val="22"/>
          <w:lang w:val="sr-Latn-ME"/>
        </w:rPr>
      </w:pPr>
      <w:r w:rsidRPr="00C765E8">
        <w:rPr>
          <w:szCs w:val="22"/>
          <w:lang w:val="sr-Latn-ME"/>
        </w:rPr>
        <w:t xml:space="preserve">Svaka </w:t>
      </w:r>
      <w:r w:rsidR="005829BA" w:rsidRPr="00C765E8">
        <w:rPr>
          <w:szCs w:val="22"/>
          <w:lang w:val="sr-Latn-ME"/>
        </w:rPr>
        <w:t>tableta sadrži 61,28 mg laktoze.</w:t>
      </w:r>
    </w:p>
    <w:p w14:paraId="78A13A27" w14:textId="77777777" w:rsidR="005829BA" w:rsidRPr="00C765E8" w:rsidRDefault="005829BA" w:rsidP="005829BA">
      <w:pPr>
        <w:tabs>
          <w:tab w:val="right" w:pos="285"/>
          <w:tab w:val="center" w:pos="4320"/>
          <w:tab w:val="right" w:pos="8640"/>
        </w:tabs>
        <w:rPr>
          <w:szCs w:val="22"/>
          <w:lang w:val="sr-Latn-ME"/>
        </w:rPr>
      </w:pPr>
    </w:p>
    <w:p w14:paraId="5C40D730" w14:textId="3913542C" w:rsidR="005829BA" w:rsidRPr="00C765E8" w:rsidRDefault="00B1555F" w:rsidP="005829BA">
      <w:pPr>
        <w:tabs>
          <w:tab w:val="right" w:pos="285"/>
          <w:tab w:val="center" w:pos="4320"/>
          <w:tab w:val="right" w:pos="8640"/>
        </w:tabs>
        <w:rPr>
          <w:bCs/>
          <w:i/>
          <w:szCs w:val="22"/>
          <w:lang w:val="sr-Latn-ME"/>
        </w:rPr>
      </w:pPr>
      <w:r w:rsidRPr="00C765E8">
        <w:rPr>
          <w:bCs/>
          <w:i/>
          <w:szCs w:val="22"/>
          <w:lang w:val="sr-Latn-ME"/>
        </w:rPr>
        <w:t>Ampril</w:t>
      </w:r>
      <w:r w:rsidR="00A178DE" w:rsidRPr="00C765E8">
        <w:rPr>
          <w:bCs/>
          <w:i/>
          <w:szCs w:val="22"/>
          <w:lang w:val="sr-Latn-ME"/>
        </w:rPr>
        <w:t xml:space="preserve"> HD 5 mg</w:t>
      </w:r>
      <w:r w:rsidR="002E61A3" w:rsidRPr="00C765E8">
        <w:rPr>
          <w:bCs/>
          <w:i/>
          <w:szCs w:val="22"/>
          <w:lang w:val="sr-Latn-ME"/>
        </w:rPr>
        <w:t xml:space="preserve"> </w:t>
      </w:r>
      <w:r w:rsidR="00A178DE" w:rsidRPr="00C765E8">
        <w:rPr>
          <w:bCs/>
          <w:i/>
          <w:szCs w:val="22"/>
          <w:lang w:val="sr-Latn-ME"/>
        </w:rPr>
        <w:t>+</w:t>
      </w:r>
      <w:r w:rsidR="002E61A3" w:rsidRPr="00C765E8">
        <w:rPr>
          <w:bCs/>
          <w:i/>
          <w:szCs w:val="22"/>
          <w:lang w:val="sr-Latn-ME"/>
        </w:rPr>
        <w:t xml:space="preserve"> </w:t>
      </w:r>
      <w:r w:rsidR="00A178DE" w:rsidRPr="00C765E8">
        <w:rPr>
          <w:bCs/>
          <w:i/>
          <w:szCs w:val="22"/>
          <w:lang w:val="sr-Latn-ME"/>
        </w:rPr>
        <w:t>25 mg tablete</w:t>
      </w:r>
    </w:p>
    <w:p w14:paraId="3E8C315E" w14:textId="5309D706" w:rsidR="005829BA" w:rsidRPr="00C765E8" w:rsidRDefault="00824B12" w:rsidP="005829BA">
      <w:pPr>
        <w:tabs>
          <w:tab w:val="right" w:pos="285"/>
          <w:tab w:val="center" w:pos="4320"/>
          <w:tab w:val="right" w:pos="8640"/>
        </w:tabs>
        <w:rPr>
          <w:szCs w:val="22"/>
          <w:lang w:val="sr-Latn-ME"/>
        </w:rPr>
      </w:pPr>
      <w:r w:rsidRPr="00C765E8">
        <w:rPr>
          <w:szCs w:val="22"/>
          <w:lang w:val="sr-Latn-ME"/>
        </w:rPr>
        <w:t xml:space="preserve">Svaka </w:t>
      </w:r>
      <w:r w:rsidR="005829BA" w:rsidRPr="00C765E8">
        <w:rPr>
          <w:szCs w:val="22"/>
          <w:lang w:val="sr-Latn-ME"/>
        </w:rPr>
        <w:t>tableta sadrži 122,56 mg laktoze.</w:t>
      </w:r>
    </w:p>
    <w:p w14:paraId="234EB054" w14:textId="77777777" w:rsidR="005829BA" w:rsidRPr="00C765E8" w:rsidRDefault="005829BA" w:rsidP="005829BA">
      <w:pPr>
        <w:widowControl w:val="0"/>
        <w:jc w:val="both"/>
        <w:rPr>
          <w:szCs w:val="22"/>
          <w:lang w:val="sr-Latn-ME"/>
        </w:rPr>
      </w:pPr>
    </w:p>
    <w:p w14:paraId="1CCF3D71" w14:textId="77777777" w:rsidR="005829BA" w:rsidRPr="00C765E8" w:rsidRDefault="005829BA" w:rsidP="005829BA">
      <w:pPr>
        <w:widowControl w:val="0"/>
        <w:autoSpaceDE w:val="0"/>
        <w:autoSpaceDN w:val="0"/>
        <w:adjustRightInd w:val="0"/>
        <w:jc w:val="both"/>
        <w:rPr>
          <w:szCs w:val="22"/>
          <w:lang w:val="sr-Latn-ME"/>
        </w:rPr>
      </w:pPr>
      <w:r w:rsidRPr="00C765E8">
        <w:rPr>
          <w:szCs w:val="22"/>
          <w:lang w:val="sr-Latn-ME"/>
        </w:rPr>
        <w:t>Za spisak svih ekscipijenasa, pogledati dio 6.1.</w:t>
      </w:r>
    </w:p>
    <w:p w14:paraId="5574D0FF" w14:textId="77777777" w:rsidR="005829BA" w:rsidRPr="00C765E8" w:rsidRDefault="005829BA" w:rsidP="005829BA">
      <w:pPr>
        <w:widowControl w:val="0"/>
        <w:jc w:val="both"/>
        <w:rPr>
          <w:szCs w:val="22"/>
          <w:lang w:val="sr-Latn-ME"/>
        </w:rPr>
      </w:pPr>
    </w:p>
    <w:p w14:paraId="7D82A245" w14:textId="77777777" w:rsidR="005829BA" w:rsidRPr="00C765E8" w:rsidRDefault="005829BA" w:rsidP="005829BA">
      <w:pPr>
        <w:widowControl w:val="0"/>
        <w:jc w:val="both"/>
        <w:rPr>
          <w:szCs w:val="22"/>
          <w:lang w:val="sr-Latn-ME"/>
        </w:rPr>
      </w:pPr>
    </w:p>
    <w:p w14:paraId="179836E4" w14:textId="77777777" w:rsidR="005829BA" w:rsidRPr="00C765E8" w:rsidRDefault="005829BA" w:rsidP="005829BA">
      <w:pPr>
        <w:widowControl w:val="0"/>
        <w:jc w:val="both"/>
        <w:rPr>
          <w:b/>
          <w:caps/>
          <w:szCs w:val="22"/>
          <w:lang w:val="sr-Latn-ME"/>
        </w:rPr>
      </w:pPr>
      <w:r w:rsidRPr="00C765E8">
        <w:rPr>
          <w:b/>
          <w:szCs w:val="22"/>
          <w:lang w:val="sr-Latn-ME"/>
        </w:rPr>
        <w:t>3.</w:t>
      </w:r>
      <w:r w:rsidRPr="00C765E8">
        <w:rPr>
          <w:b/>
          <w:szCs w:val="22"/>
          <w:lang w:val="sr-Latn-ME"/>
        </w:rPr>
        <w:tab/>
        <w:t>FARMACEUTSKI OBLIK</w:t>
      </w:r>
    </w:p>
    <w:p w14:paraId="457E8C30" w14:textId="77777777" w:rsidR="005829BA" w:rsidRPr="00C765E8" w:rsidRDefault="005829BA" w:rsidP="005829BA">
      <w:pPr>
        <w:widowControl w:val="0"/>
        <w:jc w:val="both"/>
        <w:rPr>
          <w:szCs w:val="22"/>
          <w:lang w:val="sr-Latn-ME"/>
        </w:rPr>
      </w:pPr>
    </w:p>
    <w:p w14:paraId="22D4F298" w14:textId="77777777" w:rsidR="005829BA" w:rsidRPr="00C765E8" w:rsidRDefault="005829BA" w:rsidP="005829BA">
      <w:pPr>
        <w:tabs>
          <w:tab w:val="right" w:pos="0"/>
          <w:tab w:val="center" w:pos="4320"/>
          <w:tab w:val="right" w:pos="8640"/>
        </w:tabs>
        <w:spacing w:before="120" w:after="120"/>
        <w:ind w:right="1181"/>
        <w:jc w:val="both"/>
        <w:rPr>
          <w:szCs w:val="22"/>
          <w:lang w:val="sr-Latn-ME"/>
        </w:rPr>
      </w:pPr>
      <w:r w:rsidRPr="00C765E8">
        <w:rPr>
          <w:szCs w:val="22"/>
          <w:lang w:val="sr-Latn-ME"/>
        </w:rPr>
        <w:t>Tableta.</w:t>
      </w:r>
    </w:p>
    <w:p w14:paraId="3E8D869B" w14:textId="44E5D184" w:rsidR="005829BA" w:rsidRPr="00C765E8" w:rsidRDefault="00B1555F" w:rsidP="005829BA">
      <w:pPr>
        <w:jc w:val="both"/>
        <w:rPr>
          <w:color w:val="000000"/>
          <w:szCs w:val="22"/>
          <w:lang w:val="sr-Latn-ME"/>
        </w:rPr>
      </w:pPr>
      <w:r w:rsidRPr="00C765E8">
        <w:rPr>
          <w:color w:val="000000"/>
          <w:szCs w:val="22"/>
          <w:lang w:val="sr-Latn-ME"/>
        </w:rPr>
        <w:t>Ampril</w:t>
      </w:r>
      <w:r w:rsidR="005829BA" w:rsidRPr="00C765E8">
        <w:rPr>
          <w:color w:val="000000"/>
          <w:szCs w:val="22"/>
          <w:lang w:val="sr-Latn-ME"/>
        </w:rPr>
        <w:t xml:space="preserve"> HL 2,5 mg + 12,5 mg tablete su bijele do bjeličaste, oblika kapsule, neobložene, pljosnate tablete</w:t>
      </w:r>
      <w:r w:rsidR="00AE7874" w:rsidRPr="00C765E8">
        <w:rPr>
          <w:color w:val="000000"/>
          <w:szCs w:val="22"/>
          <w:lang w:val="sr-Latn-ME"/>
        </w:rPr>
        <w:t xml:space="preserve"> dimenzija 4,0 x 8,0 mm,</w:t>
      </w:r>
      <w:r w:rsidR="005829BA" w:rsidRPr="00C765E8">
        <w:rPr>
          <w:color w:val="000000"/>
          <w:szCs w:val="22"/>
          <w:lang w:val="sr-Latn-ME"/>
        </w:rPr>
        <w:t xml:space="preserve"> sa podionom crtom na jednoj strani  i oznakom  "12.5". Podiona crta je namijenjena </w:t>
      </w:r>
      <w:r w:rsidR="00AE7874" w:rsidRPr="00C765E8">
        <w:rPr>
          <w:color w:val="000000"/>
          <w:szCs w:val="22"/>
          <w:lang w:val="sr-Latn-ME"/>
        </w:rPr>
        <w:t xml:space="preserve">samo </w:t>
      </w:r>
      <w:r w:rsidR="005829BA" w:rsidRPr="00C765E8">
        <w:rPr>
          <w:color w:val="000000"/>
          <w:szCs w:val="22"/>
          <w:lang w:val="sr-Latn-ME"/>
        </w:rPr>
        <w:t xml:space="preserve">dijeljenju tableta za lakše </w:t>
      </w:r>
      <w:r w:rsidR="00AE7874" w:rsidRPr="00C765E8">
        <w:rPr>
          <w:color w:val="000000"/>
          <w:szCs w:val="22"/>
          <w:lang w:val="sr-Latn-ME"/>
        </w:rPr>
        <w:t>gutanje</w:t>
      </w:r>
      <w:r w:rsidR="005829BA" w:rsidRPr="00C765E8">
        <w:rPr>
          <w:color w:val="000000"/>
          <w:szCs w:val="22"/>
          <w:lang w:val="sr-Latn-ME"/>
        </w:rPr>
        <w:t>, a ne dijeljenju na jednake doze u svrhu doziranja.</w:t>
      </w:r>
    </w:p>
    <w:p w14:paraId="5671B961" w14:textId="77777777" w:rsidR="005829BA" w:rsidRPr="00C765E8" w:rsidRDefault="005829BA" w:rsidP="005829BA">
      <w:pPr>
        <w:jc w:val="both"/>
        <w:rPr>
          <w:color w:val="000000"/>
          <w:szCs w:val="22"/>
          <w:lang w:val="sr-Latn-ME"/>
        </w:rPr>
      </w:pPr>
    </w:p>
    <w:p w14:paraId="63E1AC9B" w14:textId="0E6B9A2C" w:rsidR="005829BA" w:rsidRPr="00C765E8" w:rsidRDefault="00B1555F" w:rsidP="005829BA">
      <w:pPr>
        <w:widowControl w:val="0"/>
        <w:jc w:val="both"/>
        <w:rPr>
          <w:color w:val="000000"/>
          <w:szCs w:val="22"/>
          <w:lang w:val="sr-Latn-ME"/>
        </w:rPr>
      </w:pPr>
      <w:r w:rsidRPr="00C765E8">
        <w:rPr>
          <w:color w:val="000000"/>
          <w:szCs w:val="22"/>
          <w:lang w:val="sr-Latn-ME"/>
        </w:rPr>
        <w:t>Ampril</w:t>
      </w:r>
      <w:r w:rsidR="005829BA" w:rsidRPr="00C765E8">
        <w:rPr>
          <w:color w:val="000000"/>
          <w:szCs w:val="22"/>
          <w:lang w:val="sr-Latn-ME"/>
        </w:rPr>
        <w:t xml:space="preserve"> HD 5mg + 25 mg tablete su bijele do bjeličaste, oblika kapsule, neobložene, pljosnate tablete </w:t>
      </w:r>
      <w:r w:rsidR="00AE7874" w:rsidRPr="00C765E8">
        <w:rPr>
          <w:color w:val="000000"/>
          <w:szCs w:val="22"/>
          <w:lang w:val="sr-Latn-ME"/>
        </w:rPr>
        <w:t xml:space="preserve">dimenzija </w:t>
      </w:r>
      <w:r w:rsidR="00AE7874" w:rsidRPr="00C765E8">
        <w:rPr>
          <w:lang w:val="sr-Latn-ME"/>
        </w:rPr>
        <w:t>5,0 x 10,0 mm,</w:t>
      </w:r>
      <w:r w:rsidR="00AE7874" w:rsidRPr="00C765E8">
        <w:rPr>
          <w:color w:val="000000"/>
          <w:szCs w:val="22"/>
          <w:lang w:val="sr-Latn-ME"/>
        </w:rPr>
        <w:t xml:space="preserve"> </w:t>
      </w:r>
      <w:r w:rsidR="005829BA" w:rsidRPr="00C765E8">
        <w:rPr>
          <w:color w:val="000000"/>
          <w:szCs w:val="22"/>
          <w:lang w:val="sr-Latn-ME"/>
        </w:rPr>
        <w:t>sa podionom crtom i oznakom "25" na jednoj strani i urezima na rubovima. Tableta se može podijeliti na jednake polovine zbog lakšeg doziranja.</w:t>
      </w:r>
    </w:p>
    <w:p w14:paraId="63A7A580" w14:textId="77777777" w:rsidR="005829BA" w:rsidRPr="00C765E8" w:rsidRDefault="005829BA" w:rsidP="005829BA">
      <w:pPr>
        <w:widowControl w:val="0"/>
        <w:jc w:val="both"/>
        <w:rPr>
          <w:color w:val="000000"/>
          <w:szCs w:val="22"/>
          <w:lang w:val="sr-Latn-ME"/>
        </w:rPr>
      </w:pPr>
    </w:p>
    <w:p w14:paraId="31850E9F" w14:textId="77777777" w:rsidR="005829BA" w:rsidRPr="00C765E8" w:rsidRDefault="005829BA" w:rsidP="005829BA">
      <w:pPr>
        <w:widowControl w:val="0"/>
        <w:jc w:val="both"/>
        <w:rPr>
          <w:szCs w:val="22"/>
          <w:lang w:val="sr-Latn-ME"/>
        </w:rPr>
      </w:pPr>
    </w:p>
    <w:p w14:paraId="588EAB8C" w14:textId="77777777" w:rsidR="005829BA" w:rsidRPr="00C765E8" w:rsidRDefault="005829BA" w:rsidP="005829BA">
      <w:pPr>
        <w:widowControl w:val="0"/>
        <w:ind w:left="567" w:hanging="567"/>
        <w:jc w:val="both"/>
        <w:rPr>
          <w:caps/>
          <w:szCs w:val="22"/>
          <w:lang w:val="sr-Latn-ME"/>
        </w:rPr>
      </w:pPr>
      <w:r w:rsidRPr="00C765E8">
        <w:rPr>
          <w:b/>
          <w:caps/>
          <w:szCs w:val="22"/>
          <w:lang w:val="sr-Latn-ME"/>
        </w:rPr>
        <w:t>4.</w:t>
      </w:r>
      <w:r w:rsidRPr="00C765E8">
        <w:rPr>
          <w:b/>
          <w:caps/>
          <w:szCs w:val="22"/>
          <w:lang w:val="sr-Latn-ME"/>
        </w:rPr>
        <w:tab/>
        <w:t>KLINIČKI PODACI</w:t>
      </w:r>
    </w:p>
    <w:p w14:paraId="74580621" w14:textId="77777777" w:rsidR="005829BA" w:rsidRPr="00C765E8" w:rsidRDefault="005829BA" w:rsidP="005829BA">
      <w:pPr>
        <w:widowControl w:val="0"/>
        <w:jc w:val="both"/>
        <w:rPr>
          <w:szCs w:val="22"/>
          <w:lang w:val="sr-Latn-ME"/>
        </w:rPr>
      </w:pPr>
    </w:p>
    <w:p w14:paraId="6FF00BE2" w14:textId="77777777" w:rsidR="005829BA" w:rsidRPr="00C765E8" w:rsidRDefault="005829BA" w:rsidP="005829BA">
      <w:pPr>
        <w:widowControl w:val="0"/>
        <w:ind w:left="567" w:hanging="567"/>
        <w:jc w:val="both"/>
        <w:outlineLvl w:val="0"/>
        <w:rPr>
          <w:b/>
          <w:szCs w:val="22"/>
          <w:lang w:val="sr-Latn-ME"/>
        </w:rPr>
      </w:pPr>
      <w:r w:rsidRPr="00C765E8">
        <w:rPr>
          <w:b/>
          <w:szCs w:val="22"/>
          <w:lang w:val="sr-Latn-ME"/>
        </w:rPr>
        <w:t>4.1</w:t>
      </w:r>
      <w:r w:rsidRPr="00C765E8">
        <w:rPr>
          <w:b/>
          <w:szCs w:val="22"/>
          <w:lang w:val="sr-Latn-ME"/>
        </w:rPr>
        <w:tab/>
        <w:t>Terapijske indikacije</w:t>
      </w:r>
    </w:p>
    <w:p w14:paraId="6704CC85" w14:textId="77777777" w:rsidR="005829BA" w:rsidRPr="00C765E8" w:rsidRDefault="005829BA" w:rsidP="005829BA">
      <w:pPr>
        <w:widowControl w:val="0"/>
        <w:ind w:left="567" w:hanging="567"/>
        <w:jc w:val="both"/>
        <w:outlineLvl w:val="0"/>
        <w:rPr>
          <w:b/>
          <w:szCs w:val="22"/>
          <w:lang w:val="sr-Latn-ME"/>
        </w:rPr>
      </w:pPr>
    </w:p>
    <w:p w14:paraId="3E26E80D" w14:textId="77777777" w:rsidR="005829BA" w:rsidRPr="00C765E8" w:rsidRDefault="005829BA" w:rsidP="005829BA">
      <w:pPr>
        <w:tabs>
          <w:tab w:val="left" w:pos="284"/>
          <w:tab w:val="center" w:pos="4320"/>
          <w:tab w:val="right" w:pos="8640"/>
        </w:tabs>
        <w:jc w:val="both"/>
        <w:rPr>
          <w:szCs w:val="22"/>
          <w:lang w:val="sr-Latn-ME"/>
        </w:rPr>
      </w:pPr>
      <w:r w:rsidRPr="00C765E8">
        <w:rPr>
          <w:szCs w:val="22"/>
          <w:lang w:val="sr-Latn-ME"/>
        </w:rPr>
        <w:t xml:space="preserve">Terapija hipertenzije. </w:t>
      </w:r>
    </w:p>
    <w:p w14:paraId="75A11D7A" w14:textId="77777777" w:rsidR="005829BA" w:rsidRPr="00C765E8" w:rsidRDefault="005829BA" w:rsidP="005829BA">
      <w:pPr>
        <w:widowControl w:val="0"/>
        <w:jc w:val="both"/>
        <w:rPr>
          <w:szCs w:val="22"/>
          <w:lang w:val="sr-Latn-ME"/>
        </w:rPr>
      </w:pPr>
      <w:r w:rsidRPr="00C765E8">
        <w:rPr>
          <w:szCs w:val="22"/>
          <w:lang w:val="sr-Latn-ME"/>
        </w:rPr>
        <w:t>Fiksna kombinacija je indikovana kod pacijenata čiji krvni pritisak nije adekvatno kontrolisan pojedinačnom primjenom ramiprila ili hidrohlortiazida.</w:t>
      </w:r>
    </w:p>
    <w:p w14:paraId="3517F276" w14:textId="0D94CB39" w:rsidR="00D110DE" w:rsidRPr="00C765E8" w:rsidRDefault="00D110DE" w:rsidP="005829BA">
      <w:pPr>
        <w:widowControl w:val="0"/>
        <w:jc w:val="both"/>
        <w:rPr>
          <w:szCs w:val="22"/>
          <w:lang w:val="sr-Latn-ME"/>
        </w:rPr>
      </w:pPr>
    </w:p>
    <w:p w14:paraId="07A73B01" w14:textId="77777777" w:rsidR="005829BA" w:rsidRPr="00C765E8" w:rsidRDefault="005829BA" w:rsidP="005829BA">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C765E8">
        <w:rPr>
          <w:b/>
          <w:szCs w:val="22"/>
          <w:lang w:val="sr-Latn-ME"/>
        </w:rPr>
        <w:t>Doziranje i način primjene</w:t>
      </w:r>
    </w:p>
    <w:p w14:paraId="358F4A6A" w14:textId="77777777" w:rsidR="005829BA" w:rsidRPr="00C765E8" w:rsidRDefault="005829BA" w:rsidP="005829BA">
      <w:pPr>
        <w:widowControl w:val="0"/>
        <w:jc w:val="both"/>
        <w:outlineLvl w:val="0"/>
        <w:rPr>
          <w:b/>
          <w:szCs w:val="22"/>
          <w:lang w:val="sr-Latn-ME"/>
        </w:rPr>
      </w:pPr>
    </w:p>
    <w:p w14:paraId="55268F0F" w14:textId="77777777" w:rsidR="005829BA" w:rsidRPr="00C765E8" w:rsidRDefault="005829BA" w:rsidP="005829BA">
      <w:pPr>
        <w:widowControl w:val="0"/>
        <w:jc w:val="both"/>
        <w:rPr>
          <w:iCs/>
          <w:szCs w:val="22"/>
          <w:u w:val="single"/>
          <w:lang w:val="sr-Latn-ME"/>
        </w:rPr>
      </w:pPr>
      <w:r w:rsidRPr="00C765E8">
        <w:rPr>
          <w:iCs/>
          <w:szCs w:val="22"/>
          <w:u w:val="single"/>
          <w:lang w:val="sr-Latn-ME"/>
        </w:rPr>
        <w:t>Doziranje</w:t>
      </w:r>
    </w:p>
    <w:p w14:paraId="434B2863" w14:textId="77777777" w:rsidR="005829BA" w:rsidRPr="00C765E8" w:rsidRDefault="005829BA" w:rsidP="005829BA">
      <w:pPr>
        <w:widowControl w:val="0"/>
        <w:jc w:val="both"/>
        <w:rPr>
          <w:iCs/>
          <w:szCs w:val="22"/>
          <w:u w:val="single"/>
          <w:lang w:val="sr-Latn-ME"/>
        </w:rPr>
      </w:pPr>
    </w:p>
    <w:p w14:paraId="74E2CDAF" w14:textId="77777777" w:rsidR="00C765E8" w:rsidRDefault="00C765E8" w:rsidP="005829BA">
      <w:pPr>
        <w:tabs>
          <w:tab w:val="clear" w:pos="567"/>
          <w:tab w:val="left" w:pos="570"/>
          <w:tab w:val="center" w:pos="4320"/>
          <w:tab w:val="right" w:pos="8640"/>
        </w:tabs>
        <w:jc w:val="both"/>
        <w:rPr>
          <w:i/>
          <w:szCs w:val="22"/>
          <w:u w:val="single"/>
          <w:lang w:val="sr-Latn-ME"/>
        </w:rPr>
      </w:pPr>
      <w:bookmarkStart w:id="0" w:name="_GoBack"/>
      <w:bookmarkEnd w:id="0"/>
    </w:p>
    <w:p w14:paraId="3559340F" w14:textId="5FC71E50" w:rsidR="005829BA" w:rsidRPr="00C765E8" w:rsidRDefault="005829BA" w:rsidP="005829BA">
      <w:pPr>
        <w:tabs>
          <w:tab w:val="clear" w:pos="567"/>
          <w:tab w:val="left" w:pos="570"/>
          <w:tab w:val="center" w:pos="4320"/>
          <w:tab w:val="right" w:pos="8640"/>
        </w:tabs>
        <w:jc w:val="both"/>
        <w:rPr>
          <w:i/>
          <w:szCs w:val="22"/>
          <w:u w:val="single"/>
          <w:lang w:val="sr-Latn-ME"/>
        </w:rPr>
      </w:pPr>
      <w:r w:rsidRPr="00C765E8">
        <w:rPr>
          <w:i/>
          <w:szCs w:val="22"/>
          <w:u w:val="single"/>
          <w:lang w:val="sr-Latn-ME"/>
        </w:rPr>
        <w:lastRenderedPageBreak/>
        <w:t>Odrasli</w:t>
      </w:r>
    </w:p>
    <w:p w14:paraId="3A2EF1FA"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Dozu treba individualno prilagoditi profilu pacijenta (vidjeti odjeljak 4.4) na osnovu kontrole krvnog pritiska. Primjena fiksne kombinacije ramiprila i hidrohlortiazida se obično preporučuje nakon titracije doze sa jednom pojedinačnom komponentom.</w:t>
      </w:r>
    </w:p>
    <w:p w14:paraId="3605C515" w14:textId="77777777" w:rsidR="005829BA" w:rsidRPr="00C765E8" w:rsidRDefault="005829BA" w:rsidP="005829BA">
      <w:pPr>
        <w:tabs>
          <w:tab w:val="clear" w:pos="567"/>
          <w:tab w:val="left" w:pos="570"/>
          <w:tab w:val="center" w:pos="4320"/>
          <w:tab w:val="right" w:pos="8640"/>
        </w:tabs>
        <w:spacing w:before="120"/>
        <w:ind w:right="148"/>
        <w:jc w:val="both"/>
        <w:rPr>
          <w:szCs w:val="22"/>
          <w:lang w:val="sr-Latn-ME"/>
        </w:rPr>
      </w:pPr>
      <w:r w:rsidRPr="00C765E8">
        <w:rPr>
          <w:szCs w:val="22"/>
          <w:lang w:val="sr-Latn-ME"/>
        </w:rPr>
        <w:t>Terapiju lijekom treba započeti najnižom dostupnom dozom. Ako je potrebno, doza se može postepeno povećati da bi se dostigla ciljna vrijednost krvnog pritiska; maksimalna dozvoljena doza je 10 mg ramiprila i 25 mg hidrohlortiazida dnevno.</w:t>
      </w:r>
    </w:p>
    <w:p w14:paraId="1666987D" w14:textId="77777777" w:rsidR="005829BA" w:rsidRPr="00C765E8" w:rsidRDefault="005829BA" w:rsidP="005829BA">
      <w:pPr>
        <w:tabs>
          <w:tab w:val="clear" w:pos="567"/>
          <w:tab w:val="left" w:pos="570"/>
          <w:tab w:val="center" w:pos="4320"/>
          <w:tab w:val="right" w:pos="8640"/>
        </w:tabs>
        <w:spacing w:before="120"/>
        <w:jc w:val="both"/>
        <w:rPr>
          <w:i/>
          <w:szCs w:val="22"/>
          <w:u w:val="single"/>
          <w:lang w:val="sr-Latn-ME"/>
        </w:rPr>
      </w:pPr>
      <w:r w:rsidRPr="00C765E8">
        <w:rPr>
          <w:i/>
          <w:szCs w:val="22"/>
          <w:u w:val="single"/>
          <w:lang w:val="sr-Latn-ME"/>
        </w:rPr>
        <w:t xml:space="preserve">Posebne populacije pacijenata </w:t>
      </w:r>
    </w:p>
    <w:p w14:paraId="78F4AF6D" w14:textId="77777777" w:rsidR="005829BA" w:rsidRPr="00C765E8" w:rsidRDefault="005829BA" w:rsidP="005829BA">
      <w:pPr>
        <w:tabs>
          <w:tab w:val="clear" w:pos="567"/>
          <w:tab w:val="left" w:pos="570"/>
          <w:tab w:val="center" w:pos="4320"/>
          <w:tab w:val="right" w:pos="8640"/>
        </w:tabs>
        <w:spacing w:before="120"/>
        <w:ind w:right="148"/>
        <w:jc w:val="both"/>
        <w:rPr>
          <w:i/>
          <w:szCs w:val="22"/>
          <w:lang w:val="sr-Latn-ME"/>
        </w:rPr>
      </w:pPr>
      <w:r w:rsidRPr="00C765E8">
        <w:rPr>
          <w:i/>
          <w:szCs w:val="22"/>
          <w:lang w:val="sr-Latn-ME"/>
        </w:rPr>
        <w:t>Pacijenti koji su na terapiji diureticima</w:t>
      </w:r>
    </w:p>
    <w:p w14:paraId="5DFAD564"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Potreban je poseban oprez kod pacijenata koji su na istovremenoj terapiji diureticima, jer se može javiti hipotenzija nakon započinjanja terapije. Potrebno je razmotriti smanjenje doze diuretika ili prekid terapije diureticima prije započinjanja terapije lijekom Ampril HL i Ampril HD.</w:t>
      </w:r>
    </w:p>
    <w:p w14:paraId="7AD953A3" w14:textId="77777777" w:rsidR="005829BA" w:rsidRPr="00C765E8" w:rsidRDefault="005829BA" w:rsidP="005829BA">
      <w:pPr>
        <w:tabs>
          <w:tab w:val="clear" w:pos="567"/>
          <w:tab w:val="left" w:pos="570"/>
          <w:tab w:val="center" w:pos="4320"/>
          <w:tab w:val="right" w:pos="8640"/>
        </w:tabs>
        <w:jc w:val="both"/>
        <w:rPr>
          <w:szCs w:val="22"/>
          <w:lang w:val="sr-Latn-ME"/>
        </w:rPr>
      </w:pPr>
    </w:p>
    <w:p w14:paraId="7E6A8D25" w14:textId="77777777" w:rsidR="005829BA" w:rsidRPr="00C765E8" w:rsidRDefault="005829BA" w:rsidP="005829BA">
      <w:pPr>
        <w:ind w:right="148"/>
        <w:jc w:val="both"/>
        <w:rPr>
          <w:szCs w:val="22"/>
          <w:lang w:val="sr-Latn-ME"/>
        </w:rPr>
      </w:pPr>
      <w:r w:rsidRPr="00C765E8">
        <w:rPr>
          <w:szCs w:val="22"/>
          <w:lang w:val="sr-Latn-ME"/>
        </w:rPr>
        <w:t>Ako prekid terapije nije moguć, preporučljivo je terapiju započeti najmanjom mogućom dozom ramiprila (1,25 mg dnevno). Nakon toga, preporučuje se prelazak na kombinaciju ramiprila i hidrohlortiazida u početnoj dnevnoj dozi koja ne prelazi 2,5mg ramiprila/12,5mg hidrohlortiazida.</w:t>
      </w:r>
    </w:p>
    <w:p w14:paraId="58B5CB3C" w14:textId="77777777" w:rsidR="005829BA" w:rsidRPr="00C765E8" w:rsidRDefault="005829BA" w:rsidP="005829BA">
      <w:pPr>
        <w:tabs>
          <w:tab w:val="clear" w:pos="567"/>
          <w:tab w:val="left" w:pos="570"/>
          <w:tab w:val="center" w:pos="4320"/>
          <w:tab w:val="right" w:pos="8640"/>
        </w:tabs>
        <w:spacing w:before="120"/>
        <w:jc w:val="both"/>
        <w:rPr>
          <w:i/>
          <w:szCs w:val="22"/>
          <w:lang w:val="sr-Latn-ME"/>
        </w:rPr>
      </w:pPr>
      <w:r w:rsidRPr="00C765E8">
        <w:rPr>
          <w:i/>
          <w:szCs w:val="22"/>
          <w:lang w:val="sr-Latn-ME"/>
        </w:rPr>
        <w:t xml:space="preserve">Pаcijenti sа renalnim oštećenjem </w:t>
      </w:r>
    </w:p>
    <w:p w14:paraId="5142B44F"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Ampril HL i Ampril HD je kontrаindikovаn kod pacijenata sa teškom renalnom insuficijencijom zbog komponente hidrohlortiаzid (klirens kreаtininа &lt;30 ml / min) (vidjeti odjeljаk 4.3).</w:t>
      </w:r>
    </w:p>
    <w:p w14:paraId="070C09AD"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Kod pacijenata sа oštećenom renalnom funkcijom može biti potrebno smаnjene doze lijeka. Pacijenti sа klirensom kreаtininа između 30 i 60 ml/min trebа dа se liječe sа nаjnižom dozom fiksne kombinаcije rаmiprila i hidrohlortiаzida nаkon primjene sаmo rаmiprila. Mаksimаlnа dozvoljenа dozа je 5 mg rаmiprila i 25 mg hidrohlortiаzida dnevno.</w:t>
      </w:r>
    </w:p>
    <w:p w14:paraId="73DBF68E" w14:textId="77777777" w:rsidR="005829BA" w:rsidRPr="00C765E8" w:rsidRDefault="005829BA" w:rsidP="005829BA">
      <w:pPr>
        <w:tabs>
          <w:tab w:val="clear" w:pos="567"/>
          <w:tab w:val="left" w:pos="570"/>
          <w:tab w:val="center" w:pos="4320"/>
          <w:tab w:val="right" w:pos="8640"/>
        </w:tabs>
        <w:spacing w:before="120"/>
        <w:ind w:right="148"/>
        <w:jc w:val="both"/>
        <w:rPr>
          <w:i/>
          <w:szCs w:val="22"/>
          <w:lang w:val="sr-Latn-ME"/>
        </w:rPr>
      </w:pPr>
      <w:r w:rsidRPr="00C765E8">
        <w:rPr>
          <w:i/>
          <w:szCs w:val="22"/>
          <w:lang w:val="sr-Latn-ME"/>
        </w:rPr>
        <w:t xml:space="preserve">Pacijenti sа hepatičkim oštećenjem </w:t>
      </w:r>
    </w:p>
    <w:p w14:paraId="588E9514"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Kod pacijenata sа blаgim do umjerenim oštećenjem jetre, liječenje ovim lijekom se morа započeti sаmo pod strogom medicinskom kontrolom, sa mаksimаlnim dnevnim dozama od 2,5 mg rаmiprila i 12,5 mg hidrohlortiаzida.</w:t>
      </w:r>
    </w:p>
    <w:p w14:paraId="70FA04E4"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Lijek je kontrаindikovаn kod pacijenata sa teškim hepatičkim oštećenjem (vidjeti odjeljаk 4.3).</w:t>
      </w:r>
    </w:p>
    <w:p w14:paraId="429A9CDC" w14:textId="77777777" w:rsidR="005829BA" w:rsidRPr="00C765E8" w:rsidRDefault="005829BA" w:rsidP="005829BA">
      <w:pPr>
        <w:tabs>
          <w:tab w:val="clear" w:pos="567"/>
          <w:tab w:val="left" w:pos="570"/>
          <w:tab w:val="center" w:pos="4320"/>
          <w:tab w:val="right" w:pos="8640"/>
        </w:tabs>
        <w:spacing w:before="120"/>
        <w:ind w:right="148"/>
        <w:jc w:val="both"/>
        <w:rPr>
          <w:i/>
          <w:szCs w:val="22"/>
          <w:lang w:val="sr-Latn-ME"/>
        </w:rPr>
      </w:pPr>
      <w:r w:rsidRPr="00C765E8">
        <w:rPr>
          <w:i/>
          <w:szCs w:val="22"/>
          <w:lang w:val="sr-Latn-ME"/>
        </w:rPr>
        <w:t xml:space="preserve">Stariji pacijenti </w:t>
      </w:r>
    </w:p>
    <w:p w14:paraId="40806B7B"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Početna doza trebа dа bude niža i potrebno je da nаknаdnа titrаcijа doze bude postepena, zbog veće vjerovatnoće za pojavu neželjenih dejstava, posebno kod veoma starih i nemoćnih pacijenata.</w:t>
      </w:r>
    </w:p>
    <w:p w14:paraId="19A81312" w14:textId="77777777" w:rsidR="005829BA" w:rsidRPr="00C765E8" w:rsidRDefault="005829BA" w:rsidP="005829BA">
      <w:pPr>
        <w:tabs>
          <w:tab w:val="clear" w:pos="567"/>
          <w:tab w:val="left" w:pos="570"/>
          <w:tab w:val="center" w:pos="4320"/>
          <w:tab w:val="right" w:pos="8640"/>
        </w:tabs>
        <w:spacing w:before="120"/>
        <w:ind w:right="148"/>
        <w:jc w:val="both"/>
        <w:rPr>
          <w:i/>
          <w:szCs w:val="22"/>
          <w:lang w:val="sr-Latn-ME"/>
        </w:rPr>
      </w:pPr>
      <w:r w:rsidRPr="00C765E8">
        <w:rPr>
          <w:i/>
          <w:szCs w:val="22"/>
          <w:lang w:val="sr-Latn-ME"/>
        </w:rPr>
        <w:t>Pedijаtrijskа populаcijа</w:t>
      </w:r>
    </w:p>
    <w:p w14:paraId="5FF054A8" w14:textId="77777777" w:rsidR="005829BA" w:rsidRPr="00C765E8" w:rsidRDefault="005829BA" w:rsidP="005829BA">
      <w:pPr>
        <w:tabs>
          <w:tab w:val="clear" w:pos="567"/>
          <w:tab w:val="left" w:pos="570"/>
          <w:tab w:val="center" w:pos="4320"/>
          <w:tab w:val="right" w:pos="8640"/>
        </w:tabs>
        <w:spacing w:after="120"/>
        <w:ind w:right="148"/>
        <w:jc w:val="both"/>
        <w:rPr>
          <w:szCs w:val="22"/>
          <w:lang w:val="sr-Latn-ME"/>
        </w:rPr>
      </w:pPr>
      <w:r w:rsidRPr="00C765E8">
        <w:rPr>
          <w:szCs w:val="22"/>
          <w:lang w:val="sr-Latn-ME"/>
        </w:rPr>
        <w:t>Ovaj lijek se ne preporučuje zа upotrebu kod djece i аdolescenаtа ispod 18 godinа zbog nedovoljnih podаtаkа o bezbjednosti i efikаsnosti.</w:t>
      </w:r>
    </w:p>
    <w:p w14:paraId="21EC96F0" w14:textId="77777777" w:rsidR="005829BA" w:rsidRPr="00C765E8" w:rsidRDefault="005829BA" w:rsidP="005829BA">
      <w:pPr>
        <w:widowControl w:val="0"/>
        <w:jc w:val="both"/>
        <w:rPr>
          <w:szCs w:val="22"/>
          <w:u w:val="single"/>
          <w:lang w:val="sr-Latn-ME"/>
        </w:rPr>
      </w:pPr>
    </w:p>
    <w:p w14:paraId="0C6729DE" w14:textId="77777777" w:rsidR="005829BA" w:rsidRPr="00C765E8" w:rsidRDefault="005829BA" w:rsidP="005829BA">
      <w:pPr>
        <w:pStyle w:val="Default"/>
        <w:widowControl w:val="0"/>
        <w:jc w:val="both"/>
        <w:rPr>
          <w:sz w:val="22"/>
          <w:szCs w:val="22"/>
          <w:u w:val="single"/>
          <w:lang w:val="sr-Latn-ME"/>
        </w:rPr>
      </w:pPr>
      <w:r w:rsidRPr="00C765E8">
        <w:rPr>
          <w:sz w:val="22"/>
          <w:szCs w:val="22"/>
          <w:u w:val="single"/>
          <w:lang w:val="sr-Latn-ME"/>
        </w:rPr>
        <w:t>Način primjene</w:t>
      </w:r>
    </w:p>
    <w:p w14:paraId="6CBDD15C" w14:textId="77777777" w:rsidR="005829BA" w:rsidRPr="00C765E8" w:rsidRDefault="005829BA" w:rsidP="005829BA">
      <w:pPr>
        <w:widowControl w:val="0"/>
        <w:jc w:val="both"/>
        <w:rPr>
          <w:szCs w:val="22"/>
          <w:lang w:val="sr-Latn-ME"/>
        </w:rPr>
      </w:pPr>
    </w:p>
    <w:p w14:paraId="49159A9A"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Oralna upotreba.</w:t>
      </w:r>
    </w:p>
    <w:p w14:paraId="5CD8DA3D" w14:textId="77777777" w:rsidR="005829BA" w:rsidRPr="00C765E8" w:rsidRDefault="005829BA" w:rsidP="005829BA">
      <w:pPr>
        <w:tabs>
          <w:tab w:val="clear" w:pos="567"/>
          <w:tab w:val="left" w:pos="570"/>
          <w:tab w:val="center" w:pos="4320"/>
          <w:tab w:val="right" w:pos="8640"/>
        </w:tabs>
        <w:ind w:right="148"/>
        <w:jc w:val="both"/>
        <w:rPr>
          <w:szCs w:val="22"/>
          <w:lang w:val="sr-Latn-ME"/>
        </w:rPr>
      </w:pPr>
      <w:r w:rsidRPr="00C765E8">
        <w:rPr>
          <w:szCs w:val="22"/>
          <w:lang w:val="sr-Latn-ME"/>
        </w:rPr>
        <w:t xml:space="preserve">Preporučuje se da se lijek </w:t>
      </w:r>
      <w:r w:rsidR="00B1555F" w:rsidRPr="00C765E8">
        <w:rPr>
          <w:szCs w:val="22"/>
          <w:lang w:val="sr-Latn-ME"/>
        </w:rPr>
        <w:t>Ampril</w:t>
      </w:r>
      <w:r w:rsidRPr="00C765E8">
        <w:rPr>
          <w:szCs w:val="22"/>
          <w:lang w:val="sr-Latn-ME"/>
        </w:rPr>
        <w:t xml:space="preserve"> HL i </w:t>
      </w:r>
      <w:r w:rsidR="00B1555F" w:rsidRPr="00C765E8">
        <w:rPr>
          <w:szCs w:val="22"/>
          <w:lang w:val="sr-Latn-ME"/>
        </w:rPr>
        <w:t>Ampril</w:t>
      </w:r>
      <w:r w:rsidRPr="00C765E8">
        <w:rPr>
          <w:szCs w:val="22"/>
          <w:lang w:val="sr-Latn-ME"/>
        </w:rPr>
        <w:t xml:space="preserve"> HD uzima jednom dnevno, u isto vrijeme u toku dana, obično ujutro.</w:t>
      </w:r>
    </w:p>
    <w:p w14:paraId="06393D44" w14:textId="77777777" w:rsidR="005829BA" w:rsidRPr="00C765E8" w:rsidRDefault="005829BA" w:rsidP="005829BA">
      <w:pPr>
        <w:tabs>
          <w:tab w:val="clear" w:pos="567"/>
          <w:tab w:val="left" w:pos="570"/>
          <w:tab w:val="center" w:pos="4320"/>
          <w:tab w:val="right" w:pos="8640"/>
        </w:tabs>
        <w:jc w:val="both"/>
        <w:rPr>
          <w:szCs w:val="22"/>
          <w:lang w:val="sr-Latn-ME"/>
        </w:rPr>
      </w:pPr>
      <w:r w:rsidRPr="00C765E8">
        <w:rPr>
          <w:szCs w:val="22"/>
          <w:lang w:val="sr-Latn-ME"/>
        </w:rPr>
        <w:t>Ovaj lijek se može uzeti prije, uz obrok ili poslije obroka, jer hrana ne utiče na bioraspoloživost lijeka (vidjeti odjeljak 5.2).</w:t>
      </w:r>
    </w:p>
    <w:p w14:paraId="5CF00AC8" w14:textId="77777777" w:rsidR="005829BA" w:rsidRPr="00C765E8" w:rsidRDefault="005829BA" w:rsidP="005829BA">
      <w:pPr>
        <w:autoSpaceDE w:val="0"/>
        <w:autoSpaceDN w:val="0"/>
        <w:adjustRightInd w:val="0"/>
        <w:jc w:val="both"/>
        <w:rPr>
          <w:szCs w:val="22"/>
          <w:lang w:val="sr-Latn-ME"/>
        </w:rPr>
      </w:pPr>
      <w:r w:rsidRPr="00C765E8">
        <w:rPr>
          <w:szCs w:val="22"/>
          <w:lang w:val="sr-Latn-ME"/>
        </w:rPr>
        <w:t xml:space="preserve">Tabletu treba progutati sa dosta tečnosti. </w:t>
      </w:r>
      <w:r w:rsidRPr="00C765E8">
        <w:rPr>
          <w:rFonts w:eastAsia="TimesNewRoman"/>
          <w:szCs w:val="22"/>
          <w:lang w:val="sr-Latn-ME" w:eastAsia="zh-TW"/>
        </w:rPr>
        <w:t>Tablete se ne smiju žvakati niti lomiti.</w:t>
      </w:r>
    </w:p>
    <w:p w14:paraId="360ADD59" w14:textId="506735B9" w:rsidR="005829BA" w:rsidRPr="00C765E8" w:rsidRDefault="005829BA" w:rsidP="005829BA">
      <w:pPr>
        <w:widowControl w:val="0"/>
        <w:jc w:val="both"/>
        <w:rPr>
          <w:szCs w:val="22"/>
          <w:lang w:val="sr-Latn-ME"/>
        </w:rPr>
      </w:pPr>
    </w:p>
    <w:p w14:paraId="59DA66E3" w14:textId="77777777" w:rsidR="005829BA" w:rsidRPr="00C765E8" w:rsidRDefault="005829BA" w:rsidP="005829BA">
      <w:pPr>
        <w:widowControl w:val="0"/>
        <w:jc w:val="both"/>
        <w:rPr>
          <w:szCs w:val="22"/>
          <w:lang w:val="sr-Latn-ME"/>
        </w:rPr>
      </w:pPr>
      <w:r w:rsidRPr="00C765E8">
        <w:rPr>
          <w:b/>
          <w:szCs w:val="22"/>
          <w:lang w:val="sr-Latn-ME"/>
        </w:rPr>
        <w:t>4.3</w:t>
      </w:r>
      <w:r w:rsidRPr="00C765E8">
        <w:rPr>
          <w:b/>
          <w:szCs w:val="22"/>
          <w:lang w:val="sr-Latn-ME"/>
        </w:rPr>
        <w:tab/>
        <w:t>Kontraindikacije</w:t>
      </w:r>
    </w:p>
    <w:p w14:paraId="2AA9FE37" w14:textId="77777777" w:rsidR="005829BA" w:rsidRPr="00C765E8" w:rsidRDefault="005829BA" w:rsidP="005829BA">
      <w:pPr>
        <w:widowControl w:val="0"/>
        <w:jc w:val="both"/>
        <w:rPr>
          <w:szCs w:val="22"/>
          <w:lang w:val="sr-Latn-ME"/>
        </w:rPr>
      </w:pPr>
    </w:p>
    <w:p w14:paraId="568A3F19"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Preosjetljivost na aktivnu supstancu ili na bilo koji drugi ACE inhibitor (inhibitor angiotenzin konvertujućeg enzima), hidrohlortiazid, druge tiazidne diuretike, sulfonamide ili na bilo koje druge pomoćne supstance lijeka (vidjeti odjeljak 6.1).</w:t>
      </w:r>
    </w:p>
    <w:p w14:paraId="10A387FD"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Angioedem u anamnezi (hereditarni, idiopatski ili zbog prethodnog angioedema prouzrokovang ACE inhibitorima ili antagonistima angiotenzin II receptora).</w:t>
      </w:r>
    </w:p>
    <w:p w14:paraId="6CA4A995"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lastRenderedPageBreak/>
        <w:t xml:space="preserve">Ekstrakorporalna terapija kod koje krv dolazi u kontakt sa negativno naelektrisanim površinama (vidjeti odjeljak 4.5). </w:t>
      </w:r>
    </w:p>
    <w:p w14:paraId="040AAD92"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 xml:space="preserve">Značajna bilateralna </w:t>
      </w:r>
      <w:bookmarkStart w:id="1" w:name="OLE_LINK1"/>
      <w:r w:rsidRPr="00C765E8">
        <w:rPr>
          <w:iCs/>
          <w:szCs w:val="22"/>
          <w:lang w:val="sr-Latn-ME"/>
        </w:rPr>
        <w:t xml:space="preserve">stenoza renalne arterije </w:t>
      </w:r>
      <w:bookmarkEnd w:id="1"/>
      <w:r w:rsidRPr="00C765E8">
        <w:rPr>
          <w:iCs/>
          <w:szCs w:val="22"/>
          <w:lang w:val="sr-Latn-ME"/>
        </w:rPr>
        <w:t>ili stenoza renalne arterije kod pacijenata sa jednim funkcionalnim bubregom.</w:t>
      </w:r>
    </w:p>
    <w:p w14:paraId="28B17802"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2. i 3. trimestar trudnoće (vidjeti odjeljke 4.4 i 4.6).</w:t>
      </w:r>
    </w:p>
    <w:p w14:paraId="3B55A085"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Dojenje (vidjeti odjeljak 4.6).</w:t>
      </w:r>
    </w:p>
    <w:p w14:paraId="5EFBE635"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Pacijenti sa teškim oštećenjem bubrežne funkcije sa klirensom kreatinina manjim od 30 ml/min, koji nijesu na dijalizi.</w:t>
      </w:r>
    </w:p>
    <w:p w14:paraId="00BB5B92"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Klinički značajan poremećaj elektrolita koji se može pogoršati nakon terapije lijekom (vidjeti odjeljak 4.4).</w:t>
      </w:r>
    </w:p>
    <w:p w14:paraId="2EB49B20"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Teško oštećenje funkcije jetre, hepatička encefalopatija.</w:t>
      </w:r>
    </w:p>
    <w:p w14:paraId="61AFDF1C"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szCs w:val="22"/>
          <w:lang w:val="sr-Latn-ME"/>
        </w:rPr>
      </w:pPr>
      <w:r w:rsidRPr="00C765E8">
        <w:rPr>
          <w:iCs/>
          <w:szCs w:val="22"/>
          <w:lang w:val="sr-Latn-ME"/>
        </w:rPr>
        <w:t xml:space="preserve">Istovremena primjena lijeka </w:t>
      </w:r>
      <w:r w:rsidR="00B1555F" w:rsidRPr="00C765E8">
        <w:rPr>
          <w:iCs/>
          <w:szCs w:val="22"/>
          <w:lang w:val="sr-Latn-ME"/>
        </w:rPr>
        <w:t>Ampril</w:t>
      </w:r>
      <w:r w:rsidRPr="00C765E8">
        <w:rPr>
          <w:iCs/>
          <w:szCs w:val="22"/>
          <w:lang w:val="sr-Latn-ME"/>
        </w:rPr>
        <w:t xml:space="preserve"> HL i </w:t>
      </w:r>
      <w:r w:rsidR="00B1555F" w:rsidRPr="00C765E8">
        <w:rPr>
          <w:iCs/>
          <w:szCs w:val="22"/>
          <w:lang w:val="sr-Latn-ME"/>
        </w:rPr>
        <w:t>Ampril</w:t>
      </w:r>
      <w:r w:rsidRPr="00C765E8">
        <w:rPr>
          <w:iCs/>
          <w:szCs w:val="22"/>
          <w:lang w:val="sr-Latn-ME"/>
        </w:rPr>
        <w:t xml:space="preserve"> HD sa proizvodima koji sadrže aliskiren, kod pacijenata sa dijabetes melitusom ili renalnim oštećenjem (GFR &lt; 60 ml/min/1,73 m2) (vidjeti odjeljke 4.5 i 5.1).</w:t>
      </w:r>
    </w:p>
    <w:p w14:paraId="330F1B43" w14:textId="77777777" w:rsidR="005829BA" w:rsidRPr="00C765E8" w:rsidRDefault="005829BA" w:rsidP="005829BA">
      <w:pPr>
        <w:pStyle w:val="Header"/>
        <w:numPr>
          <w:ilvl w:val="0"/>
          <w:numId w:val="27"/>
        </w:numPr>
        <w:tabs>
          <w:tab w:val="clear" w:pos="567"/>
          <w:tab w:val="clear" w:pos="4153"/>
          <w:tab w:val="clear" w:pos="8306"/>
          <w:tab w:val="left" w:pos="284"/>
          <w:tab w:val="center" w:pos="4536"/>
          <w:tab w:val="center" w:pos="4819"/>
          <w:tab w:val="right" w:pos="9072"/>
        </w:tabs>
        <w:spacing w:line="240" w:lineRule="auto"/>
        <w:jc w:val="both"/>
        <w:rPr>
          <w:rFonts w:ascii="Times New Roman" w:hAnsi="Times New Roman"/>
          <w:sz w:val="22"/>
          <w:szCs w:val="22"/>
          <w:lang w:val="sr-Latn-ME"/>
        </w:rPr>
      </w:pPr>
      <w:r w:rsidRPr="00C765E8">
        <w:rPr>
          <w:sz w:val="22"/>
          <w:szCs w:val="22"/>
          <w:lang w:val="sr-Latn-ME"/>
        </w:rPr>
        <w:tab/>
      </w:r>
      <w:r w:rsidRPr="00C765E8">
        <w:rPr>
          <w:rFonts w:ascii="Times New Roman" w:hAnsi="Times New Roman"/>
          <w:sz w:val="22"/>
          <w:szCs w:val="22"/>
          <w:lang w:val="sr-Latn-ME"/>
        </w:rPr>
        <w:t xml:space="preserve">Istovremena upotreba sa sakubitril/valsartan terapijom. Sa upotrebom </w:t>
      </w:r>
      <w:r w:rsidR="00B1555F" w:rsidRPr="00C765E8">
        <w:rPr>
          <w:rFonts w:ascii="Times New Roman" w:hAnsi="Times New Roman"/>
          <w:iCs/>
          <w:sz w:val="22"/>
          <w:szCs w:val="22"/>
          <w:lang w:val="sr-Latn-ME"/>
        </w:rPr>
        <w:t>Ampril</w:t>
      </w:r>
      <w:r w:rsidRPr="00C765E8">
        <w:rPr>
          <w:rFonts w:ascii="Times New Roman" w:hAnsi="Times New Roman"/>
          <w:iCs/>
          <w:sz w:val="22"/>
          <w:szCs w:val="22"/>
          <w:lang w:val="sr-Latn-ME"/>
        </w:rPr>
        <w:t xml:space="preserve"> HL i </w:t>
      </w:r>
      <w:r w:rsidR="00B1555F" w:rsidRPr="00C765E8">
        <w:rPr>
          <w:rFonts w:ascii="Times New Roman" w:hAnsi="Times New Roman"/>
          <w:iCs/>
          <w:sz w:val="22"/>
          <w:szCs w:val="22"/>
          <w:lang w:val="sr-Latn-ME"/>
        </w:rPr>
        <w:t>Ampril</w:t>
      </w:r>
      <w:r w:rsidRPr="00C765E8">
        <w:rPr>
          <w:rFonts w:ascii="Times New Roman" w:hAnsi="Times New Roman"/>
          <w:iCs/>
          <w:sz w:val="22"/>
          <w:szCs w:val="22"/>
          <w:lang w:val="sr-Latn-ME"/>
        </w:rPr>
        <w:t xml:space="preserve"> HD </w:t>
      </w:r>
      <w:r w:rsidRPr="00C765E8">
        <w:rPr>
          <w:rFonts w:ascii="Times New Roman" w:hAnsi="Times New Roman"/>
          <w:sz w:val="22"/>
          <w:szCs w:val="22"/>
          <w:lang w:val="sr-Latn-ME"/>
        </w:rPr>
        <w:t>se ne smije započeti prije isteka 36 sati od posljednje doze sakubitril/valsatrana (vidjeti djelove 4.4 i 4.5).</w:t>
      </w:r>
    </w:p>
    <w:p w14:paraId="6595B2A7" w14:textId="77777777" w:rsidR="005829BA" w:rsidRPr="00C765E8" w:rsidRDefault="005829BA" w:rsidP="005829BA">
      <w:pPr>
        <w:widowControl w:val="0"/>
        <w:jc w:val="both"/>
        <w:rPr>
          <w:szCs w:val="22"/>
          <w:lang w:val="sr-Latn-ME"/>
        </w:rPr>
      </w:pPr>
    </w:p>
    <w:p w14:paraId="3AF39E4A" w14:textId="77777777" w:rsidR="005829BA" w:rsidRPr="00C765E8" w:rsidRDefault="005829BA" w:rsidP="005829BA">
      <w:pPr>
        <w:widowControl w:val="0"/>
        <w:numPr>
          <w:ilvl w:val="1"/>
          <w:numId w:val="29"/>
        </w:numPr>
        <w:tabs>
          <w:tab w:val="clear" w:pos="567"/>
        </w:tabs>
        <w:spacing w:line="240" w:lineRule="auto"/>
        <w:ind w:left="567" w:hanging="567"/>
        <w:jc w:val="both"/>
        <w:rPr>
          <w:b/>
          <w:szCs w:val="22"/>
          <w:lang w:val="sr-Latn-ME"/>
        </w:rPr>
      </w:pPr>
      <w:r w:rsidRPr="00C765E8">
        <w:rPr>
          <w:b/>
          <w:szCs w:val="22"/>
          <w:lang w:val="sr-Latn-ME"/>
        </w:rPr>
        <w:t>Posebna upozorenja i mjere opreza pri upotrebi lijeka</w:t>
      </w:r>
    </w:p>
    <w:p w14:paraId="2F0C4CC2" w14:textId="77777777" w:rsidR="005829BA" w:rsidRPr="00C765E8" w:rsidRDefault="005829BA" w:rsidP="005829BA">
      <w:pPr>
        <w:widowControl w:val="0"/>
        <w:jc w:val="both"/>
        <w:rPr>
          <w:b/>
          <w:szCs w:val="22"/>
          <w:lang w:val="sr-Latn-ME"/>
        </w:rPr>
      </w:pPr>
    </w:p>
    <w:p w14:paraId="05E97A15" w14:textId="77777777" w:rsidR="005829BA" w:rsidRPr="00C765E8" w:rsidRDefault="005829BA" w:rsidP="005829BA">
      <w:pPr>
        <w:tabs>
          <w:tab w:val="clear" w:pos="567"/>
          <w:tab w:val="left" w:pos="570"/>
          <w:tab w:val="center" w:pos="4320"/>
          <w:tab w:val="right" w:pos="8640"/>
        </w:tabs>
        <w:spacing w:before="120" w:after="120"/>
        <w:ind w:right="290"/>
        <w:jc w:val="both"/>
        <w:rPr>
          <w:i/>
          <w:szCs w:val="22"/>
          <w:u w:val="single"/>
          <w:lang w:val="sr-Latn-ME"/>
        </w:rPr>
      </w:pPr>
      <w:r w:rsidRPr="00C765E8">
        <w:rPr>
          <w:i/>
          <w:szCs w:val="22"/>
          <w:u w:val="single"/>
          <w:lang w:val="sr-Latn-ME"/>
        </w:rPr>
        <w:t xml:space="preserve">Posebne populacije pacijenata </w:t>
      </w:r>
    </w:p>
    <w:p w14:paraId="68FD35AB" w14:textId="77777777" w:rsidR="005829BA" w:rsidRPr="00C765E8" w:rsidRDefault="005829BA" w:rsidP="005829BA">
      <w:pPr>
        <w:ind w:right="-113"/>
        <w:jc w:val="both"/>
        <w:rPr>
          <w:i/>
          <w:szCs w:val="22"/>
          <w:lang w:val="sr-Latn-ME"/>
        </w:rPr>
      </w:pPr>
      <w:r w:rsidRPr="00C765E8">
        <w:rPr>
          <w:i/>
          <w:szCs w:val="22"/>
          <w:lang w:val="sr-Latn-ME"/>
        </w:rPr>
        <w:t xml:space="preserve">Trudnoća: </w:t>
      </w:r>
      <w:r w:rsidRPr="00C765E8">
        <w:rPr>
          <w:iCs/>
          <w:szCs w:val="22"/>
          <w:lang w:val="sr-Latn-ME"/>
        </w:rPr>
        <w:t>ACE inhibitore kao što je ramipril ili antagoniste receptora angiotenzina II ne treba uvoditi u terapiju tokom trudnoće. Osim ako se nastavak terapije ACE inhibitorima/antagonistima receptora angiotenzina II  smatra neophodnim, pacijentkinje koje planiraju trudnoću treba da pređu na alternativnu antihipertenzivnu terapiju, sa utvrđenim bezbjednosnim profilom za upotrebu u trudnoći. Kada se dijagnostikuje trudnoća, terapija ACE inhibitorima/antagonistima receptora angiotenzina II  treba odmah da se prekine, i ako je to moguće, započne alternativna terapija (vidjeti odjeljke 4.3 i 4.6).</w:t>
      </w:r>
    </w:p>
    <w:p w14:paraId="5500CA3F" w14:textId="77777777" w:rsidR="005829BA" w:rsidRPr="00C765E8" w:rsidRDefault="005829BA" w:rsidP="005829BA">
      <w:pPr>
        <w:numPr>
          <w:ilvl w:val="0"/>
          <w:numId w:val="27"/>
        </w:numPr>
        <w:tabs>
          <w:tab w:val="clear" w:pos="567"/>
          <w:tab w:val="left" w:pos="284"/>
        </w:tabs>
        <w:spacing w:before="120" w:after="120" w:line="240" w:lineRule="auto"/>
        <w:ind w:left="714" w:right="-113" w:hanging="357"/>
        <w:jc w:val="both"/>
        <w:rPr>
          <w:i/>
          <w:iCs/>
          <w:szCs w:val="22"/>
          <w:lang w:val="sr-Latn-ME"/>
        </w:rPr>
      </w:pPr>
      <w:r w:rsidRPr="00C765E8">
        <w:rPr>
          <w:i/>
          <w:iCs/>
          <w:szCs w:val="22"/>
          <w:lang w:val="sr-Latn-ME"/>
        </w:rPr>
        <w:t>Pacijenti sa rizikom za razvoj hipotenzije</w:t>
      </w:r>
    </w:p>
    <w:p w14:paraId="1A5BA6A9"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
          <w:iCs/>
          <w:szCs w:val="22"/>
          <w:lang w:val="sr-Latn-ME"/>
        </w:rPr>
        <w:t>Pacijenti sa snažnom aktivacijom sistema renin-angiotenzin-aldosteron</w:t>
      </w:r>
      <w:r w:rsidRPr="00C765E8">
        <w:rPr>
          <w:iCs/>
          <w:szCs w:val="22"/>
          <w:lang w:val="sr-Latn-ME"/>
        </w:rPr>
        <w:t xml:space="preserve"> </w:t>
      </w:r>
    </w:p>
    <w:p w14:paraId="491557B8" w14:textId="77777777" w:rsidR="005829BA" w:rsidRPr="00C765E8" w:rsidRDefault="005829BA" w:rsidP="005829BA">
      <w:pPr>
        <w:tabs>
          <w:tab w:val="left" w:pos="284"/>
          <w:tab w:val="center" w:pos="4320"/>
          <w:tab w:val="right" w:pos="8640"/>
        </w:tabs>
        <w:spacing w:before="120"/>
        <w:ind w:right="-113"/>
        <w:jc w:val="both"/>
        <w:rPr>
          <w:iCs/>
          <w:szCs w:val="22"/>
          <w:lang w:val="sr-Latn-ME"/>
        </w:rPr>
      </w:pPr>
      <w:r w:rsidRPr="00C765E8">
        <w:rPr>
          <w:iCs/>
          <w:szCs w:val="22"/>
          <w:lang w:val="sr-Latn-ME"/>
        </w:rPr>
        <w:t>Pacijenti sa snažnom aktivacijom sistema renin-angiotenzin-aldosteron imaju veći rizik za nagli pad krvnog pritiska i pogoršanje renalne funkcije zbog ACE inhibicije, posebno ako se ACE inhibitor ili istovremeno i diuretik daju po prvi put ili pri prvom povećanju doze. Može se očekivati značajna aktivacija sistema renin-angiotenzin-aldosteron i potrebna je medicinska kontrola koja uključuje i praćenje krvnog pritiska, npr. kod:</w:t>
      </w:r>
    </w:p>
    <w:p w14:paraId="52D2FBC5" w14:textId="77777777" w:rsidR="005829BA" w:rsidRPr="00C765E8" w:rsidRDefault="005829BA" w:rsidP="005829BA">
      <w:pPr>
        <w:numPr>
          <w:ilvl w:val="0"/>
          <w:numId w:val="27"/>
        </w:numPr>
        <w:tabs>
          <w:tab w:val="clear" w:pos="567"/>
          <w:tab w:val="left" w:pos="284"/>
          <w:tab w:val="center" w:pos="4536"/>
          <w:tab w:val="right" w:pos="9072"/>
        </w:tabs>
        <w:spacing w:line="240" w:lineRule="auto"/>
        <w:ind w:right="-113"/>
        <w:jc w:val="both"/>
        <w:rPr>
          <w:iCs/>
          <w:szCs w:val="22"/>
          <w:lang w:val="sr-Latn-ME"/>
        </w:rPr>
      </w:pPr>
      <w:r w:rsidRPr="00C765E8">
        <w:rPr>
          <w:iCs/>
          <w:szCs w:val="22"/>
          <w:lang w:val="sr-Latn-ME"/>
        </w:rPr>
        <w:t>pacijenata sa teškom hipertenzijom,</w:t>
      </w:r>
    </w:p>
    <w:p w14:paraId="03118AD0" w14:textId="77777777" w:rsidR="005829BA" w:rsidRPr="00C765E8" w:rsidRDefault="005829BA" w:rsidP="005829BA">
      <w:pPr>
        <w:numPr>
          <w:ilvl w:val="0"/>
          <w:numId w:val="27"/>
        </w:numPr>
        <w:tabs>
          <w:tab w:val="clear" w:pos="567"/>
          <w:tab w:val="left" w:pos="284"/>
          <w:tab w:val="center" w:pos="4536"/>
          <w:tab w:val="right" w:pos="9072"/>
        </w:tabs>
        <w:spacing w:line="240" w:lineRule="auto"/>
        <w:jc w:val="both"/>
        <w:rPr>
          <w:iCs/>
          <w:szCs w:val="22"/>
          <w:lang w:val="sr-Latn-ME"/>
        </w:rPr>
      </w:pPr>
      <w:r w:rsidRPr="00C765E8">
        <w:rPr>
          <w:iCs/>
          <w:szCs w:val="22"/>
          <w:lang w:val="sr-Latn-ME"/>
        </w:rPr>
        <w:t>pacijenata sa dekompenzovanom kongestivnom srčanom insuficijencijom,</w:t>
      </w:r>
    </w:p>
    <w:p w14:paraId="530703A9" w14:textId="77777777" w:rsidR="005829BA" w:rsidRPr="00C765E8" w:rsidRDefault="005829BA" w:rsidP="005829BA">
      <w:pPr>
        <w:numPr>
          <w:ilvl w:val="0"/>
          <w:numId w:val="27"/>
        </w:numPr>
        <w:tabs>
          <w:tab w:val="clear" w:pos="567"/>
          <w:tab w:val="left" w:pos="284"/>
          <w:tab w:val="center" w:pos="4536"/>
          <w:tab w:val="right" w:pos="9072"/>
        </w:tabs>
        <w:spacing w:line="240" w:lineRule="auto"/>
        <w:ind w:right="-113"/>
        <w:jc w:val="both"/>
        <w:rPr>
          <w:iCs/>
          <w:szCs w:val="22"/>
          <w:lang w:val="sr-Latn-ME"/>
        </w:rPr>
      </w:pPr>
      <w:r w:rsidRPr="00C765E8">
        <w:rPr>
          <w:iCs/>
          <w:szCs w:val="22"/>
          <w:lang w:val="sr-Latn-ME"/>
        </w:rPr>
        <w:t>pacijenata sa hemodinamski značajnom opstrukcijom protoka u lijevoj komori (npr. stenoza aortnog ili mitralnog zaliska),</w:t>
      </w:r>
    </w:p>
    <w:p w14:paraId="4F2449C8" w14:textId="77777777" w:rsidR="005829BA" w:rsidRPr="00C765E8" w:rsidRDefault="005829BA" w:rsidP="005829BA">
      <w:pPr>
        <w:numPr>
          <w:ilvl w:val="0"/>
          <w:numId w:val="27"/>
        </w:numPr>
        <w:tabs>
          <w:tab w:val="clear" w:pos="567"/>
          <w:tab w:val="left" w:pos="284"/>
          <w:tab w:val="center" w:pos="4536"/>
          <w:tab w:val="right" w:pos="9072"/>
        </w:tabs>
        <w:spacing w:line="240" w:lineRule="auto"/>
        <w:ind w:right="-113"/>
        <w:jc w:val="both"/>
        <w:rPr>
          <w:iCs/>
          <w:szCs w:val="22"/>
          <w:lang w:val="sr-Latn-ME"/>
        </w:rPr>
      </w:pPr>
      <w:r w:rsidRPr="00C765E8">
        <w:rPr>
          <w:iCs/>
          <w:szCs w:val="22"/>
          <w:lang w:val="sr-Latn-ME"/>
        </w:rPr>
        <w:t>pacijenata sa unilateralnom stenozom renalne arterije sa drugim funkcionalnim bubregom,</w:t>
      </w:r>
    </w:p>
    <w:p w14:paraId="3E2F50E7" w14:textId="77777777" w:rsidR="005829BA" w:rsidRPr="00C765E8" w:rsidRDefault="005829BA" w:rsidP="005829BA">
      <w:pPr>
        <w:numPr>
          <w:ilvl w:val="0"/>
          <w:numId w:val="27"/>
        </w:numPr>
        <w:tabs>
          <w:tab w:val="clear" w:pos="567"/>
          <w:tab w:val="left" w:pos="284"/>
          <w:tab w:val="center" w:pos="4536"/>
          <w:tab w:val="right" w:pos="9072"/>
        </w:tabs>
        <w:spacing w:line="240" w:lineRule="auto"/>
        <w:ind w:right="-113"/>
        <w:jc w:val="both"/>
        <w:rPr>
          <w:iCs/>
          <w:szCs w:val="22"/>
          <w:lang w:val="sr-Latn-ME"/>
        </w:rPr>
      </w:pPr>
      <w:r w:rsidRPr="00C765E8">
        <w:rPr>
          <w:iCs/>
          <w:szCs w:val="22"/>
          <w:lang w:val="sr-Latn-ME"/>
        </w:rPr>
        <w:t>pacijenata kod kojih postoji ili može nastati gubitak tečnosti ili soli (uključujući i pacijente koji primaju diuretike),</w:t>
      </w:r>
    </w:p>
    <w:p w14:paraId="383F8031" w14:textId="77777777" w:rsidR="005829BA" w:rsidRPr="00C765E8" w:rsidRDefault="005829BA" w:rsidP="005829BA">
      <w:pPr>
        <w:numPr>
          <w:ilvl w:val="0"/>
          <w:numId w:val="27"/>
        </w:numPr>
        <w:tabs>
          <w:tab w:val="clear" w:pos="567"/>
          <w:tab w:val="left" w:pos="284"/>
          <w:tab w:val="center" w:pos="4536"/>
          <w:tab w:val="right" w:pos="9072"/>
        </w:tabs>
        <w:spacing w:line="240" w:lineRule="auto"/>
        <w:ind w:right="-113"/>
        <w:jc w:val="both"/>
        <w:rPr>
          <w:iCs/>
          <w:szCs w:val="22"/>
          <w:lang w:val="sr-Latn-ME"/>
        </w:rPr>
      </w:pPr>
      <w:r w:rsidRPr="00C765E8">
        <w:rPr>
          <w:iCs/>
          <w:szCs w:val="22"/>
          <w:lang w:val="sr-Latn-ME"/>
        </w:rPr>
        <w:t>pacijenata sa cirozom jetre i/ili ascitesom,</w:t>
      </w:r>
    </w:p>
    <w:p w14:paraId="77259C35" w14:textId="77777777" w:rsidR="005829BA" w:rsidRPr="00C765E8" w:rsidRDefault="005829BA" w:rsidP="005829BA">
      <w:pPr>
        <w:numPr>
          <w:ilvl w:val="0"/>
          <w:numId w:val="27"/>
        </w:numPr>
        <w:tabs>
          <w:tab w:val="clear" w:pos="567"/>
          <w:tab w:val="left" w:pos="284"/>
          <w:tab w:val="center" w:pos="4536"/>
          <w:tab w:val="right" w:pos="9072"/>
        </w:tabs>
        <w:spacing w:line="240" w:lineRule="auto"/>
        <w:ind w:right="-113"/>
        <w:jc w:val="both"/>
        <w:rPr>
          <w:iCs/>
          <w:szCs w:val="22"/>
          <w:lang w:val="sr-Latn-ME"/>
        </w:rPr>
      </w:pPr>
      <w:r w:rsidRPr="00C765E8">
        <w:rPr>
          <w:iCs/>
          <w:szCs w:val="22"/>
          <w:lang w:val="sr-Latn-ME"/>
        </w:rPr>
        <w:t>pacijenata koji treba da budu podvrgnuti većoj hirurškoj operaciji ili tokom anestezije agensima koji izazivaju hipotenziju.</w:t>
      </w:r>
    </w:p>
    <w:p w14:paraId="78E6973C" w14:textId="77777777" w:rsidR="005829BA" w:rsidRPr="00C765E8" w:rsidRDefault="005829BA" w:rsidP="005829BA">
      <w:pPr>
        <w:tabs>
          <w:tab w:val="left" w:pos="284"/>
          <w:tab w:val="center" w:pos="4320"/>
          <w:tab w:val="left" w:pos="8959"/>
          <w:tab w:val="right" w:pos="9072"/>
        </w:tabs>
        <w:ind w:right="-113"/>
        <w:jc w:val="both"/>
        <w:rPr>
          <w:iCs/>
          <w:szCs w:val="22"/>
          <w:lang w:val="sr-Latn-ME"/>
        </w:rPr>
      </w:pPr>
      <w:r w:rsidRPr="00C765E8">
        <w:rPr>
          <w:iCs/>
          <w:szCs w:val="22"/>
          <w:lang w:val="sr-Latn-ME"/>
        </w:rPr>
        <w:t>Preporučuje se korigovanje dehidracije, hipovolemije ili gubitka soli prije početka terapije (međutim, kod pacijenata sa srčanom insuficijencijom, potrebno je posebno procijeniti korist korektivne mjere u odnosu na mogućnost rizika opterećenja volumenom).</w:t>
      </w:r>
    </w:p>
    <w:p w14:paraId="4144CDE9"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Operativni zahvati</w:t>
      </w:r>
    </w:p>
    <w:p w14:paraId="079C39E4"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Preporučuje se da se terapija ACE inhibitorima kao što je ramipril obustavi, ukoliko je to moguće, jedan dan prije operacije.</w:t>
      </w:r>
    </w:p>
    <w:p w14:paraId="0F6595EE" w14:textId="77777777" w:rsidR="005829BA" w:rsidRPr="00C765E8" w:rsidRDefault="005829BA" w:rsidP="005829BA">
      <w:pPr>
        <w:tabs>
          <w:tab w:val="left" w:pos="284"/>
          <w:tab w:val="center" w:pos="4320"/>
          <w:tab w:val="right" w:pos="8640"/>
        </w:tabs>
        <w:spacing w:before="120"/>
        <w:ind w:right="-113"/>
        <w:jc w:val="both"/>
        <w:rPr>
          <w:iCs/>
          <w:szCs w:val="22"/>
          <w:lang w:val="sr-Latn-ME"/>
        </w:rPr>
      </w:pPr>
      <w:r w:rsidRPr="00C765E8">
        <w:rPr>
          <w:i/>
          <w:iCs/>
          <w:szCs w:val="22"/>
          <w:lang w:val="sr-Latn-ME"/>
        </w:rPr>
        <w:t>Pacijenti sa rizikom od cerebralne ili srčane ishemije u slučaju akutne hipotenzije</w:t>
      </w:r>
    </w:p>
    <w:p w14:paraId="4735847B"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Početna faza terapije zahtijeva poseban medicinski nadzor.</w:t>
      </w:r>
    </w:p>
    <w:p w14:paraId="6B284549" w14:textId="77777777" w:rsidR="005829BA" w:rsidRPr="00C765E8" w:rsidRDefault="005829BA" w:rsidP="005829BA">
      <w:pPr>
        <w:numPr>
          <w:ilvl w:val="0"/>
          <w:numId w:val="28"/>
        </w:numPr>
        <w:tabs>
          <w:tab w:val="clear" w:pos="567"/>
          <w:tab w:val="left" w:pos="284"/>
          <w:tab w:val="center" w:pos="4536"/>
          <w:tab w:val="right" w:pos="9072"/>
        </w:tabs>
        <w:spacing w:before="120" w:line="240" w:lineRule="auto"/>
        <w:ind w:left="714" w:right="-113" w:hanging="357"/>
        <w:jc w:val="both"/>
        <w:rPr>
          <w:i/>
          <w:szCs w:val="22"/>
          <w:lang w:val="sr-Latn-ME"/>
        </w:rPr>
      </w:pPr>
      <w:r w:rsidRPr="00C765E8">
        <w:rPr>
          <w:i/>
          <w:szCs w:val="22"/>
          <w:lang w:val="sr-Latn-ME"/>
        </w:rPr>
        <w:lastRenderedPageBreak/>
        <w:t>Primarni hiperaldosteronizam</w:t>
      </w:r>
    </w:p>
    <w:p w14:paraId="02F70339"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Kombinacija ramipril+hidrohlortiazid ne predstavlja terapiju izbora kod primarnog hiperaldosteronizma. Ako se kombinacija ramipril+hidrohlortiazid koristi kod primarnog hiperalodsteronizma, potrebno je pažljivo praćenje koncentracije kalijuma u plazmi.</w:t>
      </w:r>
    </w:p>
    <w:p w14:paraId="5943655E" w14:textId="77777777" w:rsidR="005829BA" w:rsidRPr="00C765E8" w:rsidRDefault="005829BA" w:rsidP="005829BA">
      <w:pPr>
        <w:numPr>
          <w:ilvl w:val="0"/>
          <w:numId w:val="28"/>
        </w:numPr>
        <w:tabs>
          <w:tab w:val="clear" w:pos="567"/>
          <w:tab w:val="left" w:pos="284"/>
          <w:tab w:val="center" w:pos="4536"/>
          <w:tab w:val="right" w:pos="9072"/>
        </w:tabs>
        <w:spacing w:before="120" w:line="240" w:lineRule="auto"/>
        <w:ind w:left="714" w:hanging="357"/>
        <w:jc w:val="both"/>
        <w:rPr>
          <w:i/>
          <w:iCs/>
          <w:szCs w:val="22"/>
          <w:lang w:val="sr-Latn-ME"/>
        </w:rPr>
      </w:pPr>
      <w:r w:rsidRPr="00C765E8">
        <w:rPr>
          <w:i/>
          <w:iCs/>
          <w:szCs w:val="22"/>
          <w:lang w:val="sr-Latn-ME"/>
        </w:rPr>
        <w:t>Stariji pacijenti</w:t>
      </w:r>
    </w:p>
    <w:p w14:paraId="0994A1D1" w14:textId="77777777" w:rsidR="005829BA" w:rsidRPr="00C765E8" w:rsidRDefault="005829BA" w:rsidP="005829BA">
      <w:pPr>
        <w:tabs>
          <w:tab w:val="left" w:pos="284"/>
          <w:tab w:val="center" w:pos="4320"/>
          <w:tab w:val="right" w:pos="8640"/>
        </w:tabs>
        <w:jc w:val="both"/>
        <w:rPr>
          <w:iCs/>
          <w:szCs w:val="22"/>
          <w:lang w:val="sr-Latn-ME"/>
        </w:rPr>
      </w:pPr>
      <w:r w:rsidRPr="00C765E8">
        <w:rPr>
          <w:iCs/>
          <w:szCs w:val="22"/>
          <w:lang w:val="sr-Latn-ME"/>
        </w:rPr>
        <w:t>Vidjeti odjeljak 4.2.</w:t>
      </w:r>
    </w:p>
    <w:p w14:paraId="2610912A" w14:textId="77777777" w:rsidR="005829BA" w:rsidRPr="00C765E8" w:rsidRDefault="005829BA" w:rsidP="005829BA">
      <w:pPr>
        <w:numPr>
          <w:ilvl w:val="0"/>
          <w:numId w:val="28"/>
        </w:numPr>
        <w:tabs>
          <w:tab w:val="clear" w:pos="567"/>
          <w:tab w:val="left" w:pos="284"/>
          <w:tab w:val="center" w:pos="4536"/>
          <w:tab w:val="right" w:pos="9072"/>
        </w:tabs>
        <w:spacing w:before="120" w:line="240" w:lineRule="auto"/>
        <w:ind w:left="714" w:hanging="357"/>
        <w:jc w:val="both"/>
        <w:rPr>
          <w:i/>
          <w:iCs/>
          <w:szCs w:val="22"/>
          <w:lang w:val="sr-Latn-ME"/>
        </w:rPr>
      </w:pPr>
      <w:r w:rsidRPr="00C765E8">
        <w:rPr>
          <w:i/>
          <w:iCs/>
          <w:szCs w:val="22"/>
          <w:lang w:val="sr-Latn-ME"/>
        </w:rPr>
        <w:t xml:space="preserve">Pacijenti sa hepatičkim oštećenjem </w:t>
      </w:r>
    </w:p>
    <w:p w14:paraId="649DC19C" w14:textId="77777777" w:rsidR="005829BA" w:rsidRPr="00C765E8" w:rsidRDefault="005829BA" w:rsidP="005829BA">
      <w:pPr>
        <w:tabs>
          <w:tab w:val="left" w:pos="284"/>
          <w:tab w:val="center" w:pos="4320"/>
          <w:tab w:val="right" w:pos="9072"/>
        </w:tabs>
        <w:ind w:right="-113"/>
        <w:jc w:val="both"/>
        <w:rPr>
          <w:iCs/>
          <w:szCs w:val="22"/>
          <w:lang w:val="sr-Latn-ME"/>
        </w:rPr>
      </w:pPr>
      <w:r w:rsidRPr="00C765E8">
        <w:rPr>
          <w:iCs/>
          <w:szCs w:val="22"/>
          <w:lang w:val="sr-Latn-ME"/>
        </w:rPr>
        <w:t xml:space="preserve">Poremećaji elektrolita zbog terapije diureticima, uključujući i hidrohlortiazid, mogu dovesti do hepatičke encefalopatije kod pacijenata sa oboljenjem jetre. </w:t>
      </w:r>
    </w:p>
    <w:p w14:paraId="13197735" w14:textId="77777777" w:rsidR="005829BA" w:rsidRPr="00C765E8" w:rsidRDefault="005829BA" w:rsidP="005829BA">
      <w:pPr>
        <w:tabs>
          <w:tab w:val="left" w:pos="284"/>
          <w:tab w:val="center" w:pos="4320"/>
          <w:tab w:val="right" w:pos="8640"/>
        </w:tabs>
        <w:spacing w:before="120"/>
        <w:jc w:val="both"/>
        <w:rPr>
          <w:i/>
          <w:szCs w:val="22"/>
          <w:u w:val="single"/>
          <w:lang w:val="sr-Latn-ME"/>
        </w:rPr>
      </w:pPr>
      <w:r w:rsidRPr="00C765E8">
        <w:rPr>
          <w:i/>
          <w:szCs w:val="22"/>
          <w:u w:val="single"/>
          <w:lang w:val="sr-Latn-ME"/>
        </w:rPr>
        <w:t>Praćenje renalne funkcije</w:t>
      </w:r>
    </w:p>
    <w:p w14:paraId="52FEF78E"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Renalnu funkciju treba procijeniti prije i tokom terapije i prilagoditi dozu, posebno tokom početnih nedjelja terapije. Posebno je potrebno pažljivo praćenje kod pacijenata sa renalnim oštećenjem (vidjeti odjeljak 4.2). Postoji rizik za oštećenje renalne funkcije, posebno kod pacijenata sa kongestivnom srčanom insuficijencijom ili nakon transplantacije bubrega.</w:t>
      </w:r>
    </w:p>
    <w:p w14:paraId="1A6BF17C"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 xml:space="preserve">Renalno oštećenje </w:t>
      </w:r>
    </w:p>
    <w:p w14:paraId="3A1BCEEE"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Kod pacijenata sa bubrežnom bolešću, tiazidi mogu dovesti do uremije. Kod pacijenata sa oštećenjem renalne funkcije može doći do kumulativnog dejstva aktivne supstance. Ako progresivno oštećenje renalne funkcije postane evidentno, na šta ukazuje porast neproteinskog azota, neophodna je pažljiva ponovna procjena terapije, uz razmatranje mogućnosti prekida terapije diureticima (vidjeti odjeljak 4.3).</w:t>
      </w:r>
    </w:p>
    <w:p w14:paraId="57DE52BB"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Poremećaj ravnoteže elektrolita</w:t>
      </w:r>
    </w:p>
    <w:p w14:paraId="0718BAB6"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 xml:space="preserve">Kao i kod svakog pacijenta na terapiji diureticima, treba periodično obavljati kontrolu koncentracije elektrolita u serumu u određenim intervalima. Tiazidi, uključujući i hidrohlortiazid, mogu izazvati poremećaj ravnoteže tečnosti i elektrolita (hipokalijemija, hiponatrijemija i hipohloremična alkaloza). Iako se hipokalijemija može razviti primjenom tiazidnih diuretika, istovremena terapija ramiprilom može smanjiti hipokalijemiju izazvanu diuretikom. Rizik za nastanak hipokalijemije je najveći kod pacijenata sa cirozom jetre, kod pacijenata sa brzom diurezom, kod pacijenata koji ne primaju adekvatnu nadoknadu elektrolita, kao i kod pacijenata na istovremenoj terapiji kortikosteroidima i  ACTH (vidjeti odjeljak 4.5). Prva mjerenja koncentracije kalijuma u plazmi treba sprovesti tokom prve nedjelje nakon početka terapije. Ako su koncentracije kalijuma niske, potrebna je korekcija. Može se javiti diluciona hiponatrijemija. Smanjenje koncentracije natrijuma može biti asimptomatsko u početku, i redovne kontrole su neophodne. Analize treba sprovoditi češće kod starijih pacijenata i kod pacijenata sa cirozom jetre. Tiazidi povećavaju urinarnu ekskreciju magnezijuma, što može dovesti do hipomagnezijemije. </w:t>
      </w:r>
    </w:p>
    <w:p w14:paraId="5ABF855F"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Praćenje elektrolita: Hiperkalijemija</w:t>
      </w:r>
    </w:p>
    <w:p w14:paraId="006C82A1"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szCs w:val="22"/>
          <w:lang w:val="sr-Latn-ME"/>
        </w:rPr>
        <w:t xml:space="preserve">ACE inhibitori mogu izazvati hiperkalemiju budući da inhibiraju oslobađanje aldosterona. Efekat obično nije značajan kod pacijenata sa normalnom funkcijom bubrega. </w:t>
      </w:r>
      <w:r w:rsidRPr="00C765E8">
        <w:rPr>
          <w:iCs/>
          <w:szCs w:val="22"/>
          <w:lang w:val="sr-Latn-ME"/>
        </w:rPr>
        <w:t>Pacijenti kod kojih postoji rizik od razvoja hiperkalijemije su oni sa insuficijencijom bubrega, stariji (&gt;70 godina), sa nekontrolisanim dijabetesom, pacijenti koji uzimaju kalijumove soli, diuretike koji štede kalijum ili ostale aktivne supstance koje povećavaju kalijum u plazmi</w:t>
      </w:r>
      <w:r w:rsidRPr="00C765E8">
        <w:rPr>
          <w:szCs w:val="22"/>
          <w:lang w:val="sr-Latn-ME"/>
        </w:rPr>
        <w:t xml:space="preserve"> (npr. heparin, </w:t>
      </w:r>
      <w:r w:rsidRPr="00C765E8">
        <w:rPr>
          <w:bCs/>
          <w:szCs w:val="22"/>
          <w:lang w:val="sr-Latn-ME"/>
        </w:rPr>
        <w:t>trimetoprim ili kotrimoksazol poznat i kao  trimetoprim/sulfametoksazol i naročito antagonisti aldosterona ili blokatori receptora angiotezina)</w:t>
      </w:r>
      <w:r w:rsidRPr="00C765E8">
        <w:rPr>
          <w:iCs/>
          <w:szCs w:val="22"/>
          <w:lang w:val="sr-Latn-ME"/>
        </w:rPr>
        <w:t xml:space="preserve">,  ili stanja kao što je dehidracija, akutna srčana insuficijencija, metabolička acidoza. </w:t>
      </w:r>
      <w:r w:rsidRPr="00C765E8">
        <w:rPr>
          <w:bCs/>
          <w:szCs w:val="22"/>
          <w:lang w:val="sr-Latn-ME"/>
        </w:rPr>
        <w:t>Diuretici koji štede kalijum i blokatori receptora angiotenzina se moraju koristiti sa oprezom kod pacijenata koji koriste ACE inhibitore, pri čemu je potrebno i redovno kontrolisati nivo kalijuma u krvi i funkciju bubrega</w:t>
      </w:r>
      <w:r w:rsidRPr="00C765E8">
        <w:rPr>
          <w:bCs/>
          <w:color w:val="7030A0"/>
          <w:szCs w:val="22"/>
          <w:lang w:val="sr-Latn-ME"/>
        </w:rPr>
        <w:t xml:space="preserve"> </w:t>
      </w:r>
      <w:r w:rsidRPr="00C765E8">
        <w:rPr>
          <w:iCs/>
          <w:szCs w:val="22"/>
          <w:lang w:val="sr-Latn-ME"/>
        </w:rPr>
        <w:t>(vidjeti odjeljak 4.5).</w:t>
      </w:r>
    </w:p>
    <w:p w14:paraId="5DDC0A4B" w14:textId="77777777" w:rsidR="005829BA" w:rsidRPr="00C765E8" w:rsidRDefault="005829BA" w:rsidP="005829BA">
      <w:pPr>
        <w:tabs>
          <w:tab w:val="left" w:pos="284"/>
          <w:tab w:val="center" w:pos="4320"/>
          <w:tab w:val="right" w:pos="8640"/>
        </w:tabs>
        <w:ind w:right="-113"/>
        <w:jc w:val="both"/>
        <w:rPr>
          <w:iCs/>
          <w:szCs w:val="22"/>
          <w:lang w:val="sr-Latn-ME"/>
        </w:rPr>
      </w:pPr>
    </w:p>
    <w:p w14:paraId="5D83B4BD" w14:textId="77777777" w:rsidR="005829BA" w:rsidRPr="00C765E8" w:rsidRDefault="005829BA" w:rsidP="005829BA">
      <w:pPr>
        <w:tabs>
          <w:tab w:val="left" w:pos="284"/>
          <w:tab w:val="center" w:pos="4320"/>
          <w:tab w:val="right" w:pos="8640"/>
        </w:tabs>
        <w:ind w:right="-113"/>
        <w:jc w:val="both"/>
        <w:rPr>
          <w:i/>
          <w:iCs/>
          <w:szCs w:val="22"/>
          <w:u w:val="single"/>
          <w:lang w:val="sr-Latn-ME"/>
        </w:rPr>
      </w:pPr>
      <w:r w:rsidRPr="00C765E8">
        <w:rPr>
          <w:i/>
          <w:iCs/>
          <w:szCs w:val="22"/>
          <w:u w:val="single"/>
          <w:lang w:val="sr-Latn-ME"/>
        </w:rPr>
        <w:t>Praćenje elektrolita: Hiponatrijemija</w:t>
      </w:r>
    </w:p>
    <w:p w14:paraId="20B9A5A2"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Kod nekih pacijenata liječenih ramiprilom uočen je sindrom neodgovarajućeg izlučivanja antidiuretskog hormona (SIADH) i posljedična hiponatrijemija. Preporučuje se redovno praćenje nivoa natrijuma u serumu kod starijih pacijenata, kao i kod drugih pacijenata kod kojih postoji rizik od hiponatrijemije.</w:t>
      </w:r>
    </w:p>
    <w:p w14:paraId="0D13EBB5"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Hepatična encefalopatija</w:t>
      </w:r>
    </w:p>
    <w:p w14:paraId="5046268A"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Poremećaj elektrolita zbog terapije diureticima, uključujući i hidrohlortiazid, može dovesti do hepatične encefalopatije kod pacijenata sa oboljenjem jetre. U slučaju encefalopatije, potrebno je odmah prekinuti terapiju.</w:t>
      </w:r>
    </w:p>
    <w:p w14:paraId="2E416748" w14:textId="77777777" w:rsidR="005829BA" w:rsidRPr="00C765E8" w:rsidRDefault="005829BA" w:rsidP="005829BA">
      <w:pPr>
        <w:tabs>
          <w:tab w:val="left" w:pos="284"/>
          <w:tab w:val="center" w:pos="4320"/>
          <w:tab w:val="right" w:pos="8640"/>
        </w:tabs>
        <w:spacing w:before="120"/>
        <w:jc w:val="both"/>
        <w:rPr>
          <w:i/>
          <w:szCs w:val="22"/>
          <w:u w:val="single"/>
          <w:lang w:val="sr-Latn-ME"/>
        </w:rPr>
      </w:pPr>
      <w:r w:rsidRPr="00C765E8">
        <w:rPr>
          <w:i/>
          <w:szCs w:val="22"/>
          <w:u w:val="single"/>
          <w:lang w:val="sr-Latn-ME"/>
        </w:rPr>
        <w:lastRenderedPageBreak/>
        <w:t>Hiperkalcijemija</w:t>
      </w:r>
    </w:p>
    <w:p w14:paraId="1E240542"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Hidrohlortiazid stimuliše resorpciju kalcijuma u bubrezima i može izazvati hiperkalcijemiju. Može uticati na rezultate testova funkcije paratiroidne žlijezde.</w:t>
      </w:r>
    </w:p>
    <w:p w14:paraId="66EA6F1E" w14:textId="77777777" w:rsidR="005829BA" w:rsidRPr="00C765E8" w:rsidRDefault="005829BA" w:rsidP="005829BA">
      <w:pPr>
        <w:tabs>
          <w:tab w:val="left" w:pos="284"/>
          <w:tab w:val="center" w:pos="4320"/>
          <w:tab w:val="right" w:pos="8640"/>
        </w:tabs>
        <w:spacing w:before="120"/>
        <w:jc w:val="both"/>
        <w:rPr>
          <w:i/>
          <w:szCs w:val="22"/>
          <w:u w:val="single"/>
          <w:lang w:val="sr-Latn-ME"/>
        </w:rPr>
      </w:pPr>
      <w:r w:rsidRPr="00C765E8">
        <w:rPr>
          <w:i/>
          <w:szCs w:val="22"/>
          <w:u w:val="single"/>
          <w:lang w:val="sr-Latn-ME"/>
        </w:rPr>
        <w:t>Hipersenzitivnost/Angioedem</w:t>
      </w:r>
    </w:p>
    <w:p w14:paraId="4AB5D04D"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 xml:space="preserve">Angioedem je prijavljen kod pacijenata na terapiji ACE inhibitorima, uključujući ramipril (vidjeti odjeljak 4.8). </w:t>
      </w:r>
    </w:p>
    <w:p w14:paraId="3C050439" w14:textId="77777777" w:rsidR="005829BA" w:rsidRPr="00C765E8" w:rsidRDefault="005829BA" w:rsidP="005829BA">
      <w:pPr>
        <w:tabs>
          <w:tab w:val="left" w:pos="284"/>
          <w:tab w:val="center" w:pos="4320"/>
          <w:tab w:val="right" w:pos="8640"/>
        </w:tabs>
        <w:ind w:right="-113"/>
        <w:jc w:val="both"/>
        <w:rPr>
          <w:szCs w:val="22"/>
          <w:lang w:val="sr-Latn-ME"/>
        </w:rPr>
      </w:pPr>
      <w:r w:rsidRPr="00C765E8">
        <w:rPr>
          <w:szCs w:val="22"/>
          <w:lang w:val="sr-Latn-ME"/>
        </w:rPr>
        <w:t xml:space="preserve">Istovremena upotreba ACE inhibitora sa sakubitril/valsartanom je kontraindikovana zbog povećanog rizika od angioedema. Terapija sakubitril/valsatranom ne smije se započinjati prije isteka 36 sati od posljednje doze ramipril/hidrohlortiazida. Terapija ramipril/hidrohlortiazidom ne smije se započinjati prije isteka 36 sati od posljednje doze sakubitril/valsatrana (vidjeti djelove 4.3 i 4.5). </w:t>
      </w:r>
    </w:p>
    <w:p w14:paraId="277FC7EA" w14:textId="77777777" w:rsidR="005829BA" w:rsidRPr="00C765E8" w:rsidRDefault="005829BA" w:rsidP="005829BA">
      <w:pPr>
        <w:autoSpaceDE w:val="0"/>
        <w:autoSpaceDN w:val="0"/>
        <w:adjustRightInd w:val="0"/>
        <w:jc w:val="both"/>
        <w:rPr>
          <w:iCs/>
          <w:szCs w:val="22"/>
          <w:lang w:val="sr-Latn-ME"/>
        </w:rPr>
      </w:pPr>
      <w:r w:rsidRPr="00C765E8">
        <w:rPr>
          <w:szCs w:val="22"/>
          <w:lang w:val="sr-Latn-ME"/>
        </w:rPr>
        <w:t>Istovremena upotreba ACE inhibitora sa racekadotrilom,</w:t>
      </w:r>
      <w:r w:rsidRPr="00C765E8" w:rsidDel="007F7832">
        <w:rPr>
          <w:iCs/>
          <w:szCs w:val="22"/>
          <w:lang w:val="sr-Latn-ME"/>
        </w:rPr>
        <w:t xml:space="preserve"> </w:t>
      </w:r>
      <w:r w:rsidRPr="00C765E8">
        <w:rPr>
          <w:iCs/>
          <w:szCs w:val="22"/>
          <w:lang w:val="sr-Latn-ME"/>
        </w:rPr>
        <w:t xml:space="preserve">mTOR (ciljna molekula rapamicina kod sisara, </w:t>
      </w:r>
      <w:r w:rsidRPr="00C765E8">
        <w:rPr>
          <w:i/>
          <w:iCs/>
          <w:szCs w:val="22"/>
          <w:lang w:val="sr-Latn-ME"/>
        </w:rPr>
        <w:t>eng. mammalian target of rapamycin</w:t>
      </w:r>
      <w:r w:rsidRPr="00C765E8">
        <w:rPr>
          <w:iCs/>
          <w:szCs w:val="22"/>
          <w:lang w:val="sr-Latn-ME"/>
        </w:rPr>
        <w:t>) inhibitorima (npr. temsirolimus, everolimus, sirolimus) ili vidagliptinom</w:t>
      </w:r>
      <w:r w:rsidRPr="00C765E8">
        <w:rPr>
          <w:szCs w:val="22"/>
          <w:lang w:val="sr-Latn-ME"/>
        </w:rPr>
        <w:t xml:space="preserve"> može dovesti do povećanog rizika od angioedema (npr. oticanje disajnih puteva ili jezika, sa ili bez oštećenja disajnih puteva) (vidjeti dio 4.5). Potreban je oprez kada se započinje sa primjenom racekadotrila, mTOR inhibitora (npr. sirolimusa, everolimusa, temsirolimusa) i vildagliptina kod pacijenta koji već uzima ACE inhibitor.</w:t>
      </w:r>
    </w:p>
    <w:p w14:paraId="6C25213D"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 xml:space="preserve">U slučaju pojave angioedema, potrebno je prekinuti terapiju i hitno započeti urgentne mjere liječenja. </w:t>
      </w:r>
    </w:p>
    <w:p w14:paraId="67791B11"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Pacijente treba promatrati najmanje 12 do 24 sati i otpustiti nakon potpunog povlačenja simptoma.</w:t>
      </w:r>
    </w:p>
    <w:p w14:paraId="2C104966"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Kod pacijenta koji uzimaju ACE inhibitore, uključujući i ramipril, prijavljena je pojava intestinalnog angioedema (vidjeti odjeljak 4.8). Kod ovih pacijenata se javio abdominalni bol (sa ili bez mučnine ili povraćanja).</w:t>
      </w:r>
    </w:p>
    <w:p w14:paraId="07DC88F4"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Anafilaktične reakcije tokom terapije desenzitizacije</w:t>
      </w:r>
    </w:p>
    <w:p w14:paraId="327EA347"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Vjerovatnoća razvoja kao i težina anafilaktičnih i anafilaktoidnih reakcija na ubod insekta i na druge alergene povećana je kod terapije ACE inhibitorima. Treba razmotriti privremeni prekid terapije prije desenzitizacije.</w:t>
      </w:r>
    </w:p>
    <w:p w14:paraId="3F4A9BD5"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Neutropenija/agranulocitoza</w:t>
      </w:r>
    </w:p>
    <w:p w14:paraId="2C490755"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 xml:space="preserve">Neutropenija/agranulocitoza se rijetko javljaju; prijavljena je i supresija kostne srži. Preporučuje se praćenje broja bijelih krvnih ćelija da bi se na vrijeme otkrila leukopenija. Potrebno je češća kontrola u </w:t>
      </w:r>
    </w:p>
    <w:p w14:paraId="08AB1043"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početnoj fazi terapije kod pacijenata sa oštećenom renalnom funkcijom, pacijenata sa bolešću vezivnog tkiva (npr.</w:t>
      </w:r>
      <w:r w:rsidRPr="00C765E8">
        <w:rPr>
          <w:i/>
          <w:iCs/>
          <w:szCs w:val="22"/>
          <w:lang w:val="sr-Latn-ME"/>
        </w:rPr>
        <w:t xml:space="preserve"> lupus erythematosus ili scleroderma</w:t>
      </w:r>
      <w:r w:rsidRPr="00C765E8">
        <w:rPr>
          <w:iCs/>
          <w:szCs w:val="22"/>
          <w:lang w:val="sr-Latn-ME"/>
        </w:rPr>
        <w:t>) i kod svih pacijenata liječenih ljekovima koji mogu izmijeniti krvnu sliku (vidjeti odjeljak 4.5 i 4.8).</w:t>
      </w:r>
    </w:p>
    <w:p w14:paraId="259B9FA7" w14:textId="77777777" w:rsidR="005829BA" w:rsidRPr="00C765E8" w:rsidRDefault="005829BA" w:rsidP="005829BA">
      <w:pPr>
        <w:ind w:right="-113"/>
        <w:jc w:val="both"/>
        <w:rPr>
          <w:i/>
          <w:szCs w:val="22"/>
          <w:u w:val="single"/>
          <w:lang w:val="sr-Latn-ME"/>
        </w:rPr>
      </w:pPr>
    </w:p>
    <w:p w14:paraId="5E487DD1" w14:textId="77777777" w:rsidR="005829BA" w:rsidRPr="00C765E8" w:rsidRDefault="003E599B" w:rsidP="005829BA">
      <w:pPr>
        <w:tabs>
          <w:tab w:val="left" w:pos="284"/>
          <w:tab w:val="center" w:pos="4320"/>
          <w:tab w:val="right" w:pos="8640"/>
        </w:tabs>
        <w:ind w:right="-113"/>
        <w:jc w:val="both"/>
        <w:rPr>
          <w:iCs/>
          <w:szCs w:val="22"/>
          <w:lang w:val="sr-Latn-ME"/>
        </w:rPr>
      </w:pPr>
      <w:r w:rsidRPr="00C765E8">
        <w:rPr>
          <w:i/>
          <w:iCs/>
          <w:szCs w:val="22"/>
          <w:u w:val="single"/>
          <w:lang w:val="sr-Latn-ME"/>
        </w:rPr>
        <w:t>Horoidalna efuzija</w:t>
      </w:r>
      <w:r w:rsidR="0081791C" w:rsidRPr="00C765E8">
        <w:rPr>
          <w:i/>
          <w:iCs/>
          <w:szCs w:val="22"/>
          <w:u w:val="single"/>
          <w:lang w:val="sr-Latn-ME"/>
        </w:rPr>
        <w:t>, a</w:t>
      </w:r>
      <w:r w:rsidR="005829BA" w:rsidRPr="00C765E8">
        <w:rPr>
          <w:i/>
          <w:iCs/>
          <w:szCs w:val="22"/>
          <w:u w:val="single"/>
          <w:lang w:val="sr-Latn-ME"/>
        </w:rPr>
        <w:t>kutna miopija i glaukom uskog ugla</w:t>
      </w:r>
    </w:p>
    <w:p w14:paraId="1E0FA4F4"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Hidrohlortiazid, sulfonamid, mo</w:t>
      </w:r>
      <w:r w:rsidR="003E599B" w:rsidRPr="00C765E8">
        <w:rPr>
          <w:iCs/>
          <w:szCs w:val="22"/>
          <w:lang w:val="sr-Latn-ME"/>
        </w:rPr>
        <w:t>gu</w:t>
      </w:r>
      <w:r w:rsidRPr="00C765E8">
        <w:rPr>
          <w:iCs/>
          <w:szCs w:val="22"/>
          <w:lang w:val="sr-Latn-ME"/>
        </w:rPr>
        <w:t xml:space="preserve"> izazvati idiosinkraznu reakciju, rezultujući </w:t>
      </w:r>
      <w:r w:rsidR="003E599B" w:rsidRPr="00C765E8">
        <w:rPr>
          <w:iCs/>
          <w:szCs w:val="22"/>
          <w:lang w:val="sr-Latn-ME"/>
        </w:rPr>
        <w:t>horoidalnom efuzijom sa oštećenjem vidnog polja</w:t>
      </w:r>
      <w:r w:rsidR="00017ADD" w:rsidRPr="00C765E8">
        <w:rPr>
          <w:iCs/>
          <w:szCs w:val="22"/>
          <w:lang w:val="sr-Latn-ME"/>
        </w:rPr>
        <w:t xml:space="preserve">, </w:t>
      </w:r>
      <w:r w:rsidRPr="00C765E8">
        <w:rPr>
          <w:iCs/>
          <w:szCs w:val="22"/>
          <w:lang w:val="sr-Latn-ME"/>
        </w:rPr>
        <w:t>akutnom prolaznom miopijom i akutnim glaukomom uskog ugla. Simptomi uključuju akutnu pojavu smanjene oštrine vida ili okularnog bola i tipično se javljaju u roku od nekoliko sati do nedjelja od početka uzimanja lijeka. Neliječeni glaukom uskog ugla može dovesti do trajnog gubitka vida. Primarno liječenje obuhvata prekid uzimanja hidrohlortiazida što je brže moguće. Potrebno je razmotriti hitno medicinsko ili hirurško liječenje u slučaju da intraokularni pritisak ostaje nekontrolisan. Faktori rizika za razvoj glaukoma uskog ugla mogu uključivati alergiju na sulfonamide ili penicilin u istoriji bolesti.</w:t>
      </w:r>
    </w:p>
    <w:p w14:paraId="5937D8F0"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Etničke razlike</w:t>
      </w:r>
    </w:p>
    <w:p w14:paraId="4E8A6726"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ACE inhibitori češće izazivaju angioedem kod pacijenata crne rase nego kod pripadnika drugih rasa. Kao i kod drugih ACE inhibitora, ramipril može biti manje efikasan u snižavanju krvnog pritiska kod pacijenata crne rase nego kod drugih, naročito zbog veće prevalence hipertenzije i niskog reninskog statusa kod pacijenata crne rase sa  hipertenzijom.</w:t>
      </w:r>
    </w:p>
    <w:p w14:paraId="2EA3EF3A"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Sportisti</w:t>
      </w:r>
    </w:p>
    <w:p w14:paraId="621D566A"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Hidrohlortiazid može pokazati pozitivni analitički rezultat na anti-doping testu.</w:t>
      </w:r>
    </w:p>
    <w:p w14:paraId="1A891240"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Metabolički i endokrini efekti</w:t>
      </w:r>
    </w:p>
    <w:p w14:paraId="178DF0C0"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Terapija tiazidima može poremetiti toleranciju na glukozu. Kod pacijenata sa dijabetesom potrebno je prilagoditi dozu insulina ili oralnih hipoglikemika. Latentni dijabetes mellitus se može manifestovati tokom terapije tiazidima.</w:t>
      </w:r>
    </w:p>
    <w:p w14:paraId="3B59C4E0"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Tokom terapije tiazidnim diureticima može doći do povećanja nivoa holesterola i triglicerida.</w:t>
      </w:r>
    </w:p>
    <w:p w14:paraId="7DE29804"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lastRenderedPageBreak/>
        <w:t>Može se javiti hiperurikemija ili čisti giht kod određenih pacijenata koji su na terapiji tiazidima.</w:t>
      </w:r>
    </w:p>
    <w:p w14:paraId="78EEDF11"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Kašalj</w:t>
      </w:r>
    </w:p>
    <w:p w14:paraId="7EF074B3"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 xml:space="preserve">Kod primjene ACE inhibitora prijavljen je kašalj. Karakteristično je da je kašalj neproduktivan, perzistentan i prestaje nakon prekida terapije. Kašalj indukovan ACE inhbitorima treba posmatrati kao dio diferencijalne dijagnoze kašlja. </w:t>
      </w:r>
    </w:p>
    <w:p w14:paraId="69B9FC06" w14:textId="77777777" w:rsidR="005829BA" w:rsidRPr="00C765E8" w:rsidRDefault="005829BA" w:rsidP="005829BA">
      <w:pPr>
        <w:tabs>
          <w:tab w:val="left" w:pos="284"/>
          <w:tab w:val="center" w:pos="4320"/>
          <w:tab w:val="right" w:pos="8640"/>
        </w:tabs>
        <w:spacing w:before="120"/>
        <w:ind w:right="-113"/>
        <w:jc w:val="both"/>
        <w:rPr>
          <w:i/>
          <w:szCs w:val="22"/>
          <w:u w:val="single"/>
          <w:lang w:val="sr-Latn-ME"/>
        </w:rPr>
      </w:pPr>
      <w:r w:rsidRPr="00C765E8">
        <w:rPr>
          <w:i/>
          <w:szCs w:val="22"/>
          <w:u w:val="single"/>
          <w:lang w:val="sr-Latn-ME"/>
        </w:rPr>
        <w:t>Ostalo</w:t>
      </w:r>
    </w:p>
    <w:p w14:paraId="1F065BE8" w14:textId="77777777" w:rsidR="005829BA" w:rsidRPr="00C765E8" w:rsidRDefault="005829BA" w:rsidP="005829BA">
      <w:pPr>
        <w:tabs>
          <w:tab w:val="left" w:pos="284"/>
          <w:tab w:val="center" w:pos="4320"/>
          <w:tab w:val="right" w:pos="8640"/>
        </w:tabs>
        <w:ind w:right="-113"/>
        <w:jc w:val="both"/>
        <w:rPr>
          <w:iCs/>
          <w:szCs w:val="22"/>
          <w:lang w:val="sr-Latn-ME"/>
        </w:rPr>
      </w:pPr>
      <w:r w:rsidRPr="00C765E8">
        <w:rPr>
          <w:iCs/>
          <w:szCs w:val="22"/>
          <w:lang w:val="sr-Latn-ME"/>
        </w:rPr>
        <w:t>Reakcije preosjetljivosti se mogu javiti kod pacijenata sa ili bez alergije i bronhijalne astme u anamnezi.</w:t>
      </w:r>
    </w:p>
    <w:p w14:paraId="52009212" w14:textId="77777777" w:rsidR="005829BA" w:rsidRPr="00C765E8" w:rsidRDefault="005829BA" w:rsidP="005829BA">
      <w:pPr>
        <w:tabs>
          <w:tab w:val="left" w:pos="284"/>
          <w:tab w:val="center" w:pos="4320"/>
          <w:tab w:val="right" w:pos="8640"/>
        </w:tabs>
        <w:spacing w:after="120"/>
        <w:ind w:right="-113"/>
        <w:jc w:val="both"/>
        <w:rPr>
          <w:iCs/>
          <w:szCs w:val="22"/>
          <w:lang w:val="sr-Latn-ME"/>
        </w:rPr>
      </w:pPr>
      <w:r w:rsidRPr="00C765E8">
        <w:rPr>
          <w:iCs/>
          <w:szCs w:val="22"/>
          <w:lang w:val="sr-Latn-ME"/>
        </w:rPr>
        <w:t>Prijavljena je mogućnost egzacerbacije ili aktivacije sistemskog lupusa eritematozusa.</w:t>
      </w:r>
    </w:p>
    <w:p w14:paraId="7AF09E9E" w14:textId="77777777" w:rsidR="005829BA" w:rsidRPr="00C765E8" w:rsidRDefault="005829BA" w:rsidP="005829BA">
      <w:pPr>
        <w:autoSpaceDE w:val="0"/>
        <w:autoSpaceDN w:val="0"/>
        <w:adjustRightInd w:val="0"/>
        <w:ind w:right="-113"/>
        <w:jc w:val="both"/>
        <w:rPr>
          <w:i/>
          <w:szCs w:val="22"/>
          <w:u w:val="single"/>
          <w:lang w:val="sr-Latn-ME"/>
        </w:rPr>
      </w:pPr>
      <w:r w:rsidRPr="00C765E8">
        <w:rPr>
          <w:i/>
          <w:szCs w:val="22"/>
          <w:u w:val="single"/>
          <w:lang w:val="sr-Latn-ME"/>
        </w:rPr>
        <w:t xml:space="preserve">Dvostruka blokada sistema renin-angiotenzin-aldosteron (RAAS): </w:t>
      </w:r>
    </w:p>
    <w:p w14:paraId="7C020AAE" w14:textId="77777777" w:rsidR="005829BA" w:rsidRPr="00C765E8" w:rsidRDefault="005829BA" w:rsidP="005829BA">
      <w:pPr>
        <w:tabs>
          <w:tab w:val="center" w:pos="4320"/>
          <w:tab w:val="right" w:pos="8640"/>
        </w:tabs>
        <w:ind w:right="-113"/>
        <w:jc w:val="both"/>
        <w:rPr>
          <w:szCs w:val="22"/>
          <w:lang w:val="sr-Latn-ME"/>
        </w:rPr>
      </w:pPr>
      <w:r w:rsidRPr="00C765E8">
        <w:rPr>
          <w:szCs w:val="22"/>
          <w:lang w:val="sr-Latn-ME"/>
        </w:rPr>
        <w:t xml:space="preserve">Postoje dokazi da istovremena primjena ACE inhibitora, blokatora angiotenzin II receptora ili aliskirena povećava rizik od hipotenzije, hiperkalijemije i smanjene bubrežne funkcije (uključujući akutnu insuficijenciju bubrega). Dvostruka blokada RAAS-a kombinovanom primjenom ACE inhibitora, blokatora angiotenzin II receptora ili aliskirena stoga se ne preporučuje (vidjeti odjeljke 4.5 i 5.1). </w:t>
      </w:r>
    </w:p>
    <w:p w14:paraId="7560BC01" w14:textId="77777777" w:rsidR="005829BA" w:rsidRPr="00C765E8" w:rsidRDefault="005829BA" w:rsidP="005829BA">
      <w:pPr>
        <w:tabs>
          <w:tab w:val="center" w:pos="4320"/>
          <w:tab w:val="right" w:pos="8640"/>
        </w:tabs>
        <w:ind w:right="-113"/>
        <w:jc w:val="both"/>
        <w:rPr>
          <w:szCs w:val="22"/>
          <w:lang w:val="sr-Latn-ME"/>
        </w:rPr>
      </w:pPr>
      <w:r w:rsidRPr="00C765E8">
        <w:rPr>
          <w:szCs w:val="22"/>
          <w:lang w:val="sr-Latn-ME"/>
        </w:rPr>
        <w:t>Ako se terapija dvostrukom blokadom smatra apsolutno neophodnom, smije se sprovoditi samo pod nadzorom specijalista i uz pažljivo praćenje bubrežne funkcije, elektrolita i krvnog pritiska.</w:t>
      </w:r>
    </w:p>
    <w:p w14:paraId="1B1969E0" w14:textId="77777777" w:rsidR="005829BA" w:rsidRPr="00C765E8" w:rsidRDefault="005829BA" w:rsidP="005829BA">
      <w:pPr>
        <w:tabs>
          <w:tab w:val="center" w:pos="4320"/>
          <w:tab w:val="right" w:pos="8640"/>
        </w:tabs>
        <w:ind w:right="-113"/>
        <w:jc w:val="both"/>
        <w:rPr>
          <w:szCs w:val="22"/>
          <w:lang w:val="sr-Latn-ME"/>
        </w:rPr>
      </w:pPr>
      <w:r w:rsidRPr="00C765E8">
        <w:rPr>
          <w:szCs w:val="22"/>
          <w:lang w:val="sr-Latn-ME"/>
        </w:rPr>
        <w:t>ACE inhibitori i blokatori angiotenzin II receptora ne smiju se primjenjivati istovremeno kod pacijenata sa dijabetičkom nefropatijom.</w:t>
      </w:r>
    </w:p>
    <w:p w14:paraId="38FF856D" w14:textId="77777777" w:rsidR="005829BA" w:rsidRPr="00C765E8" w:rsidRDefault="005829BA" w:rsidP="005829BA">
      <w:pPr>
        <w:jc w:val="both"/>
        <w:rPr>
          <w:szCs w:val="22"/>
          <w:lang w:val="sr-Latn-ME"/>
        </w:rPr>
      </w:pPr>
    </w:p>
    <w:p w14:paraId="3DAE7247" w14:textId="77777777" w:rsidR="005829BA" w:rsidRPr="00C765E8" w:rsidRDefault="005829BA" w:rsidP="005829BA">
      <w:pPr>
        <w:jc w:val="both"/>
        <w:rPr>
          <w:i/>
          <w:szCs w:val="22"/>
          <w:u w:val="single"/>
          <w:lang w:val="sr-Latn-ME"/>
        </w:rPr>
      </w:pPr>
      <w:r w:rsidRPr="00C765E8">
        <w:rPr>
          <w:i/>
          <w:szCs w:val="22"/>
          <w:u w:val="single"/>
          <w:lang w:val="sr-Latn-ME"/>
        </w:rPr>
        <w:t>Nemelanomski karcinom kože</w:t>
      </w:r>
    </w:p>
    <w:p w14:paraId="6862D2CD" w14:textId="77777777" w:rsidR="005829BA" w:rsidRPr="00C765E8" w:rsidRDefault="005829BA" w:rsidP="005829BA">
      <w:pPr>
        <w:jc w:val="both"/>
        <w:rPr>
          <w:szCs w:val="22"/>
          <w:lang w:val="sr-Latn-ME"/>
        </w:rPr>
      </w:pPr>
      <w:r w:rsidRPr="00C765E8">
        <w:rPr>
          <w:szCs w:val="22"/>
          <w:lang w:val="sr-Latn-ME"/>
        </w:rPr>
        <w:t xml:space="preserve">Povećan rizik od nemelanomskog karcinoma kože (eng. </w:t>
      </w:r>
      <w:r w:rsidRPr="00C765E8">
        <w:rPr>
          <w:i/>
          <w:szCs w:val="22"/>
          <w:lang w:val="sr-Latn-ME"/>
        </w:rPr>
        <w:t>non-melanoma skin cancer</w:t>
      </w:r>
      <w:r w:rsidRPr="00C765E8">
        <w:rPr>
          <w:szCs w:val="22"/>
          <w:lang w:val="sr-Latn-ME"/>
        </w:rPr>
        <w:t xml:space="preserve">, NMSC) [bazocelularni karcinom (eng. </w:t>
      </w:r>
      <w:r w:rsidRPr="00C765E8">
        <w:rPr>
          <w:i/>
          <w:szCs w:val="22"/>
          <w:lang w:val="sr-Latn-ME"/>
        </w:rPr>
        <w:t>basal cell carcinoma</w:t>
      </w:r>
      <w:r w:rsidRPr="00C765E8">
        <w:rPr>
          <w:szCs w:val="22"/>
          <w:lang w:val="sr-Latn-ME"/>
        </w:rPr>
        <w:t xml:space="preserve">,  BCC) i planocelularni karcinom (eng. </w:t>
      </w:r>
      <w:r w:rsidRPr="00C765E8">
        <w:rPr>
          <w:i/>
          <w:szCs w:val="22"/>
          <w:lang w:val="sr-Latn-ME"/>
        </w:rPr>
        <w:t>squamous cell carcinoma</w:t>
      </w:r>
      <w:r w:rsidRPr="00C765E8">
        <w:rPr>
          <w:szCs w:val="22"/>
          <w:lang w:val="sr-Latn-ME"/>
        </w:rPr>
        <w:t>, SCC)] kod povećane kumulativne izloženosti hidrohlortiazidu zabilježen je u dvije epidemiološke studije zasnovane na Nacionalnom registru malignih oboljenja Danske. Fotosenzitivno dejstvo hidrohlortiazida može da predstavlja mogući mehanizam za nastanak NMSC.</w:t>
      </w:r>
    </w:p>
    <w:p w14:paraId="323DE77A" w14:textId="77777777" w:rsidR="00263344" w:rsidRPr="00C765E8" w:rsidRDefault="005829BA" w:rsidP="00CC4E90">
      <w:pPr>
        <w:tabs>
          <w:tab w:val="left" w:pos="284"/>
          <w:tab w:val="center" w:pos="4320"/>
          <w:tab w:val="right" w:pos="8640"/>
        </w:tabs>
        <w:jc w:val="both"/>
        <w:rPr>
          <w:szCs w:val="22"/>
          <w:lang w:val="sr-Latn-ME"/>
        </w:rPr>
      </w:pPr>
      <w:r w:rsidRPr="00C765E8">
        <w:rPr>
          <w:szCs w:val="22"/>
          <w:lang w:val="sr-Latn-ME"/>
        </w:rPr>
        <w:t>Pacijente koji uzimaju hidrohlortiazid potrebno je informisati o riziku od NMSC-a i savjetovati da redovno provjeravaju svoju kožu kako bi se uočila pojava svake nove lezije i da hitno prijave svaku sumnjivu leziju na koži. Pacijente treba  posavjetovati o mogućim preventivnim mjerama, kao što je ograničena izloženost sunčevoj svjetlosti i UV zracima i, u slučaju izloženosti, o korišćenju odgovarajuće zaštite, radi minimiziranja rizika od  karcinoma kože. Sumnjive lezije na koži potrebno je hitno pregledati, potencijalno uključujući histološke preglede uzorka dobijenog biopsijom. Opravdanost primjene hidrohlortiazida takođe može biti potrebno razmotriti kod pacijenata koji su ranije mali NMSC (vidjeti i dio 4.8).</w:t>
      </w:r>
    </w:p>
    <w:p w14:paraId="0BE60778" w14:textId="77777777" w:rsidR="003D739B" w:rsidRPr="00C765E8" w:rsidRDefault="003D739B" w:rsidP="00CC4E90">
      <w:pPr>
        <w:autoSpaceDE w:val="0"/>
        <w:autoSpaceDN w:val="0"/>
        <w:adjustRightInd w:val="0"/>
        <w:ind w:right="-113"/>
        <w:jc w:val="both"/>
        <w:rPr>
          <w:i/>
          <w:szCs w:val="22"/>
          <w:highlight w:val="yellow"/>
          <w:u w:val="single"/>
          <w:lang w:val="sr-Latn-ME"/>
        </w:rPr>
      </w:pPr>
    </w:p>
    <w:p w14:paraId="12B93966" w14:textId="77777777" w:rsidR="00B423EA" w:rsidRPr="00C765E8" w:rsidRDefault="003E599B" w:rsidP="00B423EA">
      <w:pPr>
        <w:tabs>
          <w:tab w:val="center" w:pos="4320"/>
          <w:tab w:val="right" w:pos="8640"/>
        </w:tabs>
        <w:ind w:right="-113"/>
        <w:jc w:val="both"/>
        <w:rPr>
          <w:i/>
          <w:szCs w:val="22"/>
          <w:u w:val="single"/>
          <w:lang w:val="sr-Latn-ME"/>
        </w:rPr>
      </w:pPr>
      <w:r w:rsidRPr="00C765E8">
        <w:rPr>
          <w:i/>
          <w:szCs w:val="22"/>
          <w:u w:val="single"/>
          <w:lang w:val="sr-Latn-ME"/>
        </w:rPr>
        <w:t>Akutna respiratorna toksičnost</w:t>
      </w:r>
    </w:p>
    <w:p w14:paraId="66DBB75F" w14:textId="77777777" w:rsidR="00807297" w:rsidRPr="00C765E8" w:rsidRDefault="003E599B" w:rsidP="00B423EA">
      <w:pPr>
        <w:tabs>
          <w:tab w:val="center" w:pos="4320"/>
          <w:tab w:val="right" w:pos="8640"/>
        </w:tabs>
        <w:ind w:right="-113"/>
        <w:jc w:val="both"/>
        <w:rPr>
          <w:szCs w:val="22"/>
          <w:lang w:val="sr-Latn-ME"/>
        </w:rPr>
      </w:pPr>
      <w:r w:rsidRPr="00C765E8">
        <w:rPr>
          <w:szCs w:val="22"/>
          <w:lang w:val="sr-Latn-ME"/>
        </w:rPr>
        <w:t xml:space="preserve">Nakon uzimanja hidrohlortiazida zabilježeni su vrlo rijetki teški slučajevi akutne respiratorne toksičnosti, uključujući akutni respiratorni distres sindrom (ARDS). Plućni edem obično se razvija u roku od nekoliko minuta do nekoliko sati nakon unosa hidrohlortiazida. Na početku simptomi uključuju dispneju, povišenu tjelesnu temperaturu, pogoršanje plućne funkcije i hipotenziju. Ako se sumnja na ARDS, potrebno je prekinuti primjenu ljekova Ampril HL i Ampril HD i primijeniti odgovarajuće liječenje. Hidrohlortiazid se ne smije davati </w:t>
      </w:r>
      <w:r w:rsidR="00B423EA" w:rsidRPr="00C765E8">
        <w:rPr>
          <w:szCs w:val="22"/>
          <w:lang w:val="sr-Latn-ME"/>
        </w:rPr>
        <w:t>pacijentima</w:t>
      </w:r>
      <w:r w:rsidRPr="00C765E8">
        <w:rPr>
          <w:szCs w:val="22"/>
          <w:lang w:val="sr-Latn-ME"/>
        </w:rPr>
        <w:t xml:space="preserve"> koji su prethodno imali ARDS nakon unosa hidro</w:t>
      </w:r>
      <w:r w:rsidR="00B423EA" w:rsidRPr="00C765E8">
        <w:rPr>
          <w:szCs w:val="22"/>
          <w:lang w:val="sr-Latn-ME"/>
        </w:rPr>
        <w:t>h</w:t>
      </w:r>
      <w:r w:rsidRPr="00C765E8">
        <w:rPr>
          <w:szCs w:val="22"/>
          <w:lang w:val="sr-Latn-ME"/>
        </w:rPr>
        <w:t>lortiazida.</w:t>
      </w:r>
    </w:p>
    <w:p w14:paraId="1616B5FE" w14:textId="77777777" w:rsidR="00807297" w:rsidRPr="00C765E8" w:rsidRDefault="00807297" w:rsidP="005829BA">
      <w:pPr>
        <w:tabs>
          <w:tab w:val="left" w:pos="284"/>
          <w:tab w:val="center" w:pos="4320"/>
          <w:tab w:val="right" w:pos="8640"/>
        </w:tabs>
        <w:spacing w:after="120"/>
        <w:jc w:val="both"/>
        <w:rPr>
          <w:szCs w:val="22"/>
          <w:lang w:val="sr-Latn-ME"/>
        </w:rPr>
      </w:pPr>
    </w:p>
    <w:p w14:paraId="00509C22" w14:textId="77777777" w:rsidR="005829BA" w:rsidRPr="00C765E8" w:rsidRDefault="005829BA" w:rsidP="005829BA">
      <w:pPr>
        <w:widowControl w:val="0"/>
        <w:jc w:val="both"/>
        <w:rPr>
          <w:b/>
          <w:szCs w:val="22"/>
          <w:lang w:val="sr-Latn-ME"/>
        </w:rPr>
      </w:pPr>
      <w:bookmarkStart w:id="2" w:name="_Hlk99518381"/>
      <w:r w:rsidRPr="00C765E8">
        <w:rPr>
          <w:szCs w:val="22"/>
          <w:lang w:val="sr-Latn-ME"/>
        </w:rPr>
        <w:t xml:space="preserve">Ovaj lijek sadrži laktozu. Pacijenti sa rijetkim nasljednim oboljenjem intolerancije galaktoze, </w:t>
      </w:r>
      <w:r w:rsidR="00B423EA" w:rsidRPr="00C765E8">
        <w:rPr>
          <w:szCs w:val="22"/>
          <w:lang w:val="sr-Latn-ME"/>
        </w:rPr>
        <w:t xml:space="preserve">potpunim </w:t>
      </w:r>
      <w:r w:rsidRPr="00C765E8">
        <w:rPr>
          <w:szCs w:val="22"/>
          <w:lang w:val="sr-Latn-ME"/>
        </w:rPr>
        <w:t>nedostatk</w:t>
      </w:r>
      <w:r w:rsidR="00B423EA" w:rsidRPr="00C765E8">
        <w:rPr>
          <w:szCs w:val="22"/>
          <w:lang w:val="sr-Latn-ME"/>
        </w:rPr>
        <w:t>om</w:t>
      </w:r>
      <w:r w:rsidRPr="00C765E8">
        <w:rPr>
          <w:szCs w:val="22"/>
          <w:lang w:val="sr-Latn-ME"/>
        </w:rPr>
        <w:t xml:space="preserve"> laktaze ili glukozno-galaktozne malapsorpcije ne smiju uzimati ovaj lijek.</w:t>
      </w:r>
    </w:p>
    <w:p w14:paraId="52C4D45A" w14:textId="3FA37FA8" w:rsidR="00425BD3" w:rsidRPr="00C765E8" w:rsidRDefault="00B423EA" w:rsidP="005829BA">
      <w:pPr>
        <w:widowControl w:val="0"/>
        <w:jc w:val="both"/>
        <w:rPr>
          <w:szCs w:val="22"/>
          <w:lang w:val="sr-Latn-ME"/>
        </w:rPr>
      </w:pPr>
      <w:r w:rsidRPr="00C765E8">
        <w:rPr>
          <w:szCs w:val="22"/>
          <w:lang w:val="sr-Latn-ME"/>
        </w:rPr>
        <w:t xml:space="preserve">Ovaj lijek sadrži manje od 1 mmol natrijuma (23 mg) po film tableti, </w:t>
      </w:r>
      <w:r w:rsidR="00425BD3" w:rsidRPr="00C765E8">
        <w:rPr>
          <w:szCs w:val="22"/>
          <w:lang w:val="sr-Latn-ME"/>
        </w:rPr>
        <w:t>tj. zanemarljive količine natrijuma.</w:t>
      </w:r>
      <w:bookmarkEnd w:id="2"/>
    </w:p>
    <w:p w14:paraId="2EB7A100" w14:textId="77777777" w:rsidR="005829BA" w:rsidRPr="00C765E8" w:rsidRDefault="005829BA">
      <w:pPr>
        <w:widowControl w:val="0"/>
        <w:ind w:left="567" w:hanging="567"/>
        <w:jc w:val="both"/>
        <w:outlineLvl w:val="0"/>
        <w:rPr>
          <w:b/>
          <w:szCs w:val="22"/>
          <w:lang w:val="sr-Latn-ME"/>
        </w:rPr>
      </w:pPr>
      <w:r w:rsidRPr="00C765E8">
        <w:rPr>
          <w:b/>
          <w:szCs w:val="22"/>
          <w:lang w:val="sr-Latn-ME"/>
        </w:rPr>
        <w:t>4.5</w:t>
      </w:r>
      <w:r w:rsidRPr="00C765E8">
        <w:rPr>
          <w:b/>
          <w:szCs w:val="22"/>
          <w:lang w:val="sr-Latn-ME"/>
        </w:rPr>
        <w:tab/>
        <w:t>Interakcije sa drugim ljekovima i druge vrste interakcija</w:t>
      </w:r>
    </w:p>
    <w:p w14:paraId="55A851BE" w14:textId="77777777" w:rsidR="005829BA" w:rsidRPr="00C765E8" w:rsidRDefault="005829BA">
      <w:pPr>
        <w:widowControl w:val="0"/>
        <w:ind w:left="567" w:hanging="567"/>
        <w:jc w:val="both"/>
        <w:outlineLvl w:val="0"/>
        <w:rPr>
          <w:szCs w:val="22"/>
          <w:lang w:val="sr-Latn-ME"/>
        </w:rPr>
      </w:pPr>
    </w:p>
    <w:p w14:paraId="3554D093" w14:textId="77777777" w:rsidR="005829BA" w:rsidRPr="00C765E8" w:rsidRDefault="005829BA" w:rsidP="00685D64">
      <w:pPr>
        <w:tabs>
          <w:tab w:val="left" w:pos="284"/>
          <w:tab w:val="center" w:pos="4320"/>
          <w:tab w:val="right" w:pos="8640"/>
        </w:tabs>
        <w:ind w:right="143"/>
        <w:jc w:val="both"/>
        <w:rPr>
          <w:szCs w:val="22"/>
          <w:lang w:val="sr-Latn-ME"/>
        </w:rPr>
      </w:pPr>
      <w:r w:rsidRPr="00C765E8">
        <w:rPr>
          <w:szCs w:val="22"/>
          <w:lang w:val="sr-Latn-ME"/>
        </w:rPr>
        <w:t>Podaci iz kliničkih ispitivanja su pokazali da je dvostruka blokada renin-angiotenzin-aldosteron sistema (RAAS) kroz kombinovanu upotrebu ACE-inhibitora, blokatora angiotenzin II receptora ili aliskirena povezana sa većom frekvencijom neželjenih događaja poput hipotenzije, hiperkalijemije i smanjene funkcije bubrega (uključujući akutnu bubrežnu insuficijenciju) u poređenju sa upotrebom jednog lijeka koji djeluje na sistem RAAS (vidjeti odjeljke 4.3, 4.4 i 5.1).</w:t>
      </w:r>
    </w:p>
    <w:p w14:paraId="2B0DC2E4" w14:textId="77777777" w:rsidR="00C765E8" w:rsidRDefault="00C765E8" w:rsidP="005829BA">
      <w:pPr>
        <w:tabs>
          <w:tab w:val="left" w:pos="284"/>
          <w:tab w:val="center" w:pos="4320"/>
          <w:tab w:val="right" w:pos="8640"/>
        </w:tabs>
        <w:spacing w:before="120" w:after="120"/>
        <w:ind w:right="143"/>
        <w:jc w:val="both"/>
        <w:rPr>
          <w:iCs/>
          <w:szCs w:val="22"/>
          <w:u w:val="single"/>
          <w:lang w:val="sr-Latn-ME"/>
        </w:rPr>
      </w:pPr>
    </w:p>
    <w:p w14:paraId="0DD49549" w14:textId="77777777" w:rsidR="00C765E8" w:rsidRDefault="00C765E8" w:rsidP="005829BA">
      <w:pPr>
        <w:tabs>
          <w:tab w:val="left" w:pos="284"/>
          <w:tab w:val="center" w:pos="4320"/>
          <w:tab w:val="right" w:pos="8640"/>
        </w:tabs>
        <w:spacing w:before="120" w:after="120"/>
        <w:ind w:right="143"/>
        <w:jc w:val="both"/>
        <w:rPr>
          <w:iCs/>
          <w:szCs w:val="22"/>
          <w:u w:val="single"/>
          <w:lang w:val="sr-Latn-ME"/>
        </w:rPr>
      </w:pPr>
    </w:p>
    <w:p w14:paraId="11D2561F" w14:textId="544C4A8B" w:rsidR="005829BA" w:rsidRPr="00C765E8" w:rsidRDefault="005829BA" w:rsidP="005829BA">
      <w:pPr>
        <w:tabs>
          <w:tab w:val="left" w:pos="284"/>
          <w:tab w:val="center" w:pos="4320"/>
          <w:tab w:val="right" w:pos="8640"/>
        </w:tabs>
        <w:spacing w:before="120" w:after="120"/>
        <w:ind w:right="143"/>
        <w:jc w:val="both"/>
        <w:rPr>
          <w:iCs/>
          <w:szCs w:val="22"/>
          <w:u w:val="single"/>
          <w:lang w:val="sr-Latn-ME"/>
        </w:rPr>
      </w:pPr>
      <w:r w:rsidRPr="00C765E8">
        <w:rPr>
          <w:iCs/>
          <w:szCs w:val="22"/>
          <w:u w:val="single"/>
          <w:lang w:val="sr-Latn-ME"/>
        </w:rPr>
        <w:lastRenderedPageBreak/>
        <w:t>Kontraindikovane kombinacije</w:t>
      </w:r>
    </w:p>
    <w:p w14:paraId="4D3E9803" w14:textId="77777777" w:rsidR="005829BA" w:rsidRPr="00C765E8" w:rsidRDefault="005829BA" w:rsidP="005829BA">
      <w:pPr>
        <w:jc w:val="both"/>
        <w:rPr>
          <w:szCs w:val="22"/>
          <w:lang w:val="sr-Latn-ME"/>
        </w:rPr>
      </w:pPr>
      <w:r w:rsidRPr="00C765E8">
        <w:rPr>
          <w:szCs w:val="22"/>
          <w:lang w:val="sr-Latn-ME"/>
        </w:rPr>
        <w:t xml:space="preserve">Istovremena upotreba ACE inhibitora sa sakubitril/valsartanom je kontraindikovana zbog povećanog rizika od angioedema (vidjeti djelove 4.3 i 4.4). </w:t>
      </w:r>
    </w:p>
    <w:p w14:paraId="755A8021" w14:textId="77777777" w:rsidR="005829BA" w:rsidRPr="00C765E8" w:rsidRDefault="005829BA" w:rsidP="005829BA">
      <w:pPr>
        <w:tabs>
          <w:tab w:val="left" w:pos="284"/>
          <w:tab w:val="center" w:pos="4320"/>
          <w:tab w:val="right" w:pos="8640"/>
        </w:tabs>
        <w:ind w:right="143"/>
        <w:jc w:val="both"/>
        <w:rPr>
          <w:iCs/>
          <w:szCs w:val="22"/>
          <w:lang w:val="sr-Latn-ME"/>
        </w:rPr>
      </w:pPr>
    </w:p>
    <w:p w14:paraId="2BF27869" w14:textId="77777777" w:rsidR="005829BA" w:rsidRPr="00C765E8" w:rsidRDefault="005829BA" w:rsidP="005829BA">
      <w:pPr>
        <w:tabs>
          <w:tab w:val="left" w:pos="284"/>
          <w:tab w:val="center" w:pos="4320"/>
          <w:tab w:val="right" w:pos="8640"/>
        </w:tabs>
        <w:ind w:right="143"/>
        <w:jc w:val="both"/>
        <w:rPr>
          <w:iCs/>
          <w:szCs w:val="22"/>
          <w:lang w:val="sr-Latn-ME"/>
        </w:rPr>
      </w:pPr>
      <w:r w:rsidRPr="00C765E8">
        <w:rPr>
          <w:iCs/>
          <w:szCs w:val="22"/>
          <w:lang w:val="sr-Latn-ME"/>
        </w:rPr>
        <w:t>Ekstrakorporalna terapija kod koje krv dolazi u kontakt sa negativno naelektrisanim površinama, kao što je dijaliza ili hemofiltracija sa određenim membranama visokog protoka (npr. poliakronitril membrane) i afereza lipoproteina niske gustine dekstran sulfatom, zbog povećanog rizika za tešku anafilaktoidnu reakciju (vidjeti odjeljak 4.3). Ako je takva terapija potrebna, treba razmotriti upotrebu drugog tipa membrane za dijalizu ili upotrebu antihipertenziva druge klase.</w:t>
      </w:r>
    </w:p>
    <w:p w14:paraId="100228E4" w14:textId="77777777" w:rsidR="005829BA" w:rsidRPr="00C765E8" w:rsidRDefault="005829BA" w:rsidP="005829BA">
      <w:pPr>
        <w:tabs>
          <w:tab w:val="left" w:pos="284"/>
          <w:tab w:val="center" w:pos="4320"/>
          <w:tab w:val="right" w:pos="8640"/>
        </w:tabs>
        <w:spacing w:before="120" w:after="120"/>
        <w:ind w:right="143"/>
        <w:jc w:val="both"/>
        <w:rPr>
          <w:iCs/>
          <w:szCs w:val="22"/>
          <w:u w:val="single"/>
          <w:lang w:val="sr-Latn-ME"/>
        </w:rPr>
      </w:pPr>
      <w:r w:rsidRPr="00C765E8">
        <w:rPr>
          <w:iCs/>
          <w:szCs w:val="22"/>
          <w:u w:val="single"/>
          <w:lang w:val="sr-Latn-ME"/>
        </w:rPr>
        <w:t>Oprez prilikom upotrebe</w:t>
      </w:r>
    </w:p>
    <w:p w14:paraId="3DE77703" w14:textId="77777777" w:rsidR="005829BA" w:rsidRPr="00C765E8" w:rsidRDefault="005829BA" w:rsidP="005829BA">
      <w:pPr>
        <w:tabs>
          <w:tab w:val="left" w:pos="284"/>
          <w:tab w:val="center" w:pos="4320"/>
          <w:tab w:val="right" w:pos="8640"/>
        </w:tabs>
        <w:ind w:right="143"/>
        <w:jc w:val="both"/>
        <w:rPr>
          <w:iCs/>
          <w:szCs w:val="22"/>
          <w:lang w:val="sr-Latn-ME"/>
        </w:rPr>
      </w:pPr>
      <w:r w:rsidRPr="00C765E8">
        <w:rPr>
          <w:i/>
          <w:iCs/>
          <w:szCs w:val="22"/>
          <w:lang w:val="sr-Latn-ME"/>
        </w:rPr>
        <w:t>Kalijumove soli, heparin, diuretici koji štede kalijum i druge aktivne supstance koje povećavaju nivo kalijuma u plazmi (uključujući angiotenzin II antagoniste, trimetroprim, takrolimus, ciklosporin):</w:t>
      </w:r>
      <w:r w:rsidRPr="00C765E8">
        <w:rPr>
          <w:iCs/>
          <w:szCs w:val="22"/>
          <w:lang w:val="sr-Latn-ME"/>
        </w:rPr>
        <w:t xml:space="preserve"> </w:t>
      </w:r>
    </w:p>
    <w:p w14:paraId="73CD932A" w14:textId="77777777" w:rsidR="005829BA" w:rsidRPr="00C765E8" w:rsidRDefault="005829BA" w:rsidP="005829BA">
      <w:pPr>
        <w:tabs>
          <w:tab w:val="left" w:pos="284"/>
          <w:tab w:val="center" w:pos="4320"/>
          <w:tab w:val="right" w:pos="8640"/>
        </w:tabs>
        <w:ind w:right="143"/>
        <w:jc w:val="both"/>
        <w:rPr>
          <w:iCs/>
          <w:szCs w:val="22"/>
          <w:lang w:val="sr-Latn-ME"/>
        </w:rPr>
      </w:pPr>
      <w:r w:rsidRPr="00C765E8">
        <w:rPr>
          <w:szCs w:val="22"/>
          <w:lang w:val="sr-Latn-ME"/>
        </w:rPr>
        <w:t>Iako kalijum u serumu obično ostaje unutar normalnih granica, hiperkalemija se može pojaviti kod nekih pacijenata liječenih ramipril/hidrohlortiazidom</w:t>
      </w:r>
      <w:r w:rsidRPr="00C765E8">
        <w:rPr>
          <w:szCs w:val="22"/>
          <w:lang w:val="sr-Latn-ME" w:eastAsia="sr-Latn-CS"/>
        </w:rPr>
        <w:t xml:space="preserve">. Diuretici koji štede kalijum (npr. spironolakton, triamteren ili amilorid), suplementi kalijuma ili zamjene za so koje sadrže kalijum mogu dovesti do značajnog povećanja kalijuma u serumu. </w:t>
      </w:r>
      <w:r w:rsidRPr="00C765E8">
        <w:rPr>
          <w:szCs w:val="22"/>
          <w:lang w:val="sr-Latn-ME"/>
        </w:rPr>
        <w:t>Potreban je oprez i kada se ramipril/hidrohlortiazid istovremeno primjenjuje sa drugim supstancama koje povećavaju serumski kalijum, poput trimetoprima i kotrimoksazola (sulfametoksazol/trimetoprim), jer je poznato da trimetoprim djeluje kao diuretik koji štedi kalijum poput amilorida. Stoga se kombinacija ramipril/hidrohlortiazida sa gore pomenutim ljekovima ne preporučuje. Ukoliko je indikovana istovremena upotreba, potrebno ih je koristiti sa oprezom i uz česte provjere serumskog kalijuma.</w:t>
      </w:r>
    </w:p>
    <w:p w14:paraId="3093B3BC" w14:textId="77777777" w:rsidR="005829BA" w:rsidRPr="00C765E8" w:rsidRDefault="005829BA" w:rsidP="005829BA">
      <w:pPr>
        <w:tabs>
          <w:tab w:val="left" w:pos="284"/>
          <w:tab w:val="center" w:pos="4320"/>
          <w:tab w:val="right" w:pos="8640"/>
        </w:tabs>
        <w:spacing w:before="120"/>
        <w:ind w:right="143"/>
        <w:jc w:val="both"/>
        <w:rPr>
          <w:iCs/>
          <w:szCs w:val="22"/>
          <w:lang w:val="sr-Latn-ME"/>
        </w:rPr>
      </w:pPr>
      <w:r w:rsidRPr="00C765E8">
        <w:rPr>
          <w:i/>
          <w:iCs/>
          <w:szCs w:val="22"/>
          <w:lang w:val="sr-Latn-ME"/>
        </w:rPr>
        <w:t xml:space="preserve">Antihipertenzivni ljekovi (diuretici) i ostale supstance koje mogu smanjiti krvni pritisak (npr. nitrati, triciklični antidepresivi, anestetici, akutni unos alkohola, baklofen, alfuzosin, doksazosin, prazosin, tamsulosin, terzosin): </w:t>
      </w:r>
      <w:r w:rsidRPr="00C765E8">
        <w:rPr>
          <w:iCs/>
          <w:szCs w:val="22"/>
          <w:lang w:val="sr-Latn-ME"/>
        </w:rPr>
        <w:t>Povećava se rizik za razvoj hipotenzije (vidjeti odjeljak 4.2)</w:t>
      </w:r>
    </w:p>
    <w:p w14:paraId="2D630858"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szCs w:val="22"/>
          <w:lang w:val="sr-Latn-ME"/>
        </w:rPr>
        <w:t xml:space="preserve">Vazopresorni simpatomimetici i druge supstance (epinefrin) koje mogu umanjiti antihipertenzivni efekat ramiprila: </w:t>
      </w:r>
      <w:r w:rsidRPr="00C765E8">
        <w:rPr>
          <w:szCs w:val="22"/>
          <w:lang w:val="sr-Latn-ME"/>
        </w:rPr>
        <w:t>Preporučuje se često mjerenje krvnog pritiska.</w:t>
      </w:r>
    </w:p>
    <w:p w14:paraId="4B43D1AA"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szCs w:val="22"/>
          <w:lang w:val="sr-Latn-ME"/>
        </w:rPr>
        <w:t>Alopurinol, imunosupresivi, kortikosteroidi, prokainamid, citostatici</w:t>
      </w:r>
      <w:r w:rsidRPr="00C765E8">
        <w:rPr>
          <w:szCs w:val="22"/>
          <w:lang w:val="sr-Latn-ME"/>
        </w:rPr>
        <w:t xml:space="preserve"> </w:t>
      </w:r>
      <w:r w:rsidRPr="00C765E8">
        <w:rPr>
          <w:i/>
          <w:szCs w:val="22"/>
          <w:lang w:val="sr-Latn-ME"/>
        </w:rPr>
        <w:t>i ostali ljekovi koji mogu mijenjati krvnu sliku:</w:t>
      </w:r>
      <w:r w:rsidRPr="00C765E8">
        <w:rPr>
          <w:szCs w:val="22"/>
          <w:lang w:val="sr-Latn-ME"/>
        </w:rPr>
        <w:t xml:space="preserve"> Povećava se vjerovatnoća hematoloških reakcija (vidjeti odjeljak 4.4).</w:t>
      </w:r>
    </w:p>
    <w:p w14:paraId="03CF3B5B"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szCs w:val="22"/>
          <w:lang w:val="sr-Latn-ME"/>
        </w:rPr>
        <w:t>Soli litijuma</w:t>
      </w:r>
      <w:r w:rsidRPr="00C765E8">
        <w:rPr>
          <w:szCs w:val="22"/>
          <w:lang w:val="sr-Latn-ME"/>
        </w:rPr>
        <w:t>: Ekskrecija litijuma se može smanjiti kod primjene ACE inhibitora i zbog toga može biti povećana toksičnost litijuma. Koncentracija litijuma u serumu se mora kontrolisati. Istovremena upotreba tiazidnih diuretika može povećati rizik za nastanak toksičnosti litijuma i povećati već povećan rizik za nastanak toksičnosti litijuma sa ACE inhibitorima. Zbog toga se ne preporučuje istovremena upotreba ramiprila i hidrohlortiazida sa litijumom.</w:t>
      </w:r>
    </w:p>
    <w:p w14:paraId="4024C84F"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szCs w:val="22"/>
          <w:lang w:val="sr-Latn-ME"/>
        </w:rPr>
        <w:t>Antidijabetici uključujući insulin</w:t>
      </w:r>
    </w:p>
    <w:p w14:paraId="5E2545A8" w14:textId="77777777" w:rsidR="005829BA" w:rsidRPr="00C765E8" w:rsidRDefault="005829BA" w:rsidP="005829BA">
      <w:pPr>
        <w:tabs>
          <w:tab w:val="left" w:pos="284"/>
          <w:tab w:val="center" w:pos="4320"/>
          <w:tab w:val="right" w:pos="8640"/>
        </w:tabs>
        <w:ind w:right="143"/>
        <w:jc w:val="both"/>
        <w:rPr>
          <w:szCs w:val="22"/>
          <w:lang w:val="sr-Latn-ME"/>
        </w:rPr>
      </w:pPr>
      <w:r w:rsidRPr="00C765E8">
        <w:rPr>
          <w:szCs w:val="22"/>
          <w:lang w:val="sr-Latn-ME"/>
        </w:rPr>
        <w:t>Može doći do hipoglikemijske reakcije. Hidrohlortiazid može smanjiti dejstvo antidijabetika. Zbog toga treba obavezno kontrolisati koncentraciju glukoze u krvi u početnoj fazi terapije.</w:t>
      </w:r>
    </w:p>
    <w:p w14:paraId="56EE1865" w14:textId="77777777" w:rsidR="005829BA" w:rsidRPr="00C765E8" w:rsidRDefault="005829BA" w:rsidP="005829BA">
      <w:pPr>
        <w:tabs>
          <w:tab w:val="left" w:pos="284"/>
          <w:tab w:val="center" w:pos="4320"/>
          <w:tab w:val="right" w:pos="8640"/>
        </w:tabs>
        <w:spacing w:before="120"/>
        <w:ind w:right="143"/>
        <w:jc w:val="both"/>
        <w:rPr>
          <w:i/>
          <w:iCs/>
          <w:szCs w:val="22"/>
          <w:lang w:val="sr-Latn-ME"/>
        </w:rPr>
      </w:pPr>
      <w:r w:rsidRPr="00C765E8">
        <w:rPr>
          <w:i/>
          <w:iCs/>
          <w:szCs w:val="22"/>
          <w:lang w:val="sr-Latn-ME"/>
        </w:rPr>
        <w:t>Nesteroidni antiinflamatorni ljekovi i acetilsalicilna kiselina</w:t>
      </w:r>
    </w:p>
    <w:p w14:paraId="072AB6C8" w14:textId="77777777" w:rsidR="005829BA" w:rsidRPr="00C765E8" w:rsidRDefault="005829BA" w:rsidP="005829BA">
      <w:pPr>
        <w:tabs>
          <w:tab w:val="left" w:pos="284"/>
          <w:tab w:val="center" w:pos="4320"/>
          <w:tab w:val="right" w:pos="8640"/>
        </w:tabs>
        <w:ind w:right="143"/>
        <w:jc w:val="both"/>
        <w:rPr>
          <w:szCs w:val="22"/>
          <w:lang w:val="sr-Latn-ME"/>
        </w:rPr>
      </w:pPr>
      <w:r w:rsidRPr="00C765E8">
        <w:rPr>
          <w:szCs w:val="22"/>
          <w:lang w:val="sr-Latn-ME"/>
        </w:rPr>
        <w:t>Može se očekivati smanjenje antihipertenzivnog dejstva. Istovremeno uzimanje ACE inhibitora i NSAIL može dovesti do povećanog rizika od pogoršanja renalne funkcije i povećane koncentracije kalijuma u serumu.</w:t>
      </w:r>
    </w:p>
    <w:p w14:paraId="0CB2D334"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iCs/>
          <w:szCs w:val="22"/>
          <w:lang w:val="sr-Latn-ME"/>
        </w:rPr>
        <w:t>Oralni antikoagulansi:</w:t>
      </w:r>
      <w:r w:rsidRPr="00C765E8">
        <w:rPr>
          <w:szCs w:val="22"/>
          <w:lang w:val="sr-Latn-ME"/>
        </w:rPr>
        <w:t xml:space="preserve"> Istovremena upotreba hidrohlortiazida može smanjiti antikoagulantni efekat.</w:t>
      </w:r>
    </w:p>
    <w:p w14:paraId="435D1C60" w14:textId="77777777" w:rsidR="005829BA" w:rsidRPr="00C765E8" w:rsidRDefault="005829BA" w:rsidP="005829BA">
      <w:pPr>
        <w:tabs>
          <w:tab w:val="left" w:pos="284"/>
          <w:tab w:val="center" w:pos="4320"/>
          <w:tab w:val="right" w:pos="8640"/>
        </w:tabs>
        <w:spacing w:before="120"/>
        <w:ind w:right="143"/>
        <w:jc w:val="both"/>
        <w:rPr>
          <w:i/>
          <w:iCs/>
          <w:szCs w:val="22"/>
          <w:lang w:val="sr-Latn-ME"/>
        </w:rPr>
      </w:pPr>
      <w:r w:rsidRPr="00C765E8">
        <w:rPr>
          <w:i/>
          <w:iCs/>
          <w:szCs w:val="22"/>
          <w:lang w:val="sr-Latn-ME"/>
        </w:rPr>
        <w:t xml:space="preserve">Kortikosteroidi, ACTH, amfotericin B, karbenoksolon, velike količine slatkog korijena, laksativi (u </w:t>
      </w:r>
    </w:p>
    <w:p w14:paraId="66166856" w14:textId="77777777" w:rsidR="005829BA" w:rsidRPr="00C765E8" w:rsidRDefault="005829BA" w:rsidP="005829BA">
      <w:pPr>
        <w:tabs>
          <w:tab w:val="left" w:pos="284"/>
          <w:tab w:val="center" w:pos="4320"/>
          <w:tab w:val="right" w:pos="8640"/>
        </w:tabs>
        <w:spacing w:before="120"/>
        <w:ind w:right="143"/>
        <w:jc w:val="both"/>
        <w:rPr>
          <w:i/>
          <w:iCs/>
          <w:szCs w:val="22"/>
          <w:lang w:val="sr-Latn-ME"/>
        </w:rPr>
      </w:pPr>
      <w:r w:rsidRPr="00C765E8">
        <w:rPr>
          <w:i/>
          <w:iCs/>
          <w:szCs w:val="22"/>
          <w:lang w:val="sr-Latn-ME"/>
        </w:rPr>
        <w:t xml:space="preserve">slučaju duže upotrebe), </w:t>
      </w:r>
      <w:r w:rsidRPr="00C765E8">
        <w:rPr>
          <w:i/>
          <w:szCs w:val="22"/>
          <w:lang w:val="sr-Latn-ME"/>
        </w:rPr>
        <w:t>i druge supstance koje smanjuju koncentraciju kalijuma:</w:t>
      </w:r>
      <w:r w:rsidRPr="00C765E8">
        <w:rPr>
          <w:szCs w:val="22"/>
          <w:lang w:val="sr-Latn-ME"/>
        </w:rPr>
        <w:t xml:space="preserve"> povećan rizik od hipokalijemije.</w:t>
      </w:r>
    </w:p>
    <w:p w14:paraId="04ADA6CE"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szCs w:val="22"/>
          <w:lang w:val="sr-Latn-ME"/>
        </w:rPr>
        <w:t>Preparati digitalisa, aktivne supstance koje produžavaju QT interval i antiaritmici</w:t>
      </w:r>
      <w:r w:rsidRPr="00C765E8">
        <w:rPr>
          <w:szCs w:val="22"/>
          <w:lang w:val="sr-Latn-ME"/>
        </w:rPr>
        <w:t>:</w:t>
      </w:r>
    </w:p>
    <w:p w14:paraId="14E4CE1B" w14:textId="77777777" w:rsidR="005829BA" w:rsidRPr="00C765E8" w:rsidRDefault="005829BA" w:rsidP="005829BA">
      <w:pPr>
        <w:tabs>
          <w:tab w:val="left" w:pos="284"/>
          <w:tab w:val="center" w:pos="4320"/>
          <w:tab w:val="right" w:pos="8640"/>
        </w:tabs>
        <w:ind w:right="143"/>
        <w:jc w:val="both"/>
        <w:rPr>
          <w:szCs w:val="22"/>
          <w:lang w:val="sr-Latn-ME"/>
        </w:rPr>
      </w:pPr>
      <w:r w:rsidRPr="00C765E8">
        <w:rPr>
          <w:szCs w:val="22"/>
          <w:lang w:val="sr-Latn-ME"/>
        </w:rPr>
        <w:t>Njihova proaritmijska toksičnost može povećati ili može smanjiti antiaritmijsko dejstvo u prisustvu elektrolitnih poremećaja (npr. hipokalijemija, hipomagnezijemija).</w:t>
      </w:r>
    </w:p>
    <w:p w14:paraId="28C3AE2A"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iCs/>
          <w:szCs w:val="22"/>
          <w:lang w:val="sr-Latn-ME"/>
        </w:rPr>
        <w:t>Metildopa</w:t>
      </w:r>
      <w:r w:rsidRPr="00C765E8">
        <w:rPr>
          <w:szCs w:val="22"/>
          <w:lang w:val="sr-Latn-ME"/>
        </w:rPr>
        <w:t>: Moguća hemoliza.</w:t>
      </w:r>
    </w:p>
    <w:p w14:paraId="75FD3841" w14:textId="77777777" w:rsidR="005829BA" w:rsidRPr="00C765E8" w:rsidRDefault="005829BA" w:rsidP="005829BA">
      <w:pPr>
        <w:tabs>
          <w:tab w:val="left" w:pos="284"/>
          <w:tab w:val="center" w:pos="4320"/>
          <w:tab w:val="right" w:pos="8640"/>
        </w:tabs>
        <w:spacing w:before="120"/>
        <w:ind w:right="143"/>
        <w:jc w:val="both"/>
        <w:rPr>
          <w:iCs/>
          <w:szCs w:val="22"/>
          <w:lang w:val="sr-Latn-ME"/>
        </w:rPr>
      </w:pPr>
      <w:r w:rsidRPr="00C765E8">
        <w:rPr>
          <w:i/>
          <w:szCs w:val="22"/>
          <w:lang w:val="sr-Latn-ME"/>
        </w:rPr>
        <w:lastRenderedPageBreak/>
        <w:t xml:space="preserve">Holestiramin ili drugi enteralno primijenjeni jonski izmjenjivači: </w:t>
      </w:r>
      <w:r w:rsidRPr="00C765E8">
        <w:rPr>
          <w:iCs/>
          <w:szCs w:val="22"/>
          <w:lang w:val="sr-Latn-ME"/>
        </w:rPr>
        <w:t>Smanjena resorpcija hidrohlortiazida.</w:t>
      </w:r>
      <w:r w:rsidRPr="00C765E8">
        <w:rPr>
          <w:i/>
          <w:szCs w:val="22"/>
          <w:lang w:val="sr-Latn-ME"/>
        </w:rPr>
        <w:t xml:space="preserve"> </w:t>
      </w:r>
      <w:r w:rsidRPr="00C765E8">
        <w:rPr>
          <w:iCs/>
          <w:szCs w:val="22"/>
          <w:lang w:val="sr-Latn-ME"/>
        </w:rPr>
        <w:t xml:space="preserve">Sulfonamidni diuretici treba da se uzmu najmanje jedan ili 4 do 6 sati nakon ovih ljekova. </w:t>
      </w:r>
    </w:p>
    <w:p w14:paraId="0E63FBE5" w14:textId="77777777" w:rsidR="005829BA" w:rsidRPr="00C765E8" w:rsidRDefault="005829BA" w:rsidP="005829BA">
      <w:pPr>
        <w:tabs>
          <w:tab w:val="left" w:pos="284"/>
          <w:tab w:val="center" w:pos="4320"/>
          <w:tab w:val="right" w:pos="8640"/>
        </w:tabs>
        <w:spacing w:before="120"/>
        <w:ind w:right="143"/>
        <w:jc w:val="both"/>
        <w:rPr>
          <w:szCs w:val="22"/>
          <w:lang w:val="sr-Latn-ME"/>
        </w:rPr>
      </w:pPr>
      <w:r w:rsidRPr="00C765E8">
        <w:rPr>
          <w:i/>
          <w:szCs w:val="22"/>
          <w:lang w:val="sr-Latn-ME"/>
        </w:rPr>
        <w:t>Mišićni relaksansi slični kurareu</w:t>
      </w:r>
      <w:r w:rsidRPr="00C765E8">
        <w:rPr>
          <w:szCs w:val="22"/>
          <w:lang w:val="sr-Latn-ME"/>
        </w:rPr>
        <w:t>: Moguće je pojačano i produženo mišićno-relaksantno dejstvo.</w:t>
      </w:r>
    </w:p>
    <w:p w14:paraId="2CC3316C" w14:textId="77777777" w:rsidR="005829BA" w:rsidRPr="00C765E8" w:rsidRDefault="005829BA" w:rsidP="005829BA">
      <w:pPr>
        <w:tabs>
          <w:tab w:val="left" w:pos="284"/>
          <w:tab w:val="center" w:pos="4320"/>
          <w:tab w:val="right" w:pos="8640"/>
        </w:tabs>
        <w:spacing w:before="120"/>
        <w:ind w:right="143"/>
        <w:jc w:val="both"/>
        <w:rPr>
          <w:iCs/>
          <w:szCs w:val="22"/>
          <w:lang w:val="sr-Latn-ME"/>
        </w:rPr>
      </w:pPr>
      <w:r w:rsidRPr="00C765E8">
        <w:rPr>
          <w:i/>
          <w:szCs w:val="22"/>
          <w:lang w:val="sr-Latn-ME"/>
        </w:rPr>
        <w:t>Kalcijumove soli i supstance koje povećavaju koncentraciju kalcijuma u plazmi:</w:t>
      </w:r>
      <w:r w:rsidRPr="00C765E8">
        <w:rPr>
          <w:iCs/>
          <w:szCs w:val="22"/>
          <w:lang w:val="sr-Latn-ME"/>
        </w:rPr>
        <w:t xml:space="preserve"> Povećanje kalcijuma u serumu se očekuje u slučaju istovremene primjene hidrohlortiazida. Neophodno je praćenje koncentracije kalcijuma u serumu.</w:t>
      </w:r>
    </w:p>
    <w:p w14:paraId="574BBCAC" w14:textId="77777777" w:rsidR="005829BA" w:rsidRPr="00C765E8" w:rsidRDefault="005829BA" w:rsidP="005829BA">
      <w:pPr>
        <w:tabs>
          <w:tab w:val="left" w:pos="284"/>
          <w:tab w:val="center" w:pos="4320"/>
          <w:tab w:val="right" w:pos="8640"/>
        </w:tabs>
        <w:spacing w:before="120"/>
        <w:ind w:right="143"/>
        <w:jc w:val="both"/>
        <w:rPr>
          <w:iCs/>
          <w:szCs w:val="22"/>
          <w:lang w:val="sr-Latn-ME"/>
        </w:rPr>
      </w:pPr>
      <w:r w:rsidRPr="00C765E8">
        <w:rPr>
          <w:i/>
          <w:szCs w:val="22"/>
          <w:lang w:val="sr-Latn-ME"/>
        </w:rPr>
        <w:t xml:space="preserve">Karbamazepin: </w:t>
      </w:r>
      <w:r w:rsidRPr="00C765E8">
        <w:rPr>
          <w:szCs w:val="22"/>
          <w:lang w:val="sr-Latn-ME"/>
        </w:rPr>
        <w:t>R</w:t>
      </w:r>
      <w:r w:rsidRPr="00C765E8">
        <w:rPr>
          <w:iCs/>
          <w:szCs w:val="22"/>
          <w:lang w:val="sr-Latn-ME"/>
        </w:rPr>
        <w:t>izik od hiponatrijemije zbog aditivnog dejstva sa hidrohlortiazidom.</w:t>
      </w:r>
    </w:p>
    <w:p w14:paraId="0F91F46B" w14:textId="77777777" w:rsidR="005829BA" w:rsidRPr="00C765E8" w:rsidRDefault="005829BA" w:rsidP="005829BA">
      <w:pPr>
        <w:tabs>
          <w:tab w:val="left" w:pos="284"/>
          <w:tab w:val="center" w:pos="4320"/>
          <w:tab w:val="right" w:pos="8640"/>
        </w:tabs>
        <w:spacing w:before="120"/>
        <w:ind w:right="143"/>
        <w:jc w:val="both"/>
        <w:rPr>
          <w:i/>
          <w:szCs w:val="22"/>
          <w:lang w:val="sr-Latn-ME"/>
        </w:rPr>
      </w:pPr>
      <w:r w:rsidRPr="00C765E8">
        <w:rPr>
          <w:i/>
          <w:szCs w:val="22"/>
          <w:lang w:val="sr-Latn-ME"/>
        </w:rPr>
        <w:t xml:space="preserve">Kontrastna sredstva sa jodom: </w:t>
      </w:r>
      <w:r w:rsidRPr="00C765E8">
        <w:rPr>
          <w:iCs/>
          <w:szCs w:val="22"/>
          <w:lang w:val="sr-Latn-ME"/>
        </w:rPr>
        <w:t>U slučaju dehidratacije indukovane diureticima, uključujući i hidrohlortiazid, postoji povećan rizik za akutno oštećenje bubrega, posebno pri upotrebi značajnih doza kontrastnih sredstva sa jodom.</w:t>
      </w:r>
    </w:p>
    <w:p w14:paraId="6D5A6FDB" w14:textId="77777777" w:rsidR="005829BA" w:rsidRPr="00C765E8" w:rsidRDefault="005829BA" w:rsidP="005829BA">
      <w:pPr>
        <w:tabs>
          <w:tab w:val="left" w:pos="284"/>
          <w:tab w:val="center" w:pos="4320"/>
          <w:tab w:val="right" w:pos="8640"/>
        </w:tabs>
        <w:spacing w:before="120"/>
        <w:ind w:right="143"/>
        <w:jc w:val="both"/>
        <w:rPr>
          <w:iCs/>
          <w:szCs w:val="22"/>
          <w:lang w:val="sr-Latn-ME"/>
        </w:rPr>
      </w:pPr>
      <w:r w:rsidRPr="00C765E8">
        <w:rPr>
          <w:i/>
          <w:szCs w:val="22"/>
          <w:lang w:val="sr-Latn-ME"/>
        </w:rPr>
        <w:t xml:space="preserve">Penicilin: </w:t>
      </w:r>
      <w:r w:rsidRPr="00C765E8">
        <w:rPr>
          <w:iCs/>
          <w:szCs w:val="22"/>
          <w:lang w:val="sr-Latn-ME"/>
        </w:rPr>
        <w:t>Hidrohlortiazid se izlučuje u distalnim tubulima i smanjuje ekskreciju penicilina.</w:t>
      </w:r>
    </w:p>
    <w:p w14:paraId="41820D3C" w14:textId="77777777" w:rsidR="005829BA" w:rsidRPr="00C765E8" w:rsidRDefault="005829BA" w:rsidP="005829BA">
      <w:pPr>
        <w:tabs>
          <w:tab w:val="left" w:pos="57"/>
          <w:tab w:val="center" w:pos="4320"/>
          <w:tab w:val="right" w:pos="8640"/>
        </w:tabs>
        <w:spacing w:before="120" w:after="120"/>
        <w:ind w:right="143"/>
        <w:jc w:val="both"/>
        <w:rPr>
          <w:iCs/>
          <w:szCs w:val="22"/>
          <w:lang w:val="sr-Latn-ME"/>
        </w:rPr>
      </w:pPr>
      <w:r w:rsidRPr="00C765E8">
        <w:rPr>
          <w:i/>
          <w:szCs w:val="22"/>
          <w:lang w:val="sr-Latn-ME"/>
        </w:rPr>
        <w:t xml:space="preserve">Kinin: </w:t>
      </w:r>
      <w:r w:rsidRPr="00C765E8">
        <w:rPr>
          <w:iCs/>
          <w:szCs w:val="22"/>
          <w:lang w:val="sr-Latn-ME"/>
        </w:rPr>
        <w:t>Hidrohlortiazid smanjuje ekskreciju kinina.</w:t>
      </w:r>
    </w:p>
    <w:p w14:paraId="35428732" w14:textId="77777777" w:rsidR="005829BA" w:rsidRPr="00C765E8" w:rsidRDefault="005829BA" w:rsidP="005829BA">
      <w:pPr>
        <w:widowControl w:val="0"/>
        <w:rPr>
          <w:i/>
          <w:szCs w:val="22"/>
          <w:lang w:val="sr-Latn-ME"/>
        </w:rPr>
      </w:pPr>
      <w:r w:rsidRPr="00C765E8">
        <w:rPr>
          <w:i/>
          <w:szCs w:val="22"/>
          <w:lang w:val="sr-Latn-ME"/>
        </w:rPr>
        <w:t xml:space="preserve">Ciklosporin: </w:t>
      </w:r>
      <w:r w:rsidRPr="00C765E8">
        <w:rPr>
          <w:szCs w:val="22"/>
          <w:lang w:val="sr-Latn-ME"/>
        </w:rPr>
        <w:t>Hiperkalemija se može pojaviti tokom istovremene primjene ACE inhibitora sa ciklosporinom. Preporučuje se praćenje serumskog kalijuma.</w:t>
      </w:r>
    </w:p>
    <w:p w14:paraId="54495F2E" w14:textId="77777777" w:rsidR="005829BA" w:rsidRPr="00C765E8" w:rsidRDefault="005829BA" w:rsidP="005829BA">
      <w:pPr>
        <w:tabs>
          <w:tab w:val="left" w:pos="57"/>
          <w:tab w:val="center" w:pos="4320"/>
          <w:tab w:val="right" w:pos="8640"/>
        </w:tabs>
        <w:spacing w:before="120" w:after="120"/>
        <w:ind w:right="143"/>
        <w:jc w:val="both"/>
        <w:rPr>
          <w:i/>
          <w:szCs w:val="22"/>
          <w:lang w:val="sr-Latn-ME"/>
        </w:rPr>
      </w:pPr>
      <w:r w:rsidRPr="00C765E8">
        <w:rPr>
          <w:i/>
          <w:szCs w:val="22"/>
          <w:lang w:val="sr-Latn-ME"/>
        </w:rPr>
        <w:t xml:space="preserve">Heparin: </w:t>
      </w:r>
      <w:r w:rsidRPr="00C765E8">
        <w:rPr>
          <w:szCs w:val="22"/>
          <w:lang w:val="sr-Latn-ME"/>
        </w:rPr>
        <w:t>Hiperkalemija se može pojaviti tokom istovremene primjene ACE inhibitora sa heparinom. Preporučuje se praćenje serumskog kalijuma.</w:t>
      </w:r>
    </w:p>
    <w:p w14:paraId="1DD555A2" w14:textId="77777777" w:rsidR="005829BA" w:rsidRPr="00C765E8" w:rsidRDefault="005829BA" w:rsidP="005829BA">
      <w:pPr>
        <w:tabs>
          <w:tab w:val="left" w:pos="57"/>
          <w:tab w:val="center" w:pos="4320"/>
          <w:tab w:val="right" w:pos="8640"/>
        </w:tabs>
        <w:spacing w:before="120" w:after="120"/>
        <w:ind w:right="143"/>
        <w:jc w:val="both"/>
        <w:rPr>
          <w:iCs/>
          <w:szCs w:val="22"/>
          <w:lang w:val="sr-Latn-ME"/>
        </w:rPr>
      </w:pPr>
      <w:r w:rsidRPr="00C765E8">
        <w:rPr>
          <w:i/>
          <w:iCs/>
          <w:szCs w:val="22"/>
          <w:lang w:val="sr-Latn-ME"/>
        </w:rPr>
        <w:t>mTOR inhibitori ili vildagliptin:</w:t>
      </w:r>
      <w:r w:rsidRPr="00C765E8">
        <w:rPr>
          <w:iCs/>
          <w:szCs w:val="22"/>
          <w:lang w:val="sr-Latn-ME"/>
        </w:rPr>
        <w:t xml:space="preserve"> Povećan rizik od nastanka angioedema moguć je kod pacijenata koji se istovremeno liječe mTOR inhibitorima (npr. temsirolimus, everolimus, sirolimus) ili vildagliptinom. Potreban je oprez pri započinjanju terapije (vidjeti odjeljak 4.4).</w:t>
      </w:r>
    </w:p>
    <w:p w14:paraId="1C42ED3D" w14:textId="77777777" w:rsidR="005829BA" w:rsidRPr="00C765E8" w:rsidRDefault="005829BA" w:rsidP="005829BA">
      <w:pPr>
        <w:jc w:val="both"/>
        <w:rPr>
          <w:i/>
          <w:szCs w:val="22"/>
          <w:lang w:val="sr-Latn-ME"/>
        </w:rPr>
      </w:pPr>
      <w:r w:rsidRPr="00C765E8">
        <w:rPr>
          <w:i/>
          <w:szCs w:val="22"/>
          <w:lang w:val="sr-Latn-ME"/>
        </w:rPr>
        <w:t xml:space="preserve">Neprilizin (NEP) inhibitori: </w:t>
      </w:r>
      <w:r w:rsidRPr="00C765E8">
        <w:rPr>
          <w:szCs w:val="22"/>
          <w:lang w:val="sr-Latn-ME"/>
        </w:rPr>
        <w:t>Prijavljen je povećan rizik od pojave angioedema kod istovremene upotrebe ACE inhibitora i NEP inhibitora poput racekadotrila (vidjeti dio 4.4).</w:t>
      </w:r>
    </w:p>
    <w:p w14:paraId="4E93F847" w14:textId="77777777" w:rsidR="005829BA" w:rsidRPr="00C765E8" w:rsidRDefault="005829BA" w:rsidP="005829BA">
      <w:pPr>
        <w:spacing w:before="120"/>
        <w:jc w:val="both"/>
        <w:rPr>
          <w:szCs w:val="22"/>
          <w:lang w:val="sr-Latn-ME"/>
        </w:rPr>
      </w:pPr>
      <w:r w:rsidRPr="00C765E8">
        <w:rPr>
          <w:i/>
          <w:szCs w:val="22"/>
          <w:lang w:val="sr-Latn-ME"/>
        </w:rPr>
        <w:t xml:space="preserve">Kotrimoksazol (sulfametoksazol/trimetoprim): </w:t>
      </w:r>
      <w:r w:rsidRPr="00C765E8">
        <w:rPr>
          <w:szCs w:val="22"/>
          <w:lang w:val="sr-Latn-ME"/>
        </w:rPr>
        <w:t>Pacijenti koji istovremeno uzimaju kotrimoksazol (sulfametoksazol/trimetoprim) mogu biti izloženi povećanom riziku od hiperkalemije (vidjeti dio 4.4).</w:t>
      </w:r>
    </w:p>
    <w:p w14:paraId="1DA8A1B3" w14:textId="77777777" w:rsidR="005829BA" w:rsidRPr="00C765E8" w:rsidRDefault="005829BA" w:rsidP="005829BA">
      <w:pPr>
        <w:widowControl w:val="0"/>
        <w:jc w:val="both"/>
        <w:rPr>
          <w:szCs w:val="22"/>
          <w:lang w:val="sr-Latn-ME"/>
        </w:rPr>
      </w:pPr>
    </w:p>
    <w:p w14:paraId="695004B3" w14:textId="77777777" w:rsidR="005829BA" w:rsidRPr="00C765E8" w:rsidRDefault="005829BA" w:rsidP="005829BA">
      <w:pPr>
        <w:widowControl w:val="0"/>
        <w:ind w:left="567" w:hanging="567"/>
        <w:jc w:val="both"/>
        <w:outlineLvl w:val="0"/>
        <w:rPr>
          <w:b/>
          <w:bCs/>
          <w:szCs w:val="22"/>
          <w:lang w:val="sr-Latn-ME"/>
        </w:rPr>
      </w:pPr>
      <w:r w:rsidRPr="00C765E8">
        <w:rPr>
          <w:b/>
          <w:szCs w:val="22"/>
          <w:lang w:val="sr-Latn-ME"/>
        </w:rPr>
        <w:t>4.6</w:t>
      </w:r>
      <w:r w:rsidRPr="00C765E8">
        <w:rPr>
          <w:b/>
          <w:szCs w:val="22"/>
          <w:lang w:val="sr-Latn-ME"/>
        </w:rPr>
        <w:tab/>
      </w:r>
      <w:r w:rsidRPr="00C765E8">
        <w:rPr>
          <w:b/>
          <w:bCs/>
          <w:szCs w:val="22"/>
          <w:lang w:val="sr-Latn-ME"/>
        </w:rPr>
        <w:t>Plodnost, trudnoća i dojenje</w:t>
      </w:r>
    </w:p>
    <w:p w14:paraId="3DD13B77" w14:textId="77777777" w:rsidR="005829BA" w:rsidRPr="00C765E8" w:rsidRDefault="005829BA" w:rsidP="005829BA">
      <w:pPr>
        <w:widowControl w:val="0"/>
        <w:jc w:val="both"/>
        <w:rPr>
          <w:szCs w:val="22"/>
          <w:lang w:val="sr-Latn-ME"/>
        </w:rPr>
      </w:pPr>
    </w:p>
    <w:p w14:paraId="1EE32869" w14:textId="77777777" w:rsidR="005829BA" w:rsidRPr="00C765E8" w:rsidRDefault="005829BA" w:rsidP="005829BA">
      <w:pPr>
        <w:jc w:val="both"/>
        <w:rPr>
          <w:szCs w:val="22"/>
          <w:u w:val="single"/>
          <w:lang w:val="sr-Latn-ME"/>
        </w:rPr>
      </w:pPr>
      <w:r w:rsidRPr="00C765E8">
        <w:rPr>
          <w:szCs w:val="22"/>
          <w:u w:val="single"/>
          <w:lang w:val="sr-Latn-ME"/>
        </w:rPr>
        <w:t>Trudnoća</w:t>
      </w:r>
    </w:p>
    <w:p w14:paraId="0B92185E" w14:textId="77777777" w:rsidR="005829BA" w:rsidRPr="00C765E8" w:rsidRDefault="005829BA" w:rsidP="005829BA">
      <w:pPr>
        <w:tabs>
          <w:tab w:val="left" w:pos="57"/>
          <w:tab w:val="center" w:pos="4320"/>
          <w:tab w:val="right" w:pos="8640"/>
        </w:tabs>
        <w:spacing w:before="120" w:after="120"/>
        <w:jc w:val="both"/>
        <w:rPr>
          <w:szCs w:val="22"/>
          <w:u w:val="single"/>
          <w:lang w:val="sr-Latn-ME"/>
        </w:rPr>
      </w:pPr>
      <w:r w:rsidRPr="00C765E8">
        <w:rPr>
          <w:szCs w:val="22"/>
          <w:u w:val="single"/>
          <w:lang w:val="sr-Latn-ME"/>
        </w:rPr>
        <w:t xml:space="preserve">Upotreba ljekova </w:t>
      </w:r>
      <w:r w:rsidR="00B1555F" w:rsidRPr="00C765E8">
        <w:rPr>
          <w:szCs w:val="22"/>
          <w:u w:val="single"/>
          <w:lang w:val="sr-Latn-ME"/>
        </w:rPr>
        <w:t>Ampril</w:t>
      </w:r>
      <w:r w:rsidRPr="00C765E8">
        <w:rPr>
          <w:szCs w:val="22"/>
          <w:u w:val="single"/>
          <w:lang w:val="sr-Latn-ME"/>
        </w:rPr>
        <w:t xml:space="preserve"> HL i </w:t>
      </w:r>
      <w:r w:rsidR="00B1555F" w:rsidRPr="00C765E8">
        <w:rPr>
          <w:szCs w:val="22"/>
          <w:u w:val="single"/>
          <w:lang w:val="sr-Latn-ME"/>
        </w:rPr>
        <w:t>Ampril</w:t>
      </w:r>
      <w:r w:rsidRPr="00C765E8">
        <w:rPr>
          <w:szCs w:val="22"/>
          <w:u w:val="single"/>
          <w:lang w:val="sr-Latn-ME"/>
        </w:rPr>
        <w:t xml:space="preserve"> HD se ne preporučuje u prvom trimestru trudnoće (vidjeti odjeljak 4.4) i kontraindikovano je u drugom i trećem trimestru trudnoće (vidjeti odjeljak 4.3).</w:t>
      </w:r>
    </w:p>
    <w:p w14:paraId="7EBD87EA" w14:textId="77777777" w:rsidR="005829BA" w:rsidRPr="00C765E8" w:rsidRDefault="005829BA" w:rsidP="005829BA">
      <w:pPr>
        <w:jc w:val="both"/>
        <w:rPr>
          <w:szCs w:val="22"/>
          <w:lang w:val="sr-Latn-ME"/>
        </w:rPr>
      </w:pPr>
      <w:r w:rsidRPr="00C765E8">
        <w:rPr>
          <w:szCs w:val="22"/>
          <w:lang w:val="sr-Latn-ME"/>
        </w:rPr>
        <w:t>Epidemiološki dokazi o riziku od teratogenog dejstva kod primjene ACE inhibitora tokom prvog trimestra trudnoće nisu  uvjerljivi, iako se ne može isključiti izvesno povećanje rizika. Ako je primjena ACE inhibitora neophodna i ukoliko pacijentkinja planira trudnoću, ACE inhibitor treba da se zamijeni alternativnom antihipertenzivnom terapijom koja ima utvrđen bezbjednosni profil za primjenu u trudnoći. Kada je trudnoća potvrđena, liječenje ACE inhibitorima treba odmah prekinuti i započeti alternativnu terapiju. Liječenje ACE inhibitorima/antagonistima receptora angiotenzina II (AIIRA) tokom drugog i trećeg trimestra trudnoće izaziva fetotoksičnost (smanjenu funkciju bubrega, oligohidramniozu, retardaciju usljed okoštavanja lobanje) i neonatalnu toksičnost (bubrežna insuficijencija, hipotenzija, hiperkalemija). Vidjeti i odjeljak 5.3. Ukoliko dođe do primjene ACE inhibitora od drugog trimestra trudnoće, preporučuje se ultrazvučni pregled bubrežne funkcije i lobanje. Novorođenčad čije su majke uzimale ACE inhibitore treba pažljivo pratiti zbog moguće pojave hipotenzije, oligurije i hiperkalijemije (vidjeti odjeljke 4.3 i 4.4).</w:t>
      </w:r>
    </w:p>
    <w:p w14:paraId="46CD3277" w14:textId="4DA9FE1D" w:rsidR="005829BA" w:rsidRPr="00C765E8" w:rsidRDefault="005829BA" w:rsidP="005829BA">
      <w:pPr>
        <w:spacing w:before="120"/>
        <w:jc w:val="both"/>
        <w:rPr>
          <w:szCs w:val="22"/>
          <w:lang w:val="sr-Latn-ME"/>
        </w:rPr>
      </w:pPr>
      <w:r w:rsidRPr="00C765E8">
        <w:rPr>
          <w:szCs w:val="22"/>
          <w:lang w:val="sr-Latn-ME"/>
        </w:rPr>
        <w:t>Hidrohlortiazid, u slučajevima produžene primjene u toku drugog i trećeg trimestra trudnoće, može dovesti do feto-placentalne ishemije i povećanog rizika retardacije rasta. Prijavljeni su i rijetki slučajevi hipoglikemije i trombocitopenije kod novorođenčadi koja su bila izložena prije termina porođaja. Hidrohlortiazid može dovesti do smanjenja volumena plazme i smanjenja uteroplacentarnog protoka krvi.</w:t>
      </w:r>
    </w:p>
    <w:p w14:paraId="4915D480" w14:textId="77777777" w:rsidR="005829BA" w:rsidRPr="00C765E8" w:rsidRDefault="005829BA" w:rsidP="005829BA">
      <w:pPr>
        <w:spacing w:before="120"/>
        <w:jc w:val="both"/>
        <w:rPr>
          <w:i/>
          <w:szCs w:val="22"/>
          <w:lang w:val="sr-Latn-ME"/>
        </w:rPr>
      </w:pPr>
      <w:r w:rsidRPr="00C765E8">
        <w:rPr>
          <w:szCs w:val="22"/>
          <w:lang w:val="sr-Latn-ME"/>
        </w:rPr>
        <w:t>Hidrohlortiazid se ne smije koristiti u terapiji esencijalne hipertenzije kod trudnica, osim u rijetkim situacijama u kojima nijedan drugi tretman nije moguć.</w:t>
      </w:r>
    </w:p>
    <w:p w14:paraId="65860119" w14:textId="77777777" w:rsidR="005829BA" w:rsidRPr="00C765E8" w:rsidRDefault="005829BA" w:rsidP="005829BA">
      <w:pPr>
        <w:jc w:val="both"/>
        <w:rPr>
          <w:szCs w:val="22"/>
          <w:u w:val="single"/>
          <w:lang w:val="sr-Latn-ME"/>
        </w:rPr>
      </w:pPr>
    </w:p>
    <w:p w14:paraId="60E50AAD" w14:textId="77777777" w:rsidR="005829BA" w:rsidRPr="00C765E8" w:rsidRDefault="005829BA" w:rsidP="005829BA">
      <w:pPr>
        <w:jc w:val="both"/>
        <w:rPr>
          <w:szCs w:val="22"/>
          <w:u w:val="single"/>
          <w:lang w:val="sr-Latn-ME"/>
        </w:rPr>
      </w:pPr>
      <w:r w:rsidRPr="00C765E8">
        <w:rPr>
          <w:szCs w:val="22"/>
          <w:u w:val="single"/>
          <w:lang w:val="sr-Latn-ME"/>
        </w:rPr>
        <w:t>Dojenje</w:t>
      </w:r>
    </w:p>
    <w:p w14:paraId="4DD76C95" w14:textId="77777777" w:rsidR="005829BA" w:rsidRPr="00C765E8" w:rsidRDefault="005829BA" w:rsidP="005829BA">
      <w:pPr>
        <w:spacing w:before="120" w:after="120"/>
        <w:jc w:val="both"/>
        <w:rPr>
          <w:szCs w:val="22"/>
          <w:lang w:val="sr-Latn-ME"/>
        </w:rPr>
      </w:pPr>
      <w:r w:rsidRPr="00C765E8">
        <w:rPr>
          <w:szCs w:val="22"/>
          <w:lang w:val="sr-Latn-ME"/>
        </w:rPr>
        <w:t>Primjena Amprila</w:t>
      </w:r>
      <w:r w:rsidR="009C16B8" w:rsidRPr="00C765E8">
        <w:rPr>
          <w:szCs w:val="22"/>
          <w:vertAlign w:val="superscript"/>
          <w:lang w:val="sr-Latn-ME"/>
        </w:rPr>
        <w:t>®</w:t>
      </w:r>
      <w:r w:rsidRPr="00C765E8">
        <w:rPr>
          <w:szCs w:val="22"/>
          <w:lang w:val="sr-Latn-ME"/>
        </w:rPr>
        <w:t xml:space="preserve"> HL i Amprila</w:t>
      </w:r>
      <w:r w:rsidR="009C16B8" w:rsidRPr="00C765E8">
        <w:rPr>
          <w:szCs w:val="22"/>
          <w:vertAlign w:val="superscript"/>
          <w:lang w:val="sr-Latn-ME"/>
        </w:rPr>
        <w:t>®</w:t>
      </w:r>
      <w:r w:rsidRPr="00C765E8">
        <w:rPr>
          <w:szCs w:val="22"/>
          <w:lang w:val="sr-Latn-ME"/>
        </w:rPr>
        <w:t xml:space="preserve"> HD je kontraindikovana u periodu dojenja.</w:t>
      </w:r>
    </w:p>
    <w:p w14:paraId="5C6D72E2" w14:textId="77777777" w:rsidR="005829BA" w:rsidRPr="00C765E8" w:rsidRDefault="005829BA" w:rsidP="005829BA">
      <w:pPr>
        <w:jc w:val="both"/>
        <w:rPr>
          <w:szCs w:val="22"/>
          <w:lang w:val="sr-Latn-ME"/>
        </w:rPr>
      </w:pPr>
      <w:r w:rsidRPr="00C765E8">
        <w:rPr>
          <w:szCs w:val="22"/>
          <w:lang w:val="sr-Latn-ME"/>
        </w:rPr>
        <w:t xml:space="preserve">Ramipril i hidrohlortiazid se u terapijskim dozama izlučuju u majčino mlijeko u koncentracijama u kojima utiču na dojenu bebu. Ne postoji dovoljno podataka u vezi sa upotrebom ramiprila tokom dojenja, pa se preporučuju alternativni ljekovi sa potvrđenom bezbjednošću, a naročito ukoliko je reč o novorođenčetu ili prevremeno rođenom djetetu. </w:t>
      </w:r>
    </w:p>
    <w:p w14:paraId="6DDD3160" w14:textId="77777777" w:rsidR="005829BA" w:rsidRPr="00C765E8" w:rsidRDefault="005829BA" w:rsidP="005829BA">
      <w:pPr>
        <w:jc w:val="both"/>
        <w:rPr>
          <w:szCs w:val="22"/>
          <w:u w:val="single"/>
          <w:lang w:val="sr-Latn-ME"/>
        </w:rPr>
      </w:pPr>
      <w:r w:rsidRPr="00C765E8">
        <w:rPr>
          <w:szCs w:val="22"/>
          <w:lang w:val="sr-Latn-ME"/>
        </w:rPr>
        <w:t>Hidrohlortiazid se izlučuje u mlijeko. Upotreba tiazida u periodu dojenja se povezuje sa smanjenjem ili čak prestankom laktacije. Može se javiti preosjetljivost na sulfonamide, hipokalijemija i nuklearni ikterus. Zbog postojanja mogućnosti za nastanak ozbiljnih reakcija obije aktivne supstance na dojenu bebu, treba odlučiti da li da se prekine dojenje ili terapija, zavisno od važnosti ove terapije za majku.</w:t>
      </w:r>
    </w:p>
    <w:p w14:paraId="59BC1195" w14:textId="77777777" w:rsidR="005829BA" w:rsidRPr="00C765E8" w:rsidRDefault="005829BA" w:rsidP="005829BA">
      <w:pPr>
        <w:jc w:val="both"/>
        <w:rPr>
          <w:szCs w:val="22"/>
          <w:u w:val="single"/>
          <w:lang w:val="sr-Latn-ME"/>
        </w:rPr>
      </w:pPr>
    </w:p>
    <w:p w14:paraId="1EFB5593" w14:textId="77777777" w:rsidR="005829BA" w:rsidRPr="00C765E8" w:rsidRDefault="005829BA" w:rsidP="005829BA">
      <w:pPr>
        <w:widowControl w:val="0"/>
        <w:ind w:left="567" w:hanging="567"/>
        <w:jc w:val="both"/>
        <w:outlineLvl w:val="0"/>
        <w:rPr>
          <w:szCs w:val="22"/>
          <w:lang w:val="sr-Latn-ME"/>
        </w:rPr>
      </w:pPr>
      <w:r w:rsidRPr="00C765E8">
        <w:rPr>
          <w:b/>
          <w:szCs w:val="22"/>
          <w:lang w:val="sr-Latn-ME"/>
        </w:rPr>
        <w:t>4.7</w:t>
      </w:r>
      <w:r w:rsidRPr="00C765E8">
        <w:rPr>
          <w:b/>
          <w:szCs w:val="22"/>
          <w:lang w:val="sr-Latn-ME"/>
        </w:rPr>
        <w:tab/>
      </w:r>
      <w:r w:rsidRPr="00C765E8">
        <w:rPr>
          <w:b/>
          <w:bCs/>
          <w:szCs w:val="22"/>
          <w:lang w:val="sr-Latn-ME"/>
        </w:rPr>
        <w:t xml:space="preserve">Uticaj na sposobnost upravljanja vozilima i rukovanje mašinama </w:t>
      </w:r>
    </w:p>
    <w:p w14:paraId="2B0EB714" w14:textId="77777777" w:rsidR="005829BA" w:rsidRPr="00C765E8" w:rsidRDefault="005829BA" w:rsidP="005829BA">
      <w:pPr>
        <w:widowControl w:val="0"/>
        <w:jc w:val="both"/>
        <w:rPr>
          <w:szCs w:val="22"/>
          <w:lang w:val="sr-Latn-ME"/>
        </w:rPr>
      </w:pPr>
    </w:p>
    <w:p w14:paraId="6E924976" w14:textId="77777777" w:rsidR="005829BA" w:rsidRPr="00C765E8" w:rsidRDefault="005829BA" w:rsidP="005829BA">
      <w:pPr>
        <w:tabs>
          <w:tab w:val="left" w:pos="284"/>
          <w:tab w:val="center" w:pos="4320"/>
          <w:tab w:val="right" w:pos="8640"/>
        </w:tabs>
        <w:spacing w:before="120"/>
        <w:ind w:right="-113"/>
        <w:jc w:val="both"/>
        <w:rPr>
          <w:szCs w:val="22"/>
          <w:lang w:val="sr-Latn-ME"/>
        </w:rPr>
      </w:pPr>
      <w:r w:rsidRPr="00C765E8">
        <w:rPr>
          <w:szCs w:val="22"/>
          <w:lang w:val="sr-Latn-ME"/>
        </w:rPr>
        <w:t>Pojedina neželjena dejstva (npr. simptomi smanjenja krvnog pritiska kao što je vrtoglavica) mogu uticati na sposobnost pacijenta da se koncentriše i reaguje i zbog toga predstavljaju rizik u situacijama gdje te sposobnosti mogu biti izuzetno značajne (upravljanje motornim vozilom ili rukovanje mašinama). Ovo se posebno događa na početku liječenja ili kada se prelazi sa drugih ljekova.</w:t>
      </w:r>
    </w:p>
    <w:p w14:paraId="7D1933D7" w14:textId="77777777" w:rsidR="005829BA" w:rsidRPr="00C765E8" w:rsidRDefault="005829BA" w:rsidP="005829BA">
      <w:pPr>
        <w:widowControl w:val="0"/>
        <w:jc w:val="both"/>
        <w:rPr>
          <w:szCs w:val="22"/>
          <w:lang w:val="sr-Latn-ME"/>
        </w:rPr>
      </w:pPr>
      <w:r w:rsidRPr="00C765E8">
        <w:rPr>
          <w:szCs w:val="22"/>
          <w:lang w:val="sr-Latn-ME"/>
        </w:rPr>
        <w:t>Poslije prve doze ili sljedećih povećanja doze ne savjetuje se upravljanje motornim vozilima i rukovanje mašinama nekoliko časova.</w:t>
      </w:r>
    </w:p>
    <w:p w14:paraId="4AE6C899" w14:textId="77777777" w:rsidR="005829BA" w:rsidRPr="00C765E8" w:rsidRDefault="005829BA" w:rsidP="005829BA">
      <w:pPr>
        <w:widowControl w:val="0"/>
        <w:jc w:val="both"/>
        <w:rPr>
          <w:szCs w:val="22"/>
          <w:lang w:val="sr-Latn-ME"/>
        </w:rPr>
      </w:pPr>
    </w:p>
    <w:p w14:paraId="12AA7B6A" w14:textId="77777777" w:rsidR="005829BA" w:rsidRPr="00C765E8" w:rsidRDefault="005829BA" w:rsidP="005829BA">
      <w:pPr>
        <w:widowControl w:val="0"/>
        <w:numPr>
          <w:ilvl w:val="1"/>
          <w:numId w:val="11"/>
        </w:numPr>
        <w:spacing w:line="240" w:lineRule="auto"/>
        <w:jc w:val="both"/>
        <w:outlineLvl w:val="0"/>
        <w:rPr>
          <w:b/>
          <w:szCs w:val="22"/>
          <w:lang w:val="sr-Latn-ME"/>
        </w:rPr>
      </w:pPr>
      <w:r w:rsidRPr="00C765E8">
        <w:rPr>
          <w:b/>
          <w:szCs w:val="22"/>
          <w:lang w:val="sr-Latn-ME"/>
        </w:rPr>
        <w:t>Neželjena dejstva</w:t>
      </w:r>
    </w:p>
    <w:p w14:paraId="314D3F37" w14:textId="77777777" w:rsidR="005829BA" w:rsidRPr="00C765E8" w:rsidRDefault="005829BA" w:rsidP="005829BA">
      <w:pPr>
        <w:pStyle w:val="Default"/>
        <w:widowControl w:val="0"/>
        <w:jc w:val="both"/>
        <w:rPr>
          <w:sz w:val="22"/>
          <w:szCs w:val="22"/>
          <w:lang w:val="sr-Latn-ME"/>
        </w:rPr>
      </w:pPr>
    </w:p>
    <w:tbl>
      <w:tblPr>
        <w:tblW w:w="9436" w:type="dxa"/>
        <w:tblLayout w:type="fixed"/>
        <w:tblLook w:val="04A0" w:firstRow="1" w:lastRow="0" w:firstColumn="1" w:lastColumn="0" w:noHBand="0" w:noVBand="1"/>
      </w:tblPr>
      <w:tblGrid>
        <w:gridCol w:w="9436"/>
      </w:tblGrid>
      <w:tr w:rsidR="005829BA" w:rsidRPr="00C765E8" w14:paraId="5913C281" w14:textId="77777777" w:rsidTr="0081791C">
        <w:tc>
          <w:tcPr>
            <w:tcW w:w="9180" w:type="dxa"/>
            <w:vAlign w:val="center"/>
            <w:hideMark/>
          </w:tcPr>
          <w:p w14:paraId="7B7EF32C" w14:textId="77777777" w:rsidR="005829BA" w:rsidRPr="00C765E8" w:rsidRDefault="005829BA" w:rsidP="00D110DE">
            <w:pPr>
              <w:tabs>
                <w:tab w:val="left" w:pos="284"/>
                <w:tab w:val="center" w:pos="4320"/>
                <w:tab w:val="left" w:pos="7980"/>
                <w:tab w:val="right" w:pos="9072"/>
              </w:tabs>
              <w:ind w:left="-107" w:right="-113"/>
              <w:jc w:val="both"/>
              <w:rPr>
                <w:szCs w:val="22"/>
                <w:lang w:val="sr-Latn-ME"/>
              </w:rPr>
            </w:pPr>
            <w:r w:rsidRPr="00C765E8">
              <w:rPr>
                <w:szCs w:val="22"/>
                <w:lang w:val="sr-Latn-ME"/>
              </w:rPr>
              <w:t>Bezbjednosni profil ramiprila i hidrohlortiazida uključuje neželjena dejstva koja se javljaju  u sklopu  hipotenzije i/ili gubitka tečnosti zbog povećane diureze. Aktivna supstanca ramipril može indukovati trajni suvi kašalj, dok hidrohlortiazid može dovesti do pogoršanja metabolizma glukoze, lipida i mokraćne kiseline. Ove dvije aktivne supstance imaju suprotno dejstvo na kalijum u plazmi. Ozbiljna neželjena dejstva uključuju angioedem ili anafilaktične reakcije, oštećenje bubrega ili jetre, pankreatitis, teške kožne reakcije i neutropeniju/ agranulocitozu.</w:t>
            </w:r>
          </w:p>
          <w:p w14:paraId="5043E927" w14:textId="77777777" w:rsidR="005829BA" w:rsidRPr="00C765E8" w:rsidRDefault="005829BA" w:rsidP="00D110DE">
            <w:pPr>
              <w:spacing w:before="120" w:line="480" w:lineRule="auto"/>
              <w:ind w:left="-107" w:right="-108"/>
              <w:rPr>
                <w:szCs w:val="22"/>
                <w:lang w:val="sr-Latn-ME"/>
              </w:rPr>
            </w:pPr>
            <w:r w:rsidRPr="00C765E8">
              <w:rPr>
                <w:b/>
                <w:bCs/>
                <w:szCs w:val="22"/>
                <w:lang w:val="sr-Latn-ME"/>
              </w:rPr>
              <w:t xml:space="preserve">Učestalost nežljenih dejstava je definisana sljedećom konvencijom: </w:t>
            </w:r>
          </w:p>
          <w:p w14:paraId="585454E8" w14:textId="77777777" w:rsidR="005829BA" w:rsidRPr="00C765E8" w:rsidRDefault="005829BA" w:rsidP="00D110DE">
            <w:pPr>
              <w:tabs>
                <w:tab w:val="left" w:pos="284"/>
                <w:tab w:val="center" w:pos="4320"/>
                <w:tab w:val="right" w:pos="8640"/>
                <w:tab w:val="left" w:pos="8959"/>
              </w:tabs>
              <w:ind w:left="-107" w:right="-108"/>
              <w:jc w:val="both"/>
              <w:rPr>
                <w:szCs w:val="22"/>
                <w:lang w:val="sr-Latn-ME"/>
              </w:rPr>
            </w:pPr>
            <w:r w:rsidRPr="00C765E8">
              <w:rPr>
                <w:bCs/>
                <w:szCs w:val="22"/>
                <w:lang w:val="sr-Latn-ME"/>
              </w:rPr>
              <w:t xml:space="preserve">Veoma česta </w:t>
            </w:r>
            <w:r w:rsidRPr="00C765E8">
              <w:rPr>
                <w:bCs/>
                <w:szCs w:val="22"/>
                <w:lang w:val="sr-Latn-ME"/>
              </w:rPr>
              <w:sym w:font="Symbol" w:char="F0B3"/>
            </w:r>
            <w:r w:rsidRPr="00C765E8">
              <w:rPr>
                <w:bCs/>
                <w:szCs w:val="22"/>
                <w:lang w:val="sr-Latn-ME"/>
              </w:rPr>
              <w:t xml:space="preserve">1/10; Česta </w:t>
            </w:r>
            <w:r w:rsidRPr="00C765E8">
              <w:rPr>
                <w:bCs/>
                <w:szCs w:val="22"/>
                <w:lang w:val="sr-Latn-ME"/>
              </w:rPr>
              <w:sym w:font="Symbol" w:char="F0B3"/>
            </w:r>
            <w:r w:rsidRPr="00C765E8">
              <w:rPr>
                <w:bCs/>
                <w:szCs w:val="22"/>
                <w:lang w:val="sr-Latn-ME"/>
              </w:rPr>
              <w:t xml:space="preserve">1/100 do &lt;1/10; Povremena </w:t>
            </w:r>
            <w:r w:rsidRPr="00C765E8">
              <w:rPr>
                <w:bCs/>
                <w:szCs w:val="22"/>
                <w:lang w:val="sr-Latn-ME"/>
              </w:rPr>
              <w:sym w:font="Symbol" w:char="F0B3"/>
            </w:r>
            <w:r w:rsidRPr="00C765E8">
              <w:rPr>
                <w:bCs/>
                <w:szCs w:val="22"/>
                <w:lang w:val="sr-Latn-ME"/>
              </w:rPr>
              <w:t xml:space="preserve">1/1 000 do &lt;1/100; Rijetka </w:t>
            </w:r>
            <w:r w:rsidRPr="00C765E8">
              <w:rPr>
                <w:bCs/>
                <w:szCs w:val="22"/>
                <w:lang w:val="sr-Latn-ME"/>
              </w:rPr>
              <w:sym w:font="Symbol" w:char="F0B3"/>
            </w:r>
            <w:r w:rsidRPr="00C765E8">
              <w:rPr>
                <w:bCs/>
                <w:szCs w:val="22"/>
                <w:lang w:val="sr-Latn-ME"/>
              </w:rPr>
              <w:t>1/10 000 do &lt;1/1 000; Veoma rijetka &lt;1/10 000,</w:t>
            </w:r>
            <w:r w:rsidRPr="00C765E8">
              <w:rPr>
                <w:szCs w:val="22"/>
                <w:lang w:val="sr-Latn-ME"/>
              </w:rPr>
              <w:t xml:space="preserve"> Nepoznata učestalost (iz raspoloživih podataka ne može se utvrditi frekvenca)</w:t>
            </w:r>
          </w:p>
          <w:p w14:paraId="364A3D05" w14:textId="77777777" w:rsidR="005829BA" w:rsidRPr="00C765E8" w:rsidRDefault="005829BA" w:rsidP="00D110DE">
            <w:pPr>
              <w:tabs>
                <w:tab w:val="left" w:pos="8959"/>
              </w:tabs>
              <w:spacing w:before="120"/>
              <w:ind w:left="-107" w:right="-108"/>
              <w:jc w:val="both"/>
              <w:rPr>
                <w:szCs w:val="22"/>
                <w:lang w:val="sr-Latn-ME"/>
              </w:rPr>
            </w:pPr>
            <w:r w:rsidRPr="00C765E8">
              <w:rPr>
                <w:szCs w:val="22"/>
                <w:lang w:val="sr-Latn-ME"/>
              </w:rPr>
              <w:t>U okviru svake grupe, prikazana su neželjena dejstva po težini (od težih do lakših oblika).</w:t>
            </w:r>
          </w:p>
        </w:tc>
      </w:tr>
      <w:tr w:rsidR="005829BA" w:rsidRPr="00C765E8" w14:paraId="4988A236" w14:textId="77777777" w:rsidTr="0081791C">
        <w:trPr>
          <w:trHeight w:val="3956"/>
        </w:trPr>
        <w:tc>
          <w:tcPr>
            <w:tcW w:w="9180" w:type="dxa"/>
            <w:vAlign w:val="center"/>
          </w:tcPr>
          <w:p w14:paraId="6619B8F6" w14:textId="77777777" w:rsidR="005829BA" w:rsidRPr="00C765E8" w:rsidRDefault="005829BA" w:rsidP="0081791C">
            <w:pPr>
              <w:rPr>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1991"/>
              <w:gridCol w:w="1991"/>
              <w:gridCol w:w="1252"/>
              <w:gridCol w:w="1842"/>
            </w:tblGrid>
            <w:tr w:rsidR="005829BA" w:rsidRPr="00C765E8" w14:paraId="6781A357" w14:textId="77777777" w:rsidTr="0081791C">
              <w:tc>
                <w:tcPr>
                  <w:tcW w:w="1991" w:type="dxa"/>
                  <w:tcBorders>
                    <w:top w:val="single" w:sz="4" w:space="0" w:color="auto"/>
                    <w:left w:val="single" w:sz="4" w:space="0" w:color="auto"/>
                    <w:bottom w:val="single" w:sz="4" w:space="0" w:color="auto"/>
                    <w:right w:val="single" w:sz="4" w:space="0" w:color="auto"/>
                  </w:tcBorders>
                </w:tcPr>
                <w:p w14:paraId="03D99701"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Sistem organa</w:t>
                  </w:r>
                </w:p>
              </w:tc>
              <w:tc>
                <w:tcPr>
                  <w:tcW w:w="1991" w:type="dxa"/>
                  <w:tcBorders>
                    <w:top w:val="single" w:sz="4" w:space="0" w:color="auto"/>
                    <w:left w:val="single" w:sz="4" w:space="0" w:color="auto"/>
                    <w:bottom w:val="single" w:sz="4" w:space="0" w:color="auto"/>
                    <w:right w:val="single" w:sz="4" w:space="0" w:color="auto"/>
                  </w:tcBorders>
                  <w:hideMark/>
                </w:tcPr>
                <w:p w14:paraId="4D82A87A"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Česta</w:t>
                  </w:r>
                </w:p>
              </w:tc>
              <w:tc>
                <w:tcPr>
                  <w:tcW w:w="1991" w:type="dxa"/>
                  <w:tcBorders>
                    <w:top w:val="single" w:sz="4" w:space="0" w:color="auto"/>
                    <w:left w:val="single" w:sz="4" w:space="0" w:color="auto"/>
                    <w:bottom w:val="single" w:sz="4" w:space="0" w:color="auto"/>
                    <w:right w:val="single" w:sz="4" w:space="0" w:color="auto"/>
                  </w:tcBorders>
                  <w:hideMark/>
                </w:tcPr>
                <w:p w14:paraId="2886231E"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Povremena</w:t>
                  </w:r>
                </w:p>
              </w:tc>
              <w:tc>
                <w:tcPr>
                  <w:tcW w:w="1252" w:type="dxa"/>
                  <w:tcBorders>
                    <w:top w:val="single" w:sz="4" w:space="0" w:color="auto"/>
                    <w:left w:val="single" w:sz="4" w:space="0" w:color="auto"/>
                    <w:bottom w:val="single" w:sz="4" w:space="0" w:color="auto"/>
                    <w:right w:val="single" w:sz="4" w:space="0" w:color="auto"/>
                  </w:tcBorders>
                  <w:hideMark/>
                </w:tcPr>
                <w:p w14:paraId="3CFE04B9"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Veoma rijetka</w:t>
                  </w:r>
                </w:p>
              </w:tc>
              <w:tc>
                <w:tcPr>
                  <w:tcW w:w="1842" w:type="dxa"/>
                  <w:tcBorders>
                    <w:top w:val="single" w:sz="4" w:space="0" w:color="auto"/>
                    <w:left w:val="single" w:sz="4" w:space="0" w:color="auto"/>
                    <w:bottom w:val="single" w:sz="4" w:space="0" w:color="auto"/>
                    <w:right w:val="single" w:sz="4" w:space="0" w:color="auto"/>
                  </w:tcBorders>
                  <w:hideMark/>
                </w:tcPr>
                <w:p w14:paraId="78080A57"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Nepoznata učestalost</w:t>
                  </w:r>
                </w:p>
              </w:tc>
            </w:tr>
            <w:tr w:rsidR="005829BA" w:rsidRPr="00C765E8" w14:paraId="1CDC543A" w14:textId="77777777" w:rsidTr="0081791C">
              <w:tc>
                <w:tcPr>
                  <w:tcW w:w="1991" w:type="dxa"/>
                  <w:tcBorders>
                    <w:top w:val="single" w:sz="4" w:space="0" w:color="auto"/>
                    <w:left w:val="single" w:sz="4" w:space="0" w:color="auto"/>
                    <w:bottom w:val="single" w:sz="4" w:space="0" w:color="auto"/>
                    <w:right w:val="single" w:sz="4" w:space="0" w:color="auto"/>
                  </w:tcBorders>
                  <w:hideMark/>
                </w:tcPr>
                <w:p w14:paraId="736424A2" w14:textId="77777777" w:rsidR="005829BA" w:rsidRPr="00C765E8" w:rsidRDefault="005829BA" w:rsidP="0081791C">
                  <w:pPr>
                    <w:tabs>
                      <w:tab w:val="left" w:pos="284"/>
                      <w:tab w:val="center" w:pos="4320"/>
                      <w:tab w:val="right" w:pos="8640"/>
                    </w:tabs>
                    <w:rPr>
                      <w:szCs w:val="22"/>
                      <w:lang w:val="sr-Latn-ME"/>
                    </w:rPr>
                  </w:pPr>
                  <w:r w:rsidRPr="00C765E8">
                    <w:rPr>
                      <w:i/>
                      <w:szCs w:val="22"/>
                      <w:u w:val="single"/>
                      <w:lang w:val="sr-Latn-ME"/>
                    </w:rPr>
                    <w:t>Poremećaji krvi i limfnog sistema</w:t>
                  </w:r>
                </w:p>
              </w:tc>
              <w:tc>
                <w:tcPr>
                  <w:tcW w:w="1991" w:type="dxa"/>
                  <w:tcBorders>
                    <w:top w:val="single" w:sz="4" w:space="0" w:color="auto"/>
                    <w:left w:val="single" w:sz="4" w:space="0" w:color="auto"/>
                    <w:bottom w:val="single" w:sz="4" w:space="0" w:color="auto"/>
                    <w:right w:val="single" w:sz="4" w:space="0" w:color="auto"/>
                  </w:tcBorders>
                </w:tcPr>
                <w:p w14:paraId="63DE477F"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hideMark/>
                </w:tcPr>
                <w:p w14:paraId="6169BBA9"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smanjenje broja bijelih i crvenih krvnih zrnaca, sniženje hemoglobina, hemolitička anemija, smanjenje broja trombocita</w:t>
                  </w:r>
                </w:p>
              </w:tc>
              <w:tc>
                <w:tcPr>
                  <w:tcW w:w="1252" w:type="dxa"/>
                  <w:tcBorders>
                    <w:top w:val="single" w:sz="4" w:space="0" w:color="auto"/>
                    <w:left w:val="single" w:sz="4" w:space="0" w:color="auto"/>
                    <w:bottom w:val="single" w:sz="4" w:space="0" w:color="auto"/>
                    <w:right w:val="single" w:sz="4" w:space="0" w:color="auto"/>
                  </w:tcBorders>
                </w:tcPr>
                <w:p w14:paraId="30512B25"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34F101BC"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oštećenje koštane srži, neutropenija uključujući agranulocitozu, pancitopenija, eozinofilija, hemokoncentracija u smislu smanjenja volumena tečnosti</w:t>
                  </w:r>
                </w:p>
              </w:tc>
            </w:tr>
            <w:tr w:rsidR="005829BA" w:rsidRPr="00C765E8" w14:paraId="45F2C800" w14:textId="77777777" w:rsidTr="0081791C">
              <w:tc>
                <w:tcPr>
                  <w:tcW w:w="1991" w:type="dxa"/>
                  <w:tcBorders>
                    <w:top w:val="single" w:sz="4" w:space="0" w:color="auto"/>
                    <w:left w:val="single" w:sz="4" w:space="0" w:color="auto"/>
                    <w:bottom w:val="single" w:sz="4" w:space="0" w:color="auto"/>
                    <w:right w:val="single" w:sz="4" w:space="0" w:color="auto"/>
                  </w:tcBorders>
                </w:tcPr>
                <w:p w14:paraId="4B98011F"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Neoplazme - benigne, maligne i neodređene (uključujući ciste i polipe)</w:t>
                  </w:r>
                </w:p>
              </w:tc>
              <w:tc>
                <w:tcPr>
                  <w:tcW w:w="1991" w:type="dxa"/>
                  <w:tcBorders>
                    <w:top w:val="single" w:sz="4" w:space="0" w:color="auto"/>
                    <w:left w:val="single" w:sz="4" w:space="0" w:color="auto"/>
                    <w:bottom w:val="single" w:sz="4" w:space="0" w:color="auto"/>
                    <w:right w:val="single" w:sz="4" w:space="0" w:color="auto"/>
                  </w:tcBorders>
                </w:tcPr>
                <w:p w14:paraId="216FEA1D"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5D752AEF" w14:textId="77777777" w:rsidR="005829BA" w:rsidRPr="00C765E8" w:rsidRDefault="005829BA" w:rsidP="0081791C">
                  <w:pPr>
                    <w:tabs>
                      <w:tab w:val="left" w:pos="284"/>
                      <w:tab w:val="center" w:pos="4320"/>
                      <w:tab w:val="right" w:pos="8640"/>
                    </w:tabs>
                    <w:rPr>
                      <w:szCs w:val="22"/>
                      <w:lang w:val="sr-Latn-ME"/>
                    </w:rPr>
                  </w:pPr>
                </w:p>
              </w:tc>
              <w:tc>
                <w:tcPr>
                  <w:tcW w:w="1252" w:type="dxa"/>
                  <w:tcBorders>
                    <w:top w:val="single" w:sz="4" w:space="0" w:color="auto"/>
                    <w:left w:val="single" w:sz="4" w:space="0" w:color="auto"/>
                    <w:bottom w:val="single" w:sz="4" w:space="0" w:color="auto"/>
                    <w:right w:val="single" w:sz="4" w:space="0" w:color="auto"/>
                  </w:tcBorders>
                </w:tcPr>
                <w:p w14:paraId="72FCE8D7"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6B7D6E06"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 xml:space="preserve">Nemelanomski karcinom kože (bazocelularni karcinom i </w:t>
                  </w:r>
                  <w:r w:rsidRPr="00C765E8">
                    <w:rPr>
                      <w:szCs w:val="22"/>
                      <w:lang w:val="sr-Latn-ME"/>
                    </w:rPr>
                    <w:lastRenderedPageBreak/>
                    <w:t>planocelularni karcinom)</w:t>
                  </w:r>
                  <w:r w:rsidRPr="00C765E8">
                    <w:rPr>
                      <w:szCs w:val="22"/>
                      <w:vertAlign w:val="superscript"/>
                      <w:lang w:val="sr-Latn-ME"/>
                    </w:rPr>
                    <w:t xml:space="preserve">1 </w:t>
                  </w:r>
                </w:p>
              </w:tc>
            </w:tr>
            <w:tr w:rsidR="005829BA" w:rsidRPr="00C765E8" w14:paraId="6CDE46B5" w14:textId="77777777" w:rsidTr="0081791C">
              <w:tc>
                <w:tcPr>
                  <w:tcW w:w="1991" w:type="dxa"/>
                  <w:tcBorders>
                    <w:top w:val="single" w:sz="4" w:space="0" w:color="auto"/>
                    <w:left w:val="single" w:sz="4" w:space="0" w:color="auto"/>
                    <w:bottom w:val="single" w:sz="4" w:space="0" w:color="auto"/>
                    <w:right w:val="single" w:sz="4" w:space="0" w:color="auto"/>
                  </w:tcBorders>
                </w:tcPr>
                <w:p w14:paraId="0DEF9087"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lastRenderedPageBreak/>
                    <w:t>Imunološki poremećaji</w:t>
                  </w:r>
                </w:p>
              </w:tc>
              <w:tc>
                <w:tcPr>
                  <w:tcW w:w="1991" w:type="dxa"/>
                  <w:tcBorders>
                    <w:top w:val="single" w:sz="4" w:space="0" w:color="auto"/>
                    <w:left w:val="single" w:sz="4" w:space="0" w:color="auto"/>
                    <w:bottom w:val="single" w:sz="4" w:space="0" w:color="auto"/>
                    <w:right w:val="single" w:sz="4" w:space="0" w:color="auto"/>
                  </w:tcBorders>
                </w:tcPr>
                <w:p w14:paraId="3A884D6E"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1A0F4C41" w14:textId="77777777" w:rsidR="005829BA" w:rsidRPr="00C765E8" w:rsidRDefault="005829BA" w:rsidP="0081791C">
                  <w:pPr>
                    <w:tabs>
                      <w:tab w:val="left" w:pos="284"/>
                      <w:tab w:val="center" w:pos="4320"/>
                      <w:tab w:val="right" w:pos="8640"/>
                    </w:tabs>
                    <w:rPr>
                      <w:szCs w:val="22"/>
                      <w:lang w:val="sr-Latn-ME"/>
                    </w:rPr>
                  </w:pPr>
                </w:p>
              </w:tc>
              <w:tc>
                <w:tcPr>
                  <w:tcW w:w="1252" w:type="dxa"/>
                  <w:tcBorders>
                    <w:top w:val="single" w:sz="4" w:space="0" w:color="auto"/>
                    <w:left w:val="single" w:sz="4" w:space="0" w:color="auto"/>
                    <w:bottom w:val="single" w:sz="4" w:space="0" w:color="auto"/>
                    <w:right w:val="single" w:sz="4" w:space="0" w:color="auto"/>
                  </w:tcBorders>
                </w:tcPr>
                <w:p w14:paraId="57ED248A"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3F9FB48C"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anafilaktične ili anafilaktoidne reakcije zbog ramiprila ili zbog hidrohlortiazida, povećanje antinukleusnih antitijela</w:t>
                  </w:r>
                </w:p>
              </w:tc>
            </w:tr>
            <w:tr w:rsidR="005829BA" w:rsidRPr="00C765E8" w14:paraId="636035FA" w14:textId="77777777" w:rsidTr="0081791C">
              <w:tc>
                <w:tcPr>
                  <w:tcW w:w="1991" w:type="dxa"/>
                  <w:tcBorders>
                    <w:top w:val="single" w:sz="4" w:space="0" w:color="auto"/>
                    <w:left w:val="single" w:sz="4" w:space="0" w:color="auto"/>
                    <w:bottom w:val="single" w:sz="4" w:space="0" w:color="auto"/>
                    <w:right w:val="single" w:sz="4" w:space="0" w:color="auto"/>
                  </w:tcBorders>
                </w:tcPr>
                <w:p w14:paraId="264B8484"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Endokrini poremećaji</w:t>
                  </w:r>
                </w:p>
              </w:tc>
              <w:tc>
                <w:tcPr>
                  <w:tcW w:w="1991" w:type="dxa"/>
                  <w:tcBorders>
                    <w:top w:val="single" w:sz="4" w:space="0" w:color="auto"/>
                    <w:left w:val="single" w:sz="4" w:space="0" w:color="auto"/>
                    <w:bottom w:val="single" w:sz="4" w:space="0" w:color="auto"/>
                    <w:right w:val="single" w:sz="4" w:space="0" w:color="auto"/>
                  </w:tcBorders>
                </w:tcPr>
                <w:p w14:paraId="3A27920C"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1B1AA4E3" w14:textId="77777777" w:rsidR="005829BA" w:rsidRPr="00C765E8" w:rsidRDefault="005829BA" w:rsidP="0081791C">
                  <w:pPr>
                    <w:tabs>
                      <w:tab w:val="left" w:pos="284"/>
                      <w:tab w:val="center" w:pos="4320"/>
                      <w:tab w:val="right" w:pos="8640"/>
                    </w:tabs>
                    <w:rPr>
                      <w:szCs w:val="22"/>
                      <w:lang w:val="sr-Latn-ME"/>
                    </w:rPr>
                  </w:pPr>
                </w:p>
              </w:tc>
              <w:tc>
                <w:tcPr>
                  <w:tcW w:w="1252" w:type="dxa"/>
                  <w:tcBorders>
                    <w:top w:val="single" w:sz="4" w:space="0" w:color="auto"/>
                    <w:left w:val="single" w:sz="4" w:space="0" w:color="auto"/>
                    <w:bottom w:val="single" w:sz="4" w:space="0" w:color="auto"/>
                    <w:right w:val="single" w:sz="4" w:space="0" w:color="auto"/>
                  </w:tcBorders>
                </w:tcPr>
                <w:p w14:paraId="683459BA"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3B63166D" w14:textId="77777777" w:rsidR="005829BA" w:rsidRPr="00C765E8" w:rsidRDefault="005829BA" w:rsidP="0081791C">
                  <w:pPr>
                    <w:tabs>
                      <w:tab w:val="left" w:pos="284"/>
                      <w:tab w:val="center" w:pos="4320"/>
                      <w:tab w:val="right" w:pos="8640"/>
                    </w:tabs>
                    <w:rPr>
                      <w:szCs w:val="22"/>
                      <w:lang w:val="sr-Latn-ME"/>
                    </w:rPr>
                  </w:pPr>
                  <w:r w:rsidRPr="00C765E8">
                    <w:rPr>
                      <w:iCs/>
                      <w:szCs w:val="22"/>
                      <w:lang w:val="sr-Latn-ME"/>
                    </w:rPr>
                    <w:t>sindrom neodgovarajućeg izlučivanja antidiuretskog hormona (SIADH)</w:t>
                  </w:r>
                </w:p>
              </w:tc>
            </w:tr>
            <w:tr w:rsidR="005829BA" w:rsidRPr="00C765E8" w14:paraId="32DC59FF" w14:textId="77777777" w:rsidTr="0081791C">
              <w:tc>
                <w:tcPr>
                  <w:tcW w:w="1991" w:type="dxa"/>
                  <w:tcBorders>
                    <w:top w:val="single" w:sz="4" w:space="0" w:color="auto"/>
                    <w:left w:val="single" w:sz="4" w:space="0" w:color="auto"/>
                    <w:bottom w:val="single" w:sz="4" w:space="0" w:color="auto"/>
                    <w:right w:val="single" w:sz="4" w:space="0" w:color="auto"/>
                  </w:tcBorders>
                </w:tcPr>
                <w:p w14:paraId="7D03A49D"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Poremećaji metabolizma i ishrane</w:t>
                  </w:r>
                </w:p>
              </w:tc>
              <w:tc>
                <w:tcPr>
                  <w:tcW w:w="1991" w:type="dxa"/>
                  <w:tcBorders>
                    <w:top w:val="single" w:sz="4" w:space="0" w:color="auto"/>
                    <w:left w:val="single" w:sz="4" w:space="0" w:color="auto"/>
                    <w:bottom w:val="single" w:sz="4" w:space="0" w:color="auto"/>
                    <w:right w:val="single" w:sz="4" w:space="0" w:color="auto"/>
                  </w:tcBorders>
                </w:tcPr>
                <w:p w14:paraId="0FCF115A"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 xml:space="preserve">poremećaj u kontroli dijabetesa, smanjenje tolerancije na glukozu, povećanje nivoa glukoze u krvi, povećanje nivoa mokraćne kiseline u krvi, pogoršanje gihta, povećanje holesterola i/ili triglicerida zbog hidrohlortiazida </w:t>
                  </w:r>
                </w:p>
              </w:tc>
              <w:tc>
                <w:tcPr>
                  <w:tcW w:w="1991" w:type="dxa"/>
                  <w:tcBorders>
                    <w:top w:val="single" w:sz="4" w:space="0" w:color="auto"/>
                    <w:left w:val="single" w:sz="4" w:space="0" w:color="auto"/>
                    <w:bottom w:val="single" w:sz="4" w:space="0" w:color="auto"/>
                    <w:right w:val="single" w:sz="4" w:space="0" w:color="auto"/>
                  </w:tcBorders>
                </w:tcPr>
                <w:p w14:paraId="15D955FB"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anoreksija, smanjenje apetita, smanjenje kalijuma u krvi, žeđ zbog hidrohlortiazida</w:t>
                  </w:r>
                </w:p>
              </w:tc>
              <w:tc>
                <w:tcPr>
                  <w:tcW w:w="1252" w:type="dxa"/>
                  <w:tcBorders>
                    <w:top w:val="single" w:sz="4" w:space="0" w:color="auto"/>
                    <w:left w:val="single" w:sz="4" w:space="0" w:color="auto"/>
                    <w:bottom w:val="single" w:sz="4" w:space="0" w:color="auto"/>
                    <w:right w:val="single" w:sz="4" w:space="0" w:color="auto"/>
                  </w:tcBorders>
                </w:tcPr>
                <w:p w14:paraId="4DC43F12"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povećanje kalijuma u krvi zbog ramiprila</w:t>
                  </w:r>
                </w:p>
              </w:tc>
              <w:tc>
                <w:tcPr>
                  <w:tcW w:w="1842" w:type="dxa"/>
                  <w:tcBorders>
                    <w:top w:val="single" w:sz="4" w:space="0" w:color="auto"/>
                    <w:left w:val="single" w:sz="4" w:space="0" w:color="auto"/>
                    <w:bottom w:val="single" w:sz="4" w:space="0" w:color="auto"/>
                    <w:right w:val="single" w:sz="4" w:space="0" w:color="auto"/>
                  </w:tcBorders>
                </w:tcPr>
                <w:p w14:paraId="7CB47AEA"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smanjenje natrijuma, glikozurija, metabolička alkaloza, hipohloremija, hipomagnezijemija, hiperkalcemija, dehidracija zbog hidrohlortiazida</w:t>
                  </w:r>
                </w:p>
              </w:tc>
            </w:tr>
            <w:tr w:rsidR="005829BA" w:rsidRPr="00C765E8" w14:paraId="4F95FA21" w14:textId="77777777" w:rsidTr="0081791C">
              <w:tc>
                <w:tcPr>
                  <w:tcW w:w="1991" w:type="dxa"/>
                  <w:tcBorders>
                    <w:top w:val="single" w:sz="4" w:space="0" w:color="auto"/>
                    <w:left w:val="single" w:sz="4" w:space="0" w:color="auto"/>
                    <w:bottom w:val="single" w:sz="4" w:space="0" w:color="auto"/>
                    <w:right w:val="single" w:sz="4" w:space="0" w:color="auto"/>
                  </w:tcBorders>
                </w:tcPr>
                <w:p w14:paraId="4A755032"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Psihijatrijski poremećaji</w:t>
                  </w:r>
                </w:p>
                <w:p w14:paraId="11926FB9" w14:textId="77777777" w:rsidR="005829BA" w:rsidRPr="00C765E8" w:rsidRDefault="005829BA" w:rsidP="0081791C">
                  <w:pPr>
                    <w:tabs>
                      <w:tab w:val="left" w:pos="284"/>
                      <w:tab w:val="center" w:pos="4320"/>
                      <w:tab w:val="right" w:pos="8640"/>
                    </w:tabs>
                    <w:rPr>
                      <w:i/>
                      <w:szCs w:val="22"/>
                      <w:u w:val="single"/>
                      <w:lang w:val="sr-Latn-ME"/>
                    </w:rPr>
                  </w:pPr>
                </w:p>
                <w:p w14:paraId="39D4D2B7" w14:textId="77777777" w:rsidR="005829BA" w:rsidRPr="00C765E8" w:rsidRDefault="005829BA" w:rsidP="0081791C">
                  <w:pPr>
                    <w:tabs>
                      <w:tab w:val="left" w:pos="284"/>
                      <w:tab w:val="center" w:pos="4320"/>
                      <w:tab w:val="right" w:pos="8640"/>
                    </w:tabs>
                    <w:rPr>
                      <w:i/>
                      <w:szCs w:val="22"/>
                      <w:u w:val="single"/>
                      <w:lang w:val="sr-Latn-ME"/>
                    </w:rPr>
                  </w:pPr>
                </w:p>
                <w:p w14:paraId="34A48D66" w14:textId="77777777" w:rsidR="005829BA" w:rsidRPr="00C765E8" w:rsidRDefault="005829BA" w:rsidP="0081791C">
                  <w:pPr>
                    <w:tabs>
                      <w:tab w:val="left" w:pos="284"/>
                      <w:tab w:val="center" w:pos="4320"/>
                      <w:tab w:val="right" w:pos="8640"/>
                    </w:tabs>
                    <w:rPr>
                      <w:i/>
                      <w:szCs w:val="22"/>
                      <w:u w:val="single"/>
                      <w:lang w:val="sr-Latn-ME"/>
                    </w:rPr>
                  </w:pPr>
                </w:p>
                <w:p w14:paraId="27D15082" w14:textId="77777777" w:rsidR="005829BA" w:rsidRPr="00C765E8" w:rsidRDefault="005829BA" w:rsidP="0081791C">
                  <w:pPr>
                    <w:tabs>
                      <w:tab w:val="left" w:pos="284"/>
                      <w:tab w:val="center" w:pos="4320"/>
                      <w:tab w:val="right" w:pos="8640"/>
                    </w:tabs>
                    <w:rPr>
                      <w:i/>
                      <w:szCs w:val="22"/>
                      <w:u w:val="single"/>
                      <w:lang w:val="sr-Latn-ME"/>
                    </w:rPr>
                  </w:pPr>
                </w:p>
                <w:p w14:paraId="240A4586" w14:textId="77777777" w:rsidR="005829BA" w:rsidRPr="00C765E8" w:rsidRDefault="005829BA" w:rsidP="0081791C">
                  <w:pPr>
                    <w:tabs>
                      <w:tab w:val="left" w:pos="284"/>
                      <w:tab w:val="center" w:pos="4320"/>
                      <w:tab w:val="right" w:pos="8640"/>
                    </w:tabs>
                    <w:rPr>
                      <w:i/>
                      <w:szCs w:val="22"/>
                      <w:u w:val="single"/>
                      <w:lang w:val="sr-Latn-ME"/>
                    </w:rPr>
                  </w:pPr>
                </w:p>
              </w:tc>
              <w:tc>
                <w:tcPr>
                  <w:tcW w:w="1991" w:type="dxa"/>
                  <w:tcBorders>
                    <w:top w:val="single" w:sz="4" w:space="0" w:color="auto"/>
                    <w:left w:val="single" w:sz="4" w:space="0" w:color="auto"/>
                    <w:bottom w:val="single" w:sz="4" w:space="0" w:color="auto"/>
                    <w:right w:val="single" w:sz="4" w:space="0" w:color="auto"/>
                  </w:tcBorders>
                </w:tcPr>
                <w:p w14:paraId="3919E54B"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317E5041" w14:textId="0D868F61" w:rsidR="005829BA" w:rsidRPr="00C765E8" w:rsidRDefault="00ED6EBD" w:rsidP="0081791C">
                  <w:pPr>
                    <w:tabs>
                      <w:tab w:val="left" w:pos="284"/>
                      <w:tab w:val="center" w:pos="4320"/>
                      <w:tab w:val="right" w:pos="8640"/>
                    </w:tabs>
                    <w:rPr>
                      <w:szCs w:val="22"/>
                      <w:lang w:val="sr-Latn-ME"/>
                    </w:rPr>
                  </w:pPr>
                  <w:r w:rsidRPr="00C765E8">
                    <w:rPr>
                      <w:szCs w:val="22"/>
                      <w:lang w:val="sr-Latn-ME"/>
                    </w:rPr>
                    <w:t>D</w:t>
                  </w:r>
                  <w:r w:rsidR="005829BA" w:rsidRPr="00C765E8">
                    <w:rPr>
                      <w:szCs w:val="22"/>
                      <w:lang w:val="sr-Latn-ME"/>
                    </w:rPr>
                    <w:t>epresi</w:t>
                  </w:r>
                  <w:r w:rsidRPr="00C765E8">
                    <w:rPr>
                      <w:szCs w:val="22"/>
                      <w:lang w:val="sr-Latn-ME"/>
                    </w:rPr>
                    <w:t>vno raspoloženje</w:t>
                  </w:r>
                  <w:r w:rsidR="005829BA" w:rsidRPr="00C765E8">
                    <w:rPr>
                      <w:szCs w:val="22"/>
                      <w:lang w:val="sr-Latn-ME"/>
                    </w:rPr>
                    <w:t>, apatija, anksioznost, nervoza, poremećaji sna uključujući i somnolenciju</w:t>
                  </w:r>
                </w:p>
              </w:tc>
              <w:tc>
                <w:tcPr>
                  <w:tcW w:w="1252" w:type="dxa"/>
                  <w:tcBorders>
                    <w:top w:val="single" w:sz="4" w:space="0" w:color="auto"/>
                    <w:left w:val="single" w:sz="4" w:space="0" w:color="auto"/>
                    <w:bottom w:val="single" w:sz="4" w:space="0" w:color="auto"/>
                    <w:right w:val="single" w:sz="4" w:space="0" w:color="auto"/>
                  </w:tcBorders>
                </w:tcPr>
                <w:p w14:paraId="55D99791"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17987A3B"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konfuzno stanje, psihomotorni nemir, poremećaj pažnje</w:t>
                  </w:r>
                </w:p>
              </w:tc>
            </w:tr>
            <w:tr w:rsidR="005829BA" w:rsidRPr="00C765E8" w14:paraId="279F871C" w14:textId="77777777" w:rsidTr="0081791C">
              <w:tc>
                <w:tcPr>
                  <w:tcW w:w="1991" w:type="dxa"/>
                  <w:tcBorders>
                    <w:top w:val="single" w:sz="4" w:space="0" w:color="auto"/>
                    <w:left w:val="single" w:sz="4" w:space="0" w:color="auto"/>
                    <w:bottom w:val="single" w:sz="4" w:space="0" w:color="auto"/>
                    <w:right w:val="single" w:sz="4" w:space="0" w:color="auto"/>
                  </w:tcBorders>
                  <w:hideMark/>
                </w:tcPr>
                <w:p w14:paraId="47A9B5E1" w14:textId="77777777" w:rsidR="005829BA" w:rsidRPr="00C765E8" w:rsidRDefault="005829BA" w:rsidP="0081791C">
                  <w:pPr>
                    <w:tabs>
                      <w:tab w:val="left" w:pos="284"/>
                      <w:tab w:val="center" w:pos="4320"/>
                      <w:tab w:val="right" w:pos="8640"/>
                    </w:tabs>
                    <w:rPr>
                      <w:szCs w:val="22"/>
                      <w:lang w:val="sr-Latn-ME"/>
                    </w:rPr>
                  </w:pPr>
                  <w:r w:rsidRPr="00C765E8">
                    <w:rPr>
                      <w:i/>
                      <w:szCs w:val="22"/>
                      <w:u w:val="single"/>
                      <w:lang w:val="sr-Latn-ME"/>
                    </w:rPr>
                    <w:t>Poremećaji nervnog sistema</w:t>
                  </w:r>
                </w:p>
              </w:tc>
              <w:tc>
                <w:tcPr>
                  <w:tcW w:w="1991" w:type="dxa"/>
                  <w:tcBorders>
                    <w:top w:val="single" w:sz="4" w:space="0" w:color="auto"/>
                    <w:left w:val="single" w:sz="4" w:space="0" w:color="auto"/>
                    <w:bottom w:val="single" w:sz="4" w:space="0" w:color="auto"/>
                    <w:right w:val="single" w:sz="4" w:space="0" w:color="auto"/>
                  </w:tcBorders>
                  <w:hideMark/>
                </w:tcPr>
                <w:p w14:paraId="54B3562C"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glavobolja, vrtoglavica</w:t>
                  </w:r>
                </w:p>
              </w:tc>
              <w:tc>
                <w:tcPr>
                  <w:tcW w:w="1991" w:type="dxa"/>
                  <w:tcBorders>
                    <w:top w:val="single" w:sz="4" w:space="0" w:color="auto"/>
                    <w:left w:val="single" w:sz="4" w:space="0" w:color="auto"/>
                    <w:bottom w:val="single" w:sz="4" w:space="0" w:color="auto"/>
                    <w:right w:val="single" w:sz="4" w:space="0" w:color="auto"/>
                  </w:tcBorders>
                  <w:hideMark/>
                </w:tcPr>
                <w:p w14:paraId="7EFDC33A"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vertigo, parestezije, tremor, poremećaj ravnoteže, osjećaj peckanja, disgeuzija, ageuzija</w:t>
                  </w:r>
                </w:p>
              </w:tc>
              <w:tc>
                <w:tcPr>
                  <w:tcW w:w="1252" w:type="dxa"/>
                  <w:tcBorders>
                    <w:top w:val="single" w:sz="4" w:space="0" w:color="auto"/>
                    <w:left w:val="single" w:sz="4" w:space="0" w:color="auto"/>
                    <w:bottom w:val="single" w:sz="4" w:space="0" w:color="auto"/>
                    <w:right w:val="single" w:sz="4" w:space="0" w:color="auto"/>
                  </w:tcBorders>
                </w:tcPr>
                <w:p w14:paraId="683781D4"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347C824D"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cerebralna ishemija uključujući ishemijski šlog i tranzitorni ishemijski udar, poremećaj psihomotorne funkcije, parosmija</w:t>
                  </w:r>
                </w:p>
              </w:tc>
            </w:tr>
            <w:tr w:rsidR="005829BA" w:rsidRPr="00C765E8" w14:paraId="3C3083A4" w14:textId="77777777" w:rsidTr="0081791C">
              <w:tc>
                <w:tcPr>
                  <w:tcW w:w="1991" w:type="dxa"/>
                  <w:tcBorders>
                    <w:top w:val="single" w:sz="4" w:space="0" w:color="auto"/>
                    <w:left w:val="single" w:sz="4" w:space="0" w:color="auto"/>
                    <w:bottom w:val="single" w:sz="4" w:space="0" w:color="auto"/>
                    <w:right w:val="single" w:sz="4" w:space="0" w:color="auto"/>
                  </w:tcBorders>
                  <w:hideMark/>
                </w:tcPr>
                <w:p w14:paraId="2E0F0D6C" w14:textId="77777777" w:rsidR="005829BA" w:rsidRPr="00C765E8" w:rsidRDefault="005829BA" w:rsidP="0081791C">
                  <w:pPr>
                    <w:tabs>
                      <w:tab w:val="left" w:pos="284"/>
                      <w:tab w:val="center" w:pos="4320"/>
                      <w:tab w:val="right" w:pos="8640"/>
                    </w:tabs>
                    <w:rPr>
                      <w:szCs w:val="22"/>
                      <w:lang w:val="sr-Latn-ME"/>
                    </w:rPr>
                  </w:pPr>
                  <w:r w:rsidRPr="00C765E8">
                    <w:rPr>
                      <w:i/>
                      <w:szCs w:val="22"/>
                      <w:u w:val="single"/>
                      <w:lang w:val="sr-Latn-ME"/>
                    </w:rPr>
                    <w:t>Poremećaji oka</w:t>
                  </w:r>
                </w:p>
              </w:tc>
              <w:tc>
                <w:tcPr>
                  <w:tcW w:w="1991" w:type="dxa"/>
                  <w:tcBorders>
                    <w:top w:val="single" w:sz="4" w:space="0" w:color="auto"/>
                    <w:left w:val="single" w:sz="4" w:space="0" w:color="auto"/>
                    <w:bottom w:val="single" w:sz="4" w:space="0" w:color="auto"/>
                    <w:right w:val="single" w:sz="4" w:space="0" w:color="auto"/>
                  </w:tcBorders>
                </w:tcPr>
                <w:p w14:paraId="1282B052"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hideMark/>
                </w:tcPr>
                <w:p w14:paraId="3AB2E33A"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poremećaj vida uključujući zamućenje vida, konjuktivitis</w:t>
                  </w:r>
                </w:p>
              </w:tc>
              <w:tc>
                <w:tcPr>
                  <w:tcW w:w="1252" w:type="dxa"/>
                  <w:tcBorders>
                    <w:top w:val="single" w:sz="4" w:space="0" w:color="auto"/>
                    <w:left w:val="single" w:sz="4" w:space="0" w:color="auto"/>
                    <w:bottom w:val="single" w:sz="4" w:space="0" w:color="auto"/>
                    <w:right w:val="single" w:sz="4" w:space="0" w:color="auto"/>
                  </w:tcBorders>
                </w:tcPr>
                <w:p w14:paraId="7BC3ECB4"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265C9DEB"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 xml:space="preserve">ksantopsija, smanjenje lakrimacije zbog hidrohlortiazida, akutni glaukom uskog ugla zbog </w:t>
                  </w:r>
                </w:p>
                <w:p w14:paraId="4A2302D5"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lastRenderedPageBreak/>
                    <w:t>hidrohlortiazida</w:t>
                  </w:r>
                  <w:r w:rsidR="00283D96" w:rsidRPr="00C765E8">
                    <w:rPr>
                      <w:szCs w:val="22"/>
                      <w:lang w:val="sr-Latn-ME"/>
                    </w:rPr>
                    <w:t xml:space="preserve">, </w:t>
                  </w:r>
                  <w:r w:rsidR="00B423EA" w:rsidRPr="00C765E8">
                    <w:rPr>
                      <w:szCs w:val="22"/>
                      <w:lang w:val="sr-Latn-ME"/>
                    </w:rPr>
                    <w:t>horoidalna efuzija uzrokovana hidrohlortiazidom</w:t>
                  </w:r>
                </w:p>
              </w:tc>
            </w:tr>
            <w:tr w:rsidR="005829BA" w:rsidRPr="00C765E8" w14:paraId="09CD3DD5" w14:textId="77777777" w:rsidTr="0081791C">
              <w:tc>
                <w:tcPr>
                  <w:tcW w:w="1991" w:type="dxa"/>
                  <w:tcBorders>
                    <w:top w:val="single" w:sz="4" w:space="0" w:color="auto"/>
                    <w:left w:val="single" w:sz="4" w:space="0" w:color="auto"/>
                    <w:bottom w:val="single" w:sz="4" w:space="0" w:color="auto"/>
                    <w:right w:val="single" w:sz="4" w:space="0" w:color="auto"/>
                  </w:tcBorders>
                  <w:hideMark/>
                </w:tcPr>
                <w:p w14:paraId="2C36F163"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lastRenderedPageBreak/>
                    <w:t>Poremećaji uha i centra za ravnotežu</w:t>
                  </w:r>
                </w:p>
              </w:tc>
              <w:tc>
                <w:tcPr>
                  <w:tcW w:w="1991" w:type="dxa"/>
                  <w:tcBorders>
                    <w:top w:val="single" w:sz="4" w:space="0" w:color="auto"/>
                    <w:left w:val="single" w:sz="4" w:space="0" w:color="auto"/>
                    <w:bottom w:val="single" w:sz="4" w:space="0" w:color="auto"/>
                    <w:right w:val="single" w:sz="4" w:space="0" w:color="auto"/>
                  </w:tcBorders>
                </w:tcPr>
                <w:p w14:paraId="52D72F64"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hideMark/>
                </w:tcPr>
                <w:p w14:paraId="2441F3A9"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tinitus</w:t>
                  </w:r>
                </w:p>
              </w:tc>
              <w:tc>
                <w:tcPr>
                  <w:tcW w:w="1252" w:type="dxa"/>
                  <w:tcBorders>
                    <w:top w:val="single" w:sz="4" w:space="0" w:color="auto"/>
                    <w:left w:val="single" w:sz="4" w:space="0" w:color="auto"/>
                    <w:bottom w:val="single" w:sz="4" w:space="0" w:color="auto"/>
                    <w:right w:val="single" w:sz="4" w:space="0" w:color="auto"/>
                  </w:tcBorders>
                </w:tcPr>
                <w:p w14:paraId="112D5631"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13504755"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poremećaj sluha</w:t>
                  </w:r>
                </w:p>
              </w:tc>
            </w:tr>
            <w:tr w:rsidR="005829BA" w:rsidRPr="00C765E8" w14:paraId="190B893B" w14:textId="77777777" w:rsidTr="0081791C">
              <w:tc>
                <w:tcPr>
                  <w:tcW w:w="1991" w:type="dxa"/>
                  <w:tcBorders>
                    <w:top w:val="single" w:sz="4" w:space="0" w:color="auto"/>
                    <w:left w:val="single" w:sz="4" w:space="0" w:color="auto"/>
                    <w:bottom w:val="single" w:sz="4" w:space="0" w:color="auto"/>
                    <w:right w:val="single" w:sz="4" w:space="0" w:color="auto"/>
                  </w:tcBorders>
                </w:tcPr>
                <w:p w14:paraId="21C9BF77"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Kardiološki poremećaji</w:t>
                  </w:r>
                </w:p>
              </w:tc>
              <w:tc>
                <w:tcPr>
                  <w:tcW w:w="1991" w:type="dxa"/>
                  <w:tcBorders>
                    <w:top w:val="single" w:sz="4" w:space="0" w:color="auto"/>
                    <w:left w:val="single" w:sz="4" w:space="0" w:color="auto"/>
                    <w:bottom w:val="single" w:sz="4" w:space="0" w:color="auto"/>
                    <w:right w:val="single" w:sz="4" w:space="0" w:color="auto"/>
                  </w:tcBorders>
                </w:tcPr>
                <w:p w14:paraId="53C2FCB7"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7A65D311"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ishemija miokarda uključujući anginu pektoris,tahikardiju, aritmiju, palpitacije, periferni edem</w:t>
                  </w:r>
                </w:p>
              </w:tc>
              <w:tc>
                <w:tcPr>
                  <w:tcW w:w="1252" w:type="dxa"/>
                  <w:tcBorders>
                    <w:top w:val="single" w:sz="4" w:space="0" w:color="auto"/>
                    <w:left w:val="single" w:sz="4" w:space="0" w:color="auto"/>
                    <w:bottom w:val="single" w:sz="4" w:space="0" w:color="auto"/>
                    <w:right w:val="single" w:sz="4" w:space="0" w:color="auto"/>
                  </w:tcBorders>
                </w:tcPr>
                <w:p w14:paraId="2F5F242B"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6FFB5C29"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infarkt miokarda</w:t>
                  </w:r>
                </w:p>
              </w:tc>
            </w:tr>
            <w:tr w:rsidR="005829BA" w:rsidRPr="00C765E8" w14:paraId="671F3948" w14:textId="77777777" w:rsidTr="0081791C">
              <w:tc>
                <w:tcPr>
                  <w:tcW w:w="1991" w:type="dxa"/>
                  <w:tcBorders>
                    <w:top w:val="single" w:sz="4" w:space="0" w:color="auto"/>
                    <w:left w:val="single" w:sz="4" w:space="0" w:color="auto"/>
                    <w:bottom w:val="single" w:sz="4" w:space="0" w:color="auto"/>
                    <w:right w:val="single" w:sz="4" w:space="0" w:color="auto"/>
                  </w:tcBorders>
                </w:tcPr>
                <w:p w14:paraId="6A9C6B7B"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Vaskularni poremećaji</w:t>
                  </w:r>
                </w:p>
              </w:tc>
              <w:tc>
                <w:tcPr>
                  <w:tcW w:w="1991" w:type="dxa"/>
                  <w:tcBorders>
                    <w:top w:val="single" w:sz="4" w:space="0" w:color="auto"/>
                    <w:left w:val="single" w:sz="4" w:space="0" w:color="auto"/>
                    <w:bottom w:val="single" w:sz="4" w:space="0" w:color="auto"/>
                    <w:right w:val="single" w:sz="4" w:space="0" w:color="auto"/>
                  </w:tcBorders>
                </w:tcPr>
                <w:p w14:paraId="0DD43FBA"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229D8795" w14:textId="3BE6B102" w:rsidR="005829BA" w:rsidRPr="00C765E8" w:rsidRDefault="005829BA" w:rsidP="0081791C">
                  <w:pPr>
                    <w:tabs>
                      <w:tab w:val="left" w:pos="284"/>
                      <w:tab w:val="center" w:pos="4320"/>
                      <w:tab w:val="right" w:pos="8640"/>
                    </w:tabs>
                    <w:rPr>
                      <w:szCs w:val="22"/>
                      <w:lang w:val="sr-Latn-ME"/>
                    </w:rPr>
                  </w:pPr>
                  <w:r w:rsidRPr="00C765E8">
                    <w:rPr>
                      <w:szCs w:val="22"/>
                      <w:lang w:val="sr-Latn-ME"/>
                    </w:rPr>
                    <w:t xml:space="preserve">Hipotenzija,  ortostatska hipotenzija, sinkopa, </w:t>
                  </w:r>
                  <w:r w:rsidR="00ED6EBD" w:rsidRPr="00C765E8">
                    <w:rPr>
                      <w:szCs w:val="22"/>
                      <w:lang w:val="sr-Latn-ME"/>
                    </w:rPr>
                    <w:t xml:space="preserve">crvenilo praćeno </w:t>
                  </w:r>
                  <w:r w:rsidRPr="00C765E8">
                    <w:rPr>
                      <w:szCs w:val="22"/>
                      <w:lang w:val="sr-Latn-ME"/>
                    </w:rPr>
                    <w:t>naleti</w:t>
                  </w:r>
                  <w:r w:rsidR="00ED6EBD" w:rsidRPr="00C765E8">
                    <w:rPr>
                      <w:szCs w:val="22"/>
                      <w:lang w:val="sr-Latn-ME"/>
                    </w:rPr>
                    <w:t>ma</w:t>
                  </w:r>
                  <w:r w:rsidRPr="00C765E8">
                    <w:rPr>
                      <w:szCs w:val="22"/>
                      <w:lang w:val="sr-Latn-ME"/>
                    </w:rPr>
                    <w:t xml:space="preserve"> vrućine</w:t>
                  </w:r>
                </w:p>
              </w:tc>
              <w:tc>
                <w:tcPr>
                  <w:tcW w:w="1252" w:type="dxa"/>
                  <w:tcBorders>
                    <w:top w:val="single" w:sz="4" w:space="0" w:color="auto"/>
                    <w:left w:val="single" w:sz="4" w:space="0" w:color="auto"/>
                    <w:bottom w:val="single" w:sz="4" w:space="0" w:color="auto"/>
                    <w:right w:val="single" w:sz="4" w:space="0" w:color="auto"/>
                  </w:tcBorders>
                </w:tcPr>
                <w:p w14:paraId="10671DC6"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5EEDE2B6"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tromboza kao posljedica značajnog smanjenja tečnosti, vaskularna stenoza, hipoperfuzija, Raynaud-ov fenomen, vaskulitis</w:t>
                  </w:r>
                </w:p>
              </w:tc>
            </w:tr>
            <w:tr w:rsidR="005829BA" w:rsidRPr="00C765E8" w14:paraId="233CCBFF" w14:textId="77777777" w:rsidTr="0081791C">
              <w:tc>
                <w:tcPr>
                  <w:tcW w:w="1991" w:type="dxa"/>
                  <w:tcBorders>
                    <w:top w:val="single" w:sz="4" w:space="0" w:color="auto"/>
                    <w:left w:val="single" w:sz="4" w:space="0" w:color="auto"/>
                    <w:bottom w:val="single" w:sz="4" w:space="0" w:color="auto"/>
                    <w:right w:val="single" w:sz="4" w:space="0" w:color="auto"/>
                  </w:tcBorders>
                  <w:hideMark/>
                </w:tcPr>
                <w:p w14:paraId="33E55ED7" w14:textId="77777777" w:rsidR="005829BA" w:rsidRPr="00C765E8" w:rsidRDefault="005829BA" w:rsidP="0081791C">
                  <w:pPr>
                    <w:tabs>
                      <w:tab w:val="left" w:pos="284"/>
                      <w:tab w:val="center" w:pos="4320"/>
                      <w:tab w:val="right" w:pos="8640"/>
                    </w:tabs>
                    <w:rPr>
                      <w:szCs w:val="22"/>
                      <w:lang w:val="sr-Latn-ME"/>
                    </w:rPr>
                  </w:pPr>
                  <w:r w:rsidRPr="00C765E8">
                    <w:rPr>
                      <w:i/>
                      <w:szCs w:val="22"/>
                      <w:u w:val="single"/>
                      <w:lang w:val="sr-Latn-ME"/>
                    </w:rPr>
                    <w:t>Respiratorni, torakalni i medijastinalni poremećaji</w:t>
                  </w:r>
                </w:p>
              </w:tc>
              <w:tc>
                <w:tcPr>
                  <w:tcW w:w="1991" w:type="dxa"/>
                  <w:tcBorders>
                    <w:top w:val="single" w:sz="4" w:space="0" w:color="auto"/>
                    <w:left w:val="single" w:sz="4" w:space="0" w:color="auto"/>
                    <w:bottom w:val="single" w:sz="4" w:space="0" w:color="auto"/>
                    <w:right w:val="single" w:sz="4" w:space="0" w:color="auto"/>
                  </w:tcBorders>
                  <w:hideMark/>
                </w:tcPr>
                <w:p w14:paraId="0174363A"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neproduktivni, nadražajni kašalj, bronhitis</w:t>
                  </w:r>
                </w:p>
              </w:tc>
              <w:tc>
                <w:tcPr>
                  <w:tcW w:w="1991" w:type="dxa"/>
                  <w:tcBorders>
                    <w:top w:val="single" w:sz="4" w:space="0" w:color="auto"/>
                    <w:left w:val="single" w:sz="4" w:space="0" w:color="auto"/>
                    <w:bottom w:val="single" w:sz="4" w:space="0" w:color="auto"/>
                    <w:right w:val="single" w:sz="4" w:space="0" w:color="auto"/>
                  </w:tcBorders>
                  <w:hideMark/>
                </w:tcPr>
                <w:p w14:paraId="6250F38F"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sinuzitis, dispneja, nazalna kongestija</w:t>
                  </w:r>
                </w:p>
              </w:tc>
              <w:tc>
                <w:tcPr>
                  <w:tcW w:w="1252" w:type="dxa"/>
                  <w:tcBorders>
                    <w:top w:val="single" w:sz="4" w:space="0" w:color="auto"/>
                    <w:left w:val="single" w:sz="4" w:space="0" w:color="auto"/>
                    <w:bottom w:val="single" w:sz="4" w:space="0" w:color="auto"/>
                    <w:right w:val="single" w:sz="4" w:space="0" w:color="auto"/>
                  </w:tcBorders>
                </w:tcPr>
                <w:p w14:paraId="569CA066" w14:textId="77777777" w:rsidR="005829BA" w:rsidRPr="00C765E8" w:rsidRDefault="00B423EA" w:rsidP="0081791C">
                  <w:pPr>
                    <w:tabs>
                      <w:tab w:val="left" w:pos="284"/>
                      <w:tab w:val="center" w:pos="4320"/>
                      <w:tab w:val="right" w:pos="8640"/>
                    </w:tabs>
                    <w:rPr>
                      <w:szCs w:val="22"/>
                      <w:lang w:val="sr-Latn-ME"/>
                    </w:rPr>
                  </w:pPr>
                  <w:r w:rsidRPr="00C765E8">
                    <w:rPr>
                      <w:szCs w:val="22"/>
                      <w:lang w:val="sr-Latn-ME"/>
                    </w:rPr>
                    <w:t>akutni respiratorni distres sindrom uzrokovan hidrohlortiazidom (vidjeti dio 4.4)</w:t>
                  </w:r>
                </w:p>
              </w:tc>
              <w:tc>
                <w:tcPr>
                  <w:tcW w:w="1842" w:type="dxa"/>
                  <w:tcBorders>
                    <w:top w:val="single" w:sz="4" w:space="0" w:color="auto"/>
                    <w:left w:val="single" w:sz="4" w:space="0" w:color="auto"/>
                    <w:bottom w:val="single" w:sz="4" w:space="0" w:color="auto"/>
                    <w:right w:val="single" w:sz="4" w:space="0" w:color="auto"/>
                  </w:tcBorders>
                  <w:hideMark/>
                </w:tcPr>
                <w:p w14:paraId="51C23A20"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bronhospazam uključujući i pogoršanje astme, alergijski alveolitis, pulmonalni edem zbog hidrohlortiazida</w:t>
                  </w:r>
                </w:p>
              </w:tc>
            </w:tr>
            <w:tr w:rsidR="005829BA" w:rsidRPr="00C765E8" w14:paraId="2270DF78" w14:textId="77777777" w:rsidTr="0081791C">
              <w:trPr>
                <w:trHeight w:val="2721"/>
              </w:trPr>
              <w:tc>
                <w:tcPr>
                  <w:tcW w:w="1991" w:type="dxa"/>
                  <w:tcBorders>
                    <w:top w:val="single" w:sz="4" w:space="0" w:color="auto"/>
                    <w:left w:val="single" w:sz="4" w:space="0" w:color="auto"/>
                    <w:bottom w:val="single" w:sz="4" w:space="0" w:color="auto"/>
                    <w:right w:val="single" w:sz="4" w:space="0" w:color="auto"/>
                  </w:tcBorders>
                  <w:hideMark/>
                </w:tcPr>
                <w:p w14:paraId="6E6ABE77" w14:textId="77777777" w:rsidR="005829BA" w:rsidRPr="00C765E8" w:rsidRDefault="005829BA" w:rsidP="0081791C">
                  <w:pPr>
                    <w:tabs>
                      <w:tab w:val="left" w:pos="284"/>
                      <w:tab w:val="center" w:pos="4320"/>
                      <w:tab w:val="right" w:pos="8640"/>
                    </w:tabs>
                    <w:rPr>
                      <w:szCs w:val="22"/>
                      <w:lang w:val="sr-Latn-ME"/>
                    </w:rPr>
                  </w:pPr>
                  <w:r w:rsidRPr="00C765E8">
                    <w:rPr>
                      <w:i/>
                      <w:szCs w:val="22"/>
                      <w:u w:val="single"/>
                      <w:lang w:val="sr-Latn-ME"/>
                    </w:rPr>
                    <w:t>Gastrointestinalni poremećaji</w:t>
                  </w:r>
                </w:p>
              </w:tc>
              <w:tc>
                <w:tcPr>
                  <w:tcW w:w="1991" w:type="dxa"/>
                  <w:tcBorders>
                    <w:top w:val="single" w:sz="4" w:space="0" w:color="auto"/>
                    <w:left w:val="single" w:sz="4" w:space="0" w:color="auto"/>
                    <w:bottom w:val="single" w:sz="4" w:space="0" w:color="auto"/>
                    <w:right w:val="single" w:sz="4" w:space="0" w:color="auto"/>
                  </w:tcBorders>
                </w:tcPr>
                <w:p w14:paraId="1019CA5A"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hideMark/>
                </w:tcPr>
                <w:p w14:paraId="4874A08F"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gastrointestinalna inflamacija, poremećaji varenja, abdominalna nelagodnost, dispepsija, gastritis, mučnina, konstipacija,</w:t>
                  </w:r>
                </w:p>
                <w:p w14:paraId="3D405AD3"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gingivitis zbog hidrohlortiazida</w:t>
                  </w:r>
                </w:p>
              </w:tc>
              <w:tc>
                <w:tcPr>
                  <w:tcW w:w="1252" w:type="dxa"/>
                  <w:tcBorders>
                    <w:top w:val="single" w:sz="4" w:space="0" w:color="auto"/>
                    <w:left w:val="single" w:sz="4" w:space="0" w:color="auto"/>
                    <w:bottom w:val="single" w:sz="4" w:space="0" w:color="auto"/>
                    <w:right w:val="single" w:sz="4" w:space="0" w:color="auto"/>
                  </w:tcBorders>
                  <w:hideMark/>
                </w:tcPr>
                <w:p w14:paraId="68E9386D"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povraćanje, aftozni stomatitis, glositis, dijareja, bol u gornjem abdomenu, suva usta</w:t>
                  </w:r>
                </w:p>
              </w:tc>
              <w:tc>
                <w:tcPr>
                  <w:tcW w:w="1842" w:type="dxa"/>
                  <w:tcBorders>
                    <w:top w:val="single" w:sz="4" w:space="0" w:color="auto"/>
                    <w:left w:val="single" w:sz="4" w:space="0" w:color="auto"/>
                    <w:bottom w:val="single" w:sz="4" w:space="0" w:color="auto"/>
                    <w:right w:val="single" w:sz="4" w:space="0" w:color="auto"/>
                  </w:tcBorders>
                  <w:hideMark/>
                </w:tcPr>
                <w:p w14:paraId="56269D64"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pankreatitis (sa fatalnim ishodom, koji je prijavljen veoma rijetko nakon upotrebe ACE inhibitora), povećanje pankreasnih enzima, angioedem tankog crijeva, sijaloadenitis zbog hidrohlortiazida</w:t>
                  </w:r>
                </w:p>
              </w:tc>
            </w:tr>
            <w:tr w:rsidR="005829BA" w:rsidRPr="00C765E8" w14:paraId="26CF74A1" w14:textId="77777777" w:rsidTr="0081791C">
              <w:trPr>
                <w:trHeight w:val="2721"/>
              </w:trPr>
              <w:tc>
                <w:tcPr>
                  <w:tcW w:w="1991" w:type="dxa"/>
                  <w:tcBorders>
                    <w:top w:val="single" w:sz="4" w:space="0" w:color="auto"/>
                    <w:left w:val="single" w:sz="4" w:space="0" w:color="auto"/>
                    <w:bottom w:val="single" w:sz="4" w:space="0" w:color="auto"/>
                    <w:right w:val="single" w:sz="4" w:space="0" w:color="auto"/>
                  </w:tcBorders>
                </w:tcPr>
                <w:p w14:paraId="5F39C5C6"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lastRenderedPageBreak/>
                    <w:t>Hepatobilijarni poremećaji</w:t>
                  </w:r>
                </w:p>
              </w:tc>
              <w:tc>
                <w:tcPr>
                  <w:tcW w:w="1991" w:type="dxa"/>
                  <w:tcBorders>
                    <w:top w:val="single" w:sz="4" w:space="0" w:color="auto"/>
                    <w:left w:val="single" w:sz="4" w:space="0" w:color="auto"/>
                    <w:bottom w:val="single" w:sz="4" w:space="0" w:color="auto"/>
                    <w:right w:val="single" w:sz="4" w:space="0" w:color="auto"/>
                  </w:tcBorders>
                </w:tcPr>
                <w:p w14:paraId="46652C33"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325D7041"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holestatski ili citolitički hepatitis (veoma rijetko sa fatalnim ishodom), povećanje enzima jetre i/ili konjugovanog bilirubina, kalkulozni holecistitis zbog hidrohlortiazida</w:t>
                  </w:r>
                </w:p>
              </w:tc>
              <w:tc>
                <w:tcPr>
                  <w:tcW w:w="1252" w:type="dxa"/>
                  <w:tcBorders>
                    <w:top w:val="single" w:sz="4" w:space="0" w:color="auto"/>
                    <w:left w:val="single" w:sz="4" w:space="0" w:color="auto"/>
                    <w:bottom w:val="single" w:sz="4" w:space="0" w:color="auto"/>
                    <w:right w:val="single" w:sz="4" w:space="0" w:color="auto"/>
                  </w:tcBorders>
                </w:tcPr>
                <w:p w14:paraId="45A82B47"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5F912F70"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 xml:space="preserve">akutna insuficijencija jetre, holestatska žutica, </w:t>
                  </w:r>
                </w:p>
                <w:p w14:paraId="5FD5C410"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hepatocelularno oštećenje</w:t>
                  </w:r>
                </w:p>
              </w:tc>
            </w:tr>
            <w:tr w:rsidR="005829BA" w:rsidRPr="00C765E8" w14:paraId="08EE2019" w14:textId="77777777" w:rsidTr="0081791C">
              <w:tc>
                <w:tcPr>
                  <w:tcW w:w="1991" w:type="dxa"/>
                  <w:tcBorders>
                    <w:top w:val="single" w:sz="4" w:space="0" w:color="auto"/>
                    <w:left w:val="single" w:sz="4" w:space="0" w:color="auto"/>
                    <w:bottom w:val="single" w:sz="4" w:space="0" w:color="auto"/>
                    <w:right w:val="single" w:sz="4" w:space="0" w:color="auto"/>
                  </w:tcBorders>
                </w:tcPr>
                <w:p w14:paraId="7FB9FDA8"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Poremećaji  kože i potkožnog tkiva</w:t>
                  </w:r>
                </w:p>
                <w:p w14:paraId="1D450693" w14:textId="77777777" w:rsidR="005829BA" w:rsidRPr="00C765E8" w:rsidRDefault="005829BA" w:rsidP="0081791C">
                  <w:pPr>
                    <w:tabs>
                      <w:tab w:val="left" w:pos="284"/>
                      <w:tab w:val="center" w:pos="4320"/>
                      <w:tab w:val="right" w:pos="8640"/>
                    </w:tabs>
                    <w:rPr>
                      <w:szCs w:val="22"/>
                      <w:lang w:val="sr-Latn-ME"/>
                    </w:rPr>
                  </w:pPr>
                </w:p>
                <w:p w14:paraId="7C1A08A5" w14:textId="77777777" w:rsidR="005829BA" w:rsidRPr="00C765E8" w:rsidRDefault="005829BA" w:rsidP="0081791C">
                  <w:pPr>
                    <w:tabs>
                      <w:tab w:val="left" w:pos="284"/>
                      <w:tab w:val="center" w:pos="4320"/>
                      <w:tab w:val="right" w:pos="8640"/>
                    </w:tabs>
                    <w:rPr>
                      <w:szCs w:val="22"/>
                      <w:lang w:val="sr-Latn-ME"/>
                    </w:rPr>
                  </w:pPr>
                </w:p>
                <w:p w14:paraId="0DCA9A94" w14:textId="77777777" w:rsidR="005829BA" w:rsidRPr="00C765E8" w:rsidRDefault="005829BA" w:rsidP="0081791C">
                  <w:pPr>
                    <w:tabs>
                      <w:tab w:val="left" w:pos="284"/>
                      <w:tab w:val="center" w:pos="4320"/>
                      <w:tab w:val="right" w:pos="8640"/>
                    </w:tabs>
                    <w:rPr>
                      <w:szCs w:val="22"/>
                      <w:lang w:val="sr-Latn-ME"/>
                    </w:rPr>
                  </w:pPr>
                </w:p>
                <w:p w14:paraId="3098E454" w14:textId="77777777" w:rsidR="005829BA" w:rsidRPr="00C765E8" w:rsidRDefault="005829BA" w:rsidP="0081791C">
                  <w:pPr>
                    <w:tabs>
                      <w:tab w:val="left" w:pos="284"/>
                      <w:tab w:val="center" w:pos="4320"/>
                      <w:tab w:val="right" w:pos="8640"/>
                    </w:tabs>
                    <w:rPr>
                      <w:szCs w:val="22"/>
                      <w:lang w:val="sr-Latn-ME"/>
                    </w:rPr>
                  </w:pPr>
                </w:p>
                <w:p w14:paraId="747C25B5" w14:textId="77777777" w:rsidR="005829BA" w:rsidRPr="00C765E8" w:rsidRDefault="005829BA" w:rsidP="0081791C">
                  <w:pPr>
                    <w:tabs>
                      <w:tab w:val="left" w:pos="284"/>
                      <w:tab w:val="center" w:pos="4320"/>
                      <w:tab w:val="right" w:pos="8640"/>
                    </w:tabs>
                    <w:rPr>
                      <w:szCs w:val="22"/>
                      <w:lang w:val="sr-Latn-ME"/>
                    </w:rPr>
                  </w:pPr>
                </w:p>
                <w:p w14:paraId="59BF7DA0" w14:textId="77777777" w:rsidR="005829BA" w:rsidRPr="00C765E8" w:rsidRDefault="005829BA" w:rsidP="0081791C">
                  <w:pPr>
                    <w:tabs>
                      <w:tab w:val="left" w:pos="284"/>
                      <w:tab w:val="center" w:pos="4320"/>
                      <w:tab w:val="right" w:pos="8640"/>
                    </w:tabs>
                    <w:rPr>
                      <w:szCs w:val="22"/>
                      <w:lang w:val="sr-Latn-ME"/>
                    </w:rPr>
                  </w:pPr>
                </w:p>
                <w:p w14:paraId="22433A1E" w14:textId="77777777" w:rsidR="005829BA" w:rsidRPr="00C765E8" w:rsidRDefault="005829BA" w:rsidP="0081791C">
                  <w:pPr>
                    <w:tabs>
                      <w:tab w:val="left" w:pos="284"/>
                      <w:tab w:val="center" w:pos="4320"/>
                      <w:tab w:val="right" w:pos="8640"/>
                    </w:tabs>
                    <w:rPr>
                      <w:szCs w:val="22"/>
                      <w:lang w:val="sr-Latn-ME"/>
                    </w:rPr>
                  </w:pPr>
                </w:p>
                <w:p w14:paraId="08196652" w14:textId="77777777" w:rsidR="005829BA" w:rsidRPr="00C765E8" w:rsidRDefault="005829BA" w:rsidP="0081791C">
                  <w:pPr>
                    <w:tabs>
                      <w:tab w:val="left" w:pos="284"/>
                      <w:tab w:val="center" w:pos="4320"/>
                      <w:tab w:val="right" w:pos="8640"/>
                    </w:tabs>
                    <w:rPr>
                      <w:szCs w:val="22"/>
                      <w:lang w:val="sr-Latn-ME"/>
                    </w:rPr>
                  </w:pPr>
                </w:p>
                <w:p w14:paraId="51770DF6" w14:textId="77777777" w:rsidR="005829BA" w:rsidRPr="00C765E8" w:rsidRDefault="005829BA" w:rsidP="0081791C">
                  <w:pPr>
                    <w:tabs>
                      <w:tab w:val="left" w:pos="284"/>
                      <w:tab w:val="center" w:pos="4320"/>
                      <w:tab w:val="right" w:pos="8640"/>
                    </w:tabs>
                    <w:rPr>
                      <w:szCs w:val="22"/>
                      <w:lang w:val="sr-Latn-ME"/>
                    </w:rPr>
                  </w:pPr>
                </w:p>
                <w:p w14:paraId="5F5F7CB8" w14:textId="77777777" w:rsidR="005829BA" w:rsidRPr="00C765E8" w:rsidRDefault="005829BA" w:rsidP="0081791C">
                  <w:pPr>
                    <w:tabs>
                      <w:tab w:val="left" w:pos="284"/>
                      <w:tab w:val="center" w:pos="4320"/>
                      <w:tab w:val="right" w:pos="8640"/>
                    </w:tabs>
                    <w:rPr>
                      <w:szCs w:val="22"/>
                      <w:lang w:val="sr-Latn-ME"/>
                    </w:rPr>
                  </w:pPr>
                </w:p>
                <w:p w14:paraId="6D407D53" w14:textId="77777777" w:rsidR="005829BA" w:rsidRPr="00C765E8" w:rsidRDefault="005829BA" w:rsidP="0081791C">
                  <w:pPr>
                    <w:tabs>
                      <w:tab w:val="left" w:pos="284"/>
                      <w:tab w:val="center" w:pos="4320"/>
                      <w:tab w:val="right" w:pos="8640"/>
                    </w:tabs>
                    <w:rPr>
                      <w:szCs w:val="22"/>
                      <w:lang w:val="sr-Latn-ME"/>
                    </w:rPr>
                  </w:pPr>
                </w:p>
                <w:p w14:paraId="5E14DB3A" w14:textId="77777777" w:rsidR="005829BA" w:rsidRPr="00C765E8" w:rsidRDefault="005829BA" w:rsidP="0081791C">
                  <w:pPr>
                    <w:tabs>
                      <w:tab w:val="left" w:pos="284"/>
                      <w:tab w:val="center" w:pos="4320"/>
                      <w:tab w:val="right" w:pos="8640"/>
                    </w:tabs>
                    <w:rPr>
                      <w:szCs w:val="22"/>
                      <w:lang w:val="sr-Latn-ME"/>
                    </w:rPr>
                  </w:pPr>
                </w:p>
                <w:p w14:paraId="612B267F" w14:textId="77777777" w:rsidR="005829BA" w:rsidRPr="00C765E8" w:rsidRDefault="005829BA" w:rsidP="0081791C">
                  <w:pPr>
                    <w:tabs>
                      <w:tab w:val="left" w:pos="284"/>
                      <w:tab w:val="center" w:pos="4320"/>
                      <w:tab w:val="right" w:pos="8640"/>
                    </w:tabs>
                    <w:rPr>
                      <w:szCs w:val="22"/>
                      <w:lang w:val="sr-Latn-ME"/>
                    </w:rPr>
                  </w:pPr>
                </w:p>
                <w:p w14:paraId="4F70BB97" w14:textId="77777777" w:rsidR="005829BA" w:rsidRPr="00C765E8" w:rsidRDefault="005829BA" w:rsidP="0081791C">
                  <w:pPr>
                    <w:tabs>
                      <w:tab w:val="left" w:pos="284"/>
                      <w:tab w:val="center" w:pos="4320"/>
                      <w:tab w:val="right" w:pos="8640"/>
                    </w:tabs>
                    <w:rPr>
                      <w:szCs w:val="22"/>
                      <w:lang w:val="sr-Latn-ME"/>
                    </w:rPr>
                  </w:pPr>
                </w:p>
                <w:p w14:paraId="32D96773" w14:textId="77777777" w:rsidR="005829BA" w:rsidRPr="00C765E8" w:rsidRDefault="005829BA" w:rsidP="0081791C">
                  <w:pPr>
                    <w:tabs>
                      <w:tab w:val="left" w:pos="284"/>
                      <w:tab w:val="center" w:pos="4320"/>
                      <w:tab w:val="right" w:pos="8640"/>
                    </w:tabs>
                    <w:rPr>
                      <w:szCs w:val="22"/>
                      <w:lang w:val="sr-Latn-ME"/>
                    </w:rPr>
                  </w:pPr>
                </w:p>
                <w:p w14:paraId="59626737"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2F1E8AEA"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41C3F5FE"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angioedem: veoma rijetko opstrukcija disajnih organa zbog angioedema može imati fatalni ishod; psorijazni dermatitis, hiperhidroza, osip, naročito makulopapulozni, svrab, alopecija</w:t>
                  </w:r>
                </w:p>
                <w:p w14:paraId="15C0F9F3" w14:textId="77777777" w:rsidR="005829BA" w:rsidRPr="00C765E8" w:rsidRDefault="005829BA" w:rsidP="0081791C">
                  <w:pPr>
                    <w:tabs>
                      <w:tab w:val="left" w:pos="284"/>
                      <w:tab w:val="center" w:pos="4320"/>
                      <w:tab w:val="right" w:pos="8640"/>
                    </w:tabs>
                    <w:rPr>
                      <w:szCs w:val="22"/>
                      <w:lang w:val="sr-Latn-ME"/>
                    </w:rPr>
                  </w:pPr>
                </w:p>
                <w:p w14:paraId="2741AF9A" w14:textId="77777777" w:rsidR="005829BA" w:rsidRPr="00C765E8" w:rsidRDefault="005829BA" w:rsidP="0081791C">
                  <w:pPr>
                    <w:tabs>
                      <w:tab w:val="left" w:pos="284"/>
                      <w:tab w:val="center" w:pos="4320"/>
                      <w:tab w:val="right" w:pos="8640"/>
                    </w:tabs>
                    <w:rPr>
                      <w:szCs w:val="22"/>
                      <w:lang w:val="sr-Latn-ME"/>
                    </w:rPr>
                  </w:pPr>
                </w:p>
                <w:p w14:paraId="1DFA75FF" w14:textId="77777777" w:rsidR="005829BA" w:rsidRPr="00C765E8" w:rsidRDefault="005829BA" w:rsidP="0081791C">
                  <w:pPr>
                    <w:tabs>
                      <w:tab w:val="left" w:pos="284"/>
                      <w:tab w:val="center" w:pos="4320"/>
                      <w:tab w:val="right" w:pos="8640"/>
                    </w:tabs>
                    <w:rPr>
                      <w:szCs w:val="22"/>
                      <w:lang w:val="sr-Latn-ME"/>
                    </w:rPr>
                  </w:pPr>
                </w:p>
                <w:p w14:paraId="2C8D8351" w14:textId="77777777" w:rsidR="005829BA" w:rsidRPr="00C765E8" w:rsidRDefault="005829BA" w:rsidP="0081791C">
                  <w:pPr>
                    <w:tabs>
                      <w:tab w:val="left" w:pos="284"/>
                      <w:tab w:val="center" w:pos="4320"/>
                      <w:tab w:val="right" w:pos="8640"/>
                    </w:tabs>
                    <w:rPr>
                      <w:szCs w:val="22"/>
                      <w:lang w:val="sr-Latn-ME"/>
                    </w:rPr>
                  </w:pPr>
                </w:p>
                <w:p w14:paraId="4BF37F6F" w14:textId="77777777" w:rsidR="005829BA" w:rsidRPr="00C765E8" w:rsidRDefault="005829BA" w:rsidP="0081791C">
                  <w:pPr>
                    <w:tabs>
                      <w:tab w:val="left" w:pos="284"/>
                      <w:tab w:val="center" w:pos="4320"/>
                      <w:tab w:val="right" w:pos="8640"/>
                    </w:tabs>
                    <w:rPr>
                      <w:szCs w:val="22"/>
                      <w:lang w:val="sr-Latn-ME"/>
                    </w:rPr>
                  </w:pPr>
                </w:p>
                <w:p w14:paraId="576CAA54" w14:textId="77777777" w:rsidR="005829BA" w:rsidRPr="00C765E8" w:rsidRDefault="005829BA" w:rsidP="0081791C">
                  <w:pPr>
                    <w:tabs>
                      <w:tab w:val="left" w:pos="284"/>
                      <w:tab w:val="center" w:pos="4320"/>
                      <w:tab w:val="right" w:pos="8640"/>
                    </w:tabs>
                    <w:rPr>
                      <w:szCs w:val="22"/>
                      <w:lang w:val="sr-Latn-ME"/>
                    </w:rPr>
                  </w:pPr>
                </w:p>
                <w:p w14:paraId="7ECF2CA8" w14:textId="77777777" w:rsidR="005829BA" w:rsidRPr="00C765E8" w:rsidRDefault="005829BA" w:rsidP="0081791C">
                  <w:pPr>
                    <w:tabs>
                      <w:tab w:val="left" w:pos="284"/>
                      <w:tab w:val="center" w:pos="4320"/>
                      <w:tab w:val="right" w:pos="8640"/>
                    </w:tabs>
                    <w:rPr>
                      <w:szCs w:val="22"/>
                      <w:lang w:val="sr-Latn-ME"/>
                    </w:rPr>
                  </w:pPr>
                </w:p>
                <w:p w14:paraId="6CF1288F" w14:textId="77777777" w:rsidR="005829BA" w:rsidRPr="00C765E8" w:rsidRDefault="005829BA" w:rsidP="0081791C">
                  <w:pPr>
                    <w:tabs>
                      <w:tab w:val="left" w:pos="284"/>
                      <w:tab w:val="center" w:pos="4320"/>
                      <w:tab w:val="right" w:pos="8640"/>
                    </w:tabs>
                    <w:rPr>
                      <w:szCs w:val="22"/>
                      <w:lang w:val="sr-Latn-ME"/>
                    </w:rPr>
                  </w:pPr>
                </w:p>
              </w:tc>
              <w:tc>
                <w:tcPr>
                  <w:tcW w:w="1252" w:type="dxa"/>
                  <w:tcBorders>
                    <w:top w:val="single" w:sz="4" w:space="0" w:color="auto"/>
                    <w:left w:val="single" w:sz="4" w:space="0" w:color="auto"/>
                    <w:bottom w:val="single" w:sz="4" w:space="0" w:color="auto"/>
                    <w:right w:val="single" w:sz="4" w:space="0" w:color="auto"/>
                  </w:tcBorders>
                </w:tcPr>
                <w:p w14:paraId="7AADD5C7"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79EF3FC8"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toksična epidermalna nekroliza, Stevens-Johnson-ov sindrom, eritema multiforme, pemfigus, pogoršanje psorijaze, eksfolijativni dermatitis, reakcije fotosenzitivnosti, oniholiza, pemfigoid ili liheniformni egzantem ili enantem, urtikarija,</w:t>
                  </w:r>
                </w:p>
                <w:p w14:paraId="6A6ECBAC"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sistemski lupus</w:t>
                  </w:r>
                </w:p>
                <w:p w14:paraId="3788749B" w14:textId="77777777" w:rsidR="005829BA" w:rsidRPr="00C765E8" w:rsidRDefault="005829BA" w:rsidP="0081791C">
                  <w:pPr>
                    <w:autoSpaceDE w:val="0"/>
                    <w:autoSpaceDN w:val="0"/>
                    <w:adjustRightInd w:val="0"/>
                    <w:rPr>
                      <w:rFonts w:eastAsia="MS Mincho"/>
                      <w:color w:val="000000"/>
                      <w:szCs w:val="22"/>
                      <w:lang w:val="sr-Latn-ME" w:eastAsia="ja-JP"/>
                    </w:rPr>
                  </w:pPr>
                  <w:r w:rsidRPr="00C765E8">
                    <w:rPr>
                      <w:rFonts w:eastAsia="MS Mincho"/>
                      <w:color w:val="000000"/>
                      <w:szCs w:val="22"/>
                      <w:lang w:val="sr-Latn-ME" w:eastAsia="ja-JP"/>
                    </w:rPr>
                    <w:t>eritematozus zbog hidrohlortiazida</w:t>
                  </w:r>
                </w:p>
              </w:tc>
            </w:tr>
            <w:tr w:rsidR="005829BA" w:rsidRPr="00C765E8" w14:paraId="376E7260" w14:textId="77777777" w:rsidTr="0081791C">
              <w:tc>
                <w:tcPr>
                  <w:tcW w:w="1991" w:type="dxa"/>
                  <w:tcBorders>
                    <w:top w:val="single" w:sz="4" w:space="0" w:color="auto"/>
                    <w:left w:val="single" w:sz="4" w:space="0" w:color="auto"/>
                    <w:bottom w:val="single" w:sz="4" w:space="0" w:color="auto"/>
                    <w:right w:val="single" w:sz="4" w:space="0" w:color="auto"/>
                  </w:tcBorders>
                  <w:hideMark/>
                </w:tcPr>
                <w:p w14:paraId="325224FE" w14:textId="77777777" w:rsidR="005829BA" w:rsidRPr="00C765E8" w:rsidRDefault="005829BA" w:rsidP="0081791C">
                  <w:pPr>
                    <w:tabs>
                      <w:tab w:val="left" w:pos="284"/>
                      <w:tab w:val="center" w:pos="4320"/>
                      <w:tab w:val="right" w:pos="8640"/>
                    </w:tabs>
                    <w:rPr>
                      <w:szCs w:val="22"/>
                      <w:lang w:val="sr-Latn-ME"/>
                    </w:rPr>
                  </w:pPr>
                  <w:r w:rsidRPr="00C765E8">
                    <w:rPr>
                      <w:i/>
                      <w:szCs w:val="22"/>
                      <w:u w:val="single"/>
                      <w:lang w:val="sr-Latn-ME"/>
                    </w:rPr>
                    <w:t>Poremećaji  mišićno-skeletnog i vezivnog tkiva</w:t>
                  </w:r>
                </w:p>
              </w:tc>
              <w:tc>
                <w:tcPr>
                  <w:tcW w:w="1991" w:type="dxa"/>
                  <w:tcBorders>
                    <w:top w:val="single" w:sz="4" w:space="0" w:color="auto"/>
                    <w:left w:val="single" w:sz="4" w:space="0" w:color="auto"/>
                    <w:bottom w:val="single" w:sz="4" w:space="0" w:color="auto"/>
                    <w:right w:val="single" w:sz="4" w:space="0" w:color="auto"/>
                  </w:tcBorders>
                </w:tcPr>
                <w:p w14:paraId="1461E9CF"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hideMark/>
                </w:tcPr>
                <w:p w14:paraId="0B537342"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mialgija</w:t>
                  </w:r>
                </w:p>
              </w:tc>
              <w:tc>
                <w:tcPr>
                  <w:tcW w:w="1252" w:type="dxa"/>
                  <w:tcBorders>
                    <w:top w:val="single" w:sz="4" w:space="0" w:color="auto"/>
                    <w:left w:val="single" w:sz="4" w:space="0" w:color="auto"/>
                    <w:bottom w:val="single" w:sz="4" w:space="0" w:color="auto"/>
                    <w:right w:val="single" w:sz="4" w:space="0" w:color="auto"/>
                  </w:tcBorders>
                </w:tcPr>
                <w:p w14:paraId="1B796247"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1ABBF338"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artralgija, spazam mišića, slabost mišića, ukočenost, tetanija zbog hidrohlortiazida</w:t>
                  </w:r>
                </w:p>
              </w:tc>
            </w:tr>
            <w:tr w:rsidR="005829BA" w:rsidRPr="00C765E8" w14:paraId="59E6DEAE" w14:textId="77777777" w:rsidTr="0081791C">
              <w:tc>
                <w:tcPr>
                  <w:tcW w:w="1991" w:type="dxa"/>
                  <w:tcBorders>
                    <w:top w:val="single" w:sz="4" w:space="0" w:color="auto"/>
                    <w:left w:val="single" w:sz="4" w:space="0" w:color="auto"/>
                    <w:bottom w:val="single" w:sz="4" w:space="0" w:color="auto"/>
                    <w:right w:val="single" w:sz="4" w:space="0" w:color="auto"/>
                  </w:tcBorders>
                </w:tcPr>
                <w:p w14:paraId="2326AE35"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Poremećaji bubrega i urinarnog sistema</w:t>
                  </w:r>
                </w:p>
              </w:tc>
              <w:tc>
                <w:tcPr>
                  <w:tcW w:w="1991" w:type="dxa"/>
                  <w:tcBorders>
                    <w:top w:val="single" w:sz="4" w:space="0" w:color="auto"/>
                    <w:left w:val="single" w:sz="4" w:space="0" w:color="auto"/>
                    <w:bottom w:val="single" w:sz="4" w:space="0" w:color="auto"/>
                    <w:right w:val="single" w:sz="4" w:space="0" w:color="auto"/>
                  </w:tcBorders>
                </w:tcPr>
                <w:p w14:paraId="1DF5FF39"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tcPr>
                <w:p w14:paraId="014CEAA1"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oštećenje bubrega uključujući i akutnu renalnu insuficijenciju, povećano izlučivanje urina, povećan nivo ureje u krvi, povećanje kreatinina</w:t>
                  </w:r>
                </w:p>
              </w:tc>
              <w:tc>
                <w:tcPr>
                  <w:tcW w:w="1252" w:type="dxa"/>
                  <w:tcBorders>
                    <w:top w:val="single" w:sz="4" w:space="0" w:color="auto"/>
                    <w:left w:val="single" w:sz="4" w:space="0" w:color="auto"/>
                    <w:bottom w:val="single" w:sz="4" w:space="0" w:color="auto"/>
                    <w:right w:val="single" w:sz="4" w:space="0" w:color="auto"/>
                  </w:tcBorders>
                </w:tcPr>
                <w:p w14:paraId="7ED1C973"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512A2C00"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pogoršanje postojeće proteinurije, intersticijalni nefritis zbog hidrohlortiazida</w:t>
                  </w:r>
                </w:p>
              </w:tc>
            </w:tr>
            <w:tr w:rsidR="005829BA" w:rsidRPr="00C765E8" w14:paraId="05ED0041" w14:textId="77777777" w:rsidTr="0081791C">
              <w:tc>
                <w:tcPr>
                  <w:tcW w:w="1991" w:type="dxa"/>
                  <w:tcBorders>
                    <w:top w:val="single" w:sz="4" w:space="0" w:color="auto"/>
                    <w:left w:val="single" w:sz="4" w:space="0" w:color="auto"/>
                    <w:bottom w:val="single" w:sz="4" w:space="0" w:color="auto"/>
                    <w:right w:val="single" w:sz="4" w:space="0" w:color="auto"/>
                  </w:tcBorders>
                  <w:hideMark/>
                </w:tcPr>
                <w:p w14:paraId="08F99B85"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Poremećaji reproduktivnog sistema i  dojki</w:t>
                  </w:r>
                </w:p>
              </w:tc>
              <w:tc>
                <w:tcPr>
                  <w:tcW w:w="1991" w:type="dxa"/>
                  <w:tcBorders>
                    <w:top w:val="single" w:sz="4" w:space="0" w:color="auto"/>
                    <w:left w:val="single" w:sz="4" w:space="0" w:color="auto"/>
                    <w:bottom w:val="single" w:sz="4" w:space="0" w:color="auto"/>
                    <w:right w:val="single" w:sz="4" w:space="0" w:color="auto"/>
                  </w:tcBorders>
                </w:tcPr>
                <w:p w14:paraId="6ACFFCC7" w14:textId="77777777" w:rsidR="005829BA" w:rsidRPr="00C765E8" w:rsidRDefault="005829BA" w:rsidP="0081791C">
                  <w:pPr>
                    <w:tabs>
                      <w:tab w:val="left" w:pos="284"/>
                      <w:tab w:val="center" w:pos="4320"/>
                      <w:tab w:val="right" w:pos="8640"/>
                    </w:tabs>
                    <w:rPr>
                      <w:szCs w:val="22"/>
                      <w:lang w:val="sr-Latn-ME"/>
                    </w:rPr>
                  </w:pPr>
                </w:p>
              </w:tc>
              <w:tc>
                <w:tcPr>
                  <w:tcW w:w="1991" w:type="dxa"/>
                  <w:tcBorders>
                    <w:top w:val="single" w:sz="4" w:space="0" w:color="auto"/>
                    <w:left w:val="single" w:sz="4" w:space="0" w:color="auto"/>
                    <w:bottom w:val="single" w:sz="4" w:space="0" w:color="auto"/>
                    <w:right w:val="single" w:sz="4" w:space="0" w:color="auto"/>
                  </w:tcBorders>
                  <w:hideMark/>
                </w:tcPr>
                <w:p w14:paraId="482158BA"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prolazna impotencija</w:t>
                  </w:r>
                </w:p>
              </w:tc>
              <w:tc>
                <w:tcPr>
                  <w:tcW w:w="1252" w:type="dxa"/>
                  <w:tcBorders>
                    <w:top w:val="single" w:sz="4" w:space="0" w:color="auto"/>
                    <w:left w:val="single" w:sz="4" w:space="0" w:color="auto"/>
                    <w:bottom w:val="single" w:sz="4" w:space="0" w:color="auto"/>
                    <w:right w:val="single" w:sz="4" w:space="0" w:color="auto"/>
                  </w:tcBorders>
                </w:tcPr>
                <w:p w14:paraId="4255A9EB"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6B6467BF"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smanjenje libida, ginekomastija</w:t>
                  </w:r>
                </w:p>
              </w:tc>
            </w:tr>
            <w:tr w:rsidR="005829BA" w:rsidRPr="00C765E8" w14:paraId="1C3D6E96" w14:textId="77777777" w:rsidTr="0081791C">
              <w:tc>
                <w:tcPr>
                  <w:tcW w:w="1991" w:type="dxa"/>
                  <w:tcBorders>
                    <w:top w:val="single" w:sz="4" w:space="0" w:color="auto"/>
                    <w:left w:val="single" w:sz="4" w:space="0" w:color="auto"/>
                    <w:bottom w:val="single" w:sz="4" w:space="0" w:color="auto"/>
                    <w:right w:val="single" w:sz="4" w:space="0" w:color="auto"/>
                  </w:tcBorders>
                </w:tcPr>
                <w:p w14:paraId="702F6672" w14:textId="77777777" w:rsidR="005829BA" w:rsidRPr="00C765E8" w:rsidRDefault="005829BA" w:rsidP="0081791C">
                  <w:pPr>
                    <w:tabs>
                      <w:tab w:val="left" w:pos="284"/>
                      <w:tab w:val="center" w:pos="4320"/>
                      <w:tab w:val="right" w:pos="8640"/>
                    </w:tabs>
                    <w:rPr>
                      <w:i/>
                      <w:szCs w:val="22"/>
                      <w:u w:val="single"/>
                      <w:lang w:val="sr-Latn-ME"/>
                    </w:rPr>
                  </w:pPr>
                  <w:r w:rsidRPr="00C765E8">
                    <w:rPr>
                      <w:i/>
                      <w:szCs w:val="22"/>
                      <w:u w:val="single"/>
                      <w:lang w:val="sr-Latn-ME"/>
                    </w:rPr>
                    <w:t>Opšti poremećaji i reakcije na mjestu primjene</w:t>
                  </w:r>
                </w:p>
              </w:tc>
              <w:tc>
                <w:tcPr>
                  <w:tcW w:w="1991" w:type="dxa"/>
                  <w:tcBorders>
                    <w:top w:val="single" w:sz="4" w:space="0" w:color="auto"/>
                    <w:left w:val="single" w:sz="4" w:space="0" w:color="auto"/>
                    <w:bottom w:val="single" w:sz="4" w:space="0" w:color="auto"/>
                    <w:right w:val="single" w:sz="4" w:space="0" w:color="auto"/>
                  </w:tcBorders>
                </w:tcPr>
                <w:p w14:paraId="657A2364"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zamor, astenija</w:t>
                  </w:r>
                </w:p>
              </w:tc>
              <w:tc>
                <w:tcPr>
                  <w:tcW w:w="1991" w:type="dxa"/>
                  <w:tcBorders>
                    <w:top w:val="single" w:sz="4" w:space="0" w:color="auto"/>
                    <w:left w:val="single" w:sz="4" w:space="0" w:color="auto"/>
                    <w:bottom w:val="single" w:sz="4" w:space="0" w:color="auto"/>
                    <w:right w:val="single" w:sz="4" w:space="0" w:color="auto"/>
                  </w:tcBorders>
                </w:tcPr>
                <w:p w14:paraId="19AC9676" w14:textId="77777777" w:rsidR="005829BA" w:rsidRPr="00C765E8" w:rsidRDefault="005829BA" w:rsidP="0081791C">
                  <w:pPr>
                    <w:tabs>
                      <w:tab w:val="left" w:pos="284"/>
                      <w:tab w:val="center" w:pos="4320"/>
                      <w:tab w:val="right" w:pos="8640"/>
                    </w:tabs>
                    <w:rPr>
                      <w:szCs w:val="22"/>
                      <w:lang w:val="sr-Latn-ME"/>
                    </w:rPr>
                  </w:pPr>
                  <w:r w:rsidRPr="00C765E8">
                    <w:rPr>
                      <w:szCs w:val="22"/>
                      <w:lang w:val="sr-Latn-ME"/>
                    </w:rPr>
                    <w:t>bol u grudima, pireksija</w:t>
                  </w:r>
                </w:p>
              </w:tc>
              <w:tc>
                <w:tcPr>
                  <w:tcW w:w="1252" w:type="dxa"/>
                  <w:tcBorders>
                    <w:top w:val="single" w:sz="4" w:space="0" w:color="auto"/>
                    <w:left w:val="single" w:sz="4" w:space="0" w:color="auto"/>
                    <w:bottom w:val="single" w:sz="4" w:space="0" w:color="auto"/>
                    <w:right w:val="single" w:sz="4" w:space="0" w:color="auto"/>
                  </w:tcBorders>
                </w:tcPr>
                <w:p w14:paraId="0D14EC43" w14:textId="77777777" w:rsidR="005829BA" w:rsidRPr="00C765E8" w:rsidRDefault="005829BA" w:rsidP="0081791C">
                  <w:pPr>
                    <w:tabs>
                      <w:tab w:val="left" w:pos="284"/>
                      <w:tab w:val="center" w:pos="4320"/>
                      <w:tab w:val="right" w:pos="8640"/>
                    </w:tabs>
                    <w:rPr>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76B86D13" w14:textId="77777777" w:rsidR="005829BA" w:rsidRPr="00C765E8" w:rsidRDefault="005829BA" w:rsidP="0081791C">
                  <w:pPr>
                    <w:tabs>
                      <w:tab w:val="left" w:pos="284"/>
                      <w:tab w:val="center" w:pos="4320"/>
                      <w:tab w:val="right" w:pos="8640"/>
                    </w:tabs>
                    <w:rPr>
                      <w:szCs w:val="22"/>
                      <w:lang w:val="sr-Latn-ME"/>
                    </w:rPr>
                  </w:pPr>
                </w:p>
              </w:tc>
            </w:tr>
          </w:tbl>
          <w:p w14:paraId="7BC82D8E" w14:textId="77777777" w:rsidR="005829BA" w:rsidRPr="00C765E8" w:rsidRDefault="005829BA" w:rsidP="0081791C">
            <w:pPr>
              <w:tabs>
                <w:tab w:val="left" w:pos="284"/>
                <w:tab w:val="center" w:pos="4320"/>
                <w:tab w:val="right" w:pos="8640"/>
              </w:tabs>
              <w:rPr>
                <w:szCs w:val="22"/>
                <w:lang w:val="sr-Latn-ME"/>
              </w:rPr>
            </w:pPr>
          </w:p>
        </w:tc>
      </w:tr>
      <w:tr w:rsidR="005829BA" w:rsidRPr="00C765E8" w14:paraId="08C58925" w14:textId="77777777" w:rsidTr="0081791C">
        <w:tc>
          <w:tcPr>
            <w:tcW w:w="9180" w:type="dxa"/>
            <w:vAlign w:val="center"/>
            <w:hideMark/>
          </w:tcPr>
          <w:p w14:paraId="19C3D4C0" w14:textId="77777777" w:rsidR="005829BA" w:rsidRPr="00C765E8" w:rsidRDefault="005829BA" w:rsidP="0081791C">
            <w:pPr>
              <w:autoSpaceDE w:val="0"/>
              <w:autoSpaceDN w:val="0"/>
              <w:adjustRightInd w:val="0"/>
              <w:jc w:val="both"/>
              <w:rPr>
                <w:szCs w:val="22"/>
                <w:lang w:val="sr-Latn-ME"/>
              </w:rPr>
            </w:pPr>
            <w:r w:rsidRPr="00C765E8">
              <w:rPr>
                <w:szCs w:val="22"/>
                <w:vertAlign w:val="superscript"/>
                <w:lang w:val="sr-Latn-ME"/>
              </w:rPr>
              <w:lastRenderedPageBreak/>
              <w:t>1</w:t>
            </w:r>
            <w:r w:rsidRPr="00C765E8">
              <w:rPr>
                <w:szCs w:val="22"/>
                <w:lang w:val="sr-Latn-ME"/>
              </w:rPr>
              <w:t xml:space="preserve"> Nemelanomski karcinom kože: Na osnovu dostupnih podataka iz epidemioloških studija, između hidrohlortiazida i nemelanomskog karcinoma kože (NMSC) primijećena je povezanost zavisna od kumulativne doze (vidjeti i djelove 4.4 i 5.1).</w:t>
            </w:r>
          </w:p>
        </w:tc>
      </w:tr>
    </w:tbl>
    <w:p w14:paraId="1D2AF72F" w14:textId="77777777" w:rsidR="005829BA" w:rsidRPr="00C765E8" w:rsidRDefault="005829BA" w:rsidP="005829BA">
      <w:pPr>
        <w:widowControl w:val="0"/>
        <w:autoSpaceDE w:val="0"/>
        <w:autoSpaceDN w:val="0"/>
        <w:adjustRightInd w:val="0"/>
        <w:rPr>
          <w:szCs w:val="22"/>
          <w:u w:val="single"/>
          <w:lang w:val="sr-Latn-ME"/>
        </w:rPr>
      </w:pPr>
    </w:p>
    <w:p w14:paraId="14597608" w14:textId="77777777" w:rsidR="005829BA" w:rsidRPr="00C765E8" w:rsidRDefault="005829BA" w:rsidP="005829BA">
      <w:pPr>
        <w:spacing w:after="200" w:line="276" w:lineRule="auto"/>
        <w:rPr>
          <w:rFonts w:eastAsia="Calibri"/>
          <w:szCs w:val="22"/>
          <w:u w:val="single"/>
          <w:lang w:val="sr-Latn-ME"/>
        </w:rPr>
      </w:pPr>
      <w:r w:rsidRPr="00C765E8">
        <w:rPr>
          <w:rFonts w:eastAsia="Calibri"/>
          <w:szCs w:val="22"/>
          <w:u w:val="single"/>
          <w:lang w:val="sr-Latn-ME"/>
        </w:rPr>
        <w:t>Prijavljivanje sumnji na neželjena dejstva</w:t>
      </w:r>
    </w:p>
    <w:p w14:paraId="7A4EED9C" w14:textId="77777777" w:rsidR="00824B12" w:rsidRPr="00C765E8" w:rsidRDefault="00824B12" w:rsidP="00824B12">
      <w:pPr>
        <w:tabs>
          <w:tab w:val="clear" w:pos="567"/>
        </w:tabs>
        <w:spacing w:after="200" w:line="240" w:lineRule="auto"/>
        <w:jc w:val="both"/>
        <w:rPr>
          <w:rFonts w:eastAsia="Calibri"/>
          <w:szCs w:val="22"/>
          <w:lang w:val="sr-Latn-ME"/>
        </w:rPr>
      </w:pPr>
      <w:r w:rsidRPr="00C765E8">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0FE620C" w14:textId="77777777" w:rsidR="00824B12" w:rsidRPr="00C765E8" w:rsidRDefault="00824B12" w:rsidP="00824B12">
      <w:pPr>
        <w:tabs>
          <w:tab w:val="clear" w:pos="567"/>
        </w:tabs>
        <w:spacing w:line="240" w:lineRule="auto"/>
        <w:jc w:val="both"/>
        <w:rPr>
          <w:rFonts w:eastAsia="Calibri"/>
          <w:szCs w:val="22"/>
          <w:lang w:val="sr-Latn-ME"/>
        </w:rPr>
      </w:pPr>
      <w:r w:rsidRPr="00C765E8">
        <w:rPr>
          <w:rFonts w:eastAsia="Calibri"/>
          <w:szCs w:val="22"/>
          <w:lang w:val="sr-Latn-ME"/>
        </w:rPr>
        <w:t xml:space="preserve">Institut za ljekove i medicinska sredstva </w:t>
      </w:r>
    </w:p>
    <w:p w14:paraId="7A04413F" w14:textId="77777777" w:rsidR="00824B12" w:rsidRPr="00C765E8" w:rsidRDefault="00824B12" w:rsidP="00824B12">
      <w:pPr>
        <w:tabs>
          <w:tab w:val="clear" w:pos="567"/>
        </w:tabs>
        <w:spacing w:line="240" w:lineRule="auto"/>
        <w:jc w:val="both"/>
        <w:rPr>
          <w:rFonts w:eastAsia="Calibri"/>
          <w:szCs w:val="22"/>
          <w:lang w:val="sr-Latn-ME"/>
        </w:rPr>
      </w:pPr>
      <w:r w:rsidRPr="00C765E8">
        <w:rPr>
          <w:rFonts w:eastAsia="Calibri"/>
          <w:szCs w:val="22"/>
          <w:lang w:val="sr-Latn-ME"/>
        </w:rPr>
        <w:t>Odjeljenje za farmakovigilancu</w:t>
      </w:r>
    </w:p>
    <w:p w14:paraId="1047F464" w14:textId="77777777" w:rsidR="00824B12" w:rsidRPr="00C765E8" w:rsidRDefault="00824B12" w:rsidP="00824B12">
      <w:pPr>
        <w:tabs>
          <w:tab w:val="clear" w:pos="567"/>
        </w:tabs>
        <w:spacing w:line="240" w:lineRule="auto"/>
        <w:jc w:val="both"/>
        <w:rPr>
          <w:rFonts w:eastAsia="Calibri"/>
          <w:szCs w:val="22"/>
          <w:lang w:val="sr-Latn-ME"/>
        </w:rPr>
      </w:pPr>
      <w:r w:rsidRPr="00C765E8">
        <w:rPr>
          <w:rFonts w:eastAsia="Calibri"/>
          <w:szCs w:val="22"/>
          <w:lang w:val="sr-Latn-ME"/>
        </w:rPr>
        <w:t>Bulevar Ivana Crnojevića 64a, 81000 Podgorica</w:t>
      </w:r>
    </w:p>
    <w:p w14:paraId="33776663" w14:textId="77777777" w:rsidR="00824B12" w:rsidRPr="00C765E8" w:rsidRDefault="00824B12" w:rsidP="00824B12">
      <w:pPr>
        <w:tabs>
          <w:tab w:val="clear" w:pos="567"/>
        </w:tabs>
        <w:spacing w:line="240" w:lineRule="auto"/>
        <w:rPr>
          <w:rFonts w:eastAsia="Calibri"/>
          <w:szCs w:val="22"/>
          <w:lang w:val="sr-Latn-ME"/>
        </w:rPr>
      </w:pPr>
    </w:p>
    <w:p w14:paraId="069FB770" w14:textId="77777777" w:rsidR="00824B12" w:rsidRPr="00C765E8" w:rsidRDefault="00824B12" w:rsidP="00824B12">
      <w:pPr>
        <w:tabs>
          <w:tab w:val="clear" w:pos="567"/>
        </w:tabs>
        <w:spacing w:line="240" w:lineRule="auto"/>
        <w:jc w:val="both"/>
        <w:rPr>
          <w:rFonts w:eastAsia="Calibri"/>
          <w:szCs w:val="22"/>
          <w:lang w:val="sr-Latn-ME"/>
        </w:rPr>
      </w:pPr>
      <w:r w:rsidRPr="00C765E8">
        <w:rPr>
          <w:rFonts w:eastAsia="Calibri"/>
          <w:szCs w:val="22"/>
          <w:lang w:val="sr-Latn-ME"/>
        </w:rPr>
        <w:t>tel: +382 (0) 20 310 280</w:t>
      </w:r>
    </w:p>
    <w:p w14:paraId="384D0480" w14:textId="77777777" w:rsidR="00824B12" w:rsidRPr="00C765E8" w:rsidRDefault="00824B12" w:rsidP="00824B12">
      <w:pPr>
        <w:tabs>
          <w:tab w:val="clear" w:pos="567"/>
          <w:tab w:val="left" w:pos="6720"/>
        </w:tabs>
        <w:spacing w:line="240" w:lineRule="auto"/>
        <w:jc w:val="both"/>
        <w:rPr>
          <w:rFonts w:eastAsia="Calibri"/>
          <w:szCs w:val="22"/>
          <w:lang w:val="sr-Latn-ME"/>
        </w:rPr>
      </w:pPr>
      <w:r w:rsidRPr="00C765E8">
        <w:rPr>
          <w:rFonts w:eastAsia="Calibri"/>
          <w:szCs w:val="22"/>
          <w:lang w:val="sr-Latn-ME"/>
        </w:rPr>
        <w:t>fax: +382 (0) 20 310 581</w:t>
      </w:r>
      <w:r w:rsidRPr="00C765E8">
        <w:rPr>
          <w:rFonts w:eastAsia="Calibri"/>
          <w:szCs w:val="22"/>
          <w:lang w:val="sr-Latn-ME"/>
        </w:rPr>
        <w:tab/>
      </w:r>
    </w:p>
    <w:p w14:paraId="7DB280E8" w14:textId="77777777" w:rsidR="00824B12" w:rsidRPr="00C765E8" w:rsidRDefault="00FF0E7C" w:rsidP="00824B12">
      <w:pPr>
        <w:tabs>
          <w:tab w:val="clear" w:pos="567"/>
        </w:tabs>
        <w:spacing w:line="240" w:lineRule="auto"/>
        <w:jc w:val="both"/>
        <w:rPr>
          <w:rFonts w:eastAsia="Calibri"/>
          <w:szCs w:val="22"/>
          <w:lang w:val="sr-Latn-ME"/>
        </w:rPr>
      </w:pPr>
      <w:hyperlink r:id="rId7" w:history="1">
        <w:r w:rsidR="00824B12" w:rsidRPr="00C765E8">
          <w:rPr>
            <w:rFonts w:eastAsia="Calibri"/>
            <w:color w:val="0563C1"/>
            <w:szCs w:val="22"/>
            <w:u w:val="single"/>
            <w:lang w:val="sr-Latn-ME"/>
          </w:rPr>
          <w:t>www.cinmed.me</w:t>
        </w:r>
      </w:hyperlink>
    </w:p>
    <w:p w14:paraId="44083F63" w14:textId="77777777" w:rsidR="00824B12" w:rsidRPr="00C765E8" w:rsidRDefault="00FF0E7C" w:rsidP="00824B12">
      <w:pPr>
        <w:tabs>
          <w:tab w:val="clear" w:pos="567"/>
        </w:tabs>
        <w:spacing w:line="240" w:lineRule="auto"/>
        <w:jc w:val="both"/>
        <w:rPr>
          <w:rFonts w:eastAsia="Calibri"/>
          <w:color w:val="0000FF"/>
          <w:szCs w:val="22"/>
          <w:u w:val="single"/>
          <w:lang w:val="sr-Latn-ME"/>
        </w:rPr>
      </w:pPr>
      <w:hyperlink r:id="rId8" w:history="1">
        <w:r w:rsidR="00824B12" w:rsidRPr="00C765E8">
          <w:rPr>
            <w:rFonts w:eastAsia="Calibri"/>
            <w:color w:val="0563C1"/>
            <w:szCs w:val="22"/>
            <w:u w:val="single"/>
            <w:lang w:val="sr-Latn-ME"/>
          </w:rPr>
          <w:t>nezeljenadejstva@cinmed.me</w:t>
        </w:r>
      </w:hyperlink>
    </w:p>
    <w:p w14:paraId="0B74A397" w14:textId="77777777" w:rsidR="00824B12" w:rsidRPr="00C765E8" w:rsidRDefault="00824B12" w:rsidP="00824B12">
      <w:pPr>
        <w:tabs>
          <w:tab w:val="clear" w:pos="567"/>
        </w:tabs>
        <w:spacing w:line="240" w:lineRule="auto"/>
        <w:jc w:val="both"/>
        <w:rPr>
          <w:rFonts w:eastAsia="Calibri"/>
          <w:szCs w:val="22"/>
          <w:lang w:val="sr-Latn-ME"/>
        </w:rPr>
      </w:pPr>
      <w:r w:rsidRPr="00C765E8">
        <w:rPr>
          <w:rFonts w:eastAsia="Calibri"/>
          <w:szCs w:val="22"/>
          <w:lang w:val="sr-Latn-ME"/>
        </w:rPr>
        <w:t>putem IS zdravstvene zaštite</w:t>
      </w:r>
    </w:p>
    <w:p w14:paraId="14B49D8B" w14:textId="77777777" w:rsidR="00824B12" w:rsidRPr="00C765E8" w:rsidRDefault="00824B12" w:rsidP="00824B12">
      <w:pPr>
        <w:tabs>
          <w:tab w:val="clear" w:pos="567"/>
        </w:tabs>
        <w:spacing w:line="240" w:lineRule="auto"/>
        <w:jc w:val="both"/>
        <w:rPr>
          <w:rFonts w:eastAsia="Calibri"/>
          <w:szCs w:val="22"/>
          <w:lang w:val="sr-Latn-ME"/>
        </w:rPr>
      </w:pPr>
      <w:r w:rsidRPr="00C765E8">
        <w:rPr>
          <w:rFonts w:eastAsia="Calibri"/>
          <w:szCs w:val="22"/>
          <w:lang w:val="sr-Latn-ME"/>
        </w:rPr>
        <w:t>QR kod za online prijavu sumnje na neželjeno dejstvo lijeka:</w:t>
      </w:r>
    </w:p>
    <w:p w14:paraId="700C8E1F" w14:textId="77777777" w:rsidR="00824B12" w:rsidRPr="00C765E8" w:rsidRDefault="00824B12" w:rsidP="00824B12">
      <w:pPr>
        <w:tabs>
          <w:tab w:val="clear" w:pos="567"/>
        </w:tabs>
        <w:spacing w:line="240" w:lineRule="auto"/>
        <w:jc w:val="both"/>
        <w:rPr>
          <w:rFonts w:eastAsia="Calibri"/>
          <w:szCs w:val="22"/>
          <w:lang w:val="sr-Latn-ME"/>
        </w:rPr>
      </w:pPr>
    </w:p>
    <w:p w14:paraId="2CB5370B" w14:textId="7E652D8A" w:rsidR="00824B12" w:rsidRPr="00C765E8" w:rsidRDefault="00532621" w:rsidP="00824B12">
      <w:pPr>
        <w:tabs>
          <w:tab w:val="clear" w:pos="567"/>
        </w:tabs>
        <w:spacing w:line="240" w:lineRule="auto"/>
        <w:rPr>
          <w:rFonts w:eastAsia="Calibri"/>
          <w:szCs w:val="22"/>
          <w:lang w:val="sr-Latn-ME"/>
        </w:rPr>
      </w:pPr>
      <w:r w:rsidRPr="00C765E8">
        <w:rPr>
          <w:b/>
          <w:bCs/>
          <w:noProof/>
          <w:szCs w:val="22"/>
          <w:lang w:val="en-US"/>
        </w:rPr>
        <w:drawing>
          <wp:inline distT="0" distB="0" distL="0" distR="0" wp14:anchorId="384A0329" wp14:editId="0A681450">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14BC3DF" w14:textId="77777777" w:rsidR="005829BA" w:rsidRPr="00C765E8" w:rsidRDefault="005829BA" w:rsidP="005829BA">
      <w:pPr>
        <w:widowControl w:val="0"/>
        <w:rPr>
          <w:szCs w:val="22"/>
          <w:lang w:val="sr-Latn-ME"/>
        </w:rPr>
      </w:pPr>
    </w:p>
    <w:p w14:paraId="52A5EE25" w14:textId="77777777" w:rsidR="005829BA" w:rsidRPr="00C765E8" w:rsidRDefault="005829BA" w:rsidP="005829BA">
      <w:pPr>
        <w:widowControl w:val="0"/>
        <w:ind w:left="567" w:hanging="567"/>
        <w:outlineLvl w:val="0"/>
        <w:rPr>
          <w:szCs w:val="22"/>
          <w:lang w:val="sr-Latn-ME"/>
        </w:rPr>
      </w:pPr>
      <w:r w:rsidRPr="00C765E8">
        <w:rPr>
          <w:b/>
          <w:szCs w:val="22"/>
          <w:lang w:val="sr-Latn-ME"/>
        </w:rPr>
        <w:t>4.9</w:t>
      </w:r>
      <w:r w:rsidRPr="00C765E8">
        <w:rPr>
          <w:b/>
          <w:szCs w:val="22"/>
          <w:lang w:val="sr-Latn-ME"/>
        </w:rPr>
        <w:tab/>
        <w:t>Predoziranje</w:t>
      </w:r>
    </w:p>
    <w:p w14:paraId="42ADDAC2" w14:textId="77777777" w:rsidR="005829BA" w:rsidRPr="00C765E8" w:rsidRDefault="005829BA" w:rsidP="005829BA">
      <w:pPr>
        <w:tabs>
          <w:tab w:val="left" w:pos="284"/>
          <w:tab w:val="center" w:pos="4320"/>
          <w:tab w:val="right" w:pos="8640"/>
        </w:tabs>
        <w:spacing w:before="120"/>
        <w:ind w:right="1181"/>
        <w:jc w:val="both"/>
        <w:rPr>
          <w:szCs w:val="22"/>
          <w:u w:val="single"/>
          <w:lang w:val="sr-Latn-ME"/>
        </w:rPr>
      </w:pPr>
      <w:r w:rsidRPr="00C765E8">
        <w:rPr>
          <w:szCs w:val="22"/>
          <w:u w:val="single"/>
          <w:lang w:val="sr-Latn-ME"/>
        </w:rPr>
        <w:t>Simptomi</w:t>
      </w:r>
    </w:p>
    <w:p w14:paraId="22AE1733" w14:textId="77777777" w:rsidR="005829BA" w:rsidRPr="00C765E8" w:rsidRDefault="005829BA" w:rsidP="005829BA">
      <w:pPr>
        <w:tabs>
          <w:tab w:val="left" w:pos="284"/>
          <w:tab w:val="center" w:pos="4320"/>
          <w:tab w:val="right" w:pos="8640"/>
        </w:tabs>
        <w:spacing w:before="120"/>
        <w:ind w:right="-108"/>
        <w:jc w:val="both"/>
        <w:rPr>
          <w:szCs w:val="22"/>
          <w:lang w:val="sr-Latn-ME"/>
        </w:rPr>
      </w:pPr>
      <w:r w:rsidRPr="00C765E8">
        <w:rPr>
          <w:szCs w:val="22"/>
          <w:lang w:val="sr-Latn-ME"/>
        </w:rPr>
        <w:t>Simptomi povezani sa predoziranjem ACE inhibitorima uključuju izraženu perifernu vazodilataciju (sa hipotenzijom i šokom), bradikardiju, poremećaje elektrolita, oštećenje bubrega, aritmiju, poremećaj svijesti uključujući i komu, cerebralne konvulzije, pareze i paralitički ileus.</w:t>
      </w:r>
    </w:p>
    <w:p w14:paraId="0BBCC763" w14:textId="77777777" w:rsidR="005829BA" w:rsidRPr="00C765E8" w:rsidRDefault="005829BA" w:rsidP="005829BA">
      <w:pPr>
        <w:tabs>
          <w:tab w:val="left" w:pos="284"/>
          <w:tab w:val="center" w:pos="4320"/>
          <w:tab w:val="right" w:pos="8640"/>
        </w:tabs>
        <w:ind w:right="-108"/>
        <w:jc w:val="both"/>
        <w:rPr>
          <w:szCs w:val="22"/>
          <w:lang w:val="sr-Latn-ME"/>
        </w:rPr>
      </w:pPr>
      <w:r w:rsidRPr="00C765E8">
        <w:rPr>
          <w:szCs w:val="22"/>
          <w:lang w:val="sr-Latn-ME"/>
        </w:rPr>
        <w:t xml:space="preserve">Kod predisponiranih pacijenata (npr. hiperplazija prostate) predoziranje hidrohlortiazidom može dovesti do akutne urinarne retencije. </w:t>
      </w:r>
    </w:p>
    <w:p w14:paraId="6439DBDB" w14:textId="77777777" w:rsidR="005829BA" w:rsidRPr="00C765E8" w:rsidRDefault="005829BA" w:rsidP="005829BA">
      <w:pPr>
        <w:tabs>
          <w:tab w:val="left" w:pos="284"/>
          <w:tab w:val="center" w:pos="4320"/>
          <w:tab w:val="right" w:pos="8640"/>
        </w:tabs>
        <w:ind w:right="1181"/>
        <w:jc w:val="both"/>
        <w:rPr>
          <w:szCs w:val="22"/>
          <w:lang w:val="sr-Latn-ME"/>
        </w:rPr>
      </w:pPr>
    </w:p>
    <w:p w14:paraId="1AB457EC" w14:textId="77777777" w:rsidR="005829BA" w:rsidRPr="00C765E8" w:rsidRDefault="005829BA" w:rsidP="005829BA">
      <w:pPr>
        <w:tabs>
          <w:tab w:val="left" w:pos="284"/>
          <w:tab w:val="center" w:pos="4320"/>
          <w:tab w:val="right" w:pos="8640"/>
        </w:tabs>
        <w:ind w:right="1181"/>
        <w:jc w:val="both"/>
        <w:rPr>
          <w:szCs w:val="22"/>
          <w:u w:val="single"/>
          <w:lang w:val="sr-Latn-ME"/>
        </w:rPr>
      </w:pPr>
      <w:r w:rsidRPr="00C765E8">
        <w:rPr>
          <w:szCs w:val="22"/>
          <w:u w:val="single"/>
          <w:lang w:val="sr-Latn-ME"/>
        </w:rPr>
        <w:t>Terapija</w:t>
      </w:r>
    </w:p>
    <w:p w14:paraId="139DB9C6" w14:textId="77777777" w:rsidR="005829BA" w:rsidRPr="00C765E8" w:rsidRDefault="005829BA" w:rsidP="005829BA">
      <w:pPr>
        <w:tabs>
          <w:tab w:val="left" w:pos="284"/>
          <w:tab w:val="center" w:pos="4320"/>
          <w:tab w:val="right" w:pos="8640"/>
        </w:tabs>
        <w:ind w:right="-108"/>
        <w:jc w:val="both"/>
        <w:rPr>
          <w:szCs w:val="22"/>
          <w:lang w:val="sr-Latn-ME"/>
        </w:rPr>
      </w:pPr>
      <w:r w:rsidRPr="00C765E8">
        <w:rPr>
          <w:szCs w:val="22"/>
          <w:lang w:val="sr-Latn-ME"/>
        </w:rPr>
        <w:t>Pacijente treba pažljivo pratiti i primijeniti simptomatsku i potpornu terapiju. U mjere spadaju detoksikacija (gastrična lavaža, primjena adsorbenata) i mjere za povratak hemodinamske stabilnosti, uključujući i primjenu alfa 1 adrenergičnih agonista ili primjenu angiotenzina II (angiotenzinamid). Aktivni metabolit ramiprila, ramiprilat, se iz organizma slabo uklanja hemodijalizom.</w:t>
      </w:r>
    </w:p>
    <w:p w14:paraId="24ECADE2" w14:textId="77777777" w:rsidR="005829BA" w:rsidRPr="00C765E8" w:rsidRDefault="005829BA" w:rsidP="005829BA">
      <w:pPr>
        <w:widowControl w:val="0"/>
        <w:rPr>
          <w:szCs w:val="22"/>
          <w:lang w:val="sr-Latn-ME"/>
        </w:rPr>
      </w:pPr>
    </w:p>
    <w:p w14:paraId="26D77F7C" w14:textId="77777777" w:rsidR="005829BA" w:rsidRPr="00C765E8" w:rsidRDefault="005829BA" w:rsidP="005829BA">
      <w:pPr>
        <w:widowControl w:val="0"/>
        <w:rPr>
          <w:szCs w:val="22"/>
          <w:lang w:val="sr-Latn-ME"/>
        </w:rPr>
      </w:pPr>
    </w:p>
    <w:p w14:paraId="34427D5B" w14:textId="77777777" w:rsidR="005829BA" w:rsidRPr="00C765E8" w:rsidRDefault="005829BA" w:rsidP="005829BA">
      <w:pPr>
        <w:widowControl w:val="0"/>
        <w:ind w:left="567" w:hanging="567"/>
        <w:rPr>
          <w:szCs w:val="22"/>
          <w:lang w:val="sr-Latn-ME"/>
        </w:rPr>
      </w:pPr>
      <w:r w:rsidRPr="00C765E8">
        <w:rPr>
          <w:b/>
          <w:szCs w:val="22"/>
          <w:lang w:val="sr-Latn-ME"/>
        </w:rPr>
        <w:t>5.</w:t>
      </w:r>
      <w:r w:rsidRPr="00C765E8">
        <w:rPr>
          <w:b/>
          <w:szCs w:val="22"/>
          <w:lang w:val="sr-Latn-ME"/>
        </w:rPr>
        <w:tab/>
      </w:r>
      <w:r w:rsidRPr="00C765E8">
        <w:rPr>
          <w:b/>
          <w:bCs/>
          <w:szCs w:val="22"/>
          <w:lang w:val="sr-Latn-ME"/>
        </w:rPr>
        <w:t>FARMAKOLOŠKI PODACI</w:t>
      </w:r>
    </w:p>
    <w:p w14:paraId="75CFE692" w14:textId="77777777" w:rsidR="005829BA" w:rsidRPr="00C765E8" w:rsidRDefault="005829BA" w:rsidP="005829BA">
      <w:pPr>
        <w:widowControl w:val="0"/>
        <w:rPr>
          <w:szCs w:val="22"/>
          <w:lang w:val="sr-Latn-ME"/>
        </w:rPr>
      </w:pPr>
    </w:p>
    <w:p w14:paraId="43CD5910" w14:textId="77777777" w:rsidR="005829BA" w:rsidRPr="00C765E8" w:rsidRDefault="005829BA" w:rsidP="005829BA">
      <w:pPr>
        <w:widowControl w:val="0"/>
        <w:ind w:left="567" w:hanging="567"/>
        <w:outlineLvl w:val="0"/>
        <w:rPr>
          <w:szCs w:val="22"/>
          <w:lang w:val="sr-Latn-ME"/>
        </w:rPr>
      </w:pPr>
      <w:r w:rsidRPr="00C765E8">
        <w:rPr>
          <w:b/>
          <w:szCs w:val="22"/>
          <w:lang w:val="sr-Latn-ME"/>
        </w:rPr>
        <w:t>5.1</w:t>
      </w:r>
      <w:r w:rsidRPr="00C765E8">
        <w:rPr>
          <w:b/>
          <w:szCs w:val="22"/>
          <w:lang w:val="sr-Latn-ME"/>
        </w:rPr>
        <w:tab/>
      </w:r>
      <w:r w:rsidRPr="00C765E8">
        <w:rPr>
          <w:b/>
          <w:bCs/>
          <w:szCs w:val="22"/>
          <w:lang w:val="sr-Latn-ME"/>
        </w:rPr>
        <w:t>Farmakodinamski podaci</w:t>
      </w:r>
    </w:p>
    <w:p w14:paraId="37DE958D" w14:textId="77777777" w:rsidR="005829BA" w:rsidRPr="00C765E8" w:rsidRDefault="005829BA" w:rsidP="005829BA">
      <w:pPr>
        <w:widowControl w:val="0"/>
        <w:rPr>
          <w:szCs w:val="22"/>
          <w:lang w:val="sr-Latn-ME"/>
        </w:rPr>
      </w:pPr>
    </w:p>
    <w:p w14:paraId="711C1AC9" w14:textId="5B375736" w:rsidR="005829BA" w:rsidRPr="00C765E8" w:rsidRDefault="005829BA" w:rsidP="005829BA">
      <w:pPr>
        <w:tabs>
          <w:tab w:val="left" w:pos="284"/>
          <w:tab w:val="center" w:pos="4320"/>
          <w:tab w:val="right" w:pos="8640"/>
        </w:tabs>
        <w:rPr>
          <w:szCs w:val="22"/>
          <w:lang w:val="sr-Latn-ME"/>
        </w:rPr>
      </w:pPr>
      <w:r w:rsidRPr="00C765E8">
        <w:rPr>
          <w:szCs w:val="22"/>
          <w:lang w:val="sr-Latn-ME"/>
        </w:rPr>
        <w:t>Farmakoterapijska  grupa:</w:t>
      </w:r>
      <w:r w:rsidR="00824B12" w:rsidRPr="00C765E8">
        <w:rPr>
          <w:szCs w:val="22"/>
          <w:lang w:val="sr-Latn-ME"/>
        </w:rPr>
        <w:t xml:space="preserve"> </w:t>
      </w:r>
      <w:r w:rsidRPr="00C765E8">
        <w:rPr>
          <w:szCs w:val="22"/>
          <w:lang w:val="sr-Latn-ME"/>
        </w:rPr>
        <w:t>ACE inhibitori i diuretici, ramipril i diuretici</w:t>
      </w:r>
    </w:p>
    <w:p w14:paraId="5E3C85AE" w14:textId="77777777" w:rsidR="005829BA" w:rsidRPr="00C765E8" w:rsidRDefault="005829BA" w:rsidP="005829BA">
      <w:pPr>
        <w:rPr>
          <w:szCs w:val="22"/>
          <w:lang w:val="sr-Latn-ME"/>
        </w:rPr>
      </w:pPr>
    </w:p>
    <w:p w14:paraId="52E15D5F" w14:textId="7064D3B7" w:rsidR="005829BA" w:rsidRPr="00C765E8" w:rsidRDefault="005829BA" w:rsidP="005829BA">
      <w:pPr>
        <w:rPr>
          <w:szCs w:val="22"/>
          <w:lang w:val="sr-Latn-ME"/>
        </w:rPr>
      </w:pPr>
      <w:r w:rsidRPr="00C765E8">
        <w:rPr>
          <w:szCs w:val="22"/>
          <w:lang w:val="sr-Latn-ME"/>
        </w:rPr>
        <w:t>ATC kod:</w:t>
      </w:r>
      <w:r w:rsidR="00824B12" w:rsidRPr="00C765E8">
        <w:rPr>
          <w:szCs w:val="22"/>
          <w:lang w:val="sr-Latn-ME"/>
        </w:rPr>
        <w:t xml:space="preserve"> </w:t>
      </w:r>
      <w:r w:rsidRPr="00C765E8">
        <w:rPr>
          <w:szCs w:val="22"/>
          <w:lang w:val="sr-Latn-ME"/>
        </w:rPr>
        <w:t>C09BA05</w:t>
      </w:r>
    </w:p>
    <w:p w14:paraId="2AC7D457" w14:textId="77777777" w:rsidR="005829BA" w:rsidRPr="00C765E8" w:rsidRDefault="005829BA" w:rsidP="005829BA">
      <w:pPr>
        <w:widowControl w:val="0"/>
        <w:autoSpaceDE w:val="0"/>
        <w:autoSpaceDN w:val="0"/>
        <w:adjustRightInd w:val="0"/>
        <w:rPr>
          <w:color w:val="000000"/>
          <w:szCs w:val="22"/>
          <w:lang w:val="sr-Latn-ME"/>
        </w:rPr>
      </w:pPr>
    </w:p>
    <w:tbl>
      <w:tblPr>
        <w:tblW w:w="9436" w:type="dxa"/>
        <w:tblLayout w:type="fixed"/>
        <w:tblLook w:val="04A0" w:firstRow="1" w:lastRow="0" w:firstColumn="1" w:lastColumn="0" w:noHBand="0" w:noVBand="1"/>
      </w:tblPr>
      <w:tblGrid>
        <w:gridCol w:w="9436"/>
      </w:tblGrid>
      <w:tr w:rsidR="005829BA" w:rsidRPr="00C765E8" w14:paraId="5F50A73A" w14:textId="77777777" w:rsidTr="00824B12">
        <w:trPr>
          <w:trHeight w:val="866"/>
        </w:trPr>
        <w:tc>
          <w:tcPr>
            <w:tcW w:w="9436" w:type="dxa"/>
            <w:vAlign w:val="center"/>
            <w:hideMark/>
          </w:tcPr>
          <w:p w14:paraId="4F29C461" w14:textId="77777777" w:rsidR="005829BA" w:rsidRPr="00C765E8" w:rsidRDefault="005829BA" w:rsidP="00D110DE">
            <w:pPr>
              <w:spacing w:before="120" w:after="120"/>
              <w:ind w:left="-107" w:right="1181"/>
              <w:jc w:val="both"/>
              <w:rPr>
                <w:i/>
                <w:iCs/>
                <w:szCs w:val="22"/>
                <w:u w:val="single"/>
                <w:lang w:val="sr-Latn-ME"/>
              </w:rPr>
            </w:pPr>
            <w:r w:rsidRPr="00C765E8">
              <w:rPr>
                <w:i/>
                <w:iCs/>
                <w:szCs w:val="22"/>
                <w:u w:val="single"/>
                <w:lang w:val="sr-Latn-ME"/>
              </w:rPr>
              <w:t>Mehanizam djelovanja:</w:t>
            </w:r>
          </w:p>
          <w:p w14:paraId="105F8E9D" w14:textId="77777777" w:rsidR="005829BA" w:rsidRPr="00C765E8" w:rsidRDefault="005829BA" w:rsidP="00D110DE">
            <w:pPr>
              <w:tabs>
                <w:tab w:val="left" w:pos="284"/>
                <w:tab w:val="center" w:pos="4320"/>
                <w:tab w:val="right" w:pos="8640"/>
              </w:tabs>
              <w:ind w:left="-107" w:right="1181"/>
              <w:jc w:val="both"/>
              <w:rPr>
                <w:b/>
                <w:szCs w:val="22"/>
                <w:lang w:val="sr-Latn-ME"/>
              </w:rPr>
            </w:pPr>
            <w:r w:rsidRPr="00C765E8">
              <w:rPr>
                <w:b/>
                <w:szCs w:val="22"/>
                <w:lang w:val="sr-Latn-ME"/>
              </w:rPr>
              <w:t>Ramipril</w:t>
            </w:r>
          </w:p>
          <w:p w14:paraId="3CEEDA8D" w14:textId="77777777" w:rsidR="005829BA" w:rsidRPr="00C765E8" w:rsidRDefault="005829BA" w:rsidP="00D110DE">
            <w:pPr>
              <w:spacing w:before="120"/>
              <w:ind w:left="-107" w:right="-108"/>
              <w:jc w:val="both"/>
              <w:rPr>
                <w:szCs w:val="22"/>
                <w:lang w:val="sr-Latn-ME"/>
              </w:rPr>
            </w:pPr>
            <w:r w:rsidRPr="00C765E8">
              <w:rPr>
                <w:szCs w:val="22"/>
                <w:lang w:val="sr-Latn-ME"/>
              </w:rPr>
              <w:lastRenderedPageBreak/>
              <w:t>Ramiprilat, aktivni metabolit prolijeka ramiprila, inhibiše enzim dipeptidilkarboksipeptidazu I (sinonimi: angiotenzin-konvertujući enzim (ACE); kininaza II). U plazmi i tkivu ovaj enzim katalizuje konverziju angiotenzina I u aktivnu vazokonstriktornu supstancu angiotenzin II, a isto tako i  razgradnju aktivnog vazodilatatora bradikinina. Smanjenje stvaranja angiotenzina II i inhibicija razgradnje bradikinina dovodi do vazodilatacije.</w:t>
            </w:r>
          </w:p>
          <w:p w14:paraId="324331EF" w14:textId="77777777" w:rsidR="005829BA" w:rsidRPr="00C765E8" w:rsidRDefault="005829BA" w:rsidP="00D110DE">
            <w:pPr>
              <w:ind w:left="-107" w:right="-108"/>
              <w:jc w:val="both"/>
              <w:rPr>
                <w:szCs w:val="22"/>
                <w:lang w:val="sr-Latn-ME"/>
              </w:rPr>
            </w:pPr>
            <w:r w:rsidRPr="00C765E8">
              <w:rPr>
                <w:szCs w:val="22"/>
                <w:lang w:val="sr-Latn-ME"/>
              </w:rPr>
              <w:t>S obzirom da angiotenzin II takođe stimuliše oslobađanje aldosterona, ramiprilat izaziva smanjenje izlučivanja aldosterona. Prosječan odgovor na monoterapiju ACE inhibitorom je manji kod (Afro-Karipskih) hipertenzivnih pacijenata crne rase (uobičajeno hipertenzivna populacija sa sniženim reninom) nego kod pacijenata koji su pripadnici drugih rasa.</w:t>
            </w:r>
          </w:p>
          <w:p w14:paraId="56DF6814" w14:textId="77777777" w:rsidR="005829BA" w:rsidRPr="00C765E8" w:rsidRDefault="005829BA" w:rsidP="00D110DE">
            <w:pPr>
              <w:tabs>
                <w:tab w:val="left" w:pos="284"/>
                <w:tab w:val="center" w:pos="4320"/>
                <w:tab w:val="right" w:pos="8640"/>
              </w:tabs>
              <w:spacing w:before="120" w:after="120"/>
              <w:ind w:left="-107" w:right="-108"/>
              <w:jc w:val="both"/>
              <w:rPr>
                <w:b/>
                <w:szCs w:val="22"/>
                <w:lang w:val="sr-Latn-ME"/>
              </w:rPr>
            </w:pPr>
            <w:r w:rsidRPr="00C765E8">
              <w:rPr>
                <w:b/>
                <w:szCs w:val="22"/>
                <w:lang w:val="sr-Latn-ME"/>
              </w:rPr>
              <w:t>Hidrohlortiazid</w:t>
            </w:r>
          </w:p>
          <w:p w14:paraId="53A8A154" w14:textId="77777777" w:rsidR="005829BA" w:rsidRPr="00C765E8" w:rsidRDefault="005829BA" w:rsidP="00D110DE">
            <w:pPr>
              <w:tabs>
                <w:tab w:val="left" w:pos="284"/>
                <w:tab w:val="center" w:pos="4320"/>
                <w:tab w:val="right" w:pos="8640"/>
              </w:tabs>
              <w:ind w:left="-107" w:right="-108"/>
              <w:jc w:val="both"/>
              <w:rPr>
                <w:szCs w:val="22"/>
                <w:lang w:val="sr-Latn-ME"/>
              </w:rPr>
            </w:pPr>
            <w:r w:rsidRPr="00C765E8">
              <w:rPr>
                <w:szCs w:val="22"/>
                <w:lang w:val="sr-Latn-ME"/>
              </w:rPr>
              <w:t>Hidrohlortiazid je tiazidni diuretik. Mehanizam antihipertenzivnog djelovanja tiazidnih diuretika nije u potpunosti poznat. Oni inhibiraju reapsorpciju natrijuma i hlorida u distalnim tubulima. Povećano izlučivanje ovih jona je udruženo sa povećanim izlučivanjem urina (zbog osmotskog vezivanja vode). Povećano je izlučivanje kalijuma i magnezijuma, dok je izlučivanje mokraćne kiseline smanjeno. Moguć antihipertenzivni mehanizam hidrohlortiazida je promjena ravnoteže natrijuma, smanjenje ekstracelularne tečnosti i volumena plazme, promjene u renalnom vaskularnom otporu i smanjen odgovor na noradrenalin i angiotenzin II.</w:t>
            </w:r>
          </w:p>
          <w:p w14:paraId="0741FA19" w14:textId="77777777" w:rsidR="005829BA" w:rsidRPr="00C765E8" w:rsidRDefault="005829BA" w:rsidP="00D110DE">
            <w:pPr>
              <w:spacing w:before="120"/>
              <w:ind w:left="-107" w:right="-108"/>
              <w:jc w:val="both"/>
              <w:rPr>
                <w:i/>
                <w:szCs w:val="22"/>
                <w:u w:val="single"/>
                <w:lang w:val="sr-Latn-ME"/>
              </w:rPr>
            </w:pPr>
            <w:r w:rsidRPr="00C765E8">
              <w:rPr>
                <w:i/>
                <w:szCs w:val="22"/>
                <w:u w:val="single"/>
                <w:lang w:val="sr-Latn-ME"/>
              </w:rPr>
              <w:t xml:space="preserve">Farmakodinamski efekti: </w:t>
            </w:r>
          </w:p>
          <w:p w14:paraId="092437C0" w14:textId="77777777" w:rsidR="005829BA" w:rsidRPr="00C765E8" w:rsidRDefault="005829BA" w:rsidP="00D110DE">
            <w:pPr>
              <w:spacing w:before="120" w:after="120"/>
              <w:ind w:left="-107" w:right="-108"/>
              <w:jc w:val="both"/>
              <w:rPr>
                <w:b/>
                <w:szCs w:val="22"/>
                <w:lang w:val="sr-Latn-ME"/>
              </w:rPr>
            </w:pPr>
            <w:r w:rsidRPr="00C765E8">
              <w:rPr>
                <w:b/>
                <w:szCs w:val="22"/>
                <w:lang w:val="sr-Latn-ME"/>
              </w:rPr>
              <w:t>Ramipril</w:t>
            </w:r>
          </w:p>
          <w:p w14:paraId="4D7B69BC" w14:textId="77777777" w:rsidR="005829BA" w:rsidRPr="00C765E8" w:rsidRDefault="005829BA" w:rsidP="00D110DE">
            <w:pPr>
              <w:tabs>
                <w:tab w:val="left" w:pos="284"/>
                <w:tab w:val="center" w:pos="4320"/>
                <w:tab w:val="right" w:pos="8640"/>
              </w:tabs>
              <w:ind w:left="-107" w:right="-108"/>
              <w:jc w:val="both"/>
              <w:rPr>
                <w:szCs w:val="22"/>
                <w:lang w:val="sr-Latn-ME"/>
              </w:rPr>
            </w:pPr>
            <w:r w:rsidRPr="00C765E8">
              <w:rPr>
                <w:szCs w:val="22"/>
                <w:lang w:val="sr-Latn-ME"/>
              </w:rPr>
              <w:t xml:space="preserve">Primjena ramiprila izaziva značajno smanjenje perifernog arterijskog otpora. Uopšteno, ne postoje velike promjene u protoku plazme kroz bubrege i brzini glomeluralne filtracije. Primjena ramiprila kod pacijenata sa hipertenzijom vodi smanjenju krvnog pritiska u ležećem i stojećem položaju, bez kompenzatornog povećanja brzine srčanih otkucaja. Antihipertenzivno dejstvo je vidljivo za jedan do dva sata nakon uzimanja lijeka; maksimalni efekat pojedinačne doze se javlja 3 - 6 sati poslije uzimanja lijeka. Antihipertenzivno dejstvo obično traje 24 sata. Maksimalni antihipertenzivni efekat je obično vidljiv poslije 3 do 4 nedjelje kontinuiranog liječenja ramiprilom. Pokazano je da se antihipertenzivno dejstvo održava tokom dugotrajne dvogodišnje terapije. </w:t>
            </w:r>
          </w:p>
          <w:p w14:paraId="129438DA" w14:textId="77777777" w:rsidR="005829BA" w:rsidRPr="00C765E8" w:rsidRDefault="005829BA" w:rsidP="00D110DE">
            <w:pPr>
              <w:tabs>
                <w:tab w:val="left" w:pos="284"/>
                <w:tab w:val="center" w:pos="4320"/>
                <w:tab w:val="right" w:pos="8640"/>
              </w:tabs>
              <w:ind w:left="-107" w:right="-108"/>
              <w:rPr>
                <w:szCs w:val="22"/>
                <w:lang w:val="sr-Latn-ME"/>
              </w:rPr>
            </w:pPr>
            <w:r w:rsidRPr="00C765E8">
              <w:rPr>
                <w:szCs w:val="22"/>
                <w:lang w:val="sr-Latn-ME"/>
              </w:rPr>
              <w:t>Nagli prestanak uzimanja ramiprila ne dovodi do brzog i prekomjernog skoka krvnog pritiska.</w:t>
            </w:r>
          </w:p>
          <w:p w14:paraId="63808FCC" w14:textId="77777777" w:rsidR="005829BA" w:rsidRPr="00C765E8" w:rsidRDefault="005829BA" w:rsidP="00D110DE">
            <w:pPr>
              <w:tabs>
                <w:tab w:val="left" w:pos="284"/>
                <w:tab w:val="center" w:pos="4320"/>
                <w:tab w:val="right" w:pos="8640"/>
                <w:tab w:val="left" w:pos="9078"/>
              </w:tabs>
              <w:ind w:left="-107" w:right="-108"/>
              <w:jc w:val="both"/>
              <w:rPr>
                <w:szCs w:val="22"/>
                <w:lang w:val="sr-Latn-ME"/>
              </w:rPr>
            </w:pPr>
          </w:p>
          <w:p w14:paraId="56198348" w14:textId="77777777" w:rsidR="005829BA" w:rsidRPr="00C765E8" w:rsidRDefault="005829BA" w:rsidP="00D110DE">
            <w:pPr>
              <w:tabs>
                <w:tab w:val="left" w:pos="284"/>
                <w:tab w:val="center" w:pos="4320"/>
                <w:tab w:val="right" w:pos="8640"/>
              </w:tabs>
              <w:spacing w:before="120" w:after="120"/>
              <w:ind w:left="-107" w:right="-108"/>
              <w:jc w:val="both"/>
              <w:rPr>
                <w:b/>
                <w:szCs w:val="22"/>
                <w:lang w:val="sr-Latn-ME"/>
              </w:rPr>
            </w:pPr>
            <w:r w:rsidRPr="00C765E8">
              <w:rPr>
                <w:b/>
                <w:szCs w:val="22"/>
                <w:lang w:val="sr-Latn-ME"/>
              </w:rPr>
              <w:t>Hidrohlortiazid</w:t>
            </w:r>
          </w:p>
          <w:p w14:paraId="2BCE5539" w14:textId="77777777" w:rsidR="005829BA" w:rsidRPr="00C765E8" w:rsidRDefault="005829BA" w:rsidP="00D110DE">
            <w:pPr>
              <w:tabs>
                <w:tab w:val="left" w:pos="284"/>
                <w:tab w:val="center" w:pos="4320"/>
                <w:tab w:val="right" w:pos="8640"/>
              </w:tabs>
              <w:ind w:left="-107" w:right="-108"/>
              <w:jc w:val="both"/>
              <w:rPr>
                <w:szCs w:val="22"/>
                <w:lang w:val="sr-Latn-ME"/>
              </w:rPr>
            </w:pPr>
            <w:r w:rsidRPr="00C765E8">
              <w:rPr>
                <w:szCs w:val="22"/>
                <w:lang w:val="sr-Latn-ME"/>
              </w:rPr>
              <w:t xml:space="preserve">Poslije primjene hidrohlortiazida diureza počinje za dva sata, najviše vrijednosti se postižu nakon 4 sata i traju 6 do 12 sati. </w:t>
            </w:r>
          </w:p>
          <w:p w14:paraId="25A82D0C" w14:textId="77777777" w:rsidR="005829BA" w:rsidRPr="00C765E8" w:rsidRDefault="005829BA" w:rsidP="00D110DE">
            <w:pPr>
              <w:tabs>
                <w:tab w:val="left" w:pos="284"/>
                <w:tab w:val="center" w:pos="4320"/>
                <w:tab w:val="right" w:pos="8640"/>
              </w:tabs>
              <w:ind w:left="-107" w:right="-108"/>
              <w:jc w:val="both"/>
              <w:rPr>
                <w:szCs w:val="22"/>
                <w:lang w:val="sr-Latn-ME"/>
              </w:rPr>
            </w:pPr>
            <w:r w:rsidRPr="00C765E8">
              <w:rPr>
                <w:szCs w:val="22"/>
                <w:lang w:val="sr-Latn-ME"/>
              </w:rPr>
              <w:t>Antihipertenzivni efekat se vidi nakon 3 do 4 dana i traje nedjelju nakon prekida terapije.</w:t>
            </w:r>
          </w:p>
          <w:p w14:paraId="3FD4E7D2" w14:textId="77777777" w:rsidR="005829BA" w:rsidRPr="00C765E8" w:rsidRDefault="005829BA" w:rsidP="00D110DE">
            <w:pPr>
              <w:tabs>
                <w:tab w:val="left" w:pos="284"/>
                <w:tab w:val="center" w:pos="4320"/>
                <w:tab w:val="right" w:pos="8640"/>
              </w:tabs>
              <w:ind w:left="-107" w:right="-108"/>
              <w:jc w:val="both"/>
              <w:rPr>
                <w:szCs w:val="22"/>
                <w:lang w:val="sr-Latn-ME"/>
              </w:rPr>
            </w:pPr>
            <w:r w:rsidRPr="00C765E8">
              <w:rPr>
                <w:szCs w:val="22"/>
                <w:lang w:val="sr-Latn-ME"/>
              </w:rPr>
              <w:t>Smanjenje krvnog pritiska je udruženo s malim porastom frakcije filtracije, renalnim vaskularnim otporom i aktivnošću renina u plazmi.</w:t>
            </w:r>
          </w:p>
          <w:p w14:paraId="65CE418C" w14:textId="77777777" w:rsidR="005829BA" w:rsidRPr="00C765E8" w:rsidRDefault="005829BA" w:rsidP="0081791C">
            <w:pPr>
              <w:tabs>
                <w:tab w:val="left" w:pos="284"/>
                <w:tab w:val="center" w:pos="4320"/>
                <w:tab w:val="right" w:pos="8640"/>
              </w:tabs>
              <w:rPr>
                <w:szCs w:val="22"/>
                <w:lang w:val="sr-Latn-ME"/>
              </w:rPr>
            </w:pPr>
          </w:p>
          <w:p w14:paraId="34B58508" w14:textId="77777777" w:rsidR="005829BA" w:rsidRPr="00C765E8" w:rsidRDefault="005829BA" w:rsidP="00D110DE">
            <w:pPr>
              <w:spacing w:before="120"/>
              <w:ind w:left="-107"/>
              <w:rPr>
                <w:i/>
                <w:szCs w:val="22"/>
                <w:u w:val="single"/>
                <w:lang w:val="sr-Latn-ME"/>
              </w:rPr>
            </w:pPr>
            <w:r w:rsidRPr="00C765E8">
              <w:rPr>
                <w:i/>
                <w:szCs w:val="22"/>
                <w:u w:val="single"/>
                <w:lang w:val="sr-Latn-ME"/>
              </w:rPr>
              <w:t>Klinička efikasnost i bezbjednost:</w:t>
            </w:r>
          </w:p>
          <w:p w14:paraId="32BD5056" w14:textId="77777777" w:rsidR="005829BA" w:rsidRPr="00C765E8" w:rsidRDefault="005829BA" w:rsidP="00D110DE">
            <w:pPr>
              <w:tabs>
                <w:tab w:val="left" w:pos="284"/>
                <w:tab w:val="center" w:pos="4320"/>
                <w:tab w:val="right" w:pos="8640"/>
              </w:tabs>
              <w:spacing w:before="120" w:after="120"/>
              <w:ind w:left="-107" w:right="1181"/>
              <w:jc w:val="both"/>
              <w:rPr>
                <w:b/>
                <w:szCs w:val="22"/>
                <w:lang w:val="sr-Latn-ME"/>
              </w:rPr>
            </w:pPr>
            <w:r w:rsidRPr="00C765E8">
              <w:rPr>
                <w:b/>
                <w:szCs w:val="22"/>
                <w:lang w:val="sr-Latn-ME"/>
              </w:rPr>
              <w:t>Istovremena primjena ramiprila i hidrohlortiazida</w:t>
            </w:r>
          </w:p>
          <w:p w14:paraId="23BFB136" w14:textId="27222229" w:rsidR="005829BA" w:rsidRPr="00C765E8" w:rsidRDefault="005829BA" w:rsidP="00D110DE">
            <w:pPr>
              <w:tabs>
                <w:tab w:val="left" w:pos="284"/>
                <w:tab w:val="center" w:pos="4320"/>
                <w:tab w:val="right" w:pos="8640"/>
              </w:tabs>
              <w:spacing w:after="120"/>
              <w:ind w:left="-107" w:right="-108"/>
              <w:jc w:val="both"/>
              <w:rPr>
                <w:szCs w:val="22"/>
                <w:lang w:val="sr-Latn-ME"/>
              </w:rPr>
            </w:pPr>
            <w:r w:rsidRPr="00C765E8">
              <w:rPr>
                <w:szCs w:val="22"/>
                <w:lang w:val="sr-Latn-ME"/>
              </w:rPr>
              <w:t xml:space="preserve">U kliničkim studijama, ova kombinacija je omogućila veću redukciju krvnog pritiska nego pri primjeni svakog od aktivnih sastojaka samostalno. Blokadom renin-angiotenzin-aldosteron sistema, primjena ramiprila uz hidrohlortiazid omogućava smanjenje gubitka </w:t>
            </w:r>
            <w:r w:rsidR="00ED6EBD" w:rsidRPr="00C765E8">
              <w:rPr>
                <w:szCs w:val="22"/>
                <w:lang w:val="sr-Latn-ME"/>
              </w:rPr>
              <w:t xml:space="preserve">kalijuma </w:t>
            </w:r>
            <w:r w:rsidRPr="00C765E8">
              <w:rPr>
                <w:szCs w:val="22"/>
                <w:lang w:val="sr-Latn-ME"/>
              </w:rPr>
              <w:t>izazvanog ovim diuretikom. Kombinacija ACE inhibitora sa tiazidnim diuretikom ima sinergistički efekat i istovremeno smanjuje rizik od hipokalijemije koju može izazvati sama upotreba diuretika.</w:t>
            </w:r>
            <w:r w:rsidR="000D1E70" w:rsidRPr="00C765E8">
              <w:rPr>
                <w:szCs w:val="22"/>
                <w:lang w:val="sr-Latn-ME"/>
              </w:rPr>
              <w:t xml:space="preserve">  </w:t>
            </w:r>
          </w:p>
          <w:p w14:paraId="15853FBA" w14:textId="77777777" w:rsidR="005829BA" w:rsidRPr="00C765E8" w:rsidRDefault="005829BA" w:rsidP="00D110DE">
            <w:pPr>
              <w:tabs>
                <w:tab w:val="left" w:pos="8964"/>
              </w:tabs>
              <w:spacing w:before="100" w:beforeAutospacing="1" w:after="75"/>
              <w:ind w:left="-107"/>
              <w:rPr>
                <w:szCs w:val="22"/>
                <w:lang w:val="sr-Latn-ME"/>
              </w:rPr>
            </w:pPr>
            <w:r w:rsidRPr="00C765E8">
              <w:rPr>
                <w:b/>
                <w:szCs w:val="22"/>
                <w:lang w:val="sr-Latn-ME"/>
              </w:rPr>
              <w:t>Dvostruka blokada renin-angiotenzin-aldosteronskog sistema (RAAS)</w:t>
            </w:r>
          </w:p>
          <w:p w14:paraId="02CA77A1" w14:textId="77777777" w:rsidR="00875D79" w:rsidRPr="00C765E8" w:rsidRDefault="005829BA" w:rsidP="00D110DE">
            <w:pPr>
              <w:tabs>
                <w:tab w:val="left" w:pos="8964"/>
              </w:tabs>
              <w:spacing w:before="100" w:beforeAutospacing="1" w:after="75"/>
              <w:ind w:left="-107" w:right="-108"/>
              <w:jc w:val="both"/>
              <w:rPr>
                <w:szCs w:val="22"/>
                <w:lang w:val="sr-Latn-ME" w:eastAsia="sr-Latn-CS"/>
              </w:rPr>
            </w:pPr>
            <w:r w:rsidRPr="00C765E8">
              <w:rPr>
                <w:szCs w:val="22"/>
                <w:lang w:val="sr-Latn-ME"/>
              </w:rPr>
              <w:t>Dvije velike randomizovane, kontrolisane studije (ONTARGET (</w:t>
            </w:r>
            <w:r w:rsidRPr="00C765E8">
              <w:rPr>
                <w:i/>
                <w:szCs w:val="22"/>
                <w:lang w:val="sr-Latn-ME"/>
              </w:rPr>
              <w:t>ONgoing Telmisartan Alone and in combination with Ramipril Global Endpoint Trial</w:t>
            </w:r>
            <w:r w:rsidRPr="00C765E8">
              <w:rPr>
                <w:szCs w:val="22"/>
                <w:lang w:val="sr-Latn-ME"/>
              </w:rPr>
              <w:t>) i VA NEPHRON-D (</w:t>
            </w:r>
            <w:r w:rsidRPr="00C765E8">
              <w:rPr>
                <w:i/>
                <w:szCs w:val="22"/>
                <w:lang w:val="sr-Latn-ME"/>
              </w:rPr>
              <w:t>The Veterans Affairs in Diabetes</w:t>
            </w:r>
            <w:r w:rsidRPr="00C765E8">
              <w:rPr>
                <w:szCs w:val="22"/>
                <w:lang w:val="sr-Latn-ME"/>
              </w:rPr>
              <w:t>)) su ispitale korišćenje kombinacije ACE inhibitora sa blokatorom angiotenzin II receptora.</w:t>
            </w:r>
            <w:r w:rsidRPr="00C765E8">
              <w:rPr>
                <w:szCs w:val="22"/>
                <w:lang w:val="sr-Latn-ME" w:eastAsia="sr-Latn-CS"/>
              </w:rPr>
              <w:t xml:space="preserve"> </w:t>
            </w:r>
          </w:p>
          <w:p w14:paraId="5BA306C7" w14:textId="77777777" w:rsidR="00875D79" w:rsidRPr="00C765E8" w:rsidRDefault="005829BA" w:rsidP="00D110DE">
            <w:pPr>
              <w:tabs>
                <w:tab w:val="left" w:pos="8964"/>
              </w:tabs>
              <w:spacing w:before="100" w:beforeAutospacing="1" w:after="75"/>
              <w:ind w:left="-107" w:right="-108"/>
              <w:jc w:val="both"/>
              <w:rPr>
                <w:szCs w:val="22"/>
                <w:lang w:val="sr-Latn-ME"/>
              </w:rPr>
            </w:pPr>
            <w:r w:rsidRPr="00C765E8">
              <w:rPr>
                <w:szCs w:val="22"/>
                <w:lang w:val="sr-Latn-ME"/>
              </w:rPr>
              <w:lastRenderedPageBreak/>
              <w:t>ONTARGET je studija sprovedena među pacijentima koji u anamnezi imaju kardiovaskularne ili cerebrovaskularne bolesti, ili dijabetes melitus tip 2 sa potvrđenim pridruženim oštećenjem krajnjeg organa. VA NEPHRON-D je studija sprovedena među pacijenatima oboljelim od dijabetes melitusa tip 2 i dijabetične nefropatije.</w:t>
            </w:r>
          </w:p>
          <w:p w14:paraId="44E1FA7B" w14:textId="26F8CAF6" w:rsidR="005829BA" w:rsidRPr="00C765E8" w:rsidRDefault="005829BA" w:rsidP="00D110DE">
            <w:pPr>
              <w:tabs>
                <w:tab w:val="left" w:pos="8964"/>
              </w:tabs>
              <w:spacing w:before="100" w:beforeAutospacing="1" w:after="75"/>
              <w:ind w:left="-107" w:right="-108"/>
              <w:jc w:val="both"/>
              <w:rPr>
                <w:szCs w:val="22"/>
                <w:lang w:val="sr-Latn-ME" w:eastAsia="sr-Latn-CS"/>
              </w:rPr>
            </w:pPr>
            <w:r w:rsidRPr="00C765E8">
              <w:rPr>
                <w:szCs w:val="22"/>
                <w:lang w:val="sr-Latn-ME"/>
              </w:rPr>
              <w:t>Ove studije su pokazale da nema značajnog korisnog efekta na ishod i mortalitet usljed bubrežnih i/ili kardiovaskularnih razloga, dok je primijećeno da postoji povećan rizik od hiperkalijemije, akutne povrede bubrega i/ili hipotenzije u poređenju sa monoterapijom. Imajući u vidu slična farmakodinamska svojstva, ovi rezultati su svakako relevantni i za druge ACE inhibitore i blokatore angiotenzin II receptora.</w:t>
            </w:r>
            <w:r w:rsidR="00875D79" w:rsidRPr="00C765E8">
              <w:rPr>
                <w:szCs w:val="22"/>
                <w:lang w:val="sr-Latn-ME"/>
              </w:rPr>
              <w:t xml:space="preserve"> </w:t>
            </w:r>
            <w:r w:rsidRPr="00C765E8">
              <w:rPr>
                <w:szCs w:val="22"/>
                <w:lang w:val="sr-Latn-ME"/>
              </w:rPr>
              <w:t>Iz tog razloga, ACE-inhibitore i blokatore angiotenzin II receptora ne treba istovremeno koristiti kod pacijenata sa dijabetičnom nefropatijom.</w:t>
            </w:r>
          </w:p>
          <w:p w14:paraId="2C530EFC" w14:textId="77777777" w:rsidR="005829BA" w:rsidRPr="00C765E8" w:rsidRDefault="005829BA" w:rsidP="00D110DE">
            <w:pPr>
              <w:tabs>
                <w:tab w:val="left" w:pos="284"/>
                <w:tab w:val="center" w:pos="4320"/>
                <w:tab w:val="right" w:pos="8640"/>
              </w:tabs>
              <w:spacing w:after="240"/>
              <w:ind w:left="-107" w:right="-108"/>
              <w:jc w:val="both"/>
              <w:rPr>
                <w:szCs w:val="22"/>
                <w:lang w:val="sr-Latn-ME"/>
              </w:rPr>
            </w:pPr>
            <w:r w:rsidRPr="00C765E8">
              <w:rPr>
                <w:szCs w:val="22"/>
                <w:lang w:val="sr-Latn-ME"/>
              </w:rPr>
              <w:t>ALTITUDE (</w:t>
            </w:r>
            <w:r w:rsidRPr="00C765E8">
              <w:rPr>
                <w:i/>
                <w:szCs w:val="22"/>
                <w:lang w:val="sr-Latn-ME"/>
              </w:rPr>
              <w:t>Aliskiren Trial in Type 2 Diabetes Using Cardiovascular and Renal Disease Endpoints</w:t>
            </w:r>
            <w:r w:rsidRPr="00C765E8">
              <w:rPr>
                <w:szCs w:val="22"/>
                <w:lang w:val="sr-Latn-ME"/>
              </w:rPr>
              <w:t>) je studija projektovana da ispita korist dodavanja aliskirena standardnoj terapiji ACE-inhibitorom ili blokatorima angiotenzin II receptora, kod pacijenata sa tip 2 dijabetes melitusom i hroničnom bolešću bubrega, kardiovaskularnom bolešću, ili oboje. Studija je ranije prekinuta zbog povećanog rizika od neželjenih ishoda. Kardiovaskularna smrt i moždani udar su bili češći u grupi koja je dobijala aliskiren nego u grupi koja je dobijala placebo. Takođe, neželjeni događaji i ozbiljni neželjeni događaji od značaja (hiperkalijemija, hipotenzija i bubrežna disfunkcija) su češće prijavljivani u grupi koja je dobijala aliskiren nego u placebo grupi.</w:t>
            </w:r>
          </w:p>
          <w:p w14:paraId="0972AC45" w14:textId="77777777" w:rsidR="005829BA" w:rsidRPr="00C765E8" w:rsidRDefault="005829BA" w:rsidP="00D110DE">
            <w:pPr>
              <w:spacing w:after="240"/>
              <w:ind w:left="-107"/>
              <w:jc w:val="both"/>
              <w:rPr>
                <w:b/>
                <w:szCs w:val="22"/>
                <w:lang w:val="sr-Latn-ME"/>
              </w:rPr>
            </w:pPr>
            <w:r w:rsidRPr="00C765E8">
              <w:rPr>
                <w:b/>
                <w:szCs w:val="22"/>
                <w:lang w:val="sr-Latn-ME"/>
              </w:rPr>
              <w:t>Nemelanomski karcinom kože</w:t>
            </w:r>
          </w:p>
          <w:p w14:paraId="0F479AED" w14:textId="77777777" w:rsidR="005829BA" w:rsidRPr="00C765E8" w:rsidRDefault="005829BA" w:rsidP="00D110DE">
            <w:pPr>
              <w:ind w:left="-107"/>
              <w:jc w:val="both"/>
              <w:rPr>
                <w:szCs w:val="22"/>
                <w:lang w:val="sr-Latn-ME"/>
              </w:rPr>
            </w:pPr>
            <w:r w:rsidRPr="00C765E8">
              <w:rPr>
                <w:szCs w:val="22"/>
                <w:lang w:val="sr-Latn-ME"/>
              </w:rPr>
              <w:t xml:space="preserve">Na osnovu dostupnih podataka iz epidemioloških studija, između hidrohlortiazida i  nemelanomskog karcinoma kože (NMSC) primijećena je  povezanost zavisna od kumulativne doze. Jedna studija uključila je populaciju koja se sastojala od 71.533 slučaja bazocelularnog karcinoma (BCC) i  8.629 slučajeva planocelularnog karcinoma (SCC), usklađenih sa 1.430.833, odnosno 172.462 kontrole u populaciji. Velika upotreba hidrohlortiazida (≥50.000 mg kumulativno) bila je povezana sa prilagođenim OR od 1,29 (95% CI: 1,23-1,35) za BCC i 3,98 (95% CI: 3,68-4,31) za SCC. Primijećena je jasna povezanost odgovora i  kumulativne doze i  za  BCC i  za  SCC. Druga studija pokazala je  moguću povezanost između karcinoma usana (SCC) i izlaganja hidrohlortiazidu: 633 slučaja karcinoma usana usklađeno je sa 63.067 kontrola u populaciji, primjenom strategije uzorkovanja iz rizične grupe (engl. </w:t>
            </w:r>
            <w:r w:rsidRPr="00C765E8">
              <w:rPr>
                <w:i/>
                <w:szCs w:val="22"/>
                <w:lang w:val="sr-Latn-ME"/>
              </w:rPr>
              <w:t>risk-set sampling</w:t>
            </w:r>
            <w:r w:rsidRPr="00C765E8">
              <w:rPr>
                <w:szCs w:val="22"/>
                <w:lang w:val="sr-Latn-ME"/>
              </w:rPr>
              <w:t>). Pokazana je povezanost odgovora i kumulativne doze sa prilagođenim OR 2,1 (95% CI: 1,7-2,6) sa povećanjem na OR 3,9 (3,0-4,9) za veliku upotrebu hidrohlortiazida (~25.000 mg) i na OR 7,7 (5,7-10,5) za najveću kumulativnu dozu (~100.000 mg) (vidjeti i dio 4.4).</w:t>
            </w:r>
          </w:p>
          <w:p w14:paraId="64DF230D" w14:textId="573B453D" w:rsidR="005829BA" w:rsidRPr="00C765E8" w:rsidRDefault="005829BA" w:rsidP="0081791C">
            <w:pPr>
              <w:autoSpaceDE w:val="0"/>
              <w:autoSpaceDN w:val="0"/>
              <w:adjustRightInd w:val="0"/>
              <w:ind w:right="-108"/>
              <w:jc w:val="both"/>
              <w:rPr>
                <w:rFonts w:eastAsia="TimesNewRoman"/>
                <w:szCs w:val="22"/>
                <w:lang w:val="sr-Latn-ME" w:eastAsia="zh-TW"/>
              </w:rPr>
            </w:pPr>
          </w:p>
        </w:tc>
      </w:tr>
    </w:tbl>
    <w:p w14:paraId="342C3F6D" w14:textId="77777777" w:rsidR="005829BA" w:rsidRPr="00C765E8" w:rsidRDefault="005829BA" w:rsidP="005829BA">
      <w:pPr>
        <w:widowControl w:val="0"/>
        <w:rPr>
          <w:szCs w:val="22"/>
          <w:lang w:val="sr-Latn-ME"/>
        </w:rPr>
      </w:pPr>
    </w:p>
    <w:p w14:paraId="208A0CE5" w14:textId="77777777" w:rsidR="005829BA" w:rsidRPr="00C765E8" w:rsidRDefault="005829BA" w:rsidP="005829BA">
      <w:pPr>
        <w:widowControl w:val="0"/>
        <w:ind w:left="567" w:hanging="567"/>
        <w:outlineLvl w:val="0"/>
        <w:rPr>
          <w:b/>
          <w:szCs w:val="22"/>
          <w:lang w:val="sr-Latn-ME"/>
        </w:rPr>
      </w:pPr>
      <w:r w:rsidRPr="00C765E8">
        <w:rPr>
          <w:b/>
          <w:szCs w:val="22"/>
          <w:lang w:val="sr-Latn-ME"/>
        </w:rPr>
        <w:t>5.2</w:t>
      </w:r>
      <w:r w:rsidRPr="00C765E8">
        <w:rPr>
          <w:b/>
          <w:szCs w:val="22"/>
          <w:lang w:val="sr-Latn-ME"/>
        </w:rPr>
        <w:tab/>
      </w:r>
      <w:r w:rsidRPr="00C765E8">
        <w:rPr>
          <w:b/>
          <w:bCs/>
          <w:szCs w:val="22"/>
          <w:lang w:val="sr-Latn-ME"/>
        </w:rPr>
        <w:t>Farmakokinetički podaci</w:t>
      </w:r>
    </w:p>
    <w:p w14:paraId="6B1D6DED" w14:textId="77777777" w:rsidR="005829BA" w:rsidRPr="00C765E8" w:rsidRDefault="005829BA" w:rsidP="005829BA">
      <w:pPr>
        <w:widowControl w:val="0"/>
        <w:jc w:val="both"/>
        <w:rPr>
          <w:szCs w:val="22"/>
          <w:lang w:val="sr-Latn-ME"/>
        </w:rPr>
      </w:pPr>
    </w:p>
    <w:p w14:paraId="630F1AE7" w14:textId="77777777" w:rsidR="005829BA" w:rsidRPr="00C765E8" w:rsidRDefault="005829BA" w:rsidP="005829BA">
      <w:pPr>
        <w:spacing w:before="120" w:after="120"/>
        <w:rPr>
          <w:i/>
          <w:szCs w:val="22"/>
          <w:u w:val="single"/>
          <w:lang w:val="sr-Latn-ME"/>
        </w:rPr>
      </w:pPr>
      <w:r w:rsidRPr="00C765E8">
        <w:rPr>
          <w:i/>
          <w:szCs w:val="22"/>
          <w:u w:val="single"/>
          <w:lang w:val="sr-Latn-ME"/>
        </w:rPr>
        <w:t>Farmakokinetika i metabolizam</w:t>
      </w:r>
    </w:p>
    <w:p w14:paraId="5587E8DB" w14:textId="77777777" w:rsidR="005829BA" w:rsidRPr="00C765E8" w:rsidRDefault="005829BA" w:rsidP="005829BA">
      <w:pPr>
        <w:rPr>
          <w:b/>
          <w:szCs w:val="22"/>
          <w:lang w:val="sr-Latn-ME"/>
        </w:rPr>
      </w:pPr>
      <w:r w:rsidRPr="00C765E8">
        <w:rPr>
          <w:b/>
          <w:szCs w:val="22"/>
          <w:lang w:val="sr-Latn-ME"/>
        </w:rPr>
        <w:t>Ramipril</w:t>
      </w:r>
    </w:p>
    <w:p w14:paraId="59FD0AB3" w14:textId="77777777" w:rsidR="005829BA" w:rsidRPr="00C765E8" w:rsidRDefault="005829BA" w:rsidP="005829BA">
      <w:pPr>
        <w:spacing w:before="120" w:after="120"/>
        <w:ind w:right="1181"/>
        <w:jc w:val="both"/>
        <w:rPr>
          <w:szCs w:val="22"/>
          <w:u w:val="single"/>
          <w:lang w:val="sr-Latn-ME"/>
        </w:rPr>
      </w:pPr>
      <w:r w:rsidRPr="00C765E8">
        <w:rPr>
          <w:szCs w:val="22"/>
          <w:u w:val="single"/>
          <w:lang w:val="sr-Latn-ME"/>
        </w:rPr>
        <w:t>Resorpcija</w:t>
      </w:r>
    </w:p>
    <w:p w14:paraId="5B905981" w14:textId="77777777" w:rsidR="005829BA" w:rsidRPr="00C765E8" w:rsidRDefault="005829BA" w:rsidP="005829BA">
      <w:pPr>
        <w:ind w:right="-108"/>
        <w:jc w:val="both"/>
        <w:rPr>
          <w:szCs w:val="22"/>
          <w:lang w:val="sr-Latn-ME"/>
        </w:rPr>
      </w:pPr>
      <w:r w:rsidRPr="00C765E8">
        <w:rPr>
          <w:szCs w:val="22"/>
          <w:lang w:val="sr-Latn-ME"/>
        </w:rPr>
        <w:t xml:space="preserve">Ramipril se poslije oralne primjene brzo resorbuje iz gastrointestinalnog trakta; maksimalne koncentracije u plazmi ramipril dostiže za jedan sat. Stepen resorpcije je najmanje 56% i na nju ne </w:t>
      </w:r>
    </w:p>
    <w:p w14:paraId="4BC699F5" w14:textId="77777777" w:rsidR="005829BA" w:rsidRPr="00C765E8" w:rsidRDefault="005829BA" w:rsidP="005829BA">
      <w:pPr>
        <w:ind w:right="-108"/>
        <w:jc w:val="both"/>
        <w:rPr>
          <w:szCs w:val="22"/>
          <w:lang w:val="sr-Latn-ME"/>
        </w:rPr>
      </w:pPr>
    </w:p>
    <w:p w14:paraId="1D0D1BA8" w14:textId="77777777" w:rsidR="005829BA" w:rsidRPr="00C765E8" w:rsidRDefault="005829BA" w:rsidP="005829BA">
      <w:pPr>
        <w:ind w:right="-108"/>
        <w:jc w:val="both"/>
        <w:rPr>
          <w:szCs w:val="22"/>
          <w:lang w:val="sr-Latn-ME"/>
        </w:rPr>
      </w:pPr>
      <w:r w:rsidRPr="00C765E8">
        <w:rPr>
          <w:szCs w:val="22"/>
          <w:lang w:val="sr-Latn-ME"/>
        </w:rPr>
        <w:t>utiče prisustvo hrane u gastrointestinalnom traktu. Bioraspoloživost aktivnog metabolita ramiprilata poslije oralne primjene 2,5 mg i 5 mg ramiprila je 45%.</w:t>
      </w:r>
    </w:p>
    <w:p w14:paraId="1AEAB2BB" w14:textId="77777777" w:rsidR="005829BA" w:rsidRPr="00C765E8" w:rsidRDefault="005829BA" w:rsidP="005829BA">
      <w:pPr>
        <w:ind w:right="-108"/>
        <w:jc w:val="both"/>
        <w:rPr>
          <w:szCs w:val="22"/>
          <w:lang w:val="sr-Latn-ME"/>
        </w:rPr>
      </w:pPr>
      <w:r w:rsidRPr="00C765E8">
        <w:rPr>
          <w:szCs w:val="22"/>
          <w:lang w:val="sr-Latn-ME"/>
        </w:rPr>
        <w:t xml:space="preserve">Maksimalne koncentracije ramiprilata, jedinog aktivnog metabolita ramiprila u krvi postižu se za 2 – 4 sata nakon uzimanja ramiprila. Koncentracije ramiprilata u stanju ravnoteže u plazmi poslije doziranja jednom dnevno  uobičajenih doza, postižu se do otprilike četvrtog dana liječenja. </w:t>
      </w:r>
    </w:p>
    <w:p w14:paraId="38D77A57" w14:textId="77777777" w:rsidR="005829BA" w:rsidRPr="00C765E8" w:rsidRDefault="005829BA" w:rsidP="005829BA">
      <w:pPr>
        <w:spacing w:before="120" w:after="120"/>
        <w:ind w:right="1181"/>
        <w:jc w:val="both"/>
        <w:rPr>
          <w:szCs w:val="22"/>
          <w:u w:val="single"/>
          <w:lang w:val="sr-Latn-ME"/>
        </w:rPr>
      </w:pPr>
      <w:r w:rsidRPr="00C765E8">
        <w:rPr>
          <w:szCs w:val="22"/>
          <w:u w:val="single"/>
          <w:lang w:val="sr-Latn-ME"/>
        </w:rPr>
        <w:t>Distribucija</w:t>
      </w:r>
    </w:p>
    <w:p w14:paraId="3D7D1D3E" w14:textId="77777777" w:rsidR="005829BA" w:rsidRPr="00C765E8" w:rsidRDefault="005829BA" w:rsidP="005829BA">
      <w:pPr>
        <w:tabs>
          <w:tab w:val="left" w:pos="8964"/>
        </w:tabs>
        <w:ind w:right="-108"/>
        <w:jc w:val="both"/>
        <w:rPr>
          <w:szCs w:val="22"/>
          <w:lang w:val="sr-Latn-ME"/>
        </w:rPr>
      </w:pPr>
      <w:r w:rsidRPr="00C765E8">
        <w:rPr>
          <w:szCs w:val="22"/>
          <w:lang w:val="sr-Latn-ME"/>
        </w:rPr>
        <w:t>Vezivanje ramiprila za serumske proteine je oko 73%, a za ramiprilat je oko 56%.</w:t>
      </w:r>
    </w:p>
    <w:p w14:paraId="03D7B1DD" w14:textId="77777777" w:rsidR="005829BA" w:rsidRPr="00C765E8" w:rsidRDefault="005829BA" w:rsidP="005829BA">
      <w:pPr>
        <w:tabs>
          <w:tab w:val="left" w:pos="8964"/>
        </w:tabs>
        <w:spacing w:before="120" w:after="120"/>
        <w:ind w:right="-108"/>
        <w:jc w:val="both"/>
        <w:rPr>
          <w:szCs w:val="22"/>
          <w:u w:val="single"/>
          <w:lang w:val="sr-Latn-ME"/>
        </w:rPr>
      </w:pPr>
      <w:r w:rsidRPr="00C765E8">
        <w:rPr>
          <w:szCs w:val="22"/>
          <w:u w:val="single"/>
          <w:lang w:val="sr-Latn-ME"/>
        </w:rPr>
        <w:lastRenderedPageBreak/>
        <w:t>Metabolizam</w:t>
      </w:r>
    </w:p>
    <w:p w14:paraId="04CF12B4" w14:textId="77777777" w:rsidR="005829BA" w:rsidRPr="00C765E8" w:rsidRDefault="005829BA" w:rsidP="005829BA">
      <w:pPr>
        <w:tabs>
          <w:tab w:val="left" w:pos="8964"/>
        </w:tabs>
        <w:ind w:right="-108"/>
        <w:jc w:val="both"/>
        <w:rPr>
          <w:szCs w:val="22"/>
          <w:lang w:val="sr-Latn-ME"/>
        </w:rPr>
      </w:pPr>
      <w:r w:rsidRPr="00C765E8">
        <w:rPr>
          <w:szCs w:val="22"/>
          <w:lang w:val="sr-Latn-ME"/>
        </w:rPr>
        <w:t>Ramipril se skoro u potpunosti metaboliše u ramiprilat i u estar diketopiperazina, diketopiperazinsku kiselinu i glukuronide ramiprila i ramiprilata.</w:t>
      </w:r>
    </w:p>
    <w:p w14:paraId="170D2556" w14:textId="77777777" w:rsidR="005829BA" w:rsidRPr="00C765E8" w:rsidRDefault="005829BA" w:rsidP="005829BA">
      <w:pPr>
        <w:spacing w:before="120" w:after="120"/>
        <w:ind w:right="1181"/>
        <w:jc w:val="both"/>
        <w:rPr>
          <w:szCs w:val="22"/>
          <w:u w:val="single"/>
          <w:lang w:val="sr-Latn-ME"/>
        </w:rPr>
      </w:pPr>
      <w:r w:rsidRPr="00C765E8">
        <w:rPr>
          <w:szCs w:val="22"/>
          <w:u w:val="single"/>
          <w:lang w:val="sr-Latn-ME"/>
        </w:rPr>
        <w:t>Eliminacija</w:t>
      </w:r>
    </w:p>
    <w:p w14:paraId="6E5E1294" w14:textId="77777777" w:rsidR="005829BA" w:rsidRPr="00C765E8" w:rsidRDefault="005829BA" w:rsidP="005829BA">
      <w:pPr>
        <w:ind w:right="-108"/>
        <w:jc w:val="both"/>
        <w:rPr>
          <w:szCs w:val="22"/>
          <w:lang w:val="sr-Latn-ME"/>
        </w:rPr>
      </w:pPr>
      <w:r w:rsidRPr="00C765E8">
        <w:rPr>
          <w:szCs w:val="22"/>
          <w:lang w:val="sr-Latn-ME"/>
        </w:rPr>
        <w:t>Izlučivanje metabolita se odvija prvenstveno preko bubrega.</w:t>
      </w:r>
    </w:p>
    <w:p w14:paraId="29FBBCC4" w14:textId="77777777" w:rsidR="005829BA" w:rsidRPr="00C765E8" w:rsidRDefault="005829BA" w:rsidP="005829BA">
      <w:pPr>
        <w:ind w:right="-108"/>
        <w:jc w:val="both"/>
        <w:rPr>
          <w:szCs w:val="22"/>
          <w:lang w:val="sr-Latn-ME"/>
        </w:rPr>
      </w:pPr>
      <w:r w:rsidRPr="00C765E8">
        <w:rPr>
          <w:szCs w:val="22"/>
          <w:lang w:val="sr-Latn-ME"/>
        </w:rPr>
        <w:t>Koncentracije ramiprilata u plazmi smanjuju se polifazno. Zbog njegove jačine, vezivanja za ACE i spore disocijacije od enzima, ramiprilat pokazuje produženu terminalnu fazu eliminacije pri veoma niskim koncentracijama u plazmi.</w:t>
      </w:r>
    </w:p>
    <w:p w14:paraId="39856E90" w14:textId="77777777" w:rsidR="005829BA" w:rsidRPr="00C765E8" w:rsidRDefault="005829BA" w:rsidP="005829BA">
      <w:pPr>
        <w:ind w:right="-108"/>
        <w:jc w:val="both"/>
        <w:rPr>
          <w:szCs w:val="22"/>
          <w:lang w:val="sr-Latn-ME"/>
        </w:rPr>
      </w:pPr>
      <w:r w:rsidRPr="00C765E8">
        <w:rPr>
          <w:szCs w:val="22"/>
          <w:lang w:val="sr-Latn-ME"/>
        </w:rPr>
        <w:t>Efektivno poluvrijeme eliminacije ramiprilata poslije višestruke primjene ramiprila jednom dnevno iznosi 13 – 17 sati za 5 – 10 mg ramiprila i značajno duže za niže doze od 1,25– 2,5 mg ramiprila. Ova razlika je u vezi sa kapacitetom zasićenja enzima koji vezuje ramiprilat.</w:t>
      </w:r>
    </w:p>
    <w:p w14:paraId="4EEF6F77" w14:textId="77777777" w:rsidR="005829BA" w:rsidRPr="00C765E8" w:rsidRDefault="005829BA" w:rsidP="005829BA">
      <w:pPr>
        <w:ind w:right="-108"/>
        <w:jc w:val="both"/>
        <w:rPr>
          <w:szCs w:val="22"/>
          <w:lang w:val="sr-Latn-ME"/>
        </w:rPr>
      </w:pPr>
      <w:r w:rsidRPr="00C765E8">
        <w:rPr>
          <w:szCs w:val="22"/>
          <w:lang w:val="sr-Latn-ME"/>
        </w:rPr>
        <w:t>Koncentracija ramiprila i njegovih metabolita u izlučenom mlijeku nakon primijenjene pojedinačne oralne doze, ne može se detektovati. Ipak, efekat višestrukih doza je nepoznat.</w:t>
      </w:r>
    </w:p>
    <w:p w14:paraId="52940A50" w14:textId="77777777" w:rsidR="005829BA" w:rsidRPr="00C765E8" w:rsidRDefault="005829BA" w:rsidP="005829BA">
      <w:pPr>
        <w:spacing w:before="120"/>
        <w:ind w:right="-108"/>
        <w:jc w:val="both"/>
        <w:rPr>
          <w:szCs w:val="22"/>
          <w:lang w:val="sr-Latn-ME"/>
        </w:rPr>
      </w:pPr>
      <w:r w:rsidRPr="00C765E8">
        <w:rPr>
          <w:i/>
          <w:szCs w:val="22"/>
          <w:lang w:val="sr-Latn-ME"/>
        </w:rPr>
        <w:t xml:space="preserve">Pacijenti sa renalnim oštećenjem </w:t>
      </w:r>
      <w:r w:rsidRPr="00C765E8">
        <w:rPr>
          <w:szCs w:val="22"/>
          <w:lang w:val="sr-Latn-ME"/>
        </w:rPr>
        <w:t xml:space="preserve"> (vidjeti odjeljak 4.2)</w:t>
      </w:r>
    </w:p>
    <w:p w14:paraId="145C6FFD" w14:textId="77777777" w:rsidR="005829BA" w:rsidRPr="00C765E8" w:rsidRDefault="005829BA" w:rsidP="005829BA">
      <w:pPr>
        <w:ind w:right="-108"/>
        <w:jc w:val="both"/>
        <w:rPr>
          <w:szCs w:val="22"/>
          <w:lang w:val="sr-Latn-ME"/>
        </w:rPr>
      </w:pPr>
      <w:r w:rsidRPr="00C765E8">
        <w:rPr>
          <w:szCs w:val="22"/>
          <w:lang w:val="sr-Latn-ME"/>
        </w:rPr>
        <w:t>Izlučivanje ramiprilata je smanjeno kod pacijenata sa oštećenom renalnom funkcijom, a klirens ramiprilata je proporcionalan klirensu kreatinina. Ovo rezultira povećanim koncentracijama ramiprilata u plazmi. Samim tim  je i smanjenje ovih koncentracija sporije, nego kod pacijenata sa normalnom funkcijom bubrega.</w:t>
      </w:r>
    </w:p>
    <w:p w14:paraId="3940F6FB" w14:textId="77777777" w:rsidR="005829BA" w:rsidRPr="00C765E8" w:rsidRDefault="005829BA" w:rsidP="005829BA">
      <w:pPr>
        <w:spacing w:before="120"/>
        <w:ind w:right="-108"/>
        <w:jc w:val="both"/>
        <w:rPr>
          <w:szCs w:val="22"/>
          <w:lang w:val="sr-Latn-ME"/>
        </w:rPr>
      </w:pPr>
      <w:r w:rsidRPr="00C765E8">
        <w:rPr>
          <w:i/>
          <w:szCs w:val="22"/>
          <w:lang w:val="sr-Latn-ME"/>
        </w:rPr>
        <w:t xml:space="preserve">Pacijenti sa hepatičkim oštećenjem </w:t>
      </w:r>
      <w:r w:rsidRPr="00C765E8">
        <w:rPr>
          <w:szCs w:val="22"/>
          <w:lang w:val="sr-Latn-ME"/>
        </w:rPr>
        <w:t xml:space="preserve"> (vidjeti odjeljak 4.2)</w:t>
      </w:r>
    </w:p>
    <w:p w14:paraId="0C4FCC42" w14:textId="77777777" w:rsidR="005829BA" w:rsidRPr="00C765E8" w:rsidRDefault="005829BA" w:rsidP="005829BA">
      <w:pPr>
        <w:ind w:right="-108"/>
        <w:jc w:val="both"/>
        <w:rPr>
          <w:szCs w:val="22"/>
          <w:lang w:val="sr-Latn-ME"/>
        </w:rPr>
      </w:pPr>
      <w:r w:rsidRPr="00C765E8">
        <w:rPr>
          <w:szCs w:val="22"/>
          <w:lang w:val="sr-Latn-ME"/>
        </w:rPr>
        <w:t>Kod pacijenata sa oštećenom funkcijom jetre, metabolizam ramiprila u ramiprilat je usporen zbog smanjene aktivnosti esteraza i koncentracija ramiprila u plazmi je povećana. Međutim, maksimalne koncentracije ramiprilata se ne razlikuju od onih koje se javljaju kod pacijenata sa očuvanom funkcijom jetre.</w:t>
      </w:r>
    </w:p>
    <w:p w14:paraId="6C5BC7FB" w14:textId="77777777" w:rsidR="005829BA" w:rsidRPr="00C765E8" w:rsidRDefault="005829BA" w:rsidP="005829BA">
      <w:pPr>
        <w:spacing w:before="120" w:after="120"/>
        <w:ind w:right="1181"/>
        <w:jc w:val="both"/>
        <w:rPr>
          <w:b/>
          <w:szCs w:val="22"/>
          <w:lang w:val="sr-Latn-ME"/>
        </w:rPr>
      </w:pPr>
      <w:r w:rsidRPr="00C765E8">
        <w:rPr>
          <w:b/>
          <w:szCs w:val="22"/>
          <w:lang w:val="sr-Latn-ME"/>
        </w:rPr>
        <w:t xml:space="preserve">Hidrohlortiazid </w:t>
      </w:r>
    </w:p>
    <w:p w14:paraId="1813D761" w14:textId="77777777" w:rsidR="005829BA" w:rsidRPr="00C765E8" w:rsidRDefault="005829BA" w:rsidP="005829BA">
      <w:pPr>
        <w:tabs>
          <w:tab w:val="left" w:pos="9072"/>
        </w:tabs>
        <w:ind w:right="-108"/>
        <w:jc w:val="both"/>
        <w:rPr>
          <w:szCs w:val="22"/>
          <w:u w:val="single"/>
          <w:lang w:val="sr-Latn-ME"/>
        </w:rPr>
      </w:pPr>
      <w:r w:rsidRPr="00C765E8">
        <w:rPr>
          <w:szCs w:val="22"/>
          <w:u w:val="single"/>
          <w:lang w:val="sr-Latn-ME"/>
        </w:rPr>
        <w:t>Resorpcija</w:t>
      </w:r>
    </w:p>
    <w:p w14:paraId="4C3A6CFE" w14:textId="77777777" w:rsidR="005829BA" w:rsidRPr="00C765E8" w:rsidRDefault="005829BA" w:rsidP="005829BA">
      <w:pPr>
        <w:tabs>
          <w:tab w:val="left" w:pos="9072"/>
        </w:tabs>
        <w:ind w:right="-108"/>
        <w:jc w:val="both"/>
        <w:rPr>
          <w:szCs w:val="22"/>
          <w:lang w:val="sr-Latn-ME"/>
        </w:rPr>
      </w:pPr>
      <w:r w:rsidRPr="00C765E8">
        <w:rPr>
          <w:szCs w:val="22"/>
          <w:lang w:val="sr-Latn-ME"/>
        </w:rPr>
        <w:t>Poslije oralne primjene, oko 70% hidrohlortiazida se resorbuje iz gastrointestinalnog trakta. Maksimalne koncentracije u plazmi hidrohlortiazid se postižu za 1,5 do 5 sati.</w:t>
      </w:r>
    </w:p>
    <w:p w14:paraId="7874346C" w14:textId="77777777" w:rsidR="005829BA" w:rsidRPr="00C765E8" w:rsidRDefault="005829BA" w:rsidP="005829BA">
      <w:pPr>
        <w:tabs>
          <w:tab w:val="left" w:pos="9072"/>
        </w:tabs>
        <w:spacing w:before="120"/>
        <w:ind w:right="-108"/>
        <w:jc w:val="both"/>
        <w:rPr>
          <w:szCs w:val="22"/>
          <w:u w:val="single"/>
          <w:lang w:val="sr-Latn-ME"/>
        </w:rPr>
      </w:pPr>
      <w:r w:rsidRPr="00C765E8">
        <w:rPr>
          <w:szCs w:val="22"/>
          <w:u w:val="single"/>
          <w:lang w:val="sr-Latn-ME"/>
        </w:rPr>
        <w:t>Distribucija</w:t>
      </w:r>
    </w:p>
    <w:p w14:paraId="1D0BFF82" w14:textId="77777777" w:rsidR="005829BA" w:rsidRPr="00C765E8" w:rsidRDefault="005829BA" w:rsidP="005829BA">
      <w:pPr>
        <w:tabs>
          <w:tab w:val="left" w:pos="9072"/>
        </w:tabs>
        <w:ind w:right="-108"/>
        <w:jc w:val="both"/>
        <w:rPr>
          <w:szCs w:val="22"/>
          <w:lang w:val="sr-Latn-ME"/>
        </w:rPr>
      </w:pPr>
      <w:r w:rsidRPr="00C765E8">
        <w:rPr>
          <w:szCs w:val="22"/>
          <w:lang w:val="sr-Latn-ME"/>
        </w:rPr>
        <w:t>Vezivanje hidrohlortiazida za proteine plazme je 40%.</w:t>
      </w:r>
    </w:p>
    <w:p w14:paraId="7055E3D5" w14:textId="77777777" w:rsidR="005829BA" w:rsidRPr="00C765E8" w:rsidRDefault="005829BA" w:rsidP="005829BA">
      <w:pPr>
        <w:tabs>
          <w:tab w:val="left" w:pos="9072"/>
        </w:tabs>
        <w:spacing w:before="120"/>
        <w:ind w:right="-108"/>
        <w:jc w:val="both"/>
        <w:rPr>
          <w:szCs w:val="22"/>
          <w:u w:val="single"/>
          <w:lang w:val="sr-Latn-ME"/>
        </w:rPr>
      </w:pPr>
      <w:r w:rsidRPr="00C765E8">
        <w:rPr>
          <w:szCs w:val="22"/>
          <w:u w:val="single"/>
          <w:lang w:val="sr-Latn-ME"/>
        </w:rPr>
        <w:t>Metabolizam</w:t>
      </w:r>
    </w:p>
    <w:p w14:paraId="2A1258C4" w14:textId="77777777" w:rsidR="005829BA" w:rsidRPr="00C765E8" w:rsidRDefault="005829BA" w:rsidP="005829BA">
      <w:pPr>
        <w:tabs>
          <w:tab w:val="left" w:pos="9072"/>
        </w:tabs>
        <w:spacing w:before="120"/>
        <w:ind w:right="-108"/>
        <w:jc w:val="both"/>
        <w:rPr>
          <w:szCs w:val="22"/>
          <w:u w:val="single"/>
          <w:lang w:val="sr-Latn-ME"/>
        </w:rPr>
      </w:pPr>
    </w:p>
    <w:p w14:paraId="1CE430BF" w14:textId="77777777" w:rsidR="005829BA" w:rsidRPr="00C765E8" w:rsidRDefault="005829BA" w:rsidP="005829BA">
      <w:pPr>
        <w:tabs>
          <w:tab w:val="left" w:pos="9072"/>
        </w:tabs>
        <w:ind w:right="-108"/>
        <w:jc w:val="both"/>
        <w:rPr>
          <w:szCs w:val="22"/>
          <w:lang w:val="sr-Latn-ME"/>
        </w:rPr>
      </w:pPr>
      <w:r w:rsidRPr="00C765E8">
        <w:rPr>
          <w:szCs w:val="22"/>
          <w:lang w:val="sr-Latn-ME"/>
        </w:rPr>
        <w:t>Hidrohlortiazid se zanemarljivo malo metaboliše pri prolazu kroz jetru.</w:t>
      </w:r>
    </w:p>
    <w:p w14:paraId="792EC52F" w14:textId="77777777" w:rsidR="005829BA" w:rsidRPr="00C765E8" w:rsidRDefault="005829BA" w:rsidP="005829BA">
      <w:pPr>
        <w:tabs>
          <w:tab w:val="left" w:pos="9072"/>
        </w:tabs>
        <w:spacing w:before="120"/>
        <w:ind w:right="-108"/>
        <w:jc w:val="both"/>
        <w:rPr>
          <w:szCs w:val="22"/>
          <w:u w:val="single"/>
          <w:lang w:val="sr-Latn-ME"/>
        </w:rPr>
      </w:pPr>
      <w:r w:rsidRPr="00C765E8">
        <w:rPr>
          <w:szCs w:val="22"/>
          <w:u w:val="single"/>
          <w:lang w:val="sr-Latn-ME"/>
        </w:rPr>
        <w:t>Eliminacija</w:t>
      </w:r>
    </w:p>
    <w:p w14:paraId="124F85F3" w14:textId="77777777" w:rsidR="005829BA" w:rsidRPr="00C765E8" w:rsidRDefault="005829BA" w:rsidP="005829BA">
      <w:pPr>
        <w:tabs>
          <w:tab w:val="left" w:pos="9072"/>
        </w:tabs>
        <w:ind w:right="-108"/>
        <w:jc w:val="both"/>
        <w:rPr>
          <w:szCs w:val="22"/>
          <w:lang w:val="sr-Latn-ME"/>
        </w:rPr>
      </w:pPr>
      <w:r w:rsidRPr="00C765E8">
        <w:rPr>
          <w:szCs w:val="22"/>
          <w:lang w:val="sr-Latn-ME"/>
        </w:rPr>
        <w:t>Hidrohlortiazid se izlučuje preko bubrega, skoro u potpunosti nepromijenjen ( &gt;95%); 50 do 70% pojedinačne oralne doze se eliminiše za 24 sata. Poluvrijeme eliminacije je 5 do 6 sati.</w:t>
      </w:r>
    </w:p>
    <w:p w14:paraId="0FD28815" w14:textId="77777777" w:rsidR="005829BA" w:rsidRPr="00C765E8" w:rsidRDefault="005829BA" w:rsidP="005829BA">
      <w:pPr>
        <w:spacing w:before="120"/>
        <w:ind w:right="-108"/>
        <w:jc w:val="both"/>
        <w:rPr>
          <w:szCs w:val="22"/>
          <w:lang w:val="sr-Latn-ME"/>
        </w:rPr>
      </w:pPr>
      <w:r w:rsidRPr="00C765E8">
        <w:rPr>
          <w:i/>
          <w:szCs w:val="22"/>
          <w:lang w:val="sr-Latn-ME"/>
        </w:rPr>
        <w:t xml:space="preserve">Pacijenti sa renalnim oštećenjem </w:t>
      </w:r>
      <w:r w:rsidRPr="00C765E8">
        <w:rPr>
          <w:szCs w:val="22"/>
          <w:lang w:val="sr-Latn-ME"/>
        </w:rPr>
        <w:t xml:space="preserve"> (vidjeti odjeljak 4.2)</w:t>
      </w:r>
    </w:p>
    <w:p w14:paraId="1ABB4813" w14:textId="77777777" w:rsidR="005829BA" w:rsidRPr="00C765E8" w:rsidRDefault="005829BA" w:rsidP="005829BA">
      <w:pPr>
        <w:ind w:right="-108"/>
        <w:jc w:val="both"/>
        <w:rPr>
          <w:szCs w:val="22"/>
          <w:lang w:val="sr-Latn-ME"/>
        </w:rPr>
      </w:pPr>
      <w:r w:rsidRPr="00C765E8">
        <w:rPr>
          <w:szCs w:val="22"/>
          <w:lang w:val="sr-Latn-ME"/>
        </w:rPr>
        <w:t>Izlučivanje je smanjeno kod pacijenata sa  renalnim oštećenjem. Renalni klirens hidrohlortiazida je sličan klirensu kreatinina. Ovo dovodi do povećanja koncentracije hidrohlortiazida u plazmi, a njeno smanjenje je znatno sporije nego kod pacijenata sa normalnom funkcijom bubrega.</w:t>
      </w:r>
    </w:p>
    <w:p w14:paraId="1DC8CE75" w14:textId="77777777" w:rsidR="005829BA" w:rsidRPr="00C765E8" w:rsidRDefault="005829BA" w:rsidP="005829BA">
      <w:pPr>
        <w:spacing w:before="120"/>
        <w:ind w:right="-108"/>
        <w:jc w:val="both"/>
        <w:rPr>
          <w:szCs w:val="22"/>
          <w:lang w:val="sr-Latn-ME"/>
        </w:rPr>
      </w:pPr>
      <w:r w:rsidRPr="00C765E8">
        <w:rPr>
          <w:i/>
          <w:szCs w:val="22"/>
          <w:lang w:val="sr-Latn-ME"/>
        </w:rPr>
        <w:t>Pacijenti sa hepatičkim oštećenjem</w:t>
      </w:r>
      <w:r w:rsidRPr="00C765E8">
        <w:rPr>
          <w:szCs w:val="22"/>
          <w:lang w:val="sr-Latn-ME"/>
        </w:rPr>
        <w:t xml:space="preserve"> (vidjeti odjeljak 4.2)</w:t>
      </w:r>
    </w:p>
    <w:p w14:paraId="3BA511E8" w14:textId="77777777" w:rsidR="005829BA" w:rsidRPr="00C765E8" w:rsidRDefault="005829BA" w:rsidP="005829BA">
      <w:pPr>
        <w:ind w:right="-108"/>
        <w:jc w:val="both"/>
        <w:rPr>
          <w:szCs w:val="22"/>
          <w:lang w:val="sr-Latn-ME"/>
        </w:rPr>
      </w:pPr>
      <w:r w:rsidRPr="00C765E8">
        <w:rPr>
          <w:szCs w:val="22"/>
          <w:lang w:val="sr-Latn-ME"/>
        </w:rPr>
        <w:t>Kod pacijenata sa cirozom jetre, farmakokinetika hidrohlortiazida nije značajno promijenjena. Farmakokinetika hidrohlortiazida nije ispitivana kod pacijenata sa srčanom insuficijencijom.</w:t>
      </w:r>
    </w:p>
    <w:p w14:paraId="46ACBBFC" w14:textId="77777777" w:rsidR="005829BA" w:rsidRPr="00C765E8" w:rsidRDefault="005829BA" w:rsidP="005829BA">
      <w:pPr>
        <w:spacing w:before="120" w:after="120"/>
        <w:ind w:right="1181"/>
        <w:jc w:val="both"/>
        <w:rPr>
          <w:szCs w:val="22"/>
          <w:lang w:val="sr-Latn-ME"/>
        </w:rPr>
      </w:pPr>
      <w:r w:rsidRPr="00C765E8">
        <w:rPr>
          <w:b/>
          <w:szCs w:val="22"/>
          <w:lang w:val="sr-Latn-ME"/>
        </w:rPr>
        <w:t>Ramipril i hidrohlortiazid</w:t>
      </w:r>
      <w:r w:rsidRPr="00C765E8">
        <w:rPr>
          <w:szCs w:val="22"/>
          <w:lang w:val="sr-Latn-ME"/>
        </w:rPr>
        <w:t xml:space="preserve"> </w:t>
      </w:r>
    </w:p>
    <w:p w14:paraId="6BB4900E" w14:textId="77777777" w:rsidR="005829BA" w:rsidRPr="00C765E8" w:rsidRDefault="005829BA" w:rsidP="005829BA">
      <w:pPr>
        <w:widowControl w:val="0"/>
        <w:jc w:val="both"/>
        <w:rPr>
          <w:szCs w:val="22"/>
          <w:lang w:val="sr-Latn-ME"/>
        </w:rPr>
      </w:pPr>
      <w:r w:rsidRPr="00C765E8">
        <w:rPr>
          <w:szCs w:val="22"/>
          <w:lang w:val="sr-Latn-ME"/>
        </w:rPr>
        <w:t xml:space="preserve">Istovremeno uzimanje ramiprila i hidrohlortiazida ne utiče na njihovu bioraspoloživost. </w:t>
      </w:r>
      <w:r w:rsidRPr="00C765E8">
        <w:rPr>
          <w:szCs w:val="22"/>
          <w:lang w:val="sr-Latn-ME"/>
        </w:rPr>
        <w:br/>
        <w:t>Kombinovanu tabletu treba razmatrati kao bioekvivalentnu u odnosu na svaku supstancu pojedinačno.</w:t>
      </w:r>
    </w:p>
    <w:p w14:paraId="09075D4E" w14:textId="77777777" w:rsidR="005829BA" w:rsidRPr="00C765E8" w:rsidRDefault="005829BA" w:rsidP="005829BA">
      <w:pPr>
        <w:widowControl w:val="0"/>
        <w:jc w:val="both"/>
        <w:rPr>
          <w:szCs w:val="22"/>
          <w:lang w:val="sr-Latn-ME"/>
        </w:rPr>
      </w:pPr>
    </w:p>
    <w:p w14:paraId="1A7F3087" w14:textId="77777777" w:rsidR="00C765E8" w:rsidRDefault="00C765E8" w:rsidP="005829BA">
      <w:pPr>
        <w:widowControl w:val="0"/>
        <w:ind w:left="567" w:hanging="567"/>
        <w:jc w:val="both"/>
        <w:outlineLvl w:val="0"/>
        <w:rPr>
          <w:b/>
          <w:szCs w:val="22"/>
          <w:lang w:val="sr-Latn-ME"/>
        </w:rPr>
      </w:pPr>
    </w:p>
    <w:p w14:paraId="22903EB4" w14:textId="77777777" w:rsidR="00C765E8" w:rsidRDefault="00C765E8" w:rsidP="005829BA">
      <w:pPr>
        <w:widowControl w:val="0"/>
        <w:ind w:left="567" w:hanging="567"/>
        <w:jc w:val="both"/>
        <w:outlineLvl w:val="0"/>
        <w:rPr>
          <w:b/>
          <w:szCs w:val="22"/>
          <w:lang w:val="sr-Latn-ME"/>
        </w:rPr>
      </w:pPr>
    </w:p>
    <w:p w14:paraId="0E252865" w14:textId="77777777" w:rsidR="00C765E8" w:rsidRDefault="00C765E8" w:rsidP="005829BA">
      <w:pPr>
        <w:widowControl w:val="0"/>
        <w:ind w:left="567" w:hanging="567"/>
        <w:jc w:val="both"/>
        <w:outlineLvl w:val="0"/>
        <w:rPr>
          <w:b/>
          <w:szCs w:val="22"/>
          <w:lang w:val="sr-Latn-ME"/>
        </w:rPr>
      </w:pPr>
    </w:p>
    <w:p w14:paraId="7A932252" w14:textId="7EBF5B79" w:rsidR="005829BA" w:rsidRPr="00C765E8" w:rsidRDefault="005829BA" w:rsidP="005829BA">
      <w:pPr>
        <w:widowControl w:val="0"/>
        <w:ind w:left="567" w:hanging="567"/>
        <w:jc w:val="both"/>
        <w:outlineLvl w:val="0"/>
        <w:rPr>
          <w:szCs w:val="22"/>
          <w:lang w:val="sr-Latn-ME"/>
        </w:rPr>
      </w:pPr>
      <w:r w:rsidRPr="00C765E8">
        <w:rPr>
          <w:b/>
          <w:szCs w:val="22"/>
          <w:lang w:val="sr-Latn-ME"/>
        </w:rPr>
        <w:lastRenderedPageBreak/>
        <w:t>5.3</w:t>
      </w:r>
      <w:r w:rsidRPr="00C765E8">
        <w:rPr>
          <w:b/>
          <w:szCs w:val="22"/>
          <w:lang w:val="sr-Latn-ME"/>
        </w:rPr>
        <w:tab/>
      </w:r>
      <w:r w:rsidRPr="00C765E8">
        <w:rPr>
          <w:b/>
          <w:bCs/>
          <w:szCs w:val="22"/>
          <w:lang w:val="sr-Latn-ME"/>
        </w:rPr>
        <w:t>Pretklinički podaci o bezbjednosti</w:t>
      </w:r>
    </w:p>
    <w:p w14:paraId="79988B56" w14:textId="77777777" w:rsidR="005829BA" w:rsidRPr="00C765E8" w:rsidRDefault="005829BA" w:rsidP="005829BA">
      <w:pPr>
        <w:widowControl w:val="0"/>
        <w:jc w:val="both"/>
        <w:rPr>
          <w:szCs w:val="22"/>
          <w:lang w:val="sr-Latn-ME"/>
        </w:rPr>
      </w:pPr>
      <w:r w:rsidRPr="00C765E8" w:rsidDel="00925A95">
        <w:rPr>
          <w:szCs w:val="22"/>
          <w:lang w:val="sr-Latn-ME"/>
        </w:rPr>
        <w:t xml:space="preserve"> </w:t>
      </w:r>
    </w:p>
    <w:p w14:paraId="6C2663A4" w14:textId="77777777" w:rsidR="005829BA" w:rsidRPr="00C765E8" w:rsidRDefault="005829BA" w:rsidP="005829BA">
      <w:pPr>
        <w:tabs>
          <w:tab w:val="left" w:pos="284"/>
          <w:tab w:val="center" w:pos="4320"/>
          <w:tab w:val="right" w:pos="8640"/>
        </w:tabs>
        <w:spacing w:before="80" w:after="80"/>
        <w:ind w:right="-108"/>
        <w:jc w:val="both"/>
        <w:rPr>
          <w:bCs/>
          <w:szCs w:val="22"/>
          <w:lang w:val="sr-Latn-ME"/>
        </w:rPr>
      </w:pPr>
      <w:r w:rsidRPr="00C765E8">
        <w:rPr>
          <w:bCs/>
          <w:szCs w:val="22"/>
          <w:lang w:val="sr-Latn-ME"/>
        </w:rPr>
        <w:t>Kod pacova i miševa, kombinacija ramiprila i hidrohlortiazida ne pokazuje akutno toksično djelovanje do 10 000 mg/kg. Studije ponovljenih doza na pacovima i majmunima pokazale su samo poremećaje ravnoteže elektrolita.</w:t>
      </w:r>
    </w:p>
    <w:p w14:paraId="02E54BF9" w14:textId="77777777" w:rsidR="00824B12" w:rsidRPr="00C765E8" w:rsidRDefault="00824B12" w:rsidP="005829BA">
      <w:pPr>
        <w:widowControl w:val="0"/>
        <w:rPr>
          <w:bCs/>
          <w:szCs w:val="22"/>
          <w:lang w:val="sr-Latn-ME"/>
        </w:rPr>
      </w:pPr>
      <w:r w:rsidRPr="00C765E8">
        <w:rPr>
          <w:bCs/>
          <w:szCs w:val="22"/>
          <w:lang w:val="sr-Latn-ME"/>
        </w:rPr>
        <w:t>Studije mutagenosti i kancerogenosti kombinacije nijesu sprovođene.</w:t>
      </w:r>
    </w:p>
    <w:p w14:paraId="6BA4E2F6" w14:textId="77777777" w:rsidR="00824B12" w:rsidRPr="00C765E8" w:rsidRDefault="00824B12" w:rsidP="005829BA">
      <w:pPr>
        <w:widowControl w:val="0"/>
        <w:rPr>
          <w:bCs/>
          <w:szCs w:val="22"/>
          <w:lang w:val="sr-Latn-ME"/>
        </w:rPr>
      </w:pPr>
    </w:p>
    <w:p w14:paraId="281D8094" w14:textId="31A03F30" w:rsidR="005829BA" w:rsidRPr="00C765E8" w:rsidRDefault="005829BA" w:rsidP="005829BA">
      <w:pPr>
        <w:widowControl w:val="0"/>
        <w:rPr>
          <w:bCs/>
          <w:szCs w:val="22"/>
          <w:lang w:val="sr-Latn-ME"/>
        </w:rPr>
      </w:pPr>
      <w:r w:rsidRPr="00C765E8">
        <w:rPr>
          <w:bCs/>
          <w:szCs w:val="22"/>
          <w:lang w:val="sr-Latn-ME"/>
        </w:rPr>
        <w:t>Reproduktivne studije na pacovima i kunićima pokazale su da je kombinacija nešto toksičnija u odnosu na pojedinačne komponente, ali ni jedna od studija nije pokazala teratogeni efekat kombinacije.</w:t>
      </w:r>
    </w:p>
    <w:p w14:paraId="0EDA84D6" w14:textId="77777777" w:rsidR="005829BA" w:rsidRPr="00C765E8" w:rsidRDefault="005829BA" w:rsidP="005829BA">
      <w:pPr>
        <w:widowControl w:val="0"/>
        <w:rPr>
          <w:szCs w:val="22"/>
          <w:lang w:val="sr-Latn-ME"/>
        </w:rPr>
      </w:pPr>
    </w:p>
    <w:p w14:paraId="7026BBC3" w14:textId="77777777" w:rsidR="005829BA" w:rsidRPr="00C765E8" w:rsidRDefault="005829BA" w:rsidP="005829BA">
      <w:pPr>
        <w:widowControl w:val="0"/>
        <w:rPr>
          <w:szCs w:val="22"/>
          <w:lang w:val="sr-Latn-ME"/>
        </w:rPr>
      </w:pPr>
    </w:p>
    <w:p w14:paraId="18FE269F" w14:textId="77777777" w:rsidR="005829BA" w:rsidRPr="00C765E8" w:rsidRDefault="005829BA" w:rsidP="005829BA">
      <w:pPr>
        <w:widowControl w:val="0"/>
        <w:ind w:left="567" w:hanging="567"/>
        <w:rPr>
          <w:b/>
          <w:szCs w:val="22"/>
          <w:lang w:val="sr-Latn-ME"/>
        </w:rPr>
      </w:pPr>
      <w:r w:rsidRPr="00C765E8">
        <w:rPr>
          <w:b/>
          <w:szCs w:val="22"/>
          <w:lang w:val="sr-Latn-ME"/>
        </w:rPr>
        <w:t>6.</w:t>
      </w:r>
      <w:r w:rsidRPr="00C765E8">
        <w:rPr>
          <w:b/>
          <w:szCs w:val="22"/>
          <w:lang w:val="sr-Latn-ME"/>
        </w:rPr>
        <w:tab/>
        <w:t>FARMACEUTSKI PODACI</w:t>
      </w:r>
    </w:p>
    <w:p w14:paraId="691C621F" w14:textId="77777777" w:rsidR="005829BA" w:rsidRPr="00C765E8" w:rsidRDefault="005829BA" w:rsidP="005829BA">
      <w:pPr>
        <w:widowControl w:val="0"/>
        <w:rPr>
          <w:szCs w:val="22"/>
          <w:lang w:val="sr-Latn-ME"/>
        </w:rPr>
      </w:pPr>
    </w:p>
    <w:p w14:paraId="00ED4098" w14:textId="77777777" w:rsidR="005829BA" w:rsidRPr="00C765E8" w:rsidRDefault="005829BA" w:rsidP="005829BA">
      <w:pPr>
        <w:widowControl w:val="0"/>
        <w:ind w:left="567" w:hanging="567"/>
        <w:outlineLvl w:val="0"/>
        <w:rPr>
          <w:b/>
          <w:bCs/>
          <w:szCs w:val="22"/>
          <w:lang w:val="sr-Latn-ME"/>
        </w:rPr>
      </w:pPr>
      <w:r w:rsidRPr="00C765E8">
        <w:rPr>
          <w:b/>
          <w:szCs w:val="22"/>
          <w:lang w:val="sr-Latn-ME"/>
        </w:rPr>
        <w:t>6.1</w:t>
      </w:r>
      <w:r w:rsidRPr="00C765E8">
        <w:rPr>
          <w:b/>
          <w:szCs w:val="22"/>
          <w:lang w:val="sr-Latn-ME"/>
        </w:rPr>
        <w:tab/>
      </w:r>
      <w:r w:rsidRPr="00C765E8">
        <w:rPr>
          <w:b/>
          <w:bCs/>
          <w:szCs w:val="22"/>
          <w:lang w:val="sr-Latn-ME"/>
        </w:rPr>
        <w:t>Lista pomoćnih supstanci (ekscipijenasa)</w:t>
      </w:r>
    </w:p>
    <w:p w14:paraId="28D3A7F7" w14:textId="77777777" w:rsidR="005829BA" w:rsidRPr="00C765E8" w:rsidRDefault="005829BA" w:rsidP="005829BA">
      <w:pPr>
        <w:widowControl w:val="0"/>
        <w:ind w:left="567" w:hanging="567"/>
        <w:outlineLvl w:val="0"/>
        <w:rPr>
          <w:szCs w:val="22"/>
          <w:lang w:val="sr-Latn-ME"/>
        </w:rPr>
      </w:pPr>
    </w:p>
    <w:p w14:paraId="5ADF70AB" w14:textId="77777777" w:rsidR="005829BA" w:rsidRPr="00C765E8" w:rsidRDefault="005829BA" w:rsidP="005829BA">
      <w:pPr>
        <w:tabs>
          <w:tab w:val="left" w:pos="0"/>
          <w:tab w:val="center" w:pos="4320"/>
          <w:tab w:val="right" w:pos="8640"/>
        </w:tabs>
        <w:rPr>
          <w:szCs w:val="22"/>
          <w:lang w:val="sr-Latn-ME"/>
        </w:rPr>
      </w:pPr>
      <w:r w:rsidRPr="00C765E8">
        <w:rPr>
          <w:szCs w:val="22"/>
          <w:lang w:val="sr-Latn-ME"/>
        </w:rPr>
        <w:t>Natrijum hidrogen karbonat</w:t>
      </w:r>
    </w:p>
    <w:p w14:paraId="48F22F78" w14:textId="0BEFFCDD" w:rsidR="005829BA" w:rsidRPr="00C765E8" w:rsidRDefault="005829BA" w:rsidP="005829BA">
      <w:pPr>
        <w:tabs>
          <w:tab w:val="left" w:pos="0"/>
          <w:tab w:val="center" w:pos="4320"/>
          <w:tab w:val="right" w:pos="8640"/>
        </w:tabs>
        <w:rPr>
          <w:szCs w:val="22"/>
          <w:lang w:val="sr-Latn-ME"/>
        </w:rPr>
      </w:pPr>
      <w:r w:rsidRPr="00C765E8">
        <w:rPr>
          <w:szCs w:val="22"/>
          <w:lang w:val="sr-Latn-ME"/>
        </w:rPr>
        <w:t>Laktoza monohidrat</w:t>
      </w:r>
    </w:p>
    <w:p w14:paraId="0E13DA93" w14:textId="77777777" w:rsidR="005829BA" w:rsidRPr="00C765E8" w:rsidRDefault="005829BA" w:rsidP="005829BA">
      <w:pPr>
        <w:tabs>
          <w:tab w:val="left" w:pos="0"/>
          <w:tab w:val="center" w:pos="4320"/>
          <w:tab w:val="right" w:pos="8640"/>
        </w:tabs>
        <w:rPr>
          <w:szCs w:val="22"/>
          <w:lang w:val="sr-Latn-ME"/>
        </w:rPr>
      </w:pPr>
      <w:r w:rsidRPr="00C765E8">
        <w:rPr>
          <w:szCs w:val="22"/>
          <w:lang w:val="sr-Latn-ME"/>
        </w:rPr>
        <w:t>Kroskarmeloza natrijum</w:t>
      </w:r>
    </w:p>
    <w:p w14:paraId="2AB4F3EC" w14:textId="77777777" w:rsidR="005829BA" w:rsidRPr="00C765E8" w:rsidRDefault="005829BA" w:rsidP="005829BA">
      <w:pPr>
        <w:tabs>
          <w:tab w:val="left" w:pos="0"/>
          <w:tab w:val="center" w:pos="4320"/>
          <w:tab w:val="right" w:pos="8640"/>
        </w:tabs>
        <w:rPr>
          <w:szCs w:val="22"/>
          <w:lang w:val="sr-Latn-ME"/>
        </w:rPr>
      </w:pPr>
      <w:r w:rsidRPr="00C765E8">
        <w:rPr>
          <w:szCs w:val="22"/>
          <w:lang w:val="sr-Latn-ME"/>
        </w:rPr>
        <w:t>Skrob, preželatinizovani</w:t>
      </w:r>
    </w:p>
    <w:p w14:paraId="7AFE7940" w14:textId="10C45BF7" w:rsidR="005829BA" w:rsidRPr="00C765E8" w:rsidRDefault="005829BA" w:rsidP="005829BA">
      <w:pPr>
        <w:tabs>
          <w:tab w:val="left" w:pos="0"/>
          <w:tab w:val="center" w:pos="4320"/>
          <w:tab w:val="right" w:pos="8640"/>
        </w:tabs>
        <w:rPr>
          <w:szCs w:val="22"/>
          <w:lang w:val="sr-Latn-ME"/>
        </w:rPr>
      </w:pPr>
      <w:r w:rsidRPr="00C765E8">
        <w:rPr>
          <w:szCs w:val="22"/>
          <w:lang w:val="sr-Latn-ME"/>
        </w:rPr>
        <w:t>Natrijum stearil fumarat</w:t>
      </w:r>
    </w:p>
    <w:p w14:paraId="0F7E8842" w14:textId="77777777" w:rsidR="005829BA" w:rsidRPr="00C765E8" w:rsidRDefault="005829BA" w:rsidP="005829BA">
      <w:pPr>
        <w:widowControl w:val="0"/>
        <w:rPr>
          <w:szCs w:val="22"/>
          <w:highlight w:val="lightGray"/>
          <w:lang w:val="sr-Latn-ME"/>
        </w:rPr>
      </w:pPr>
    </w:p>
    <w:p w14:paraId="043E1722" w14:textId="77777777" w:rsidR="005829BA" w:rsidRPr="00C765E8" w:rsidRDefault="005829BA" w:rsidP="005829BA">
      <w:pPr>
        <w:widowControl w:val="0"/>
        <w:ind w:left="567" w:hanging="567"/>
        <w:outlineLvl w:val="0"/>
        <w:rPr>
          <w:szCs w:val="22"/>
          <w:lang w:val="sr-Latn-ME"/>
        </w:rPr>
      </w:pPr>
      <w:r w:rsidRPr="00C765E8">
        <w:rPr>
          <w:b/>
          <w:szCs w:val="22"/>
          <w:lang w:val="sr-Latn-ME"/>
        </w:rPr>
        <w:t>6.2</w:t>
      </w:r>
      <w:r w:rsidRPr="00C765E8">
        <w:rPr>
          <w:b/>
          <w:szCs w:val="22"/>
          <w:lang w:val="sr-Latn-ME"/>
        </w:rPr>
        <w:tab/>
        <w:t>Inkompatibilnosti</w:t>
      </w:r>
    </w:p>
    <w:p w14:paraId="5D0A2DF2" w14:textId="77777777" w:rsidR="005829BA" w:rsidRPr="00C765E8" w:rsidRDefault="005829BA" w:rsidP="005829BA">
      <w:pPr>
        <w:widowControl w:val="0"/>
        <w:rPr>
          <w:szCs w:val="22"/>
          <w:lang w:val="sr-Latn-ME"/>
        </w:rPr>
      </w:pPr>
    </w:p>
    <w:p w14:paraId="6A917866" w14:textId="197CE56B" w:rsidR="005829BA" w:rsidRPr="00C765E8" w:rsidRDefault="005829BA" w:rsidP="005829BA">
      <w:pPr>
        <w:widowControl w:val="0"/>
        <w:rPr>
          <w:szCs w:val="22"/>
          <w:lang w:val="sr-Latn-ME"/>
        </w:rPr>
      </w:pPr>
      <w:r w:rsidRPr="00C765E8">
        <w:rPr>
          <w:szCs w:val="22"/>
          <w:lang w:val="sr-Latn-ME"/>
        </w:rPr>
        <w:t>Nije primjen</w:t>
      </w:r>
      <w:r w:rsidR="00AE7874" w:rsidRPr="00C765E8">
        <w:rPr>
          <w:szCs w:val="22"/>
          <w:lang w:val="sr-Latn-ME"/>
        </w:rPr>
        <w:t>l</w:t>
      </w:r>
      <w:r w:rsidRPr="00C765E8">
        <w:rPr>
          <w:szCs w:val="22"/>
          <w:lang w:val="sr-Latn-ME"/>
        </w:rPr>
        <w:t>jivo.</w:t>
      </w:r>
    </w:p>
    <w:p w14:paraId="69C4D8F0" w14:textId="77777777" w:rsidR="005829BA" w:rsidRPr="00C765E8" w:rsidRDefault="005829BA" w:rsidP="005829BA">
      <w:pPr>
        <w:widowControl w:val="0"/>
        <w:rPr>
          <w:szCs w:val="22"/>
          <w:lang w:val="sr-Latn-ME"/>
        </w:rPr>
      </w:pPr>
    </w:p>
    <w:p w14:paraId="3FC36101" w14:textId="3913D834" w:rsidR="005829BA" w:rsidRPr="00C765E8" w:rsidRDefault="005829BA">
      <w:pPr>
        <w:widowControl w:val="0"/>
        <w:ind w:left="567" w:hanging="567"/>
        <w:outlineLvl w:val="0"/>
        <w:rPr>
          <w:b/>
          <w:szCs w:val="22"/>
          <w:lang w:val="sr-Latn-ME"/>
        </w:rPr>
      </w:pPr>
      <w:r w:rsidRPr="00C765E8">
        <w:rPr>
          <w:b/>
          <w:szCs w:val="22"/>
          <w:lang w:val="sr-Latn-ME"/>
        </w:rPr>
        <w:t>6.3</w:t>
      </w:r>
      <w:r w:rsidRPr="00C765E8">
        <w:rPr>
          <w:b/>
          <w:szCs w:val="22"/>
          <w:lang w:val="sr-Latn-ME"/>
        </w:rPr>
        <w:tab/>
        <w:t>Rok upotrebe</w:t>
      </w:r>
    </w:p>
    <w:p w14:paraId="495A2319" w14:textId="77777777" w:rsidR="0000780A" w:rsidRPr="00C765E8" w:rsidRDefault="0000780A">
      <w:pPr>
        <w:widowControl w:val="0"/>
        <w:ind w:left="567" w:hanging="567"/>
        <w:outlineLvl w:val="0"/>
        <w:rPr>
          <w:szCs w:val="22"/>
          <w:lang w:val="sr-Latn-ME"/>
        </w:rPr>
      </w:pPr>
    </w:p>
    <w:p w14:paraId="456D39D5" w14:textId="77777777" w:rsidR="005829BA" w:rsidRPr="00C765E8" w:rsidRDefault="005829BA" w:rsidP="00685D64">
      <w:pPr>
        <w:tabs>
          <w:tab w:val="left" w:pos="0"/>
          <w:tab w:val="center" w:pos="4320"/>
          <w:tab w:val="right" w:pos="8640"/>
        </w:tabs>
        <w:rPr>
          <w:szCs w:val="22"/>
          <w:lang w:val="sr-Latn-ME"/>
        </w:rPr>
      </w:pPr>
      <w:r w:rsidRPr="00C765E8">
        <w:rPr>
          <w:szCs w:val="22"/>
          <w:lang w:val="sr-Latn-ME"/>
        </w:rPr>
        <w:t>2 godine.</w:t>
      </w:r>
    </w:p>
    <w:p w14:paraId="4A34619F" w14:textId="77777777" w:rsidR="005829BA" w:rsidRPr="00C765E8" w:rsidRDefault="005829BA" w:rsidP="00685D64">
      <w:pPr>
        <w:widowControl w:val="0"/>
        <w:numPr>
          <w:ilvl w:val="12"/>
          <w:numId w:val="0"/>
        </w:numPr>
        <w:jc w:val="both"/>
        <w:rPr>
          <w:iCs/>
          <w:szCs w:val="22"/>
          <w:lang w:val="sr-Latn-ME"/>
        </w:rPr>
      </w:pPr>
    </w:p>
    <w:p w14:paraId="5691F47D" w14:textId="77777777" w:rsidR="005829BA" w:rsidRPr="00C765E8" w:rsidRDefault="005829BA" w:rsidP="005829BA">
      <w:pPr>
        <w:widowControl w:val="0"/>
        <w:ind w:left="567" w:hanging="567"/>
        <w:outlineLvl w:val="0"/>
        <w:rPr>
          <w:szCs w:val="22"/>
          <w:lang w:val="sr-Latn-ME"/>
        </w:rPr>
      </w:pPr>
      <w:r w:rsidRPr="00C765E8">
        <w:rPr>
          <w:b/>
          <w:szCs w:val="22"/>
          <w:lang w:val="sr-Latn-ME"/>
        </w:rPr>
        <w:t>6.4</w:t>
      </w:r>
      <w:r w:rsidRPr="00C765E8">
        <w:rPr>
          <w:b/>
          <w:szCs w:val="22"/>
          <w:lang w:val="sr-Latn-ME"/>
        </w:rPr>
        <w:tab/>
        <w:t>Posebne mjere upozorenja pri čuvanju lijeka</w:t>
      </w:r>
    </w:p>
    <w:p w14:paraId="385D568C" w14:textId="77777777" w:rsidR="005829BA" w:rsidRPr="00C765E8" w:rsidRDefault="005829BA" w:rsidP="005829BA">
      <w:pPr>
        <w:widowControl w:val="0"/>
        <w:outlineLvl w:val="0"/>
        <w:rPr>
          <w:szCs w:val="22"/>
          <w:lang w:val="sr-Latn-ME"/>
        </w:rPr>
      </w:pPr>
    </w:p>
    <w:p w14:paraId="4E967B5F" w14:textId="400A5C90" w:rsidR="00B71574" w:rsidRPr="00C765E8" w:rsidRDefault="00B71574" w:rsidP="00B71574">
      <w:pPr>
        <w:autoSpaceDE w:val="0"/>
        <w:autoSpaceDN w:val="0"/>
        <w:adjustRightInd w:val="0"/>
        <w:rPr>
          <w:rFonts w:eastAsia="TimesNewRoman"/>
          <w:szCs w:val="22"/>
          <w:lang w:val="sr-Latn-ME" w:eastAsia="zh-TW"/>
        </w:rPr>
      </w:pPr>
      <w:r w:rsidRPr="00C765E8">
        <w:rPr>
          <w:rFonts w:eastAsia="TimesNewRoman"/>
          <w:szCs w:val="22"/>
          <w:lang w:val="sr-Latn-ME" w:eastAsia="zh-TW"/>
        </w:rPr>
        <w:t>Lijek čuva</w:t>
      </w:r>
      <w:r w:rsidR="00824B12" w:rsidRPr="00C765E8">
        <w:rPr>
          <w:rFonts w:eastAsia="TimesNewRoman"/>
          <w:szCs w:val="22"/>
          <w:lang w:val="sr-Latn-ME" w:eastAsia="zh-TW"/>
        </w:rPr>
        <w:t>jte</w:t>
      </w:r>
      <w:r w:rsidRPr="00C765E8">
        <w:rPr>
          <w:rFonts w:eastAsia="TimesNewRoman"/>
          <w:szCs w:val="22"/>
          <w:lang w:val="sr-Latn-ME" w:eastAsia="zh-TW"/>
        </w:rPr>
        <w:t xml:space="preserve"> na temperaturi do 30ºC.</w:t>
      </w:r>
    </w:p>
    <w:p w14:paraId="7E07D921" w14:textId="77777777" w:rsidR="00B71574" w:rsidRPr="00C765E8" w:rsidRDefault="00B71574" w:rsidP="00B71574">
      <w:pPr>
        <w:widowControl w:val="0"/>
        <w:rPr>
          <w:szCs w:val="22"/>
          <w:lang w:val="sr-Latn-ME"/>
        </w:rPr>
      </w:pPr>
    </w:p>
    <w:p w14:paraId="0E21BD3A" w14:textId="77777777" w:rsidR="005829BA" w:rsidRPr="00C765E8" w:rsidRDefault="005829BA" w:rsidP="005829BA">
      <w:pPr>
        <w:widowControl w:val="0"/>
        <w:outlineLvl w:val="0"/>
        <w:rPr>
          <w:b/>
          <w:szCs w:val="22"/>
          <w:lang w:val="sr-Latn-ME"/>
        </w:rPr>
      </w:pPr>
      <w:r w:rsidRPr="00C765E8">
        <w:rPr>
          <w:b/>
          <w:szCs w:val="22"/>
          <w:lang w:val="sr-Latn-ME"/>
        </w:rPr>
        <w:t>6.5</w:t>
      </w:r>
      <w:r w:rsidRPr="00C765E8">
        <w:rPr>
          <w:b/>
          <w:szCs w:val="22"/>
          <w:lang w:val="sr-Latn-ME"/>
        </w:rPr>
        <w:tab/>
        <w:t>Vrsta i sadržaj pakovanja</w:t>
      </w:r>
    </w:p>
    <w:p w14:paraId="3F6525D3" w14:textId="77777777" w:rsidR="005829BA" w:rsidRPr="00C765E8" w:rsidRDefault="005829BA" w:rsidP="005829BA">
      <w:pPr>
        <w:widowControl w:val="0"/>
        <w:outlineLvl w:val="0"/>
        <w:rPr>
          <w:b/>
          <w:szCs w:val="22"/>
          <w:lang w:val="sr-Latn-ME"/>
        </w:rPr>
      </w:pPr>
    </w:p>
    <w:p w14:paraId="225A49FC" w14:textId="77777777" w:rsidR="0000780A" w:rsidRPr="00C765E8" w:rsidRDefault="00EF2249" w:rsidP="00B71574">
      <w:pPr>
        <w:tabs>
          <w:tab w:val="left" w:pos="0"/>
          <w:tab w:val="center" w:pos="4320"/>
          <w:tab w:val="right" w:pos="8640"/>
        </w:tabs>
        <w:rPr>
          <w:iCs/>
          <w:szCs w:val="22"/>
          <w:lang w:val="sr-Latn-ME"/>
        </w:rPr>
      </w:pPr>
      <w:r w:rsidRPr="00C765E8">
        <w:rPr>
          <w:szCs w:val="22"/>
          <w:lang w:val="sr-Latn-ME"/>
        </w:rPr>
        <w:t xml:space="preserve">Unutrašnje pakovanje je </w:t>
      </w:r>
      <w:r w:rsidR="005E683F" w:rsidRPr="00C765E8">
        <w:rPr>
          <w:szCs w:val="22"/>
          <w:lang w:val="sr-Latn-ME"/>
        </w:rPr>
        <w:t>OPA/Al/PVC//Al</w:t>
      </w:r>
      <w:r w:rsidR="0000780A" w:rsidRPr="00C765E8">
        <w:rPr>
          <w:szCs w:val="22"/>
          <w:lang w:val="sr-Latn-ME"/>
        </w:rPr>
        <w:t xml:space="preserve"> </w:t>
      </w:r>
      <w:r w:rsidRPr="00C765E8">
        <w:rPr>
          <w:iCs/>
          <w:szCs w:val="22"/>
          <w:lang w:val="sr-Latn-ME"/>
        </w:rPr>
        <w:t>blister koji sadrži 10 tableta.</w:t>
      </w:r>
    </w:p>
    <w:p w14:paraId="2668DBA2" w14:textId="0BF5B0C8" w:rsidR="00B71574" w:rsidRPr="00C765E8" w:rsidRDefault="00EF2249" w:rsidP="00B71574">
      <w:pPr>
        <w:tabs>
          <w:tab w:val="left" w:pos="0"/>
          <w:tab w:val="center" w:pos="4320"/>
          <w:tab w:val="right" w:pos="8640"/>
        </w:tabs>
        <w:rPr>
          <w:iCs/>
          <w:szCs w:val="22"/>
          <w:lang w:val="sr-Latn-ME"/>
        </w:rPr>
      </w:pPr>
      <w:r w:rsidRPr="00C765E8">
        <w:rPr>
          <w:iCs/>
          <w:szCs w:val="22"/>
          <w:lang w:val="sr-Latn-ME"/>
        </w:rPr>
        <w:t>Spoljašnje pakovanje je kartonska kutija koja sadrži 3 blistera (ukupno 30 tableta) i Uputstvo za lijek.</w:t>
      </w:r>
    </w:p>
    <w:p w14:paraId="1FBE905F" w14:textId="77777777" w:rsidR="005829BA" w:rsidRPr="00C765E8" w:rsidRDefault="005829BA" w:rsidP="005829BA">
      <w:pPr>
        <w:widowControl w:val="0"/>
        <w:rPr>
          <w:szCs w:val="22"/>
          <w:lang w:val="sr-Latn-ME"/>
        </w:rPr>
      </w:pPr>
    </w:p>
    <w:p w14:paraId="6CB56107" w14:textId="77777777" w:rsidR="005829BA" w:rsidRPr="00C765E8" w:rsidRDefault="005829BA" w:rsidP="005829BA">
      <w:pPr>
        <w:widowControl w:val="0"/>
        <w:outlineLvl w:val="0"/>
        <w:rPr>
          <w:b/>
          <w:bCs/>
          <w:szCs w:val="22"/>
          <w:lang w:val="sr-Latn-ME"/>
        </w:rPr>
      </w:pPr>
      <w:r w:rsidRPr="00C765E8">
        <w:rPr>
          <w:b/>
          <w:szCs w:val="22"/>
          <w:lang w:val="sr-Latn-ME"/>
        </w:rPr>
        <w:t>6.6</w:t>
      </w:r>
      <w:r w:rsidRPr="00C765E8">
        <w:rPr>
          <w:b/>
          <w:szCs w:val="22"/>
          <w:lang w:val="sr-Latn-ME"/>
        </w:rPr>
        <w:tab/>
      </w:r>
      <w:r w:rsidRPr="00C765E8">
        <w:rPr>
          <w:b/>
          <w:bCs/>
          <w:szCs w:val="22"/>
          <w:lang w:val="sr-Latn-ME"/>
        </w:rPr>
        <w:t>Posebne mjere opreza pri odlaganju materijala koji treba odbaciti nakon primjene</w:t>
      </w:r>
      <w:bookmarkStart w:id="3" w:name="OLE_LINK2"/>
    </w:p>
    <w:bookmarkEnd w:id="3"/>
    <w:p w14:paraId="0558458E" w14:textId="77777777" w:rsidR="005829BA" w:rsidRPr="00C765E8" w:rsidRDefault="005829BA" w:rsidP="005829BA">
      <w:pPr>
        <w:widowControl w:val="0"/>
        <w:outlineLvl w:val="0"/>
        <w:rPr>
          <w:szCs w:val="22"/>
          <w:lang w:val="sr-Latn-ME"/>
        </w:rPr>
      </w:pPr>
      <w:r w:rsidRPr="00C765E8">
        <w:rPr>
          <w:b/>
          <w:bCs/>
          <w:szCs w:val="22"/>
          <w:lang w:val="sr-Latn-ME"/>
        </w:rPr>
        <w:t>lijeka (i druga uputstva za rukovanje lijekom)</w:t>
      </w:r>
    </w:p>
    <w:p w14:paraId="2670FD61" w14:textId="77777777" w:rsidR="005829BA" w:rsidRPr="00C765E8" w:rsidRDefault="005829BA" w:rsidP="005829BA">
      <w:pPr>
        <w:widowControl w:val="0"/>
        <w:rPr>
          <w:szCs w:val="22"/>
          <w:highlight w:val="yellow"/>
          <w:lang w:val="sr-Latn-ME"/>
        </w:rPr>
      </w:pPr>
    </w:p>
    <w:p w14:paraId="57B52CD5" w14:textId="77777777" w:rsidR="005829BA" w:rsidRPr="00C765E8" w:rsidRDefault="005829BA" w:rsidP="005829BA">
      <w:pPr>
        <w:widowControl w:val="0"/>
        <w:rPr>
          <w:szCs w:val="22"/>
          <w:lang w:val="sr-Latn-ME"/>
        </w:rPr>
      </w:pPr>
      <w:r w:rsidRPr="00C765E8">
        <w:rPr>
          <w:szCs w:val="22"/>
          <w:lang w:val="sr-Latn-ME"/>
        </w:rPr>
        <w:t>Neupotrijebljeni lijek se uništava u skladu sa važećim propisima.</w:t>
      </w:r>
    </w:p>
    <w:p w14:paraId="5C85C2DD" w14:textId="77777777" w:rsidR="005829BA" w:rsidRPr="00C765E8" w:rsidRDefault="005829BA" w:rsidP="005829BA">
      <w:pPr>
        <w:widowControl w:val="0"/>
        <w:rPr>
          <w:szCs w:val="22"/>
          <w:lang w:val="sr-Latn-ME"/>
        </w:rPr>
      </w:pPr>
    </w:p>
    <w:p w14:paraId="1291902C" w14:textId="77777777" w:rsidR="005829BA" w:rsidRPr="00C765E8" w:rsidRDefault="005829BA" w:rsidP="005829BA">
      <w:pPr>
        <w:widowControl w:val="0"/>
        <w:rPr>
          <w:szCs w:val="22"/>
          <w:lang w:val="sr-Latn-ME"/>
        </w:rPr>
      </w:pPr>
    </w:p>
    <w:p w14:paraId="7554B36F" w14:textId="77777777" w:rsidR="005829BA" w:rsidRPr="00C765E8" w:rsidRDefault="005829BA" w:rsidP="005829BA">
      <w:pPr>
        <w:widowControl w:val="0"/>
        <w:ind w:left="567" w:hanging="567"/>
        <w:rPr>
          <w:szCs w:val="22"/>
          <w:lang w:val="sr-Latn-ME"/>
        </w:rPr>
      </w:pPr>
      <w:r w:rsidRPr="00C765E8">
        <w:rPr>
          <w:b/>
          <w:szCs w:val="22"/>
          <w:lang w:val="sr-Latn-ME"/>
        </w:rPr>
        <w:t>7.</w:t>
      </w:r>
      <w:r w:rsidRPr="00C765E8">
        <w:rPr>
          <w:b/>
          <w:szCs w:val="22"/>
          <w:lang w:val="sr-Latn-ME"/>
        </w:rPr>
        <w:tab/>
      </w:r>
      <w:r w:rsidRPr="00C765E8">
        <w:rPr>
          <w:b/>
          <w:bCs/>
          <w:szCs w:val="22"/>
          <w:lang w:val="sr-Latn-ME"/>
        </w:rPr>
        <w:t>NOSILAC DOZVOLE</w:t>
      </w:r>
    </w:p>
    <w:p w14:paraId="4D74A627" w14:textId="77777777" w:rsidR="005829BA" w:rsidRPr="00C765E8" w:rsidRDefault="005829BA" w:rsidP="005829BA">
      <w:pPr>
        <w:widowControl w:val="0"/>
        <w:rPr>
          <w:szCs w:val="22"/>
          <w:lang w:val="sr-Latn-ME"/>
        </w:rPr>
      </w:pPr>
    </w:p>
    <w:p w14:paraId="0F1717B0" w14:textId="77777777" w:rsidR="005829BA" w:rsidRPr="00C765E8" w:rsidRDefault="005829BA" w:rsidP="005829BA">
      <w:pPr>
        <w:autoSpaceDE w:val="0"/>
        <w:autoSpaceDN w:val="0"/>
        <w:adjustRightInd w:val="0"/>
        <w:ind w:left="1985" w:hanging="1985"/>
        <w:jc w:val="both"/>
        <w:rPr>
          <w:szCs w:val="22"/>
          <w:lang w:val="sr-Latn-ME"/>
        </w:rPr>
      </w:pPr>
      <w:r w:rsidRPr="00C765E8">
        <w:rPr>
          <w:szCs w:val="22"/>
          <w:lang w:val="sr-Latn-ME"/>
        </w:rPr>
        <w:t>DSD „KRKA, d.d., Novo mesto“ - predstavništvo Podgorica</w:t>
      </w:r>
    </w:p>
    <w:p w14:paraId="03F47589" w14:textId="77777777" w:rsidR="005829BA" w:rsidRPr="00C765E8" w:rsidRDefault="005829BA" w:rsidP="005829BA">
      <w:pPr>
        <w:autoSpaceDE w:val="0"/>
        <w:autoSpaceDN w:val="0"/>
        <w:adjustRightInd w:val="0"/>
        <w:ind w:right="71"/>
        <w:rPr>
          <w:szCs w:val="22"/>
          <w:lang w:val="sr-Latn-ME"/>
        </w:rPr>
      </w:pPr>
      <w:r w:rsidRPr="00C765E8">
        <w:rPr>
          <w:szCs w:val="22"/>
          <w:lang w:val="sr-Latn-ME"/>
        </w:rPr>
        <w:t>Svetlane Kane Radević br. 3, 81000 Podgorica, Crna Gora</w:t>
      </w:r>
    </w:p>
    <w:p w14:paraId="544DBDE5" w14:textId="77777777" w:rsidR="005829BA" w:rsidRPr="00C765E8" w:rsidRDefault="005829BA" w:rsidP="005829BA">
      <w:pPr>
        <w:widowControl w:val="0"/>
        <w:rPr>
          <w:szCs w:val="22"/>
          <w:lang w:val="sr-Latn-ME"/>
        </w:rPr>
      </w:pPr>
    </w:p>
    <w:p w14:paraId="457ACBB7" w14:textId="77777777" w:rsidR="005829BA" w:rsidRPr="00C765E8" w:rsidRDefault="005829BA" w:rsidP="005829BA">
      <w:pPr>
        <w:widowControl w:val="0"/>
        <w:rPr>
          <w:szCs w:val="22"/>
          <w:lang w:val="sr-Latn-ME"/>
        </w:rPr>
      </w:pPr>
    </w:p>
    <w:p w14:paraId="12E5F6F0" w14:textId="0CDEDB68" w:rsidR="005829BA" w:rsidRPr="00C765E8" w:rsidRDefault="005829BA" w:rsidP="005829BA">
      <w:pPr>
        <w:tabs>
          <w:tab w:val="clear" w:pos="567"/>
          <w:tab w:val="left" w:pos="540"/>
          <w:tab w:val="left" w:pos="569"/>
        </w:tabs>
        <w:rPr>
          <w:b/>
          <w:bCs/>
          <w:szCs w:val="22"/>
          <w:lang w:val="sr-Latn-ME"/>
        </w:rPr>
      </w:pPr>
      <w:r w:rsidRPr="00C765E8">
        <w:rPr>
          <w:b/>
          <w:bCs/>
          <w:szCs w:val="22"/>
          <w:lang w:val="sr-Latn-ME"/>
        </w:rPr>
        <w:t xml:space="preserve">8. </w:t>
      </w:r>
      <w:r w:rsidRPr="00C765E8">
        <w:rPr>
          <w:b/>
          <w:bCs/>
          <w:szCs w:val="22"/>
          <w:lang w:val="sr-Latn-ME"/>
        </w:rPr>
        <w:tab/>
        <w:t>BROJ DOZVOLE ZA STAVLJANJE LIJEKA U PROMET</w:t>
      </w:r>
    </w:p>
    <w:p w14:paraId="5C93E85D" w14:textId="77777777" w:rsidR="00C765E8" w:rsidRPr="00C765E8" w:rsidRDefault="00C765E8" w:rsidP="005829BA">
      <w:pPr>
        <w:tabs>
          <w:tab w:val="clear" w:pos="567"/>
          <w:tab w:val="left" w:pos="540"/>
          <w:tab w:val="left" w:pos="569"/>
        </w:tabs>
        <w:rPr>
          <w:b/>
          <w:bCs/>
          <w:szCs w:val="22"/>
          <w:lang w:val="sr-Latn-ME"/>
        </w:rPr>
      </w:pPr>
    </w:p>
    <w:p w14:paraId="6752D529" w14:textId="13DE0A98" w:rsidR="00C765E8" w:rsidRPr="00471626" w:rsidRDefault="00B1555F" w:rsidP="005829BA">
      <w:pPr>
        <w:tabs>
          <w:tab w:val="clear" w:pos="567"/>
          <w:tab w:val="left" w:pos="540"/>
          <w:tab w:val="left" w:pos="569"/>
        </w:tabs>
        <w:rPr>
          <w:szCs w:val="22"/>
          <w:lang w:val="sr-Latn-ME"/>
        </w:rPr>
      </w:pPr>
      <w:r w:rsidRPr="00C765E8">
        <w:rPr>
          <w:szCs w:val="22"/>
          <w:lang w:val="sr-Latn-ME"/>
        </w:rPr>
        <w:t>AMPRIL</w:t>
      </w:r>
      <w:r w:rsidR="00A178DE" w:rsidRPr="00C765E8">
        <w:rPr>
          <w:szCs w:val="22"/>
          <w:lang w:val="sr-Latn-ME"/>
        </w:rPr>
        <w:t xml:space="preserve"> HL, tableta</w:t>
      </w:r>
      <w:r w:rsidR="005829BA" w:rsidRPr="00C765E8">
        <w:rPr>
          <w:szCs w:val="22"/>
          <w:lang w:val="sr-Latn-ME"/>
        </w:rPr>
        <w:t>, 2,5 mg + 12,5</w:t>
      </w:r>
      <w:r w:rsidR="00EF2249" w:rsidRPr="00C765E8">
        <w:rPr>
          <w:szCs w:val="22"/>
          <w:lang w:val="sr-Latn-ME"/>
        </w:rPr>
        <w:t xml:space="preserve"> </w:t>
      </w:r>
      <w:r w:rsidR="005829BA" w:rsidRPr="00C765E8">
        <w:rPr>
          <w:szCs w:val="22"/>
          <w:lang w:val="sr-Latn-ME"/>
        </w:rPr>
        <w:t>mg, blister, 30 (3x10)</w:t>
      </w:r>
      <w:r w:rsidR="00C765E8" w:rsidRPr="00C765E8">
        <w:rPr>
          <w:szCs w:val="22"/>
          <w:lang w:val="sr-Latn-ME"/>
        </w:rPr>
        <w:t xml:space="preserve"> tableta</w:t>
      </w:r>
      <w:r w:rsidR="00C765E8" w:rsidRPr="00471626">
        <w:rPr>
          <w:szCs w:val="22"/>
          <w:lang w:val="sr-Latn-ME"/>
        </w:rPr>
        <w:t>: 2030/24/6625 – 3957</w:t>
      </w:r>
    </w:p>
    <w:p w14:paraId="24E11DCC" w14:textId="7B699364" w:rsidR="005829BA" w:rsidRPr="00471626" w:rsidRDefault="00B1555F" w:rsidP="005829BA">
      <w:pPr>
        <w:tabs>
          <w:tab w:val="clear" w:pos="567"/>
          <w:tab w:val="left" w:pos="540"/>
          <w:tab w:val="left" w:pos="569"/>
        </w:tabs>
        <w:rPr>
          <w:b/>
          <w:bCs/>
          <w:szCs w:val="22"/>
          <w:lang w:val="sr-Latn-ME"/>
        </w:rPr>
      </w:pPr>
      <w:r w:rsidRPr="00471626">
        <w:rPr>
          <w:szCs w:val="22"/>
          <w:lang w:val="sr-Latn-ME"/>
        </w:rPr>
        <w:t>AMPRIL</w:t>
      </w:r>
      <w:r w:rsidR="005829BA" w:rsidRPr="00471626">
        <w:rPr>
          <w:szCs w:val="22"/>
          <w:vertAlign w:val="superscript"/>
          <w:lang w:val="sr-Latn-ME"/>
        </w:rPr>
        <w:t xml:space="preserve"> </w:t>
      </w:r>
      <w:r w:rsidR="005829BA" w:rsidRPr="00471626">
        <w:rPr>
          <w:szCs w:val="22"/>
          <w:lang w:val="sr-Latn-ME"/>
        </w:rPr>
        <w:t>HD, tableta, 5 mg + 25</w:t>
      </w:r>
      <w:r w:rsidR="00EF2249" w:rsidRPr="00471626">
        <w:rPr>
          <w:szCs w:val="22"/>
          <w:lang w:val="sr-Latn-ME"/>
        </w:rPr>
        <w:t xml:space="preserve"> </w:t>
      </w:r>
      <w:r w:rsidR="005829BA" w:rsidRPr="00471626">
        <w:rPr>
          <w:szCs w:val="22"/>
          <w:lang w:val="sr-Latn-ME"/>
        </w:rPr>
        <w:t xml:space="preserve">mg, blister, 30 (3x10) tableta: </w:t>
      </w:r>
      <w:r w:rsidR="00C765E8" w:rsidRPr="00471626">
        <w:rPr>
          <w:rFonts w:eastAsia="TimesNewRoman"/>
          <w:szCs w:val="22"/>
          <w:lang w:val="sr-Latn-ME" w:eastAsia="mk-MK"/>
        </w:rPr>
        <w:t>2030/24/6626 – 3958</w:t>
      </w:r>
    </w:p>
    <w:p w14:paraId="6B40EBE1" w14:textId="1458A45A" w:rsidR="005829BA" w:rsidRPr="00C765E8" w:rsidRDefault="005829BA" w:rsidP="005829BA">
      <w:pPr>
        <w:tabs>
          <w:tab w:val="clear" w:pos="567"/>
          <w:tab w:val="left" w:pos="540"/>
          <w:tab w:val="left" w:pos="569"/>
        </w:tabs>
        <w:rPr>
          <w:b/>
          <w:bCs/>
          <w:szCs w:val="22"/>
          <w:lang w:val="sr-Latn-ME"/>
        </w:rPr>
      </w:pPr>
    </w:p>
    <w:p w14:paraId="27A5C526" w14:textId="77777777" w:rsidR="00C765E8" w:rsidRPr="00C765E8" w:rsidRDefault="00C765E8" w:rsidP="005829BA">
      <w:pPr>
        <w:tabs>
          <w:tab w:val="clear" w:pos="567"/>
          <w:tab w:val="left" w:pos="540"/>
          <w:tab w:val="left" w:pos="569"/>
        </w:tabs>
        <w:rPr>
          <w:b/>
          <w:bCs/>
          <w:szCs w:val="22"/>
          <w:lang w:val="sr-Latn-ME"/>
        </w:rPr>
      </w:pPr>
    </w:p>
    <w:p w14:paraId="34A60F99" w14:textId="77777777" w:rsidR="005829BA" w:rsidRPr="00C765E8" w:rsidRDefault="005829BA" w:rsidP="005829BA">
      <w:pPr>
        <w:tabs>
          <w:tab w:val="clear" w:pos="567"/>
          <w:tab w:val="left" w:pos="540"/>
          <w:tab w:val="left" w:pos="569"/>
        </w:tabs>
        <w:rPr>
          <w:b/>
          <w:bCs/>
          <w:szCs w:val="22"/>
          <w:lang w:val="sr-Latn-ME"/>
        </w:rPr>
      </w:pPr>
      <w:r w:rsidRPr="00C765E8">
        <w:rPr>
          <w:b/>
          <w:bCs/>
          <w:szCs w:val="22"/>
          <w:lang w:val="sr-Latn-ME"/>
        </w:rPr>
        <w:t xml:space="preserve">9. </w:t>
      </w:r>
      <w:r w:rsidRPr="00C765E8">
        <w:rPr>
          <w:b/>
          <w:bCs/>
          <w:szCs w:val="22"/>
          <w:lang w:val="sr-Latn-ME"/>
        </w:rPr>
        <w:tab/>
        <w:t>DATUM PRVE DOZVOLE/ OBNOVE DOZVOLE ZA STAVLJANJE LIJEKA U PROMET</w:t>
      </w:r>
    </w:p>
    <w:p w14:paraId="1F8DE771" w14:textId="4DBA4FD1" w:rsidR="00AE7874" w:rsidRPr="00C765E8" w:rsidRDefault="00AE7874" w:rsidP="005829BA">
      <w:pPr>
        <w:rPr>
          <w:szCs w:val="22"/>
          <w:lang w:val="sr-Latn-ME"/>
        </w:rPr>
      </w:pPr>
    </w:p>
    <w:p w14:paraId="292EA0A3" w14:textId="77777777" w:rsidR="00C765E8" w:rsidRPr="00C765E8" w:rsidRDefault="00AE7874" w:rsidP="005829BA">
      <w:pPr>
        <w:rPr>
          <w:szCs w:val="22"/>
          <w:lang w:val="sr-Latn-ME"/>
        </w:rPr>
      </w:pPr>
      <w:r w:rsidRPr="00C765E8">
        <w:rPr>
          <w:szCs w:val="22"/>
          <w:lang w:val="sr-Latn-ME"/>
        </w:rPr>
        <w:t xml:space="preserve">Datum prve dozvole: </w:t>
      </w:r>
      <w:r w:rsidR="005829BA" w:rsidRPr="00C765E8">
        <w:rPr>
          <w:szCs w:val="22"/>
          <w:lang w:val="sr-Latn-ME"/>
        </w:rPr>
        <w:t>03.12.2015. godine</w:t>
      </w:r>
    </w:p>
    <w:p w14:paraId="6A90BF77" w14:textId="69B2AF99" w:rsidR="00AE7874" w:rsidRPr="00C765E8" w:rsidRDefault="00AE7874" w:rsidP="005829BA">
      <w:pPr>
        <w:rPr>
          <w:szCs w:val="22"/>
          <w:lang w:val="sr-Latn-ME"/>
        </w:rPr>
      </w:pPr>
      <w:r w:rsidRPr="00C765E8">
        <w:rPr>
          <w:szCs w:val="22"/>
          <w:lang w:val="sr-Latn-ME"/>
        </w:rPr>
        <w:t xml:space="preserve">Datum poslednje obnove dozvole: </w:t>
      </w:r>
      <w:r w:rsidR="00C765E8" w:rsidRPr="00C765E8">
        <w:rPr>
          <w:szCs w:val="22"/>
          <w:lang w:val="sr-Latn-ME"/>
        </w:rPr>
        <w:t>12.12.2024. godine</w:t>
      </w:r>
    </w:p>
    <w:p w14:paraId="5781DE7E" w14:textId="77777777" w:rsidR="005829BA" w:rsidRPr="00C765E8" w:rsidRDefault="005829BA" w:rsidP="005829BA">
      <w:pPr>
        <w:tabs>
          <w:tab w:val="clear" w:pos="567"/>
          <w:tab w:val="left" w:pos="540"/>
          <w:tab w:val="left" w:pos="569"/>
        </w:tabs>
        <w:rPr>
          <w:bCs/>
          <w:szCs w:val="22"/>
          <w:lang w:val="sr-Latn-ME"/>
        </w:rPr>
      </w:pPr>
    </w:p>
    <w:p w14:paraId="2C4168CF" w14:textId="77777777" w:rsidR="005829BA" w:rsidRPr="00C765E8" w:rsidRDefault="005829BA" w:rsidP="005829BA">
      <w:pPr>
        <w:tabs>
          <w:tab w:val="clear" w:pos="567"/>
          <w:tab w:val="left" w:pos="540"/>
          <w:tab w:val="left" w:pos="569"/>
        </w:tabs>
        <w:rPr>
          <w:bCs/>
          <w:szCs w:val="22"/>
          <w:lang w:val="sr-Latn-ME"/>
        </w:rPr>
      </w:pPr>
    </w:p>
    <w:p w14:paraId="645E894A" w14:textId="77777777" w:rsidR="005829BA" w:rsidRPr="00C765E8" w:rsidRDefault="005829BA" w:rsidP="005829BA">
      <w:pPr>
        <w:tabs>
          <w:tab w:val="clear" w:pos="567"/>
          <w:tab w:val="left" w:pos="540"/>
          <w:tab w:val="left" w:pos="569"/>
        </w:tabs>
        <w:ind w:left="540" w:hanging="540"/>
        <w:rPr>
          <w:b/>
          <w:bCs/>
          <w:szCs w:val="22"/>
          <w:lang w:val="sr-Latn-ME"/>
        </w:rPr>
      </w:pPr>
      <w:r w:rsidRPr="00C765E8">
        <w:rPr>
          <w:b/>
          <w:bCs/>
          <w:szCs w:val="22"/>
          <w:lang w:val="sr-Latn-ME"/>
        </w:rPr>
        <w:t xml:space="preserve">10. </w:t>
      </w:r>
      <w:r w:rsidRPr="00C765E8">
        <w:rPr>
          <w:b/>
          <w:bCs/>
          <w:szCs w:val="22"/>
          <w:lang w:val="sr-Latn-ME"/>
        </w:rPr>
        <w:tab/>
        <w:t xml:space="preserve">DATUM  REVIZIJE TEKSTA </w:t>
      </w:r>
    </w:p>
    <w:p w14:paraId="19C5CFA6" w14:textId="77777777" w:rsidR="005829BA" w:rsidRPr="00C765E8" w:rsidRDefault="005829BA" w:rsidP="005829BA">
      <w:pPr>
        <w:rPr>
          <w:szCs w:val="22"/>
          <w:lang w:val="sr-Latn-ME"/>
        </w:rPr>
      </w:pPr>
    </w:p>
    <w:p w14:paraId="35A1B65F" w14:textId="0306A407" w:rsidR="00812D16" w:rsidRDefault="00C765E8" w:rsidP="004E5A77">
      <w:pPr>
        <w:rPr>
          <w:lang w:val="sr-Latn-ME"/>
        </w:rPr>
      </w:pPr>
      <w:r w:rsidRPr="00C765E8">
        <w:rPr>
          <w:lang w:val="sr-Latn-ME"/>
        </w:rPr>
        <w:t>Decembar, 2024. godine</w:t>
      </w:r>
    </w:p>
    <w:p w14:paraId="30CF4BED" w14:textId="6E24F6FB" w:rsidR="00471626" w:rsidRDefault="00471626" w:rsidP="004E5A77">
      <w:pPr>
        <w:rPr>
          <w:lang w:val="sr-Latn-ME"/>
        </w:rPr>
      </w:pPr>
    </w:p>
    <w:p w14:paraId="1B23E7FB" w14:textId="7AAA5804" w:rsidR="00471626" w:rsidRDefault="00471626" w:rsidP="004E5A77">
      <w:pPr>
        <w:rPr>
          <w:lang w:val="sr-Latn-ME"/>
        </w:rPr>
      </w:pPr>
    </w:p>
    <w:p w14:paraId="73FF7AF3" w14:textId="4A1E4650" w:rsidR="00471626" w:rsidRDefault="00471626" w:rsidP="004E5A77">
      <w:pPr>
        <w:rPr>
          <w:lang w:val="sr-Latn-ME"/>
        </w:rPr>
      </w:pPr>
    </w:p>
    <w:p w14:paraId="067C51F1" w14:textId="283AD177" w:rsidR="00471626" w:rsidRDefault="00471626" w:rsidP="004E5A77">
      <w:pPr>
        <w:rPr>
          <w:lang w:val="sr-Latn-ME"/>
        </w:rPr>
      </w:pPr>
    </w:p>
    <w:p w14:paraId="73829207" w14:textId="628C5CDB" w:rsidR="00471626" w:rsidRDefault="00471626" w:rsidP="004E5A77">
      <w:pPr>
        <w:rPr>
          <w:lang w:val="sr-Latn-ME"/>
        </w:rPr>
      </w:pPr>
    </w:p>
    <w:p w14:paraId="3DD31BD2" w14:textId="493CDC8E" w:rsidR="00471626" w:rsidRDefault="00471626" w:rsidP="004E5A77">
      <w:pPr>
        <w:rPr>
          <w:lang w:val="sr-Latn-ME"/>
        </w:rPr>
      </w:pPr>
    </w:p>
    <w:p w14:paraId="3EE615BE" w14:textId="66166D3C" w:rsidR="00471626" w:rsidRDefault="00471626" w:rsidP="004E5A77">
      <w:pPr>
        <w:rPr>
          <w:lang w:val="sr-Latn-ME"/>
        </w:rPr>
      </w:pPr>
    </w:p>
    <w:p w14:paraId="056981A6" w14:textId="383FE4D0" w:rsidR="00471626" w:rsidRDefault="00471626" w:rsidP="004E5A77">
      <w:pPr>
        <w:rPr>
          <w:lang w:val="sr-Latn-ME"/>
        </w:rPr>
      </w:pPr>
    </w:p>
    <w:p w14:paraId="0639D19D" w14:textId="540B5D99" w:rsidR="00471626" w:rsidRDefault="00471626" w:rsidP="004E5A77">
      <w:pPr>
        <w:rPr>
          <w:lang w:val="sr-Latn-ME"/>
        </w:rPr>
      </w:pPr>
    </w:p>
    <w:p w14:paraId="53129E48" w14:textId="71886338" w:rsidR="00471626" w:rsidRDefault="00471626" w:rsidP="004E5A77">
      <w:pPr>
        <w:rPr>
          <w:lang w:val="sr-Latn-ME"/>
        </w:rPr>
      </w:pPr>
    </w:p>
    <w:p w14:paraId="18534E23" w14:textId="255B510B" w:rsidR="00471626" w:rsidRDefault="00471626" w:rsidP="004E5A77">
      <w:pPr>
        <w:rPr>
          <w:lang w:val="sr-Latn-ME"/>
        </w:rPr>
      </w:pPr>
    </w:p>
    <w:p w14:paraId="3B40C8F2" w14:textId="4810FAA8" w:rsidR="00471626" w:rsidRDefault="00471626" w:rsidP="004E5A77">
      <w:pPr>
        <w:rPr>
          <w:lang w:val="sr-Latn-ME"/>
        </w:rPr>
      </w:pPr>
    </w:p>
    <w:p w14:paraId="4E6CC9A9" w14:textId="7E0516CA" w:rsidR="00471626" w:rsidRDefault="00471626" w:rsidP="004E5A77">
      <w:pPr>
        <w:rPr>
          <w:lang w:val="sr-Latn-ME"/>
        </w:rPr>
      </w:pPr>
    </w:p>
    <w:p w14:paraId="24484DED" w14:textId="726F6366" w:rsidR="00471626" w:rsidRDefault="00471626" w:rsidP="004E5A77">
      <w:pPr>
        <w:rPr>
          <w:lang w:val="sr-Latn-ME"/>
        </w:rPr>
      </w:pPr>
    </w:p>
    <w:p w14:paraId="36453F5C" w14:textId="54D3B459" w:rsidR="00471626" w:rsidRDefault="00471626" w:rsidP="004E5A77">
      <w:pPr>
        <w:rPr>
          <w:lang w:val="sr-Latn-ME"/>
        </w:rPr>
      </w:pPr>
    </w:p>
    <w:p w14:paraId="58BA8A5B" w14:textId="55CB75E5" w:rsidR="00471626" w:rsidRDefault="00471626" w:rsidP="004E5A77">
      <w:pPr>
        <w:rPr>
          <w:lang w:val="sr-Latn-ME"/>
        </w:rPr>
      </w:pPr>
    </w:p>
    <w:p w14:paraId="7976C547" w14:textId="6DF54BF5" w:rsidR="00471626" w:rsidRDefault="00471626" w:rsidP="004E5A77">
      <w:pPr>
        <w:rPr>
          <w:lang w:val="sr-Latn-ME"/>
        </w:rPr>
      </w:pPr>
    </w:p>
    <w:p w14:paraId="766FE69E" w14:textId="48AD9239" w:rsidR="00471626" w:rsidRDefault="00471626" w:rsidP="004E5A77">
      <w:pPr>
        <w:rPr>
          <w:lang w:val="sr-Latn-ME"/>
        </w:rPr>
      </w:pPr>
    </w:p>
    <w:p w14:paraId="45CF604F" w14:textId="7C583DCE" w:rsidR="00471626" w:rsidRDefault="00471626" w:rsidP="004E5A77">
      <w:pPr>
        <w:rPr>
          <w:lang w:val="sr-Latn-ME"/>
        </w:rPr>
      </w:pPr>
    </w:p>
    <w:p w14:paraId="60480AE2" w14:textId="01B58565" w:rsidR="00471626" w:rsidRDefault="00471626" w:rsidP="004E5A77">
      <w:pPr>
        <w:rPr>
          <w:lang w:val="sr-Latn-ME"/>
        </w:rPr>
      </w:pPr>
    </w:p>
    <w:p w14:paraId="2BCB2D17" w14:textId="3C2ECFC2" w:rsidR="00471626" w:rsidRDefault="00471626" w:rsidP="004E5A77">
      <w:pPr>
        <w:rPr>
          <w:lang w:val="sr-Latn-ME"/>
        </w:rPr>
      </w:pPr>
    </w:p>
    <w:p w14:paraId="6AE50863" w14:textId="17A94237" w:rsidR="00471626" w:rsidRDefault="00471626" w:rsidP="004E5A77">
      <w:pPr>
        <w:rPr>
          <w:lang w:val="sr-Latn-ME"/>
        </w:rPr>
      </w:pPr>
    </w:p>
    <w:p w14:paraId="535DE7C9" w14:textId="42C9E2F3" w:rsidR="00471626" w:rsidRDefault="00471626" w:rsidP="004E5A77">
      <w:pPr>
        <w:rPr>
          <w:lang w:val="sr-Latn-ME"/>
        </w:rPr>
      </w:pPr>
    </w:p>
    <w:p w14:paraId="56146336" w14:textId="4919CFF9" w:rsidR="00471626" w:rsidRDefault="00471626" w:rsidP="004E5A77">
      <w:pPr>
        <w:rPr>
          <w:lang w:val="sr-Latn-ME"/>
        </w:rPr>
      </w:pPr>
    </w:p>
    <w:p w14:paraId="7E4C6C47" w14:textId="7FD6D660" w:rsidR="00471626" w:rsidRDefault="00471626" w:rsidP="004E5A77">
      <w:pPr>
        <w:rPr>
          <w:lang w:val="sr-Latn-ME"/>
        </w:rPr>
      </w:pPr>
    </w:p>
    <w:p w14:paraId="6FEB2353" w14:textId="3C5330D6" w:rsidR="00471626" w:rsidRDefault="00471626" w:rsidP="004E5A77">
      <w:pPr>
        <w:rPr>
          <w:lang w:val="sr-Latn-ME"/>
        </w:rPr>
      </w:pPr>
    </w:p>
    <w:p w14:paraId="5E855330" w14:textId="64C056CC" w:rsidR="00471626" w:rsidRDefault="00471626" w:rsidP="004E5A77">
      <w:pPr>
        <w:rPr>
          <w:lang w:val="sr-Latn-ME"/>
        </w:rPr>
      </w:pPr>
    </w:p>
    <w:p w14:paraId="41CECD04" w14:textId="12C8043E" w:rsidR="00471626" w:rsidRDefault="00471626" w:rsidP="004E5A77">
      <w:pPr>
        <w:rPr>
          <w:lang w:val="sr-Latn-ME"/>
        </w:rPr>
      </w:pPr>
    </w:p>
    <w:p w14:paraId="1E578BC7" w14:textId="237E3B5B" w:rsidR="00471626" w:rsidRDefault="00471626" w:rsidP="004E5A77">
      <w:pPr>
        <w:rPr>
          <w:lang w:val="sr-Latn-ME"/>
        </w:rPr>
      </w:pPr>
    </w:p>
    <w:p w14:paraId="3CB7C7A2" w14:textId="305AE508" w:rsidR="00471626" w:rsidRDefault="00471626" w:rsidP="004E5A77">
      <w:pPr>
        <w:rPr>
          <w:lang w:val="sr-Latn-ME"/>
        </w:rPr>
      </w:pPr>
    </w:p>
    <w:p w14:paraId="2A1120C0" w14:textId="7CD06A02" w:rsidR="00471626" w:rsidRDefault="00471626" w:rsidP="004E5A77">
      <w:pPr>
        <w:rPr>
          <w:lang w:val="sr-Latn-ME"/>
        </w:rPr>
      </w:pPr>
    </w:p>
    <w:p w14:paraId="627FBC92" w14:textId="0704485B" w:rsidR="00471626" w:rsidRDefault="00471626" w:rsidP="004E5A77">
      <w:pPr>
        <w:rPr>
          <w:lang w:val="sr-Latn-ME"/>
        </w:rPr>
      </w:pPr>
    </w:p>
    <w:p w14:paraId="4A588401" w14:textId="423E5FE9" w:rsidR="00471626" w:rsidRDefault="00471626" w:rsidP="004E5A77">
      <w:pPr>
        <w:rPr>
          <w:lang w:val="sr-Latn-ME"/>
        </w:rPr>
      </w:pPr>
    </w:p>
    <w:p w14:paraId="6DF232F3" w14:textId="084124D7" w:rsidR="00471626" w:rsidRDefault="00471626" w:rsidP="004E5A77">
      <w:pPr>
        <w:rPr>
          <w:lang w:val="sr-Latn-ME"/>
        </w:rPr>
      </w:pPr>
    </w:p>
    <w:p w14:paraId="462EF40B" w14:textId="3802C6F5" w:rsidR="00471626" w:rsidRDefault="00471626" w:rsidP="004E5A77">
      <w:pPr>
        <w:rPr>
          <w:lang w:val="sr-Latn-ME"/>
        </w:rPr>
      </w:pPr>
    </w:p>
    <w:p w14:paraId="5D976657" w14:textId="7AC90383" w:rsidR="00471626" w:rsidRDefault="00471626" w:rsidP="004E5A77">
      <w:pPr>
        <w:rPr>
          <w:lang w:val="sr-Latn-ME"/>
        </w:rPr>
      </w:pPr>
    </w:p>
    <w:p w14:paraId="0C98AB62" w14:textId="6A7C5B44" w:rsidR="00471626" w:rsidRDefault="00471626" w:rsidP="004E5A77">
      <w:pPr>
        <w:rPr>
          <w:lang w:val="sr-Latn-ME"/>
        </w:rPr>
      </w:pPr>
    </w:p>
    <w:p w14:paraId="3FC64261" w14:textId="700811D2" w:rsidR="00471626" w:rsidRDefault="00471626" w:rsidP="004E5A77">
      <w:pPr>
        <w:rPr>
          <w:lang w:val="sr-Latn-ME"/>
        </w:rPr>
      </w:pPr>
    </w:p>
    <w:p w14:paraId="00A09649" w14:textId="0BF15968" w:rsidR="00471626" w:rsidRDefault="00471626" w:rsidP="004E5A77">
      <w:pPr>
        <w:rPr>
          <w:lang w:val="sr-Latn-ME"/>
        </w:rPr>
      </w:pPr>
    </w:p>
    <w:p w14:paraId="44FF90EB" w14:textId="71FB6AC2" w:rsidR="00471626" w:rsidRDefault="00471626" w:rsidP="004E5A77">
      <w:pPr>
        <w:rPr>
          <w:lang w:val="sr-Latn-ME"/>
        </w:rPr>
      </w:pPr>
    </w:p>
    <w:p w14:paraId="553B8132" w14:textId="54AE082B" w:rsidR="00471626" w:rsidRDefault="00471626" w:rsidP="004E5A77">
      <w:pPr>
        <w:rPr>
          <w:lang w:val="sr-Latn-ME"/>
        </w:rPr>
      </w:pPr>
    </w:p>
    <w:p w14:paraId="337C4704" w14:textId="2EDE31D4" w:rsidR="00471626" w:rsidRDefault="00471626" w:rsidP="004E5A77">
      <w:pPr>
        <w:rPr>
          <w:lang w:val="sr-Latn-ME"/>
        </w:rPr>
      </w:pPr>
    </w:p>
    <w:p w14:paraId="1D2A5F58" w14:textId="0EFD1D2B" w:rsidR="00471626" w:rsidRDefault="00471626" w:rsidP="004E5A77">
      <w:pPr>
        <w:rPr>
          <w:lang w:val="sr-Latn-ME"/>
        </w:rPr>
      </w:pPr>
    </w:p>
    <w:sectPr w:rsidR="00471626"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98AE5" w14:textId="77777777" w:rsidR="00FF0E7C" w:rsidRDefault="00FF0E7C">
      <w:pPr>
        <w:spacing w:line="240" w:lineRule="auto"/>
      </w:pPr>
      <w:r>
        <w:separator/>
      </w:r>
    </w:p>
  </w:endnote>
  <w:endnote w:type="continuationSeparator" w:id="0">
    <w:p w14:paraId="62EF7AE0" w14:textId="77777777" w:rsidR="00FF0E7C" w:rsidRDefault="00FF0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C6EE" w14:textId="18887A74" w:rsidR="0000780A" w:rsidRDefault="0000780A">
    <w:pPr>
      <w:pStyle w:val="Footer"/>
      <w:tabs>
        <w:tab w:val="right" w:pos="8931"/>
      </w:tabs>
      <w:ind w:right="96"/>
      <w:jc w:val="center"/>
    </w:pPr>
    <w:r>
      <w:fldChar w:fldCharType="begin"/>
    </w:r>
    <w:r>
      <w:instrText xml:space="preserve"> EQ </w:instrText>
    </w:r>
    <w:r>
      <w:fldChar w:fldCharType="end"/>
    </w:r>
    <w:r w:rsidRPr="005B3C24">
      <w:rPr>
        <w:rStyle w:val="PageNumber"/>
        <w:rFonts w:ascii="Times New Roman" w:hAnsi="Times New Roman"/>
        <w:sz w:val="20"/>
      </w:rPr>
      <w:fldChar w:fldCharType="begin"/>
    </w:r>
    <w:r w:rsidRPr="005B3C24">
      <w:rPr>
        <w:rStyle w:val="PageNumber"/>
        <w:rFonts w:ascii="Times New Roman" w:hAnsi="Times New Roman"/>
        <w:sz w:val="20"/>
      </w:rPr>
      <w:instrText xml:space="preserve">PAGE  </w:instrText>
    </w:r>
    <w:r w:rsidRPr="005B3C24">
      <w:rPr>
        <w:rStyle w:val="PageNumber"/>
        <w:rFonts w:ascii="Times New Roman" w:hAnsi="Times New Roman"/>
        <w:sz w:val="20"/>
      </w:rPr>
      <w:fldChar w:fldCharType="separate"/>
    </w:r>
    <w:r w:rsidR="00BF1458">
      <w:rPr>
        <w:rStyle w:val="PageNumber"/>
        <w:rFonts w:ascii="Times New Roman" w:hAnsi="Times New Roman"/>
        <w:sz w:val="20"/>
      </w:rPr>
      <w:t>4</w:t>
    </w:r>
    <w:r w:rsidRPr="005B3C24">
      <w:rPr>
        <w:rStyle w:val="PageNumber"/>
        <w:rFonts w:ascii="Times New Roman" w:hAnsi="Times New Roman"/>
        <w:sz w:val="20"/>
      </w:rPr>
      <w:fldChar w:fldCharType="end"/>
    </w:r>
    <w:r w:rsidR="00471626">
      <w:rPr>
        <w:rStyle w:val="PageNumber"/>
        <w:rFonts w:ascii="Times New Roman" w:hAnsi="Times New Roman"/>
        <w:sz w:val="20"/>
      </w:rPr>
      <w:t xml:space="preserve"> / 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5041" w14:textId="07ED9E74" w:rsidR="0000780A" w:rsidRPr="006C3553" w:rsidRDefault="0000780A" w:rsidP="004E5A77">
    <w:pPr>
      <w:pStyle w:val="Footer"/>
      <w:tabs>
        <w:tab w:val="right" w:pos="8931"/>
      </w:tabs>
      <w:ind w:right="96"/>
      <w:jc w:val="center"/>
      <w:rPr>
        <w:rFonts w:ascii="Times New Roman" w:hAnsi="Times New Roman"/>
        <w:sz w:val="18"/>
        <w:szCs w:val="18"/>
      </w:rPr>
    </w:pPr>
    <w:r w:rsidRPr="005B3C24">
      <w:rPr>
        <w:rFonts w:ascii="Times New Roman" w:hAnsi="Times New Roman"/>
        <w:sz w:val="20"/>
      </w:rPr>
      <w:t>1</w:t>
    </w:r>
    <w:r w:rsidR="00BF1458">
      <w:rPr>
        <w:rFonts w:ascii="Times New Roman" w:hAnsi="Times New Roman"/>
        <w:sz w:val="20"/>
      </w:rPr>
      <w:t xml:space="preserve"> / 18</w:t>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F83D" w14:textId="77777777" w:rsidR="00FF0E7C" w:rsidRDefault="00FF0E7C">
      <w:pPr>
        <w:spacing w:line="240" w:lineRule="auto"/>
      </w:pPr>
      <w:r>
        <w:separator/>
      </w:r>
    </w:p>
  </w:footnote>
  <w:footnote w:type="continuationSeparator" w:id="0">
    <w:p w14:paraId="1BFD6608" w14:textId="77777777" w:rsidR="00FF0E7C" w:rsidRDefault="00FF0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F18B7"/>
    <w:multiLevelType w:val="multilevel"/>
    <w:tmpl w:val="C6D8085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FC4E2E"/>
    <w:multiLevelType w:val="hybridMultilevel"/>
    <w:tmpl w:val="8E2CD2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F5763"/>
    <w:multiLevelType w:val="hybridMultilevel"/>
    <w:tmpl w:val="9F762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9"/>
  </w:num>
  <w:num w:numId="8">
    <w:abstractNumId w:val="11"/>
  </w:num>
  <w:num w:numId="9">
    <w:abstractNumId w:val="23"/>
  </w:num>
  <w:num w:numId="10">
    <w:abstractNumId w:val="1"/>
  </w:num>
  <w:num w:numId="11">
    <w:abstractNumId w:val="20"/>
  </w:num>
  <w:num w:numId="12">
    <w:abstractNumId w:val="10"/>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2"/>
  </w:num>
  <w:num w:numId="18">
    <w:abstractNumId w:val="14"/>
  </w:num>
  <w:num w:numId="19">
    <w:abstractNumId w:val="24"/>
  </w:num>
  <w:num w:numId="20">
    <w:abstractNumId w:val="16"/>
  </w:num>
  <w:num w:numId="21">
    <w:abstractNumId w:val="22"/>
  </w:num>
  <w:num w:numId="22">
    <w:abstractNumId w:val="19"/>
  </w:num>
  <w:num w:numId="23">
    <w:abstractNumId w:val="8"/>
  </w:num>
  <w:num w:numId="24">
    <w:abstractNumId w:val="22"/>
  </w:num>
  <w:num w:numId="25">
    <w:abstractNumId w:val="3"/>
  </w:num>
  <w:num w:numId="26">
    <w:abstractNumId w:val="13"/>
  </w:num>
  <w:num w:numId="27">
    <w:abstractNumId w:val="6"/>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0780A"/>
    <w:rsid w:val="0001164F"/>
    <w:rsid w:val="00012F7A"/>
    <w:rsid w:val="00014869"/>
    <w:rsid w:val="00014D59"/>
    <w:rsid w:val="000150D3"/>
    <w:rsid w:val="000166C1"/>
    <w:rsid w:val="00017ADD"/>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454E"/>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774E5"/>
    <w:rsid w:val="00081DAB"/>
    <w:rsid w:val="00092829"/>
    <w:rsid w:val="00092B09"/>
    <w:rsid w:val="0009351E"/>
    <w:rsid w:val="00094206"/>
    <w:rsid w:val="0009479A"/>
    <w:rsid w:val="00094AD6"/>
    <w:rsid w:val="00095D61"/>
    <w:rsid w:val="00095E44"/>
    <w:rsid w:val="00096D8D"/>
    <w:rsid w:val="0009755A"/>
    <w:rsid w:val="000A1232"/>
    <w:rsid w:val="000A30E5"/>
    <w:rsid w:val="000A40D0"/>
    <w:rsid w:val="000B0097"/>
    <w:rsid w:val="000B0586"/>
    <w:rsid w:val="000B101F"/>
    <w:rsid w:val="000B1F4B"/>
    <w:rsid w:val="000B2F27"/>
    <w:rsid w:val="000B2F58"/>
    <w:rsid w:val="000B37A8"/>
    <w:rsid w:val="000B51D9"/>
    <w:rsid w:val="000C03FB"/>
    <w:rsid w:val="000C12D1"/>
    <w:rsid w:val="000C308F"/>
    <w:rsid w:val="000C5A4E"/>
    <w:rsid w:val="000C635D"/>
    <w:rsid w:val="000C7F49"/>
    <w:rsid w:val="000D1AEE"/>
    <w:rsid w:val="000D1E70"/>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5D49"/>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4A83"/>
    <w:rsid w:val="00195F65"/>
    <w:rsid w:val="00197A54"/>
    <w:rsid w:val="001A07E2"/>
    <w:rsid w:val="001A0A5D"/>
    <w:rsid w:val="001A2018"/>
    <w:rsid w:val="001A56F1"/>
    <w:rsid w:val="001A5D0E"/>
    <w:rsid w:val="001B01C8"/>
    <w:rsid w:val="001B0B52"/>
    <w:rsid w:val="001B13F6"/>
    <w:rsid w:val="001B1747"/>
    <w:rsid w:val="001B1DBF"/>
    <w:rsid w:val="001B2D44"/>
    <w:rsid w:val="001B6B2C"/>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3344"/>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3D96"/>
    <w:rsid w:val="002844B0"/>
    <w:rsid w:val="00286322"/>
    <w:rsid w:val="00296B03"/>
    <w:rsid w:val="00296C1F"/>
    <w:rsid w:val="0029791A"/>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18D"/>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E61A3"/>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24D1"/>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32CB"/>
    <w:rsid w:val="0038500E"/>
    <w:rsid w:val="0038761D"/>
    <w:rsid w:val="003906F8"/>
    <w:rsid w:val="003935EE"/>
    <w:rsid w:val="00393EE9"/>
    <w:rsid w:val="0039408A"/>
    <w:rsid w:val="003945F5"/>
    <w:rsid w:val="003965AA"/>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D6144"/>
    <w:rsid w:val="003D646F"/>
    <w:rsid w:val="003D739B"/>
    <w:rsid w:val="003E0D78"/>
    <w:rsid w:val="003E1CB1"/>
    <w:rsid w:val="003E3A1D"/>
    <w:rsid w:val="003E599B"/>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5BD3"/>
    <w:rsid w:val="00426CD9"/>
    <w:rsid w:val="00430FEB"/>
    <w:rsid w:val="004310EE"/>
    <w:rsid w:val="00433677"/>
    <w:rsid w:val="004340D5"/>
    <w:rsid w:val="00434880"/>
    <w:rsid w:val="00434A21"/>
    <w:rsid w:val="0043526D"/>
    <w:rsid w:val="004460E9"/>
    <w:rsid w:val="00447B6F"/>
    <w:rsid w:val="00453623"/>
    <w:rsid w:val="00453C11"/>
    <w:rsid w:val="00454D3A"/>
    <w:rsid w:val="004557B0"/>
    <w:rsid w:val="00457946"/>
    <w:rsid w:val="00457D8B"/>
    <w:rsid w:val="00460A17"/>
    <w:rsid w:val="0046120A"/>
    <w:rsid w:val="00462F79"/>
    <w:rsid w:val="00463438"/>
    <w:rsid w:val="00463ECE"/>
    <w:rsid w:val="00465388"/>
    <w:rsid w:val="004677C9"/>
    <w:rsid w:val="00470CB5"/>
    <w:rsid w:val="00471626"/>
    <w:rsid w:val="00471EAB"/>
    <w:rsid w:val="004723EE"/>
    <w:rsid w:val="00475A92"/>
    <w:rsid w:val="00475E15"/>
    <w:rsid w:val="00477BB9"/>
    <w:rsid w:val="004835E6"/>
    <w:rsid w:val="004859EE"/>
    <w:rsid w:val="00487366"/>
    <w:rsid w:val="004873E4"/>
    <w:rsid w:val="0049072C"/>
    <w:rsid w:val="00490FD1"/>
    <w:rsid w:val="00491AD2"/>
    <w:rsid w:val="004935C0"/>
    <w:rsid w:val="00493B43"/>
    <w:rsid w:val="00494EB1"/>
    <w:rsid w:val="00496414"/>
    <w:rsid w:val="00497A38"/>
    <w:rsid w:val="004A348C"/>
    <w:rsid w:val="004A45BD"/>
    <w:rsid w:val="004A4656"/>
    <w:rsid w:val="004A77B0"/>
    <w:rsid w:val="004B08A9"/>
    <w:rsid w:val="004B1CED"/>
    <w:rsid w:val="004B2973"/>
    <w:rsid w:val="004B34A7"/>
    <w:rsid w:val="004B3B06"/>
    <w:rsid w:val="004B3ED5"/>
    <w:rsid w:val="004B4643"/>
    <w:rsid w:val="004B7F67"/>
    <w:rsid w:val="004C06BE"/>
    <w:rsid w:val="004C0938"/>
    <w:rsid w:val="004C1994"/>
    <w:rsid w:val="004C25FD"/>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621"/>
    <w:rsid w:val="00532C41"/>
    <w:rsid w:val="00532D3F"/>
    <w:rsid w:val="0053386D"/>
    <w:rsid w:val="00534700"/>
    <w:rsid w:val="0053791F"/>
    <w:rsid w:val="005448F7"/>
    <w:rsid w:val="0054526F"/>
    <w:rsid w:val="00545970"/>
    <w:rsid w:val="00546622"/>
    <w:rsid w:val="00547538"/>
    <w:rsid w:val="00553BFA"/>
    <w:rsid w:val="005547AA"/>
    <w:rsid w:val="00554D05"/>
    <w:rsid w:val="0055596B"/>
    <w:rsid w:val="005574AA"/>
    <w:rsid w:val="0056077E"/>
    <w:rsid w:val="00560EDA"/>
    <w:rsid w:val="005629EE"/>
    <w:rsid w:val="005648FA"/>
    <w:rsid w:val="00564D50"/>
    <w:rsid w:val="00567346"/>
    <w:rsid w:val="005675AB"/>
    <w:rsid w:val="00573223"/>
    <w:rsid w:val="0057371B"/>
    <w:rsid w:val="00575EB8"/>
    <w:rsid w:val="0057613A"/>
    <w:rsid w:val="005829BA"/>
    <w:rsid w:val="00582A9B"/>
    <w:rsid w:val="005832AB"/>
    <w:rsid w:val="0058437C"/>
    <w:rsid w:val="005935F4"/>
    <w:rsid w:val="00593E0A"/>
    <w:rsid w:val="005971B0"/>
    <w:rsid w:val="005A167F"/>
    <w:rsid w:val="005A2143"/>
    <w:rsid w:val="005A2AE3"/>
    <w:rsid w:val="005A346E"/>
    <w:rsid w:val="005A36DD"/>
    <w:rsid w:val="005A73CF"/>
    <w:rsid w:val="005B3045"/>
    <w:rsid w:val="005B3C24"/>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E683F"/>
    <w:rsid w:val="005F0DA0"/>
    <w:rsid w:val="005F2767"/>
    <w:rsid w:val="005F34CB"/>
    <w:rsid w:val="005F4790"/>
    <w:rsid w:val="005F4914"/>
    <w:rsid w:val="005F62B7"/>
    <w:rsid w:val="005F67FC"/>
    <w:rsid w:val="005F6869"/>
    <w:rsid w:val="005F6BB9"/>
    <w:rsid w:val="0060118C"/>
    <w:rsid w:val="00603148"/>
    <w:rsid w:val="00606FC7"/>
    <w:rsid w:val="00610456"/>
    <w:rsid w:val="00611473"/>
    <w:rsid w:val="00611B36"/>
    <w:rsid w:val="00613A34"/>
    <w:rsid w:val="00615ADA"/>
    <w:rsid w:val="00617F0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5D64"/>
    <w:rsid w:val="00687DB2"/>
    <w:rsid w:val="00687E06"/>
    <w:rsid w:val="00690127"/>
    <w:rsid w:val="00691BFF"/>
    <w:rsid w:val="006942F1"/>
    <w:rsid w:val="006953C1"/>
    <w:rsid w:val="00696EB2"/>
    <w:rsid w:val="0069741A"/>
    <w:rsid w:val="006A0DEA"/>
    <w:rsid w:val="006A16E9"/>
    <w:rsid w:val="006A436F"/>
    <w:rsid w:val="006A5450"/>
    <w:rsid w:val="006B0199"/>
    <w:rsid w:val="006B0A32"/>
    <w:rsid w:val="006B0BD8"/>
    <w:rsid w:val="006B4557"/>
    <w:rsid w:val="006C0251"/>
    <w:rsid w:val="006C0320"/>
    <w:rsid w:val="006C2B9A"/>
    <w:rsid w:val="006C3553"/>
    <w:rsid w:val="006C39BB"/>
    <w:rsid w:val="006C4502"/>
    <w:rsid w:val="006C6114"/>
    <w:rsid w:val="006C6125"/>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6F73FE"/>
    <w:rsid w:val="00701C2D"/>
    <w:rsid w:val="00702162"/>
    <w:rsid w:val="00703930"/>
    <w:rsid w:val="0070610E"/>
    <w:rsid w:val="00707759"/>
    <w:rsid w:val="00710081"/>
    <w:rsid w:val="00710B0D"/>
    <w:rsid w:val="007123E1"/>
    <w:rsid w:val="00713CB5"/>
    <w:rsid w:val="00714E3F"/>
    <w:rsid w:val="0071558B"/>
    <w:rsid w:val="00715E67"/>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4BA0"/>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95FB9"/>
    <w:rsid w:val="007A0646"/>
    <w:rsid w:val="007A06AC"/>
    <w:rsid w:val="007A1B2F"/>
    <w:rsid w:val="007A4636"/>
    <w:rsid w:val="007A5719"/>
    <w:rsid w:val="007A7377"/>
    <w:rsid w:val="007B0CCF"/>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199A"/>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39FF"/>
    <w:rsid w:val="007F43BA"/>
    <w:rsid w:val="007F45D1"/>
    <w:rsid w:val="007F64BE"/>
    <w:rsid w:val="007F6DC3"/>
    <w:rsid w:val="008006B4"/>
    <w:rsid w:val="008015B6"/>
    <w:rsid w:val="00803FD4"/>
    <w:rsid w:val="0080481C"/>
    <w:rsid w:val="00804C54"/>
    <w:rsid w:val="008056DD"/>
    <w:rsid w:val="00807297"/>
    <w:rsid w:val="0081104C"/>
    <w:rsid w:val="008121F2"/>
    <w:rsid w:val="00812D16"/>
    <w:rsid w:val="00816C51"/>
    <w:rsid w:val="0081791C"/>
    <w:rsid w:val="00821865"/>
    <w:rsid w:val="008225EB"/>
    <w:rsid w:val="0082327D"/>
    <w:rsid w:val="0082433D"/>
    <w:rsid w:val="00824B12"/>
    <w:rsid w:val="00826509"/>
    <w:rsid w:val="0083354D"/>
    <w:rsid w:val="00834E31"/>
    <w:rsid w:val="0083561B"/>
    <w:rsid w:val="00837D78"/>
    <w:rsid w:val="00840D79"/>
    <w:rsid w:val="00842939"/>
    <w:rsid w:val="00842A21"/>
    <w:rsid w:val="00843059"/>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5D79"/>
    <w:rsid w:val="008770D4"/>
    <w:rsid w:val="008800E5"/>
    <w:rsid w:val="0088127F"/>
    <w:rsid w:val="008815EF"/>
    <w:rsid w:val="00883ED5"/>
    <w:rsid w:val="00884C14"/>
    <w:rsid w:val="00885273"/>
    <w:rsid w:val="00885F2C"/>
    <w:rsid w:val="00886386"/>
    <w:rsid w:val="0088701C"/>
    <w:rsid w:val="00892459"/>
    <w:rsid w:val="008929AA"/>
    <w:rsid w:val="00892AA5"/>
    <w:rsid w:val="008933EF"/>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3FD3"/>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2F97"/>
    <w:rsid w:val="00985F8B"/>
    <w:rsid w:val="00990B70"/>
    <w:rsid w:val="00990BA3"/>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16B8"/>
    <w:rsid w:val="009C20CC"/>
    <w:rsid w:val="009C25F3"/>
    <w:rsid w:val="009C2BDF"/>
    <w:rsid w:val="009C3558"/>
    <w:rsid w:val="009C562E"/>
    <w:rsid w:val="009C5E44"/>
    <w:rsid w:val="009C70D2"/>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46DC"/>
    <w:rsid w:val="00A1637F"/>
    <w:rsid w:val="00A178DE"/>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7DD"/>
    <w:rsid w:val="00A968C3"/>
    <w:rsid w:val="00A96FA8"/>
    <w:rsid w:val="00A9770A"/>
    <w:rsid w:val="00AA0A43"/>
    <w:rsid w:val="00AA0DD3"/>
    <w:rsid w:val="00AA1C07"/>
    <w:rsid w:val="00AA3688"/>
    <w:rsid w:val="00AA4006"/>
    <w:rsid w:val="00AA5887"/>
    <w:rsid w:val="00AA58B7"/>
    <w:rsid w:val="00AB19F8"/>
    <w:rsid w:val="00AB2A61"/>
    <w:rsid w:val="00AB3A12"/>
    <w:rsid w:val="00AB3F6A"/>
    <w:rsid w:val="00AB4D9A"/>
    <w:rsid w:val="00AB5A8D"/>
    <w:rsid w:val="00AB6642"/>
    <w:rsid w:val="00AC26A9"/>
    <w:rsid w:val="00AC2EFE"/>
    <w:rsid w:val="00AC3930"/>
    <w:rsid w:val="00AC3AB1"/>
    <w:rsid w:val="00AC5E15"/>
    <w:rsid w:val="00AC68C6"/>
    <w:rsid w:val="00AC710C"/>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874"/>
    <w:rsid w:val="00AE7D78"/>
    <w:rsid w:val="00AF41F6"/>
    <w:rsid w:val="00AF438E"/>
    <w:rsid w:val="00AF45CA"/>
    <w:rsid w:val="00AF4B41"/>
    <w:rsid w:val="00AF5CEE"/>
    <w:rsid w:val="00AF7506"/>
    <w:rsid w:val="00B007DD"/>
    <w:rsid w:val="00B0098A"/>
    <w:rsid w:val="00B01016"/>
    <w:rsid w:val="00B0146E"/>
    <w:rsid w:val="00B02160"/>
    <w:rsid w:val="00B027CB"/>
    <w:rsid w:val="00B0352B"/>
    <w:rsid w:val="00B073E6"/>
    <w:rsid w:val="00B074F8"/>
    <w:rsid w:val="00B11A3D"/>
    <w:rsid w:val="00B121B0"/>
    <w:rsid w:val="00B13280"/>
    <w:rsid w:val="00B13B87"/>
    <w:rsid w:val="00B1555F"/>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3EA"/>
    <w:rsid w:val="00B42F69"/>
    <w:rsid w:val="00B46EC7"/>
    <w:rsid w:val="00B50A91"/>
    <w:rsid w:val="00B5160B"/>
    <w:rsid w:val="00B51761"/>
    <w:rsid w:val="00B51871"/>
    <w:rsid w:val="00B52022"/>
    <w:rsid w:val="00B52187"/>
    <w:rsid w:val="00B54691"/>
    <w:rsid w:val="00B60CCD"/>
    <w:rsid w:val="00B62854"/>
    <w:rsid w:val="00B62C87"/>
    <w:rsid w:val="00B62EF1"/>
    <w:rsid w:val="00B640CC"/>
    <w:rsid w:val="00B645B6"/>
    <w:rsid w:val="00B64B2F"/>
    <w:rsid w:val="00B667BF"/>
    <w:rsid w:val="00B674D6"/>
    <w:rsid w:val="00B6797D"/>
    <w:rsid w:val="00B71574"/>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2573"/>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458"/>
    <w:rsid w:val="00BF1E46"/>
    <w:rsid w:val="00BF2A3A"/>
    <w:rsid w:val="00BF2CD1"/>
    <w:rsid w:val="00BF3FD9"/>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5A0"/>
    <w:rsid w:val="00C20CA6"/>
    <w:rsid w:val="00C21AD6"/>
    <w:rsid w:val="00C226F9"/>
    <w:rsid w:val="00C23398"/>
    <w:rsid w:val="00C23B23"/>
    <w:rsid w:val="00C2428B"/>
    <w:rsid w:val="00C26C22"/>
    <w:rsid w:val="00C27B03"/>
    <w:rsid w:val="00C3089B"/>
    <w:rsid w:val="00C34B40"/>
    <w:rsid w:val="00C35836"/>
    <w:rsid w:val="00C40F0A"/>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5E8"/>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C4E90"/>
    <w:rsid w:val="00CD077C"/>
    <w:rsid w:val="00CD342A"/>
    <w:rsid w:val="00CD3940"/>
    <w:rsid w:val="00CE2F14"/>
    <w:rsid w:val="00CE52B8"/>
    <w:rsid w:val="00CE6A0B"/>
    <w:rsid w:val="00CE6EC9"/>
    <w:rsid w:val="00CE7BF6"/>
    <w:rsid w:val="00CF0950"/>
    <w:rsid w:val="00CF3B07"/>
    <w:rsid w:val="00CF4C13"/>
    <w:rsid w:val="00CF62E0"/>
    <w:rsid w:val="00CF6384"/>
    <w:rsid w:val="00CF6902"/>
    <w:rsid w:val="00D02B8F"/>
    <w:rsid w:val="00D0401F"/>
    <w:rsid w:val="00D06E88"/>
    <w:rsid w:val="00D110DE"/>
    <w:rsid w:val="00D11F90"/>
    <w:rsid w:val="00D13527"/>
    <w:rsid w:val="00D15E4E"/>
    <w:rsid w:val="00D17601"/>
    <w:rsid w:val="00D20D6E"/>
    <w:rsid w:val="00D21300"/>
    <w:rsid w:val="00D22F7B"/>
    <w:rsid w:val="00D230DC"/>
    <w:rsid w:val="00D2583E"/>
    <w:rsid w:val="00D26C9A"/>
    <w:rsid w:val="00D303E8"/>
    <w:rsid w:val="00D31BA6"/>
    <w:rsid w:val="00D335E1"/>
    <w:rsid w:val="00D34247"/>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380"/>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2CD0"/>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0"/>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39C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96E5F"/>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2D48"/>
    <w:rsid w:val="00EC5E2F"/>
    <w:rsid w:val="00ED613A"/>
    <w:rsid w:val="00ED6CFA"/>
    <w:rsid w:val="00ED6D53"/>
    <w:rsid w:val="00ED6EBD"/>
    <w:rsid w:val="00EE029C"/>
    <w:rsid w:val="00EE0310"/>
    <w:rsid w:val="00EE1855"/>
    <w:rsid w:val="00EE1E1F"/>
    <w:rsid w:val="00EE2B68"/>
    <w:rsid w:val="00EE3733"/>
    <w:rsid w:val="00EE395E"/>
    <w:rsid w:val="00EE6D70"/>
    <w:rsid w:val="00EF1386"/>
    <w:rsid w:val="00EF2249"/>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7B"/>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6645"/>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0E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F219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5829BA"/>
    <w:pPr>
      <w:autoSpaceDE w:val="0"/>
      <w:autoSpaceDN w:val="0"/>
      <w:adjustRightInd w:val="0"/>
    </w:pPr>
    <w:rPr>
      <w:rFonts w:eastAsia="Times New Roman"/>
      <w:color w:val="000000"/>
      <w:sz w:val="24"/>
      <w:szCs w:val="24"/>
      <w:lang w:val="sl-SI" w:eastAsia="sl-SI"/>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5829BA"/>
    <w:rPr>
      <w:rFonts w:ascii="Arial" w:eastAsia="Times New Roman" w:hAnsi="Arial"/>
      <w:lang w:eastAsia="en-US"/>
    </w:rPr>
  </w:style>
  <w:style w:type="character" w:customStyle="1" w:styleId="BalloonTextChar">
    <w:name w:val="Balloon Text Char"/>
    <w:link w:val="BalloonText"/>
    <w:rsid w:val="005829BA"/>
    <w:rPr>
      <w:rFonts w:ascii="Tahoma" w:eastAsia="Times New Roman" w:hAnsi="Tahoma" w:cs="Tahoma"/>
      <w:sz w:val="16"/>
      <w:szCs w:val="16"/>
      <w:lang w:eastAsia="en-US"/>
    </w:rPr>
  </w:style>
  <w:style w:type="paragraph" w:styleId="NoSpacing">
    <w:name w:val="No Spacing"/>
    <w:uiPriority w:val="1"/>
    <w:qFormat/>
    <w:rsid w:val="005829BA"/>
    <w:rPr>
      <w:rFonts w:eastAsia="Times New Roman"/>
      <w:sz w:val="24"/>
      <w:szCs w:val="24"/>
      <w:lang w:val="en-US" w:eastAsia="en-US"/>
    </w:rPr>
  </w:style>
  <w:style w:type="character" w:customStyle="1" w:styleId="Nerazreenaomemba1">
    <w:name w:val="Nerazrešena omemba1"/>
    <w:uiPriority w:val="99"/>
    <w:semiHidden/>
    <w:unhideWhenUsed/>
    <w:rsid w:val="0009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7335</Words>
  <Characters>41816</Characters>
  <Application>Microsoft Office Word</Application>
  <DocSecurity>0</DocSecurity>
  <Lines>348</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grgic</dc:creator>
  <cp:lastModifiedBy>Aleksandra Jonić-Popović</cp:lastModifiedBy>
  <cp:revision>4</cp:revision>
  <dcterms:created xsi:type="dcterms:W3CDTF">2024-12-12T07:31:00Z</dcterms:created>
  <dcterms:modified xsi:type="dcterms:W3CDTF">2024-12-12T13:40:00Z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