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C674E" w14:textId="1D72C7E4" w:rsidR="00CE09F3" w:rsidRPr="0045764A" w:rsidRDefault="00CE09F3" w:rsidP="00245718">
      <w:pPr>
        <w:jc w:val="center"/>
        <w:rPr>
          <w:b/>
          <w:bCs/>
          <w:iCs/>
          <w:szCs w:val="22"/>
          <w:u w:val="single"/>
          <w:lang w:val="sr-Latn-ME"/>
        </w:rPr>
      </w:pPr>
      <w:r w:rsidRPr="0045764A">
        <w:rPr>
          <w:b/>
          <w:bCs/>
          <w:iCs/>
          <w:szCs w:val="22"/>
          <w:u w:val="single"/>
          <w:lang w:val="sr-Latn-ME"/>
        </w:rPr>
        <w:t xml:space="preserve">SAŽETAK KARAKTERISTIKA </w:t>
      </w:r>
      <w:r w:rsidR="00593BF5" w:rsidRPr="0045764A">
        <w:rPr>
          <w:b/>
          <w:bCs/>
          <w:iCs/>
          <w:szCs w:val="22"/>
          <w:u w:val="single"/>
          <w:lang w:val="sr-Latn-ME"/>
        </w:rPr>
        <w:t>LIJEK</w:t>
      </w:r>
      <w:r w:rsidRPr="0045764A">
        <w:rPr>
          <w:b/>
          <w:bCs/>
          <w:iCs/>
          <w:szCs w:val="22"/>
          <w:u w:val="single"/>
          <w:lang w:val="sr-Latn-ME"/>
        </w:rPr>
        <w:t>A</w:t>
      </w:r>
    </w:p>
    <w:p w14:paraId="4B3C674F" w14:textId="77777777" w:rsidR="00383195" w:rsidRPr="0045764A" w:rsidRDefault="003E3EC7" w:rsidP="00C65330">
      <w:pPr>
        <w:rPr>
          <w:szCs w:val="22"/>
          <w:lang w:val="sr-Latn-ME"/>
        </w:rPr>
      </w:pPr>
      <w:r w:rsidRPr="0045764A">
        <w:rPr>
          <w:szCs w:val="22"/>
          <w:lang w:val="sr-Latn-ME"/>
        </w:rPr>
        <w:t xml:space="preserve"> </w:t>
      </w:r>
    </w:p>
    <w:p w14:paraId="4B3C6755" w14:textId="77777777" w:rsidR="00CE09F3" w:rsidRPr="0045764A" w:rsidRDefault="00CE09F3" w:rsidP="00C65330">
      <w:pPr>
        <w:rPr>
          <w:b/>
          <w:bCs/>
          <w:szCs w:val="22"/>
          <w:lang w:val="sr-Latn-ME"/>
        </w:rPr>
      </w:pPr>
    </w:p>
    <w:p w14:paraId="4B3C6759" w14:textId="400F5667" w:rsidR="00CE09F3" w:rsidRPr="0045764A" w:rsidRDefault="00CE09F3" w:rsidP="00C65330">
      <w:pPr>
        <w:pStyle w:val="NASLOV123"/>
        <w:spacing w:before="0" w:after="0"/>
        <w:jc w:val="both"/>
        <w:rPr>
          <w:lang w:val="sr-Latn-ME"/>
        </w:rPr>
      </w:pPr>
      <w:r w:rsidRPr="0045764A">
        <w:rPr>
          <w:lang w:val="sr-Latn-ME"/>
        </w:rPr>
        <w:t>1</w:t>
      </w:r>
      <w:r w:rsidR="005456BC" w:rsidRPr="0045764A">
        <w:rPr>
          <w:lang w:val="sr-Latn-ME"/>
        </w:rPr>
        <w:t xml:space="preserve">. </w:t>
      </w:r>
      <w:r w:rsidR="004B3C86" w:rsidRPr="0045764A">
        <w:rPr>
          <w:lang w:val="sr-Latn-ME"/>
        </w:rPr>
        <w:t>NAZIV</w:t>
      </w:r>
      <w:r w:rsidR="005456BC" w:rsidRPr="0045764A">
        <w:rPr>
          <w:lang w:val="sr-Latn-ME"/>
        </w:rPr>
        <w:t xml:space="preserve"> </w:t>
      </w:r>
      <w:r w:rsidR="00593BF5" w:rsidRPr="0045764A">
        <w:rPr>
          <w:lang w:val="sr-Latn-ME"/>
        </w:rPr>
        <w:t>LIJEK</w:t>
      </w:r>
      <w:r w:rsidR="005456BC" w:rsidRPr="0045764A">
        <w:rPr>
          <w:lang w:val="sr-Latn-ME"/>
        </w:rPr>
        <w:t>A</w:t>
      </w:r>
    </w:p>
    <w:p w14:paraId="277276C6" w14:textId="77777777" w:rsidR="004B3C86" w:rsidRPr="0045764A" w:rsidRDefault="004B3C86" w:rsidP="00C65330">
      <w:pPr>
        <w:pStyle w:val="NASLOV123"/>
        <w:spacing w:before="0" w:after="0"/>
        <w:jc w:val="both"/>
        <w:rPr>
          <w:lang w:val="sr-Latn-ME"/>
        </w:rPr>
      </w:pPr>
    </w:p>
    <w:p w14:paraId="4B3C675A" w14:textId="56FA6D36" w:rsidR="00CE09F3" w:rsidRPr="0045764A" w:rsidRDefault="00593BF5" w:rsidP="00C65330">
      <w:pPr>
        <w:rPr>
          <w:bCs/>
          <w:szCs w:val="22"/>
          <w:lang w:val="sr-Latn-ME"/>
        </w:rPr>
      </w:pPr>
      <w:proofErr w:type="spellStart"/>
      <w:r w:rsidRPr="0045764A">
        <w:rPr>
          <w:bCs/>
          <w:szCs w:val="22"/>
          <w:lang w:val="sr-Latn-ME"/>
        </w:rPr>
        <w:t>Aksitinib</w:t>
      </w:r>
      <w:proofErr w:type="spellEnd"/>
      <w:r w:rsidRPr="0045764A">
        <w:rPr>
          <w:bCs/>
          <w:szCs w:val="22"/>
          <w:lang w:val="sr-Latn-ME"/>
        </w:rPr>
        <w:t xml:space="preserve"> STADA</w:t>
      </w:r>
      <w:r w:rsidR="00CE09F3" w:rsidRPr="0045764A">
        <w:rPr>
          <w:bCs/>
          <w:szCs w:val="22"/>
          <w:lang w:val="sr-Latn-ME"/>
        </w:rPr>
        <w:t xml:space="preserve">, </w:t>
      </w:r>
      <w:r w:rsidR="00D64074" w:rsidRPr="0045764A">
        <w:rPr>
          <w:bCs/>
          <w:szCs w:val="22"/>
          <w:lang w:val="sr-Latn-ME"/>
        </w:rPr>
        <w:t>1 mg,</w:t>
      </w:r>
      <w:r w:rsidR="00CE09F3" w:rsidRPr="0045764A">
        <w:rPr>
          <w:bCs/>
          <w:szCs w:val="22"/>
          <w:lang w:val="sr-Latn-ME"/>
        </w:rPr>
        <w:t xml:space="preserve"> f</w:t>
      </w:r>
      <w:r w:rsidR="00C7005E" w:rsidRPr="0045764A">
        <w:rPr>
          <w:bCs/>
          <w:szCs w:val="22"/>
          <w:lang w:val="sr-Latn-ME"/>
        </w:rPr>
        <w:t>ilm tablet</w:t>
      </w:r>
      <w:r w:rsidR="00C16551" w:rsidRPr="0045764A">
        <w:rPr>
          <w:bCs/>
          <w:szCs w:val="22"/>
          <w:lang w:val="sr-Latn-ME"/>
        </w:rPr>
        <w:t>a</w:t>
      </w:r>
    </w:p>
    <w:p w14:paraId="541C9D61" w14:textId="603CA128" w:rsidR="004C19B1" w:rsidRPr="0045764A" w:rsidRDefault="00593BF5" w:rsidP="00C65330">
      <w:pPr>
        <w:rPr>
          <w:bCs/>
          <w:szCs w:val="22"/>
          <w:lang w:val="sr-Latn-ME"/>
        </w:rPr>
      </w:pPr>
      <w:proofErr w:type="spellStart"/>
      <w:r w:rsidRPr="0045764A">
        <w:rPr>
          <w:bCs/>
          <w:szCs w:val="22"/>
          <w:lang w:val="sr-Latn-ME"/>
        </w:rPr>
        <w:t>Aksitinib</w:t>
      </w:r>
      <w:proofErr w:type="spellEnd"/>
      <w:r w:rsidRPr="0045764A">
        <w:rPr>
          <w:bCs/>
          <w:szCs w:val="22"/>
          <w:lang w:val="sr-Latn-ME"/>
        </w:rPr>
        <w:t xml:space="preserve"> STADA</w:t>
      </w:r>
      <w:r w:rsidR="004C19B1" w:rsidRPr="0045764A">
        <w:rPr>
          <w:bCs/>
          <w:szCs w:val="22"/>
          <w:lang w:val="sr-Latn-ME"/>
        </w:rPr>
        <w:t>, 3 mg, film tablet</w:t>
      </w:r>
      <w:r w:rsidR="00C16551" w:rsidRPr="0045764A">
        <w:rPr>
          <w:bCs/>
          <w:szCs w:val="22"/>
          <w:lang w:val="sr-Latn-ME"/>
        </w:rPr>
        <w:t>a</w:t>
      </w:r>
    </w:p>
    <w:p w14:paraId="7F4C93B2" w14:textId="10FF74FE" w:rsidR="001E2187" w:rsidRPr="0045764A" w:rsidRDefault="00593BF5" w:rsidP="00C65330">
      <w:pPr>
        <w:rPr>
          <w:bCs/>
          <w:szCs w:val="22"/>
          <w:lang w:val="sr-Latn-ME"/>
        </w:rPr>
      </w:pPr>
      <w:proofErr w:type="spellStart"/>
      <w:r w:rsidRPr="0045764A">
        <w:rPr>
          <w:bCs/>
          <w:szCs w:val="22"/>
          <w:lang w:val="sr-Latn-ME"/>
        </w:rPr>
        <w:t>Aksitinib</w:t>
      </w:r>
      <w:proofErr w:type="spellEnd"/>
      <w:r w:rsidRPr="0045764A">
        <w:rPr>
          <w:bCs/>
          <w:szCs w:val="22"/>
          <w:lang w:val="sr-Latn-ME"/>
        </w:rPr>
        <w:t xml:space="preserve"> STADA</w:t>
      </w:r>
      <w:r w:rsidR="001E2187" w:rsidRPr="0045764A">
        <w:rPr>
          <w:bCs/>
          <w:szCs w:val="22"/>
          <w:lang w:val="sr-Latn-ME"/>
        </w:rPr>
        <w:t>, 5 mg, film tablet</w:t>
      </w:r>
      <w:r w:rsidR="00C16551" w:rsidRPr="0045764A">
        <w:rPr>
          <w:bCs/>
          <w:szCs w:val="22"/>
          <w:lang w:val="sr-Latn-ME"/>
        </w:rPr>
        <w:t>a</w:t>
      </w:r>
    </w:p>
    <w:p w14:paraId="37CB010F" w14:textId="3337F89C" w:rsidR="001E2187" w:rsidRPr="0045764A" w:rsidRDefault="00593BF5" w:rsidP="00C65330">
      <w:pPr>
        <w:rPr>
          <w:bCs/>
          <w:szCs w:val="22"/>
          <w:lang w:val="sr-Latn-ME"/>
        </w:rPr>
      </w:pPr>
      <w:proofErr w:type="spellStart"/>
      <w:r w:rsidRPr="0045764A">
        <w:rPr>
          <w:bCs/>
          <w:szCs w:val="22"/>
          <w:lang w:val="sr-Latn-ME"/>
        </w:rPr>
        <w:t>Aksitinib</w:t>
      </w:r>
      <w:proofErr w:type="spellEnd"/>
      <w:r w:rsidRPr="0045764A">
        <w:rPr>
          <w:bCs/>
          <w:szCs w:val="22"/>
          <w:lang w:val="sr-Latn-ME"/>
        </w:rPr>
        <w:t xml:space="preserve"> STADA</w:t>
      </w:r>
      <w:r w:rsidR="001E2187" w:rsidRPr="0045764A">
        <w:rPr>
          <w:bCs/>
          <w:szCs w:val="22"/>
          <w:lang w:val="sr-Latn-ME"/>
        </w:rPr>
        <w:t>, 7 mg, film tablet</w:t>
      </w:r>
      <w:r w:rsidR="00C16551" w:rsidRPr="0045764A">
        <w:rPr>
          <w:bCs/>
          <w:szCs w:val="22"/>
          <w:lang w:val="sr-Latn-ME"/>
        </w:rPr>
        <w:t>a</w:t>
      </w:r>
    </w:p>
    <w:p w14:paraId="5E43E3BA" w14:textId="77777777" w:rsidR="00C16551" w:rsidRPr="0045764A" w:rsidRDefault="00C16551" w:rsidP="00C65330">
      <w:pPr>
        <w:rPr>
          <w:szCs w:val="22"/>
          <w:lang w:val="sr-Latn-ME"/>
        </w:rPr>
      </w:pPr>
    </w:p>
    <w:p w14:paraId="4B3C675C" w14:textId="67C010D9" w:rsidR="00CE09F3" w:rsidRPr="0045764A" w:rsidRDefault="00C16551" w:rsidP="00C65330">
      <w:pPr>
        <w:rPr>
          <w:szCs w:val="22"/>
          <w:lang w:val="sr-Latn-ME"/>
        </w:rPr>
      </w:pPr>
      <w:r w:rsidRPr="0045764A">
        <w:rPr>
          <w:szCs w:val="22"/>
          <w:lang w:val="sr-Latn-ME"/>
        </w:rPr>
        <w:t xml:space="preserve">INN: </w:t>
      </w:r>
      <w:proofErr w:type="spellStart"/>
      <w:r w:rsidR="00691CAF" w:rsidRPr="0045764A">
        <w:rPr>
          <w:szCs w:val="22"/>
          <w:lang w:val="sr-Latn-ME"/>
        </w:rPr>
        <w:t>aksitinib</w:t>
      </w:r>
      <w:proofErr w:type="spellEnd"/>
    </w:p>
    <w:p w14:paraId="4B3C6760" w14:textId="69B97ED0" w:rsidR="00CE09F3" w:rsidRPr="0045764A" w:rsidRDefault="00CE09F3" w:rsidP="00C65330">
      <w:pPr>
        <w:rPr>
          <w:b/>
          <w:bCs/>
          <w:szCs w:val="22"/>
          <w:lang w:val="sr-Latn-ME"/>
        </w:rPr>
      </w:pPr>
    </w:p>
    <w:p w14:paraId="0C42EE3F" w14:textId="77777777" w:rsidR="00456ECD" w:rsidRPr="0045764A" w:rsidRDefault="00456ECD" w:rsidP="00C65330">
      <w:pPr>
        <w:rPr>
          <w:b/>
          <w:bCs/>
          <w:szCs w:val="22"/>
          <w:lang w:val="sr-Latn-ME"/>
        </w:rPr>
      </w:pPr>
    </w:p>
    <w:p w14:paraId="4B3C6761" w14:textId="06669054" w:rsidR="00CE09F3" w:rsidRPr="0045764A" w:rsidRDefault="00CE09F3" w:rsidP="00C65330">
      <w:pPr>
        <w:pStyle w:val="NASLOV123"/>
        <w:spacing w:before="0" w:after="0"/>
        <w:jc w:val="both"/>
        <w:rPr>
          <w:lang w:val="sr-Latn-ME"/>
        </w:rPr>
      </w:pPr>
      <w:r w:rsidRPr="0045764A">
        <w:rPr>
          <w:lang w:val="sr-Latn-ME"/>
        </w:rPr>
        <w:t>2. KVALITATIVNI I KVANTITATIVNI SASTAV</w:t>
      </w:r>
    </w:p>
    <w:p w14:paraId="27BB9D84" w14:textId="77777777" w:rsidR="006D33EF" w:rsidRPr="0045764A" w:rsidRDefault="006D33EF" w:rsidP="00C65330">
      <w:pPr>
        <w:pStyle w:val="NASLOV123"/>
        <w:spacing w:before="0" w:after="0"/>
        <w:jc w:val="both"/>
        <w:rPr>
          <w:lang w:val="sr-Latn-ME"/>
        </w:rPr>
      </w:pPr>
    </w:p>
    <w:p w14:paraId="7EE33DA6" w14:textId="79A30A33" w:rsidR="00C16551" w:rsidRPr="0045764A" w:rsidRDefault="00C16551" w:rsidP="00C65330">
      <w:pPr>
        <w:rPr>
          <w:i/>
          <w:szCs w:val="22"/>
          <w:lang w:val="sr-Latn-ME"/>
        </w:rPr>
      </w:pPr>
      <w:proofErr w:type="spellStart"/>
      <w:r w:rsidRPr="0045764A">
        <w:rPr>
          <w:bCs/>
          <w:i/>
          <w:szCs w:val="22"/>
          <w:lang w:val="sr-Latn-ME"/>
        </w:rPr>
        <w:t>Aksitinib</w:t>
      </w:r>
      <w:proofErr w:type="spellEnd"/>
      <w:r w:rsidRPr="0045764A">
        <w:rPr>
          <w:bCs/>
          <w:i/>
          <w:szCs w:val="22"/>
          <w:lang w:val="sr-Latn-ME"/>
        </w:rPr>
        <w:t xml:space="preserve"> STADA, 1 mg, film tableta</w:t>
      </w:r>
    </w:p>
    <w:p w14:paraId="4B3C6762" w14:textId="44DCF71D" w:rsidR="00CE09F3" w:rsidRPr="0045764A" w:rsidRDefault="00562B63" w:rsidP="00C65330">
      <w:pPr>
        <w:rPr>
          <w:szCs w:val="22"/>
          <w:lang w:val="sr-Latn-ME"/>
        </w:rPr>
      </w:pPr>
      <w:r w:rsidRPr="0045764A">
        <w:rPr>
          <w:szCs w:val="22"/>
          <w:lang w:val="sr-Latn-ME"/>
        </w:rPr>
        <w:t xml:space="preserve">Jedna film tableta sadrži 1 mg </w:t>
      </w:r>
      <w:proofErr w:type="spellStart"/>
      <w:r w:rsidR="0047335D" w:rsidRPr="0045764A">
        <w:rPr>
          <w:szCs w:val="22"/>
          <w:lang w:val="sr-Latn-ME"/>
        </w:rPr>
        <w:t>aksitiniba</w:t>
      </w:r>
      <w:proofErr w:type="spellEnd"/>
      <w:r w:rsidR="00662B6E" w:rsidRPr="0045764A">
        <w:rPr>
          <w:szCs w:val="22"/>
          <w:lang w:val="sr-Latn-ME"/>
        </w:rPr>
        <w:t>.</w:t>
      </w:r>
    </w:p>
    <w:p w14:paraId="6C00ED12" w14:textId="00E99FE6" w:rsidR="00C16551" w:rsidRPr="0045764A" w:rsidRDefault="00C16551" w:rsidP="00C65330">
      <w:pPr>
        <w:rPr>
          <w:szCs w:val="22"/>
          <w:lang w:val="sr-Latn-ME"/>
        </w:rPr>
      </w:pPr>
    </w:p>
    <w:p w14:paraId="1DA7F022" w14:textId="473A1492" w:rsidR="00C16551" w:rsidRPr="0045764A" w:rsidRDefault="00C16551" w:rsidP="00C65330">
      <w:pPr>
        <w:rPr>
          <w:i/>
          <w:szCs w:val="22"/>
          <w:lang w:val="sr-Latn-ME"/>
        </w:rPr>
      </w:pPr>
      <w:proofErr w:type="spellStart"/>
      <w:r w:rsidRPr="0045764A">
        <w:rPr>
          <w:bCs/>
          <w:i/>
          <w:szCs w:val="22"/>
          <w:lang w:val="sr-Latn-ME"/>
        </w:rPr>
        <w:t>Aksitinib</w:t>
      </w:r>
      <w:proofErr w:type="spellEnd"/>
      <w:r w:rsidRPr="0045764A">
        <w:rPr>
          <w:bCs/>
          <w:i/>
          <w:szCs w:val="22"/>
          <w:lang w:val="sr-Latn-ME"/>
        </w:rPr>
        <w:t xml:space="preserve"> STADA, 3 mg, film tableta</w:t>
      </w:r>
    </w:p>
    <w:p w14:paraId="1E15D786" w14:textId="1F4D561A" w:rsidR="00662B6E" w:rsidRPr="0045764A" w:rsidRDefault="00662B6E" w:rsidP="00C65330">
      <w:pPr>
        <w:rPr>
          <w:szCs w:val="22"/>
          <w:lang w:val="sr-Latn-ME"/>
        </w:rPr>
      </w:pPr>
      <w:r w:rsidRPr="0045764A">
        <w:rPr>
          <w:szCs w:val="22"/>
          <w:lang w:val="sr-Latn-ME"/>
        </w:rPr>
        <w:t xml:space="preserve">Jedna film tableta sadrži 3 mg </w:t>
      </w:r>
      <w:proofErr w:type="spellStart"/>
      <w:r w:rsidRPr="0045764A">
        <w:rPr>
          <w:szCs w:val="22"/>
          <w:lang w:val="sr-Latn-ME"/>
        </w:rPr>
        <w:t>aksitiniba</w:t>
      </w:r>
      <w:proofErr w:type="spellEnd"/>
      <w:r w:rsidRPr="0045764A">
        <w:rPr>
          <w:szCs w:val="22"/>
          <w:lang w:val="sr-Latn-ME"/>
        </w:rPr>
        <w:t>.</w:t>
      </w:r>
    </w:p>
    <w:p w14:paraId="74ECD87E" w14:textId="7320B6D2" w:rsidR="00C16551" w:rsidRPr="0045764A" w:rsidRDefault="00C16551" w:rsidP="00C65330">
      <w:pPr>
        <w:rPr>
          <w:szCs w:val="22"/>
          <w:lang w:val="sr-Latn-ME"/>
        </w:rPr>
      </w:pPr>
    </w:p>
    <w:p w14:paraId="49129BA9" w14:textId="170A3D32" w:rsidR="00C16551" w:rsidRPr="0045764A" w:rsidRDefault="00C16551" w:rsidP="00C65330">
      <w:pPr>
        <w:rPr>
          <w:i/>
          <w:szCs w:val="22"/>
          <w:lang w:val="sr-Latn-ME"/>
        </w:rPr>
      </w:pPr>
      <w:proofErr w:type="spellStart"/>
      <w:r w:rsidRPr="0045764A">
        <w:rPr>
          <w:bCs/>
          <w:i/>
          <w:szCs w:val="22"/>
          <w:lang w:val="sr-Latn-ME"/>
        </w:rPr>
        <w:t>Aksitinib</w:t>
      </w:r>
      <w:proofErr w:type="spellEnd"/>
      <w:r w:rsidRPr="0045764A">
        <w:rPr>
          <w:bCs/>
          <w:i/>
          <w:szCs w:val="22"/>
          <w:lang w:val="sr-Latn-ME"/>
        </w:rPr>
        <w:t xml:space="preserve"> STADA, 5 mg, film tableta</w:t>
      </w:r>
    </w:p>
    <w:p w14:paraId="46F9E22E" w14:textId="55FCEDE9" w:rsidR="00662B6E" w:rsidRPr="0045764A" w:rsidRDefault="00662B6E" w:rsidP="00C65330">
      <w:pPr>
        <w:rPr>
          <w:szCs w:val="22"/>
          <w:lang w:val="sr-Latn-ME"/>
        </w:rPr>
      </w:pPr>
      <w:r w:rsidRPr="0045764A">
        <w:rPr>
          <w:szCs w:val="22"/>
          <w:lang w:val="sr-Latn-ME"/>
        </w:rPr>
        <w:t xml:space="preserve">Jedna film tableta sadrži 5 mg </w:t>
      </w:r>
      <w:proofErr w:type="spellStart"/>
      <w:r w:rsidRPr="0045764A">
        <w:rPr>
          <w:szCs w:val="22"/>
          <w:lang w:val="sr-Latn-ME"/>
        </w:rPr>
        <w:t>aksitiniba</w:t>
      </w:r>
      <w:proofErr w:type="spellEnd"/>
      <w:r w:rsidRPr="0045764A">
        <w:rPr>
          <w:szCs w:val="22"/>
          <w:lang w:val="sr-Latn-ME"/>
        </w:rPr>
        <w:t>.</w:t>
      </w:r>
    </w:p>
    <w:p w14:paraId="633FF6E2" w14:textId="5DC36DD7" w:rsidR="00C16551" w:rsidRPr="0045764A" w:rsidRDefault="00C16551" w:rsidP="00C65330">
      <w:pPr>
        <w:rPr>
          <w:szCs w:val="22"/>
          <w:lang w:val="sr-Latn-ME"/>
        </w:rPr>
      </w:pPr>
    </w:p>
    <w:p w14:paraId="2D59A69A" w14:textId="643A993E" w:rsidR="00C16551" w:rsidRPr="0045764A" w:rsidRDefault="00C16551" w:rsidP="00C65330">
      <w:pPr>
        <w:rPr>
          <w:i/>
          <w:szCs w:val="22"/>
          <w:lang w:val="sr-Latn-ME"/>
        </w:rPr>
      </w:pPr>
      <w:proofErr w:type="spellStart"/>
      <w:r w:rsidRPr="0045764A">
        <w:rPr>
          <w:bCs/>
          <w:i/>
          <w:szCs w:val="22"/>
          <w:lang w:val="sr-Latn-ME"/>
        </w:rPr>
        <w:t>Aksitinib</w:t>
      </w:r>
      <w:proofErr w:type="spellEnd"/>
      <w:r w:rsidRPr="0045764A">
        <w:rPr>
          <w:bCs/>
          <w:i/>
          <w:szCs w:val="22"/>
          <w:lang w:val="sr-Latn-ME"/>
        </w:rPr>
        <w:t xml:space="preserve"> STADA, 7 mg, film tableta</w:t>
      </w:r>
    </w:p>
    <w:p w14:paraId="515AD913" w14:textId="333DCFD9" w:rsidR="00662B6E" w:rsidRPr="0045764A" w:rsidRDefault="00662B6E" w:rsidP="00C65330">
      <w:pPr>
        <w:rPr>
          <w:szCs w:val="22"/>
          <w:lang w:val="sr-Latn-ME"/>
        </w:rPr>
      </w:pPr>
      <w:r w:rsidRPr="0045764A">
        <w:rPr>
          <w:szCs w:val="22"/>
          <w:lang w:val="sr-Latn-ME"/>
        </w:rPr>
        <w:t xml:space="preserve">Jedna film tableta sadrži 7 mg </w:t>
      </w:r>
      <w:proofErr w:type="spellStart"/>
      <w:r w:rsidRPr="0045764A">
        <w:rPr>
          <w:szCs w:val="22"/>
          <w:lang w:val="sr-Latn-ME"/>
        </w:rPr>
        <w:t>aksitiniba</w:t>
      </w:r>
      <w:proofErr w:type="spellEnd"/>
      <w:r w:rsidRPr="0045764A">
        <w:rPr>
          <w:szCs w:val="22"/>
          <w:lang w:val="sr-Latn-ME"/>
        </w:rPr>
        <w:t>.</w:t>
      </w:r>
    </w:p>
    <w:p w14:paraId="58B46601" w14:textId="77777777" w:rsidR="00F62426" w:rsidRPr="0045764A" w:rsidRDefault="00F62426" w:rsidP="00C65330">
      <w:pPr>
        <w:pStyle w:val="Header"/>
        <w:tabs>
          <w:tab w:val="left" w:pos="284"/>
        </w:tabs>
        <w:rPr>
          <w:szCs w:val="22"/>
          <w:lang w:val="sr-Latn-ME"/>
        </w:rPr>
      </w:pPr>
    </w:p>
    <w:p w14:paraId="3EC32043" w14:textId="112FDF11" w:rsidR="00BB00F8" w:rsidRPr="0045764A" w:rsidRDefault="00BB00F8" w:rsidP="00C65330">
      <w:pPr>
        <w:pStyle w:val="Header"/>
        <w:tabs>
          <w:tab w:val="left" w:pos="284"/>
        </w:tabs>
        <w:rPr>
          <w:szCs w:val="22"/>
          <w:lang w:val="sr-Latn-ME"/>
        </w:rPr>
      </w:pPr>
      <w:r w:rsidRPr="0045764A">
        <w:rPr>
          <w:szCs w:val="22"/>
          <w:lang w:val="sr-Latn-ME"/>
        </w:rPr>
        <w:t>Pomoćne supstance sa potvrđenim dejstvom:</w:t>
      </w:r>
      <w:r w:rsidR="00B221E9" w:rsidRPr="0045764A">
        <w:rPr>
          <w:szCs w:val="22"/>
          <w:lang w:val="sr-Latn-ME"/>
        </w:rPr>
        <w:t xml:space="preserve"> laktoza </w:t>
      </w:r>
      <w:proofErr w:type="spellStart"/>
      <w:r w:rsidR="00B221E9" w:rsidRPr="0045764A">
        <w:rPr>
          <w:szCs w:val="22"/>
          <w:lang w:val="sr-Latn-ME"/>
        </w:rPr>
        <w:t>monohidrat</w:t>
      </w:r>
      <w:proofErr w:type="spellEnd"/>
      <w:r w:rsidR="00B221E9" w:rsidRPr="0045764A">
        <w:rPr>
          <w:szCs w:val="22"/>
          <w:lang w:val="sr-Latn-ME"/>
        </w:rPr>
        <w:t>.</w:t>
      </w:r>
    </w:p>
    <w:p w14:paraId="7C183F31" w14:textId="3FB39A34" w:rsidR="00361CFF" w:rsidRPr="0045764A" w:rsidRDefault="00C16551" w:rsidP="000D71AB">
      <w:pPr>
        <w:rPr>
          <w:szCs w:val="22"/>
          <w:lang w:val="sr-Latn-ME"/>
        </w:rPr>
      </w:pPr>
      <w:proofErr w:type="spellStart"/>
      <w:r w:rsidRPr="0045764A">
        <w:rPr>
          <w:bCs/>
          <w:i/>
          <w:szCs w:val="22"/>
          <w:lang w:val="sr-Latn-ME"/>
        </w:rPr>
        <w:t>Aksitinib</w:t>
      </w:r>
      <w:proofErr w:type="spellEnd"/>
      <w:r w:rsidRPr="0045764A">
        <w:rPr>
          <w:bCs/>
          <w:i/>
          <w:szCs w:val="22"/>
          <w:lang w:val="sr-Latn-ME"/>
        </w:rPr>
        <w:t xml:space="preserve"> STADA, 1 mg, film tableta</w:t>
      </w:r>
      <w:r w:rsidRPr="0045764A">
        <w:rPr>
          <w:bCs/>
          <w:szCs w:val="22"/>
          <w:lang w:val="sr-Latn-ME"/>
        </w:rPr>
        <w:t>:</w:t>
      </w:r>
      <w:r w:rsidRPr="0045764A">
        <w:rPr>
          <w:bCs/>
          <w:szCs w:val="22"/>
          <w:u w:val="single"/>
          <w:lang w:val="sr-Latn-ME"/>
        </w:rPr>
        <w:t xml:space="preserve"> </w:t>
      </w:r>
      <w:r w:rsidR="00B221E9" w:rsidRPr="0045764A">
        <w:rPr>
          <w:szCs w:val="22"/>
          <w:lang w:val="sr-Latn-ME"/>
        </w:rPr>
        <w:t>Jedna film tableta od 1 mg sadrži</w:t>
      </w:r>
      <w:r w:rsidR="003110A4" w:rsidRPr="0045764A">
        <w:rPr>
          <w:szCs w:val="22"/>
          <w:lang w:val="sr-Latn-ME"/>
        </w:rPr>
        <w:t xml:space="preserve"> 3</w:t>
      </w:r>
      <w:r w:rsidR="0094640A" w:rsidRPr="0045764A">
        <w:rPr>
          <w:szCs w:val="22"/>
          <w:lang w:val="sr-Latn-ME"/>
        </w:rPr>
        <w:t>3</w:t>
      </w:r>
      <w:r w:rsidR="00AF6D03" w:rsidRPr="0045764A">
        <w:rPr>
          <w:szCs w:val="22"/>
          <w:lang w:val="sr-Latn-ME"/>
        </w:rPr>
        <w:t>,12</w:t>
      </w:r>
      <w:r w:rsidR="003110A4" w:rsidRPr="0045764A">
        <w:rPr>
          <w:szCs w:val="22"/>
          <w:lang w:val="sr-Latn-ME"/>
        </w:rPr>
        <w:t xml:space="preserve"> mg</w:t>
      </w:r>
      <w:r w:rsidR="00C75527" w:rsidRPr="0045764A">
        <w:rPr>
          <w:szCs w:val="22"/>
          <w:lang w:val="sr-Latn-ME"/>
        </w:rPr>
        <w:t xml:space="preserve"> laktoze </w:t>
      </w:r>
      <w:proofErr w:type="spellStart"/>
      <w:r w:rsidR="00C75527" w:rsidRPr="0045764A">
        <w:rPr>
          <w:szCs w:val="22"/>
          <w:lang w:val="sr-Latn-ME"/>
        </w:rPr>
        <w:t>monohidrat</w:t>
      </w:r>
      <w:proofErr w:type="spellEnd"/>
      <w:r w:rsidR="00C75527" w:rsidRPr="0045764A">
        <w:rPr>
          <w:szCs w:val="22"/>
          <w:lang w:val="sr-Latn-ME"/>
        </w:rPr>
        <w:t>.</w:t>
      </w:r>
    </w:p>
    <w:p w14:paraId="4CA30BF8" w14:textId="4A99F759" w:rsidR="00361CFF" w:rsidRPr="0045764A" w:rsidRDefault="00C16551" w:rsidP="000D71AB">
      <w:pPr>
        <w:rPr>
          <w:szCs w:val="22"/>
          <w:lang w:val="sr-Latn-ME"/>
        </w:rPr>
      </w:pPr>
      <w:proofErr w:type="spellStart"/>
      <w:r w:rsidRPr="0045764A">
        <w:rPr>
          <w:bCs/>
          <w:i/>
          <w:szCs w:val="22"/>
          <w:lang w:val="sr-Latn-ME"/>
        </w:rPr>
        <w:t>Aksitinib</w:t>
      </w:r>
      <w:proofErr w:type="spellEnd"/>
      <w:r w:rsidRPr="0045764A">
        <w:rPr>
          <w:bCs/>
          <w:i/>
          <w:szCs w:val="22"/>
          <w:lang w:val="sr-Latn-ME"/>
        </w:rPr>
        <w:t xml:space="preserve"> STADA, 3 mg, film tableta</w:t>
      </w:r>
      <w:r w:rsidRPr="0045764A">
        <w:rPr>
          <w:bCs/>
          <w:szCs w:val="22"/>
          <w:lang w:val="sr-Latn-ME"/>
        </w:rPr>
        <w:t xml:space="preserve">: </w:t>
      </w:r>
      <w:r w:rsidR="00361CFF" w:rsidRPr="0045764A">
        <w:rPr>
          <w:szCs w:val="22"/>
          <w:lang w:val="sr-Latn-ME"/>
        </w:rPr>
        <w:t>Jedna film tableta od 3 mg sadrži</w:t>
      </w:r>
      <w:r w:rsidR="0040430F" w:rsidRPr="0045764A">
        <w:rPr>
          <w:szCs w:val="22"/>
          <w:lang w:val="sr-Latn-ME"/>
        </w:rPr>
        <w:t xml:space="preserve"> 9</w:t>
      </w:r>
      <w:r w:rsidR="00AF6D03" w:rsidRPr="0045764A">
        <w:rPr>
          <w:szCs w:val="22"/>
          <w:lang w:val="sr-Latn-ME"/>
        </w:rPr>
        <w:t>9,36</w:t>
      </w:r>
      <w:r w:rsidR="0040430F" w:rsidRPr="0045764A">
        <w:rPr>
          <w:szCs w:val="22"/>
          <w:lang w:val="sr-Latn-ME"/>
        </w:rPr>
        <w:t xml:space="preserve"> mg</w:t>
      </w:r>
      <w:r w:rsidR="00C75527" w:rsidRPr="0045764A">
        <w:rPr>
          <w:szCs w:val="22"/>
          <w:lang w:val="sr-Latn-ME"/>
        </w:rPr>
        <w:t xml:space="preserve"> laktoze </w:t>
      </w:r>
      <w:proofErr w:type="spellStart"/>
      <w:r w:rsidR="00C75527" w:rsidRPr="0045764A">
        <w:rPr>
          <w:szCs w:val="22"/>
          <w:lang w:val="sr-Latn-ME"/>
        </w:rPr>
        <w:t>monohidrat</w:t>
      </w:r>
      <w:proofErr w:type="spellEnd"/>
      <w:r w:rsidR="00C75527" w:rsidRPr="0045764A">
        <w:rPr>
          <w:szCs w:val="22"/>
          <w:lang w:val="sr-Latn-ME"/>
        </w:rPr>
        <w:t>.</w:t>
      </w:r>
    </w:p>
    <w:p w14:paraId="18086145" w14:textId="0ED38D07" w:rsidR="00361CFF" w:rsidRPr="0045764A" w:rsidRDefault="00C16551" w:rsidP="000D71AB">
      <w:pPr>
        <w:rPr>
          <w:szCs w:val="22"/>
          <w:lang w:val="sr-Latn-ME"/>
        </w:rPr>
      </w:pPr>
      <w:proofErr w:type="spellStart"/>
      <w:r w:rsidRPr="0045764A">
        <w:rPr>
          <w:bCs/>
          <w:i/>
          <w:szCs w:val="22"/>
          <w:lang w:val="sr-Latn-ME"/>
        </w:rPr>
        <w:t>Aksitinib</w:t>
      </w:r>
      <w:proofErr w:type="spellEnd"/>
      <w:r w:rsidRPr="0045764A">
        <w:rPr>
          <w:bCs/>
          <w:i/>
          <w:szCs w:val="22"/>
          <w:lang w:val="sr-Latn-ME"/>
        </w:rPr>
        <w:t xml:space="preserve"> STADA, 5 mg, film tableta</w:t>
      </w:r>
      <w:r w:rsidRPr="0045764A">
        <w:rPr>
          <w:bCs/>
          <w:szCs w:val="22"/>
          <w:lang w:val="sr-Latn-ME"/>
        </w:rPr>
        <w:t xml:space="preserve">: </w:t>
      </w:r>
      <w:r w:rsidR="00361CFF" w:rsidRPr="0045764A">
        <w:rPr>
          <w:szCs w:val="22"/>
          <w:lang w:val="sr-Latn-ME"/>
        </w:rPr>
        <w:t>Jedna film tableta od 5 mg sadrži</w:t>
      </w:r>
      <w:r w:rsidR="0040430F" w:rsidRPr="0045764A">
        <w:rPr>
          <w:szCs w:val="22"/>
          <w:lang w:val="sr-Latn-ME"/>
        </w:rPr>
        <w:t xml:space="preserve"> 16</w:t>
      </w:r>
      <w:r w:rsidR="00794EFE" w:rsidRPr="0045764A">
        <w:rPr>
          <w:szCs w:val="22"/>
          <w:lang w:val="sr-Latn-ME"/>
        </w:rPr>
        <w:t>5,60</w:t>
      </w:r>
      <w:r w:rsidR="0040430F" w:rsidRPr="0045764A">
        <w:rPr>
          <w:szCs w:val="22"/>
          <w:lang w:val="sr-Latn-ME"/>
        </w:rPr>
        <w:t xml:space="preserve"> mg</w:t>
      </w:r>
      <w:r w:rsidR="00C75527" w:rsidRPr="0045764A">
        <w:rPr>
          <w:szCs w:val="22"/>
          <w:lang w:val="sr-Latn-ME"/>
        </w:rPr>
        <w:t xml:space="preserve"> laktoze </w:t>
      </w:r>
      <w:proofErr w:type="spellStart"/>
      <w:r w:rsidR="00C75527" w:rsidRPr="0045764A">
        <w:rPr>
          <w:szCs w:val="22"/>
          <w:lang w:val="sr-Latn-ME"/>
        </w:rPr>
        <w:t>monohidrat</w:t>
      </w:r>
      <w:proofErr w:type="spellEnd"/>
      <w:r w:rsidR="00C75527" w:rsidRPr="0045764A">
        <w:rPr>
          <w:szCs w:val="22"/>
          <w:lang w:val="sr-Latn-ME"/>
        </w:rPr>
        <w:t>.</w:t>
      </w:r>
    </w:p>
    <w:p w14:paraId="5A60DB61" w14:textId="588BB775" w:rsidR="00361CFF" w:rsidRPr="0045764A" w:rsidRDefault="00C16551" w:rsidP="000D71AB">
      <w:pPr>
        <w:rPr>
          <w:szCs w:val="22"/>
          <w:lang w:val="sr-Latn-ME"/>
        </w:rPr>
      </w:pPr>
      <w:proofErr w:type="spellStart"/>
      <w:r w:rsidRPr="0045764A">
        <w:rPr>
          <w:bCs/>
          <w:i/>
          <w:szCs w:val="22"/>
          <w:lang w:val="sr-Latn-ME"/>
        </w:rPr>
        <w:t>Aksitinib</w:t>
      </w:r>
      <w:proofErr w:type="spellEnd"/>
      <w:r w:rsidRPr="0045764A">
        <w:rPr>
          <w:bCs/>
          <w:i/>
          <w:szCs w:val="22"/>
          <w:lang w:val="sr-Latn-ME"/>
        </w:rPr>
        <w:t xml:space="preserve"> STADA, 7 mg, film tableta</w:t>
      </w:r>
      <w:r w:rsidRPr="0045764A">
        <w:rPr>
          <w:bCs/>
          <w:szCs w:val="22"/>
          <w:lang w:val="sr-Latn-ME"/>
        </w:rPr>
        <w:t xml:space="preserve">: </w:t>
      </w:r>
      <w:r w:rsidR="00361CFF" w:rsidRPr="0045764A">
        <w:rPr>
          <w:szCs w:val="22"/>
          <w:lang w:val="sr-Latn-ME"/>
        </w:rPr>
        <w:t>Jedna film tableta od 7 mg sadrži</w:t>
      </w:r>
      <w:r w:rsidR="0094640A" w:rsidRPr="0045764A">
        <w:rPr>
          <w:szCs w:val="22"/>
          <w:lang w:val="sr-Latn-ME"/>
        </w:rPr>
        <w:t xml:space="preserve"> 2</w:t>
      </w:r>
      <w:r w:rsidR="00794EFE" w:rsidRPr="0045764A">
        <w:rPr>
          <w:szCs w:val="22"/>
          <w:lang w:val="sr-Latn-ME"/>
        </w:rPr>
        <w:t>31,84</w:t>
      </w:r>
      <w:r w:rsidR="0094640A" w:rsidRPr="0045764A">
        <w:rPr>
          <w:szCs w:val="22"/>
          <w:lang w:val="sr-Latn-ME"/>
        </w:rPr>
        <w:t xml:space="preserve"> mg</w:t>
      </w:r>
      <w:r w:rsidR="00C75527" w:rsidRPr="0045764A">
        <w:rPr>
          <w:szCs w:val="22"/>
          <w:lang w:val="sr-Latn-ME"/>
        </w:rPr>
        <w:t xml:space="preserve"> laktoze </w:t>
      </w:r>
      <w:proofErr w:type="spellStart"/>
      <w:r w:rsidR="00C75527" w:rsidRPr="0045764A">
        <w:rPr>
          <w:szCs w:val="22"/>
          <w:lang w:val="sr-Latn-ME"/>
        </w:rPr>
        <w:t>monohidrat</w:t>
      </w:r>
      <w:proofErr w:type="spellEnd"/>
      <w:r w:rsidR="00C75527" w:rsidRPr="0045764A">
        <w:rPr>
          <w:szCs w:val="22"/>
          <w:lang w:val="sr-Latn-ME"/>
        </w:rPr>
        <w:t>.</w:t>
      </w:r>
    </w:p>
    <w:p w14:paraId="0CC05984" w14:textId="77777777" w:rsidR="00BB00F8" w:rsidRPr="0045764A" w:rsidRDefault="00BB00F8" w:rsidP="00C65330">
      <w:pPr>
        <w:pStyle w:val="Header"/>
        <w:tabs>
          <w:tab w:val="left" w:pos="284"/>
        </w:tabs>
        <w:rPr>
          <w:szCs w:val="22"/>
          <w:lang w:val="sr-Latn-ME"/>
        </w:rPr>
      </w:pPr>
    </w:p>
    <w:p w14:paraId="2A7A0B7B" w14:textId="77777777" w:rsidR="004B3C86" w:rsidRPr="0045764A" w:rsidRDefault="004B3C86" w:rsidP="004B3C86">
      <w:pPr>
        <w:tabs>
          <w:tab w:val="clear" w:pos="284"/>
        </w:tabs>
        <w:jc w:val="left"/>
        <w:rPr>
          <w:szCs w:val="22"/>
          <w:lang w:val="sr-Latn-ME"/>
        </w:rPr>
      </w:pPr>
      <w:r w:rsidRPr="0045764A">
        <w:rPr>
          <w:szCs w:val="22"/>
          <w:lang w:val="sr-Latn-ME"/>
        </w:rPr>
        <w:t xml:space="preserve">Za spisak svih </w:t>
      </w:r>
      <w:proofErr w:type="spellStart"/>
      <w:r w:rsidRPr="0045764A">
        <w:rPr>
          <w:szCs w:val="22"/>
          <w:lang w:val="sr-Latn-ME"/>
        </w:rPr>
        <w:t>ekscipijenasa</w:t>
      </w:r>
      <w:proofErr w:type="spellEnd"/>
      <w:r w:rsidRPr="0045764A">
        <w:rPr>
          <w:szCs w:val="22"/>
          <w:lang w:val="sr-Latn-ME"/>
        </w:rPr>
        <w:t>, pogledati dio 6.1.</w:t>
      </w:r>
    </w:p>
    <w:p w14:paraId="5D23571E" w14:textId="74B0816B" w:rsidR="00662B6E" w:rsidRPr="0045764A" w:rsidRDefault="00662B6E" w:rsidP="00C65330">
      <w:pPr>
        <w:pStyle w:val="Header"/>
        <w:tabs>
          <w:tab w:val="left" w:pos="284"/>
        </w:tabs>
        <w:rPr>
          <w:szCs w:val="22"/>
          <w:lang w:val="sr-Latn-ME"/>
        </w:rPr>
      </w:pPr>
    </w:p>
    <w:p w14:paraId="3261ED6B" w14:textId="77777777" w:rsidR="00456ECD" w:rsidRPr="0045764A" w:rsidRDefault="00456ECD" w:rsidP="00C65330">
      <w:pPr>
        <w:pStyle w:val="Header"/>
        <w:tabs>
          <w:tab w:val="left" w:pos="284"/>
        </w:tabs>
        <w:rPr>
          <w:szCs w:val="22"/>
          <w:lang w:val="sr-Latn-ME"/>
        </w:rPr>
      </w:pPr>
    </w:p>
    <w:p w14:paraId="4B3C6764" w14:textId="54B6B88D" w:rsidR="00CE09F3" w:rsidRPr="0045764A" w:rsidRDefault="00CE09F3" w:rsidP="00C65330">
      <w:pPr>
        <w:pStyle w:val="NASLOV123"/>
        <w:spacing w:before="0" w:after="0"/>
        <w:jc w:val="both"/>
        <w:rPr>
          <w:lang w:val="sr-Latn-ME"/>
        </w:rPr>
      </w:pPr>
      <w:r w:rsidRPr="0045764A">
        <w:rPr>
          <w:lang w:val="sr-Latn-ME"/>
        </w:rPr>
        <w:t>3. FARMACEUTSKI OBLIK</w:t>
      </w:r>
    </w:p>
    <w:p w14:paraId="10A868CC" w14:textId="77777777" w:rsidR="005A2FAD" w:rsidRPr="0045764A" w:rsidRDefault="005A2FAD" w:rsidP="00C65330">
      <w:pPr>
        <w:rPr>
          <w:i/>
          <w:iCs/>
          <w:szCs w:val="22"/>
          <w:lang w:val="sr-Latn-ME"/>
        </w:rPr>
      </w:pPr>
    </w:p>
    <w:p w14:paraId="7C86CC79" w14:textId="27C9256A" w:rsidR="00D26622" w:rsidRPr="0045764A" w:rsidRDefault="00593BF5" w:rsidP="00C65330">
      <w:pPr>
        <w:rPr>
          <w:i/>
          <w:iCs/>
          <w:szCs w:val="22"/>
          <w:lang w:val="sr-Latn-ME"/>
        </w:rPr>
      </w:pPr>
      <w:proofErr w:type="spellStart"/>
      <w:r w:rsidRPr="0045764A">
        <w:rPr>
          <w:i/>
          <w:iCs/>
          <w:szCs w:val="22"/>
          <w:lang w:val="sr-Latn-ME"/>
        </w:rPr>
        <w:t>Aksitinib</w:t>
      </w:r>
      <w:proofErr w:type="spellEnd"/>
      <w:r w:rsidRPr="0045764A">
        <w:rPr>
          <w:i/>
          <w:iCs/>
          <w:szCs w:val="22"/>
          <w:lang w:val="sr-Latn-ME"/>
        </w:rPr>
        <w:t xml:space="preserve"> STADA</w:t>
      </w:r>
      <w:r w:rsidR="00A86C71" w:rsidRPr="0045764A">
        <w:rPr>
          <w:i/>
          <w:iCs/>
          <w:szCs w:val="22"/>
          <w:lang w:val="sr-Latn-ME"/>
        </w:rPr>
        <w:t>, 1 mg, film tablete</w:t>
      </w:r>
    </w:p>
    <w:p w14:paraId="10172BFB" w14:textId="595F315F" w:rsidR="00D432FE" w:rsidRPr="0045764A" w:rsidRDefault="00D432FE" w:rsidP="00C65330">
      <w:pPr>
        <w:rPr>
          <w:szCs w:val="22"/>
          <w:lang w:val="sr-Latn-ME"/>
        </w:rPr>
      </w:pPr>
      <w:r w:rsidRPr="0045764A">
        <w:rPr>
          <w:szCs w:val="22"/>
          <w:lang w:val="sr-Latn-ME"/>
        </w:rPr>
        <w:t xml:space="preserve">Okrugla, </w:t>
      </w:r>
      <w:proofErr w:type="spellStart"/>
      <w:r w:rsidRPr="0045764A">
        <w:rPr>
          <w:szCs w:val="22"/>
          <w:lang w:val="sr-Latn-ME"/>
        </w:rPr>
        <w:t>bikonveksna</w:t>
      </w:r>
      <w:proofErr w:type="spellEnd"/>
      <w:r w:rsidRPr="0045764A">
        <w:rPr>
          <w:szCs w:val="22"/>
          <w:lang w:val="sr-Latn-ME"/>
        </w:rPr>
        <w:t>, film tableta, crvene boje,</w:t>
      </w:r>
      <w:r w:rsidR="002126E4" w:rsidRPr="0045764A">
        <w:rPr>
          <w:szCs w:val="22"/>
          <w:lang w:val="sr-Latn-ME"/>
        </w:rPr>
        <w:t xml:space="preserve"> prečnik</w:t>
      </w:r>
      <w:r w:rsidR="00873119" w:rsidRPr="0045764A">
        <w:rPr>
          <w:szCs w:val="22"/>
          <w:lang w:val="sr-Latn-ME"/>
        </w:rPr>
        <w:t>a približno</w:t>
      </w:r>
      <w:r w:rsidR="002126E4" w:rsidRPr="0045764A">
        <w:rPr>
          <w:szCs w:val="22"/>
          <w:lang w:val="sr-Latn-ME"/>
        </w:rPr>
        <w:t xml:space="preserve"> 6 mm, sa utisnutim </w:t>
      </w:r>
      <w:r w:rsidR="00B95FC7" w:rsidRPr="0045764A">
        <w:rPr>
          <w:szCs w:val="22"/>
          <w:lang w:val="sr-Latn-ME"/>
        </w:rPr>
        <w:t>ʺ</w:t>
      </w:r>
      <w:r w:rsidR="00D2478D" w:rsidRPr="0045764A">
        <w:rPr>
          <w:szCs w:val="22"/>
          <w:lang w:val="sr-Latn-ME"/>
        </w:rPr>
        <w:t>A7TI</w:t>
      </w:r>
      <w:r w:rsidR="00B95FC7" w:rsidRPr="0045764A">
        <w:rPr>
          <w:szCs w:val="22"/>
          <w:lang w:val="sr-Latn-ME"/>
        </w:rPr>
        <w:t>ʺ</w:t>
      </w:r>
      <w:r w:rsidR="00D2478D" w:rsidRPr="0045764A">
        <w:rPr>
          <w:szCs w:val="22"/>
          <w:lang w:val="sr-Latn-ME"/>
        </w:rPr>
        <w:t xml:space="preserve"> sa jedne </w:t>
      </w:r>
      <w:r w:rsidR="00B95FC7" w:rsidRPr="0045764A">
        <w:rPr>
          <w:szCs w:val="22"/>
          <w:lang w:val="sr-Latn-ME"/>
        </w:rPr>
        <w:t>i</w:t>
      </w:r>
      <w:r w:rsidR="00D2478D" w:rsidRPr="0045764A">
        <w:rPr>
          <w:szCs w:val="22"/>
          <w:lang w:val="sr-Latn-ME"/>
        </w:rPr>
        <w:t xml:space="preserve"> </w:t>
      </w:r>
      <w:r w:rsidR="00B95FC7" w:rsidRPr="0045764A">
        <w:rPr>
          <w:szCs w:val="22"/>
          <w:lang w:val="sr-Latn-ME"/>
        </w:rPr>
        <w:t>ʺ1ʺ sa druge strane.</w:t>
      </w:r>
    </w:p>
    <w:p w14:paraId="64340403" w14:textId="77777777" w:rsidR="005A2FAD" w:rsidRPr="0045764A" w:rsidRDefault="005A2FAD" w:rsidP="00C65330">
      <w:pPr>
        <w:rPr>
          <w:szCs w:val="22"/>
          <w:lang w:val="sr-Latn-ME"/>
        </w:rPr>
      </w:pPr>
    </w:p>
    <w:p w14:paraId="31F82EC3" w14:textId="0E197EE2" w:rsidR="00D26622" w:rsidRPr="0045764A" w:rsidRDefault="00593BF5" w:rsidP="00C65330">
      <w:pPr>
        <w:rPr>
          <w:i/>
          <w:iCs/>
          <w:szCs w:val="22"/>
          <w:lang w:val="sr-Latn-ME"/>
        </w:rPr>
      </w:pPr>
      <w:proofErr w:type="spellStart"/>
      <w:r w:rsidRPr="0045764A">
        <w:rPr>
          <w:i/>
          <w:iCs/>
          <w:szCs w:val="22"/>
          <w:lang w:val="sr-Latn-ME"/>
        </w:rPr>
        <w:t>Aksitinib</w:t>
      </w:r>
      <w:proofErr w:type="spellEnd"/>
      <w:r w:rsidRPr="0045764A">
        <w:rPr>
          <w:i/>
          <w:iCs/>
          <w:szCs w:val="22"/>
          <w:lang w:val="sr-Latn-ME"/>
        </w:rPr>
        <w:t xml:space="preserve"> STADA</w:t>
      </w:r>
      <w:r w:rsidR="00A86C71" w:rsidRPr="0045764A">
        <w:rPr>
          <w:i/>
          <w:iCs/>
          <w:szCs w:val="22"/>
          <w:lang w:val="sr-Latn-ME"/>
        </w:rPr>
        <w:t>, 3 mg, film tablete</w:t>
      </w:r>
    </w:p>
    <w:p w14:paraId="7F387507" w14:textId="6B1FC21C" w:rsidR="00D26622" w:rsidRPr="0045764A" w:rsidRDefault="004232E2" w:rsidP="00C65330">
      <w:pPr>
        <w:rPr>
          <w:szCs w:val="22"/>
          <w:lang w:val="sr-Latn-ME"/>
        </w:rPr>
      </w:pPr>
      <w:r w:rsidRPr="0045764A">
        <w:rPr>
          <w:szCs w:val="22"/>
          <w:lang w:val="sr-Latn-ME"/>
        </w:rPr>
        <w:t>O</w:t>
      </w:r>
      <w:r w:rsidR="00873119" w:rsidRPr="0045764A">
        <w:rPr>
          <w:szCs w:val="22"/>
          <w:lang w:val="sr-Latn-ME"/>
        </w:rPr>
        <w:t>valna</w:t>
      </w:r>
      <w:r w:rsidRPr="0045764A">
        <w:rPr>
          <w:szCs w:val="22"/>
          <w:lang w:val="sr-Latn-ME"/>
        </w:rPr>
        <w:t xml:space="preserve">, </w:t>
      </w:r>
      <w:proofErr w:type="spellStart"/>
      <w:r w:rsidRPr="0045764A">
        <w:rPr>
          <w:szCs w:val="22"/>
          <w:lang w:val="sr-Latn-ME"/>
        </w:rPr>
        <w:t>bikonveksna</w:t>
      </w:r>
      <w:proofErr w:type="spellEnd"/>
      <w:r w:rsidRPr="0045764A">
        <w:rPr>
          <w:szCs w:val="22"/>
          <w:lang w:val="sr-Latn-ME"/>
        </w:rPr>
        <w:t xml:space="preserve">, film tableta, crvene boje, </w:t>
      </w:r>
      <w:r w:rsidR="00873119" w:rsidRPr="0045764A">
        <w:rPr>
          <w:szCs w:val="22"/>
          <w:lang w:val="sr-Latn-ME"/>
        </w:rPr>
        <w:t>dužine i širine približno</w:t>
      </w:r>
      <w:r w:rsidRPr="0045764A">
        <w:rPr>
          <w:szCs w:val="22"/>
          <w:lang w:val="sr-Latn-ME"/>
        </w:rPr>
        <w:t xml:space="preserve"> </w:t>
      </w:r>
      <w:r w:rsidR="003D4AF8" w:rsidRPr="0045764A">
        <w:rPr>
          <w:szCs w:val="22"/>
          <w:lang w:val="sr-Latn-ME"/>
        </w:rPr>
        <w:t>12</w:t>
      </w:r>
      <w:r w:rsidRPr="0045764A">
        <w:rPr>
          <w:szCs w:val="22"/>
          <w:lang w:val="sr-Latn-ME"/>
        </w:rPr>
        <w:t xml:space="preserve"> mm</w:t>
      </w:r>
      <w:r w:rsidR="00873119" w:rsidRPr="0045764A">
        <w:rPr>
          <w:szCs w:val="22"/>
          <w:lang w:val="sr-Latn-ME"/>
        </w:rPr>
        <w:t xml:space="preserve"> x 7 mm</w:t>
      </w:r>
      <w:r w:rsidRPr="0045764A">
        <w:rPr>
          <w:szCs w:val="22"/>
          <w:lang w:val="sr-Latn-ME"/>
        </w:rPr>
        <w:t>, sa utisnutim ʺA7TIʺ sa jedne i ʺ3ʺ sa druge strane.</w:t>
      </w:r>
    </w:p>
    <w:p w14:paraId="7BEF4FE6" w14:textId="77777777" w:rsidR="005A2FAD" w:rsidRPr="0045764A" w:rsidRDefault="005A2FAD" w:rsidP="00C65330">
      <w:pPr>
        <w:rPr>
          <w:szCs w:val="22"/>
          <w:lang w:val="sr-Latn-ME"/>
        </w:rPr>
      </w:pPr>
    </w:p>
    <w:p w14:paraId="60595A5F" w14:textId="497B4780" w:rsidR="00D26622" w:rsidRPr="0045764A" w:rsidRDefault="00593BF5" w:rsidP="00C65330">
      <w:pPr>
        <w:rPr>
          <w:i/>
          <w:iCs/>
          <w:szCs w:val="22"/>
          <w:lang w:val="sr-Latn-ME"/>
        </w:rPr>
      </w:pPr>
      <w:proofErr w:type="spellStart"/>
      <w:r w:rsidRPr="0045764A">
        <w:rPr>
          <w:i/>
          <w:iCs/>
          <w:szCs w:val="22"/>
          <w:lang w:val="sr-Latn-ME"/>
        </w:rPr>
        <w:t>Aksitinib</w:t>
      </w:r>
      <w:proofErr w:type="spellEnd"/>
      <w:r w:rsidRPr="0045764A">
        <w:rPr>
          <w:i/>
          <w:iCs/>
          <w:szCs w:val="22"/>
          <w:lang w:val="sr-Latn-ME"/>
        </w:rPr>
        <w:t xml:space="preserve"> STADA</w:t>
      </w:r>
      <w:r w:rsidR="00A86C71" w:rsidRPr="0045764A">
        <w:rPr>
          <w:i/>
          <w:iCs/>
          <w:szCs w:val="22"/>
          <w:lang w:val="sr-Latn-ME"/>
        </w:rPr>
        <w:t>, 5 mg, film tablete</w:t>
      </w:r>
    </w:p>
    <w:p w14:paraId="2C5AD0DB" w14:textId="45974299" w:rsidR="004232E2" w:rsidRPr="0045764A" w:rsidRDefault="004232E2" w:rsidP="00C65330">
      <w:pPr>
        <w:rPr>
          <w:szCs w:val="22"/>
          <w:lang w:val="sr-Latn-ME"/>
        </w:rPr>
      </w:pPr>
      <w:r w:rsidRPr="0045764A">
        <w:rPr>
          <w:szCs w:val="22"/>
          <w:lang w:val="sr-Latn-ME"/>
        </w:rPr>
        <w:t>O</w:t>
      </w:r>
      <w:r w:rsidR="00873119" w:rsidRPr="0045764A">
        <w:rPr>
          <w:szCs w:val="22"/>
          <w:lang w:val="sr-Latn-ME"/>
        </w:rPr>
        <w:t>valna</w:t>
      </w:r>
      <w:r w:rsidRPr="0045764A">
        <w:rPr>
          <w:szCs w:val="22"/>
          <w:lang w:val="sr-Latn-ME"/>
        </w:rPr>
        <w:t xml:space="preserve">, </w:t>
      </w:r>
      <w:proofErr w:type="spellStart"/>
      <w:r w:rsidRPr="0045764A">
        <w:rPr>
          <w:szCs w:val="22"/>
          <w:lang w:val="sr-Latn-ME"/>
        </w:rPr>
        <w:t>bikonveksna</w:t>
      </w:r>
      <w:proofErr w:type="spellEnd"/>
      <w:r w:rsidRPr="0045764A">
        <w:rPr>
          <w:szCs w:val="22"/>
          <w:lang w:val="sr-Latn-ME"/>
        </w:rPr>
        <w:t xml:space="preserve">, film tableta, crvene boje, </w:t>
      </w:r>
      <w:r w:rsidR="00873119" w:rsidRPr="0045764A">
        <w:rPr>
          <w:szCs w:val="22"/>
          <w:lang w:val="sr-Latn-ME"/>
        </w:rPr>
        <w:t>dužine i širine približno</w:t>
      </w:r>
      <w:r w:rsidRPr="0045764A">
        <w:rPr>
          <w:szCs w:val="22"/>
          <w:lang w:val="sr-Latn-ME"/>
        </w:rPr>
        <w:t xml:space="preserve"> </w:t>
      </w:r>
      <w:r w:rsidR="003D4AF8" w:rsidRPr="0045764A">
        <w:rPr>
          <w:szCs w:val="22"/>
          <w:lang w:val="sr-Latn-ME"/>
        </w:rPr>
        <w:t>15</w:t>
      </w:r>
      <w:r w:rsidRPr="0045764A">
        <w:rPr>
          <w:szCs w:val="22"/>
          <w:lang w:val="sr-Latn-ME"/>
        </w:rPr>
        <w:t xml:space="preserve"> mm</w:t>
      </w:r>
      <w:r w:rsidR="00873119" w:rsidRPr="0045764A">
        <w:rPr>
          <w:szCs w:val="22"/>
          <w:lang w:val="sr-Latn-ME"/>
        </w:rPr>
        <w:t xml:space="preserve"> x 8 mm</w:t>
      </w:r>
      <w:r w:rsidRPr="0045764A">
        <w:rPr>
          <w:szCs w:val="22"/>
          <w:lang w:val="sr-Latn-ME"/>
        </w:rPr>
        <w:t>, sa utisnutim ʺA7TIʺ sa jedne i ʺ5ʺ sa druge strane.</w:t>
      </w:r>
    </w:p>
    <w:p w14:paraId="4149E2C4" w14:textId="77777777" w:rsidR="00D26622" w:rsidRPr="0045764A" w:rsidRDefault="00D26622" w:rsidP="00C65330">
      <w:pPr>
        <w:rPr>
          <w:i/>
          <w:iCs/>
          <w:szCs w:val="22"/>
          <w:lang w:val="sr-Latn-ME"/>
        </w:rPr>
      </w:pPr>
    </w:p>
    <w:p w14:paraId="2B727643" w14:textId="26D9345A" w:rsidR="00D26622" w:rsidRPr="0045764A" w:rsidRDefault="00593BF5" w:rsidP="00C65330">
      <w:pPr>
        <w:rPr>
          <w:i/>
          <w:iCs/>
          <w:szCs w:val="22"/>
          <w:lang w:val="sr-Latn-ME"/>
        </w:rPr>
      </w:pPr>
      <w:proofErr w:type="spellStart"/>
      <w:r w:rsidRPr="0045764A">
        <w:rPr>
          <w:i/>
          <w:iCs/>
          <w:szCs w:val="22"/>
          <w:lang w:val="sr-Latn-ME"/>
        </w:rPr>
        <w:t>Aksitinib</w:t>
      </w:r>
      <w:proofErr w:type="spellEnd"/>
      <w:r w:rsidRPr="0045764A">
        <w:rPr>
          <w:i/>
          <w:iCs/>
          <w:szCs w:val="22"/>
          <w:lang w:val="sr-Latn-ME"/>
        </w:rPr>
        <w:t xml:space="preserve"> STADA</w:t>
      </w:r>
      <w:r w:rsidR="00A86C71" w:rsidRPr="0045764A">
        <w:rPr>
          <w:i/>
          <w:iCs/>
          <w:szCs w:val="22"/>
          <w:lang w:val="sr-Latn-ME"/>
        </w:rPr>
        <w:t>, 7 mg, film tablete</w:t>
      </w:r>
    </w:p>
    <w:p w14:paraId="330B285E" w14:textId="519C5B01" w:rsidR="004232E2" w:rsidRPr="0045764A" w:rsidRDefault="004232E2" w:rsidP="00C65330">
      <w:pPr>
        <w:rPr>
          <w:szCs w:val="22"/>
          <w:lang w:val="sr-Latn-ME"/>
        </w:rPr>
      </w:pPr>
      <w:r w:rsidRPr="0045764A">
        <w:rPr>
          <w:szCs w:val="22"/>
          <w:lang w:val="sr-Latn-ME"/>
        </w:rPr>
        <w:t>O</w:t>
      </w:r>
      <w:r w:rsidR="00873119" w:rsidRPr="0045764A">
        <w:rPr>
          <w:szCs w:val="22"/>
          <w:lang w:val="sr-Latn-ME"/>
        </w:rPr>
        <w:t>valna</w:t>
      </w:r>
      <w:r w:rsidRPr="0045764A">
        <w:rPr>
          <w:szCs w:val="22"/>
          <w:lang w:val="sr-Latn-ME"/>
        </w:rPr>
        <w:t xml:space="preserve">, </w:t>
      </w:r>
      <w:proofErr w:type="spellStart"/>
      <w:r w:rsidRPr="0045764A">
        <w:rPr>
          <w:szCs w:val="22"/>
          <w:lang w:val="sr-Latn-ME"/>
        </w:rPr>
        <w:t>bikonveksna</w:t>
      </w:r>
      <w:proofErr w:type="spellEnd"/>
      <w:r w:rsidRPr="0045764A">
        <w:rPr>
          <w:szCs w:val="22"/>
          <w:lang w:val="sr-Latn-ME"/>
        </w:rPr>
        <w:t xml:space="preserve">, film tableta, crvene boje, </w:t>
      </w:r>
      <w:r w:rsidR="00873119" w:rsidRPr="0045764A">
        <w:rPr>
          <w:szCs w:val="22"/>
          <w:lang w:val="sr-Latn-ME"/>
        </w:rPr>
        <w:t>dužine i širine približno</w:t>
      </w:r>
      <w:r w:rsidRPr="0045764A">
        <w:rPr>
          <w:szCs w:val="22"/>
          <w:lang w:val="sr-Latn-ME"/>
        </w:rPr>
        <w:t xml:space="preserve"> </w:t>
      </w:r>
      <w:r w:rsidR="003D4AF8" w:rsidRPr="0045764A">
        <w:rPr>
          <w:szCs w:val="22"/>
          <w:lang w:val="sr-Latn-ME"/>
        </w:rPr>
        <w:t>17</w:t>
      </w:r>
      <w:r w:rsidRPr="0045764A">
        <w:rPr>
          <w:szCs w:val="22"/>
          <w:lang w:val="sr-Latn-ME"/>
        </w:rPr>
        <w:t xml:space="preserve"> mm</w:t>
      </w:r>
      <w:r w:rsidR="00873119" w:rsidRPr="0045764A">
        <w:rPr>
          <w:szCs w:val="22"/>
          <w:lang w:val="sr-Latn-ME"/>
        </w:rPr>
        <w:t xml:space="preserve"> x 9 mm</w:t>
      </w:r>
      <w:r w:rsidRPr="0045764A">
        <w:rPr>
          <w:szCs w:val="22"/>
          <w:lang w:val="sr-Latn-ME"/>
        </w:rPr>
        <w:t>, sa utisnutim ʺA7TIʺ sa jedne i ʺ7ʺ sa druge strane.</w:t>
      </w:r>
    </w:p>
    <w:p w14:paraId="4B3C6766" w14:textId="4E311825" w:rsidR="00CE09F3" w:rsidRPr="0045764A" w:rsidRDefault="00CE09F3" w:rsidP="00C65330">
      <w:pPr>
        <w:rPr>
          <w:szCs w:val="22"/>
          <w:lang w:val="sr-Latn-ME"/>
        </w:rPr>
      </w:pPr>
    </w:p>
    <w:p w14:paraId="4C7820BA" w14:textId="77777777" w:rsidR="00456ECD" w:rsidRPr="0045764A" w:rsidRDefault="00456ECD" w:rsidP="00C65330">
      <w:pPr>
        <w:rPr>
          <w:szCs w:val="22"/>
          <w:lang w:val="sr-Latn-ME"/>
        </w:rPr>
      </w:pPr>
    </w:p>
    <w:p w14:paraId="4B3C6767" w14:textId="1C9A7F10" w:rsidR="00CE09F3" w:rsidRPr="0045764A" w:rsidRDefault="00CE09F3" w:rsidP="00C65330">
      <w:pPr>
        <w:pStyle w:val="NASLOV123"/>
        <w:spacing w:before="0" w:after="0"/>
        <w:jc w:val="both"/>
        <w:rPr>
          <w:lang w:val="sr-Latn-ME"/>
        </w:rPr>
      </w:pPr>
      <w:r w:rsidRPr="0045764A">
        <w:rPr>
          <w:lang w:val="sr-Latn-ME"/>
        </w:rPr>
        <w:lastRenderedPageBreak/>
        <w:t>4. KLINIČKI PODACI</w:t>
      </w:r>
    </w:p>
    <w:p w14:paraId="6E095875" w14:textId="77777777" w:rsidR="004B3C86" w:rsidRPr="0045764A" w:rsidRDefault="004B3C86" w:rsidP="00C65330">
      <w:pPr>
        <w:pStyle w:val="NASLOV123"/>
        <w:spacing w:before="0" w:after="0"/>
        <w:jc w:val="both"/>
        <w:rPr>
          <w:lang w:val="sr-Latn-ME"/>
        </w:rPr>
      </w:pPr>
    </w:p>
    <w:p w14:paraId="4B3C6768" w14:textId="77777777" w:rsidR="00CE09F3" w:rsidRPr="0045764A" w:rsidRDefault="00CE09F3" w:rsidP="00C65330">
      <w:pPr>
        <w:rPr>
          <w:b/>
          <w:bCs/>
          <w:szCs w:val="22"/>
          <w:lang w:val="sr-Latn-ME"/>
        </w:rPr>
      </w:pPr>
      <w:r w:rsidRPr="0045764A">
        <w:rPr>
          <w:b/>
          <w:bCs/>
          <w:szCs w:val="22"/>
          <w:lang w:val="sr-Latn-ME"/>
        </w:rPr>
        <w:t>4.1. Terapijske indikacije</w:t>
      </w:r>
    </w:p>
    <w:p w14:paraId="4B3C6769" w14:textId="77777777" w:rsidR="00CE09F3" w:rsidRPr="0045764A" w:rsidRDefault="00CE09F3" w:rsidP="00C65330">
      <w:pPr>
        <w:rPr>
          <w:szCs w:val="22"/>
          <w:lang w:val="sr-Latn-ME"/>
        </w:rPr>
      </w:pPr>
    </w:p>
    <w:p w14:paraId="4B3C676A" w14:textId="6E92D0B6" w:rsidR="00CE09F3" w:rsidRPr="0045764A" w:rsidRDefault="00593BF5"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Lijek</w:t>
      </w:r>
      <w:r w:rsidR="005A1F08" w:rsidRPr="0045764A">
        <w:rPr>
          <w:rFonts w:eastAsia="TimesNewRoman"/>
          <w:szCs w:val="22"/>
          <w:lang w:val="sr-Latn-ME"/>
        </w:rPr>
        <w:t xml:space="preserve"> </w:t>
      </w:r>
      <w:proofErr w:type="spellStart"/>
      <w:r w:rsidRPr="0045764A">
        <w:rPr>
          <w:rFonts w:eastAsia="TimesNewRoman"/>
          <w:szCs w:val="22"/>
          <w:lang w:val="sr-Latn-ME"/>
        </w:rPr>
        <w:t>Aksitinib</w:t>
      </w:r>
      <w:proofErr w:type="spellEnd"/>
      <w:r w:rsidRPr="0045764A">
        <w:rPr>
          <w:rFonts w:eastAsia="TimesNewRoman"/>
          <w:szCs w:val="22"/>
          <w:lang w:val="sr-Latn-ME"/>
        </w:rPr>
        <w:t xml:space="preserve"> STADA</w:t>
      </w:r>
      <w:r w:rsidR="005A1F08" w:rsidRPr="0045764A">
        <w:rPr>
          <w:rFonts w:eastAsia="TimesNewRoman"/>
          <w:szCs w:val="22"/>
          <w:lang w:val="sr-Latn-ME"/>
        </w:rPr>
        <w:t xml:space="preserve"> je </w:t>
      </w:r>
      <w:proofErr w:type="spellStart"/>
      <w:r w:rsidR="005A1F08" w:rsidRPr="0045764A">
        <w:rPr>
          <w:rFonts w:eastAsia="TimesNewRoman"/>
          <w:szCs w:val="22"/>
          <w:lang w:val="sr-Latn-ME"/>
        </w:rPr>
        <w:t>indikovan</w:t>
      </w:r>
      <w:proofErr w:type="spellEnd"/>
      <w:r w:rsidR="005A1F08" w:rsidRPr="0045764A">
        <w:rPr>
          <w:rFonts w:eastAsia="TimesNewRoman"/>
          <w:szCs w:val="22"/>
          <w:lang w:val="sr-Latn-ME"/>
        </w:rPr>
        <w:t xml:space="preserve"> za terapiju </w:t>
      </w:r>
      <w:proofErr w:type="spellStart"/>
      <w:r w:rsidR="005A1F08" w:rsidRPr="0045764A">
        <w:rPr>
          <w:rFonts w:eastAsia="TimesNewRoman"/>
          <w:szCs w:val="22"/>
          <w:lang w:val="sr-Latn-ME"/>
        </w:rPr>
        <w:t>uznapredovalog</w:t>
      </w:r>
      <w:proofErr w:type="spellEnd"/>
      <w:r w:rsidR="005A1F08" w:rsidRPr="0045764A">
        <w:rPr>
          <w:rFonts w:eastAsia="TimesNewRoman"/>
          <w:szCs w:val="22"/>
          <w:lang w:val="sr-Latn-ME"/>
        </w:rPr>
        <w:t xml:space="preserve"> </w:t>
      </w:r>
      <w:proofErr w:type="spellStart"/>
      <w:r w:rsidR="005A1F08" w:rsidRPr="0045764A">
        <w:rPr>
          <w:rFonts w:eastAsia="TimesNewRoman"/>
          <w:szCs w:val="22"/>
          <w:lang w:val="sr-Latn-ME"/>
        </w:rPr>
        <w:t>karcinoma</w:t>
      </w:r>
      <w:proofErr w:type="spellEnd"/>
      <w:r w:rsidR="005A1F08" w:rsidRPr="0045764A">
        <w:rPr>
          <w:rFonts w:eastAsia="TimesNewRoman"/>
          <w:szCs w:val="22"/>
          <w:lang w:val="sr-Latn-ME"/>
        </w:rPr>
        <w:t xml:space="preserve"> bubrežnih ćelija (engl. </w:t>
      </w:r>
      <w:proofErr w:type="spellStart"/>
      <w:r w:rsidR="00570ACE" w:rsidRPr="0045764A">
        <w:rPr>
          <w:rFonts w:eastAsia="TimesNewRoman"/>
          <w:i/>
          <w:iCs/>
          <w:szCs w:val="22"/>
          <w:lang w:val="sr-Latn-ME"/>
        </w:rPr>
        <w:t>r</w:t>
      </w:r>
      <w:r w:rsidR="005A1F08" w:rsidRPr="0045764A">
        <w:rPr>
          <w:rFonts w:eastAsia="TimesNewRoman"/>
          <w:i/>
          <w:iCs/>
          <w:szCs w:val="22"/>
          <w:lang w:val="sr-Latn-ME"/>
        </w:rPr>
        <w:t>enal</w:t>
      </w:r>
      <w:proofErr w:type="spellEnd"/>
      <w:r w:rsidR="005A1F08" w:rsidRPr="0045764A">
        <w:rPr>
          <w:rFonts w:eastAsia="TimesNewRoman"/>
          <w:i/>
          <w:iCs/>
          <w:szCs w:val="22"/>
          <w:lang w:val="sr-Latn-ME"/>
        </w:rPr>
        <w:t xml:space="preserve"> </w:t>
      </w:r>
      <w:proofErr w:type="spellStart"/>
      <w:r w:rsidR="00570ACE" w:rsidRPr="0045764A">
        <w:rPr>
          <w:rFonts w:eastAsia="TimesNewRoman"/>
          <w:i/>
          <w:iCs/>
          <w:szCs w:val="22"/>
          <w:lang w:val="sr-Latn-ME"/>
        </w:rPr>
        <w:t>c</w:t>
      </w:r>
      <w:r w:rsidR="005A1F08" w:rsidRPr="0045764A">
        <w:rPr>
          <w:rFonts w:eastAsia="TimesNewRoman"/>
          <w:i/>
          <w:iCs/>
          <w:szCs w:val="22"/>
          <w:lang w:val="sr-Latn-ME"/>
        </w:rPr>
        <w:t>ell</w:t>
      </w:r>
      <w:proofErr w:type="spellEnd"/>
      <w:r w:rsidR="005A1F08" w:rsidRPr="0045764A">
        <w:rPr>
          <w:rFonts w:eastAsia="TimesNewRoman"/>
          <w:i/>
          <w:iCs/>
          <w:szCs w:val="22"/>
          <w:lang w:val="sr-Latn-ME"/>
        </w:rPr>
        <w:t xml:space="preserve"> </w:t>
      </w:r>
      <w:proofErr w:type="spellStart"/>
      <w:r w:rsidR="00570ACE" w:rsidRPr="0045764A">
        <w:rPr>
          <w:rFonts w:eastAsia="TimesNewRoman"/>
          <w:i/>
          <w:iCs/>
          <w:szCs w:val="22"/>
          <w:lang w:val="sr-Latn-ME"/>
        </w:rPr>
        <w:t>c</w:t>
      </w:r>
      <w:r w:rsidR="005A1F08" w:rsidRPr="0045764A">
        <w:rPr>
          <w:rFonts w:eastAsia="TimesNewRoman"/>
          <w:i/>
          <w:iCs/>
          <w:szCs w:val="22"/>
          <w:lang w:val="sr-Latn-ME"/>
        </w:rPr>
        <w:t>arcinoma</w:t>
      </w:r>
      <w:proofErr w:type="spellEnd"/>
      <w:r w:rsidR="005A1F08" w:rsidRPr="0045764A">
        <w:rPr>
          <w:rFonts w:eastAsia="TimesNewRoman"/>
          <w:szCs w:val="22"/>
          <w:lang w:val="sr-Latn-ME"/>
        </w:rPr>
        <w:t>,</w:t>
      </w:r>
      <w:r w:rsidR="002917D9" w:rsidRPr="0045764A">
        <w:rPr>
          <w:rFonts w:eastAsia="TimesNewRoman"/>
          <w:szCs w:val="22"/>
          <w:lang w:val="sr-Latn-ME"/>
        </w:rPr>
        <w:t xml:space="preserve"> </w:t>
      </w:r>
      <w:r w:rsidR="005A1F08" w:rsidRPr="0045764A">
        <w:rPr>
          <w:rFonts w:eastAsia="TimesNewRoman"/>
          <w:szCs w:val="22"/>
          <w:lang w:val="sr-Latn-ME"/>
        </w:rPr>
        <w:t xml:space="preserve">RCC) kod odraslih pacijenata nakon </w:t>
      </w:r>
      <w:r w:rsidR="00DD5488" w:rsidRPr="0045764A">
        <w:rPr>
          <w:rFonts w:eastAsia="TimesNewRoman"/>
          <w:szCs w:val="22"/>
          <w:lang w:val="sr-Latn-ME"/>
        </w:rPr>
        <w:t xml:space="preserve">prethodne </w:t>
      </w:r>
      <w:r w:rsidR="005A1F08" w:rsidRPr="0045764A">
        <w:rPr>
          <w:rFonts w:eastAsia="TimesNewRoman"/>
          <w:szCs w:val="22"/>
          <w:lang w:val="sr-Latn-ME"/>
        </w:rPr>
        <w:t>neusp</w:t>
      </w:r>
      <w:r w:rsidR="002674D1" w:rsidRPr="0045764A">
        <w:rPr>
          <w:rFonts w:eastAsia="TimesNewRoman"/>
          <w:szCs w:val="22"/>
          <w:lang w:val="sr-Latn-ME"/>
        </w:rPr>
        <w:t>j</w:t>
      </w:r>
      <w:r w:rsidR="005A1F08" w:rsidRPr="0045764A">
        <w:rPr>
          <w:rFonts w:eastAsia="TimesNewRoman"/>
          <w:szCs w:val="22"/>
          <w:lang w:val="sr-Latn-ME"/>
        </w:rPr>
        <w:t>e</w:t>
      </w:r>
      <w:r w:rsidR="00DD5488" w:rsidRPr="0045764A">
        <w:rPr>
          <w:rFonts w:eastAsia="TimesNewRoman"/>
          <w:szCs w:val="22"/>
          <w:lang w:val="sr-Latn-ME"/>
        </w:rPr>
        <w:t>šne</w:t>
      </w:r>
      <w:r w:rsidR="005A1F08" w:rsidRPr="0045764A">
        <w:rPr>
          <w:rFonts w:eastAsia="TimesNewRoman"/>
          <w:szCs w:val="22"/>
          <w:lang w:val="sr-Latn-ME"/>
        </w:rPr>
        <w:t xml:space="preserve"> terapije </w:t>
      </w:r>
      <w:proofErr w:type="spellStart"/>
      <w:r w:rsidR="005A1F08" w:rsidRPr="0045764A">
        <w:rPr>
          <w:rFonts w:eastAsia="TimesNewRoman"/>
          <w:szCs w:val="22"/>
          <w:lang w:val="sr-Latn-ME"/>
        </w:rPr>
        <w:t>sunitinibom</w:t>
      </w:r>
      <w:proofErr w:type="spellEnd"/>
      <w:r w:rsidR="005A1F08" w:rsidRPr="0045764A">
        <w:rPr>
          <w:rFonts w:eastAsia="TimesNewRoman"/>
          <w:szCs w:val="22"/>
          <w:lang w:val="sr-Latn-ME"/>
        </w:rPr>
        <w:t xml:space="preserve"> ili </w:t>
      </w:r>
      <w:proofErr w:type="spellStart"/>
      <w:r w:rsidR="005A1F08" w:rsidRPr="0045764A">
        <w:rPr>
          <w:rFonts w:eastAsia="TimesNewRoman"/>
          <w:szCs w:val="22"/>
          <w:lang w:val="sr-Latn-ME"/>
        </w:rPr>
        <w:t>citokinom</w:t>
      </w:r>
      <w:proofErr w:type="spellEnd"/>
      <w:r w:rsidR="005A1F08" w:rsidRPr="0045764A">
        <w:rPr>
          <w:rFonts w:eastAsia="TimesNewRoman"/>
          <w:szCs w:val="22"/>
          <w:lang w:val="sr-Latn-ME"/>
        </w:rPr>
        <w:t>.</w:t>
      </w:r>
    </w:p>
    <w:p w14:paraId="2FD14550" w14:textId="77777777" w:rsidR="002917D9" w:rsidRPr="0045764A" w:rsidRDefault="002917D9" w:rsidP="00C65330">
      <w:pPr>
        <w:rPr>
          <w:szCs w:val="22"/>
          <w:lang w:val="sr-Latn-ME"/>
        </w:rPr>
      </w:pPr>
    </w:p>
    <w:p w14:paraId="4B3C676B" w14:textId="2B14CC8F" w:rsidR="00CE09F3" w:rsidRPr="0045764A" w:rsidRDefault="006B4BB8" w:rsidP="00C65330">
      <w:pPr>
        <w:rPr>
          <w:b/>
          <w:bCs/>
          <w:szCs w:val="22"/>
          <w:lang w:val="sr-Latn-ME"/>
        </w:rPr>
      </w:pPr>
      <w:r w:rsidRPr="0045764A">
        <w:rPr>
          <w:b/>
          <w:bCs/>
          <w:szCs w:val="22"/>
          <w:lang w:val="sr-Latn-ME"/>
        </w:rPr>
        <w:t xml:space="preserve">4.2. Doziranje i način </w:t>
      </w:r>
      <w:r w:rsidR="008E2492" w:rsidRPr="0045764A">
        <w:rPr>
          <w:b/>
          <w:bCs/>
          <w:szCs w:val="22"/>
          <w:lang w:val="sr-Latn-ME"/>
        </w:rPr>
        <w:t>primjen</w:t>
      </w:r>
      <w:r w:rsidRPr="0045764A">
        <w:rPr>
          <w:b/>
          <w:bCs/>
          <w:szCs w:val="22"/>
          <w:lang w:val="sr-Latn-ME"/>
        </w:rPr>
        <w:t>e</w:t>
      </w:r>
    </w:p>
    <w:p w14:paraId="4B3C676C" w14:textId="77777777" w:rsidR="00CE09F3" w:rsidRPr="0045764A" w:rsidRDefault="00CE09F3" w:rsidP="00C65330">
      <w:pPr>
        <w:rPr>
          <w:szCs w:val="22"/>
          <w:lang w:val="sr-Latn-ME"/>
        </w:rPr>
      </w:pPr>
    </w:p>
    <w:p w14:paraId="2CB0318A" w14:textId="3C1484B3" w:rsidR="00B907B2" w:rsidRPr="0045764A" w:rsidRDefault="00B907B2"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Samo </w:t>
      </w:r>
      <w:r w:rsidR="00593BF5" w:rsidRPr="0045764A">
        <w:rPr>
          <w:rFonts w:eastAsia="TimesNewRoman"/>
          <w:szCs w:val="22"/>
          <w:lang w:val="sr-Latn-ME"/>
        </w:rPr>
        <w:t>ljekar</w:t>
      </w:r>
      <w:r w:rsidRPr="0045764A">
        <w:rPr>
          <w:rFonts w:eastAsia="TimesNewRoman"/>
          <w:szCs w:val="22"/>
          <w:lang w:val="sr-Latn-ME"/>
        </w:rPr>
        <w:t xml:space="preserve"> sa iskustvom u </w:t>
      </w:r>
      <w:r w:rsidR="008E2492" w:rsidRPr="0045764A">
        <w:rPr>
          <w:rFonts w:eastAsia="TimesNewRoman"/>
          <w:szCs w:val="22"/>
          <w:lang w:val="sr-Latn-ME"/>
        </w:rPr>
        <w:t>primjen</w:t>
      </w:r>
      <w:r w:rsidRPr="0045764A">
        <w:rPr>
          <w:rFonts w:eastAsia="TimesNewRoman"/>
          <w:szCs w:val="22"/>
          <w:lang w:val="sr-Latn-ME"/>
        </w:rPr>
        <w:t xml:space="preserve">i </w:t>
      </w:r>
      <w:r w:rsidR="00593BF5" w:rsidRPr="0045764A">
        <w:rPr>
          <w:rFonts w:eastAsia="TimesNewRoman"/>
          <w:szCs w:val="22"/>
          <w:lang w:val="sr-Latn-ME"/>
        </w:rPr>
        <w:t>ljek</w:t>
      </w:r>
      <w:r w:rsidRPr="0045764A">
        <w:rPr>
          <w:rFonts w:eastAsia="TimesNewRoman"/>
          <w:szCs w:val="22"/>
          <w:lang w:val="sr-Latn-ME"/>
        </w:rPr>
        <w:t xml:space="preserve">ova protiv </w:t>
      </w:r>
      <w:proofErr w:type="spellStart"/>
      <w:r w:rsidRPr="0045764A">
        <w:rPr>
          <w:rFonts w:eastAsia="TimesNewRoman"/>
          <w:szCs w:val="22"/>
          <w:lang w:val="sr-Latn-ME"/>
        </w:rPr>
        <w:t>karcinoma</w:t>
      </w:r>
      <w:proofErr w:type="spellEnd"/>
      <w:r w:rsidRPr="0045764A">
        <w:rPr>
          <w:rFonts w:eastAsia="TimesNewRoman"/>
          <w:szCs w:val="22"/>
          <w:lang w:val="sr-Latn-ME"/>
        </w:rPr>
        <w:t xml:space="preserve"> treba da sprovodi terapiju </w:t>
      </w:r>
      <w:r w:rsidR="00593BF5" w:rsidRPr="0045764A">
        <w:rPr>
          <w:rFonts w:eastAsia="TimesNewRoman"/>
          <w:szCs w:val="22"/>
          <w:lang w:val="sr-Latn-ME"/>
        </w:rPr>
        <w:t>lijek</w:t>
      </w:r>
      <w:r w:rsidRPr="0045764A">
        <w:rPr>
          <w:rFonts w:eastAsia="TimesNewRoman"/>
          <w:szCs w:val="22"/>
          <w:lang w:val="sr-Latn-ME"/>
        </w:rPr>
        <w:t xml:space="preserve">om </w:t>
      </w:r>
      <w:proofErr w:type="spellStart"/>
      <w:r w:rsidR="00593BF5" w:rsidRPr="0045764A">
        <w:rPr>
          <w:rFonts w:eastAsia="TimesNewRoman"/>
          <w:szCs w:val="22"/>
          <w:lang w:val="sr-Latn-ME"/>
        </w:rPr>
        <w:t>Aksitinib</w:t>
      </w:r>
      <w:proofErr w:type="spellEnd"/>
      <w:r w:rsidR="00593BF5" w:rsidRPr="0045764A">
        <w:rPr>
          <w:rFonts w:eastAsia="TimesNewRoman"/>
          <w:szCs w:val="22"/>
          <w:lang w:val="sr-Latn-ME"/>
        </w:rPr>
        <w:t xml:space="preserve"> STADA</w:t>
      </w:r>
      <w:r w:rsidRPr="0045764A">
        <w:rPr>
          <w:rFonts w:eastAsia="TimesNewRoman"/>
          <w:szCs w:val="22"/>
          <w:lang w:val="sr-Latn-ME"/>
        </w:rPr>
        <w:t>.</w:t>
      </w:r>
    </w:p>
    <w:p w14:paraId="511A78A4" w14:textId="77777777" w:rsidR="00F152E4" w:rsidRPr="0045764A" w:rsidRDefault="00F152E4" w:rsidP="00C65330">
      <w:pPr>
        <w:tabs>
          <w:tab w:val="clear" w:pos="284"/>
        </w:tabs>
        <w:autoSpaceDE w:val="0"/>
        <w:autoSpaceDN w:val="0"/>
        <w:adjustRightInd w:val="0"/>
        <w:rPr>
          <w:rFonts w:eastAsia="TimesNewRoman"/>
          <w:szCs w:val="22"/>
          <w:lang w:val="sr-Latn-ME"/>
        </w:rPr>
      </w:pPr>
    </w:p>
    <w:p w14:paraId="7E693D97" w14:textId="77777777" w:rsidR="00B907B2" w:rsidRPr="0045764A" w:rsidRDefault="00B907B2" w:rsidP="00C65330">
      <w:pPr>
        <w:tabs>
          <w:tab w:val="clear" w:pos="284"/>
        </w:tabs>
        <w:autoSpaceDE w:val="0"/>
        <w:autoSpaceDN w:val="0"/>
        <w:adjustRightInd w:val="0"/>
        <w:rPr>
          <w:rFonts w:eastAsia="TimesNewRoman"/>
          <w:iCs/>
          <w:szCs w:val="22"/>
          <w:u w:val="single"/>
          <w:lang w:val="sr-Latn-ME"/>
        </w:rPr>
      </w:pPr>
      <w:r w:rsidRPr="0045764A">
        <w:rPr>
          <w:rFonts w:eastAsia="TimesNewRoman"/>
          <w:iCs/>
          <w:szCs w:val="22"/>
          <w:u w:val="single"/>
          <w:lang w:val="sr-Latn-ME"/>
        </w:rPr>
        <w:t>Doziranje</w:t>
      </w:r>
    </w:p>
    <w:p w14:paraId="266CCE7B" w14:textId="61774853" w:rsidR="00B907B2" w:rsidRPr="0045764A" w:rsidRDefault="00B907B2"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Preporučena doza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je 5 mg dva puta dnevno.</w:t>
      </w:r>
    </w:p>
    <w:p w14:paraId="381E736A" w14:textId="77777777" w:rsidR="00F4468E" w:rsidRPr="0045764A" w:rsidRDefault="00F4468E" w:rsidP="00C65330">
      <w:pPr>
        <w:tabs>
          <w:tab w:val="clear" w:pos="284"/>
        </w:tabs>
        <w:autoSpaceDE w:val="0"/>
        <w:autoSpaceDN w:val="0"/>
        <w:adjustRightInd w:val="0"/>
        <w:rPr>
          <w:rFonts w:eastAsia="TimesNewRoman"/>
          <w:szCs w:val="22"/>
          <w:lang w:val="sr-Latn-ME"/>
        </w:rPr>
      </w:pPr>
    </w:p>
    <w:p w14:paraId="48DD6CF1" w14:textId="72760203" w:rsidR="00B907B2" w:rsidRPr="0045764A" w:rsidRDefault="00B907B2"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Terapiju bi trebalo nastaviti sve dok postoji klinička korist ili dok ne nastupi neprihvatljiva toksičnost koja se</w:t>
      </w:r>
      <w:r w:rsidR="002674D1" w:rsidRPr="0045764A">
        <w:rPr>
          <w:rFonts w:eastAsia="TimesNewRoman"/>
          <w:szCs w:val="22"/>
          <w:lang w:val="sr-Latn-ME"/>
        </w:rPr>
        <w:t xml:space="preserve"> </w:t>
      </w:r>
      <w:r w:rsidRPr="0045764A">
        <w:rPr>
          <w:rFonts w:eastAsia="TimesNewRoman"/>
          <w:szCs w:val="22"/>
          <w:lang w:val="sr-Latn-ME"/>
        </w:rPr>
        <w:t xml:space="preserve">ne može kontrolisati istovremenom </w:t>
      </w:r>
      <w:r w:rsidR="008E2492" w:rsidRPr="0045764A">
        <w:rPr>
          <w:rFonts w:eastAsia="TimesNewRoman"/>
          <w:szCs w:val="22"/>
          <w:lang w:val="sr-Latn-ME"/>
        </w:rPr>
        <w:t>primjen</w:t>
      </w:r>
      <w:r w:rsidRPr="0045764A">
        <w:rPr>
          <w:rFonts w:eastAsia="TimesNewRoman"/>
          <w:szCs w:val="22"/>
          <w:lang w:val="sr-Latn-ME"/>
        </w:rPr>
        <w:t xml:space="preserve">om drugih </w:t>
      </w:r>
      <w:r w:rsidR="00593BF5" w:rsidRPr="0045764A">
        <w:rPr>
          <w:rFonts w:eastAsia="TimesNewRoman"/>
          <w:szCs w:val="22"/>
          <w:lang w:val="sr-Latn-ME"/>
        </w:rPr>
        <w:t>ljek</w:t>
      </w:r>
      <w:r w:rsidRPr="0045764A">
        <w:rPr>
          <w:rFonts w:eastAsia="TimesNewRoman"/>
          <w:szCs w:val="22"/>
          <w:lang w:val="sr-Latn-ME"/>
        </w:rPr>
        <w:t xml:space="preserve">ova ili </w:t>
      </w:r>
      <w:r w:rsidR="00DD5488" w:rsidRPr="0045764A">
        <w:rPr>
          <w:rFonts w:eastAsia="TimesNewRoman"/>
          <w:szCs w:val="22"/>
          <w:lang w:val="sr-Latn-ME"/>
        </w:rPr>
        <w:t xml:space="preserve">prilagođavanjem </w:t>
      </w:r>
      <w:r w:rsidRPr="0045764A">
        <w:rPr>
          <w:rFonts w:eastAsia="TimesNewRoman"/>
          <w:szCs w:val="22"/>
          <w:lang w:val="sr-Latn-ME"/>
        </w:rPr>
        <w:t>doze.</w:t>
      </w:r>
    </w:p>
    <w:p w14:paraId="7463601E" w14:textId="77777777" w:rsidR="00DD5488" w:rsidRPr="0045764A" w:rsidRDefault="00DD5488" w:rsidP="00C65330">
      <w:pPr>
        <w:tabs>
          <w:tab w:val="clear" w:pos="284"/>
        </w:tabs>
        <w:autoSpaceDE w:val="0"/>
        <w:autoSpaceDN w:val="0"/>
        <w:adjustRightInd w:val="0"/>
        <w:rPr>
          <w:rFonts w:eastAsia="TimesNewRoman"/>
          <w:szCs w:val="22"/>
          <w:lang w:val="sr-Latn-ME"/>
        </w:rPr>
      </w:pPr>
    </w:p>
    <w:p w14:paraId="4B3C676D" w14:textId="66C40A0B" w:rsidR="00CE09F3" w:rsidRPr="0045764A" w:rsidRDefault="00B907B2"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Ako pacijent povra</w:t>
      </w:r>
      <w:r w:rsidR="00DD5488" w:rsidRPr="0045764A">
        <w:rPr>
          <w:rFonts w:eastAsia="TimesNewRoman"/>
          <w:szCs w:val="22"/>
          <w:lang w:val="sr-Latn-ME"/>
        </w:rPr>
        <w:t>ti</w:t>
      </w:r>
      <w:r w:rsidRPr="0045764A">
        <w:rPr>
          <w:rFonts w:eastAsia="TimesNewRoman"/>
          <w:szCs w:val="22"/>
          <w:lang w:val="sr-Latn-ME"/>
        </w:rPr>
        <w:t xml:space="preserve"> ili propusti dozu, ne treba uzimati dodatnu dozu. Sl</w:t>
      </w:r>
      <w:r w:rsidR="002674D1" w:rsidRPr="0045764A">
        <w:rPr>
          <w:rFonts w:eastAsia="TimesNewRoman"/>
          <w:szCs w:val="22"/>
          <w:lang w:val="sr-Latn-ME"/>
        </w:rPr>
        <w:t>j</w:t>
      </w:r>
      <w:r w:rsidRPr="0045764A">
        <w:rPr>
          <w:rFonts w:eastAsia="TimesNewRoman"/>
          <w:szCs w:val="22"/>
          <w:lang w:val="sr-Latn-ME"/>
        </w:rPr>
        <w:t>edeću propisanu dozu bi trebalo</w:t>
      </w:r>
      <w:r w:rsidR="00216763" w:rsidRPr="0045764A">
        <w:rPr>
          <w:rFonts w:eastAsia="TimesNewRoman"/>
          <w:szCs w:val="22"/>
          <w:lang w:val="sr-Latn-ME"/>
        </w:rPr>
        <w:t xml:space="preserve"> </w:t>
      </w:r>
      <w:r w:rsidRPr="0045764A">
        <w:rPr>
          <w:rFonts w:eastAsia="TimesNewRoman"/>
          <w:szCs w:val="22"/>
          <w:lang w:val="sr-Latn-ME"/>
        </w:rPr>
        <w:t>uzeti u predviđeno vr</w:t>
      </w:r>
      <w:r w:rsidR="002674D1" w:rsidRPr="0045764A">
        <w:rPr>
          <w:rFonts w:eastAsia="TimesNewRoman"/>
          <w:szCs w:val="22"/>
          <w:lang w:val="sr-Latn-ME"/>
        </w:rPr>
        <w:t>ij</w:t>
      </w:r>
      <w:r w:rsidRPr="0045764A">
        <w:rPr>
          <w:rFonts w:eastAsia="TimesNewRoman"/>
          <w:szCs w:val="22"/>
          <w:lang w:val="sr-Latn-ME"/>
        </w:rPr>
        <w:t>eme.</w:t>
      </w:r>
    </w:p>
    <w:p w14:paraId="2A2F07F3" w14:textId="4FC6E253" w:rsidR="00674860" w:rsidRPr="0045764A" w:rsidRDefault="00674860" w:rsidP="00C65330">
      <w:pPr>
        <w:rPr>
          <w:rFonts w:eastAsia="TimesNewRoman"/>
          <w:szCs w:val="22"/>
          <w:lang w:val="sr-Latn-ME"/>
        </w:rPr>
      </w:pPr>
    </w:p>
    <w:p w14:paraId="05FD9D95" w14:textId="77777777" w:rsidR="00674860" w:rsidRPr="0045764A" w:rsidRDefault="00674860" w:rsidP="00C65330">
      <w:pPr>
        <w:tabs>
          <w:tab w:val="clear" w:pos="284"/>
        </w:tabs>
        <w:autoSpaceDE w:val="0"/>
        <w:autoSpaceDN w:val="0"/>
        <w:adjustRightInd w:val="0"/>
        <w:rPr>
          <w:i/>
          <w:iCs/>
          <w:szCs w:val="22"/>
          <w:lang w:val="sr-Latn-ME"/>
        </w:rPr>
      </w:pPr>
      <w:r w:rsidRPr="0045764A">
        <w:rPr>
          <w:i/>
          <w:iCs/>
          <w:szCs w:val="22"/>
          <w:lang w:val="sr-Latn-ME"/>
        </w:rPr>
        <w:t>Prilagođavanje doze</w:t>
      </w:r>
    </w:p>
    <w:p w14:paraId="6D9303DD" w14:textId="09BD31A4" w:rsidR="00674860" w:rsidRPr="0045764A" w:rsidRDefault="00674860"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Povećanje ili smanjenje doze se preporučuje na osnovu individualne bezb</w:t>
      </w:r>
      <w:r w:rsidR="0034350E" w:rsidRPr="0045764A">
        <w:rPr>
          <w:rFonts w:eastAsia="TimesNewRoman"/>
          <w:szCs w:val="22"/>
          <w:lang w:val="sr-Latn-ME"/>
        </w:rPr>
        <w:t>j</w:t>
      </w:r>
      <w:r w:rsidRPr="0045764A">
        <w:rPr>
          <w:rFonts w:eastAsia="TimesNewRoman"/>
          <w:szCs w:val="22"/>
          <w:lang w:val="sr-Latn-ME"/>
        </w:rPr>
        <w:t xml:space="preserve">ednosti i </w:t>
      </w:r>
      <w:proofErr w:type="spellStart"/>
      <w:r w:rsidRPr="0045764A">
        <w:rPr>
          <w:rFonts w:eastAsia="TimesNewRoman"/>
          <w:szCs w:val="22"/>
          <w:lang w:val="sr-Latn-ME"/>
        </w:rPr>
        <w:t>podnošljivosti</w:t>
      </w:r>
      <w:proofErr w:type="spellEnd"/>
      <w:r w:rsidRPr="0045764A">
        <w:rPr>
          <w:rFonts w:eastAsia="TimesNewRoman"/>
          <w:szCs w:val="22"/>
          <w:lang w:val="sr-Latn-ME"/>
        </w:rPr>
        <w:t>.</w:t>
      </w:r>
    </w:p>
    <w:p w14:paraId="2931402A" w14:textId="77777777" w:rsidR="00F4468E" w:rsidRPr="0045764A" w:rsidRDefault="00F4468E" w:rsidP="00C65330">
      <w:pPr>
        <w:tabs>
          <w:tab w:val="clear" w:pos="284"/>
        </w:tabs>
        <w:autoSpaceDE w:val="0"/>
        <w:autoSpaceDN w:val="0"/>
        <w:adjustRightInd w:val="0"/>
        <w:rPr>
          <w:rFonts w:eastAsia="TimesNewRoman"/>
          <w:szCs w:val="22"/>
          <w:lang w:val="sr-Latn-ME"/>
        </w:rPr>
      </w:pPr>
    </w:p>
    <w:p w14:paraId="01378A33" w14:textId="66F55405" w:rsidR="00674860" w:rsidRPr="0045764A" w:rsidRDefault="00674860"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Pacijentima koji dobro podnose početnu dozu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od 5 mg dva puta dnevno, bez pojave neželjenih</w:t>
      </w:r>
      <w:r w:rsidR="0014397E" w:rsidRPr="0045764A">
        <w:rPr>
          <w:rFonts w:eastAsia="TimesNewRoman"/>
          <w:szCs w:val="22"/>
          <w:lang w:val="sr-Latn-ME"/>
        </w:rPr>
        <w:t xml:space="preserve"> </w:t>
      </w:r>
      <w:r w:rsidR="001E3B5E" w:rsidRPr="0045764A">
        <w:rPr>
          <w:rFonts w:eastAsia="TimesNewRoman"/>
          <w:szCs w:val="22"/>
          <w:lang w:val="sr-Latn-ME"/>
        </w:rPr>
        <w:t xml:space="preserve">dejstava </w:t>
      </w:r>
      <w:r w:rsidRPr="0045764A">
        <w:rPr>
          <w:rFonts w:eastAsia="TimesNewRoman"/>
          <w:szCs w:val="22"/>
          <w:lang w:val="sr-Latn-ME"/>
        </w:rPr>
        <w:t xml:space="preserve">iznad Gradusa 2 (tj. bez ozbiljnih neželjenih </w:t>
      </w:r>
      <w:r w:rsidR="00813F85" w:rsidRPr="0045764A">
        <w:rPr>
          <w:rFonts w:eastAsia="TimesNewRoman"/>
          <w:szCs w:val="22"/>
          <w:lang w:val="sr-Latn-ME"/>
        </w:rPr>
        <w:t xml:space="preserve">dejstava </w:t>
      </w:r>
      <w:r w:rsidRPr="0045764A">
        <w:rPr>
          <w:rFonts w:eastAsia="TimesNewRoman"/>
          <w:szCs w:val="22"/>
          <w:lang w:val="sr-Latn-ME"/>
        </w:rPr>
        <w:t>prema Kriterijumima standardne</w:t>
      </w:r>
      <w:r w:rsidR="0014397E" w:rsidRPr="0045764A">
        <w:rPr>
          <w:rFonts w:eastAsia="TimesNewRoman"/>
          <w:szCs w:val="22"/>
          <w:lang w:val="sr-Latn-ME"/>
        </w:rPr>
        <w:t xml:space="preserve"> </w:t>
      </w:r>
      <w:r w:rsidRPr="0045764A">
        <w:rPr>
          <w:rFonts w:eastAsia="TimesNewRoman"/>
          <w:szCs w:val="22"/>
          <w:lang w:val="sr-Latn-ME"/>
        </w:rPr>
        <w:t xml:space="preserve">terminologije za neželjene događaje [engl. </w:t>
      </w:r>
      <w:proofErr w:type="spellStart"/>
      <w:r w:rsidRPr="0045764A">
        <w:rPr>
          <w:i/>
          <w:iCs/>
          <w:szCs w:val="22"/>
          <w:lang w:val="sr-Latn-ME"/>
        </w:rPr>
        <w:t>Common</w:t>
      </w:r>
      <w:proofErr w:type="spellEnd"/>
      <w:r w:rsidRPr="0045764A">
        <w:rPr>
          <w:i/>
          <w:iCs/>
          <w:szCs w:val="22"/>
          <w:lang w:val="sr-Latn-ME"/>
        </w:rPr>
        <w:t xml:space="preserve"> </w:t>
      </w:r>
      <w:proofErr w:type="spellStart"/>
      <w:r w:rsidRPr="0045764A">
        <w:rPr>
          <w:i/>
          <w:iCs/>
          <w:szCs w:val="22"/>
          <w:lang w:val="sr-Latn-ME"/>
        </w:rPr>
        <w:t>Terminology</w:t>
      </w:r>
      <w:proofErr w:type="spellEnd"/>
      <w:r w:rsidRPr="0045764A">
        <w:rPr>
          <w:i/>
          <w:iCs/>
          <w:szCs w:val="22"/>
          <w:lang w:val="sr-Latn-ME"/>
        </w:rPr>
        <w:t xml:space="preserve"> </w:t>
      </w:r>
      <w:proofErr w:type="spellStart"/>
      <w:r w:rsidRPr="0045764A">
        <w:rPr>
          <w:i/>
          <w:iCs/>
          <w:szCs w:val="22"/>
          <w:lang w:val="sr-Latn-ME"/>
        </w:rPr>
        <w:t>Criteria</w:t>
      </w:r>
      <w:proofErr w:type="spellEnd"/>
      <w:r w:rsidRPr="0045764A">
        <w:rPr>
          <w:i/>
          <w:iCs/>
          <w:szCs w:val="22"/>
          <w:lang w:val="sr-Latn-ME"/>
        </w:rPr>
        <w:t xml:space="preserve"> </w:t>
      </w:r>
      <w:proofErr w:type="spellStart"/>
      <w:r w:rsidRPr="0045764A">
        <w:rPr>
          <w:i/>
          <w:iCs/>
          <w:szCs w:val="22"/>
          <w:lang w:val="sr-Latn-ME"/>
        </w:rPr>
        <w:t>for</w:t>
      </w:r>
      <w:proofErr w:type="spellEnd"/>
      <w:r w:rsidRPr="0045764A">
        <w:rPr>
          <w:i/>
          <w:iCs/>
          <w:szCs w:val="22"/>
          <w:lang w:val="sr-Latn-ME"/>
        </w:rPr>
        <w:t xml:space="preserve"> </w:t>
      </w:r>
      <w:proofErr w:type="spellStart"/>
      <w:r w:rsidRPr="0045764A">
        <w:rPr>
          <w:i/>
          <w:iCs/>
          <w:szCs w:val="22"/>
          <w:lang w:val="sr-Latn-ME"/>
        </w:rPr>
        <w:t>Adverse</w:t>
      </w:r>
      <w:proofErr w:type="spellEnd"/>
      <w:r w:rsidRPr="0045764A">
        <w:rPr>
          <w:i/>
          <w:iCs/>
          <w:szCs w:val="22"/>
          <w:lang w:val="sr-Latn-ME"/>
        </w:rPr>
        <w:t xml:space="preserve"> </w:t>
      </w:r>
      <w:proofErr w:type="spellStart"/>
      <w:r w:rsidRPr="0045764A">
        <w:rPr>
          <w:i/>
          <w:iCs/>
          <w:szCs w:val="22"/>
          <w:lang w:val="sr-Latn-ME"/>
        </w:rPr>
        <w:t>Events</w:t>
      </w:r>
      <w:proofErr w:type="spellEnd"/>
      <w:r w:rsidRPr="0045764A">
        <w:rPr>
          <w:iCs/>
          <w:szCs w:val="22"/>
          <w:lang w:val="sr-Latn-ME"/>
        </w:rPr>
        <w:t>,</w:t>
      </w:r>
      <w:r w:rsidRPr="0045764A">
        <w:rPr>
          <w:i/>
          <w:iCs/>
          <w:szCs w:val="22"/>
          <w:lang w:val="sr-Latn-ME"/>
        </w:rPr>
        <w:t xml:space="preserve"> </w:t>
      </w:r>
      <w:r w:rsidRPr="0045764A">
        <w:rPr>
          <w:rFonts w:eastAsia="TimesNewRoman"/>
          <w:szCs w:val="22"/>
          <w:lang w:val="sr-Latn-ME"/>
        </w:rPr>
        <w:t>CTCAE]</w:t>
      </w:r>
      <w:r w:rsidR="00040CDC" w:rsidRPr="0045764A">
        <w:rPr>
          <w:rFonts w:eastAsia="TimesNewRoman"/>
          <w:szCs w:val="22"/>
          <w:lang w:val="sr-Latn-ME"/>
        </w:rPr>
        <w:t>, verzija 3.0</w:t>
      </w:r>
      <w:r w:rsidRPr="0045764A">
        <w:rPr>
          <w:rFonts w:eastAsia="TimesNewRoman"/>
          <w:szCs w:val="22"/>
          <w:lang w:val="sr-Latn-ME"/>
        </w:rPr>
        <w:t>)</w:t>
      </w:r>
      <w:r w:rsidR="0014397E" w:rsidRPr="0045764A">
        <w:rPr>
          <w:rFonts w:eastAsia="TimesNewRoman"/>
          <w:szCs w:val="22"/>
          <w:lang w:val="sr-Latn-ME"/>
        </w:rPr>
        <w:t xml:space="preserve"> </w:t>
      </w:r>
      <w:r w:rsidRPr="0045764A">
        <w:rPr>
          <w:rFonts w:eastAsia="TimesNewRoman"/>
          <w:szCs w:val="22"/>
          <w:lang w:val="sr-Latn-ME"/>
        </w:rPr>
        <w:t>tokom dv</w:t>
      </w:r>
      <w:r w:rsidR="0034350E" w:rsidRPr="0045764A">
        <w:rPr>
          <w:rFonts w:eastAsia="TimesNewRoman"/>
          <w:szCs w:val="22"/>
          <w:lang w:val="sr-Latn-ME"/>
        </w:rPr>
        <w:t>ij</w:t>
      </w:r>
      <w:r w:rsidRPr="0045764A">
        <w:rPr>
          <w:rFonts w:eastAsia="TimesNewRoman"/>
          <w:szCs w:val="22"/>
          <w:lang w:val="sr-Latn-ME"/>
        </w:rPr>
        <w:t>e uzastopne ned</w:t>
      </w:r>
      <w:r w:rsidR="0034350E" w:rsidRPr="0045764A">
        <w:rPr>
          <w:rFonts w:eastAsia="TimesNewRoman"/>
          <w:szCs w:val="22"/>
          <w:lang w:val="sr-Latn-ME"/>
        </w:rPr>
        <w:t>j</w:t>
      </w:r>
      <w:r w:rsidRPr="0045764A">
        <w:rPr>
          <w:rFonts w:eastAsia="TimesNewRoman"/>
          <w:szCs w:val="22"/>
          <w:lang w:val="sr-Latn-ME"/>
        </w:rPr>
        <w:t>elje, doza može da se poveća na 7 mg dva puta dnevno, osim ako je krvni pritisak</w:t>
      </w:r>
      <w:r w:rsidR="0014397E" w:rsidRPr="0045764A">
        <w:rPr>
          <w:rFonts w:eastAsia="TimesNewRoman"/>
          <w:szCs w:val="22"/>
          <w:lang w:val="sr-Latn-ME"/>
        </w:rPr>
        <w:t xml:space="preserve"> </w:t>
      </w:r>
      <w:r w:rsidRPr="0045764A">
        <w:rPr>
          <w:rFonts w:eastAsia="TimesNewRoman"/>
          <w:szCs w:val="22"/>
          <w:lang w:val="sr-Latn-ME"/>
        </w:rPr>
        <w:t xml:space="preserve">pacijenta &gt; 150/90 </w:t>
      </w:r>
      <w:proofErr w:type="spellStart"/>
      <w:r w:rsidRPr="0045764A">
        <w:rPr>
          <w:rFonts w:eastAsia="TimesNewRoman"/>
          <w:szCs w:val="22"/>
          <w:lang w:val="sr-Latn-ME"/>
        </w:rPr>
        <w:t>mmHg</w:t>
      </w:r>
      <w:proofErr w:type="spellEnd"/>
      <w:r w:rsidRPr="0045764A">
        <w:rPr>
          <w:rFonts w:eastAsia="TimesNewRoman"/>
          <w:szCs w:val="22"/>
          <w:lang w:val="sr-Latn-ME"/>
        </w:rPr>
        <w:t xml:space="preserve"> ili</w:t>
      </w:r>
      <w:r w:rsidR="00040CDC" w:rsidRPr="0045764A">
        <w:rPr>
          <w:rFonts w:eastAsia="TimesNewRoman"/>
          <w:szCs w:val="22"/>
          <w:lang w:val="sr-Latn-ME"/>
        </w:rPr>
        <w:t xml:space="preserve"> ako</w:t>
      </w:r>
      <w:r w:rsidRPr="0045764A">
        <w:rPr>
          <w:rFonts w:eastAsia="TimesNewRoman"/>
          <w:szCs w:val="22"/>
          <w:lang w:val="sr-Latn-ME"/>
        </w:rPr>
        <w:t xml:space="preserve"> pacijent prima </w:t>
      </w:r>
      <w:proofErr w:type="spellStart"/>
      <w:r w:rsidRPr="0045764A">
        <w:rPr>
          <w:rFonts w:eastAsia="TimesNewRoman"/>
          <w:szCs w:val="22"/>
          <w:lang w:val="sr-Latn-ME"/>
        </w:rPr>
        <w:t>antihipertenzivnu</w:t>
      </w:r>
      <w:proofErr w:type="spellEnd"/>
      <w:r w:rsidRPr="0045764A">
        <w:rPr>
          <w:rFonts w:eastAsia="TimesNewRoman"/>
          <w:szCs w:val="22"/>
          <w:lang w:val="sr-Latn-ME"/>
        </w:rPr>
        <w:t xml:space="preserve"> terapiju. Nakon toga, pacijentima koji prema</w:t>
      </w:r>
      <w:r w:rsidR="00C05117" w:rsidRPr="0045764A">
        <w:rPr>
          <w:rFonts w:eastAsia="TimesNewRoman"/>
          <w:szCs w:val="22"/>
          <w:lang w:val="sr-Latn-ME"/>
        </w:rPr>
        <w:t xml:space="preserve"> </w:t>
      </w:r>
      <w:r w:rsidRPr="0045764A">
        <w:rPr>
          <w:rFonts w:eastAsia="TimesNewRoman"/>
          <w:szCs w:val="22"/>
          <w:lang w:val="sr-Latn-ME"/>
        </w:rPr>
        <w:t xml:space="preserve">istim kriterijumima dobro podnose dozu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od 7 mg dva puta dnevno, doza može da se poveća do</w:t>
      </w:r>
      <w:r w:rsidR="00C05117" w:rsidRPr="0045764A">
        <w:rPr>
          <w:rFonts w:eastAsia="TimesNewRoman"/>
          <w:szCs w:val="22"/>
          <w:lang w:val="sr-Latn-ME"/>
        </w:rPr>
        <w:t xml:space="preserve"> </w:t>
      </w:r>
      <w:r w:rsidRPr="0045764A">
        <w:rPr>
          <w:rFonts w:eastAsia="TimesNewRoman"/>
          <w:szCs w:val="22"/>
          <w:lang w:val="sr-Latn-ME"/>
        </w:rPr>
        <w:t>najviše 10 mg dva puta dnevno.</w:t>
      </w:r>
    </w:p>
    <w:p w14:paraId="11A06F3B" w14:textId="77777777" w:rsidR="00F4468E" w:rsidRPr="0045764A" w:rsidRDefault="00F4468E" w:rsidP="00C65330">
      <w:pPr>
        <w:tabs>
          <w:tab w:val="clear" w:pos="284"/>
        </w:tabs>
        <w:autoSpaceDE w:val="0"/>
        <w:autoSpaceDN w:val="0"/>
        <w:adjustRightInd w:val="0"/>
        <w:rPr>
          <w:rFonts w:eastAsia="TimesNewRoman"/>
          <w:szCs w:val="22"/>
          <w:lang w:val="sr-Latn-ME"/>
        </w:rPr>
      </w:pPr>
    </w:p>
    <w:p w14:paraId="07A72BD6" w14:textId="2C918CC0" w:rsidR="00674860" w:rsidRPr="0045764A" w:rsidRDefault="00674860"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Kontrola nekih neželjenih </w:t>
      </w:r>
      <w:r w:rsidR="00813F85" w:rsidRPr="0045764A">
        <w:rPr>
          <w:rFonts w:eastAsia="TimesNewRoman"/>
          <w:szCs w:val="22"/>
          <w:lang w:val="sr-Latn-ME"/>
        </w:rPr>
        <w:t xml:space="preserve">dejstava </w:t>
      </w:r>
      <w:r w:rsidRPr="0045764A">
        <w:rPr>
          <w:rFonts w:eastAsia="TimesNewRoman"/>
          <w:szCs w:val="22"/>
          <w:lang w:val="sr-Latn-ME"/>
        </w:rPr>
        <w:t>može da zaht</w:t>
      </w:r>
      <w:r w:rsidR="0034350E" w:rsidRPr="0045764A">
        <w:rPr>
          <w:rFonts w:eastAsia="TimesNewRoman"/>
          <w:szCs w:val="22"/>
          <w:lang w:val="sr-Latn-ME"/>
        </w:rPr>
        <w:t>ij</w:t>
      </w:r>
      <w:r w:rsidRPr="0045764A">
        <w:rPr>
          <w:rFonts w:eastAsia="TimesNewRoman"/>
          <w:szCs w:val="22"/>
          <w:lang w:val="sr-Latn-ME"/>
        </w:rPr>
        <w:t xml:space="preserve">eva privremeni ili trajni prekid terapije </w:t>
      </w:r>
      <w:proofErr w:type="spellStart"/>
      <w:r w:rsidRPr="0045764A">
        <w:rPr>
          <w:rFonts w:eastAsia="TimesNewRoman"/>
          <w:szCs w:val="22"/>
          <w:lang w:val="sr-Latn-ME"/>
        </w:rPr>
        <w:t>aksitinibom</w:t>
      </w:r>
      <w:proofErr w:type="spellEnd"/>
      <w:r w:rsidRPr="0045764A">
        <w:rPr>
          <w:rFonts w:eastAsia="TimesNewRoman"/>
          <w:szCs w:val="22"/>
          <w:lang w:val="sr-Latn-ME"/>
        </w:rPr>
        <w:t xml:space="preserve"> i/ili</w:t>
      </w:r>
      <w:r w:rsidR="00C05117" w:rsidRPr="0045764A">
        <w:rPr>
          <w:rFonts w:eastAsia="TimesNewRoman"/>
          <w:szCs w:val="22"/>
          <w:lang w:val="sr-Latn-ME"/>
        </w:rPr>
        <w:t xml:space="preserve"> </w:t>
      </w:r>
      <w:r w:rsidRPr="0045764A">
        <w:rPr>
          <w:rFonts w:eastAsia="TimesNewRoman"/>
          <w:szCs w:val="22"/>
          <w:lang w:val="sr-Latn-ME"/>
        </w:rPr>
        <w:t>smanjenje doze (</w:t>
      </w:r>
      <w:r w:rsidR="006F7AEE" w:rsidRPr="0045764A">
        <w:rPr>
          <w:rFonts w:eastAsia="TimesNewRoman"/>
          <w:szCs w:val="22"/>
          <w:lang w:val="sr-Latn-ME"/>
        </w:rPr>
        <w:t>pogledati dio</w:t>
      </w:r>
      <w:r w:rsidRPr="0045764A">
        <w:rPr>
          <w:rFonts w:eastAsia="TimesNewRoman"/>
          <w:szCs w:val="22"/>
          <w:lang w:val="sr-Latn-ME"/>
        </w:rPr>
        <w:t xml:space="preserve"> 4.4). Kada je potrebno smanjenje doze</w:t>
      </w:r>
      <w:r w:rsidR="00D47F3D" w:rsidRPr="0045764A">
        <w:rPr>
          <w:rFonts w:eastAsia="TimesNewRoman"/>
          <w:szCs w:val="22"/>
          <w:lang w:val="sr-Latn-ME"/>
        </w:rPr>
        <w:t>,</w:t>
      </w:r>
      <w:r w:rsidRPr="0045764A">
        <w:rPr>
          <w:rFonts w:eastAsia="TimesNewRoman"/>
          <w:szCs w:val="22"/>
          <w:lang w:val="sr-Latn-ME"/>
        </w:rPr>
        <w:t xml:space="preserve"> ona može da se smanji na 3 mg</w:t>
      </w:r>
      <w:r w:rsidR="00C05117" w:rsidRPr="0045764A">
        <w:rPr>
          <w:rFonts w:eastAsia="TimesNewRoman"/>
          <w:szCs w:val="22"/>
          <w:lang w:val="sr-Latn-ME"/>
        </w:rPr>
        <w:t xml:space="preserve">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dva puta dnevno, i dalje, do 2 mg dva puta dnevno.</w:t>
      </w:r>
    </w:p>
    <w:p w14:paraId="03CEABAA" w14:textId="77777777" w:rsidR="00C05117" w:rsidRPr="0045764A" w:rsidRDefault="00C05117" w:rsidP="00C65330">
      <w:pPr>
        <w:tabs>
          <w:tab w:val="clear" w:pos="284"/>
        </w:tabs>
        <w:autoSpaceDE w:val="0"/>
        <w:autoSpaceDN w:val="0"/>
        <w:adjustRightInd w:val="0"/>
        <w:rPr>
          <w:rFonts w:eastAsia="TimesNewRoman"/>
          <w:szCs w:val="22"/>
          <w:lang w:val="sr-Latn-ME"/>
        </w:rPr>
      </w:pPr>
    </w:p>
    <w:p w14:paraId="1BE577B3" w14:textId="45F604C8" w:rsidR="00674860" w:rsidRPr="0045764A" w:rsidRDefault="00674860" w:rsidP="00C65330">
      <w:pPr>
        <w:rPr>
          <w:rFonts w:eastAsia="TimesNewRoman"/>
          <w:szCs w:val="22"/>
          <w:lang w:val="sr-Latn-ME"/>
        </w:rPr>
      </w:pPr>
      <w:r w:rsidRPr="0045764A">
        <w:rPr>
          <w:rFonts w:eastAsia="TimesNewRoman"/>
          <w:szCs w:val="22"/>
          <w:lang w:val="sr-Latn-ME"/>
        </w:rPr>
        <w:t>Nije potrebno prilagođavanje doze na osnovu starosti pacijenta, rase, pola ili t</w:t>
      </w:r>
      <w:r w:rsidR="0034350E" w:rsidRPr="0045764A">
        <w:rPr>
          <w:rFonts w:eastAsia="TimesNewRoman"/>
          <w:szCs w:val="22"/>
          <w:lang w:val="sr-Latn-ME"/>
        </w:rPr>
        <w:t>j</w:t>
      </w:r>
      <w:r w:rsidRPr="0045764A">
        <w:rPr>
          <w:rFonts w:eastAsia="TimesNewRoman"/>
          <w:szCs w:val="22"/>
          <w:lang w:val="sr-Latn-ME"/>
        </w:rPr>
        <w:t>elesne mase.</w:t>
      </w:r>
    </w:p>
    <w:p w14:paraId="5E0075F3" w14:textId="52B9C3C4" w:rsidR="00674860" w:rsidRPr="0045764A" w:rsidRDefault="00674860" w:rsidP="00C65330">
      <w:pPr>
        <w:rPr>
          <w:rFonts w:eastAsia="TimesNewRoman"/>
          <w:szCs w:val="22"/>
          <w:lang w:val="sr-Latn-ME"/>
        </w:rPr>
      </w:pPr>
    </w:p>
    <w:p w14:paraId="2CB5464D" w14:textId="00255F98" w:rsidR="00642BB7" w:rsidRPr="0045764A" w:rsidRDefault="00642BB7" w:rsidP="00C65330">
      <w:pPr>
        <w:tabs>
          <w:tab w:val="clear" w:pos="284"/>
        </w:tabs>
        <w:autoSpaceDE w:val="0"/>
        <w:autoSpaceDN w:val="0"/>
        <w:adjustRightInd w:val="0"/>
        <w:rPr>
          <w:i/>
          <w:iCs/>
          <w:szCs w:val="22"/>
          <w:lang w:val="sr-Latn-ME"/>
        </w:rPr>
      </w:pPr>
      <w:r w:rsidRPr="0045764A">
        <w:rPr>
          <w:i/>
          <w:iCs/>
          <w:szCs w:val="22"/>
          <w:lang w:val="sr-Latn-ME"/>
        </w:rPr>
        <w:t xml:space="preserve">Istovremena </w:t>
      </w:r>
      <w:r w:rsidR="008E2492" w:rsidRPr="0045764A">
        <w:rPr>
          <w:i/>
          <w:iCs/>
          <w:szCs w:val="22"/>
          <w:lang w:val="sr-Latn-ME"/>
        </w:rPr>
        <w:t>primjen</w:t>
      </w:r>
      <w:r w:rsidRPr="0045764A">
        <w:rPr>
          <w:i/>
          <w:iCs/>
          <w:szCs w:val="22"/>
          <w:lang w:val="sr-Latn-ME"/>
        </w:rPr>
        <w:t xml:space="preserve">a sa jakim </w:t>
      </w:r>
      <w:proofErr w:type="spellStart"/>
      <w:r w:rsidRPr="0045764A">
        <w:rPr>
          <w:i/>
          <w:iCs/>
          <w:szCs w:val="22"/>
          <w:lang w:val="sr-Latn-ME"/>
        </w:rPr>
        <w:t>inhibitorima</w:t>
      </w:r>
      <w:proofErr w:type="spellEnd"/>
      <w:r w:rsidRPr="0045764A">
        <w:rPr>
          <w:i/>
          <w:iCs/>
          <w:szCs w:val="22"/>
          <w:lang w:val="sr-Latn-ME"/>
        </w:rPr>
        <w:t xml:space="preserve"> CYP3A4/5</w:t>
      </w:r>
    </w:p>
    <w:p w14:paraId="2B839124" w14:textId="6B733464" w:rsidR="00642BB7" w:rsidRPr="0045764A" w:rsidRDefault="00642BB7"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Istovremena </w:t>
      </w:r>
      <w:r w:rsidR="008E2492" w:rsidRPr="0045764A">
        <w:rPr>
          <w:rFonts w:eastAsia="TimesNewRoman"/>
          <w:szCs w:val="22"/>
          <w:lang w:val="sr-Latn-ME"/>
        </w:rPr>
        <w:t>primjen</w:t>
      </w:r>
      <w:r w:rsidRPr="0045764A">
        <w:rPr>
          <w:rFonts w:eastAsia="TimesNewRoman"/>
          <w:szCs w:val="22"/>
          <w:lang w:val="sr-Latn-ME"/>
        </w:rPr>
        <w:t xml:space="preserve">a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sa jakim </w:t>
      </w:r>
      <w:proofErr w:type="spellStart"/>
      <w:r w:rsidRPr="0045764A">
        <w:rPr>
          <w:rFonts w:eastAsia="TimesNewRoman"/>
          <w:szCs w:val="22"/>
          <w:lang w:val="sr-Latn-ME"/>
        </w:rPr>
        <w:t>inhibitorima</w:t>
      </w:r>
      <w:proofErr w:type="spellEnd"/>
      <w:r w:rsidRPr="0045764A">
        <w:rPr>
          <w:rFonts w:eastAsia="TimesNewRoman"/>
          <w:szCs w:val="22"/>
          <w:lang w:val="sr-Latn-ME"/>
        </w:rPr>
        <w:t xml:space="preserve"> CYP3A4/5 može da poveća koncentraciju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u</w:t>
      </w:r>
      <w:r w:rsidR="00F4468E" w:rsidRPr="0045764A">
        <w:rPr>
          <w:rFonts w:eastAsia="TimesNewRoman"/>
          <w:szCs w:val="22"/>
          <w:lang w:val="sr-Latn-ME"/>
        </w:rPr>
        <w:t xml:space="preserve"> </w:t>
      </w:r>
      <w:r w:rsidRPr="0045764A">
        <w:rPr>
          <w:rFonts w:eastAsia="TimesNewRoman"/>
          <w:szCs w:val="22"/>
          <w:lang w:val="sr-Latn-ME"/>
        </w:rPr>
        <w:t>plazmi (</w:t>
      </w:r>
      <w:r w:rsidR="006F7AEE" w:rsidRPr="0045764A">
        <w:rPr>
          <w:rFonts w:eastAsia="TimesNewRoman"/>
          <w:szCs w:val="22"/>
          <w:lang w:val="sr-Latn-ME"/>
        </w:rPr>
        <w:t>pogledati dio</w:t>
      </w:r>
      <w:r w:rsidRPr="0045764A">
        <w:rPr>
          <w:rFonts w:eastAsia="TimesNewRoman"/>
          <w:szCs w:val="22"/>
          <w:lang w:val="sr-Latn-ME"/>
        </w:rPr>
        <w:t xml:space="preserve"> 4.5). </w:t>
      </w:r>
      <w:r w:rsidR="00D47F3D" w:rsidRPr="0045764A">
        <w:rPr>
          <w:rFonts w:eastAsia="TimesNewRoman"/>
          <w:szCs w:val="22"/>
          <w:lang w:val="sr-Latn-ME"/>
        </w:rPr>
        <w:t>Za istovremenu primjenu p</w:t>
      </w:r>
      <w:r w:rsidRPr="0045764A">
        <w:rPr>
          <w:rFonts w:eastAsia="TimesNewRoman"/>
          <w:szCs w:val="22"/>
          <w:lang w:val="sr-Latn-ME"/>
        </w:rPr>
        <w:t xml:space="preserve">reporučuje se izbor alternativnog </w:t>
      </w:r>
      <w:r w:rsidR="00593BF5" w:rsidRPr="0045764A">
        <w:rPr>
          <w:rFonts w:eastAsia="TimesNewRoman"/>
          <w:szCs w:val="22"/>
          <w:lang w:val="sr-Latn-ME"/>
        </w:rPr>
        <w:t>lijek</w:t>
      </w:r>
      <w:r w:rsidRPr="0045764A">
        <w:rPr>
          <w:rFonts w:eastAsia="TimesNewRoman"/>
          <w:szCs w:val="22"/>
          <w:lang w:val="sr-Latn-ME"/>
        </w:rPr>
        <w:t xml:space="preserve">a </w:t>
      </w:r>
      <w:r w:rsidR="00D47F3D" w:rsidRPr="0045764A">
        <w:rPr>
          <w:rFonts w:eastAsia="TimesNewRoman"/>
          <w:szCs w:val="22"/>
          <w:lang w:val="sr-Latn-ME"/>
        </w:rPr>
        <w:t>koji</w:t>
      </w:r>
      <w:r w:rsidRPr="0045764A">
        <w:rPr>
          <w:rFonts w:eastAsia="TimesNewRoman"/>
          <w:szCs w:val="22"/>
          <w:lang w:val="sr-Latn-ME"/>
        </w:rPr>
        <w:t xml:space="preserve"> nema ili ima</w:t>
      </w:r>
      <w:r w:rsidR="00F4468E" w:rsidRPr="0045764A">
        <w:rPr>
          <w:rFonts w:eastAsia="TimesNewRoman"/>
          <w:szCs w:val="22"/>
          <w:lang w:val="sr-Latn-ME"/>
        </w:rPr>
        <w:t xml:space="preserve"> </w:t>
      </w:r>
      <w:r w:rsidRPr="0045764A">
        <w:rPr>
          <w:rFonts w:eastAsia="TimesNewRoman"/>
          <w:szCs w:val="22"/>
          <w:lang w:val="sr-Latn-ME"/>
        </w:rPr>
        <w:t>minimalni potencijal inhibicije CYP3A4/5.</w:t>
      </w:r>
    </w:p>
    <w:p w14:paraId="3DBCA414" w14:textId="77777777" w:rsidR="00F4468E" w:rsidRPr="0045764A" w:rsidRDefault="00F4468E" w:rsidP="00C65330">
      <w:pPr>
        <w:tabs>
          <w:tab w:val="clear" w:pos="284"/>
        </w:tabs>
        <w:autoSpaceDE w:val="0"/>
        <w:autoSpaceDN w:val="0"/>
        <w:adjustRightInd w:val="0"/>
        <w:rPr>
          <w:rFonts w:eastAsia="TimesNewRoman"/>
          <w:szCs w:val="22"/>
          <w:lang w:val="sr-Latn-ME"/>
        </w:rPr>
      </w:pPr>
    </w:p>
    <w:p w14:paraId="3B9823E6" w14:textId="0A051F63" w:rsidR="00674860" w:rsidRPr="0045764A" w:rsidRDefault="00642BB7"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Iako prilagođavanje doze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nije ispitivano kod pacijenata koji su na terapiji jakim </w:t>
      </w:r>
      <w:proofErr w:type="spellStart"/>
      <w:r w:rsidRPr="0045764A">
        <w:rPr>
          <w:rFonts w:eastAsia="TimesNewRoman"/>
          <w:szCs w:val="22"/>
          <w:lang w:val="sr-Latn-ME"/>
        </w:rPr>
        <w:t>inhibitorima</w:t>
      </w:r>
      <w:proofErr w:type="spellEnd"/>
      <w:r w:rsidR="00D409DC" w:rsidRPr="0045764A">
        <w:rPr>
          <w:rFonts w:eastAsia="TimesNewRoman"/>
          <w:szCs w:val="22"/>
          <w:lang w:val="sr-Latn-ME"/>
        </w:rPr>
        <w:t xml:space="preserve"> </w:t>
      </w:r>
      <w:r w:rsidRPr="0045764A">
        <w:rPr>
          <w:rFonts w:eastAsia="TimesNewRoman"/>
          <w:szCs w:val="22"/>
          <w:lang w:val="sr-Latn-ME"/>
        </w:rPr>
        <w:t xml:space="preserve">CYP3A4/5, ukoliko je istovremena </w:t>
      </w:r>
      <w:r w:rsidR="008E2492" w:rsidRPr="0045764A">
        <w:rPr>
          <w:rFonts w:eastAsia="TimesNewRoman"/>
          <w:szCs w:val="22"/>
          <w:lang w:val="sr-Latn-ME"/>
        </w:rPr>
        <w:t>primjen</w:t>
      </w:r>
      <w:r w:rsidRPr="0045764A">
        <w:rPr>
          <w:rFonts w:eastAsia="TimesNewRoman"/>
          <w:szCs w:val="22"/>
          <w:lang w:val="sr-Latn-ME"/>
        </w:rPr>
        <w:t xml:space="preserve">a jakog CYP3A4/5 </w:t>
      </w:r>
      <w:proofErr w:type="spellStart"/>
      <w:r w:rsidRPr="0045764A">
        <w:rPr>
          <w:rFonts w:eastAsia="TimesNewRoman"/>
          <w:szCs w:val="22"/>
          <w:lang w:val="sr-Latn-ME"/>
        </w:rPr>
        <w:t>inhibitora</w:t>
      </w:r>
      <w:proofErr w:type="spellEnd"/>
      <w:r w:rsidRPr="0045764A">
        <w:rPr>
          <w:rFonts w:eastAsia="TimesNewRoman"/>
          <w:szCs w:val="22"/>
          <w:lang w:val="sr-Latn-ME"/>
        </w:rPr>
        <w:t xml:space="preserve"> neophodna, preporučuje se</w:t>
      </w:r>
      <w:r w:rsidR="00D409DC" w:rsidRPr="0045764A">
        <w:rPr>
          <w:rFonts w:eastAsia="TimesNewRoman"/>
          <w:szCs w:val="22"/>
          <w:lang w:val="sr-Latn-ME"/>
        </w:rPr>
        <w:t xml:space="preserve"> </w:t>
      </w:r>
      <w:r w:rsidRPr="0045764A">
        <w:rPr>
          <w:rFonts w:eastAsia="TimesNewRoman"/>
          <w:szCs w:val="22"/>
          <w:lang w:val="sr-Latn-ME"/>
        </w:rPr>
        <w:t xml:space="preserve">smanjenje doze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na približno polovinu doze (npr. početnu dozu treba smanjiti sa 5 mg dva puta</w:t>
      </w:r>
      <w:r w:rsidR="00D409DC" w:rsidRPr="0045764A">
        <w:rPr>
          <w:rFonts w:eastAsia="TimesNewRoman"/>
          <w:szCs w:val="22"/>
          <w:lang w:val="sr-Latn-ME"/>
        </w:rPr>
        <w:t xml:space="preserve"> </w:t>
      </w:r>
      <w:r w:rsidRPr="0045764A">
        <w:rPr>
          <w:rFonts w:eastAsia="TimesNewRoman"/>
          <w:szCs w:val="22"/>
          <w:lang w:val="sr-Latn-ME"/>
        </w:rPr>
        <w:t xml:space="preserve">dnevno na 2 mg dva puta dnevno). Kontrola nekih neželjenih </w:t>
      </w:r>
      <w:r w:rsidR="00813F85" w:rsidRPr="0045764A">
        <w:rPr>
          <w:rFonts w:eastAsia="TimesNewRoman"/>
          <w:szCs w:val="22"/>
          <w:lang w:val="sr-Latn-ME"/>
        </w:rPr>
        <w:t xml:space="preserve">dejstava </w:t>
      </w:r>
      <w:r w:rsidRPr="0045764A">
        <w:rPr>
          <w:rFonts w:eastAsia="TimesNewRoman"/>
          <w:szCs w:val="22"/>
          <w:lang w:val="sr-Latn-ME"/>
        </w:rPr>
        <w:t>može da zaht</w:t>
      </w:r>
      <w:r w:rsidR="008D6F40" w:rsidRPr="0045764A">
        <w:rPr>
          <w:rFonts w:eastAsia="TimesNewRoman"/>
          <w:szCs w:val="22"/>
          <w:lang w:val="sr-Latn-ME"/>
        </w:rPr>
        <w:t>ij</w:t>
      </w:r>
      <w:r w:rsidRPr="0045764A">
        <w:rPr>
          <w:rFonts w:eastAsia="TimesNewRoman"/>
          <w:szCs w:val="22"/>
          <w:lang w:val="sr-Latn-ME"/>
        </w:rPr>
        <w:t>eva privremeni ili trajni</w:t>
      </w:r>
      <w:r w:rsidR="00D409DC" w:rsidRPr="0045764A">
        <w:rPr>
          <w:rFonts w:eastAsia="TimesNewRoman"/>
          <w:szCs w:val="22"/>
          <w:lang w:val="sr-Latn-ME"/>
        </w:rPr>
        <w:t xml:space="preserve"> </w:t>
      </w:r>
      <w:r w:rsidRPr="0045764A">
        <w:rPr>
          <w:rFonts w:eastAsia="TimesNewRoman"/>
          <w:szCs w:val="22"/>
          <w:lang w:val="sr-Latn-ME"/>
        </w:rPr>
        <w:t xml:space="preserve">prekid terapije </w:t>
      </w:r>
      <w:proofErr w:type="spellStart"/>
      <w:r w:rsidRPr="0045764A">
        <w:rPr>
          <w:rFonts w:eastAsia="TimesNewRoman"/>
          <w:szCs w:val="22"/>
          <w:lang w:val="sr-Latn-ME"/>
        </w:rPr>
        <w:t>aksitinibom</w:t>
      </w:r>
      <w:proofErr w:type="spellEnd"/>
      <w:r w:rsidRPr="0045764A">
        <w:rPr>
          <w:rFonts w:eastAsia="TimesNewRoman"/>
          <w:szCs w:val="22"/>
          <w:lang w:val="sr-Latn-ME"/>
        </w:rPr>
        <w:t xml:space="preserve"> (</w:t>
      </w:r>
      <w:r w:rsidR="006F7AEE" w:rsidRPr="0045764A">
        <w:rPr>
          <w:rFonts w:eastAsia="TimesNewRoman"/>
          <w:szCs w:val="22"/>
          <w:lang w:val="sr-Latn-ME"/>
        </w:rPr>
        <w:t>pogledati dio</w:t>
      </w:r>
      <w:r w:rsidRPr="0045764A">
        <w:rPr>
          <w:rFonts w:eastAsia="TimesNewRoman"/>
          <w:szCs w:val="22"/>
          <w:lang w:val="sr-Latn-ME"/>
        </w:rPr>
        <w:t xml:space="preserve"> 4.4). U slučaju prekida terapije jakim </w:t>
      </w:r>
      <w:proofErr w:type="spellStart"/>
      <w:r w:rsidRPr="0045764A">
        <w:rPr>
          <w:rFonts w:eastAsia="TimesNewRoman"/>
          <w:szCs w:val="22"/>
          <w:lang w:val="sr-Latn-ME"/>
        </w:rPr>
        <w:t>inhibitorom</w:t>
      </w:r>
      <w:proofErr w:type="spellEnd"/>
      <w:r w:rsidRPr="0045764A">
        <w:rPr>
          <w:rFonts w:eastAsia="TimesNewRoman"/>
          <w:szCs w:val="22"/>
          <w:lang w:val="sr-Latn-ME"/>
        </w:rPr>
        <w:t>, može se</w:t>
      </w:r>
      <w:r w:rsidR="00975500" w:rsidRPr="0045764A">
        <w:rPr>
          <w:rFonts w:eastAsia="TimesNewRoman"/>
          <w:szCs w:val="22"/>
          <w:lang w:val="sr-Latn-ME"/>
        </w:rPr>
        <w:t xml:space="preserve"> </w:t>
      </w:r>
      <w:r w:rsidRPr="0045764A">
        <w:rPr>
          <w:rFonts w:eastAsia="TimesNewRoman"/>
          <w:szCs w:val="22"/>
          <w:lang w:val="sr-Latn-ME"/>
        </w:rPr>
        <w:t xml:space="preserve">razmotriti ponovno uvođenje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u dozi koja je korišćena pr</w:t>
      </w:r>
      <w:r w:rsidR="008D6F40" w:rsidRPr="0045764A">
        <w:rPr>
          <w:rFonts w:eastAsia="TimesNewRoman"/>
          <w:szCs w:val="22"/>
          <w:lang w:val="sr-Latn-ME"/>
        </w:rPr>
        <w:t>ij</w:t>
      </w:r>
      <w:r w:rsidRPr="0045764A">
        <w:rPr>
          <w:rFonts w:eastAsia="TimesNewRoman"/>
          <w:szCs w:val="22"/>
          <w:lang w:val="sr-Latn-ME"/>
        </w:rPr>
        <w:t>e nego što je započeta istovremena terapija</w:t>
      </w:r>
      <w:r w:rsidR="00975500" w:rsidRPr="0045764A">
        <w:rPr>
          <w:rFonts w:eastAsia="TimesNewRoman"/>
          <w:szCs w:val="22"/>
          <w:lang w:val="sr-Latn-ME"/>
        </w:rPr>
        <w:t xml:space="preserve"> </w:t>
      </w:r>
      <w:r w:rsidRPr="0045764A">
        <w:rPr>
          <w:rFonts w:eastAsia="TimesNewRoman"/>
          <w:szCs w:val="22"/>
          <w:lang w:val="sr-Latn-ME"/>
        </w:rPr>
        <w:t xml:space="preserve">jakim </w:t>
      </w:r>
      <w:proofErr w:type="spellStart"/>
      <w:r w:rsidRPr="0045764A">
        <w:rPr>
          <w:rFonts w:eastAsia="TimesNewRoman"/>
          <w:szCs w:val="22"/>
          <w:lang w:val="sr-Latn-ME"/>
        </w:rPr>
        <w:t>inhibitorom</w:t>
      </w:r>
      <w:proofErr w:type="spellEnd"/>
      <w:r w:rsidRPr="0045764A">
        <w:rPr>
          <w:rFonts w:eastAsia="TimesNewRoman"/>
          <w:szCs w:val="22"/>
          <w:lang w:val="sr-Latn-ME"/>
        </w:rPr>
        <w:t xml:space="preserve"> CYP3A4/5 (</w:t>
      </w:r>
      <w:r w:rsidR="006F7AEE" w:rsidRPr="0045764A">
        <w:rPr>
          <w:rFonts w:eastAsia="TimesNewRoman"/>
          <w:szCs w:val="22"/>
          <w:lang w:val="sr-Latn-ME"/>
        </w:rPr>
        <w:t>pogledati dio</w:t>
      </w:r>
      <w:r w:rsidRPr="0045764A">
        <w:rPr>
          <w:rFonts w:eastAsia="TimesNewRoman"/>
          <w:szCs w:val="22"/>
          <w:lang w:val="sr-Latn-ME"/>
        </w:rPr>
        <w:t xml:space="preserve"> 4.5).</w:t>
      </w:r>
    </w:p>
    <w:p w14:paraId="63833532" w14:textId="3DCEA312" w:rsidR="00873119" w:rsidRDefault="00873119" w:rsidP="00C65330">
      <w:pPr>
        <w:rPr>
          <w:rFonts w:eastAsia="TimesNewRoman"/>
          <w:szCs w:val="22"/>
          <w:lang w:val="sr-Latn-ME"/>
        </w:rPr>
      </w:pPr>
    </w:p>
    <w:p w14:paraId="3B52CF98" w14:textId="360F533E" w:rsidR="000F2AD6" w:rsidRDefault="000F2AD6" w:rsidP="00C65330">
      <w:pPr>
        <w:rPr>
          <w:rFonts w:eastAsia="TimesNewRoman"/>
          <w:szCs w:val="22"/>
          <w:lang w:val="sr-Latn-ME"/>
        </w:rPr>
      </w:pPr>
    </w:p>
    <w:p w14:paraId="04F93364" w14:textId="1DFCDBD1" w:rsidR="000F2AD6" w:rsidRDefault="000F2AD6" w:rsidP="00C65330">
      <w:pPr>
        <w:rPr>
          <w:rFonts w:eastAsia="TimesNewRoman"/>
          <w:szCs w:val="22"/>
          <w:lang w:val="sr-Latn-ME"/>
        </w:rPr>
      </w:pPr>
    </w:p>
    <w:p w14:paraId="0889978D" w14:textId="77777777" w:rsidR="000F2AD6" w:rsidRPr="0045764A" w:rsidRDefault="000F2AD6" w:rsidP="00C65330">
      <w:pPr>
        <w:rPr>
          <w:rFonts w:eastAsia="TimesNewRoman"/>
          <w:szCs w:val="22"/>
          <w:lang w:val="sr-Latn-ME"/>
        </w:rPr>
      </w:pPr>
    </w:p>
    <w:p w14:paraId="263DDF41" w14:textId="03A3910D" w:rsidR="004B5369" w:rsidRPr="0045764A" w:rsidRDefault="004B5369" w:rsidP="00C65330">
      <w:pPr>
        <w:tabs>
          <w:tab w:val="clear" w:pos="284"/>
        </w:tabs>
        <w:autoSpaceDE w:val="0"/>
        <w:autoSpaceDN w:val="0"/>
        <w:adjustRightInd w:val="0"/>
        <w:rPr>
          <w:i/>
          <w:iCs/>
          <w:szCs w:val="22"/>
          <w:lang w:val="sr-Latn-ME"/>
        </w:rPr>
      </w:pPr>
      <w:r w:rsidRPr="0045764A">
        <w:rPr>
          <w:i/>
          <w:iCs/>
          <w:szCs w:val="22"/>
          <w:lang w:val="sr-Latn-ME"/>
        </w:rPr>
        <w:lastRenderedPageBreak/>
        <w:t xml:space="preserve">Istovremena </w:t>
      </w:r>
      <w:r w:rsidR="008E2492" w:rsidRPr="0045764A">
        <w:rPr>
          <w:i/>
          <w:iCs/>
          <w:szCs w:val="22"/>
          <w:lang w:val="sr-Latn-ME"/>
        </w:rPr>
        <w:t>primjen</w:t>
      </w:r>
      <w:r w:rsidRPr="0045764A">
        <w:rPr>
          <w:i/>
          <w:iCs/>
          <w:szCs w:val="22"/>
          <w:lang w:val="sr-Latn-ME"/>
        </w:rPr>
        <w:t>a sa jakim induktorima CYP3A4/5</w:t>
      </w:r>
    </w:p>
    <w:p w14:paraId="6CB2CC19" w14:textId="2D2AD48A" w:rsidR="004B5369" w:rsidRPr="0045764A" w:rsidRDefault="004B5369"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Istovremena </w:t>
      </w:r>
      <w:r w:rsidR="008E2492" w:rsidRPr="0045764A">
        <w:rPr>
          <w:rFonts w:eastAsia="TimesNewRoman"/>
          <w:szCs w:val="22"/>
          <w:lang w:val="sr-Latn-ME"/>
        </w:rPr>
        <w:t>primjen</w:t>
      </w:r>
      <w:r w:rsidRPr="0045764A">
        <w:rPr>
          <w:rFonts w:eastAsia="TimesNewRoman"/>
          <w:szCs w:val="22"/>
          <w:lang w:val="sr-Latn-ME"/>
        </w:rPr>
        <w:t xml:space="preserve">a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sa jakim induktorima CYP3A4/5 može da smanji koncentraciju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u</w:t>
      </w:r>
      <w:r w:rsidR="008D6F40" w:rsidRPr="0045764A">
        <w:rPr>
          <w:rFonts w:eastAsia="TimesNewRoman"/>
          <w:szCs w:val="22"/>
          <w:lang w:val="sr-Latn-ME"/>
        </w:rPr>
        <w:t xml:space="preserve"> </w:t>
      </w:r>
      <w:r w:rsidRPr="0045764A">
        <w:rPr>
          <w:rFonts w:eastAsia="TimesNewRoman"/>
          <w:szCs w:val="22"/>
          <w:lang w:val="sr-Latn-ME"/>
        </w:rPr>
        <w:t>plazmi (</w:t>
      </w:r>
      <w:r w:rsidR="006F7AEE" w:rsidRPr="0045764A">
        <w:rPr>
          <w:rFonts w:eastAsia="TimesNewRoman"/>
          <w:szCs w:val="22"/>
          <w:lang w:val="sr-Latn-ME"/>
        </w:rPr>
        <w:t>pogledati dio</w:t>
      </w:r>
      <w:r w:rsidRPr="0045764A">
        <w:rPr>
          <w:rFonts w:eastAsia="TimesNewRoman"/>
          <w:szCs w:val="22"/>
          <w:lang w:val="sr-Latn-ME"/>
        </w:rPr>
        <w:t xml:space="preserve"> 4.5). </w:t>
      </w:r>
      <w:r w:rsidR="007D1A84" w:rsidRPr="0045764A">
        <w:rPr>
          <w:rFonts w:eastAsia="TimesNewRoman"/>
          <w:szCs w:val="22"/>
          <w:lang w:val="sr-Latn-ME"/>
        </w:rPr>
        <w:t>Za istovremenu primjenu p</w:t>
      </w:r>
      <w:r w:rsidRPr="0045764A">
        <w:rPr>
          <w:rFonts w:eastAsia="TimesNewRoman"/>
          <w:szCs w:val="22"/>
          <w:lang w:val="sr-Latn-ME"/>
        </w:rPr>
        <w:t xml:space="preserve">reporučuje se izbor alternativnog </w:t>
      </w:r>
      <w:r w:rsidR="00593BF5" w:rsidRPr="0045764A">
        <w:rPr>
          <w:rFonts w:eastAsia="TimesNewRoman"/>
          <w:szCs w:val="22"/>
          <w:lang w:val="sr-Latn-ME"/>
        </w:rPr>
        <w:t>lijek</w:t>
      </w:r>
      <w:r w:rsidRPr="0045764A">
        <w:rPr>
          <w:rFonts w:eastAsia="TimesNewRoman"/>
          <w:szCs w:val="22"/>
          <w:lang w:val="sr-Latn-ME"/>
        </w:rPr>
        <w:t xml:space="preserve">a </w:t>
      </w:r>
      <w:r w:rsidR="007D1A84" w:rsidRPr="0045764A">
        <w:rPr>
          <w:rFonts w:eastAsia="TimesNewRoman"/>
          <w:szCs w:val="22"/>
          <w:lang w:val="sr-Latn-ME"/>
        </w:rPr>
        <w:t>koji</w:t>
      </w:r>
      <w:r w:rsidRPr="0045764A">
        <w:rPr>
          <w:rFonts w:eastAsia="TimesNewRoman"/>
          <w:szCs w:val="22"/>
          <w:lang w:val="sr-Latn-ME"/>
        </w:rPr>
        <w:t xml:space="preserve"> nema ili ima</w:t>
      </w:r>
      <w:r w:rsidR="004D226C" w:rsidRPr="0045764A">
        <w:rPr>
          <w:rFonts w:eastAsia="TimesNewRoman"/>
          <w:szCs w:val="22"/>
          <w:lang w:val="sr-Latn-ME"/>
        </w:rPr>
        <w:t xml:space="preserve"> </w:t>
      </w:r>
      <w:r w:rsidRPr="0045764A">
        <w:rPr>
          <w:rFonts w:eastAsia="TimesNewRoman"/>
          <w:szCs w:val="22"/>
          <w:lang w:val="sr-Latn-ME"/>
        </w:rPr>
        <w:t>minimalni potencijal indukcije CYP3A4/5.</w:t>
      </w:r>
    </w:p>
    <w:p w14:paraId="489F783F" w14:textId="77777777" w:rsidR="00975500" w:rsidRPr="0045764A" w:rsidRDefault="00975500" w:rsidP="00C65330">
      <w:pPr>
        <w:tabs>
          <w:tab w:val="clear" w:pos="284"/>
        </w:tabs>
        <w:autoSpaceDE w:val="0"/>
        <w:autoSpaceDN w:val="0"/>
        <w:adjustRightInd w:val="0"/>
        <w:rPr>
          <w:rFonts w:eastAsia="TimesNewRoman"/>
          <w:szCs w:val="22"/>
          <w:lang w:val="sr-Latn-ME"/>
        </w:rPr>
      </w:pPr>
    </w:p>
    <w:p w14:paraId="6C9C0622" w14:textId="29533A59" w:rsidR="00642BB7" w:rsidRPr="0045764A" w:rsidRDefault="004B5369"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Iako prilagođavanje doze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nije ispitivano kod pacijenata koji primaju jake induktore CYP3A4/5,</w:t>
      </w:r>
      <w:r w:rsidR="00975500" w:rsidRPr="0045764A">
        <w:rPr>
          <w:rFonts w:eastAsia="TimesNewRoman"/>
          <w:szCs w:val="22"/>
          <w:lang w:val="sr-Latn-ME"/>
        </w:rPr>
        <w:t xml:space="preserve"> </w:t>
      </w:r>
      <w:r w:rsidRPr="0045764A">
        <w:rPr>
          <w:rFonts w:eastAsia="TimesNewRoman"/>
          <w:szCs w:val="22"/>
          <w:lang w:val="sr-Latn-ME"/>
        </w:rPr>
        <w:t xml:space="preserve">ukoliko je istovremena </w:t>
      </w:r>
      <w:r w:rsidR="008E2492" w:rsidRPr="0045764A">
        <w:rPr>
          <w:rFonts w:eastAsia="TimesNewRoman"/>
          <w:szCs w:val="22"/>
          <w:lang w:val="sr-Latn-ME"/>
        </w:rPr>
        <w:t>primjen</w:t>
      </w:r>
      <w:r w:rsidRPr="0045764A">
        <w:rPr>
          <w:rFonts w:eastAsia="TimesNewRoman"/>
          <w:szCs w:val="22"/>
          <w:lang w:val="sr-Latn-ME"/>
        </w:rPr>
        <w:t xml:space="preserve">a jakog CYP3A4/5 induktora neophodna, preporučuje se </w:t>
      </w:r>
      <w:proofErr w:type="spellStart"/>
      <w:r w:rsidRPr="0045764A">
        <w:rPr>
          <w:rFonts w:eastAsia="TimesNewRoman"/>
          <w:szCs w:val="22"/>
          <w:lang w:val="sr-Latn-ME"/>
        </w:rPr>
        <w:t>postepeno</w:t>
      </w:r>
      <w:proofErr w:type="spellEnd"/>
      <w:r w:rsidR="009D4E05" w:rsidRPr="0045764A">
        <w:rPr>
          <w:rFonts w:eastAsia="TimesNewRoman"/>
          <w:szCs w:val="22"/>
          <w:lang w:val="sr-Latn-ME"/>
        </w:rPr>
        <w:t xml:space="preserve"> </w:t>
      </w:r>
      <w:r w:rsidRPr="0045764A">
        <w:rPr>
          <w:rFonts w:eastAsia="TimesNewRoman"/>
          <w:szCs w:val="22"/>
          <w:lang w:val="sr-Latn-ME"/>
        </w:rPr>
        <w:t xml:space="preserve">povećavanje doze </w:t>
      </w:r>
      <w:proofErr w:type="spellStart"/>
      <w:r w:rsidRPr="0045764A">
        <w:rPr>
          <w:rFonts w:eastAsia="TimesNewRoman"/>
          <w:szCs w:val="22"/>
          <w:lang w:val="sr-Latn-ME"/>
        </w:rPr>
        <w:t>aksitiniba</w:t>
      </w:r>
      <w:proofErr w:type="spellEnd"/>
      <w:r w:rsidRPr="0045764A">
        <w:rPr>
          <w:rFonts w:eastAsia="TimesNewRoman"/>
          <w:szCs w:val="22"/>
          <w:lang w:val="sr-Latn-ME"/>
        </w:rPr>
        <w:t>. Prijavljeno je da maksimalna indukcija nastupa u roku od jedne ned</w:t>
      </w:r>
      <w:r w:rsidR="008D6F40" w:rsidRPr="0045764A">
        <w:rPr>
          <w:rFonts w:eastAsia="TimesNewRoman"/>
          <w:szCs w:val="22"/>
          <w:lang w:val="sr-Latn-ME"/>
        </w:rPr>
        <w:t>j</w:t>
      </w:r>
      <w:r w:rsidRPr="0045764A">
        <w:rPr>
          <w:rFonts w:eastAsia="TimesNewRoman"/>
          <w:szCs w:val="22"/>
          <w:lang w:val="sr-Latn-ME"/>
        </w:rPr>
        <w:t>elje nakon</w:t>
      </w:r>
      <w:r w:rsidR="009D4E05" w:rsidRPr="0045764A">
        <w:rPr>
          <w:rFonts w:eastAsia="TimesNewRoman"/>
          <w:szCs w:val="22"/>
          <w:lang w:val="sr-Latn-ME"/>
        </w:rPr>
        <w:t xml:space="preserve"> </w:t>
      </w:r>
      <w:r w:rsidRPr="0045764A">
        <w:rPr>
          <w:rFonts w:eastAsia="TimesNewRoman"/>
          <w:szCs w:val="22"/>
          <w:lang w:val="sr-Latn-ME"/>
        </w:rPr>
        <w:t xml:space="preserve">terapije visokim dozama jakih induktora CYP3A4/5. Ako se doza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poveća, pacijenta bi trebalo</w:t>
      </w:r>
      <w:r w:rsidR="009D4E05" w:rsidRPr="0045764A">
        <w:rPr>
          <w:rFonts w:eastAsia="TimesNewRoman"/>
          <w:szCs w:val="22"/>
          <w:lang w:val="sr-Latn-ME"/>
        </w:rPr>
        <w:t xml:space="preserve"> </w:t>
      </w:r>
      <w:r w:rsidRPr="0045764A">
        <w:rPr>
          <w:rFonts w:eastAsia="TimesNewRoman"/>
          <w:szCs w:val="22"/>
          <w:lang w:val="sr-Latn-ME"/>
        </w:rPr>
        <w:t xml:space="preserve">pažljivo pratiti da bi se uočila eventualna pojava toksičnosti. Kontrola nekih neželjenih </w:t>
      </w:r>
      <w:r w:rsidR="00813F85" w:rsidRPr="0045764A">
        <w:rPr>
          <w:rFonts w:eastAsia="TimesNewRoman"/>
          <w:szCs w:val="22"/>
          <w:lang w:val="sr-Latn-ME"/>
        </w:rPr>
        <w:t xml:space="preserve">dejstava </w:t>
      </w:r>
      <w:r w:rsidRPr="0045764A">
        <w:rPr>
          <w:rFonts w:eastAsia="TimesNewRoman"/>
          <w:szCs w:val="22"/>
          <w:lang w:val="sr-Latn-ME"/>
        </w:rPr>
        <w:t>može da</w:t>
      </w:r>
      <w:r w:rsidR="00B441D0" w:rsidRPr="0045764A">
        <w:rPr>
          <w:rFonts w:eastAsia="TimesNewRoman"/>
          <w:szCs w:val="22"/>
          <w:lang w:val="sr-Latn-ME"/>
        </w:rPr>
        <w:t xml:space="preserve"> </w:t>
      </w:r>
      <w:r w:rsidRPr="0045764A">
        <w:rPr>
          <w:rFonts w:eastAsia="TimesNewRoman"/>
          <w:szCs w:val="22"/>
          <w:lang w:val="sr-Latn-ME"/>
        </w:rPr>
        <w:t>zaht</w:t>
      </w:r>
      <w:r w:rsidR="008D6F40" w:rsidRPr="0045764A">
        <w:rPr>
          <w:rFonts w:eastAsia="TimesNewRoman"/>
          <w:szCs w:val="22"/>
          <w:lang w:val="sr-Latn-ME"/>
        </w:rPr>
        <w:t>ij</w:t>
      </w:r>
      <w:r w:rsidRPr="0045764A">
        <w:rPr>
          <w:rFonts w:eastAsia="TimesNewRoman"/>
          <w:szCs w:val="22"/>
          <w:lang w:val="sr-Latn-ME"/>
        </w:rPr>
        <w:t xml:space="preserve">eva privremeni ili trajni prekid terapije </w:t>
      </w:r>
      <w:proofErr w:type="spellStart"/>
      <w:r w:rsidRPr="0045764A">
        <w:rPr>
          <w:rFonts w:eastAsia="TimesNewRoman"/>
          <w:szCs w:val="22"/>
          <w:lang w:val="sr-Latn-ME"/>
        </w:rPr>
        <w:t>aksitinibom</w:t>
      </w:r>
      <w:proofErr w:type="spellEnd"/>
      <w:r w:rsidRPr="0045764A">
        <w:rPr>
          <w:rFonts w:eastAsia="TimesNewRoman"/>
          <w:szCs w:val="22"/>
          <w:lang w:val="sr-Latn-ME"/>
        </w:rPr>
        <w:t xml:space="preserve"> i/ili smanjenje doze (</w:t>
      </w:r>
      <w:r w:rsidR="006F7AEE" w:rsidRPr="0045764A">
        <w:rPr>
          <w:rFonts w:eastAsia="TimesNewRoman"/>
          <w:szCs w:val="22"/>
          <w:lang w:val="sr-Latn-ME"/>
        </w:rPr>
        <w:t>pogledati dio</w:t>
      </w:r>
      <w:r w:rsidRPr="0045764A">
        <w:rPr>
          <w:rFonts w:eastAsia="TimesNewRoman"/>
          <w:szCs w:val="22"/>
          <w:lang w:val="sr-Latn-ME"/>
        </w:rPr>
        <w:t xml:space="preserve"> 4.4). U slučaju</w:t>
      </w:r>
      <w:r w:rsidR="00B441D0" w:rsidRPr="0045764A">
        <w:rPr>
          <w:rFonts w:eastAsia="TimesNewRoman"/>
          <w:szCs w:val="22"/>
          <w:lang w:val="sr-Latn-ME"/>
        </w:rPr>
        <w:t xml:space="preserve"> </w:t>
      </w:r>
      <w:r w:rsidRPr="0045764A">
        <w:rPr>
          <w:rFonts w:eastAsia="TimesNewRoman"/>
          <w:szCs w:val="22"/>
          <w:lang w:val="sr-Latn-ME"/>
        </w:rPr>
        <w:t xml:space="preserve">prekida terapije jakim induktorom, dozu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treba odmah vratiti na onu koja je korišćena pr</w:t>
      </w:r>
      <w:r w:rsidR="008D6F40" w:rsidRPr="0045764A">
        <w:rPr>
          <w:rFonts w:eastAsia="TimesNewRoman"/>
          <w:szCs w:val="22"/>
          <w:lang w:val="sr-Latn-ME"/>
        </w:rPr>
        <w:t>ij</w:t>
      </w:r>
      <w:r w:rsidRPr="0045764A">
        <w:rPr>
          <w:rFonts w:eastAsia="TimesNewRoman"/>
          <w:szCs w:val="22"/>
          <w:lang w:val="sr-Latn-ME"/>
        </w:rPr>
        <w:t>e uvođenja</w:t>
      </w:r>
      <w:r w:rsidR="00B441D0" w:rsidRPr="0045764A">
        <w:rPr>
          <w:rFonts w:eastAsia="TimesNewRoman"/>
          <w:szCs w:val="22"/>
          <w:lang w:val="sr-Latn-ME"/>
        </w:rPr>
        <w:t xml:space="preserve"> </w:t>
      </w:r>
      <w:r w:rsidRPr="0045764A">
        <w:rPr>
          <w:rFonts w:eastAsia="TimesNewRoman"/>
          <w:szCs w:val="22"/>
          <w:lang w:val="sr-Latn-ME"/>
        </w:rPr>
        <w:t>jakog induktora CYP3A4/5 (</w:t>
      </w:r>
      <w:r w:rsidR="006F7AEE" w:rsidRPr="0045764A">
        <w:rPr>
          <w:rFonts w:eastAsia="TimesNewRoman"/>
          <w:szCs w:val="22"/>
          <w:lang w:val="sr-Latn-ME"/>
        </w:rPr>
        <w:t>pogledati dio</w:t>
      </w:r>
      <w:r w:rsidRPr="0045764A">
        <w:rPr>
          <w:rFonts w:eastAsia="TimesNewRoman"/>
          <w:szCs w:val="22"/>
          <w:lang w:val="sr-Latn-ME"/>
        </w:rPr>
        <w:t xml:space="preserve"> 4.5).</w:t>
      </w:r>
    </w:p>
    <w:p w14:paraId="573243CA" w14:textId="3E5F789F" w:rsidR="004B5369" w:rsidRPr="0045764A" w:rsidRDefault="004B5369" w:rsidP="00C65330">
      <w:pPr>
        <w:rPr>
          <w:rFonts w:eastAsia="TimesNewRoman"/>
          <w:szCs w:val="22"/>
          <w:lang w:val="sr-Latn-ME"/>
        </w:rPr>
      </w:pPr>
    </w:p>
    <w:p w14:paraId="3C10BAD0" w14:textId="22FEB336" w:rsidR="00E229AB" w:rsidRPr="0045764A" w:rsidRDefault="00E229AB" w:rsidP="00C65330">
      <w:pPr>
        <w:tabs>
          <w:tab w:val="clear" w:pos="284"/>
        </w:tabs>
        <w:autoSpaceDE w:val="0"/>
        <w:autoSpaceDN w:val="0"/>
        <w:adjustRightInd w:val="0"/>
        <w:rPr>
          <w:iCs/>
          <w:szCs w:val="22"/>
          <w:u w:val="single"/>
          <w:lang w:val="sr-Latn-ME"/>
        </w:rPr>
      </w:pPr>
      <w:r w:rsidRPr="0045764A">
        <w:rPr>
          <w:iCs/>
          <w:szCs w:val="22"/>
          <w:u w:val="single"/>
          <w:lang w:val="sr-Latn-ME"/>
        </w:rPr>
        <w:t>Posebne populacije</w:t>
      </w:r>
    </w:p>
    <w:p w14:paraId="202DE979" w14:textId="77777777" w:rsidR="0076497E" w:rsidRPr="0045764A" w:rsidRDefault="0076497E" w:rsidP="00C65330">
      <w:pPr>
        <w:tabs>
          <w:tab w:val="clear" w:pos="284"/>
        </w:tabs>
        <w:autoSpaceDE w:val="0"/>
        <w:autoSpaceDN w:val="0"/>
        <w:adjustRightInd w:val="0"/>
        <w:rPr>
          <w:i/>
          <w:iCs/>
          <w:szCs w:val="22"/>
          <w:lang w:val="sr-Latn-ME"/>
        </w:rPr>
      </w:pPr>
    </w:p>
    <w:p w14:paraId="68DB9F31" w14:textId="2B68290A" w:rsidR="00E229AB" w:rsidRPr="0045764A" w:rsidRDefault="008D6F40" w:rsidP="00C65330">
      <w:pPr>
        <w:tabs>
          <w:tab w:val="clear" w:pos="284"/>
        </w:tabs>
        <w:autoSpaceDE w:val="0"/>
        <w:autoSpaceDN w:val="0"/>
        <w:adjustRightInd w:val="0"/>
        <w:rPr>
          <w:i/>
          <w:iCs/>
          <w:szCs w:val="22"/>
          <w:lang w:val="sr-Latn-ME"/>
        </w:rPr>
      </w:pPr>
      <w:r w:rsidRPr="0045764A">
        <w:rPr>
          <w:i/>
          <w:iCs/>
          <w:szCs w:val="22"/>
          <w:lang w:val="sr-Latn-ME"/>
        </w:rPr>
        <w:t>Pacijenti starije životne dobi</w:t>
      </w:r>
      <w:r w:rsidR="00E229AB" w:rsidRPr="0045764A">
        <w:rPr>
          <w:i/>
          <w:iCs/>
          <w:szCs w:val="22"/>
          <w:lang w:val="sr-Latn-ME"/>
        </w:rPr>
        <w:t xml:space="preserve"> (</w:t>
      </w:r>
      <w:r w:rsidR="0076497E" w:rsidRPr="0045764A">
        <w:rPr>
          <w:szCs w:val="22"/>
          <w:lang w:val="sr-Latn-ME"/>
        </w:rPr>
        <w:t>≥</w:t>
      </w:r>
      <w:r w:rsidR="007D1A84" w:rsidRPr="0045764A">
        <w:rPr>
          <w:szCs w:val="22"/>
          <w:lang w:val="sr-Latn-ME"/>
        </w:rPr>
        <w:t xml:space="preserve"> </w:t>
      </w:r>
      <w:r w:rsidR="00E229AB" w:rsidRPr="0045764A">
        <w:rPr>
          <w:i/>
          <w:iCs/>
          <w:szCs w:val="22"/>
          <w:lang w:val="sr-Latn-ME"/>
        </w:rPr>
        <w:t>65 godina)</w:t>
      </w:r>
    </w:p>
    <w:p w14:paraId="4C770EA4" w14:textId="090B960F" w:rsidR="00E229AB" w:rsidRPr="0045764A" w:rsidRDefault="00E229AB"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Nije potrebno prilagođavanje doze (</w:t>
      </w:r>
      <w:r w:rsidR="006F7AEE" w:rsidRPr="0045764A">
        <w:rPr>
          <w:rFonts w:eastAsia="TimesNewRoman"/>
          <w:szCs w:val="22"/>
          <w:lang w:val="sr-Latn-ME"/>
        </w:rPr>
        <w:t>pogledati djelove</w:t>
      </w:r>
      <w:r w:rsidRPr="0045764A">
        <w:rPr>
          <w:rFonts w:eastAsia="TimesNewRoman"/>
          <w:szCs w:val="22"/>
          <w:lang w:val="sr-Latn-ME"/>
        </w:rPr>
        <w:t xml:space="preserve"> 4.4 i 5.2).</w:t>
      </w:r>
    </w:p>
    <w:p w14:paraId="0BA3479C" w14:textId="77777777" w:rsidR="0076497E" w:rsidRPr="0045764A" w:rsidRDefault="0076497E" w:rsidP="00C65330">
      <w:pPr>
        <w:tabs>
          <w:tab w:val="clear" w:pos="284"/>
        </w:tabs>
        <w:autoSpaceDE w:val="0"/>
        <w:autoSpaceDN w:val="0"/>
        <w:adjustRightInd w:val="0"/>
        <w:rPr>
          <w:rFonts w:eastAsia="TimesNewRoman"/>
          <w:szCs w:val="22"/>
          <w:lang w:val="sr-Latn-ME"/>
        </w:rPr>
      </w:pPr>
    </w:p>
    <w:p w14:paraId="0E797C61" w14:textId="77777777" w:rsidR="00E229AB" w:rsidRPr="0045764A" w:rsidRDefault="00E229AB" w:rsidP="00C65330">
      <w:pPr>
        <w:tabs>
          <w:tab w:val="clear" w:pos="284"/>
        </w:tabs>
        <w:autoSpaceDE w:val="0"/>
        <w:autoSpaceDN w:val="0"/>
        <w:adjustRightInd w:val="0"/>
        <w:rPr>
          <w:i/>
          <w:iCs/>
          <w:szCs w:val="22"/>
          <w:lang w:val="sr-Latn-ME"/>
        </w:rPr>
      </w:pPr>
      <w:r w:rsidRPr="0045764A">
        <w:rPr>
          <w:i/>
          <w:iCs/>
          <w:szCs w:val="22"/>
          <w:lang w:val="sr-Latn-ME"/>
        </w:rPr>
        <w:t>Oštećenje funkcije bubrega</w:t>
      </w:r>
    </w:p>
    <w:p w14:paraId="6FA3363D" w14:textId="4A739B04" w:rsidR="004B5369" w:rsidRPr="0045764A" w:rsidRDefault="00E229AB"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Nije potrebno prilagođavanje doze (</w:t>
      </w:r>
      <w:r w:rsidR="006F7AEE" w:rsidRPr="0045764A">
        <w:rPr>
          <w:rFonts w:eastAsia="TimesNewRoman"/>
          <w:szCs w:val="22"/>
          <w:lang w:val="sr-Latn-ME"/>
        </w:rPr>
        <w:t>pogledati dio</w:t>
      </w:r>
      <w:r w:rsidRPr="0045764A">
        <w:rPr>
          <w:rFonts w:eastAsia="TimesNewRoman"/>
          <w:szCs w:val="22"/>
          <w:lang w:val="sr-Latn-ME"/>
        </w:rPr>
        <w:t xml:space="preserve"> 5.2). Ni</w:t>
      </w:r>
      <w:r w:rsidR="007D1A84" w:rsidRPr="0045764A">
        <w:rPr>
          <w:rFonts w:eastAsia="TimesNewRoman"/>
          <w:szCs w:val="22"/>
          <w:lang w:val="sr-Latn-ME"/>
        </w:rPr>
        <w:t>je</w:t>
      </w:r>
      <w:r w:rsidRPr="0045764A">
        <w:rPr>
          <w:rFonts w:eastAsia="TimesNewRoman"/>
          <w:szCs w:val="22"/>
          <w:lang w:val="sr-Latn-ME"/>
        </w:rPr>
        <w:t xml:space="preserve">su dostupni podaci o </w:t>
      </w:r>
      <w:r w:rsidR="008E2492" w:rsidRPr="0045764A">
        <w:rPr>
          <w:rFonts w:eastAsia="TimesNewRoman"/>
          <w:szCs w:val="22"/>
          <w:lang w:val="sr-Latn-ME"/>
        </w:rPr>
        <w:t>primjen</w:t>
      </w:r>
      <w:r w:rsidRPr="0045764A">
        <w:rPr>
          <w:rFonts w:eastAsia="TimesNewRoman"/>
          <w:szCs w:val="22"/>
          <w:lang w:val="sr-Latn-ME"/>
        </w:rPr>
        <w:t xml:space="preserve">i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kod</w:t>
      </w:r>
      <w:r w:rsidR="00D766CA" w:rsidRPr="0045764A">
        <w:rPr>
          <w:rFonts w:eastAsia="TimesNewRoman"/>
          <w:szCs w:val="22"/>
          <w:lang w:val="sr-Latn-ME"/>
        </w:rPr>
        <w:t xml:space="preserve"> </w:t>
      </w:r>
      <w:r w:rsidRPr="0045764A">
        <w:rPr>
          <w:rFonts w:eastAsia="TimesNewRoman"/>
          <w:szCs w:val="22"/>
          <w:lang w:val="sr-Latn-ME"/>
        </w:rPr>
        <w:t xml:space="preserve">pacijenata sa </w:t>
      </w:r>
      <w:proofErr w:type="spellStart"/>
      <w:r w:rsidRPr="0045764A">
        <w:rPr>
          <w:rFonts w:eastAsia="TimesNewRoman"/>
          <w:szCs w:val="22"/>
          <w:lang w:val="sr-Latn-ME"/>
        </w:rPr>
        <w:t>klirensom</w:t>
      </w:r>
      <w:proofErr w:type="spellEnd"/>
      <w:r w:rsidRPr="0045764A">
        <w:rPr>
          <w:rFonts w:eastAsia="TimesNewRoman"/>
          <w:szCs w:val="22"/>
          <w:lang w:val="sr-Latn-ME"/>
        </w:rPr>
        <w:t xml:space="preserve"> </w:t>
      </w:r>
      <w:proofErr w:type="spellStart"/>
      <w:r w:rsidRPr="0045764A">
        <w:rPr>
          <w:rFonts w:eastAsia="TimesNewRoman"/>
          <w:szCs w:val="22"/>
          <w:lang w:val="sr-Latn-ME"/>
        </w:rPr>
        <w:t>kreatinina</w:t>
      </w:r>
      <w:proofErr w:type="spellEnd"/>
      <w:r w:rsidRPr="0045764A">
        <w:rPr>
          <w:rFonts w:eastAsia="TimesNewRoman"/>
          <w:szCs w:val="22"/>
          <w:lang w:val="sr-Latn-ME"/>
        </w:rPr>
        <w:t xml:space="preserve"> &lt; 15 </w:t>
      </w:r>
      <w:proofErr w:type="spellStart"/>
      <w:r w:rsidRPr="0045764A">
        <w:rPr>
          <w:rFonts w:eastAsia="TimesNewRoman"/>
          <w:szCs w:val="22"/>
          <w:lang w:val="sr-Latn-ME"/>
        </w:rPr>
        <w:t>mL</w:t>
      </w:r>
      <w:proofErr w:type="spellEnd"/>
      <w:r w:rsidRPr="0045764A">
        <w:rPr>
          <w:rFonts w:eastAsia="TimesNewRoman"/>
          <w:szCs w:val="22"/>
          <w:lang w:val="sr-Latn-ME"/>
        </w:rPr>
        <w:t>/min.</w:t>
      </w:r>
    </w:p>
    <w:p w14:paraId="1327920A" w14:textId="701A5010" w:rsidR="00E229AB" w:rsidRPr="0045764A" w:rsidRDefault="00E229AB" w:rsidP="00C65330">
      <w:pPr>
        <w:rPr>
          <w:rFonts w:eastAsia="TimesNewRoman"/>
          <w:szCs w:val="22"/>
          <w:lang w:val="sr-Latn-ME"/>
        </w:rPr>
      </w:pPr>
    </w:p>
    <w:p w14:paraId="45A2F6D7" w14:textId="77777777" w:rsidR="00F152E4" w:rsidRPr="0045764A" w:rsidRDefault="00F152E4" w:rsidP="00C65330">
      <w:pPr>
        <w:tabs>
          <w:tab w:val="clear" w:pos="284"/>
        </w:tabs>
        <w:autoSpaceDE w:val="0"/>
        <w:autoSpaceDN w:val="0"/>
        <w:adjustRightInd w:val="0"/>
        <w:rPr>
          <w:i/>
          <w:iCs/>
          <w:szCs w:val="22"/>
          <w:lang w:val="sr-Latn-ME"/>
        </w:rPr>
      </w:pPr>
      <w:r w:rsidRPr="0045764A">
        <w:rPr>
          <w:i/>
          <w:iCs/>
          <w:szCs w:val="22"/>
          <w:lang w:val="sr-Latn-ME"/>
        </w:rPr>
        <w:t>Oštećenje funkcije jetre</w:t>
      </w:r>
    </w:p>
    <w:p w14:paraId="16B91CFE" w14:textId="61C29B10" w:rsidR="00F152E4" w:rsidRPr="0045764A" w:rsidRDefault="00F152E4"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Nije potrebno prilagođavanje doze kada se </w:t>
      </w:r>
      <w:proofErr w:type="spellStart"/>
      <w:r w:rsidRPr="0045764A">
        <w:rPr>
          <w:rFonts w:eastAsia="TimesNewRoman"/>
          <w:szCs w:val="22"/>
          <w:lang w:val="sr-Latn-ME"/>
        </w:rPr>
        <w:t>aksitinib</w:t>
      </w:r>
      <w:proofErr w:type="spellEnd"/>
      <w:r w:rsidRPr="0045764A">
        <w:rPr>
          <w:rFonts w:eastAsia="TimesNewRoman"/>
          <w:szCs w:val="22"/>
          <w:lang w:val="sr-Latn-ME"/>
        </w:rPr>
        <w:t xml:space="preserve"> </w:t>
      </w:r>
      <w:r w:rsidR="008E2492" w:rsidRPr="0045764A">
        <w:rPr>
          <w:rFonts w:eastAsia="TimesNewRoman"/>
          <w:szCs w:val="22"/>
          <w:lang w:val="sr-Latn-ME"/>
        </w:rPr>
        <w:t>primjen</w:t>
      </w:r>
      <w:r w:rsidRPr="0045764A">
        <w:rPr>
          <w:rFonts w:eastAsia="TimesNewRoman"/>
          <w:szCs w:val="22"/>
          <w:lang w:val="sr-Latn-ME"/>
        </w:rPr>
        <w:t>juje kod pacijenata sa blagim oštećenjem funkcije</w:t>
      </w:r>
      <w:r w:rsidR="00380723" w:rsidRPr="0045764A">
        <w:rPr>
          <w:rFonts w:eastAsia="TimesNewRoman"/>
          <w:szCs w:val="22"/>
          <w:lang w:val="sr-Latn-ME"/>
        </w:rPr>
        <w:t xml:space="preserve"> </w:t>
      </w:r>
      <w:r w:rsidRPr="0045764A">
        <w:rPr>
          <w:rFonts w:eastAsia="TimesNewRoman"/>
          <w:szCs w:val="22"/>
          <w:lang w:val="sr-Latn-ME"/>
        </w:rPr>
        <w:t>jetre (</w:t>
      </w:r>
      <w:proofErr w:type="spellStart"/>
      <w:r w:rsidRPr="0045764A">
        <w:rPr>
          <w:i/>
          <w:iCs/>
          <w:szCs w:val="22"/>
          <w:lang w:val="sr-Latn-ME"/>
        </w:rPr>
        <w:t>Child</w:t>
      </w:r>
      <w:proofErr w:type="spellEnd"/>
      <w:r w:rsidRPr="0045764A">
        <w:rPr>
          <w:i/>
          <w:iCs/>
          <w:szCs w:val="22"/>
          <w:lang w:val="sr-Latn-ME"/>
        </w:rPr>
        <w:t xml:space="preserve"> </w:t>
      </w:r>
      <w:proofErr w:type="spellStart"/>
      <w:r w:rsidRPr="0045764A">
        <w:rPr>
          <w:i/>
          <w:iCs/>
          <w:szCs w:val="22"/>
          <w:lang w:val="sr-Latn-ME"/>
        </w:rPr>
        <w:t>Pugh</w:t>
      </w:r>
      <w:proofErr w:type="spellEnd"/>
      <w:r w:rsidRPr="0045764A">
        <w:rPr>
          <w:i/>
          <w:iCs/>
          <w:szCs w:val="22"/>
          <w:lang w:val="sr-Latn-ME"/>
        </w:rPr>
        <w:t xml:space="preserve"> </w:t>
      </w:r>
      <w:r w:rsidRPr="0045764A">
        <w:rPr>
          <w:rFonts w:eastAsia="TimesNewRoman"/>
          <w:szCs w:val="22"/>
          <w:lang w:val="sr-Latn-ME"/>
        </w:rPr>
        <w:t xml:space="preserve">klasa A). Preporučuje se smanjenje doze kada se </w:t>
      </w:r>
      <w:proofErr w:type="spellStart"/>
      <w:r w:rsidRPr="0045764A">
        <w:rPr>
          <w:rFonts w:eastAsia="TimesNewRoman"/>
          <w:szCs w:val="22"/>
          <w:lang w:val="sr-Latn-ME"/>
        </w:rPr>
        <w:t>aksitinib</w:t>
      </w:r>
      <w:proofErr w:type="spellEnd"/>
      <w:r w:rsidRPr="0045764A">
        <w:rPr>
          <w:rFonts w:eastAsia="TimesNewRoman"/>
          <w:szCs w:val="22"/>
          <w:lang w:val="sr-Latn-ME"/>
        </w:rPr>
        <w:t xml:space="preserve"> </w:t>
      </w:r>
      <w:r w:rsidR="008E2492" w:rsidRPr="0045764A">
        <w:rPr>
          <w:rFonts w:eastAsia="TimesNewRoman"/>
          <w:szCs w:val="22"/>
          <w:lang w:val="sr-Latn-ME"/>
        </w:rPr>
        <w:t>primjen</w:t>
      </w:r>
      <w:r w:rsidRPr="0045764A">
        <w:rPr>
          <w:rFonts w:eastAsia="TimesNewRoman"/>
          <w:szCs w:val="22"/>
          <w:lang w:val="sr-Latn-ME"/>
        </w:rPr>
        <w:t>juje kod pacijenata sa</w:t>
      </w:r>
      <w:r w:rsidR="004D226C" w:rsidRPr="0045764A">
        <w:rPr>
          <w:rFonts w:eastAsia="TimesNewRoman"/>
          <w:szCs w:val="22"/>
          <w:lang w:val="sr-Latn-ME"/>
        </w:rPr>
        <w:t xml:space="preserve"> </w:t>
      </w:r>
      <w:r w:rsidRPr="0045764A">
        <w:rPr>
          <w:rFonts w:eastAsia="TimesNewRoman"/>
          <w:szCs w:val="22"/>
          <w:lang w:val="sr-Latn-ME"/>
        </w:rPr>
        <w:t>um</w:t>
      </w:r>
      <w:r w:rsidR="00380723" w:rsidRPr="0045764A">
        <w:rPr>
          <w:rFonts w:eastAsia="TimesNewRoman"/>
          <w:szCs w:val="22"/>
          <w:lang w:val="sr-Latn-ME"/>
        </w:rPr>
        <w:t>j</w:t>
      </w:r>
      <w:r w:rsidRPr="0045764A">
        <w:rPr>
          <w:rFonts w:eastAsia="TimesNewRoman"/>
          <w:szCs w:val="22"/>
          <w:lang w:val="sr-Latn-ME"/>
        </w:rPr>
        <w:t>erenim oštećenjem funkcije jetre (</w:t>
      </w:r>
      <w:proofErr w:type="spellStart"/>
      <w:r w:rsidRPr="0045764A">
        <w:rPr>
          <w:i/>
          <w:iCs/>
          <w:szCs w:val="22"/>
          <w:lang w:val="sr-Latn-ME"/>
        </w:rPr>
        <w:t>Child</w:t>
      </w:r>
      <w:proofErr w:type="spellEnd"/>
      <w:r w:rsidRPr="0045764A">
        <w:rPr>
          <w:i/>
          <w:iCs/>
          <w:szCs w:val="22"/>
          <w:lang w:val="sr-Latn-ME"/>
        </w:rPr>
        <w:t xml:space="preserve"> </w:t>
      </w:r>
      <w:proofErr w:type="spellStart"/>
      <w:r w:rsidRPr="0045764A">
        <w:rPr>
          <w:i/>
          <w:iCs/>
          <w:szCs w:val="22"/>
          <w:lang w:val="sr-Latn-ME"/>
        </w:rPr>
        <w:t>Pugh</w:t>
      </w:r>
      <w:proofErr w:type="spellEnd"/>
      <w:r w:rsidRPr="0045764A">
        <w:rPr>
          <w:i/>
          <w:iCs/>
          <w:szCs w:val="22"/>
          <w:lang w:val="sr-Latn-ME"/>
        </w:rPr>
        <w:t xml:space="preserve"> </w:t>
      </w:r>
      <w:r w:rsidRPr="0045764A">
        <w:rPr>
          <w:rFonts w:eastAsia="TimesNewRoman"/>
          <w:szCs w:val="22"/>
          <w:lang w:val="sr-Latn-ME"/>
        </w:rPr>
        <w:t>klasa B) (npr. početnu dozu treba smanjiti sa 5 mg dva puta</w:t>
      </w:r>
      <w:r w:rsidR="004D226C" w:rsidRPr="0045764A">
        <w:rPr>
          <w:rFonts w:eastAsia="TimesNewRoman"/>
          <w:szCs w:val="22"/>
          <w:lang w:val="sr-Latn-ME"/>
        </w:rPr>
        <w:t xml:space="preserve"> </w:t>
      </w:r>
      <w:r w:rsidRPr="0045764A">
        <w:rPr>
          <w:rFonts w:eastAsia="TimesNewRoman"/>
          <w:szCs w:val="22"/>
          <w:lang w:val="sr-Latn-ME"/>
        </w:rPr>
        <w:t xml:space="preserve">dnevno na 2 mg dva puta dnevno). </w:t>
      </w:r>
      <w:r w:rsidR="008E2492" w:rsidRPr="0045764A">
        <w:rPr>
          <w:rFonts w:eastAsia="TimesNewRoman"/>
          <w:szCs w:val="22"/>
          <w:lang w:val="sr-Latn-ME"/>
        </w:rPr>
        <w:t>Primjen</w:t>
      </w:r>
      <w:r w:rsidRPr="0045764A">
        <w:rPr>
          <w:rFonts w:eastAsia="TimesNewRoman"/>
          <w:szCs w:val="22"/>
          <w:lang w:val="sr-Latn-ME"/>
        </w:rPr>
        <w:t xml:space="preserve">a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nije ispitivana kod pacijenata sa teškim oštećenjem</w:t>
      </w:r>
      <w:r w:rsidR="004D226C" w:rsidRPr="0045764A">
        <w:rPr>
          <w:rFonts w:eastAsia="TimesNewRoman"/>
          <w:szCs w:val="22"/>
          <w:lang w:val="sr-Latn-ME"/>
        </w:rPr>
        <w:t xml:space="preserve"> </w:t>
      </w:r>
      <w:r w:rsidRPr="0045764A">
        <w:rPr>
          <w:rFonts w:eastAsia="TimesNewRoman"/>
          <w:szCs w:val="22"/>
          <w:lang w:val="sr-Latn-ME"/>
        </w:rPr>
        <w:t>funkcije jetre (</w:t>
      </w:r>
      <w:proofErr w:type="spellStart"/>
      <w:r w:rsidRPr="0045764A">
        <w:rPr>
          <w:i/>
          <w:iCs/>
          <w:szCs w:val="22"/>
          <w:lang w:val="sr-Latn-ME"/>
        </w:rPr>
        <w:t>Child</w:t>
      </w:r>
      <w:proofErr w:type="spellEnd"/>
      <w:r w:rsidRPr="0045764A">
        <w:rPr>
          <w:i/>
          <w:iCs/>
          <w:szCs w:val="22"/>
          <w:lang w:val="sr-Latn-ME"/>
        </w:rPr>
        <w:t xml:space="preserve"> </w:t>
      </w:r>
      <w:proofErr w:type="spellStart"/>
      <w:r w:rsidRPr="0045764A">
        <w:rPr>
          <w:i/>
          <w:iCs/>
          <w:szCs w:val="22"/>
          <w:lang w:val="sr-Latn-ME"/>
        </w:rPr>
        <w:t>Pugh</w:t>
      </w:r>
      <w:proofErr w:type="spellEnd"/>
      <w:r w:rsidRPr="0045764A">
        <w:rPr>
          <w:i/>
          <w:iCs/>
          <w:szCs w:val="22"/>
          <w:lang w:val="sr-Latn-ME"/>
        </w:rPr>
        <w:t xml:space="preserve"> </w:t>
      </w:r>
      <w:r w:rsidRPr="0045764A">
        <w:rPr>
          <w:rFonts w:eastAsia="TimesNewRoman"/>
          <w:szCs w:val="22"/>
          <w:lang w:val="sr-Latn-ME"/>
        </w:rPr>
        <w:t>klasa C) i ne treba ga koristiti kod ove populacije (</w:t>
      </w:r>
      <w:r w:rsidR="006F7AEE" w:rsidRPr="0045764A">
        <w:rPr>
          <w:rFonts w:eastAsia="TimesNewRoman"/>
          <w:szCs w:val="22"/>
          <w:lang w:val="sr-Latn-ME"/>
        </w:rPr>
        <w:t>pogledati djelove</w:t>
      </w:r>
      <w:r w:rsidRPr="0045764A">
        <w:rPr>
          <w:rFonts w:eastAsia="TimesNewRoman"/>
          <w:szCs w:val="22"/>
          <w:lang w:val="sr-Latn-ME"/>
        </w:rPr>
        <w:t xml:space="preserve"> 4.4 i 5.2).</w:t>
      </w:r>
    </w:p>
    <w:p w14:paraId="784AF76A" w14:textId="77777777" w:rsidR="0076497E" w:rsidRPr="0045764A" w:rsidRDefault="0076497E" w:rsidP="00C65330">
      <w:pPr>
        <w:tabs>
          <w:tab w:val="clear" w:pos="284"/>
        </w:tabs>
        <w:autoSpaceDE w:val="0"/>
        <w:autoSpaceDN w:val="0"/>
        <w:adjustRightInd w:val="0"/>
        <w:rPr>
          <w:rFonts w:eastAsia="TimesNewRoman"/>
          <w:szCs w:val="22"/>
          <w:lang w:val="sr-Latn-ME"/>
        </w:rPr>
      </w:pPr>
    </w:p>
    <w:p w14:paraId="5699F345" w14:textId="77777777" w:rsidR="00F152E4" w:rsidRPr="0045764A" w:rsidRDefault="00F152E4" w:rsidP="00C65330">
      <w:pPr>
        <w:tabs>
          <w:tab w:val="clear" w:pos="284"/>
        </w:tabs>
        <w:autoSpaceDE w:val="0"/>
        <w:autoSpaceDN w:val="0"/>
        <w:adjustRightInd w:val="0"/>
        <w:rPr>
          <w:i/>
          <w:iCs/>
          <w:szCs w:val="22"/>
          <w:lang w:val="sr-Latn-ME"/>
        </w:rPr>
      </w:pPr>
      <w:r w:rsidRPr="0045764A">
        <w:rPr>
          <w:i/>
          <w:iCs/>
          <w:szCs w:val="22"/>
          <w:lang w:val="sr-Latn-ME"/>
        </w:rPr>
        <w:t>Pedijatrijska populacija</w:t>
      </w:r>
    </w:p>
    <w:p w14:paraId="59DFFB7C" w14:textId="4165447B" w:rsidR="00F152E4" w:rsidRPr="0045764A" w:rsidRDefault="00F152E4"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Nije utvrđena bezb</w:t>
      </w:r>
      <w:r w:rsidR="00380723" w:rsidRPr="0045764A">
        <w:rPr>
          <w:rFonts w:eastAsia="TimesNewRoman"/>
          <w:szCs w:val="22"/>
          <w:lang w:val="sr-Latn-ME"/>
        </w:rPr>
        <w:t>j</w:t>
      </w:r>
      <w:r w:rsidRPr="0045764A">
        <w:rPr>
          <w:rFonts w:eastAsia="TimesNewRoman"/>
          <w:szCs w:val="22"/>
          <w:lang w:val="sr-Latn-ME"/>
        </w:rPr>
        <w:t xml:space="preserve">ednost i efikasnost </w:t>
      </w:r>
      <w:r w:rsidR="00593BF5" w:rsidRPr="0045764A">
        <w:rPr>
          <w:rFonts w:eastAsia="TimesNewRoman"/>
          <w:szCs w:val="22"/>
          <w:lang w:val="sr-Latn-ME"/>
        </w:rPr>
        <w:t>lijek</w:t>
      </w:r>
      <w:r w:rsidRPr="0045764A">
        <w:rPr>
          <w:rFonts w:eastAsia="TimesNewRoman"/>
          <w:szCs w:val="22"/>
          <w:lang w:val="sr-Latn-ME"/>
        </w:rPr>
        <w:t xml:space="preserve">a </w:t>
      </w:r>
      <w:proofErr w:type="spellStart"/>
      <w:r w:rsidR="00593BF5" w:rsidRPr="0045764A">
        <w:rPr>
          <w:rFonts w:eastAsia="TimesNewRoman"/>
          <w:szCs w:val="22"/>
          <w:lang w:val="sr-Latn-ME"/>
        </w:rPr>
        <w:t>Aksitinib</w:t>
      </w:r>
      <w:proofErr w:type="spellEnd"/>
      <w:r w:rsidR="00593BF5" w:rsidRPr="0045764A">
        <w:rPr>
          <w:rFonts w:eastAsia="TimesNewRoman"/>
          <w:szCs w:val="22"/>
          <w:lang w:val="sr-Latn-ME"/>
        </w:rPr>
        <w:t xml:space="preserve"> STADA</w:t>
      </w:r>
      <w:r w:rsidRPr="0045764A">
        <w:rPr>
          <w:rFonts w:eastAsia="TimesNewRoman"/>
          <w:szCs w:val="22"/>
          <w:lang w:val="sr-Latn-ME"/>
        </w:rPr>
        <w:t xml:space="preserve"> kod d</w:t>
      </w:r>
      <w:r w:rsidR="00380723" w:rsidRPr="0045764A">
        <w:rPr>
          <w:rFonts w:eastAsia="TimesNewRoman"/>
          <w:szCs w:val="22"/>
          <w:lang w:val="sr-Latn-ME"/>
        </w:rPr>
        <w:t>j</w:t>
      </w:r>
      <w:r w:rsidRPr="0045764A">
        <w:rPr>
          <w:rFonts w:eastAsia="TimesNewRoman"/>
          <w:szCs w:val="22"/>
          <w:lang w:val="sr-Latn-ME"/>
        </w:rPr>
        <w:t>ece i adolescenata &lt; 18 godina. Nema dostupnih</w:t>
      </w:r>
      <w:r w:rsidR="00B441D0" w:rsidRPr="0045764A">
        <w:rPr>
          <w:rFonts w:eastAsia="TimesNewRoman"/>
          <w:szCs w:val="22"/>
          <w:lang w:val="sr-Latn-ME"/>
        </w:rPr>
        <w:t xml:space="preserve"> </w:t>
      </w:r>
      <w:r w:rsidRPr="0045764A">
        <w:rPr>
          <w:rFonts w:eastAsia="TimesNewRoman"/>
          <w:szCs w:val="22"/>
          <w:lang w:val="sr-Latn-ME"/>
        </w:rPr>
        <w:t>podataka.</w:t>
      </w:r>
    </w:p>
    <w:p w14:paraId="50BEAD35" w14:textId="77777777" w:rsidR="00B441D0" w:rsidRPr="0045764A" w:rsidRDefault="00B441D0" w:rsidP="00C65330">
      <w:pPr>
        <w:tabs>
          <w:tab w:val="clear" w:pos="284"/>
        </w:tabs>
        <w:autoSpaceDE w:val="0"/>
        <w:autoSpaceDN w:val="0"/>
        <w:adjustRightInd w:val="0"/>
        <w:rPr>
          <w:rFonts w:eastAsia="TimesNewRoman"/>
          <w:szCs w:val="22"/>
          <w:lang w:val="sr-Latn-ME"/>
        </w:rPr>
      </w:pPr>
    </w:p>
    <w:p w14:paraId="00BFA3E2" w14:textId="2D53A90F" w:rsidR="00F152E4" w:rsidRPr="0045764A" w:rsidRDefault="00F152E4" w:rsidP="00C65330">
      <w:pPr>
        <w:tabs>
          <w:tab w:val="clear" w:pos="284"/>
        </w:tabs>
        <w:autoSpaceDE w:val="0"/>
        <w:autoSpaceDN w:val="0"/>
        <w:adjustRightInd w:val="0"/>
        <w:rPr>
          <w:rFonts w:eastAsia="TimesNewRoman"/>
          <w:szCs w:val="22"/>
          <w:u w:val="single"/>
          <w:lang w:val="sr-Latn-ME"/>
        </w:rPr>
      </w:pPr>
      <w:r w:rsidRPr="0045764A">
        <w:rPr>
          <w:rFonts w:eastAsia="TimesNewRoman"/>
          <w:szCs w:val="22"/>
          <w:u w:val="single"/>
          <w:lang w:val="sr-Latn-ME"/>
        </w:rPr>
        <w:t xml:space="preserve">Način </w:t>
      </w:r>
      <w:r w:rsidR="008E2492" w:rsidRPr="0045764A">
        <w:rPr>
          <w:rFonts w:eastAsia="TimesNewRoman"/>
          <w:szCs w:val="22"/>
          <w:u w:val="single"/>
          <w:lang w:val="sr-Latn-ME"/>
        </w:rPr>
        <w:t>primjen</w:t>
      </w:r>
      <w:r w:rsidRPr="0045764A">
        <w:rPr>
          <w:rFonts w:eastAsia="TimesNewRoman"/>
          <w:szCs w:val="22"/>
          <w:u w:val="single"/>
          <w:lang w:val="sr-Latn-ME"/>
        </w:rPr>
        <w:t>e</w:t>
      </w:r>
    </w:p>
    <w:p w14:paraId="3C7E6C20" w14:textId="72F53CFA" w:rsidR="00E229AB" w:rsidRPr="0045764A" w:rsidRDefault="00F152E4" w:rsidP="00C65330">
      <w:pPr>
        <w:tabs>
          <w:tab w:val="clear" w:pos="284"/>
        </w:tabs>
        <w:autoSpaceDE w:val="0"/>
        <w:autoSpaceDN w:val="0"/>
        <w:adjustRightInd w:val="0"/>
        <w:rPr>
          <w:rFonts w:eastAsia="TimesNewRoman"/>
          <w:szCs w:val="22"/>
          <w:lang w:val="sr-Latn-ME"/>
        </w:rPr>
      </w:pPr>
      <w:proofErr w:type="spellStart"/>
      <w:r w:rsidRPr="0045764A">
        <w:rPr>
          <w:rFonts w:eastAsia="TimesNewRoman"/>
          <w:szCs w:val="22"/>
          <w:lang w:val="sr-Latn-ME"/>
        </w:rPr>
        <w:t>Aksitinib</w:t>
      </w:r>
      <w:proofErr w:type="spellEnd"/>
      <w:r w:rsidR="00D766CA" w:rsidRPr="0045764A">
        <w:rPr>
          <w:rFonts w:eastAsia="TimesNewRoman"/>
          <w:szCs w:val="22"/>
          <w:lang w:val="sr-Latn-ME"/>
        </w:rPr>
        <w:t xml:space="preserve"> STADA</w:t>
      </w:r>
      <w:r w:rsidRPr="0045764A">
        <w:rPr>
          <w:rFonts w:eastAsia="TimesNewRoman"/>
          <w:szCs w:val="22"/>
          <w:lang w:val="sr-Latn-ME"/>
        </w:rPr>
        <w:t xml:space="preserve"> je nam</w:t>
      </w:r>
      <w:r w:rsidR="00380723" w:rsidRPr="0045764A">
        <w:rPr>
          <w:rFonts w:eastAsia="TimesNewRoman"/>
          <w:szCs w:val="22"/>
          <w:lang w:val="sr-Latn-ME"/>
        </w:rPr>
        <w:t>ij</w:t>
      </w:r>
      <w:r w:rsidRPr="0045764A">
        <w:rPr>
          <w:rFonts w:eastAsia="TimesNewRoman"/>
          <w:szCs w:val="22"/>
          <w:lang w:val="sr-Latn-ME"/>
        </w:rPr>
        <w:t xml:space="preserve">enjen za oralnu </w:t>
      </w:r>
      <w:r w:rsidR="008E2492" w:rsidRPr="0045764A">
        <w:rPr>
          <w:rFonts w:eastAsia="TimesNewRoman"/>
          <w:szCs w:val="22"/>
          <w:lang w:val="sr-Latn-ME"/>
        </w:rPr>
        <w:t>primjen</w:t>
      </w:r>
      <w:r w:rsidRPr="0045764A">
        <w:rPr>
          <w:rFonts w:eastAsia="TimesNewRoman"/>
          <w:szCs w:val="22"/>
          <w:lang w:val="sr-Latn-ME"/>
        </w:rPr>
        <w:t>u. Tablete treba uzimati oralno dva puta dnevno otprilike u 12-časovnim razmacima</w:t>
      </w:r>
      <w:r w:rsidR="007D1A84" w:rsidRPr="0045764A">
        <w:rPr>
          <w:rFonts w:eastAsia="TimesNewRoman"/>
          <w:szCs w:val="22"/>
          <w:lang w:val="sr-Latn-ME"/>
        </w:rPr>
        <w:t>,</w:t>
      </w:r>
      <w:r w:rsidRPr="0045764A">
        <w:rPr>
          <w:rFonts w:eastAsia="TimesNewRoman"/>
          <w:szCs w:val="22"/>
          <w:lang w:val="sr-Latn-ME"/>
        </w:rPr>
        <w:t xml:space="preserve"> sa hranom ili bez nje (</w:t>
      </w:r>
      <w:r w:rsidR="006F7AEE" w:rsidRPr="0045764A">
        <w:rPr>
          <w:rFonts w:eastAsia="TimesNewRoman"/>
          <w:szCs w:val="22"/>
          <w:lang w:val="sr-Latn-ME"/>
        </w:rPr>
        <w:t>pogledati dio</w:t>
      </w:r>
      <w:r w:rsidRPr="0045764A">
        <w:rPr>
          <w:rFonts w:eastAsia="TimesNewRoman"/>
          <w:szCs w:val="22"/>
          <w:lang w:val="sr-Latn-ME"/>
        </w:rPr>
        <w:t xml:space="preserve"> 5.2). </w:t>
      </w:r>
      <w:proofErr w:type="spellStart"/>
      <w:r w:rsidRPr="0045764A">
        <w:rPr>
          <w:rFonts w:eastAsia="TimesNewRoman"/>
          <w:szCs w:val="22"/>
          <w:lang w:val="sr-Latn-ME"/>
        </w:rPr>
        <w:t>Aksitinib</w:t>
      </w:r>
      <w:proofErr w:type="spellEnd"/>
      <w:r w:rsidRPr="0045764A">
        <w:rPr>
          <w:rFonts w:eastAsia="TimesNewRoman"/>
          <w:szCs w:val="22"/>
          <w:lang w:val="sr-Latn-ME"/>
        </w:rPr>
        <w:t xml:space="preserve"> tablete treba progutati c</w:t>
      </w:r>
      <w:r w:rsidR="00380723" w:rsidRPr="0045764A">
        <w:rPr>
          <w:rFonts w:eastAsia="TimesNewRoman"/>
          <w:szCs w:val="22"/>
          <w:lang w:val="sr-Latn-ME"/>
        </w:rPr>
        <w:t>ij</w:t>
      </w:r>
      <w:r w:rsidRPr="0045764A">
        <w:rPr>
          <w:rFonts w:eastAsia="TimesNewRoman"/>
          <w:szCs w:val="22"/>
          <w:lang w:val="sr-Latn-ME"/>
        </w:rPr>
        <w:t>ele sa</w:t>
      </w:r>
      <w:r w:rsidR="00D766CA" w:rsidRPr="0045764A">
        <w:rPr>
          <w:rFonts w:eastAsia="TimesNewRoman"/>
          <w:szCs w:val="22"/>
          <w:lang w:val="sr-Latn-ME"/>
        </w:rPr>
        <w:t xml:space="preserve"> </w:t>
      </w:r>
      <w:r w:rsidRPr="0045764A">
        <w:rPr>
          <w:rFonts w:eastAsia="TimesNewRoman"/>
          <w:szCs w:val="22"/>
          <w:lang w:val="sr-Latn-ME"/>
        </w:rPr>
        <w:t>čašom vode.</w:t>
      </w:r>
    </w:p>
    <w:p w14:paraId="57F653CF" w14:textId="77777777" w:rsidR="00674860" w:rsidRPr="0045764A" w:rsidRDefault="00674860" w:rsidP="00C65330">
      <w:pPr>
        <w:rPr>
          <w:szCs w:val="22"/>
          <w:lang w:val="sr-Latn-ME"/>
        </w:rPr>
      </w:pPr>
    </w:p>
    <w:p w14:paraId="4B3C676E" w14:textId="77777777" w:rsidR="00CE09F3" w:rsidRPr="0045764A" w:rsidRDefault="00CE09F3" w:rsidP="00C65330">
      <w:pPr>
        <w:rPr>
          <w:b/>
          <w:bCs/>
          <w:szCs w:val="22"/>
          <w:lang w:val="sr-Latn-ME"/>
        </w:rPr>
      </w:pPr>
      <w:r w:rsidRPr="0045764A">
        <w:rPr>
          <w:b/>
          <w:bCs/>
          <w:szCs w:val="22"/>
          <w:lang w:val="sr-Latn-ME"/>
        </w:rPr>
        <w:t xml:space="preserve">4.3. </w:t>
      </w:r>
      <w:proofErr w:type="spellStart"/>
      <w:r w:rsidRPr="0045764A">
        <w:rPr>
          <w:b/>
          <w:bCs/>
          <w:szCs w:val="22"/>
          <w:lang w:val="sr-Latn-ME"/>
        </w:rPr>
        <w:t>Kontraindikacije</w:t>
      </w:r>
      <w:proofErr w:type="spellEnd"/>
    </w:p>
    <w:p w14:paraId="4B3C676F" w14:textId="77777777" w:rsidR="00CE09F3" w:rsidRPr="0045764A" w:rsidRDefault="00CE09F3" w:rsidP="00C65330">
      <w:pPr>
        <w:rPr>
          <w:szCs w:val="22"/>
          <w:lang w:val="sr-Latn-ME"/>
        </w:rPr>
      </w:pPr>
    </w:p>
    <w:p w14:paraId="4B3C6770" w14:textId="39532DAC" w:rsidR="00CE09F3" w:rsidRPr="0045764A" w:rsidRDefault="00A328C3" w:rsidP="00C65330">
      <w:pPr>
        <w:rPr>
          <w:rFonts w:eastAsia="TimesNewRoman"/>
          <w:szCs w:val="22"/>
          <w:lang w:val="sr-Latn-ME"/>
        </w:rPr>
      </w:pPr>
      <w:r w:rsidRPr="0045764A">
        <w:rPr>
          <w:rFonts w:eastAsia="TimesNewRoman"/>
          <w:szCs w:val="22"/>
          <w:lang w:val="sr-Latn-ME"/>
        </w:rPr>
        <w:t>Preos</w:t>
      </w:r>
      <w:r w:rsidR="00380723" w:rsidRPr="0045764A">
        <w:rPr>
          <w:rFonts w:eastAsia="TimesNewRoman"/>
          <w:szCs w:val="22"/>
          <w:lang w:val="sr-Latn-ME"/>
        </w:rPr>
        <w:t>j</w:t>
      </w:r>
      <w:r w:rsidRPr="0045764A">
        <w:rPr>
          <w:rFonts w:eastAsia="TimesNewRoman"/>
          <w:szCs w:val="22"/>
          <w:lang w:val="sr-Latn-ME"/>
        </w:rPr>
        <w:t xml:space="preserve">etljivost na </w:t>
      </w:r>
      <w:proofErr w:type="spellStart"/>
      <w:r w:rsidRPr="0045764A">
        <w:rPr>
          <w:rFonts w:eastAsia="TimesNewRoman"/>
          <w:szCs w:val="22"/>
          <w:lang w:val="sr-Latn-ME"/>
        </w:rPr>
        <w:t>aksitinib</w:t>
      </w:r>
      <w:proofErr w:type="spellEnd"/>
      <w:r w:rsidRPr="0045764A">
        <w:rPr>
          <w:rFonts w:eastAsia="TimesNewRoman"/>
          <w:szCs w:val="22"/>
          <w:lang w:val="sr-Latn-ME"/>
        </w:rPr>
        <w:t xml:space="preserve"> ili na bilo koju od pomoćnih supstanci navedenih u </w:t>
      </w:r>
      <w:r w:rsidR="00EB1E1B" w:rsidRPr="0045764A">
        <w:rPr>
          <w:rFonts w:eastAsia="TimesNewRoman"/>
          <w:szCs w:val="22"/>
          <w:lang w:val="sr-Latn-ME"/>
        </w:rPr>
        <w:t xml:space="preserve">dijelu </w:t>
      </w:r>
      <w:r w:rsidRPr="0045764A">
        <w:rPr>
          <w:rFonts w:eastAsia="TimesNewRoman"/>
          <w:szCs w:val="22"/>
          <w:lang w:val="sr-Latn-ME"/>
        </w:rPr>
        <w:t>6.1.</w:t>
      </w:r>
    </w:p>
    <w:p w14:paraId="4E90E3AA" w14:textId="77777777" w:rsidR="00A328C3" w:rsidRPr="0045764A" w:rsidRDefault="00A328C3" w:rsidP="00C65330">
      <w:pPr>
        <w:rPr>
          <w:szCs w:val="22"/>
          <w:lang w:val="sr-Latn-ME"/>
        </w:rPr>
      </w:pPr>
    </w:p>
    <w:p w14:paraId="4B3C6771" w14:textId="3FC3F237" w:rsidR="00CE09F3" w:rsidRPr="0045764A" w:rsidRDefault="00CE09F3" w:rsidP="00C65330">
      <w:pPr>
        <w:rPr>
          <w:b/>
          <w:bCs/>
          <w:szCs w:val="22"/>
          <w:lang w:val="sr-Latn-ME"/>
        </w:rPr>
      </w:pPr>
      <w:r w:rsidRPr="0045764A">
        <w:rPr>
          <w:b/>
          <w:bCs/>
          <w:szCs w:val="22"/>
          <w:lang w:val="sr-Latn-ME"/>
        </w:rPr>
        <w:t>4.4. Posebna upozorenja i m</w:t>
      </w:r>
      <w:r w:rsidR="00380723" w:rsidRPr="0045764A">
        <w:rPr>
          <w:b/>
          <w:bCs/>
          <w:szCs w:val="22"/>
          <w:lang w:val="sr-Latn-ME"/>
        </w:rPr>
        <w:t>j</w:t>
      </w:r>
      <w:r w:rsidRPr="0045764A">
        <w:rPr>
          <w:b/>
          <w:bCs/>
          <w:szCs w:val="22"/>
          <w:lang w:val="sr-Latn-ME"/>
        </w:rPr>
        <w:t xml:space="preserve">ere opreza pri upotrebi </w:t>
      </w:r>
      <w:r w:rsidR="00593BF5" w:rsidRPr="0045764A">
        <w:rPr>
          <w:b/>
          <w:bCs/>
          <w:szCs w:val="22"/>
          <w:lang w:val="sr-Latn-ME"/>
        </w:rPr>
        <w:t>lijek</w:t>
      </w:r>
      <w:r w:rsidRPr="0045764A">
        <w:rPr>
          <w:b/>
          <w:bCs/>
          <w:szCs w:val="22"/>
          <w:lang w:val="sr-Latn-ME"/>
        </w:rPr>
        <w:t>a</w:t>
      </w:r>
    </w:p>
    <w:p w14:paraId="4B3C6772" w14:textId="77777777" w:rsidR="00CE09F3" w:rsidRPr="0045764A" w:rsidRDefault="00CE09F3" w:rsidP="00C65330">
      <w:pPr>
        <w:rPr>
          <w:szCs w:val="22"/>
          <w:lang w:val="sr-Latn-ME"/>
        </w:rPr>
      </w:pPr>
    </w:p>
    <w:p w14:paraId="4B3C6773" w14:textId="459A359B" w:rsidR="00CE09F3" w:rsidRPr="0045764A" w:rsidRDefault="00EF5B38"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Pojedine </w:t>
      </w:r>
      <w:proofErr w:type="spellStart"/>
      <w:r w:rsidRPr="0045764A">
        <w:rPr>
          <w:rFonts w:eastAsia="TimesNewRoman"/>
          <w:szCs w:val="22"/>
          <w:lang w:val="sr-Latn-ME"/>
        </w:rPr>
        <w:t>bezb</w:t>
      </w:r>
      <w:r w:rsidR="00380723" w:rsidRPr="0045764A">
        <w:rPr>
          <w:rFonts w:eastAsia="TimesNewRoman"/>
          <w:szCs w:val="22"/>
          <w:lang w:val="sr-Latn-ME"/>
        </w:rPr>
        <w:t>j</w:t>
      </w:r>
      <w:r w:rsidRPr="0045764A">
        <w:rPr>
          <w:rFonts w:eastAsia="TimesNewRoman"/>
          <w:szCs w:val="22"/>
          <w:lang w:val="sr-Latn-ME"/>
        </w:rPr>
        <w:t>ednosne</w:t>
      </w:r>
      <w:proofErr w:type="spellEnd"/>
      <w:r w:rsidRPr="0045764A">
        <w:rPr>
          <w:rFonts w:eastAsia="TimesNewRoman"/>
          <w:szCs w:val="22"/>
          <w:lang w:val="sr-Latn-ME"/>
        </w:rPr>
        <w:t xml:space="preserve"> događaje treba pratiti pr</w:t>
      </w:r>
      <w:r w:rsidR="00380723" w:rsidRPr="0045764A">
        <w:rPr>
          <w:rFonts w:eastAsia="TimesNewRoman"/>
          <w:szCs w:val="22"/>
          <w:lang w:val="sr-Latn-ME"/>
        </w:rPr>
        <w:t>ij</w:t>
      </w:r>
      <w:r w:rsidRPr="0045764A">
        <w:rPr>
          <w:rFonts w:eastAsia="TimesNewRoman"/>
          <w:szCs w:val="22"/>
          <w:lang w:val="sr-Latn-ME"/>
        </w:rPr>
        <w:t xml:space="preserve">e početka i periodično tokom terapije </w:t>
      </w:r>
      <w:proofErr w:type="spellStart"/>
      <w:r w:rsidRPr="0045764A">
        <w:rPr>
          <w:rFonts w:eastAsia="TimesNewRoman"/>
          <w:szCs w:val="22"/>
          <w:lang w:val="sr-Latn-ME"/>
        </w:rPr>
        <w:t>aksitinibom</w:t>
      </w:r>
      <w:proofErr w:type="spellEnd"/>
      <w:r w:rsidRPr="0045764A">
        <w:rPr>
          <w:rFonts w:eastAsia="TimesNewRoman"/>
          <w:szCs w:val="22"/>
          <w:lang w:val="sr-Latn-ME"/>
        </w:rPr>
        <w:t>, kao što je</w:t>
      </w:r>
      <w:r w:rsidR="00E31332" w:rsidRPr="0045764A">
        <w:rPr>
          <w:rFonts w:eastAsia="TimesNewRoman"/>
          <w:szCs w:val="22"/>
          <w:lang w:val="sr-Latn-ME"/>
        </w:rPr>
        <w:t xml:space="preserve"> </w:t>
      </w:r>
      <w:r w:rsidRPr="0045764A">
        <w:rPr>
          <w:rFonts w:eastAsia="TimesNewRoman"/>
          <w:szCs w:val="22"/>
          <w:lang w:val="sr-Latn-ME"/>
        </w:rPr>
        <w:t>opisano dalje u tekstu.</w:t>
      </w:r>
    </w:p>
    <w:p w14:paraId="6E77139B" w14:textId="69380DBA" w:rsidR="002D3108" w:rsidRPr="0045764A" w:rsidRDefault="002D3108" w:rsidP="00C65330">
      <w:pPr>
        <w:rPr>
          <w:szCs w:val="22"/>
          <w:lang w:val="sr-Latn-ME"/>
        </w:rPr>
      </w:pPr>
    </w:p>
    <w:p w14:paraId="0E28656D" w14:textId="77777777" w:rsidR="002D3108" w:rsidRPr="0045764A" w:rsidRDefault="002D3108" w:rsidP="00C65330">
      <w:pPr>
        <w:tabs>
          <w:tab w:val="clear" w:pos="284"/>
        </w:tabs>
        <w:autoSpaceDE w:val="0"/>
        <w:autoSpaceDN w:val="0"/>
        <w:adjustRightInd w:val="0"/>
        <w:rPr>
          <w:iCs/>
          <w:szCs w:val="22"/>
          <w:u w:val="single"/>
          <w:lang w:val="sr-Latn-ME"/>
        </w:rPr>
      </w:pPr>
      <w:r w:rsidRPr="0045764A">
        <w:rPr>
          <w:iCs/>
          <w:szCs w:val="22"/>
          <w:u w:val="single"/>
          <w:lang w:val="sr-Latn-ME"/>
        </w:rPr>
        <w:t xml:space="preserve">Događaji povezani sa srčanom </w:t>
      </w:r>
      <w:proofErr w:type="spellStart"/>
      <w:r w:rsidRPr="0045764A">
        <w:rPr>
          <w:iCs/>
          <w:szCs w:val="22"/>
          <w:u w:val="single"/>
          <w:lang w:val="sr-Latn-ME"/>
        </w:rPr>
        <w:t>insuficijencijom</w:t>
      </w:r>
      <w:proofErr w:type="spellEnd"/>
    </w:p>
    <w:p w14:paraId="631FFEDB" w14:textId="0987011B" w:rsidR="002D3108" w:rsidRPr="0045764A" w:rsidRDefault="002D3108"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U kliničkim ispitivanjima sa </w:t>
      </w:r>
      <w:proofErr w:type="spellStart"/>
      <w:r w:rsidRPr="0045764A">
        <w:rPr>
          <w:rFonts w:eastAsia="TimesNewRoman"/>
          <w:szCs w:val="22"/>
          <w:lang w:val="sr-Latn-ME"/>
        </w:rPr>
        <w:t>aksitinibom</w:t>
      </w:r>
      <w:proofErr w:type="spellEnd"/>
      <w:r w:rsidRPr="0045764A">
        <w:rPr>
          <w:rFonts w:eastAsia="TimesNewRoman"/>
          <w:szCs w:val="22"/>
          <w:lang w:val="sr-Latn-ME"/>
        </w:rPr>
        <w:t xml:space="preserve"> za l</w:t>
      </w:r>
      <w:r w:rsidR="00380723" w:rsidRPr="0045764A">
        <w:rPr>
          <w:rFonts w:eastAsia="TimesNewRoman"/>
          <w:szCs w:val="22"/>
          <w:lang w:val="sr-Latn-ME"/>
        </w:rPr>
        <w:t>ij</w:t>
      </w:r>
      <w:r w:rsidRPr="0045764A">
        <w:rPr>
          <w:rFonts w:eastAsia="TimesNewRoman"/>
          <w:szCs w:val="22"/>
          <w:lang w:val="sr-Latn-ME"/>
        </w:rPr>
        <w:t>ečenje pacijenata sa RCC, prijavljeni su događaji povezani sa</w:t>
      </w:r>
      <w:r w:rsidR="00E31332" w:rsidRPr="0045764A">
        <w:rPr>
          <w:rFonts w:eastAsia="TimesNewRoman"/>
          <w:szCs w:val="22"/>
          <w:lang w:val="sr-Latn-ME"/>
        </w:rPr>
        <w:t xml:space="preserve"> </w:t>
      </w:r>
      <w:r w:rsidRPr="0045764A">
        <w:rPr>
          <w:rFonts w:eastAsia="TimesNewRoman"/>
          <w:szCs w:val="22"/>
          <w:lang w:val="sr-Latn-ME"/>
        </w:rPr>
        <w:t xml:space="preserve">srčanom </w:t>
      </w:r>
      <w:proofErr w:type="spellStart"/>
      <w:r w:rsidRPr="0045764A">
        <w:rPr>
          <w:rFonts w:eastAsia="TimesNewRoman"/>
          <w:szCs w:val="22"/>
          <w:lang w:val="sr-Latn-ME"/>
        </w:rPr>
        <w:t>insuficijencijom</w:t>
      </w:r>
      <w:proofErr w:type="spellEnd"/>
      <w:r w:rsidRPr="0045764A">
        <w:rPr>
          <w:rFonts w:eastAsia="TimesNewRoman"/>
          <w:szCs w:val="22"/>
          <w:lang w:val="sr-Latn-ME"/>
        </w:rPr>
        <w:t xml:space="preserve"> (uključujući srčanu </w:t>
      </w:r>
      <w:proofErr w:type="spellStart"/>
      <w:r w:rsidRPr="0045764A">
        <w:rPr>
          <w:rFonts w:eastAsia="TimesNewRoman"/>
          <w:szCs w:val="22"/>
          <w:lang w:val="sr-Latn-ME"/>
        </w:rPr>
        <w:t>insuficijenciju</w:t>
      </w:r>
      <w:proofErr w:type="spellEnd"/>
      <w:r w:rsidRPr="0045764A">
        <w:rPr>
          <w:rFonts w:eastAsia="TimesNewRoman"/>
          <w:szCs w:val="22"/>
          <w:lang w:val="sr-Latn-ME"/>
        </w:rPr>
        <w:t xml:space="preserve">, </w:t>
      </w:r>
      <w:proofErr w:type="spellStart"/>
      <w:r w:rsidRPr="0045764A">
        <w:rPr>
          <w:rFonts w:eastAsia="TimesNewRoman"/>
          <w:szCs w:val="22"/>
          <w:lang w:val="sr-Latn-ME"/>
        </w:rPr>
        <w:t>kongestivnu</w:t>
      </w:r>
      <w:proofErr w:type="spellEnd"/>
      <w:r w:rsidRPr="0045764A">
        <w:rPr>
          <w:rFonts w:eastAsia="TimesNewRoman"/>
          <w:szCs w:val="22"/>
          <w:lang w:val="sr-Latn-ME"/>
        </w:rPr>
        <w:t xml:space="preserve"> srčanu </w:t>
      </w:r>
      <w:proofErr w:type="spellStart"/>
      <w:r w:rsidRPr="0045764A">
        <w:rPr>
          <w:rFonts w:eastAsia="TimesNewRoman"/>
          <w:szCs w:val="22"/>
          <w:lang w:val="sr-Latn-ME"/>
        </w:rPr>
        <w:t>insuficijenciju</w:t>
      </w:r>
      <w:proofErr w:type="spellEnd"/>
      <w:r w:rsidRPr="0045764A">
        <w:rPr>
          <w:rFonts w:eastAsia="TimesNewRoman"/>
          <w:szCs w:val="22"/>
          <w:lang w:val="sr-Latn-ME"/>
        </w:rPr>
        <w:t>,</w:t>
      </w:r>
      <w:r w:rsidR="00A543DE" w:rsidRPr="0045764A">
        <w:rPr>
          <w:rFonts w:eastAsia="TimesNewRoman"/>
          <w:szCs w:val="22"/>
          <w:lang w:val="sr-Latn-ME"/>
        </w:rPr>
        <w:t xml:space="preserve"> </w:t>
      </w:r>
      <w:proofErr w:type="spellStart"/>
      <w:r w:rsidRPr="0045764A">
        <w:rPr>
          <w:rFonts w:eastAsia="TimesNewRoman"/>
          <w:szCs w:val="22"/>
          <w:lang w:val="sr-Latn-ME"/>
        </w:rPr>
        <w:t>kardiopulmonarnu</w:t>
      </w:r>
      <w:proofErr w:type="spellEnd"/>
      <w:r w:rsidRPr="0045764A">
        <w:rPr>
          <w:rFonts w:eastAsia="TimesNewRoman"/>
          <w:szCs w:val="22"/>
          <w:lang w:val="sr-Latn-ME"/>
        </w:rPr>
        <w:t xml:space="preserve"> </w:t>
      </w:r>
      <w:proofErr w:type="spellStart"/>
      <w:r w:rsidRPr="0045764A">
        <w:rPr>
          <w:rFonts w:eastAsia="TimesNewRoman"/>
          <w:szCs w:val="22"/>
          <w:lang w:val="sr-Latn-ME"/>
        </w:rPr>
        <w:t>insuficijenciju</w:t>
      </w:r>
      <w:proofErr w:type="spellEnd"/>
      <w:r w:rsidRPr="0045764A">
        <w:rPr>
          <w:rFonts w:eastAsia="TimesNewRoman"/>
          <w:szCs w:val="22"/>
          <w:lang w:val="sr-Latn-ME"/>
        </w:rPr>
        <w:t xml:space="preserve">, </w:t>
      </w:r>
      <w:proofErr w:type="spellStart"/>
      <w:r w:rsidRPr="0045764A">
        <w:rPr>
          <w:rFonts w:eastAsia="TimesNewRoman"/>
          <w:szCs w:val="22"/>
          <w:lang w:val="sr-Latn-ME"/>
        </w:rPr>
        <w:t>disfunkciju</w:t>
      </w:r>
      <w:proofErr w:type="spellEnd"/>
      <w:r w:rsidRPr="0045764A">
        <w:rPr>
          <w:rFonts w:eastAsia="TimesNewRoman"/>
          <w:szCs w:val="22"/>
          <w:lang w:val="sr-Latn-ME"/>
        </w:rPr>
        <w:t xml:space="preserve"> l</w:t>
      </w:r>
      <w:r w:rsidR="006C006B" w:rsidRPr="0045764A">
        <w:rPr>
          <w:rFonts w:eastAsia="TimesNewRoman"/>
          <w:szCs w:val="22"/>
          <w:lang w:val="sr-Latn-ME"/>
        </w:rPr>
        <w:t>ij</w:t>
      </w:r>
      <w:r w:rsidRPr="0045764A">
        <w:rPr>
          <w:rFonts w:eastAsia="TimesNewRoman"/>
          <w:szCs w:val="22"/>
          <w:lang w:val="sr-Latn-ME"/>
        </w:rPr>
        <w:t xml:space="preserve">eve komore, smanjenu </w:t>
      </w:r>
      <w:proofErr w:type="spellStart"/>
      <w:r w:rsidRPr="0045764A">
        <w:rPr>
          <w:rFonts w:eastAsia="TimesNewRoman"/>
          <w:szCs w:val="22"/>
          <w:lang w:val="sr-Latn-ME"/>
        </w:rPr>
        <w:t>ejekcionu</w:t>
      </w:r>
      <w:proofErr w:type="spellEnd"/>
      <w:r w:rsidRPr="0045764A">
        <w:rPr>
          <w:rFonts w:eastAsia="TimesNewRoman"/>
          <w:szCs w:val="22"/>
          <w:lang w:val="sr-Latn-ME"/>
        </w:rPr>
        <w:t xml:space="preserve"> frakciju i </w:t>
      </w:r>
      <w:proofErr w:type="spellStart"/>
      <w:r w:rsidRPr="0045764A">
        <w:rPr>
          <w:rFonts w:eastAsia="TimesNewRoman"/>
          <w:szCs w:val="22"/>
          <w:lang w:val="sr-Latn-ME"/>
        </w:rPr>
        <w:t>insuficijenciju</w:t>
      </w:r>
      <w:proofErr w:type="spellEnd"/>
      <w:r w:rsidR="00A543DE" w:rsidRPr="0045764A">
        <w:rPr>
          <w:rFonts w:eastAsia="TimesNewRoman"/>
          <w:szCs w:val="22"/>
          <w:lang w:val="sr-Latn-ME"/>
        </w:rPr>
        <w:t xml:space="preserve"> </w:t>
      </w:r>
      <w:r w:rsidRPr="0045764A">
        <w:rPr>
          <w:rFonts w:eastAsia="TimesNewRoman"/>
          <w:szCs w:val="22"/>
          <w:lang w:val="sr-Latn-ME"/>
        </w:rPr>
        <w:t>desne komore) (</w:t>
      </w:r>
      <w:r w:rsidR="006F7AEE" w:rsidRPr="0045764A">
        <w:rPr>
          <w:rFonts w:eastAsia="TimesNewRoman"/>
          <w:szCs w:val="22"/>
          <w:lang w:val="sr-Latn-ME"/>
        </w:rPr>
        <w:t>pogledati dio</w:t>
      </w:r>
      <w:r w:rsidRPr="0045764A">
        <w:rPr>
          <w:rFonts w:eastAsia="TimesNewRoman"/>
          <w:szCs w:val="22"/>
          <w:lang w:val="sr-Latn-ME"/>
        </w:rPr>
        <w:t xml:space="preserve"> 4.8).</w:t>
      </w:r>
    </w:p>
    <w:p w14:paraId="5C559BF8" w14:textId="77777777" w:rsidR="00A543DE" w:rsidRPr="0045764A" w:rsidRDefault="00A543DE" w:rsidP="00C65330">
      <w:pPr>
        <w:tabs>
          <w:tab w:val="clear" w:pos="284"/>
        </w:tabs>
        <w:autoSpaceDE w:val="0"/>
        <w:autoSpaceDN w:val="0"/>
        <w:adjustRightInd w:val="0"/>
        <w:rPr>
          <w:rFonts w:eastAsia="TimesNewRoman"/>
          <w:szCs w:val="22"/>
          <w:lang w:val="sr-Latn-ME"/>
        </w:rPr>
      </w:pPr>
    </w:p>
    <w:p w14:paraId="2673927B" w14:textId="2E0E02CC" w:rsidR="002D3108" w:rsidRPr="0045764A" w:rsidRDefault="002D3108"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lastRenderedPageBreak/>
        <w:t xml:space="preserve">Tokom terapije </w:t>
      </w:r>
      <w:proofErr w:type="spellStart"/>
      <w:r w:rsidRPr="0045764A">
        <w:rPr>
          <w:rFonts w:eastAsia="TimesNewRoman"/>
          <w:szCs w:val="22"/>
          <w:lang w:val="sr-Latn-ME"/>
        </w:rPr>
        <w:t>aksitinibom</w:t>
      </w:r>
      <w:proofErr w:type="spellEnd"/>
      <w:r w:rsidRPr="0045764A">
        <w:rPr>
          <w:rFonts w:eastAsia="TimesNewRoman"/>
          <w:szCs w:val="22"/>
          <w:lang w:val="sr-Latn-ME"/>
        </w:rPr>
        <w:t xml:space="preserve"> treba periodično pratiti znake i simptome srčane </w:t>
      </w:r>
      <w:proofErr w:type="spellStart"/>
      <w:r w:rsidRPr="0045764A">
        <w:rPr>
          <w:rFonts w:eastAsia="TimesNewRoman"/>
          <w:szCs w:val="22"/>
          <w:lang w:val="sr-Latn-ME"/>
        </w:rPr>
        <w:t>insuficijencije</w:t>
      </w:r>
      <w:proofErr w:type="spellEnd"/>
      <w:r w:rsidRPr="0045764A">
        <w:rPr>
          <w:rFonts w:eastAsia="TimesNewRoman"/>
          <w:szCs w:val="22"/>
          <w:lang w:val="sr-Latn-ME"/>
        </w:rPr>
        <w:t>. Kontrola</w:t>
      </w:r>
      <w:r w:rsidR="00A543DE" w:rsidRPr="0045764A">
        <w:rPr>
          <w:rFonts w:eastAsia="TimesNewRoman"/>
          <w:szCs w:val="22"/>
          <w:lang w:val="sr-Latn-ME"/>
        </w:rPr>
        <w:t xml:space="preserve"> </w:t>
      </w:r>
      <w:r w:rsidRPr="0045764A">
        <w:rPr>
          <w:rFonts w:eastAsia="TimesNewRoman"/>
          <w:szCs w:val="22"/>
          <w:lang w:val="sr-Latn-ME"/>
        </w:rPr>
        <w:t xml:space="preserve">događaja povezanih sa srčanom </w:t>
      </w:r>
      <w:proofErr w:type="spellStart"/>
      <w:r w:rsidRPr="0045764A">
        <w:rPr>
          <w:rFonts w:eastAsia="TimesNewRoman"/>
          <w:szCs w:val="22"/>
          <w:lang w:val="sr-Latn-ME"/>
        </w:rPr>
        <w:t>insuficijencijom</w:t>
      </w:r>
      <w:proofErr w:type="spellEnd"/>
      <w:r w:rsidRPr="0045764A">
        <w:rPr>
          <w:rFonts w:eastAsia="TimesNewRoman"/>
          <w:szCs w:val="22"/>
          <w:lang w:val="sr-Latn-ME"/>
        </w:rPr>
        <w:t xml:space="preserve"> može da zaht</w:t>
      </w:r>
      <w:r w:rsidR="006C006B" w:rsidRPr="0045764A">
        <w:rPr>
          <w:rFonts w:eastAsia="TimesNewRoman"/>
          <w:szCs w:val="22"/>
          <w:lang w:val="sr-Latn-ME"/>
        </w:rPr>
        <w:t>ij</w:t>
      </w:r>
      <w:r w:rsidRPr="0045764A">
        <w:rPr>
          <w:rFonts w:eastAsia="TimesNewRoman"/>
          <w:szCs w:val="22"/>
          <w:lang w:val="sr-Latn-ME"/>
        </w:rPr>
        <w:t>eva privremeni ili trajni prekid terapije i/ili</w:t>
      </w:r>
      <w:r w:rsidR="001A5107" w:rsidRPr="0045764A">
        <w:rPr>
          <w:rFonts w:eastAsia="TimesNewRoman"/>
          <w:szCs w:val="22"/>
          <w:lang w:val="sr-Latn-ME"/>
        </w:rPr>
        <w:t xml:space="preserve"> </w:t>
      </w:r>
      <w:r w:rsidRPr="0045764A">
        <w:rPr>
          <w:rFonts w:eastAsia="TimesNewRoman"/>
          <w:szCs w:val="22"/>
          <w:lang w:val="sr-Latn-ME"/>
        </w:rPr>
        <w:t xml:space="preserve">smanjenje doze </w:t>
      </w:r>
      <w:proofErr w:type="spellStart"/>
      <w:r w:rsidRPr="0045764A">
        <w:rPr>
          <w:rFonts w:eastAsia="TimesNewRoman"/>
          <w:szCs w:val="22"/>
          <w:lang w:val="sr-Latn-ME"/>
        </w:rPr>
        <w:t>aksitiniba</w:t>
      </w:r>
      <w:proofErr w:type="spellEnd"/>
      <w:r w:rsidRPr="0045764A">
        <w:rPr>
          <w:rFonts w:eastAsia="TimesNewRoman"/>
          <w:szCs w:val="22"/>
          <w:lang w:val="sr-Latn-ME"/>
        </w:rPr>
        <w:t>.</w:t>
      </w:r>
    </w:p>
    <w:p w14:paraId="4D9902EE" w14:textId="186EB408" w:rsidR="002D3108" w:rsidRPr="0045764A" w:rsidRDefault="002D3108" w:rsidP="00C65330">
      <w:pPr>
        <w:rPr>
          <w:rFonts w:eastAsia="TimesNewRoman"/>
          <w:szCs w:val="22"/>
          <w:lang w:val="sr-Latn-ME"/>
        </w:rPr>
      </w:pPr>
    </w:p>
    <w:p w14:paraId="5695B359" w14:textId="77777777" w:rsidR="003778D8" w:rsidRPr="0045764A" w:rsidRDefault="003778D8" w:rsidP="00C65330">
      <w:pPr>
        <w:tabs>
          <w:tab w:val="clear" w:pos="284"/>
        </w:tabs>
        <w:autoSpaceDE w:val="0"/>
        <w:autoSpaceDN w:val="0"/>
        <w:adjustRightInd w:val="0"/>
        <w:rPr>
          <w:iCs/>
          <w:szCs w:val="22"/>
          <w:u w:val="single"/>
          <w:lang w:val="sr-Latn-ME"/>
        </w:rPr>
      </w:pPr>
      <w:r w:rsidRPr="0045764A">
        <w:rPr>
          <w:iCs/>
          <w:szCs w:val="22"/>
          <w:u w:val="single"/>
          <w:lang w:val="sr-Latn-ME"/>
        </w:rPr>
        <w:t>Hipertenzija</w:t>
      </w:r>
    </w:p>
    <w:p w14:paraId="6319F3A8" w14:textId="1EA5545F" w:rsidR="003778D8" w:rsidRPr="0045764A" w:rsidRDefault="003778D8"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U kliničkim ispitivanjima sa </w:t>
      </w:r>
      <w:proofErr w:type="spellStart"/>
      <w:r w:rsidRPr="0045764A">
        <w:rPr>
          <w:rFonts w:eastAsia="TimesNewRoman"/>
          <w:szCs w:val="22"/>
          <w:lang w:val="sr-Latn-ME"/>
        </w:rPr>
        <w:t>aksitinibom</w:t>
      </w:r>
      <w:proofErr w:type="spellEnd"/>
      <w:r w:rsidRPr="0045764A">
        <w:rPr>
          <w:rFonts w:eastAsia="TimesNewRoman"/>
          <w:szCs w:val="22"/>
          <w:lang w:val="sr-Latn-ME"/>
        </w:rPr>
        <w:t xml:space="preserve"> za </w:t>
      </w:r>
      <w:r w:rsidR="00AE0DCD" w:rsidRPr="0045764A">
        <w:rPr>
          <w:rFonts w:eastAsia="TimesNewRoman"/>
          <w:szCs w:val="22"/>
          <w:lang w:val="sr-Latn-ME"/>
        </w:rPr>
        <w:t>liječenj</w:t>
      </w:r>
      <w:r w:rsidRPr="0045764A">
        <w:rPr>
          <w:rFonts w:eastAsia="TimesNewRoman"/>
          <w:szCs w:val="22"/>
          <w:lang w:val="sr-Latn-ME"/>
        </w:rPr>
        <w:t>e pacijenata sa RCC, hipertenzija je prijavljivana veoma</w:t>
      </w:r>
      <w:r w:rsidR="001A5107" w:rsidRPr="0045764A">
        <w:rPr>
          <w:rFonts w:eastAsia="TimesNewRoman"/>
          <w:szCs w:val="22"/>
          <w:lang w:val="sr-Latn-ME"/>
        </w:rPr>
        <w:t xml:space="preserve"> </w:t>
      </w:r>
      <w:r w:rsidRPr="0045764A">
        <w:rPr>
          <w:rFonts w:eastAsia="TimesNewRoman"/>
          <w:szCs w:val="22"/>
          <w:lang w:val="sr-Latn-ME"/>
        </w:rPr>
        <w:t>često (</w:t>
      </w:r>
      <w:r w:rsidR="006F7AEE" w:rsidRPr="0045764A">
        <w:rPr>
          <w:rFonts w:eastAsia="TimesNewRoman"/>
          <w:szCs w:val="22"/>
          <w:lang w:val="sr-Latn-ME"/>
        </w:rPr>
        <w:t>pogledati dio</w:t>
      </w:r>
      <w:r w:rsidRPr="0045764A">
        <w:rPr>
          <w:rFonts w:eastAsia="TimesNewRoman"/>
          <w:szCs w:val="22"/>
          <w:lang w:val="sr-Latn-ME"/>
        </w:rPr>
        <w:t xml:space="preserve"> 4.8).</w:t>
      </w:r>
    </w:p>
    <w:p w14:paraId="7A884A95" w14:textId="77777777" w:rsidR="001A5107" w:rsidRPr="0045764A" w:rsidRDefault="001A5107" w:rsidP="00C65330">
      <w:pPr>
        <w:tabs>
          <w:tab w:val="clear" w:pos="284"/>
        </w:tabs>
        <w:autoSpaceDE w:val="0"/>
        <w:autoSpaceDN w:val="0"/>
        <w:adjustRightInd w:val="0"/>
        <w:rPr>
          <w:rFonts w:eastAsia="TimesNewRoman"/>
          <w:szCs w:val="22"/>
          <w:lang w:val="sr-Latn-ME"/>
        </w:rPr>
      </w:pPr>
    </w:p>
    <w:p w14:paraId="46C076D1" w14:textId="6A8E23FF" w:rsidR="003778D8" w:rsidRPr="0045764A" w:rsidRDefault="003778D8"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U kontrolisanom kliničkom ispitivanju, </w:t>
      </w:r>
      <w:proofErr w:type="spellStart"/>
      <w:r w:rsidRPr="0045764A">
        <w:rPr>
          <w:rFonts w:eastAsia="TimesNewRoman"/>
          <w:szCs w:val="22"/>
          <w:lang w:val="sr-Latn-ME"/>
        </w:rPr>
        <w:t>medijana</w:t>
      </w:r>
      <w:proofErr w:type="spellEnd"/>
      <w:r w:rsidRPr="0045764A">
        <w:rPr>
          <w:rFonts w:eastAsia="TimesNewRoman"/>
          <w:szCs w:val="22"/>
          <w:lang w:val="sr-Latn-ME"/>
        </w:rPr>
        <w:t xml:space="preserve"> </w:t>
      </w:r>
      <w:proofErr w:type="spellStart"/>
      <w:r w:rsidRPr="0045764A">
        <w:rPr>
          <w:rFonts w:eastAsia="TimesNewRoman"/>
          <w:szCs w:val="22"/>
          <w:lang w:val="sr-Latn-ME"/>
        </w:rPr>
        <w:t>vremena</w:t>
      </w:r>
      <w:proofErr w:type="spellEnd"/>
      <w:r w:rsidRPr="0045764A">
        <w:rPr>
          <w:rFonts w:eastAsia="TimesNewRoman"/>
          <w:szCs w:val="22"/>
          <w:lang w:val="sr-Latn-ME"/>
        </w:rPr>
        <w:t xml:space="preserve"> nastupa hipertenzije (</w:t>
      </w:r>
      <w:proofErr w:type="spellStart"/>
      <w:r w:rsidRPr="0045764A">
        <w:rPr>
          <w:rFonts w:eastAsia="TimesNewRoman"/>
          <w:szCs w:val="22"/>
          <w:lang w:val="sr-Latn-ME"/>
        </w:rPr>
        <w:t>sistolni</w:t>
      </w:r>
      <w:proofErr w:type="spellEnd"/>
      <w:r w:rsidRPr="0045764A">
        <w:rPr>
          <w:rFonts w:eastAsia="TimesNewRoman"/>
          <w:szCs w:val="22"/>
          <w:lang w:val="sr-Latn-ME"/>
        </w:rPr>
        <w:t xml:space="preserve"> krvni pritisak &gt;</w:t>
      </w:r>
      <w:r w:rsidR="001A5107" w:rsidRPr="0045764A">
        <w:rPr>
          <w:rFonts w:eastAsia="TimesNewRoman"/>
          <w:szCs w:val="22"/>
          <w:lang w:val="sr-Latn-ME"/>
        </w:rPr>
        <w:t xml:space="preserve"> </w:t>
      </w:r>
      <w:r w:rsidRPr="0045764A">
        <w:rPr>
          <w:rFonts w:eastAsia="TimesNewRoman"/>
          <w:szCs w:val="22"/>
          <w:lang w:val="sr-Latn-ME"/>
        </w:rPr>
        <w:t xml:space="preserve">150 </w:t>
      </w:r>
      <w:proofErr w:type="spellStart"/>
      <w:r w:rsidRPr="0045764A">
        <w:rPr>
          <w:rFonts w:eastAsia="TimesNewRoman"/>
          <w:szCs w:val="22"/>
          <w:lang w:val="sr-Latn-ME"/>
        </w:rPr>
        <w:t>mmHg</w:t>
      </w:r>
      <w:proofErr w:type="spellEnd"/>
      <w:r w:rsidRPr="0045764A">
        <w:rPr>
          <w:rFonts w:eastAsia="TimesNewRoman"/>
          <w:szCs w:val="22"/>
          <w:lang w:val="sr-Latn-ME"/>
        </w:rPr>
        <w:t xml:space="preserve"> ili </w:t>
      </w:r>
      <w:proofErr w:type="spellStart"/>
      <w:r w:rsidRPr="0045764A">
        <w:rPr>
          <w:rFonts w:eastAsia="TimesNewRoman"/>
          <w:szCs w:val="22"/>
          <w:lang w:val="sr-Latn-ME"/>
        </w:rPr>
        <w:t>dijastolni</w:t>
      </w:r>
      <w:proofErr w:type="spellEnd"/>
      <w:r w:rsidRPr="0045764A">
        <w:rPr>
          <w:rFonts w:eastAsia="TimesNewRoman"/>
          <w:szCs w:val="22"/>
          <w:lang w:val="sr-Latn-ME"/>
        </w:rPr>
        <w:t xml:space="preserve"> krvni pritisak &gt; 100 </w:t>
      </w:r>
      <w:proofErr w:type="spellStart"/>
      <w:r w:rsidRPr="0045764A">
        <w:rPr>
          <w:rFonts w:eastAsia="TimesNewRoman"/>
          <w:szCs w:val="22"/>
          <w:lang w:val="sr-Latn-ME"/>
        </w:rPr>
        <w:t>mmHg</w:t>
      </w:r>
      <w:proofErr w:type="spellEnd"/>
      <w:r w:rsidRPr="0045764A">
        <w:rPr>
          <w:rFonts w:eastAsia="TimesNewRoman"/>
          <w:szCs w:val="22"/>
          <w:lang w:val="sr-Latn-ME"/>
        </w:rPr>
        <w:t>) bila je u prvih m</w:t>
      </w:r>
      <w:r w:rsidR="006C006B" w:rsidRPr="0045764A">
        <w:rPr>
          <w:rFonts w:eastAsia="TimesNewRoman"/>
          <w:szCs w:val="22"/>
          <w:lang w:val="sr-Latn-ME"/>
        </w:rPr>
        <w:t>j</w:t>
      </w:r>
      <w:r w:rsidRPr="0045764A">
        <w:rPr>
          <w:rFonts w:eastAsia="TimesNewRoman"/>
          <w:szCs w:val="22"/>
          <w:lang w:val="sr-Latn-ME"/>
        </w:rPr>
        <w:t>esec dana od početka terapije</w:t>
      </w:r>
      <w:r w:rsidR="001A5107" w:rsidRPr="0045764A">
        <w:rPr>
          <w:rFonts w:eastAsia="TimesNewRoman"/>
          <w:szCs w:val="22"/>
          <w:lang w:val="sr-Latn-ME"/>
        </w:rPr>
        <w:t xml:space="preserve"> </w:t>
      </w:r>
      <w:proofErr w:type="spellStart"/>
      <w:r w:rsidRPr="0045764A">
        <w:rPr>
          <w:rFonts w:eastAsia="TimesNewRoman"/>
          <w:szCs w:val="22"/>
          <w:lang w:val="sr-Latn-ME"/>
        </w:rPr>
        <w:t>aksitinibom</w:t>
      </w:r>
      <w:proofErr w:type="spellEnd"/>
      <w:r w:rsidRPr="0045764A">
        <w:rPr>
          <w:rFonts w:eastAsia="TimesNewRoman"/>
          <w:szCs w:val="22"/>
          <w:lang w:val="sr-Latn-ME"/>
        </w:rPr>
        <w:t xml:space="preserve">, a povećanja krvnog pritiska su uočena već 4 dana nakon uvođenja </w:t>
      </w:r>
      <w:proofErr w:type="spellStart"/>
      <w:r w:rsidRPr="0045764A">
        <w:rPr>
          <w:rFonts w:eastAsia="TimesNewRoman"/>
          <w:szCs w:val="22"/>
          <w:lang w:val="sr-Latn-ME"/>
        </w:rPr>
        <w:t>aksitiniba</w:t>
      </w:r>
      <w:proofErr w:type="spellEnd"/>
      <w:r w:rsidRPr="0045764A">
        <w:rPr>
          <w:rFonts w:eastAsia="TimesNewRoman"/>
          <w:szCs w:val="22"/>
          <w:lang w:val="sr-Latn-ME"/>
        </w:rPr>
        <w:t>.</w:t>
      </w:r>
    </w:p>
    <w:p w14:paraId="2F6C4FE9" w14:textId="77777777" w:rsidR="009B579B" w:rsidRPr="0045764A" w:rsidRDefault="009B579B" w:rsidP="00C65330">
      <w:pPr>
        <w:tabs>
          <w:tab w:val="clear" w:pos="284"/>
        </w:tabs>
        <w:autoSpaceDE w:val="0"/>
        <w:autoSpaceDN w:val="0"/>
        <w:adjustRightInd w:val="0"/>
        <w:rPr>
          <w:rFonts w:eastAsia="TimesNewRoman"/>
          <w:szCs w:val="22"/>
          <w:lang w:val="sr-Latn-ME"/>
        </w:rPr>
      </w:pPr>
    </w:p>
    <w:p w14:paraId="5BB25B2B" w14:textId="72E09AB4" w:rsidR="003778D8" w:rsidRPr="0045764A" w:rsidRDefault="003778D8"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Pr</w:t>
      </w:r>
      <w:r w:rsidR="006C006B" w:rsidRPr="0045764A">
        <w:rPr>
          <w:rFonts w:eastAsia="TimesNewRoman"/>
          <w:szCs w:val="22"/>
          <w:lang w:val="sr-Latn-ME"/>
        </w:rPr>
        <w:t>ij</w:t>
      </w:r>
      <w:r w:rsidRPr="0045764A">
        <w:rPr>
          <w:rFonts w:eastAsia="TimesNewRoman"/>
          <w:szCs w:val="22"/>
          <w:lang w:val="sr-Latn-ME"/>
        </w:rPr>
        <w:t xml:space="preserve">e uvođenja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u terapiju potrebno je uspostaviti kontrolu krvnog pritiska. Pacijente treba pratiti </w:t>
      </w:r>
      <w:r w:rsidR="00E461E7" w:rsidRPr="0045764A">
        <w:rPr>
          <w:rFonts w:eastAsia="TimesNewRoman"/>
          <w:szCs w:val="22"/>
          <w:lang w:val="sr-Latn-ME"/>
        </w:rPr>
        <w:t>zbog moguće</w:t>
      </w:r>
      <w:r w:rsidRPr="0045764A">
        <w:rPr>
          <w:rFonts w:eastAsia="TimesNewRoman"/>
          <w:szCs w:val="22"/>
          <w:lang w:val="sr-Latn-ME"/>
        </w:rPr>
        <w:t xml:space="preserve"> hipertenzije i</w:t>
      </w:r>
      <w:r w:rsidR="00E461E7" w:rsidRPr="0045764A">
        <w:rPr>
          <w:rFonts w:eastAsia="TimesNewRoman"/>
          <w:szCs w:val="22"/>
          <w:lang w:val="sr-Latn-ME"/>
        </w:rPr>
        <w:t>,</w:t>
      </w:r>
      <w:r w:rsidRPr="0045764A">
        <w:rPr>
          <w:rFonts w:eastAsia="TimesNewRoman"/>
          <w:szCs w:val="22"/>
          <w:lang w:val="sr-Latn-ME"/>
        </w:rPr>
        <w:t xml:space="preserve"> ako je neophodno</w:t>
      </w:r>
      <w:r w:rsidR="00E461E7" w:rsidRPr="0045764A">
        <w:rPr>
          <w:rFonts w:eastAsia="TimesNewRoman"/>
          <w:szCs w:val="22"/>
          <w:lang w:val="sr-Latn-ME"/>
        </w:rPr>
        <w:t>,</w:t>
      </w:r>
      <w:r w:rsidRPr="0045764A">
        <w:rPr>
          <w:rFonts w:eastAsia="TimesNewRoman"/>
          <w:szCs w:val="22"/>
          <w:lang w:val="sr-Latn-ME"/>
        </w:rPr>
        <w:t xml:space="preserve"> l</w:t>
      </w:r>
      <w:r w:rsidR="006C006B" w:rsidRPr="0045764A">
        <w:rPr>
          <w:rFonts w:eastAsia="TimesNewRoman"/>
          <w:szCs w:val="22"/>
          <w:lang w:val="sr-Latn-ME"/>
        </w:rPr>
        <w:t>ij</w:t>
      </w:r>
      <w:r w:rsidRPr="0045764A">
        <w:rPr>
          <w:rFonts w:eastAsia="TimesNewRoman"/>
          <w:szCs w:val="22"/>
          <w:lang w:val="sr-Latn-ME"/>
        </w:rPr>
        <w:t xml:space="preserve">ečiti standardnom </w:t>
      </w:r>
      <w:proofErr w:type="spellStart"/>
      <w:r w:rsidRPr="0045764A">
        <w:rPr>
          <w:rFonts w:eastAsia="TimesNewRoman"/>
          <w:szCs w:val="22"/>
          <w:lang w:val="sr-Latn-ME"/>
        </w:rPr>
        <w:t>antihipertenzivnom</w:t>
      </w:r>
      <w:proofErr w:type="spellEnd"/>
      <w:r w:rsidRPr="0045764A">
        <w:rPr>
          <w:rFonts w:eastAsia="TimesNewRoman"/>
          <w:szCs w:val="22"/>
          <w:lang w:val="sr-Latn-ME"/>
        </w:rPr>
        <w:t xml:space="preserve"> terapijom. U slučaju</w:t>
      </w:r>
      <w:r w:rsidR="001D16A5" w:rsidRPr="0045764A">
        <w:rPr>
          <w:rFonts w:eastAsia="TimesNewRoman"/>
          <w:szCs w:val="22"/>
          <w:lang w:val="sr-Latn-ME"/>
        </w:rPr>
        <w:t xml:space="preserve"> </w:t>
      </w:r>
      <w:proofErr w:type="spellStart"/>
      <w:r w:rsidRPr="0045764A">
        <w:rPr>
          <w:rFonts w:eastAsia="TimesNewRoman"/>
          <w:szCs w:val="22"/>
          <w:lang w:val="sr-Latn-ME"/>
        </w:rPr>
        <w:t>perzistentne</w:t>
      </w:r>
      <w:proofErr w:type="spellEnd"/>
      <w:r w:rsidRPr="0045764A">
        <w:rPr>
          <w:rFonts w:eastAsia="TimesNewRoman"/>
          <w:szCs w:val="22"/>
          <w:lang w:val="sr-Latn-ME"/>
        </w:rPr>
        <w:t xml:space="preserve"> hipertenzije uprkos korišćenju </w:t>
      </w:r>
      <w:proofErr w:type="spellStart"/>
      <w:r w:rsidRPr="0045764A">
        <w:rPr>
          <w:rFonts w:eastAsia="TimesNewRoman"/>
          <w:szCs w:val="22"/>
          <w:lang w:val="sr-Latn-ME"/>
        </w:rPr>
        <w:t>antihipertenzivnih</w:t>
      </w:r>
      <w:proofErr w:type="spellEnd"/>
      <w:r w:rsidRPr="0045764A">
        <w:rPr>
          <w:rFonts w:eastAsia="TimesNewRoman"/>
          <w:szCs w:val="22"/>
          <w:lang w:val="sr-Latn-ME"/>
        </w:rPr>
        <w:t xml:space="preserve"> </w:t>
      </w:r>
      <w:r w:rsidR="00593BF5" w:rsidRPr="0045764A">
        <w:rPr>
          <w:rFonts w:eastAsia="TimesNewRoman"/>
          <w:szCs w:val="22"/>
          <w:lang w:val="sr-Latn-ME"/>
        </w:rPr>
        <w:t>ljek</w:t>
      </w:r>
      <w:r w:rsidRPr="0045764A">
        <w:rPr>
          <w:rFonts w:eastAsia="TimesNewRoman"/>
          <w:szCs w:val="22"/>
          <w:lang w:val="sr-Latn-ME"/>
        </w:rPr>
        <w:t xml:space="preserve">ova, dozu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treba smanjiti. Kod</w:t>
      </w:r>
      <w:r w:rsidR="001D16A5" w:rsidRPr="0045764A">
        <w:rPr>
          <w:rFonts w:eastAsia="TimesNewRoman"/>
          <w:szCs w:val="22"/>
          <w:lang w:val="sr-Latn-ME"/>
        </w:rPr>
        <w:t xml:space="preserve"> </w:t>
      </w:r>
      <w:r w:rsidRPr="0045764A">
        <w:rPr>
          <w:rFonts w:eastAsia="TimesNewRoman"/>
          <w:szCs w:val="22"/>
          <w:lang w:val="sr-Latn-ME"/>
        </w:rPr>
        <w:t xml:space="preserve">pacijenata kod kojih se javi teška hipertenzija, </w:t>
      </w:r>
      <w:r w:rsidR="008E2492" w:rsidRPr="0045764A">
        <w:rPr>
          <w:rFonts w:eastAsia="TimesNewRoman"/>
          <w:szCs w:val="22"/>
          <w:lang w:val="sr-Latn-ME"/>
        </w:rPr>
        <w:t>primjen</w:t>
      </w:r>
      <w:r w:rsidRPr="0045764A">
        <w:rPr>
          <w:rFonts w:eastAsia="TimesNewRoman"/>
          <w:szCs w:val="22"/>
          <w:lang w:val="sr-Latn-ME"/>
        </w:rPr>
        <w:t xml:space="preserve">u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treba privremeno prekinuti i ponovo početi</w:t>
      </w:r>
      <w:r w:rsidR="001D16A5" w:rsidRPr="0045764A">
        <w:rPr>
          <w:rFonts w:eastAsia="TimesNewRoman"/>
          <w:szCs w:val="22"/>
          <w:lang w:val="sr-Latn-ME"/>
        </w:rPr>
        <w:t xml:space="preserve"> </w:t>
      </w:r>
      <w:r w:rsidRPr="0045764A">
        <w:rPr>
          <w:rFonts w:eastAsia="TimesNewRoman"/>
          <w:szCs w:val="22"/>
          <w:lang w:val="sr-Latn-ME"/>
        </w:rPr>
        <w:t xml:space="preserve">sa manjom dozom kada se postigne </w:t>
      </w:r>
      <w:proofErr w:type="spellStart"/>
      <w:r w:rsidRPr="0045764A">
        <w:rPr>
          <w:rFonts w:eastAsia="TimesNewRoman"/>
          <w:szCs w:val="22"/>
          <w:lang w:val="sr-Latn-ME"/>
        </w:rPr>
        <w:t>normotenzija</w:t>
      </w:r>
      <w:proofErr w:type="spellEnd"/>
      <w:r w:rsidRPr="0045764A">
        <w:rPr>
          <w:rFonts w:eastAsia="TimesNewRoman"/>
          <w:szCs w:val="22"/>
          <w:lang w:val="sr-Latn-ME"/>
        </w:rPr>
        <w:t xml:space="preserve">. U slučaju prekida </w:t>
      </w:r>
      <w:r w:rsidR="008E2492" w:rsidRPr="0045764A">
        <w:rPr>
          <w:rFonts w:eastAsia="TimesNewRoman"/>
          <w:szCs w:val="22"/>
          <w:lang w:val="sr-Latn-ME"/>
        </w:rPr>
        <w:t>primjen</w:t>
      </w:r>
      <w:r w:rsidRPr="0045764A">
        <w:rPr>
          <w:rFonts w:eastAsia="TimesNewRoman"/>
          <w:szCs w:val="22"/>
          <w:lang w:val="sr-Latn-ME"/>
        </w:rPr>
        <w:t xml:space="preserve">e </w:t>
      </w:r>
      <w:proofErr w:type="spellStart"/>
      <w:r w:rsidRPr="0045764A">
        <w:rPr>
          <w:rFonts w:eastAsia="TimesNewRoman"/>
          <w:szCs w:val="22"/>
          <w:lang w:val="sr-Latn-ME"/>
        </w:rPr>
        <w:t>aksitiniba</w:t>
      </w:r>
      <w:proofErr w:type="spellEnd"/>
      <w:r w:rsidR="00C8476E" w:rsidRPr="0045764A">
        <w:rPr>
          <w:rFonts w:eastAsia="TimesNewRoman"/>
          <w:szCs w:val="22"/>
          <w:lang w:val="sr-Latn-ME"/>
        </w:rPr>
        <w:t>,</w:t>
      </w:r>
      <w:r w:rsidRPr="0045764A">
        <w:rPr>
          <w:rFonts w:eastAsia="TimesNewRoman"/>
          <w:szCs w:val="22"/>
          <w:lang w:val="sr-Latn-ME"/>
        </w:rPr>
        <w:t xml:space="preserve"> pacijent</w:t>
      </w:r>
      <w:r w:rsidR="00C8476E" w:rsidRPr="0045764A">
        <w:rPr>
          <w:rFonts w:eastAsia="TimesNewRoman"/>
          <w:szCs w:val="22"/>
          <w:lang w:val="sr-Latn-ME"/>
        </w:rPr>
        <w:t>e</w:t>
      </w:r>
      <w:r w:rsidRPr="0045764A">
        <w:rPr>
          <w:rFonts w:eastAsia="TimesNewRoman"/>
          <w:szCs w:val="22"/>
          <w:lang w:val="sr-Latn-ME"/>
        </w:rPr>
        <w:t xml:space="preserve"> koji</w:t>
      </w:r>
      <w:r w:rsidR="001D16A5" w:rsidRPr="0045764A">
        <w:rPr>
          <w:rFonts w:eastAsia="TimesNewRoman"/>
          <w:szCs w:val="22"/>
          <w:lang w:val="sr-Latn-ME"/>
        </w:rPr>
        <w:t xml:space="preserve"> </w:t>
      </w:r>
      <w:r w:rsidRPr="0045764A">
        <w:rPr>
          <w:rFonts w:eastAsia="TimesNewRoman"/>
          <w:szCs w:val="22"/>
          <w:lang w:val="sr-Latn-ME"/>
        </w:rPr>
        <w:t xml:space="preserve">primaju </w:t>
      </w:r>
      <w:proofErr w:type="spellStart"/>
      <w:r w:rsidRPr="0045764A">
        <w:rPr>
          <w:rFonts w:eastAsia="TimesNewRoman"/>
          <w:szCs w:val="22"/>
          <w:lang w:val="sr-Latn-ME"/>
        </w:rPr>
        <w:t>antihipertenzivnu</w:t>
      </w:r>
      <w:proofErr w:type="spellEnd"/>
      <w:r w:rsidRPr="0045764A">
        <w:rPr>
          <w:rFonts w:eastAsia="TimesNewRoman"/>
          <w:szCs w:val="22"/>
          <w:lang w:val="sr-Latn-ME"/>
        </w:rPr>
        <w:t xml:space="preserve"> terapiju treba pratiti </w:t>
      </w:r>
      <w:r w:rsidR="00C8476E" w:rsidRPr="0045764A">
        <w:rPr>
          <w:rFonts w:eastAsia="TimesNewRoman"/>
          <w:szCs w:val="22"/>
          <w:lang w:val="sr-Latn-ME"/>
        </w:rPr>
        <w:t xml:space="preserve">zbog moguće </w:t>
      </w:r>
      <w:proofErr w:type="spellStart"/>
      <w:r w:rsidRPr="0045764A">
        <w:rPr>
          <w:rFonts w:eastAsia="TimesNewRoman"/>
          <w:szCs w:val="22"/>
          <w:lang w:val="sr-Latn-ME"/>
        </w:rPr>
        <w:t>hipotenzije</w:t>
      </w:r>
      <w:proofErr w:type="spellEnd"/>
      <w:r w:rsidRPr="0045764A">
        <w:rPr>
          <w:rFonts w:eastAsia="TimesNewRoman"/>
          <w:szCs w:val="22"/>
          <w:lang w:val="sr-Latn-ME"/>
        </w:rPr>
        <w:t xml:space="preserve"> (</w:t>
      </w:r>
      <w:r w:rsidR="006F7AEE" w:rsidRPr="0045764A">
        <w:rPr>
          <w:rFonts w:eastAsia="TimesNewRoman"/>
          <w:szCs w:val="22"/>
          <w:lang w:val="sr-Latn-ME"/>
        </w:rPr>
        <w:t>pogledati dio</w:t>
      </w:r>
      <w:r w:rsidRPr="0045764A">
        <w:rPr>
          <w:rFonts w:eastAsia="TimesNewRoman"/>
          <w:szCs w:val="22"/>
          <w:lang w:val="sr-Latn-ME"/>
        </w:rPr>
        <w:t xml:space="preserve"> 4.2).</w:t>
      </w:r>
    </w:p>
    <w:p w14:paraId="2C3A9E95" w14:textId="77777777" w:rsidR="001D16A5" w:rsidRPr="0045764A" w:rsidRDefault="001D16A5" w:rsidP="00C65330">
      <w:pPr>
        <w:tabs>
          <w:tab w:val="clear" w:pos="284"/>
        </w:tabs>
        <w:autoSpaceDE w:val="0"/>
        <w:autoSpaceDN w:val="0"/>
        <w:adjustRightInd w:val="0"/>
        <w:rPr>
          <w:rFonts w:eastAsia="TimesNewRoman"/>
          <w:szCs w:val="22"/>
          <w:lang w:val="sr-Latn-ME"/>
        </w:rPr>
      </w:pPr>
    </w:p>
    <w:p w14:paraId="69FD625B" w14:textId="0FE3DE79" w:rsidR="002D3108" w:rsidRPr="0045764A" w:rsidRDefault="003778D8"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U slučaju teške ili </w:t>
      </w:r>
      <w:proofErr w:type="spellStart"/>
      <w:r w:rsidRPr="0045764A">
        <w:rPr>
          <w:rFonts w:eastAsia="TimesNewRoman"/>
          <w:szCs w:val="22"/>
          <w:lang w:val="sr-Latn-ME"/>
        </w:rPr>
        <w:t>perzistentne</w:t>
      </w:r>
      <w:proofErr w:type="spellEnd"/>
      <w:r w:rsidRPr="0045764A">
        <w:rPr>
          <w:rFonts w:eastAsia="TimesNewRoman"/>
          <w:szCs w:val="22"/>
          <w:lang w:val="sr-Latn-ME"/>
        </w:rPr>
        <w:t xml:space="preserve"> arterijske hipertenzije i simptoma koji ukazuju na pojavu sindroma</w:t>
      </w:r>
      <w:r w:rsidR="001D16A5" w:rsidRPr="0045764A">
        <w:rPr>
          <w:rFonts w:eastAsia="TimesNewRoman"/>
          <w:szCs w:val="22"/>
          <w:lang w:val="sr-Latn-ME"/>
        </w:rPr>
        <w:t xml:space="preserve"> </w:t>
      </w:r>
      <w:r w:rsidRPr="0045764A">
        <w:rPr>
          <w:rFonts w:eastAsia="TimesNewRoman"/>
          <w:szCs w:val="22"/>
          <w:lang w:val="sr-Latn-ME"/>
        </w:rPr>
        <w:t xml:space="preserve">posteriorne </w:t>
      </w:r>
      <w:proofErr w:type="spellStart"/>
      <w:r w:rsidRPr="0045764A">
        <w:rPr>
          <w:rFonts w:eastAsia="TimesNewRoman"/>
          <w:szCs w:val="22"/>
          <w:lang w:val="sr-Latn-ME"/>
        </w:rPr>
        <w:t>reverzibilne</w:t>
      </w:r>
      <w:proofErr w:type="spellEnd"/>
      <w:r w:rsidRPr="0045764A">
        <w:rPr>
          <w:rFonts w:eastAsia="TimesNewRoman"/>
          <w:szCs w:val="22"/>
          <w:lang w:val="sr-Latn-ME"/>
        </w:rPr>
        <w:t xml:space="preserve"> </w:t>
      </w:r>
      <w:proofErr w:type="spellStart"/>
      <w:r w:rsidRPr="0045764A">
        <w:rPr>
          <w:rFonts w:eastAsia="TimesNewRoman"/>
          <w:szCs w:val="22"/>
          <w:lang w:val="sr-Latn-ME"/>
        </w:rPr>
        <w:t>encefalopatije</w:t>
      </w:r>
      <w:proofErr w:type="spellEnd"/>
      <w:r w:rsidRPr="0045764A">
        <w:rPr>
          <w:rFonts w:eastAsia="TimesNewRoman"/>
          <w:szCs w:val="22"/>
          <w:lang w:val="sr-Latn-ME"/>
        </w:rPr>
        <w:t xml:space="preserve"> (</w:t>
      </w:r>
      <w:r w:rsidR="00593BF5" w:rsidRPr="0045764A">
        <w:rPr>
          <w:rFonts w:eastAsia="TimesNewRoman"/>
          <w:szCs w:val="22"/>
          <w:lang w:val="sr-Latn-ME"/>
        </w:rPr>
        <w:t>vidjeti</w:t>
      </w:r>
      <w:r w:rsidRPr="0045764A">
        <w:rPr>
          <w:rFonts w:eastAsia="TimesNewRoman"/>
          <w:szCs w:val="22"/>
          <w:lang w:val="sr-Latn-ME"/>
        </w:rPr>
        <w:t xml:space="preserve"> dalje u tekstu), treba razmotriti dijagnostičk</w:t>
      </w:r>
      <w:r w:rsidR="006C4F3B" w:rsidRPr="0045764A">
        <w:rPr>
          <w:rFonts w:eastAsia="TimesNewRoman"/>
          <w:szCs w:val="22"/>
          <w:lang w:val="sr-Latn-ME"/>
        </w:rPr>
        <w:t>o</w:t>
      </w:r>
      <w:r w:rsidRPr="0045764A">
        <w:rPr>
          <w:rFonts w:eastAsia="TimesNewRoman"/>
          <w:szCs w:val="22"/>
          <w:lang w:val="sr-Latn-ME"/>
        </w:rPr>
        <w:t xml:space="preserve"> </w:t>
      </w:r>
      <w:r w:rsidR="006C4F3B" w:rsidRPr="0045764A">
        <w:rPr>
          <w:rFonts w:eastAsia="TimesNewRoman"/>
          <w:szCs w:val="22"/>
          <w:lang w:val="sr-Latn-ME"/>
        </w:rPr>
        <w:t xml:space="preserve">snimanje mozga </w:t>
      </w:r>
      <w:r w:rsidRPr="0045764A">
        <w:rPr>
          <w:rFonts w:eastAsia="TimesNewRoman"/>
          <w:szCs w:val="22"/>
          <w:lang w:val="sr-Latn-ME"/>
        </w:rPr>
        <w:t>magnetn</w:t>
      </w:r>
      <w:r w:rsidR="006C4F3B" w:rsidRPr="0045764A">
        <w:rPr>
          <w:rFonts w:eastAsia="TimesNewRoman"/>
          <w:szCs w:val="22"/>
          <w:lang w:val="sr-Latn-ME"/>
        </w:rPr>
        <w:t>om</w:t>
      </w:r>
      <w:r w:rsidRPr="0045764A">
        <w:rPr>
          <w:rFonts w:eastAsia="TimesNewRoman"/>
          <w:szCs w:val="22"/>
          <w:lang w:val="sr-Latn-ME"/>
        </w:rPr>
        <w:t xml:space="preserve"> rezonanc</w:t>
      </w:r>
      <w:r w:rsidR="006C4F3B" w:rsidRPr="0045764A">
        <w:rPr>
          <w:rFonts w:eastAsia="TimesNewRoman"/>
          <w:szCs w:val="22"/>
          <w:lang w:val="sr-Latn-ME"/>
        </w:rPr>
        <w:t>om</w:t>
      </w:r>
      <w:r w:rsidRPr="0045764A">
        <w:rPr>
          <w:rFonts w:eastAsia="TimesNewRoman"/>
          <w:szCs w:val="22"/>
          <w:lang w:val="sr-Latn-ME"/>
        </w:rPr>
        <w:t xml:space="preserve"> (engl. </w:t>
      </w:r>
      <w:proofErr w:type="spellStart"/>
      <w:r w:rsidRPr="0045764A">
        <w:rPr>
          <w:i/>
          <w:iCs/>
          <w:szCs w:val="22"/>
          <w:lang w:val="sr-Latn-ME"/>
        </w:rPr>
        <w:t>magnetic</w:t>
      </w:r>
      <w:proofErr w:type="spellEnd"/>
      <w:r w:rsidRPr="0045764A">
        <w:rPr>
          <w:i/>
          <w:iCs/>
          <w:szCs w:val="22"/>
          <w:lang w:val="sr-Latn-ME"/>
        </w:rPr>
        <w:t xml:space="preserve"> </w:t>
      </w:r>
      <w:proofErr w:type="spellStart"/>
      <w:r w:rsidRPr="0045764A">
        <w:rPr>
          <w:i/>
          <w:iCs/>
          <w:szCs w:val="22"/>
          <w:lang w:val="sr-Latn-ME"/>
        </w:rPr>
        <w:t>resonance</w:t>
      </w:r>
      <w:proofErr w:type="spellEnd"/>
      <w:r w:rsidRPr="0045764A">
        <w:rPr>
          <w:i/>
          <w:iCs/>
          <w:szCs w:val="22"/>
          <w:lang w:val="sr-Latn-ME"/>
        </w:rPr>
        <w:t xml:space="preserve"> </w:t>
      </w:r>
      <w:proofErr w:type="spellStart"/>
      <w:r w:rsidRPr="0045764A">
        <w:rPr>
          <w:i/>
          <w:iCs/>
          <w:szCs w:val="22"/>
          <w:lang w:val="sr-Latn-ME"/>
        </w:rPr>
        <w:t>image</w:t>
      </w:r>
      <w:proofErr w:type="spellEnd"/>
      <w:r w:rsidRPr="0045764A">
        <w:rPr>
          <w:i/>
          <w:iCs/>
          <w:szCs w:val="22"/>
          <w:lang w:val="sr-Latn-ME"/>
        </w:rPr>
        <w:t xml:space="preserve">, </w:t>
      </w:r>
      <w:r w:rsidRPr="0045764A">
        <w:rPr>
          <w:rFonts w:eastAsia="TimesNewRoman"/>
          <w:szCs w:val="22"/>
          <w:lang w:val="sr-Latn-ME"/>
        </w:rPr>
        <w:t>MRI).</w:t>
      </w:r>
    </w:p>
    <w:p w14:paraId="3CE4BA79" w14:textId="2DD279DE" w:rsidR="003778D8" w:rsidRPr="0045764A" w:rsidRDefault="003778D8" w:rsidP="00C65330">
      <w:pPr>
        <w:rPr>
          <w:rFonts w:eastAsia="TimesNewRoman"/>
          <w:szCs w:val="22"/>
          <w:lang w:val="sr-Latn-ME"/>
        </w:rPr>
      </w:pPr>
    </w:p>
    <w:p w14:paraId="3F87F2DD" w14:textId="77777777" w:rsidR="00AD3C55" w:rsidRPr="0045764A" w:rsidRDefault="00AD3C55" w:rsidP="00C65330">
      <w:pPr>
        <w:tabs>
          <w:tab w:val="clear" w:pos="284"/>
        </w:tabs>
        <w:autoSpaceDE w:val="0"/>
        <w:autoSpaceDN w:val="0"/>
        <w:adjustRightInd w:val="0"/>
        <w:rPr>
          <w:iCs/>
          <w:szCs w:val="22"/>
          <w:u w:val="single"/>
          <w:lang w:val="sr-Latn-ME"/>
        </w:rPr>
      </w:pPr>
      <w:proofErr w:type="spellStart"/>
      <w:r w:rsidRPr="0045764A">
        <w:rPr>
          <w:iCs/>
          <w:szCs w:val="22"/>
          <w:u w:val="single"/>
          <w:lang w:val="sr-Latn-ME"/>
        </w:rPr>
        <w:t>Tireoidna</w:t>
      </w:r>
      <w:proofErr w:type="spellEnd"/>
      <w:r w:rsidRPr="0045764A">
        <w:rPr>
          <w:iCs/>
          <w:szCs w:val="22"/>
          <w:u w:val="single"/>
          <w:lang w:val="sr-Latn-ME"/>
        </w:rPr>
        <w:t xml:space="preserve"> </w:t>
      </w:r>
      <w:proofErr w:type="spellStart"/>
      <w:r w:rsidRPr="0045764A">
        <w:rPr>
          <w:iCs/>
          <w:szCs w:val="22"/>
          <w:u w:val="single"/>
          <w:lang w:val="sr-Latn-ME"/>
        </w:rPr>
        <w:t>disfunkcija</w:t>
      </w:r>
      <w:proofErr w:type="spellEnd"/>
    </w:p>
    <w:p w14:paraId="188073E1" w14:textId="0078A21D" w:rsidR="00AD3C55" w:rsidRPr="0045764A" w:rsidRDefault="00AD3C55"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U kliničkim ispitivanjima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za </w:t>
      </w:r>
      <w:r w:rsidR="00AE0DCD" w:rsidRPr="0045764A">
        <w:rPr>
          <w:rFonts w:eastAsia="TimesNewRoman"/>
          <w:szCs w:val="22"/>
          <w:lang w:val="sr-Latn-ME"/>
        </w:rPr>
        <w:t>liječenj</w:t>
      </w:r>
      <w:r w:rsidRPr="0045764A">
        <w:rPr>
          <w:rFonts w:eastAsia="TimesNewRoman"/>
          <w:szCs w:val="22"/>
          <w:lang w:val="sr-Latn-ME"/>
        </w:rPr>
        <w:t xml:space="preserve">e pacijenata sa RCC, prijavljena je pojava </w:t>
      </w:r>
      <w:proofErr w:type="spellStart"/>
      <w:r w:rsidRPr="0045764A">
        <w:rPr>
          <w:rFonts w:eastAsia="TimesNewRoman"/>
          <w:szCs w:val="22"/>
          <w:lang w:val="sr-Latn-ME"/>
        </w:rPr>
        <w:t>hipotireoidizma</w:t>
      </w:r>
      <w:proofErr w:type="spellEnd"/>
      <w:r w:rsidRPr="0045764A">
        <w:rPr>
          <w:rFonts w:eastAsia="TimesNewRoman"/>
          <w:szCs w:val="22"/>
          <w:lang w:val="sr-Latn-ME"/>
        </w:rPr>
        <w:t xml:space="preserve"> i, u</w:t>
      </w:r>
      <w:r w:rsidR="00D80BD8" w:rsidRPr="0045764A">
        <w:rPr>
          <w:rFonts w:eastAsia="TimesNewRoman"/>
          <w:szCs w:val="22"/>
          <w:lang w:val="sr-Latn-ME"/>
        </w:rPr>
        <w:t xml:space="preserve"> </w:t>
      </w:r>
      <w:r w:rsidRPr="0045764A">
        <w:rPr>
          <w:rFonts w:eastAsia="TimesNewRoman"/>
          <w:szCs w:val="22"/>
          <w:lang w:val="sr-Latn-ME"/>
        </w:rPr>
        <w:t>manjoj m</w:t>
      </w:r>
      <w:r w:rsidR="006C006B" w:rsidRPr="0045764A">
        <w:rPr>
          <w:rFonts w:eastAsia="TimesNewRoman"/>
          <w:szCs w:val="22"/>
          <w:lang w:val="sr-Latn-ME"/>
        </w:rPr>
        <w:t>j</w:t>
      </w:r>
      <w:r w:rsidRPr="0045764A">
        <w:rPr>
          <w:rFonts w:eastAsia="TimesNewRoman"/>
          <w:szCs w:val="22"/>
          <w:lang w:val="sr-Latn-ME"/>
        </w:rPr>
        <w:t xml:space="preserve">eri, </w:t>
      </w:r>
      <w:proofErr w:type="spellStart"/>
      <w:r w:rsidRPr="0045764A">
        <w:rPr>
          <w:rFonts w:eastAsia="TimesNewRoman"/>
          <w:szCs w:val="22"/>
          <w:lang w:val="sr-Latn-ME"/>
        </w:rPr>
        <w:t>hipertireoidizma</w:t>
      </w:r>
      <w:proofErr w:type="spellEnd"/>
      <w:r w:rsidRPr="0045764A">
        <w:rPr>
          <w:rFonts w:eastAsia="TimesNewRoman"/>
          <w:szCs w:val="22"/>
          <w:lang w:val="sr-Latn-ME"/>
        </w:rPr>
        <w:t xml:space="preserve"> (</w:t>
      </w:r>
      <w:r w:rsidR="006F7AEE" w:rsidRPr="0045764A">
        <w:rPr>
          <w:rFonts w:eastAsia="TimesNewRoman"/>
          <w:szCs w:val="22"/>
          <w:lang w:val="sr-Latn-ME"/>
        </w:rPr>
        <w:t>pogledati dio</w:t>
      </w:r>
      <w:r w:rsidRPr="0045764A">
        <w:rPr>
          <w:rFonts w:eastAsia="TimesNewRoman"/>
          <w:szCs w:val="22"/>
          <w:lang w:val="sr-Latn-ME"/>
        </w:rPr>
        <w:t xml:space="preserve"> 4.8).</w:t>
      </w:r>
    </w:p>
    <w:p w14:paraId="608A4434" w14:textId="77777777" w:rsidR="00D80BD8" w:rsidRPr="0045764A" w:rsidRDefault="00D80BD8" w:rsidP="00C65330">
      <w:pPr>
        <w:tabs>
          <w:tab w:val="clear" w:pos="284"/>
        </w:tabs>
        <w:autoSpaceDE w:val="0"/>
        <w:autoSpaceDN w:val="0"/>
        <w:adjustRightInd w:val="0"/>
        <w:rPr>
          <w:rFonts w:eastAsia="TimesNewRoman"/>
          <w:szCs w:val="22"/>
          <w:lang w:val="sr-Latn-ME"/>
        </w:rPr>
      </w:pPr>
    </w:p>
    <w:p w14:paraId="232A9CE9" w14:textId="07A33F08" w:rsidR="00D80BD8" w:rsidRPr="0045764A" w:rsidRDefault="00AD3C55" w:rsidP="00C65330">
      <w:pPr>
        <w:tabs>
          <w:tab w:val="clear" w:pos="284"/>
        </w:tabs>
        <w:autoSpaceDE w:val="0"/>
        <w:autoSpaceDN w:val="0"/>
        <w:adjustRightInd w:val="0"/>
        <w:rPr>
          <w:rFonts w:eastAsia="TimesNewRoman"/>
          <w:szCs w:val="22"/>
          <w:lang w:val="sr-Latn-ME"/>
        </w:rPr>
      </w:pPr>
      <w:proofErr w:type="spellStart"/>
      <w:r w:rsidRPr="0045764A">
        <w:rPr>
          <w:rFonts w:eastAsia="TimesNewRoman"/>
          <w:szCs w:val="22"/>
          <w:lang w:val="sr-Latn-ME"/>
        </w:rPr>
        <w:t>Tireoidnu</w:t>
      </w:r>
      <w:proofErr w:type="spellEnd"/>
      <w:r w:rsidRPr="0045764A">
        <w:rPr>
          <w:rFonts w:eastAsia="TimesNewRoman"/>
          <w:szCs w:val="22"/>
          <w:lang w:val="sr-Latn-ME"/>
        </w:rPr>
        <w:t xml:space="preserve"> funkciju bi trebalo pratiti pr</w:t>
      </w:r>
      <w:r w:rsidR="006C006B" w:rsidRPr="0045764A">
        <w:rPr>
          <w:rFonts w:eastAsia="TimesNewRoman"/>
          <w:szCs w:val="22"/>
          <w:lang w:val="sr-Latn-ME"/>
        </w:rPr>
        <w:t>ij</w:t>
      </w:r>
      <w:r w:rsidRPr="0045764A">
        <w:rPr>
          <w:rFonts w:eastAsia="TimesNewRoman"/>
          <w:szCs w:val="22"/>
          <w:lang w:val="sr-Latn-ME"/>
        </w:rPr>
        <w:t>e započinjanja i povremeno tokom te</w:t>
      </w:r>
      <w:r w:rsidR="00EC7D5D" w:rsidRPr="0045764A">
        <w:rPr>
          <w:rFonts w:eastAsia="TimesNewRoman"/>
          <w:szCs w:val="22"/>
          <w:lang w:val="sr-Latn-ME"/>
        </w:rPr>
        <w:t>r</w:t>
      </w:r>
      <w:r w:rsidRPr="0045764A">
        <w:rPr>
          <w:rFonts w:eastAsia="TimesNewRoman"/>
          <w:szCs w:val="22"/>
          <w:lang w:val="sr-Latn-ME"/>
        </w:rPr>
        <w:t>a</w:t>
      </w:r>
      <w:r w:rsidR="00EC7D5D" w:rsidRPr="0045764A">
        <w:rPr>
          <w:rFonts w:eastAsia="TimesNewRoman"/>
          <w:szCs w:val="22"/>
          <w:lang w:val="sr-Latn-ME"/>
        </w:rPr>
        <w:t>p</w:t>
      </w:r>
      <w:r w:rsidRPr="0045764A">
        <w:rPr>
          <w:rFonts w:eastAsia="TimesNewRoman"/>
          <w:szCs w:val="22"/>
          <w:lang w:val="sr-Latn-ME"/>
        </w:rPr>
        <w:t xml:space="preserve">ije </w:t>
      </w:r>
      <w:proofErr w:type="spellStart"/>
      <w:r w:rsidRPr="0045764A">
        <w:rPr>
          <w:rFonts w:eastAsia="TimesNewRoman"/>
          <w:szCs w:val="22"/>
          <w:lang w:val="sr-Latn-ME"/>
        </w:rPr>
        <w:t>aksitinibom</w:t>
      </w:r>
      <w:proofErr w:type="spellEnd"/>
      <w:r w:rsidRPr="0045764A">
        <w:rPr>
          <w:rFonts w:eastAsia="TimesNewRoman"/>
          <w:szCs w:val="22"/>
          <w:lang w:val="sr-Latn-ME"/>
        </w:rPr>
        <w:t>.</w:t>
      </w:r>
    </w:p>
    <w:p w14:paraId="7E99FF2E" w14:textId="5D8606A0" w:rsidR="003778D8" w:rsidRPr="0045764A" w:rsidRDefault="00AD3C55" w:rsidP="006C006B">
      <w:pPr>
        <w:tabs>
          <w:tab w:val="clear" w:pos="284"/>
        </w:tabs>
        <w:autoSpaceDE w:val="0"/>
        <w:autoSpaceDN w:val="0"/>
        <w:adjustRightInd w:val="0"/>
        <w:rPr>
          <w:rFonts w:eastAsia="TimesNewRoman"/>
          <w:szCs w:val="22"/>
          <w:lang w:val="sr-Latn-ME"/>
        </w:rPr>
      </w:pPr>
      <w:proofErr w:type="spellStart"/>
      <w:r w:rsidRPr="0045764A">
        <w:rPr>
          <w:rFonts w:eastAsia="TimesNewRoman"/>
          <w:szCs w:val="22"/>
          <w:lang w:val="sr-Latn-ME"/>
        </w:rPr>
        <w:t>Hipotireoidizam</w:t>
      </w:r>
      <w:proofErr w:type="spellEnd"/>
      <w:r w:rsidRPr="0045764A">
        <w:rPr>
          <w:rFonts w:eastAsia="TimesNewRoman"/>
          <w:szCs w:val="22"/>
          <w:lang w:val="sr-Latn-ME"/>
        </w:rPr>
        <w:t xml:space="preserve"> ili </w:t>
      </w:r>
      <w:proofErr w:type="spellStart"/>
      <w:r w:rsidRPr="0045764A">
        <w:rPr>
          <w:rFonts w:eastAsia="TimesNewRoman"/>
          <w:szCs w:val="22"/>
          <w:lang w:val="sr-Latn-ME"/>
        </w:rPr>
        <w:t>hipertireoidizam</w:t>
      </w:r>
      <w:proofErr w:type="spellEnd"/>
      <w:r w:rsidRPr="0045764A">
        <w:rPr>
          <w:rFonts w:eastAsia="TimesNewRoman"/>
          <w:szCs w:val="22"/>
          <w:lang w:val="sr-Latn-ME"/>
        </w:rPr>
        <w:t xml:space="preserve"> treba l</w:t>
      </w:r>
      <w:r w:rsidR="006C006B" w:rsidRPr="0045764A">
        <w:rPr>
          <w:rFonts w:eastAsia="TimesNewRoman"/>
          <w:szCs w:val="22"/>
          <w:lang w:val="sr-Latn-ME"/>
        </w:rPr>
        <w:t>ij</w:t>
      </w:r>
      <w:r w:rsidRPr="0045764A">
        <w:rPr>
          <w:rFonts w:eastAsia="TimesNewRoman"/>
          <w:szCs w:val="22"/>
          <w:lang w:val="sr-Latn-ME"/>
        </w:rPr>
        <w:t>ečiti u skladu sa standardnom medicinskom praksom da bi se</w:t>
      </w:r>
      <w:r w:rsidR="006C006B" w:rsidRPr="0045764A">
        <w:rPr>
          <w:rFonts w:eastAsia="TimesNewRoman"/>
          <w:szCs w:val="22"/>
          <w:lang w:val="sr-Latn-ME"/>
        </w:rPr>
        <w:t xml:space="preserve"> </w:t>
      </w:r>
      <w:r w:rsidRPr="0045764A">
        <w:rPr>
          <w:rFonts w:eastAsia="TimesNewRoman"/>
          <w:szCs w:val="22"/>
          <w:lang w:val="sr-Latn-ME"/>
        </w:rPr>
        <w:t xml:space="preserve">održalo </w:t>
      </w:r>
      <w:proofErr w:type="spellStart"/>
      <w:r w:rsidRPr="0045764A">
        <w:rPr>
          <w:rFonts w:eastAsia="TimesNewRoman"/>
          <w:szCs w:val="22"/>
          <w:lang w:val="sr-Latn-ME"/>
        </w:rPr>
        <w:t>eutireoidno</w:t>
      </w:r>
      <w:proofErr w:type="spellEnd"/>
      <w:r w:rsidRPr="0045764A">
        <w:rPr>
          <w:rFonts w:eastAsia="TimesNewRoman"/>
          <w:szCs w:val="22"/>
          <w:lang w:val="sr-Latn-ME"/>
        </w:rPr>
        <w:t xml:space="preserve"> stanje.</w:t>
      </w:r>
    </w:p>
    <w:p w14:paraId="0D4D994F" w14:textId="74FF192E" w:rsidR="00AD3C55" w:rsidRPr="0045764A" w:rsidRDefault="00AD3C55" w:rsidP="00C65330">
      <w:pPr>
        <w:rPr>
          <w:rFonts w:eastAsia="TimesNewRoman"/>
          <w:szCs w:val="22"/>
          <w:lang w:val="sr-Latn-ME"/>
        </w:rPr>
      </w:pPr>
    </w:p>
    <w:p w14:paraId="56F460AF" w14:textId="77777777" w:rsidR="00281B09" w:rsidRPr="0045764A" w:rsidRDefault="00281B09" w:rsidP="00C65330">
      <w:pPr>
        <w:tabs>
          <w:tab w:val="clear" w:pos="284"/>
        </w:tabs>
        <w:autoSpaceDE w:val="0"/>
        <w:autoSpaceDN w:val="0"/>
        <w:adjustRightInd w:val="0"/>
        <w:rPr>
          <w:iCs/>
          <w:szCs w:val="22"/>
          <w:u w:val="single"/>
          <w:lang w:val="sr-Latn-ME"/>
        </w:rPr>
      </w:pPr>
      <w:r w:rsidRPr="0045764A">
        <w:rPr>
          <w:iCs/>
          <w:szCs w:val="22"/>
          <w:u w:val="single"/>
          <w:lang w:val="sr-Latn-ME"/>
        </w:rPr>
        <w:t xml:space="preserve">Arterijski embolijski i </w:t>
      </w:r>
      <w:proofErr w:type="spellStart"/>
      <w:r w:rsidRPr="0045764A">
        <w:rPr>
          <w:iCs/>
          <w:szCs w:val="22"/>
          <w:u w:val="single"/>
          <w:lang w:val="sr-Latn-ME"/>
        </w:rPr>
        <w:t>trombotični</w:t>
      </w:r>
      <w:proofErr w:type="spellEnd"/>
      <w:r w:rsidRPr="0045764A">
        <w:rPr>
          <w:iCs/>
          <w:szCs w:val="22"/>
          <w:u w:val="single"/>
          <w:lang w:val="sr-Latn-ME"/>
        </w:rPr>
        <w:t xml:space="preserve"> događaji</w:t>
      </w:r>
    </w:p>
    <w:p w14:paraId="0B824102" w14:textId="7D235766" w:rsidR="00281B09" w:rsidRPr="0045764A" w:rsidRDefault="00281B09"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U kliničkim ispitivanjima sa </w:t>
      </w:r>
      <w:proofErr w:type="spellStart"/>
      <w:r w:rsidRPr="0045764A">
        <w:rPr>
          <w:rFonts w:eastAsia="TimesNewRoman"/>
          <w:szCs w:val="22"/>
          <w:lang w:val="sr-Latn-ME"/>
        </w:rPr>
        <w:t>aksitinibom</w:t>
      </w:r>
      <w:proofErr w:type="spellEnd"/>
      <w:r w:rsidRPr="0045764A">
        <w:rPr>
          <w:rFonts w:eastAsia="TimesNewRoman"/>
          <w:szCs w:val="22"/>
          <w:lang w:val="sr-Latn-ME"/>
        </w:rPr>
        <w:t xml:space="preserve">, prijavljeni su arterijski embolijski i </w:t>
      </w:r>
      <w:proofErr w:type="spellStart"/>
      <w:r w:rsidRPr="0045764A">
        <w:rPr>
          <w:rFonts w:eastAsia="TimesNewRoman"/>
          <w:szCs w:val="22"/>
          <w:lang w:val="sr-Latn-ME"/>
        </w:rPr>
        <w:t>trombotični</w:t>
      </w:r>
      <w:proofErr w:type="spellEnd"/>
      <w:r w:rsidRPr="0045764A">
        <w:rPr>
          <w:rFonts w:eastAsia="TimesNewRoman"/>
          <w:szCs w:val="22"/>
          <w:lang w:val="sr-Latn-ME"/>
        </w:rPr>
        <w:t xml:space="preserve"> događaji</w:t>
      </w:r>
      <w:r w:rsidR="00D80BD8" w:rsidRPr="0045764A">
        <w:rPr>
          <w:rFonts w:eastAsia="TimesNewRoman"/>
          <w:szCs w:val="22"/>
          <w:lang w:val="sr-Latn-ME"/>
        </w:rPr>
        <w:t xml:space="preserve"> </w:t>
      </w:r>
      <w:r w:rsidRPr="0045764A">
        <w:rPr>
          <w:rFonts w:eastAsia="TimesNewRoman"/>
          <w:szCs w:val="22"/>
          <w:lang w:val="sr-Latn-ME"/>
        </w:rPr>
        <w:t xml:space="preserve">(uključujući tranzitorni </w:t>
      </w:r>
      <w:proofErr w:type="spellStart"/>
      <w:r w:rsidRPr="0045764A">
        <w:rPr>
          <w:rFonts w:eastAsia="TimesNewRoman"/>
          <w:szCs w:val="22"/>
          <w:lang w:val="sr-Latn-ME"/>
        </w:rPr>
        <w:t>ishemijski</w:t>
      </w:r>
      <w:proofErr w:type="spellEnd"/>
      <w:r w:rsidRPr="0045764A">
        <w:rPr>
          <w:rFonts w:eastAsia="TimesNewRoman"/>
          <w:szCs w:val="22"/>
          <w:lang w:val="sr-Latn-ME"/>
        </w:rPr>
        <w:t xml:space="preserve"> napad, infarkt </w:t>
      </w:r>
      <w:proofErr w:type="spellStart"/>
      <w:r w:rsidRPr="0045764A">
        <w:rPr>
          <w:rFonts w:eastAsia="TimesNewRoman"/>
          <w:szCs w:val="22"/>
          <w:lang w:val="sr-Latn-ME"/>
        </w:rPr>
        <w:t>miokarda</w:t>
      </w:r>
      <w:proofErr w:type="spellEnd"/>
      <w:r w:rsidRPr="0045764A">
        <w:rPr>
          <w:rFonts w:eastAsia="TimesNewRoman"/>
          <w:szCs w:val="22"/>
          <w:lang w:val="sr-Latn-ME"/>
        </w:rPr>
        <w:t xml:space="preserve">, </w:t>
      </w:r>
      <w:proofErr w:type="spellStart"/>
      <w:r w:rsidRPr="0045764A">
        <w:rPr>
          <w:rFonts w:eastAsia="TimesNewRoman"/>
          <w:szCs w:val="22"/>
          <w:lang w:val="sr-Latn-ME"/>
        </w:rPr>
        <w:t>cerebrovaskularni</w:t>
      </w:r>
      <w:proofErr w:type="spellEnd"/>
      <w:r w:rsidRPr="0045764A">
        <w:rPr>
          <w:rFonts w:eastAsia="TimesNewRoman"/>
          <w:szCs w:val="22"/>
          <w:lang w:val="sr-Latn-ME"/>
        </w:rPr>
        <w:t xml:space="preserve"> </w:t>
      </w:r>
      <w:proofErr w:type="spellStart"/>
      <w:r w:rsidRPr="0045764A">
        <w:rPr>
          <w:rFonts w:eastAsia="TimesNewRoman"/>
          <w:szCs w:val="22"/>
          <w:lang w:val="sr-Latn-ME"/>
        </w:rPr>
        <w:t>insult</w:t>
      </w:r>
      <w:proofErr w:type="spellEnd"/>
      <w:r w:rsidRPr="0045764A">
        <w:rPr>
          <w:rFonts w:eastAsia="TimesNewRoman"/>
          <w:szCs w:val="22"/>
          <w:lang w:val="sr-Latn-ME"/>
        </w:rPr>
        <w:t xml:space="preserve"> i </w:t>
      </w:r>
      <w:proofErr w:type="spellStart"/>
      <w:r w:rsidRPr="0045764A">
        <w:rPr>
          <w:rFonts w:eastAsia="TimesNewRoman"/>
          <w:szCs w:val="22"/>
          <w:lang w:val="sr-Latn-ME"/>
        </w:rPr>
        <w:t>okluziju</w:t>
      </w:r>
      <w:proofErr w:type="spellEnd"/>
      <w:r w:rsidRPr="0045764A">
        <w:rPr>
          <w:rFonts w:eastAsia="TimesNewRoman"/>
          <w:szCs w:val="22"/>
          <w:lang w:val="sr-Latn-ME"/>
        </w:rPr>
        <w:t xml:space="preserve"> </w:t>
      </w:r>
      <w:proofErr w:type="spellStart"/>
      <w:r w:rsidRPr="0045764A">
        <w:rPr>
          <w:rFonts w:eastAsia="TimesNewRoman"/>
          <w:szCs w:val="22"/>
          <w:lang w:val="sr-Latn-ME"/>
        </w:rPr>
        <w:t>retinalne</w:t>
      </w:r>
      <w:proofErr w:type="spellEnd"/>
      <w:r w:rsidR="00D80BD8" w:rsidRPr="0045764A">
        <w:rPr>
          <w:rFonts w:eastAsia="TimesNewRoman"/>
          <w:szCs w:val="22"/>
          <w:lang w:val="sr-Latn-ME"/>
        </w:rPr>
        <w:t xml:space="preserve"> </w:t>
      </w:r>
      <w:r w:rsidRPr="0045764A">
        <w:rPr>
          <w:rFonts w:eastAsia="TimesNewRoman"/>
          <w:szCs w:val="22"/>
          <w:lang w:val="sr-Latn-ME"/>
        </w:rPr>
        <w:t>arterije) (</w:t>
      </w:r>
      <w:r w:rsidR="006F7AEE" w:rsidRPr="0045764A">
        <w:rPr>
          <w:rFonts w:eastAsia="TimesNewRoman"/>
          <w:szCs w:val="22"/>
          <w:lang w:val="sr-Latn-ME"/>
        </w:rPr>
        <w:t>pogledati dio</w:t>
      </w:r>
      <w:r w:rsidRPr="0045764A">
        <w:rPr>
          <w:rFonts w:eastAsia="TimesNewRoman"/>
          <w:szCs w:val="22"/>
          <w:lang w:val="sr-Latn-ME"/>
        </w:rPr>
        <w:t xml:space="preserve"> 4.8).</w:t>
      </w:r>
    </w:p>
    <w:p w14:paraId="76E8AE12" w14:textId="77777777" w:rsidR="00C8476E" w:rsidRPr="0045764A" w:rsidRDefault="00C8476E" w:rsidP="00C65330">
      <w:pPr>
        <w:tabs>
          <w:tab w:val="clear" w:pos="284"/>
        </w:tabs>
        <w:autoSpaceDE w:val="0"/>
        <w:autoSpaceDN w:val="0"/>
        <w:adjustRightInd w:val="0"/>
        <w:rPr>
          <w:rFonts w:eastAsia="TimesNewRoman"/>
          <w:szCs w:val="22"/>
          <w:lang w:val="sr-Latn-ME"/>
        </w:rPr>
      </w:pPr>
    </w:p>
    <w:p w14:paraId="7975DD5D" w14:textId="33DA822D" w:rsidR="00AD3C55" w:rsidRPr="0045764A" w:rsidRDefault="00281B09" w:rsidP="00C65330">
      <w:pPr>
        <w:tabs>
          <w:tab w:val="clear" w:pos="284"/>
        </w:tabs>
        <w:autoSpaceDE w:val="0"/>
        <w:autoSpaceDN w:val="0"/>
        <w:adjustRightInd w:val="0"/>
        <w:rPr>
          <w:rFonts w:eastAsia="TimesNewRoman"/>
          <w:szCs w:val="22"/>
          <w:lang w:val="sr-Latn-ME"/>
        </w:rPr>
      </w:pPr>
      <w:proofErr w:type="spellStart"/>
      <w:r w:rsidRPr="0045764A">
        <w:rPr>
          <w:rFonts w:eastAsia="TimesNewRoman"/>
          <w:szCs w:val="22"/>
          <w:lang w:val="sr-Latn-ME"/>
        </w:rPr>
        <w:t>Aksitinib</w:t>
      </w:r>
      <w:proofErr w:type="spellEnd"/>
      <w:r w:rsidRPr="0045764A">
        <w:rPr>
          <w:rFonts w:eastAsia="TimesNewRoman"/>
          <w:szCs w:val="22"/>
          <w:lang w:val="sr-Latn-ME"/>
        </w:rPr>
        <w:t xml:space="preserve"> treba koristiti sa oprezom kod pacijenata sa rizikom </w:t>
      </w:r>
      <w:r w:rsidR="00B56C8B" w:rsidRPr="0045764A">
        <w:rPr>
          <w:rFonts w:eastAsia="TimesNewRoman"/>
          <w:szCs w:val="22"/>
          <w:lang w:val="sr-Latn-ME"/>
        </w:rPr>
        <w:t xml:space="preserve">od pojave ovih događaja </w:t>
      </w:r>
      <w:r w:rsidRPr="0045764A">
        <w:rPr>
          <w:rFonts w:eastAsia="TimesNewRoman"/>
          <w:szCs w:val="22"/>
          <w:lang w:val="sr-Latn-ME"/>
        </w:rPr>
        <w:t>i kod pacijenata sa ovim događajima u</w:t>
      </w:r>
      <w:r w:rsidR="005376A1" w:rsidRPr="0045764A">
        <w:rPr>
          <w:rFonts w:eastAsia="TimesNewRoman"/>
          <w:szCs w:val="22"/>
          <w:lang w:val="sr-Latn-ME"/>
        </w:rPr>
        <w:t xml:space="preserve"> </w:t>
      </w:r>
      <w:r w:rsidRPr="0045764A">
        <w:rPr>
          <w:rFonts w:eastAsia="TimesNewRoman"/>
          <w:szCs w:val="22"/>
          <w:lang w:val="sr-Latn-ME"/>
        </w:rPr>
        <w:t xml:space="preserve">anamnezi. </w:t>
      </w:r>
      <w:proofErr w:type="spellStart"/>
      <w:r w:rsidRPr="0045764A">
        <w:rPr>
          <w:rFonts w:eastAsia="TimesNewRoman"/>
          <w:szCs w:val="22"/>
          <w:lang w:val="sr-Latn-ME"/>
        </w:rPr>
        <w:t>Aksitinib</w:t>
      </w:r>
      <w:proofErr w:type="spellEnd"/>
      <w:r w:rsidRPr="0045764A">
        <w:rPr>
          <w:rFonts w:eastAsia="TimesNewRoman"/>
          <w:szCs w:val="22"/>
          <w:lang w:val="sr-Latn-ME"/>
        </w:rPr>
        <w:t xml:space="preserve"> nije ispitivan kod pacijenata koji su imali arterijski embolijski ili </w:t>
      </w:r>
      <w:proofErr w:type="spellStart"/>
      <w:r w:rsidRPr="0045764A">
        <w:rPr>
          <w:rFonts w:eastAsia="TimesNewRoman"/>
          <w:szCs w:val="22"/>
          <w:lang w:val="sr-Latn-ME"/>
        </w:rPr>
        <w:t>trombotični</w:t>
      </w:r>
      <w:proofErr w:type="spellEnd"/>
      <w:r w:rsidRPr="0045764A">
        <w:rPr>
          <w:rFonts w:eastAsia="TimesNewRoman"/>
          <w:szCs w:val="22"/>
          <w:lang w:val="sr-Latn-ME"/>
        </w:rPr>
        <w:t xml:space="preserve"> događaj u</w:t>
      </w:r>
      <w:r w:rsidR="005376A1" w:rsidRPr="0045764A">
        <w:rPr>
          <w:rFonts w:eastAsia="TimesNewRoman"/>
          <w:szCs w:val="22"/>
          <w:lang w:val="sr-Latn-ME"/>
        </w:rPr>
        <w:t xml:space="preserve"> </w:t>
      </w:r>
      <w:r w:rsidRPr="0045764A">
        <w:rPr>
          <w:rFonts w:eastAsia="TimesNewRoman"/>
          <w:szCs w:val="22"/>
          <w:lang w:val="sr-Latn-ME"/>
        </w:rPr>
        <w:t>prethodnih 12 m</w:t>
      </w:r>
      <w:r w:rsidR="00BF10E6" w:rsidRPr="0045764A">
        <w:rPr>
          <w:rFonts w:eastAsia="TimesNewRoman"/>
          <w:szCs w:val="22"/>
          <w:lang w:val="sr-Latn-ME"/>
        </w:rPr>
        <w:t>j</w:t>
      </w:r>
      <w:r w:rsidRPr="0045764A">
        <w:rPr>
          <w:rFonts w:eastAsia="TimesNewRoman"/>
          <w:szCs w:val="22"/>
          <w:lang w:val="sr-Latn-ME"/>
        </w:rPr>
        <w:t>eseci.</w:t>
      </w:r>
    </w:p>
    <w:p w14:paraId="78B25890" w14:textId="6CFC8B8A" w:rsidR="00281B09" w:rsidRPr="0045764A" w:rsidRDefault="00281B09" w:rsidP="00C65330">
      <w:pPr>
        <w:rPr>
          <w:rFonts w:eastAsia="TimesNewRoman"/>
          <w:szCs w:val="22"/>
          <w:lang w:val="sr-Latn-ME"/>
        </w:rPr>
      </w:pPr>
    </w:p>
    <w:p w14:paraId="4446B020" w14:textId="77777777" w:rsidR="0061147D" w:rsidRPr="0045764A" w:rsidRDefault="0061147D" w:rsidP="00C65330">
      <w:pPr>
        <w:tabs>
          <w:tab w:val="clear" w:pos="284"/>
        </w:tabs>
        <w:autoSpaceDE w:val="0"/>
        <w:autoSpaceDN w:val="0"/>
        <w:adjustRightInd w:val="0"/>
        <w:rPr>
          <w:iCs/>
          <w:szCs w:val="22"/>
          <w:u w:val="single"/>
          <w:lang w:val="sr-Latn-ME"/>
        </w:rPr>
      </w:pPr>
      <w:r w:rsidRPr="0045764A">
        <w:rPr>
          <w:iCs/>
          <w:szCs w:val="22"/>
          <w:u w:val="single"/>
          <w:lang w:val="sr-Latn-ME"/>
        </w:rPr>
        <w:t xml:space="preserve">Venski embolijski i </w:t>
      </w:r>
      <w:proofErr w:type="spellStart"/>
      <w:r w:rsidRPr="0045764A">
        <w:rPr>
          <w:iCs/>
          <w:szCs w:val="22"/>
          <w:u w:val="single"/>
          <w:lang w:val="sr-Latn-ME"/>
        </w:rPr>
        <w:t>trombotični</w:t>
      </w:r>
      <w:proofErr w:type="spellEnd"/>
      <w:r w:rsidRPr="0045764A">
        <w:rPr>
          <w:iCs/>
          <w:szCs w:val="22"/>
          <w:u w:val="single"/>
          <w:lang w:val="sr-Latn-ME"/>
        </w:rPr>
        <w:t xml:space="preserve"> događaji</w:t>
      </w:r>
    </w:p>
    <w:p w14:paraId="2BE89739" w14:textId="147D166A" w:rsidR="0061147D" w:rsidRPr="0045764A" w:rsidRDefault="0061147D"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U kliničkim ispitivanjima sa </w:t>
      </w:r>
      <w:proofErr w:type="spellStart"/>
      <w:r w:rsidRPr="0045764A">
        <w:rPr>
          <w:rFonts w:eastAsia="TimesNewRoman"/>
          <w:szCs w:val="22"/>
          <w:lang w:val="sr-Latn-ME"/>
        </w:rPr>
        <w:t>aksitinibom</w:t>
      </w:r>
      <w:proofErr w:type="spellEnd"/>
      <w:r w:rsidRPr="0045764A">
        <w:rPr>
          <w:rFonts w:eastAsia="TimesNewRoman"/>
          <w:szCs w:val="22"/>
          <w:lang w:val="sr-Latn-ME"/>
        </w:rPr>
        <w:t xml:space="preserve">, prijavljeni su venski embolijski i </w:t>
      </w:r>
      <w:proofErr w:type="spellStart"/>
      <w:r w:rsidRPr="0045764A">
        <w:rPr>
          <w:rFonts w:eastAsia="TimesNewRoman"/>
          <w:szCs w:val="22"/>
          <w:lang w:val="sr-Latn-ME"/>
        </w:rPr>
        <w:t>trombotični</w:t>
      </w:r>
      <w:proofErr w:type="spellEnd"/>
      <w:r w:rsidRPr="0045764A">
        <w:rPr>
          <w:rFonts w:eastAsia="TimesNewRoman"/>
          <w:szCs w:val="22"/>
          <w:lang w:val="sr-Latn-ME"/>
        </w:rPr>
        <w:t xml:space="preserve"> događaji (uključujući</w:t>
      </w:r>
      <w:r w:rsidR="00BF10E6" w:rsidRPr="0045764A">
        <w:rPr>
          <w:rFonts w:eastAsia="TimesNewRoman"/>
          <w:szCs w:val="22"/>
          <w:lang w:val="sr-Latn-ME"/>
        </w:rPr>
        <w:t xml:space="preserve"> </w:t>
      </w:r>
      <w:r w:rsidRPr="0045764A">
        <w:rPr>
          <w:rFonts w:eastAsia="TimesNewRoman"/>
          <w:szCs w:val="22"/>
          <w:lang w:val="sr-Latn-ME"/>
        </w:rPr>
        <w:t xml:space="preserve">plućnu emboliju, trombozu dubokih vena i </w:t>
      </w:r>
      <w:proofErr w:type="spellStart"/>
      <w:r w:rsidRPr="0045764A">
        <w:rPr>
          <w:rFonts w:eastAsia="TimesNewRoman"/>
          <w:szCs w:val="22"/>
          <w:lang w:val="sr-Latn-ME"/>
        </w:rPr>
        <w:t>okluziju</w:t>
      </w:r>
      <w:proofErr w:type="spellEnd"/>
      <w:r w:rsidRPr="0045764A">
        <w:rPr>
          <w:rFonts w:eastAsia="TimesNewRoman"/>
          <w:szCs w:val="22"/>
          <w:lang w:val="sr-Latn-ME"/>
        </w:rPr>
        <w:t xml:space="preserve">/trombozu </w:t>
      </w:r>
      <w:proofErr w:type="spellStart"/>
      <w:r w:rsidRPr="0045764A">
        <w:rPr>
          <w:rFonts w:eastAsia="TimesNewRoman"/>
          <w:szCs w:val="22"/>
          <w:lang w:val="sr-Latn-ME"/>
        </w:rPr>
        <w:t>retinalne</w:t>
      </w:r>
      <w:proofErr w:type="spellEnd"/>
      <w:r w:rsidRPr="0045764A">
        <w:rPr>
          <w:rFonts w:eastAsia="TimesNewRoman"/>
          <w:szCs w:val="22"/>
          <w:lang w:val="sr-Latn-ME"/>
        </w:rPr>
        <w:t xml:space="preserve"> vene) (</w:t>
      </w:r>
      <w:r w:rsidR="006F7AEE" w:rsidRPr="0045764A">
        <w:rPr>
          <w:rFonts w:eastAsia="TimesNewRoman"/>
          <w:szCs w:val="22"/>
          <w:lang w:val="sr-Latn-ME"/>
        </w:rPr>
        <w:t>pogledati dio</w:t>
      </w:r>
      <w:r w:rsidRPr="0045764A">
        <w:rPr>
          <w:rFonts w:eastAsia="TimesNewRoman"/>
          <w:szCs w:val="22"/>
          <w:lang w:val="sr-Latn-ME"/>
        </w:rPr>
        <w:t xml:space="preserve"> 4.8).</w:t>
      </w:r>
    </w:p>
    <w:p w14:paraId="003F42DD" w14:textId="77777777" w:rsidR="00B56C8B" w:rsidRPr="0045764A" w:rsidRDefault="00B56C8B" w:rsidP="00C65330">
      <w:pPr>
        <w:tabs>
          <w:tab w:val="clear" w:pos="284"/>
        </w:tabs>
        <w:autoSpaceDE w:val="0"/>
        <w:autoSpaceDN w:val="0"/>
        <w:adjustRightInd w:val="0"/>
        <w:rPr>
          <w:rFonts w:eastAsia="TimesNewRoman"/>
          <w:szCs w:val="22"/>
          <w:lang w:val="sr-Latn-ME"/>
        </w:rPr>
      </w:pPr>
    </w:p>
    <w:p w14:paraId="2F821775" w14:textId="60C0D75B" w:rsidR="00281B09" w:rsidRPr="0045764A" w:rsidRDefault="0061147D" w:rsidP="00C65330">
      <w:pPr>
        <w:tabs>
          <w:tab w:val="clear" w:pos="284"/>
        </w:tabs>
        <w:autoSpaceDE w:val="0"/>
        <w:autoSpaceDN w:val="0"/>
        <w:adjustRightInd w:val="0"/>
        <w:rPr>
          <w:rFonts w:eastAsia="TimesNewRoman"/>
          <w:szCs w:val="22"/>
          <w:lang w:val="sr-Latn-ME"/>
        </w:rPr>
      </w:pPr>
      <w:proofErr w:type="spellStart"/>
      <w:r w:rsidRPr="0045764A">
        <w:rPr>
          <w:rFonts w:eastAsia="TimesNewRoman"/>
          <w:szCs w:val="22"/>
          <w:lang w:val="sr-Latn-ME"/>
        </w:rPr>
        <w:t>Aksitinib</w:t>
      </w:r>
      <w:proofErr w:type="spellEnd"/>
      <w:r w:rsidRPr="0045764A">
        <w:rPr>
          <w:rFonts w:eastAsia="TimesNewRoman"/>
          <w:szCs w:val="22"/>
          <w:lang w:val="sr-Latn-ME"/>
        </w:rPr>
        <w:t xml:space="preserve"> treba koristiti sa oprezom kod pacijenata sa rizikom </w:t>
      </w:r>
      <w:r w:rsidR="00B56C8B" w:rsidRPr="0045764A">
        <w:rPr>
          <w:rFonts w:eastAsia="TimesNewRoman"/>
          <w:szCs w:val="22"/>
          <w:lang w:val="sr-Latn-ME"/>
        </w:rPr>
        <w:t xml:space="preserve">od pojave ovih događaja </w:t>
      </w:r>
      <w:r w:rsidRPr="0045764A">
        <w:rPr>
          <w:rFonts w:eastAsia="TimesNewRoman"/>
          <w:szCs w:val="22"/>
          <w:lang w:val="sr-Latn-ME"/>
        </w:rPr>
        <w:t>i kod pacijenata sa ovim događajima u</w:t>
      </w:r>
      <w:r w:rsidR="005376A1" w:rsidRPr="0045764A">
        <w:rPr>
          <w:rFonts w:eastAsia="TimesNewRoman"/>
          <w:szCs w:val="22"/>
          <w:lang w:val="sr-Latn-ME"/>
        </w:rPr>
        <w:t xml:space="preserve"> </w:t>
      </w:r>
      <w:r w:rsidRPr="0045764A">
        <w:rPr>
          <w:rFonts w:eastAsia="TimesNewRoman"/>
          <w:szCs w:val="22"/>
          <w:lang w:val="sr-Latn-ME"/>
        </w:rPr>
        <w:t xml:space="preserve">anamnezi. </w:t>
      </w:r>
      <w:proofErr w:type="spellStart"/>
      <w:r w:rsidRPr="0045764A">
        <w:rPr>
          <w:rFonts w:eastAsia="TimesNewRoman"/>
          <w:szCs w:val="22"/>
          <w:lang w:val="sr-Latn-ME"/>
        </w:rPr>
        <w:t>Aksitinib</w:t>
      </w:r>
      <w:proofErr w:type="spellEnd"/>
      <w:r w:rsidRPr="0045764A">
        <w:rPr>
          <w:rFonts w:eastAsia="TimesNewRoman"/>
          <w:szCs w:val="22"/>
          <w:lang w:val="sr-Latn-ME"/>
        </w:rPr>
        <w:t xml:space="preserve"> nije ispitivan kod pacijenata koji su imali venski embolijski ili </w:t>
      </w:r>
      <w:proofErr w:type="spellStart"/>
      <w:r w:rsidRPr="0045764A">
        <w:rPr>
          <w:rFonts w:eastAsia="TimesNewRoman"/>
          <w:szCs w:val="22"/>
          <w:lang w:val="sr-Latn-ME"/>
        </w:rPr>
        <w:t>trombotični</w:t>
      </w:r>
      <w:proofErr w:type="spellEnd"/>
      <w:r w:rsidRPr="0045764A">
        <w:rPr>
          <w:rFonts w:eastAsia="TimesNewRoman"/>
          <w:szCs w:val="22"/>
          <w:lang w:val="sr-Latn-ME"/>
        </w:rPr>
        <w:t xml:space="preserve"> događaj u</w:t>
      </w:r>
      <w:r w:rsidR="005376A1" w:rsidRPr="0045764A">
        <w:rPr>
          <w:rFonts w:eastAsia="TimesNewRoman"/>
          <w:szCs w:val="22"/>
          <w:lang w:val="sr-Latn-ME"/>
        </w:rPr>
        <w:t xml:space="preserve"> </w:t>
      </w:r>
      <w:r w:rsidRPr="0045764A">
        <w:rPr>
          <w:rFonts w:eastAsia="TimesNewRoman"/>
          <w:szCs w:val="22"/>
          <w:lang w:val="sr-Latn-ME"/>
        </w:rPr>
        <w:t>prethodnih 6 m</w:t>
      </w:r>
      <w:r w:rsidR="00BF10E6" w:rsidRPr="0045764A">
        <w:rPr>
          <w:rFonts w:eastAsia="TimesNewRoman"/>
          <w:szCs w:val="22"/>
          <w:lang w:val="sr-Latn-ME"/>
        </w:rPr>
        <w:t>j</w:t>
      </w:r>
      <w:r w:rsidRPr="0045764A">
        <w:rPr>
          <w:rFonts w:eastAsia="TimesNewRoman"/>
          <w:szCs w:val="22"/>
          <w:lang w:val="sr-Latn-ME"/>
        </w:rPr>
        <w:t>eseci.</w:t>
      </w:r>
    </w:p>
    <w:p w14:paraId="5B396213" w14:textId="43745150" w:rsidR="0061147D" w:rsidRPr="0045764A" w:rsidRDefault="0061147D" w:rsidP="00C65330">
      <w:pPr>
        <w:rPr>
          <w:rFonts w:eastAsia="TimesNewRoman"/>
          <w:szCs w:val="22"/>
          <w:lang w:val="sr-Latn-ME"/>
        </w:rPr>
      </w:pPr>
    </w:p>
    <w:p w14:paraId="409668C0" w14:textId="3C78CD0E" w:rsidR="00043115" w:rsidRPr="0045764A" w:rsidRDefault="00043115" w:rsidP="00C65330">
      <w:pPr>
        <w:tabs>
          <w:tab w:val="clear" w:pos="284"/>
        </w:tabs>
        <w:autoSpaceDE w:val="0"/>
        <w:autoSpaceDN w:val="0"/>
        <w:adjustRightInd w:val="0"/>
        <w:rPr>
          <w:iCs/>
          <w:szCs w:val="22"/>
          <w:u w:val="single"/>
          <w:lang w:val="sr-Latn-ME"/>
        </w:rPr>
      </w:pPr>
      <w:r w:rsidRPr="0045764A">
        <w:rPr>
          <w:iCs/>
          <w:szCs w:val="22"/>
          <w:u w:val="single"/>
          <w:lang w:val="sr-Latn-ME"/>
        </w:rPr>
        <w:t xml:space="preserve">Povećane </w:t>
      </w:r>
      <w:r w:rsidR="008E2492" w:rsidRPr="0045764A">
        <w:rPr>
          <w:iCs/>
          <w:szCs w:val="22"/>
          <w:u w:val="single"/>
          <w:lang w:val="sr-Latn-ME"/>
        </w:rPr>
        <w:t>vrijednost</w:t>
      </w:r>
      <w:r w:rsidRPr="0045764A">
        <w:rPr>
          <w:iCs/>
          <w:szCs w:val="22"/>
          <w:u w:val="single"/>
          <w:lang w:val="sr-Latn-ME"/>
        </w:rPr>
        <w:t xml:space="preserve">i hemoglobina ili </w:t>
      </w:r>
      <w:proofErr w:type="spellStart"/>
      <w:r w:rsidRPr="0045764A">
        <w:rPr>
          <w:iCs/>
          <w:szCs w:val="22"/>
          <w:u w:val="single"/>
          <w:lang w:val="sr-Latn-ME"/>
        </w:rPr>
        <w:t>hematokrita</w:t>
      </w:r>
      <w:proofErr w:type="spellEnd"/>
    </w:p>
    <w:p w14:paraId="47EC51D5" w14:textId="312683EC" w:rsidR="00043115" w:rsidRPr="0045764A" w:rsidRDefault="00043115"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Tokom </w:t>
      </w:r>
      <w:r w:rsidR="00AE0DCD" w:rsidRPr="0045764A">
        <w:rPr>
          <w:rFonts w:eastAsia="TimesNewRoman"/>
          <w:szCs w:val="22"/>
          <w:lang w:val="sr-Latn-ME"/>
        </w:rPr>
        <w:t>liječenj</w:t>
      </w:r>
      <w:r w:rsidRPr="0045764A">
        <w:rPr>
          <w:rFonts w:eastAsia="TimesNewRoman"/>
          <w:szCs w:val="22"/>
          <w:lang w:val="sr-Latn-ME"/>
        </w:rPr>
        <w:t xml:space="preserve">a </w:t>
      </w:r>
      <w:proofErr w:type="spellStart"/>
      <w:r w:rsidRPr="0045764A">
        <w:rPr>
          <w:rFonts w:eastAsia="TimesNewRoman"/>
          <w:szCs w:val="22"/>
          <w:lang w:val="sr-Latn-ME"/>
        </w:rPr>
        <w:t>aksitinibom</w:t>
      </w:r>
      <w:proofErr w:type="spellEnd"/>
      <w:r w:rsidRPr="0045764A">
        <w:rPr>
          <w:rFonts w:eastAsia="TimesNewRoman"/>
          <w:szCs w:val="22"/>
          <w:lang w:val="sr-Latn-ME"/>
        </w:rPr>
        <w:t xml:space="preserve"> može se javiti povećanje </w:t>
      </w:r>
      <w:r w:rsidR="008E2492" w:rsidRPr="0045764A">
        <w:rPr>
          <w:rFonts w:eastAsia="TimesNewRoman"/>
          <w:szCs w:val="22"/>
          <w:lang w:val="sr-Latn-ME"/>
        </w:rPr>
        <w:t>vrijednost</w:t>
      </w:r>
      <w:r w:rsidRPr="0045764A">
        <w:rPr>
          <w:rFonts w:eastAsia="TimesNewRoman"/>
          <w:szCs w:val="22"/>
          <w:lang w:val="sr-Latn-ME"/>
        </w:rPr>
        <w:t xml:space="preserve">i hemoglobina ili </w:t>
      </w:r>
      <w:proofErr w:type="spellStart"/>
      <w:r w:rsidRPr="0045764A">
        <w:rPr>
          <w:rFonts w:eastAsia="TimesNewRoman"/>
          <w:szCs w:val="22"/>
          <w:lang w:val="sr-Latn-ME"/>
        </w:rPr>
        <w:t>hematokrita</w:t>
      </w:r>
      <w:proofErr w:type="spellEnd"/>
      <w:r w:rsidRPr="0045764A">
        <w:rPr>
          <w:rFonts w:eastAsia="TimesNewRoman"/>
          <w:szCs w:val="22"/>
          <w:lang w:val="sr-Latn-ME"/>
        </w:rPr>
        <w:t xml:space="preserve"> koje je posl</w:t>
      </w:r>
      <w:r w:rsidR="002567E4" w:rsidRPr="0045764A">
        <w:rPr>
          <w:rFonts w:eastAsia="TimesNewRoman"/>
          <w:szCs w:val="22"/>
          <w:lang w:val="sr-Latn-ME"/>
        </w:rPr>
        <w:t>j</w:t>
      </w:r>
      <w:r w:rsidRPr="0045764A">
        <w:rPr>
          <w:rFonts w:eastAsia="TimesNewRoman"/>
          <w:szCs w:val="22"/>
          <w:lang w:val="sr-Latn-ME"/>
        </w:rPr>
        <w:t>edica</w:t>
      </w:r>
      <w:r w:rsidR="002567E4" w:rsidRPr="0045764A">
        <w:rPr>
          <w:rFonts w:eastAsia="TimesNewRoman"/>
          <w:szCs w:val="22"/>
          <w:lang w:val="sr-Latn-ME"/>
        </w:rPr>
        <w:t xml:space="preserve"> </w:t>
      </w:r>
      <w:r w:rsidRPr="0045764A">
        <w:rPr>
          <w:rFonts w:eastAsia="TimesNewRoman"/>
          <w:szCs w:val="22"/>
          <w:lang w:val="sr-Latn-ME"/>
        </w:rPr>
        <w:t xml:space="preserve">povećanja mase </w:t>
      </w:r>
      <w:proofErr w:type="spellStart"/>
      <w:r w:rsidRPr="0045764A">
        <w:rPr>
          <w:rFonts w:eastAsia="TimesNewRoman"/>
          <w:szCs w:val="22"/>
          <w:lang w:val="sr-Latn-ME"/>
        </w:rPr>
        <w:t>eritrocita</w:t>
      </w:r>
      <w:proofErr w:type="spellEnd"/>
      <w:r w:rsidRPr="0045764A">
        <w:rPr>
          <w:rFonts w:eastAsia="TimesNewRoman"/>
          <w:szCs w:val="22"/>
          <w:lang w:val="sr-Latn-ME"/>
        </w:rPr>
        <w:t xml:space="preserve"> (</w:t>
      </w:r>
      <w:r w:rsidR="006F7AEE" w:rsidRPr="0045764A">
        <w:rPr>
          <w:rFonts w:eastAsia="TimesNewRoman"/>
          <w:szCs w:val="22"/>
          <w:lang w:val="sr-Latn-ME"/>
        </w:rPr>
        <w:t>pogledati dio</w:t>
      </w:r>
      <w:r w:rsidRPr="0045764A">
        <w:rPr>
          <w:rFonts w:eastAsia="TimesNewRoman"/>
          <w:szCs w:val="22"/>
          <w:lang w:val="sr-Latn-ME"/>
        </w:rPr>
        <w:t xml:space="preserve"> 4.8, </w:t>
      </w:r>
      <w:proofErr w:type="spellStart"/>
      <w:r w:rsidRPr="0045764A">
        <w:rPr>
          <w:rFonts w:eastAsia="TimesNewRoman"/>
          <w:szCs w:val="22"/>
          <w:lang w:val="sr-Latn-ME"/>
        </w:rPr>
        <w:t>policitemija</w:t>
      </w:r>
      <w:proofErr w:type="spellEnd"/>
      <w:r w:rsidRPr="0045764A">
        <w:rPr>
          <w:rFonts w:eastAsia="TimesNewRoman"/>
          <w:szCs w:val="22"/>
          <w:lang w:val="sr-Latn-ME"/>
        </w:rPr>
        <w:t xml:space="preserve">). Povećanje mase </w:t>
      </w:r>
      <w:proofErr w:type="spellStart"/>
      <w:r w:rsidRPr="0045764A">
        <w:rPr>
          <w:rFonts w:eastAsia="TimesNewRoman"/>
          <w:szCs w:val="22"/>
          <w:lang w:val="sr-Latn-ME"/>
        </w:rPr>
        <w:t>eritrocita</w:t>
      </w:r>
      <w:proofErr w:type="spellEnd"/>
      <w:r w:rsidRPr="0045764A">
        <w:rPr>
          <w:rFonts w:eastAsia="TimesNewRoman"/>
          <w:szCs w:val="22"/>
          <w:lang w:val="sr-Latn-ME"/>
        </w:rPr>
        <w:t xml:space="preserve"> može da poveća rizik</w:t>
      </w:r>
      <w:r w:rsidR="00765133" w:rsidRPr="0045764A">
        <w:rPr>
          <w:rFonts w:eastAsia="TimesNewRoman"/>
          <w:szCs w:val="22"/>
          <w:lang w:val="sr-Latn-ME"/>
        </w:rPr>
        <w:t xml:space="preserve"> </w:t>
      </w:r>
      <w:r w:rsidRPr="0045764A">
        <w:rPr>
          <w:rFonts w:eastAsia="TimesNewRoman"/>
          <w:szCs w:val="22"/>
          <w:lang w:val="sr-Latn-ME"/>
        </w:rPr>
        <w:t xml:space="preserve">od embolijskih i </w:t>
      </w:r>
      <w:proofErr w:type="spellStart"/>
      <w:r w:rsidRPr="0045764A">
        <w:rPr>
          <w:rFonts w:eastAsia="TimesNewRoman"/>
          <w:szCs w:val="22"/>
          <w:lang w:val="sr-Latn-ME"/>
        </w:rPr>
        <w:t>trombotičnih</w:t>
      </w:r>
      <w:proofErr w:type="spellEnd"/>
      <w:r w:rsidRPr="0045764A">
        <w:rPr>
          <w:rFonts w:eastAsia="TimesNewRoman"/>
          <w:szCs w:val="22"/>
          <w:lang w:val="sr-Latn-ME"/>
        </w:rPr>
        <w:t xml:space="preserve"> događaja.</w:t>
      </w:r>
    </w:p>
    <w:p w14:paraId="31F30F47" w14:textId="77777777" w:rsidR="00765133" w:rsidRPr="0045764A" w:rsidRDefault="00765133" w:rsidP="00C65330">
      <w:pPr>
        <w:tabs>
          <w:tab w:val="clear" w:pos="284"/>
        </w:tabs>
        <w:autoSpaceDE w:val="0"/>
        <w:autoSpaceDN w:val="0"/>
        <w:adjustRightInd w:val="0"/>
        <w:rPr>
          <w:rFonts w:eastAsia="TimesNewRoman"/>
          <w:szCs w:val="22"/>
          <w:lang w:val="sr-Latn-ME"/>
        </w:rPr>
      </w:pPr>
    </w:p>
    <w:p w14:paraId="60603ECE" w14:textId="4A59CB2C" w:rsidR="0061147D" w:rsidRPr="0045764A" w:rsidRDefault="008E2492"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lastRenderedPageBreak/>
        <w:t>Vrijednost</w:t>
      </w:r>
      <w:r w:rsidR="00043115" w:rsidRPr="0045764A">
        <w:rPr>
          <w:rFonts w:eastAsia="TimesNewRoman"/>
          <w:szCs w:val="22"/>
          <w:lang w:val="sr-Latn-ME"/>
        </w:rPr>
        <w:t xml:space="preserve">i hemoglobina ili </w:t>
      </w:r>
      <w:proofErr w:type="spellStart"/>
      <w:r w:rsidR="00043115" w:rsidRPr="0045764A">
        <w:rPr>
          <w:rFonts w:eastAsia="TimesNewRoman"/>
          <w:szCs w:val="22"/>
          <w:lang w:val="sr-Latn-ME"/>
        </w:rPr>
        <w:t>hematokrita</w:t>
      </w:r>
      <w:proofErr w:type="spellEnd"/>
      <w:r w:rsidR="00043115" w:rsidRPr="0045764A">
        <w:rPr>
          <w:rFonts w:eastAsia="TimesNewRoman"/>
          <w:szCs w:val="22"/>
          <w:lang w:val="sr-Latn-ME"/>
        </w:rPr>
        <w:t xml:space="preserve"> treba pratiti pr</w:t>
      </w:r>
      <w:r w:rsidR="002567E4" w:rsidRPr="0045764A">
        <w:rPr>
          <w:rFonts w:eastAsia="TimesNewRoman"/>
          <w:szCs w:val="22"/>
          <w:lang w:val="sr-Latn-ME"/>
        </w:rPr>
        <w:t>ij</w:t>
      </w:r>
      <w:r w:rsidR="00043115" w:rsidRPr="0045764A">
        <w:rPr>
          <w:rFonts w:eastAsia="TimesNewRoman"/>
          <w:szCs w:val="22"/>
          <w:lang w:val="sr-Latn-ME"/>
        </w:rPr>
        <w:t xml:space="preserve">e započinjanja i povremeno tokom terapije </w:t>
      </w:r>
      <w:proofErr w:type="spellStart"/>
      <w:r w:rsidR="00043115" w:rsidRPr="0045764A">
        <w:rPr>
          <w:rFonts w:eastAsia="TimesNewRoman"/>
          <w:szCs w:val="22"/>
          <w:lang w:val="sr-Latn-ME"/>
        </w:rPr>
        <w:t>aksitinibom</w:t>
      </w:r>
      <w:proofErr w:type="spellEnd"/>
      <w:r w:rsidR="00043115" w:rsidRPr="0045764A">
        <w:rPr>
          <w:rFonts w:eastAsia="TimesNewRoman"/>
          <w:szCs w:val="22"/>
          <w:lang w:val="sr-Latn-ME"/>
        </w:rPr>
        <w:t>.</w:t>
      </w:r>
      <w:r w:rsidR="00EF4CC2" w:rsidRPr="0045764A">
        <w:rPr>
          <w:rFonts w:eastAsia="TimesNewRoman"/>
          <w:szCs w:val="22"/>
          <w:lang w:val="sr-Latn-ME"/>
        </w:rPr>
        <w:t xml:space="preserve"> </w:t>
      </w:r>
      <w:r w:rsidR="00043115" w:rsidRPr="0045764A">
        <w:rPr>
          <w:rFonts w:eastAsia="TimesNewRoman"/>
          <w:szCs w:val="22"/>
          <w:lang w:val="sr-Latn-ME"/>
        </w:rPr>
        <w:t xml:space="preserve">Ako se </w:t>
      </w:r>
      <w:r w:rsidRPr="0045764A">
        <w:rPr>
          <w:rFonts w:eastAsia="TimesNewRoman"/>
          <w:szCs w:val="22"/>
          <w:lang w:val="sr-Latn-ME"/>
        </w:rPr>
        <w:t>vrijednost</w:t>
      </w:r>
      <w:r w:rsidR="00043115" w:rsidRPr="0045764A">
        <w:rPr>
          <w:rFonts w:eastAsia="TimesNewRoman"/>
          <w:szCs w:val="22"/>
          <w:lang w:val="sr-Latn-ME"/>
        </w:rPr>
        <w:t xml:space="preserve">i hemoglobina ili </w:t>
      </w:r>
      <w:proofErr w:type="spellStart"/>
      <w:r w:rsidR="00043115" w:rsidRPr="0045764A">
        <w:rPr>
          <w:rFonts w:eastAsia="TimesNewRoman"/>
          <w:szCs w:val="22"/>
          <w:lang w:val="sr-Latn-ME"/>
        </w:rPr>
        <w:t>hematokrita</w:t>
      </w:r>
      <w:proofErr w:type="spellEnd"/>
      <w:r w:rsidR="00043115" w:rsidRPr="0045764A">
        <w:rPr>
          <w:rFonts w:eastAsia="TimesNewRoman"/>
          <w:szCs w:val="22"/>
          <w:lang w:val="sr-Latn-ME"/>
        </w:rPr>
        <w:t xml:space="preserve"> povećaju iznad normalnih </w:t>
      </w:r>
      <w:r w:rsidRPr="0045764A">
        <w:rPr>
          <w:rFonts w:eastAsia="TimesNewRoman"/>
          <w:szCs w:val="22"/>
          <w:lang w:val="sr-Latn-ME"/>
        </w:rPr>
        <w:t>vrijednost</w:t>
      </w:r>
      <w:r w:rsidR="00043115" w:rsidRPr="0045764A">
        <w:rPr>
          <w:rFonts w:eastAsia="TimesNewRoman"/>
          <w:szCs w:val="22"/>
          <w:lang w:val="sr-Latn-ME"/>
        </w:rPr>
        <w:t>i, pacijente bi trebalo l</w:t>
      </w:r>
      <w:r w:rsidR="002567E4" w:rsidRPr="0045764A">
        <w:rPr>
          <w:rFonts w:eastAsia="TimesNewRoman"/>
          <w:szCs w:val="22"/>
          <w:lang w:val="sr-Latn-ME"/>
        </w:rPr>
        <w:t>ij</w:t>
      </w:r>
      <w:r w:rsidR="00043115" w:rsidRPr="0045764A">
        <w:rPr>
          <w:rFonts w:eastAsia="TimesNewRoman"/>
          <w:szCs w:val="22"/>
          <w:lang w:val="sr-Latn-ME"/>
        </w:rPr>
        <w:t>ečiti</w:t>
      </w:r>
      <w:r w:rsidR="00622537" w:rsidRPr="0045764A">
        <w:rPr>
          <w:rFonts w:eastAsia="TimesNewRoman"/>
          <w:szCs w:val="22"/>
          <w:lang w:val="sr-Latn-ME"/>
        </w:rPr>
        <w:t xml:space="preserve"> </w:t>
      </w:r>
      <w:r w:rsidR="00043115" w:rsidRPr="0045764A">
        <w:rPr>
          <w:rFonts w:eastAsia="TimesNewRoman"/>
          <w:szCs w:val="22"/>
          <w:lang w:val="sr-Latn-ME"/>
        </w:rPr>
        <w:t xml:space="preserve">u skladu sa standardnom medicinskom praksom da bi se </w:t>
      </w:r>
      <w:r w:rsidRPr="0045764A">
        <w:rPr>
          <w:rFonts w:eastAsia="TimesNewRoman"/>
          <w:szCs w:val="22"/>
          <w:lang w:val="sr-Latn-ME"/>
        </w:rPr>
        <w:t>vrijednost</w:t>
      </w:r>
      <w:r w:rsidR="00043115" w:rsidRPr="0045764A">
        <w:rPr>
          <w:rFonts w:eastAsia="TimesNewRoman"/>
          <w:szCs w:val="22"/>
          <w:lang w:val="sr-Latn-ME"/>
        </w:rPr>
        <w:t xml:space="preserve">i hemoglobina ili </w:t>
      </w:r>
      <w:proofErr w:type="spellStart"/>
      <w:r w:rsidR="00043115" w:rsidRPr="0045764A">
        <w:rPr>
          <w:rFonts w:eastAsia="TimesNewRoman"/>
          <w:szCs w:val="22"/>
          <w:lang w:val="sr-Latn-ME"/>
        </w:rPr>
        <w:t>hematokrita</w:t>
      </w:r>
      <w:proofErr w:type="spellEnd"/>
      <w:r w:rsidR="00043115" w:rsidRPr="0045764A">
        <w:rPr>
          <w:rFonts w:eastAsia="TimesNewRoman"/>
          <w:szCs w:val="22"/>
          <w:lang w:val="sr-Latn-ME"/>
        </w:rPr>
        <w:t xml:space="preserve"> smanjile na</w:t>
      </w:r>
      <w:r w:rsidR="00622537" w:rsidRPr="0045764A">
        <w:rPr>
          <w:rFonts w:eastAsia="TimesNewRoman"/>
          <w:szCs w:val="22"/>
          <w:lang w:val="sr-Latn-ME"/>
        </w:rPr>
        <w:t xml:space="preserve"> </w:t>
      </w:r>
      <w:r w:rsidR="00043115" w:rsidRPr="0045764A">
        <w:rPr>
          <w:rFonts w:eastAsia="TimesNewRoman"/>
          <w:szCs w:val="22"/>
          <w:lang w:val="sr-Latn-ME"/>
        </w:rPr>
        <w:t>prihvatljive.</w:t>
      </w:r>
    </w:p>
    <w:p w14:paraId="594B3398" w14:textId="3507286F" w:rsidR="00043115" w:rsidRPr="0045764A" w:rsidRDefault="00043115" w:rsidP="00C65330">
      <w:pPr>
        <w:rPr>
          <w:rFonts w:eastAsia="TimesNewRoman"/>
          <w:szCs w:val="22"/>
          <w:lang w:val="sr-Latn-ME"/>
        </w:rPr>
      </w:pPr>
    </w:p>
    <w:p w14:paraId="49F7CCEA" w14:textId="77777777" w:rsidR="00987351" w:rsidRPr="0045764A" w:rsidRDefault="00987351" w:rsidP="00C65330">
      <w:pPr>
        <w:tabs>
          <w:tab w:val="clear" w:pos="284"/>
        </w:tabs>
        <w:autoSpaceDE w:val="0"/>
        <w:autoSpaceDN w:val="0"/>
        <w:adjustRightInd w:val="0"/>
        <w:rPr>
          <w:iCs/>
          <w:szCs w:val="22"/>
          <w:u w:val="single"/>
          <w:lang w:val="sr-Latn-ME"/>
        </w:rPr>
      </w:pPr>
      <w:r w:rsidRPr="0045764A">
        <w:rPr>
          <w:iCs/>
          <w:szCs w:val="22"/>
          <w:u w:val="single"/>
          <w:lang w:val="sr-Latn-ME"/>
        </w:rPr>
        <w:t>Krvarenje</w:t>
      </w:r>
    </w:p>
    <w:p w14:paraId="427D1B14" w14:textId="130F81F5" w:rsidR="00987351" w:rsidRPr="0045764A" w:rsidRDefault="00987351"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U kliničkim ispitivanjima sa </w:t>
      </w:r>
      <w:proofErr w:type="spellStart"/>
      <w:r w:rsidRPr="0045764A">
        <w:rPr>
          <w:rFonts w:eastAsia="TimesNewRoman"/>
          <w:szCs w:val="22"/>
          <w:lang w:val="sr-Latn-ME"/>
        </w:rPr>
        <w:t>aksitinibom</w:t>
      </w:r>
      <w:proofErr w:type="spellEnd"/>
      <w:r w:rsidRPr="0045764A">
        <w:rPr>
          <w:rFonts w:eastAsia="TimesNewRoman"/>
          <w:szCs w:val="22"/>
          <w:lang w:val="sr-Latn-ME"/>
        </w:rPr>
        <w:t>, prijavljeni su hemoragični događaji (</w:t>
      </w:r>
      <w:r w:rsidR="006F7AEE" w:rsidRPr="0045764A">
        <w:rPr>
          <w:rFonts w:eastAsia="TimesNewRoman"/>
          <w:szCs w:val="22"/>
          <w:lang w:val="sr-Latn-ME"/>
        </w:rPr>
        <w:t>pogledati dio</w:t>
      </w:r>
      <w:r w:rsidRPr="0045764A">
        <w:rPr>
          <w:rFonts w:eastAsia="TimesNewRoman"/>
          <w:szCs w:val="22"/>
          <w:lang w:val="sr-Latn-ME"/>
        </w:rPr>
        <w:t xml:space="preserve"> 4.8).</w:t>
      </w:r>
    </w:p>
    <w:p w14:paraId="3D6F7C12" w14:textId="77777777" w:rsidR="00456ECD" w:rsidRPr="0045764A" w:rsidRDefault="00456ECD" w:rsidP="00C65330">
      <w:pPr>
        <w:tabs>
          <w:tab w:val="clear" w:pos="284"/>
        </w:tabs>
        <w:autoSpaceDE w:val="0"/>
        <w:autoSpaceDN w:val="0"/>
        <w:adjustRightInd w:val="0"/>
        <w:rPr>
          <w:rFonts w:eastAsia="TimesNewRoman"/>
          <w:szCs w:val="22"/>
          <w:lang w:val="sr-Latn-ME"/>
        </w:rPr>
      </w:pPr>
    </w:p>
    <w:p w14:paraId="6EA6F879" w14:textId="7A34AF92" w:rsidR="00043115" w:rsidRPr="0045764A" w:rsidRDefault="00987351" w:rsidP="000D71AB">
      <w:pPr>
        <w:widowControl w:val="0"/>
        <w:tabs>
          <w:tab w:val="clear" w:pos="284"/>
        </w:tabs>
        <w:autoSpaceDE w:val="0"/>
        <w:autoSpaceDN w:val="0"/>
        <w:adjustRightInd w:val="0"/>
        <w:rPr>
          <w:rFonts w:eastAsia="TimesNewRoman"/>
          <w:szCs w:val="22"/>
          <w:lang w:val="sr-Latn-ME"/>
        </w:rPr>
      </w:pPr>
      <w:proofErr w:type="spellStart"/>
      <w:r w:rsidRPr="0045764A">
        <w:rPr>
          <w:rFonts w:eastAsia="TimesNewRoman"/>
          <w:szCs w:val="22"/>
          <w:lang w:val="sr-Latn-ME"/>
        </w:rPr>
        <w:t>Aksitinib</w:t>
      </w:r>
      <w:proofErr w:type="spellEnd"/>
      <w:r w:rsidRPr="0045764A">
        <w:rPr>
          <w:rFonts w:eastAsia="TimesNewRoman"/>
          <w:szCs w:val="22"/>
          <w:lang w:val="sr-Latn-ME"/>
        </w:rPr>
        <w:t xml:space="preserve"> nije ispitivan kod pacijenata koji imaju </w:t>
      </w:r>
      <w:r w:rsidR="00711199" w:rsidRPr="0045764A">
        <w:rPr>
          <w:rFonts w:eastAsia="TimesNewRoman"/>
          <w:szCs w:val="22"/>
          <w:lang w:val="sr-Latn-ME"/>
        </w:rPr>
        <w:t xml:space="preserve">potvrđene </w:t>
      </w:r>
      <w:proofErr w:type="spellStart"/>
      <w:r w:rsidRPr="0045764A">
        <w:rPr>
          <w:rFonts w:eastAsia="TimesNewRoman"/>
          <w:szCs w:val="22"/>
          <w:lang w:val="sr-Latn-ME"/>
        </w:rPr>
        <w:t>nel</w:t>
      </w:r>
      <w:r w:rsidR="007E60ED" w:rsidRPr="0045764A">
        <w:rPr>
          <w:rFonts w:eastAsia="TimesNewRoman"/>
          <w:szCs w:val="22"/>
          <w:lang w:val="sr-Latn-ME"/>
        </w:rPr>
        <w:t>ij</w:t>
      </w:r>
      <w:r w:rsidRPr="0045764A">
        <w:rPr>
          <w:rFonts w:eastAsia="TimesNewRoman"/>
          <w:szCs w:val="22"/>
          <w:lang w:val="sr-Latn-ME"/>
        </w:rPr>
        <w:t>ečene</w:t>
      </w:r>
      <w:proofErr w:type="spellEnd"/>
      <w:r w:rsidRPr="0045764A">
        <w:rPr>
          <w:rFonts w:eastAsia="TimesNewRoman"/>
          <w:szCs w:val="22"/>
          <w:lang w:val="sr-Latn-ME"/>
        </w:rPr>
        <w:t xml:space="preserve"> metastaze na mozgu ili nedavno aktivno</w:t>
      </w:r>
      <w:r w:rsidR="00622537" w:rsidRPr="0045764A">
        <w:rPr>
          <w:rFonts w:eastAsia="TimesNewRoman"/>
          <w:szCs w:val="22"/>
          <w:lang w:val="sr-Latn-ME"/>
        </w:rPr>
        <w:t xml:space="preserve"> </w:t>
      </w:r>
      <w:r w:rsidRPr="0045764A">
        <w:rPr>
          <w:rFonts w:eastAsia="TimesNewRoman"/>
          <w:szCs w:val="22"/>
          <w:lang w:val="sr-Latn-ME"/>
        </w:rPr>
        <w:t>gastrointestinalno krvarenje</w:t>
      </w:r>
      <w:r w:rsidR="00B56C8B" w:rsidRPr="0045764A">
        <w:rPr>
          <w:rFonts w:eastAsia="TimesNewRoman"/>
          <w:szCs w:val="22"/>
          <w:lang w:val="sr-Latn-ME"/>
        </w:rPr>
        <w:t>,</w:t>
      </w:r>
      <w:r w:rsidRPr="0045764A">
        <w:rPr>
          <w:rFonts w:eastAsia="TimesNewRoman"/>
          <w:szCs w:val="22"/>
          <w:lang w:val="sr-Latn-ME"/>
        </w:rPr>
        <w:t xml:space="preserve"> i kod tih pacijenata ga ne bi trebalo </w:t>
      </w:r>
      <w:r w:rsidR="008E2492" w:rsidRPr="0045764A">
        <w:rPr>
          <w:rFonts w:eastAsia="TimesNewRoman"/>
          <w:szCs w:val="22"/>
          <w:lang w:val="sr-Latn-ME"/>
        </w:rPr>
        <w:t>primjen</w:t>
      </w:r>
      <w:r w:rsidRPr="0045764A">
        <w:rPr>
          <w:rFonts w:eastAsia="TimesNewRoman"/>
          <w:szCs w:val="22"/>
          <w:lang w:val="sr-Latn-ME"/>
        </w:rPr>
        <w:t>jivati. Ako neko krvarenje zaht</w:t>
      </w:r>
      <w:r w:rsidR="007E60ED" w:rsidRPr="0045764A">
        <w:rPr>
          <w:rFonts w:eastAsia="TimesNewRoman"/>
          <w:szCs w:val="22"/>
          <w:lang w:val="sr-Latn-ME"/>
        </w:rPr>
        <w:t>ij</w:t>
      </w:r>
      <w:r w:rsidRPr="0045764A">
        <w:rPr>
          <w:rFonts w:eastAsia="TimesNewRoman"/>
          <w:szCs w:val="22"/>
          <w:lang w:val="sr-Latn-ME"/>
        </w:rPr>
        <w:t>eva</w:t>
      </w:r>
      <w:r w:rsidR="00622537" w:rsidRPr="0045764A">
        <w:rPr>
          <w:rFonts w:eastAsia="TimesNewRoman"/>
          <w:szCs w:val="22"/>
          <w:lang w:val="sr-Latn-ME"/>
        </w:rPr>
        <w:t xml:space="preserve"> </w:t>
      </w:r>
      <w:r w:rsidR="00593BF5" w:rsidRPr="0045764A">
        <w:rPr>
          <w:rFonts w:eastAsia="TimesNewRoman"/>
          <w:szCs w:val="22"/>
          <w:lang w:val="sr-Latn-ME"/>
        </w:rPr>
        <w:t>ljekar</w:t>
      </w:r>
      <w:r w:rsidRPr="0045764A">
        <w:rPr>
          <w:rFonts w:eastAsia="TimesNewRoman"/>
          <w:szCs w:val="22"/>
          <w:lang w:val="sr-Latn-ME"/>
        </w:rPr>
        <w:t xml:space="preserve">sku intervenciju, trebalo bi privremeno prekinuti </w:t>
      </w:r>
      <w:r w:rsidR="008E2492" w:rsidRPr="0045764A">
        <w:rPr>
          <w:rFonts w:eastAsia="TimesNewRoman"/>
          <w:szCs w:val="22"/>
          <w:lang w:val="sr-Latn-ME"/>
        </w:rPr>
        <w:t>primjen</w:t>
      </w:r>
      <w:r w:rsidRPr="0045764A">
        <w:rPr>
          <w:rFonts w:eastAsia="TimesNewRoman"/>
          <w:szCs w:val="22"/>
          <w:lang w:val="sr-Latn-ME"/>
        </w:rPr>
        <w:t xml:space="preserve">u </w:t>
      </w:r>
      <w:proofErr w:type="spellStart"/>
      <w:r w:rsidRPr="0045764A">
        <w:rPr>
          <w:rFonts w:eastAsia="TimesNewRoman"/>
          <w:szCs w:val="22"/>
          <w:lang w:val="sr-Latn-ME"/>
        </w:rPr>
        <w:t>aksitiniba</w:t>
      </w:r>
      <w:proofErr w:type="spellEnd"/>
      <w:r w:rsidRPr="0045764A">
        <w:rPr>
          <w:rFonts w:eastAsia="TimesNewRoman"/>
          <w:szCs w:val="22"/>
          <w:lang w:val="sr-Latn-ME"/>
        </w:rPr>
        <w:t>.</w:t>
      </w:r>
    </w:p>
    <w:p w14:paraId="70546604" w14:textId="77777777" w:rsidR="006D5976" w:rsidRPr="0045764A" w:rsidRDefault="006D5976" w:rsidP="00C65330">
      <w:pPr>
        <w:tabs>
          <w:tab w:val="clear" w:pos="284"/>
        </w:tabs>
        <w:autoSpaceDE w:val="0"/>
        <w:autoSpaceDN w:val="0"/>
        <w:adjustRightInd w:val="0"/>
        <w:rPr>
          <w:rFonts w:eastAsia="TimesNewRoman"/>
          <w:szCs w:val="22"/>
          <w:lang w:val="sr-Latn-ME"/>
        </w:rPr>
      </w:pPr>
    </w:p>
    <w:p w14:paraId="3BFE25C2" w14:textId="48026BE0" w:rsidR="006D5976" w:rsidRPr="0045764A" w:rsidRDefault="006D5976" w:rsidP="00C65330">
      <w:pPr>
        <w:autoSpaceDE w:val="0"/>
        <w:autoSpaceDN w:val="0"/>
        <w:adjustRightInd w:val="0"/>
        <w:rPr>
          <w:szCs w:val="22"/>
          <w:u w:val="single"/>
          <w:lang w:val="sr-Latn-ME"/>
        </w:rPr>
      </w:pPr>
      <w:proofErr w:type="spellStart"/>
      <w:r w:rsidRPr="0045764A">
        <w:rPr>
          <w:szCs w:val="22"/>
          <w:u w:val="single"/>
          <w:lang w:val="sr-Latn-ME"/>
        </w:rPr>
        <w:t>Aneurizme</w:t>
      </w:r>
      <w:proofErr w:type="spellEnd"/>
      <w:r w:rsidRPr="0045764A">
        <w:rPr>
          <w:szCs w:val="22"/>
          <w:u w:val="single"/>
          <w:lang w:val="sr-Latn-ME"/>
        </w:rPr>
        <w:t xml:space="preserve"> i </w:t>
      </w:r>
      <w:r w:rsidR="002D40A5" w:rsidRPr="0045764A">
        <w:rPr>
          <w:szCs w:val="22"/>
          <w:u w:val="single"/>
          <w:lang w:val="sr-Latn-ME"/>
        </w:rPr>
        <w:t>disekcije arterija</w:t>
      </w:r>
    </w:p>
    <w:p w14:paraId="1FFB55FA" w14:textId="4DD7D709" w:rsidR="006D5976" w:rsidRPr="0045764A" w:rsidRDefault="008E2492" w:rsidP="00C65330">
      <w:pPr>
        <w:autoSpaceDE w:val="0"/>
        <w:autoSpaceDN w:val="0"/>
        <w:adjustRightInd w:val="0"/>
        <w:rPr>
          <w:szCs w:val="22"/>
          <w:lang w:val="sr-Latn-ME"/>
        </w:rPr>
      </w:pPr>
      <w:r w:rsidRPr="0045764A">
        <w:rPr>
          <w:szCs w:val="22"/>
          <w:lang w:val="sr-Latn-ME"/>
        </w:rPr>
        <w:t>Primjen</w:t>
      </w:r>
      <w:r w:rsidR="002D40A5" w:rsidRPr="0045764A">
        <w:rPr>
          <w:szCs w:val="22"/>
          <w:lang w:val="sr-Latn-ME"/>
        </w:rPr>
        <w:t>a</w:t>
      </w:r>
      <w:r w:rsidR="006D5976" w:rsidRPr="0045764A">
        <w:rPr>
          <w:szCs w:val="22"/>
          <w:lang w:val="sr-Latn-ME"/>
        </w:rPr>
        <w:t xml:space="preserve"> </w:t>
      </w:r>
      <w:proofErr w:type="spellStart"/>
      <w:r w:rsidR="002D40A5" w:rsidRPr="0045764A">
        <w:rPr>
          <w:szCs w:val="22"/>
          <w:lang w:val="sr-Latn-ME"/>
        </w:rPr>
        <w:t>inhibitora</w:t>
      </w:r>
      <w:proofErr w:type="spellEnd"/>
      <w:r w:rsidR="006D5976" w:rsidRPr="0045764A">
        <w:rPr>
          <w:szCs w:val="22"/>
          <w:lang w:val="sr-Latn-ME"/>
        </w:rPr>
        <w:t xml:space="preserve"> VEGF </w:t>
      </w:r>
      <w:r w:rsidR="00711199" w:rsidRPr="0045764A">
        <w:rPr>
          <w:szCs w:val="22"/>
          <w:lang w:val="sr-Latn-ME"/>
        </w:rPr>
        <w:t xml:space="preserve">puta </w:t>
      </w:r>
      <w:r w:rsidR="0034697B" w:rsidRPr="0045764A">
        <w:rPr>
          <w:szCs w:val="22"/>
          <w:lang w:val="sr-Latn-ME"/>
        </w:rPr>
        <w:t>kod</w:t>
      </w:r>
      <w:r w:rsidR="006D5976" w:rsidRPr="0045764A">
        <w:rPr>
          <w:szCs w:val="22"/>
          <w:lang w:val="sr-Latn-ME"/>
        </w:rPr>
        <w:t xml:space="preserve"> pa</w:t>
      </w:r>
      <w:r w:rsidR="0034697B" w:rsidRPr="0045764A">
        <w:rPr>
          <w:szCs w:val="22"/>
          <w:lang w:val="sr-Latn-ME"/>
        </w:rPr>
        <w:t>cijenata</w:t>
      </w:r>
      <w:r w:rsidR="006D5976" w:rsidRPr="0045764A">
        <w:rPr>
          <w:szCs w:val="22"/>
          <w:lang w:val="sr-Latn-ME"/>
        </w:rPr>
        <w:t xml:space="preserve"> </w:t>
      </w:r>
      <w:r w:rsidR="0034697B" w:rsidRPr="0045764A">
        <w:rPr>
          <w:szCs w:val="22"/>
          <w:lang w:val="sr-Latn-ME"/>
        </w:rPr>
        <w:t>sa</w:t>
      </w:r>
      <w:r w:rsidR="006D5976" w:rsidRPr="0045764A">
        <w:rPr>
          <w:szCs w:val="22"/>
          <w:lang w:val="sr-Latn-ME"/>
        </w:rPr>
        <w:t xml:space="preserve"> </w:t>
      </w:r>
      <w:r w:rsidR="00570ACE" w:rsidRPr="0045764A">
        <w:rPr>
          <w:szCs w:val="22"/>
          <w:lang w:val="sr-Latn-ME"/>
        </w:rPr>
        <w:t xml:space="preserve">hipertenzijom </w:t>
      </w:r>
      <w:r w:rsidR="0034697B" w:rsidRPr="0045764A">
        <w:rPr>
          <w:szCs w:val="22"/>
          <w:lang w:val="sr-Latn-ME"/>
        </w:rPr>
        <w:t>ili</w:t>
      </w:r>
      <w:r w:rsidR="006D5976" w:rsidRPr="0045764A">
        <w:rPr>
          <w:szCs w:val="22"/>
          <w:lang w:val="sr-Latn-ME"/>
        </w:rPr>
        <w:t xml:space="preserve"> </w:t>
      </w:r>
      <w:r w:rsidR="0034697B" w:rsidRPr="0045764A">
        <w:rPr>
          <w:szCs w:val="22"/>
          <w:lang w:val="sr-Latn-ME"/>
        </w:rPr>
        <w:t>bez</w:t>
      </w:r>
      <w:r w:rsidR="006D5976" w:rsidRPr="0045764A">
        <w:rPr>
          <w:szCs w:val="22"/>
          <w:lang w:val="sr-Latn-ME"/>
        </w:rPr>
        <w:t xml:space="preserve"> </w:t>
      </w:r>
      <w:r w:rsidR="00570ACE" w:rsidRPr="0045764A">
        <w:rPr>
          <w:szCs w:val="22"/>
          <w:lang w:val="sr-Latn-ME"/>
        </w:rPr>
        <w:t xml:space="preserve">nje </w:t>
      </w:r>
      <w:r w:rsidR="006D5976" w:rsidRPr="0045764A">
        <w:rPr>
          <w:szCs w:val="22"/>
          <w:lang w:val="sr-Latn-ME"/>
        </w:rPr>
        <w:t>m</w:t>
      </w:r>
      <w:r w:rsidR="0034697B" w:rsidRPr="0045764A">
        <w:rPr>
          <w:szCs w:val="22"/>
          <w:lang w:val="sr-Latn-ME"/>
        </w:rPr>
        <w:t>ože</w:t>
      </w:r>
      <w:r w:rsidR="006D5976" w:rsidRPr="0045764A">
        <w:rPr>
          <w:szCs w:val="22"/>
          <w:lang w:val="sr-Latn-ME"/>
        </w:rPr>
        <w:t xml:space="preserve"> </w:t>
      </w:r>
      <w:r w:rsidR="00677E2D" w:rsidRPr="0045764A">
        <w:rPr>
          <w:szCs w:val="22"/>
          <w:lang w:val="sr-Latn-ME"/>
        </w:rPr>
        <w:t>inicirati</w:t>
      </w:r>
      <w:r w:rsidR="006D5976" w:rsidRPr="0045764A">
        <w:rPr>
          <w:szCs w:val="22"/>
          <w:lang w:val="sr-Latn-ME"/>
        </w:rPr>
        <w:t xml:space="preserve"> </w:t>
      </w:r>
      <w:r w:rsidR="00677E2D" w:rsidRPr="0045764A">
        <w:rPr>
          <w:szCs w:val="22"/>
          <w:lang w:val="sr-Latn-ME"/>
        </w:rPr>
        <w:t xml:space="preserve">stvaranje </w:t>
      </w:r>
      <w:proofErr w:type="spellStart"/>
      <w:r w:rsidR="00677E2D" w:rsidRPr="0045764A">
        <w:rPr>
          <w:szCs w:val="22"/>
          <w:lang w:val="sr-Latn-ME"/>
        </w:rPr>
        <w:t>aneurizmi</w:t>
      </w:r>
      <w:proofErr w:type="spellEnd"/>
      <w:r w:rsidR="00677E2D" w:rsidRPr="0045764A">
        <w:rPr>
          <w:szCs w:val="22"/>
          <w:lang w:val="sr-Latn-ME"/>
        </w:rPr>
        <w:t xml:space="preserve"> i/ili disekcija </w:t>
      </w:r>
      <w:r w:rsidR="00D420E6" w:rsidRPr="0045764A">
        <w:rPr>
          <w:szCs w:val="22"/>
          <w:lang w:val="sr-Latn-ME"/>
        </w:rPr>
        <w:t>arterija. Pr</w:t>
      </w:r>
      <w:r w:rsidR="007E60ED" w:rsidRPr="0045764A">
        <w:rPr>
          <w:szCs w:val="22"/>
          <w:lang w:val="sr-Latn-ME"/>
        </w:rPr>
        <w:t>ij</w:t>
      </w:r>
      <w:r w:rsidR="00D420E6" w:rsidRPr="0045764A">
        <w:rPr>
          <w:szCs w:val="22"/>
          <w:lang w:val="sr-Latn-ME"/>
        </w:rPr>
        <w:t xml:space="preserve">e početka terapije </w:t>
      </w:r>
      <w:r w:rsidR="00593BF5" w:rsidRPr="0045764A">
        <w:rPr>
          <w:szCs w:val="22"/>
          <w:lang w:val="sr-Latn-ME"/>
        </w:rPr>
        <w:t>lijek</w:t>
      </w:r>
      <w:r w:rsidR="00D420E6" w:rsidRPr="0045764A">
        <w:rPr>
          <w:szCs w:val="22"/>
          <w:lang w:val="sr-Latn-ME"/>
        </w:rPr>
        <w:t xml:space="preserve">om </w:t>
      </w:r>
      <w:proofErr w:type="spellStart"/>
      <w:r w:rsidR="00593BF5" w:rsidRPr="0045764A">
        <w:rPr>
          <w:szCs w:val="22"/>
          <w:lang w:val="sr-Latn-ME"/>
        </w:rPr>
        <w:t>Aksitinib</w:t>
      </w:r>
      <w:proofErr w:type="spellEnd"/>
      <w:r w:rsidR="00593BF5" w:rsidRPr="0045764A">
        <w:rPr>
          <w:szCs w:val="22"/>
          <w:lang w:val="sr-Latn-ME"/>
        </w:rPr>
        <w:t xml:space="preserve"> STADA</w:t>
      </w:r>
      <w:r w:rsidR="007F60F7" w:rsidRPr="0045764A">
        <w:rPr>
          <w:szCs w:val="22"/>
          <w:lang w:val="sr-Latn-ME"/>
        </w:rPr>
        <w:t>, treba pažljivo razmotriti rizik od ove pojave</w:t>
      </w:r>
      <w:r w:rsidR="003D2C49" w:rsidRPr="0045764A">
        <w:rPr>
          <w:szCs w:val="22"/>
          <w:lang w:val="sr-Latn-ME"/>
        </w:rPr>
        <w:t xml:space="preserve"> kod pacijenata sa prisutnim faktorima rizika kao što su hipertenzija ili pojava </w:t>
      </w:r>
      <w:proofErr w:type="spellStart"/>
      <w:r w:rsidR="003D2C49" w:rsidRPr="0045764A">
        <w:rPr>
          <w:szCs w:val="22"/>
          <w:lang w:val="sr-Latn-ME"/>
        </w:rPr>
        <w:t>aneurizmi</w:t>
      </w:r>
      <w:proofErr w:type="spellEnd"/>
      <w:r w:rsidR="003D2C49" w:rsidRPr="0045764A">
        <w:rPr>
          <w:szCs w:val="22"/>
          <w:lang w:val="sr-Latn-ME"/>
        </w:rPr>
        <w:t xml:space="preserve"> u anamnezi.</w:t>
      </w:r>
    </w:p>
    <w:p w14:paraId="41EFB5DA" w14:textId="7E17E7B7" w:rsidR="00987351" w:rsidRPr="0045764A" w:rsidRDefault="00987351" w:rsidP="00C65330">
      <w:pPr>
        <w:rPr>
          <w:rFonts w:eastAsia="TimesNewRoman"/>
          <w:szCs w:val="22"/>
          <w:lang w:val="sr-Latn-ME"/>
        </w:rPr>
      </w:pPr>
    </w:p>
    <w:p w14:paraId="634B99D6" w14:textId="77777777" w:rsidR="00681684" w:rsidRPr="0045764A" w:rsidRDefault="00681684" w:rsidP="00C65330">
      <w:pPr>
        <w:tabs>
          <w:tab w:val="clear" w:pos="284"/>
        </w:tabs>
        <w:autoSpaceDE w:val="0"/>
        <w:autoSpaceDN w:val="0"/>
        <w:adjustRightInd w:val="0"/>
        <w:rPr>
          <w:iCs/>
          <w:szCs w:val="22"/>
          <w:u w:val="single"/>
          <w:lang w:val="sr-Latn-ME"/>
        </w:rPr>
      </w:pPr>
      <w:r w:rsidRPr="0045764A">
        <w:rPr>
          <w:iCs/>
          <w:szCs w:val="22"/>
          <w:u w:val="single"/>
          <w:lang w:val="sr-Latn-ME"/>
        </w:rPr>
        <w:t>Gastrointestinalna perforacija i stvaranje fistula</w:t>
      </w:r>
    </w:p>
    <w:p w14:paraId="1607DEE0" w14:textId="3DB03A51" w:rsidR="00681684" w:rsidRPr="0045764A" w:rsidRDefault="00681684"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U kliničkim ispitivanjima sa </w:t>
      </w:r>
      <w:proofErr w:type="spellStart"/>
      <w:r w:rsidRPr="0045764A">
        <w:rPr>
          <w:rFonts w:eastAsia="TimesNewRoman"/>
          <w:szCs w:val="22"/>
          <w:lang w:val="sr-Latn-ME"/>
        </w:rPr>
        <w:t>aksitinibom</w:t>
      </w:r>
      <w:proofErr w:type="spellEnd"/>
      <w:r w:rsidRPr="0045764A">
        <w:rPr>
          <w:rFonts w:eastAsia="TimesNewRoman"/>
          <w:szCs w:val="22"/>
          <w:lang w:val="sr-Latn-ME"/>
        </w:rPr>
        <w:t>, prijavljene su gastrointestinalne perforacije i fistule (</w:t>
      </w:r>
      <w:r w:rsidR="006F7AEE" w:rsidRPr="0045764A">
        <w:rPr>
          <w:rFonts w:eastAsia="TimesNewRoman"/>
          <w:szCs w:val="22"/>
          <w:lang w:val="sr-Latn-ME"/>
        </w:rPr>
        <w:t>pogledati dio</w:t>
      </w:r>
      <w:r w:rsidR="007E60ED" w:rsidRPr="0045764A">
        <w:rPr>
          <w:rFonts w:eastAsia="TimesNewRoman"/>
          <w:szCs w:val="22"/>
          <w:lang w:val="sr-Latn-ME"/>
        </w:rPr>
        <w:t xml:space="preserve"> </w:t>
      </w:r>
      <w:r w:rsidRPr="0045764A">
        <w:rPr>
          <w:rFonts w:eastAsia="TimesNewRoman"/>
          <w:szCs w:val="22"/>
          <w:lang w:val="sr-Latn-ME"/>
        </w:rPr>
        <w:t>4.8).</w:t>
      </w:r>
    </w:p>
    <w:p w14:paraId="0B0CE0D4" w14:textId="77777777" w:rsidR="00622537" w:rsidRPr="0045764A" w:rsidRDefault="00622537" w:rsidP="00C65330">
      <w:pPr>
        <w:tabs>
          <w:tab w:val="clear" w:pos="284"/>
        </w:tabs>
        <w:autoSpaceDE w:val="0"/>
        <w:autoSpaceDN w:val="0"/>
        <w:adjustRightInd w:val="0"/>
        <w:rPr>
          <w:rFonts w:eastAsia="TimesNewRoman"/>
          <w:szCs w:val="22"/>
          <w:lang w:val="sr-Latn-ME"/>
        </w:rPr>
      </w:pPr>
    </w:p>
    <w:p w14:paraId="76214A1E" w14:textId="70697BFA" w:rsidR="00681684" w:rsidRPr="0045764A" w:rsidRDefault="00681684"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Simptome gastrointestinalne perforacije ili fistule trebalo bi periodično kontrolisati tokom terapije</w:t>
      </w:r>
      <w:r w:rsidR="00622537" w:rsidRPr="0045764A">
        <w:rPr>
          <w:rFonts w:eastAsia="TimesNewRoman"/>
          <w:szCs w:val="22"/>
          <w:lang w:val="sr-Latn-ME"/>
        </w:rPr>
        <w:t xml:space="preserve"> </w:t>
      </w:r>
      <w:proofErr w:type="spellStart"/>
      <w:r w:rsidRPr="0045764A">
        <w:rPr>
          <w:rFonts w:eastAsia="TimesNewRoman"/>
          <w:szCs w:val="22"/>
          <w:lang w:val="sr-Latn-ME"/>
        </w:rPr>
        <w:t>aksitinibom</w:t>
      </w:r>
      <w:proofErr w:type="spellEnd"/>
      <w:r w:rsidRPr="0045764A">
        <w:rPr>
          <w:rFonts w:eastAsia="TimesNewRoman"/>
          <w:szCs w:val="22"/>
          <w:lang w:val="sr-Latn-ME"/>
        </w:rPr>
        <w:t>.</w:t>
      </w:r>
    </w:p>
    <w:p w14:paraId="23AEBA12" w14:textId="01250ECC" w:rsidR="00385640" w:rsidRPr="0045764A" w:rsidRDefault="00385640" w:rsidP="00C65330">
      <w:pPr>
        <w:rPr>
          <w:rFonts w:eastAsia="TimesNewRoman"/>
          <w:szCs w:val="22"/>
          <w:lang w:val="sr-Latn-ME"/>
        </w:rPr>
      </w:pPr>
    </w:p>
    <w:p w14:paraId="5D9D204A" w14:textId="77777777" w:rsidR="00385640" w:rsidRPr="0045764A" w:rsidRDefault="00385640" w:rsidP="00C65330">
      <w:pPr>
        <w:tabs>
          <w:tab w:val="clear" w:pos="284"/>
        </w:tabs>
        <w:autoSpaceDE w:val="0"/>
        <w:autoSpaceDN w:val="0"/>
        <w:adjustRightInd w:val="0"/>
        <w:rPr>
          <w:iCs/>
          <w:szCs w:val="22"/>
          <w:u w:val="single"/>
          <w:lang w:val="sr-Latn-ME"/>
        </w:rPr>
      </w:pPr>
      <w:r w:rsidRPr="0045764A">
        <w:rPr>
          <w:iCs/>
          <w:szCs w:val="22"/>
          <w:u w:val="single"/>
          <w:lang w:val="sr-Latn-ME"/>
        </w:rPr>
        <w:t>Komplikacije pri zarastanju rana</w:t>
      </w:r>
    </w:p>
    <w:p w14:paraId="0148B630" w14:textId="77777777" w:rsidR="00570ACE" w:rsidRPr="0045764A" w:rsidRDefault="00385640"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Ni</w:t>
      </w:r>
      <w:r w:rsidR="00570ACE" w:rsidRPr="0045764A">
        <w:rPr>
          <w:rFonts w:eastAsia="TimesNewRoman"/>
          <w:szCs w:val="22"/>
          <w:lang w:val="sr-Latn-ME"/>
        </w:rPr>
        <w:t>je</w:t>
      </w:r>
      <w:r w:rsidRPr="0045764A">
        <w:rPr>
          <w:rFonts w:eastAsia="TimesNewRoman"/>
          <w:szCs w:val="22"/>
          <w:lang w:val="sr-Latn-ME"/>
        </w:rPr>
        <w:t xml:space="preserve">su sprovedena zvanična ispitivanja o dejstvu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na zarastanje rana.</w:t>
      </w:r>
    </w:p>
    <w:p w14:paraId="222E4FFD" w14:textId="77777777" w:rsidR="00570ACE" w:rsidRPr="0045764A" w:rsidRDefault="00570ACE" w:rsidP="00C65330">
      <w:pPr>
        <w:tabs>
          <w:tab w:val="clear" w:pos="284"/>
        </w:tabs>
        <w:autoSpaceDE w:val="0"/>
        <w:autoSpaceDN w:val="0"/>
        <w:adjustRightInd w:val="0"/>
        <w:rPr>
          <w:rFonts w:eastAsia="TimesNewRoman"/>
          <w:szCs w:val="22"/>
          <w:lang w:val="sr-Latn-ME"/>
        </w:rPr>
      </w:pPr>
    </w:p>
    <w:p w14:paraId="05B55BD0" w14:textId="6C6164A9" w:rsidR="00385640" w:rsidRPr="0045764A" w:rsidRDefault="00AE0DCD"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Liječenj</w:t>
      </w:r>
      <w:r w:rsidR="00385640" w:rsidRPr="0045764A">
        <w:rPr>
          <w:rFonts w:eastAsia="TimesNewRoman"/>
          <w:szCs w:val="22"/>
          <w:lang w:val="sr-Latn-ME"/>
        </w:rPr>
        <w:t xml:space="preserve">e </w:t>
      </w:r>
      <w:proofErr w:type="spellStart"/>
      <w:r w:rsidR="00385640" w:rsidRPr="0045764A">
        <w:rPr>
          <w:rFonts w:eastAsia="TimesNewRoman"/>
          <w:szCs w:val="22"/>
          <w:lang w:val="sr-Latn-ME"/>
        </w:rPr>
        <w:t>aksitinibom</w:t>
      </w:r>
      <w:proofErr w:type="spellEnd"/>
      <w:r w:rsidR="00385640" w:rsidRPr="0045764A">
        <w:rPr>
          <w:rFonts w:eastAsia="TimesNewRoman"/>
          <w:szCs w:val="22"/>
          <w:lang w:val="sr-Latn-ME"/>
        </w:rPr>
        <w:t xml:space="preserve"> treba prekinuti najmanje 24 sata pr</w:t>
      </w:r>
      <w:r w:rsidR="007E60ED" w:rsidRPr="0045764A">
        <w:rPr>
          <w:rFonts w:eastAsia="TimesNewRoman"/>
          <w:szCs w:val="22"/>
          <w:lang w:val="sr-Latn-ME"/>
        </w:rPr>
        <w:t>ij</w:t>
      </w:r>
      <w:r w:rsidR="00385640" w:rsidRPr="0045764A">
        <w:rPr>
          <w:rFonts w:eastAsia="TimesNewRoman"/>
          <w:szCs w:val="22"/>
          <w:lang w:val="sr-Latn-ME"/>
        </w:rPr>
        <w:t>e zakazane operacije. Odluka da se nastavi sa</w:t>
      </w:r>
      <w:r w:rsidR="000F414C" w:rsidRPr="0045764A">
        <w:rPr>
          <w:rFonts w:eastAsia="TimesNewRoman"/>
          <w:szCs w:val="22"/>
          <w:lang w:val="sr-Latn-ME"/>
        </w:rPr>
        <w:t xml:space="preserve"> </w:t>
      </w:r>
      <w:r w:rsidR="00385640" w:rsidRPr="0045764A">
        <w:rPr>
          <w:rFonts w:eastAsia="TimesNewRoman"/>
          <w:szCs w:val="22"/>
          <w:lang w:val="sr-Latn-ME"/>
        </w:rPr>
        <w:t xml:space="preserve">terapijom </w:t>
      </w:r>
      <w:proofErr w:type="spellStart"/>
      <w:r w:rsidR="00385640" w:rsidRPr="0045764A">
        <w:rPr>
          <w:rFonts w:eastAsia="TimesNewRoman"/>
          <w:szCs w:val="22"/>
          <w:lang w:val="sr-Latn-ME"/>
        </w:rPr>
        <w:t>aksitinibom</w:t>
      </w:r>
      <w:proofErr w:type="spellEnd"/>
      <w:r w:rsidR="00385640" w:rsidRPr="0045764A">
        <w:rPr>
          <w:rFonts w:eastAsia="TimesNewRoman"/>
          <w:szCs w:val="22"/>
          <w:lang w:val="sr-Latn-ME"/>
        </w:rPr>
        <w:t xml:space="preserve"> posl</w:t>
      </w:r>
      <w:r w:rsidR="007E60ED" w:rsidRPr="0045764A">
        <w:rPr>
          <w:rFonts w:eastAsia="TimesNewRoman"/>
          <w:szCs w:val="22"/>
          <w:lang w:val="sr-Latn-ME"/>
        </w:rPr>
        <w:t>ij</w:t>
      </w:r>
      <w:r w:rsidR="00385640" w:rsidRPr="0045764A">
        <w:rPr>
          <w:rFonts w:eastAsia="TimesNewRoman"/>
          <w:szCs w:val="22"/>
          <w:lang w:val="sr-Latn-ME"/>
        </w:rPr>
        <w:t>e operacije treba da se zasniva na kliničkoj proc</w:t>
      </w:r>
      <w:r w:rsidR="007E60ED" w:rsidRPr="0045764A">
        <w:rPr>
          <w:rFonts w:eastAsia="TimesNewRoman"/>
          <w:szCs w:val="22"/>
          <w:lang w:val="sr-Latn-ME"/>
        </w:rPr>
        <w:t>j</w:t>
      </w:r>
      <w:r w:rsidR="00385640" w:rsidRPr="0045764A">
        <w:rPr>
          <w:rFonts w:eastAsia="TimesNewRoman"/>
          <w:szCs w:val="22"/>
          <w:lang w:val="sr-Latn-ME"/>
        </w:rPr>
        <w:t>eni adekvatnog zarastanja rane.</w:t>
      </w:r>
    </w:p>
    <w:p w14:paraId="47962694" w14:textId="61CE7AA0" w:rsidR="00385640" w:rsidRPr="0045764A" w:rsidRDefault="00385640" w:rsidP="00C65330">
      <w:pPr>
        <w:rPr>
          <w:rFonts w:eastAsia="TimesNewRoman"/>
          <w:szCs w:val="22"/>
          <w:lang w:val="sr-Latn-ME"/>
        </w:rPr>
      </w:pPr>
    </w:p>
    <w:p w14:paraId="5527F3DC" w14:textId="77777777" w:rsidR="003E04B6" w:rsidRPr="0045764A" w:rsidRDefault="003E04B6" w:rsidP="00C65330">
      <w:pPr>
        <w:tabs>
          <w:tab w:val="clear" w:pos="284"/>
        </w:tabs>
        <w:autoSpaceDE w:val="0"/>
        <w:autoSpaceDN w:val="0"/>
        <w:adjustRightInd w:val="0"/>
        <w:rPr>
          <w:iCs/>
          <w:szCs w:val="22"/>
          <w:u w:val="single"/>
          <w:lang w:val="sr-Latn-ME"/>
        </w:rPr>
      </w:pPr>
      <w:r w:rsidRPr="0045764A">
        <w:rPr>
          <w:iCs/>
          <w:szCs w:val="22"/>
          <w:u w:val="single"/>
          <w:lang w:val="sr-Latn-ME"/>
        </w:rPr>
        <w:t xml:space="preserve">Sindrom posteriorne </w:t>
      </w:r>
      <w:proofErr w:type="spellStart"/>
      <w:r w:rsidRPr="0045764A">
        <w:rPr>
          <w:iCs/>
          <w:szCs w:val="22"/>
          <w:u w:val="single"/>
          <w:lang w:val="sr-Latn-ME"/>
        </w:rPr>
        <w:t>reverzibilne</w:t>
      </w:r>
      <w:proofErr w:type="spellEnd"/>
      <w:r w:rsidRPr="0045764A">
        <w:rPr>
          <w:iCs/>
          <w:szCs w:val="22"/>
          <w:u w:val="single"/>
          <w:lang w:val="sr-Latn-ME"/>
        </w:rPr>
        <w:t xml:space="preserve"> </w:t>
      </w:r>
      <w:proofErr w:type="spellStart"/>
      <w:r w:rsidRPr="0045764A">
        <w:rPr>
          <w:iCs/>
          <w:szCs w:val="22"/>
          <w:u w:val="single"/>
          <w:lang w:val="sr-Latn-ME"/>
        </w:rPr>
        <w:t>encefalopatije</w:t>
      </w:r>
      <w:proofErr w:type="spellEnd"/>
    </w:p>
    <w:p w14:paraId="71BBE9F0" w14:textId="612E547D" w:rsidR="003E04B6" w:rsidRPr="0045764A" w:rsidRDefault="003E04B6"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U kliničkim ispitivanjima sa </w:t>
      </w:r>
      <w:proofErr w:type="spellStart"/>
      <w:r w:rsidRPr="0045764A">
        <w:rPr>
          <w:rFonts w:eastAsia="TimesNewRoman"/>
          <w:szCs w:val="22"/>
          <w:lang w:val="sr-Latn-ME"/>
        </w:rPr>
        <w:t>aksitinibom</w:t>
      </w:r>
      <w:proofErr w:type="spellEnd"/>
      <w:r w:rsidRPr="0045764A">
        <w:rPr>
          <w:rFonts w:eastAsia="TimesNewRoman"/>
          <w:szCs w:val="22"/>
          <w:lang w:val="sr-Latn-ME"/>
        </w:rPr>
        <w:t xml:space="preserve">, prijavljeni su događaji sindroma posteriorne </w:t>
      </w:r>
      <w:proofErr w:type="spellStart"/>
      <w:r w:rsidRPr="0045764A">
        <w:rPr>
          <w:rFonts w:eastAsia="TimesNewRoman"/>
          <w:szCs w:val="22"/>
          <w:lang w:val="sr-Latn-ME"/>
        </w:rPr>
        <w:t>reverzibilne</w:t>
      </w:r>
      <w:proofErr w:type="spellEnd"/>
      <w:r w:rsidR="005D7548" w:rsidRPr="0045764A">
        <w:rPr>
          <w:rFonts w:eastAsia="TimesNewRoman"/>
          <w:szCs w:val="22"/>
          <w:lang w:val="sr-Latn-ME"/>
        </w:rPr>
        <w:t xml:space="preserve"> </w:t>
      </w:r>
      <w:proofErr w:type="spellStart"/>
      <w:r w:rsidRPr="0045764A">
        <w:rPr>
          <w:rFonts w:eastAsia="TimesNewRoman"/>
          <w:szCs w:val="22"/>
          <w:lang w:val="sr-Latn-ME"/>
        </w:rPr>
        <w:t>encefalopatije</w:t>
      </w:r>
      <w:proofErr w:type="spellEnd"/>
      <w:r w:rsidRPr="0045764A">
        <w:rPr>
          <w:rFonts w:eastAsia="TimesNewRoman"/>
          <w:szCs w:val="22"/>
          <w:lang w:val="sr-Latn-ME"/>
        </w:rPr>
        <w:t xml:space="preserve"> (engl. </w:t>
      </w:r>
      <w:proofErr w:type="spellStart"/>
      <w:r w:rsidR="00570ACE" w:rsidRPr="0045764A">
        <w:rPr>
          <w:i/>
          <w:iCs/>
          <w:szCs w:val="22"/>
          <w:lang w:val="sr-Latn-ME"/>
        </w:rPr>
        <w:t>p</w:t>
      </w:r>
      <w:r w:rsidRPr="0045764A">
        <w:rPr>
          <w:i/>
          <w:iCs/>
          <w:szCs w:val="22"/>
          <w:lang w:val="sr-Latn-ME"/>
        </w:rPr>
        <w:t>osterior</w:t>
      </w:r>
      <w:proofErr w:type="spellEnd"/>
      <w:r w:rsidRPr="0045764A">
        <w:rPr>
          <w:i/>
          <w:iCs/>
          <w:szCs w:val="22"/>
          <w:lang w:val="sr-Latn-ME"/>
        </w:rPr>
        <w:t xml:space="preserve"> </w:t>
      </w:r>
      <w:proofErr w:type="spellStart"/>
      <w:r w:rsidRPr="0045764A">
        <w:rPr>
          <w:i/>
          <w:iCs/>
          <w:szCs w:val="22"/>
          <w:lang w:val="sr-Latn-ME"/>
        </w:rPr>
        <w:t>reversible</w:t>
      </w:r>
      <w:proofErr w:type="spellEnd"/>
      <w:r w:rsidRPr="0045764A">
        <w:rPr>
          <w:i/>
          <w:iCs/>
          <w:szCs w:val="22"/>
          <w:lang w:val="sr-Latn-ME"/>
        </w:rPr>
        <w:t xml:space="preserve"> </w:t>
      </w:r>
      <w:proofErr w:type="spellStart"/>
      <w:r w:rsidRPr="0045764A">
        <w:rPr>
          <w:i/>
          <w:iCs/>
          <w:szCs w:val="22"/>
          <w:lang w:val="sr-Latn-ME"/>
        </w:rPr>
        <w:t>encephalopathy</w:t>
      </w:r>
      <w:proofErr w:type="spellEnd"/>
      <w:r w:rsidRPr="0045764A">
        <w:rPr>
          <w:i/>
          <w:iCs/>
          <w:szCs w:val="22"/>
          <w:lang w:val="sr-Latn-ME"/>
        </w:rPr>
        <w:t xml:space="preserve"> </w:t>
      </w:r>
      <w:proofErr w:type="spellStart"/>
      <w:r w:rsidRPr="0045764A">
        <w:rPr>
          <w:i/>
          <w:iCs/>
          <w:szCs w:val="22"/>
          <w:lang w:val="sr-Latn-ME"/>
        </w:rPr>
        <w:t>syndrome</w:t>
      </w:r>
      <w:proofErr w:type="spellEnd"/>
      <w:r w:rsidRPr="0045764A">
        <w:rPr>
          <w:i/>
          <w:iCs/>
          <w:szCs w:val="22"/>
          <w:lang w:val="sr-Latn-ME"/>
        </w:rPr>
        <w:t xml:space="preserve">, </w:t>
      </w:r>
      <w:r w:rsidRPr="0045764A">
        <w:rPr>
          <w:rFonts w:eastAsia="TimesNewRoman"/>
          <w:szCs w:val="22"/>
          <w:lang w:val="sr-Latn-ME"/>
        </w:rPr>
        <w:t>PRES) (</w:t>
      </w:r>
      <w:r w:rsidR="006F7AEE" w:rsidRPr="0045764A">
        <w:rPr>
          <w:rFonts w:eastAsia="TimesNewRoman"/>
          <w:szCs w:val="22"/>
          <w:lang w:val="sr-Latn-ME"/>
        </w:rPr>
        <w:t>pogledati dio</w:t>
      </w:r>
      <w:r w:rsidRPr="0045764A">
        <w:rPr>
          <w:rFonts w:eastAsia="TimesNewRoman"/>
          <w:szCs w:val="22"/>
          <w:lang w:val="sr-Latn-ME"/>
        </w:rPr>
        <w:t xml:space="preserve"> 4.8).</w:t>
      </w:r>
    </w:p>
    <w:p w14:paraId="02C3429B" w14:textId="77777777" w:rsidR="005D7548" w:rsidRPr="0045764A" w:rsidRDefault="005D7548" w:rsidP="00C65330">
      <w:pPr>
        <w:tabs>
          <w:tab w:val="clear" w:pos="284"/>
        </w:tabs>
        <w:autoSpaceDE w:val="0"/>
        <w:autoSpaceDN w:val="0"/>
        <w:adjustRightInd w:val="0"/>
        <w:rPr>
          <w:rFonts w:eastAsia="TimesNewRoman"/>
          <w:szCs w:val="22"/>
          <w:lang w:val="sr-Latn-ME"/>
        </w:rPr>
      </w:pPr>
    </w:p>
    <w:p w14:paraId="494330FA" w14:textId="5EF2B8B6" w:rsidR="003E04B6" w:rsidRPr="0045764A" w:rsidRDefault="003E04B6"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PRES je neurološki poremećaj koji se može manifestovati glavoboljom, konvulzijama, letargijom,</w:t>
      </w:r>
      <w:r w:rsidR="005D7548" w:rsidRPr="0045764A">
        <w:rPr>
          <w:rFonts w:eastAsia="TimesNewRoman"/>
          <w:szCs w:val="22"/>
          <w:lang w:val="sr-Latn-ME"/>
        </w:rPr>
        <w:t xml:space="preserve"> </w:t>
      </w:r>
      <w:r w:rsidRPr="0045764A">
        <w:rPr>
          <w:rFonts w:eastAsia="TimesNewRoman"/>
          <w:szCs w:val="22"/>
          <w:lang w:val="sr-Latn-ME"/>
        </w:rPr>
        <w:t>konfuzijom, sl</w:t>
      </w:r>
      <w:r w:rsidR="007E60ED" w:rsidRPr="0045764A">
        <w:rPr>
          <w:rFonts w:eastAsia="TimesNewRoman"/>
          <w:szCs w:val="22"/>
          <w:lang w:val="sr-Latn-ME"/>
        </w:rPr>
        <w:t>j</w:t>
      </w:r>
      <w:r w:rsidRPr="0045764A">
        <w:rPr>
          <w:rFonts w:eastAsia="TimesNewRoman"/>
          <w:szCs w:val="22"/>
          <w:lang w:val="sr-Latn-ME"/>
        </w:rPr>
        <w:t>epilom i drugim vizuelnim i neurološkim poremećajima. Može biti prisutna blaga do teška</w:t>
      </w:r>
      <w:r w:rsidR="005D7548" w:rsidRPr="0045764A">
        <w:rPr>
          <w:rFonts w:eastAsia="TimesNewRoman"/>
          <w:szCs w:val="22"/>
          <w:lang w:val="sr-Latn-ME"/>
        </w:rPr>
        <w:t xml:space="preserve"> </w:t>
      </w:r>
      <w:r w:rsidRPr="0045764A">
        <w:rPr>
          <w:rFonts w:eastAsia="TimesNewRoman"/>
          <w:szCs w:val="22"/>
          <w:lang w:val="sr-Latn-ME"/>
        </w:rPr>
        <w:t>hipertenzija. Magnetna rezonanca je potrebna da bi se potvrdila dijagnoza PRES. Kod pacijenata sa znacima</w:t>
      </w:r>
      <w:r w:rsidR="005D7548" w:rsidRPr="0045764A">
        <w:rPr>
          <w:rFonts w:eastAsia="TimesNewRoman"/>
          <w:szCs w:val="22"/>
          <w:lang w:val="sr-Latn-ME"/>
        </w:rPr>
        <w:t xml:space="preserve"> </w:t>
      </w:r>
      <w:r w:rsidRPr="0045764A">
        <w:rPr>
          <w:rFonts w:eastAsia="TimesNewRoman"/>
          <w:szCs w:val="22"/>
          <w:lang w:val="sr-Latn-ME"/>
        </w:rPr>
        <w:t xml:space="preserve">ili simptomima PRES, potrebno je privremeno prekinuti ili trajno obustaviti terapiju </w:t>
      </w:r>
      <w:proofErr w:type="spellStart"/>
      <w:r w:rsidRPr="0045764A">
        <w:rPr>
          <w:rFonts w:eastAsia="TimesNewRoman"/>
          <w:szCs w:val="22"/>
          <w:lang w:val="sr-Latn-ME"/>
        </w:rPr>
        <w:t>aksitinibom</w:t>
      </w:r>
      <w:proofErr w:type="spellEnd"/>
      <w:r w:rsidRPr="0045764A">
        <w:rPr>
          <w:rFonts w:eastAsia="TimesNewRoman"/>
          <w:szCs w:val="22"/>
          <w:lang w:val="sr-Latn-ME"/>
        </w:rPr>
        <w:t>. Nije</w:t>
      </w:r>
      <w:r w:rsidR="005D7548" w:rsidRPr="0045764A">
        <w:rPr>
          <w:rFonts w:eastAsia="TimesNewRoman"/>
          <w:szCs w:val="22"/>
          <w:lang w:val="sr-Latn-ME"/>
        </w:rPr>
        <w:t xml:space="preserve"> </w:t>
      </w:r>
      <w:r w:rsidRPr="0045764A">
        <w:rPr>
          <w:rFonts w:eastAsia="TimesNewRoman"/>
          <w:szCs w:val="22"/>
          <w:lang w:val="sr-Latn-ME"/>
        </w:rPr>
        <w:t>poznata bezb</w:t>
      </w:r>
      <w:r w:rsidR="007E60ED" w:rsidRPr="0045764A">
        <w:rPr>
          <w:rFonts w:eastAsia="TimesNewRoman"/>
          <w:szCs w:val="22"/>
          <w:lang w:val="sr-Latn-ME"/>
        </w:rPr>
        <w:t>j</w:t>
      </w:r>
      <w:r w:rsidRPr="0045764A">
        <w:rPr>
          <w:rFonts w:eastAsia="TimesNewRoman"/>
          <w:szCs w:val="22"/>
          <w:lang w:val="sr-Latn-ME"/>
        </w:rPr>
        <w:t xml:space="preserve">ednost ponovnog započinjanja terapije </w:t>
      </w:r>
      <w:proofErr w:type="spellStart"/>
      <w:r w:rsidRPr="0045764A">
        <w:rPr>
          <w:rFonts w:eastAsia="TimesNewRoman"/>
          <w:szCs w:val="22"/>
          <w:lang w:val="sr-Latn-ME"/>
        </w:rPr>
        <w:t>aksitinibom</w:t>
      </w:r>
      <w:proofErr w:type="spellEnd"/>
      <w:r w:rsidRPr="0045764A">
        <w:rPr>
          <w:rFonts w:eastAsia="TimesNewRoman"/>
          <w:szCs w:val="22"/>
          <w:lang w:val="sr-Latn-ME"/>
        </w:rPr>
        <w:t xml:space="preserve"> kod pacijenata koji su prethodno imali</w:t>
      </w:r>
      <w:r w:rsidR="005D7548" w:rsidRPr="0045764A">
        <w:rPr>
          <w:rFonts w:eastAsia="TimesNewRoman"/>
          <w:szCs w:val="22"/>
          <w:lang w:val="sr-Latn-ME"/>
        </w:rPr>
        <w:t xml:space="preserve"> </w:t>
      </w:r>
      <w:r w:rsidRPr="0045764A">
        <w:rPr>
          <w:rFonts w:eastAsia="TimesNewRoman"/>
          <w:szCs w:val="22"/>
          <w:lang w:val="sr-Latn-ME"/>
        </w:rPr>
        <w:t>PRES.</w:t>
      </w:r>
    </w:p>
    <w:p w14:paraId="50CD4C36" w14:textId="77777777" w:rsidR="005D7548" w:rsidRPr="0045764A" w:rsidRDefault="005D7548" w:rsidP="00C65330">
      <w:pPr>
        <w:tabs>
          <w:tab w:val="clear" w:pos="284"/>
        </w:tabs>
        <w:autoSpaceDE w:val="0"/>
        <w:autoSpaceDN w:val="0"/>
        <w:adjustRightInd w:val="0"/>
        <w:rPr>
          <w:i/>
          <w:iCs/>
          <w:szCs w:val="22"/>
          <w:lang w:val="sr-Latn-ME"/>
        </w:rPr>
      </w:pPr>
    </w:p>
    <w:p w14:paraId="67664BA1" w14:textId="2F725901" w:rsidR="001C5B72" w:rsidRPr="0045764A" w:rsidRDefault="001C5B72" w:rsidP="00C65330">
      <w:pPr>
        <w:tabs>
          <w:tab w:val="clear" w:pos="284"/>
        </w:tabs>
        <w:autoSpaceDE w:val="0"/>
        <w:autoSpaceDN w:val="0"/>
        <w:adjustRightInd w:val="0"/>
        <w:rPr>
          <w:iCs/>
          <w:szCs w:val="22"/>
          <w:u w:val="single"/>
          <w:lang w:val="sr-Latn-ME"/>
        </w:rPr>
      </w:pPr>
      <w:proofErr w:type="spellStart"/>
      <w:r w:rsidRPr="0045764A">
        <w:rPr>
          <w:iCs/>
          <w:szCs w:val="22"/>
          <w:u w:val="single"/>
          <w:lang w:val="sr-Latn-ME"/>
        </w:rPr>
        <w:t>Proteinurija</w:t>
      </w:r>
      <w:proofErr w:type="spellEnd"/>
    </w:p>
    <w:p w14:paraId="1F70B063" w14:textId="37361913" w:rsidR="001C5B72" w:rsidRPr="0045764A" w:rsidRDefault="001C5B72"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U kliničkim ispitivanjima sa </w:t>
      </w:r>
      <w:proofErr w:type="spellStart"/>
      <w:r w:rsidRPr="0045764A">
        <w:rPr>
          <w:rFonts w:eastAsia="TimesNewRoman"/>
          <w:szCs w:val="22"/>
          <w:lang w:val="sr-Latn-ME"/>
        </w:rPr>
        <w:t>aksitinibom</w:t>
      </w:r>
      <w:proofErr w:type="spellEnd"/>
      <w:r w:rsidRPr="0045764A">
        <w:rPr>
          <w:rFonts w:eastAsia="TimesNewRoman"/>
          <w:szCs w:val="22"/>
          <w:lang w:val="sr-Latn-ME"/>
        </w:rPr>
        <w:t xml:space="preserve">, prijavljena je </w:t>
      </w:r>
      <w:proofErr w:type="spellStart"/>
      <w:r w:rsidRPr="0045764A">
        <w:rPr>
          <w:rFonts w:eastAsia="TimesNewRoman"/>
          <w:szCs w:val="22"/>
          <w:lang w:val="sr-Latn-ME"/>
        </w:rPr>
        <w:t>proteinurija</w:t>
      </w:r>
      <w:proofErr w:type="spellEnd"/>
      <w:r w:rsidRPr="0045764A">
        <w:rPr>
          <w:rFonts w:eastAsia="TimesNewRoman"/>
          <w:szCs w:val="22"/>
          <w:lang w:val="sr-Latn-ME"/>
        </w:rPr>
        <w:t xml:space="preserve">, uključujući i </w:t>
      </w:r>
      <w:proofErr w:type="spellStart"/>
      <w:r w:rsidRPr="0045764A">
        <w:rPr>
          <w:rFonts w:eastAsia="TimesNewRoman"/>
          <w:szCs w:val="22"/>
          <w:lang w:val="sr-Latn-ME"/>
        </w:rPr>
        <w:t>proteinuriju</w:t>
      </w:r>
      <w:proofErr w:type="spellEnd"/>
      <w:r w:rsidRPr="0045764A">
        <w:rPr>
          <w:rFonts w:eastAsia="TimesNewRoman"/>
          <w:szCs w:val="22"/>
          <w:lang w:val="sr-Latn-ME"/>
        </w:rPr>
        <w:t xml:space="preserve"> Gradusa 3 i 4</w:t>
      </w:r>
      <w:r w:rsidR="009F2FB0" w:rsidRPr="0045764A">
        <w:rPr>
          <w:rFonts w:eastAsia="TimesNewRoman"/>
          <w:szCs w:val="22"/>
          <w:lang w:val="sr-Latn-ME"/>
        </w:rPr>
        <w:t xml:space="preserve"> </w:t>
      </w:r>
      <w:r w:rsidRPr="0045764A">
        <w:rPr>
          <w:rFonts w:eastAsia="TimesNewRoman"/>
          <w:szCs w:val="22"/>
          <w:lang w:val="sr-Latn-ME"/>
        </w:rPr>
        <w:t>(</w:t>
      </w:r>
      <w:r w:rsidR="006F7AEE" w:rsidRPr="0045764A">
        <w:rPr>
          <w:rFonts w:eastAsia="TimesNewRoman"/>
          <w:szCs w:val="22"/>
          <w:lang w:val="sr-Latn-ME"/>
        </w:rPr>
        <w:t>pogledati dio</w:t>
      </w:r>
      <w:r w:rsidRPr="0045764A">
        <w:rPr>
          <w:rFonts w:eastAsia="TimesNewRoman"/>
          <w:szCs w:val="22"/>
          <w:lang w:val="sr-Latn-ME"/>
        </w:rPr>
        <w:t xml:space="preserve"> 4.8).</w:t>
      </w:r>
    </w:p>
    <w:p w14:paraId="62DE7478" w14:textId="77777777" w:rsidR="009F2FB0" w:rsidRPr="0045764A" w:rsidRDefault="009F2FB0" w:rsidP="00C65330">
      <w:pPr>
        <w:tabs>
          <w:tab w:val="clear" w:pos="284"/>
        </w:tabs>
        <w:autoSpaceDE w:val="0"/>
        <w:autoSpaceDN w:val="0"/>
        <w:adjustRightInd w:val="0"/>
        <w:rPr>
          <w:rFonts w:eastAsia="TimesNewRoman"/>
          <w:szCs w:val="22"/>
          <w:lang w:val="sr-Latn-ME"/>
        </w:rPr>
      </w:pPr>
    </w:p>
    <w:p w14:paraId="10E49767" w14:textId="73EC8EAE" w:rsidR="005926E4" w:rsidRPr="0045764A" w:rsidRDefault="001C5B72"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Kontrola </w:t>
      </w:r>
      <w:r w:rsidR="00570ACE" w:rsidRPr="0045764A">
        <w:rPr>
          <w:rFonts w:eastAsia="TimesNewRoman"/>
          <w:szCs w:val="22"/>
          <w:lang w:val="sr-Latn-ME"/>
        </w:rPr>
        <w:t xml:space="preserve">zbog moguće </w:t>
      </w:r>
      <w:proofErr w:type="spellStart"/>
      <w:r w:rsidRPr="0045764A">
        <w:rPr>
          <w:rFonts w:eastAsia="TimesNewRoman"/>
          <w:szCs w:val="22"/>
          <w:lang w:val="sr-Latn-ME"/>
        </w:rPr>
        <w:t>proteinurije</w:t>
      </w:r>
      <w:proofErr w:type="spellEnd"/>
      <w:r w:rsidRPr="0045764A">
        <w:rPr>
          <w:rFonts w:eastAsia="TimesNewRoman"/>
          <w:szCs w:val="22"/>
          <w:lang w:val="sr-Latn-ME"/>
        </w:rPr>
        <w:t xml:space="preserve"> preporučuje </w:t>
      </w:r>
      <w:r w:rsidR="00570ACE" w:rsidRPr="0045764A">
        <w:rPr>
          <w:rFonts w:eastAsia="TimesNewRoman"/>
          <w:szCs w:val="22"/>
          <w:lang w:val="sr-Latn-ME"/>
        </w:rPr>
        <w:t xml:space="preserve">se </w:t>
      </w:r>
      <w:r w:rsidRPr="0045764A">
        <w:rPr>
          <w:rFonts w:eastAsia="TimesNewRoman"/>
          <w:szCs w:val="22"/>
          <w:lang w:val="sr-Latn-ME"/>
        </w:rPr>
        <w:t>pr</w:t>
      </w:r>
      <w:r w:rsidR="007E60ED" w:rsidRPr="0045764A">
        <w:rPr>
          <w:rFonts w:eastAsia="TimesNewRoman"/>
          <w:szCs w:val="22"/>
          <w:lang w:val="sr-Latn-ME"/>
        </w:rPr>
        <w:t>ij</w:t>
      </w:r>
      <w:r w:rsidRPr="0045764A">
        <w:rPr>
          <w:rFonts w:eastAsia="TimesNewRoman"/>
          <w:szCs w:val="22"/>
          <w:lang w:val="sr-Latn-ME"/>
        </w:rPr>
        <w:t xml:space="preserve">e započinjanja i povremeno tokom terapije </w:t>
      </w:r>
      <w:proofErr w:type="spellStart"/>
      <w:r w:rsidRPr="0045764A">
        <w:rPr>
          <w:rFonts w:eastAsia="TimesNewRoman"/>
          <w:szCs w:val="22"/>
          <w:lang w:val="sr-Latn-ME"/>
        </w:rPr>
        <w:t>aksitinibom</w:t>
      </w:r>
      <w:proofErr w:type="spellEnd"/>
      <w:r w:rsidRPr="0045764A">
        <w:rPr>
          <w:rFonts w:eastAsia="TimesNewRoman"/>
          <w:szCs w:val="22"/>
          <w:lang w:val="sr-Latn-ME"/>
        </w:rPr>
        <w:t>. Za pacijente</w:t>
      </w:r>
      <w:r w:rsidR="009F2FB0" w:rsidRPr="0045764A">
        <w:rPr>
          <w:rFonts w:eastAsia="TimesNewRoman"/>
          <w:szCs w:val="22"/>
          <w:lang w:val="sr-Latn-ME"/>
        </w:rPr>
        <w:t xml:space="preserve"> </w:t>
      </w:r>
      <w:r w:rsidRPr="0045764A">
        <w:rPr>
          <w:rFonts w:eastAsia="TimesNewRoman"/>
          <w:szCs w:val="22"/>
          <w:lang w:val="sr-Latn-ME"/>
        </w:rPr>
        <w:t>kod kojih se razvije um</w:t>
      </w:r>
      <w:r w:rsidR="007E60ED" w:rsidRPr="0045764A">
        <w:rPr>
          <w:rFonts w:eastAsia="TimesNewRoman"/>
          <w:szCs w:val="22"/>
          <w:lang w:val="sr-Latn-ME"/>
        </w:rPr>
        <w:t>j</w:t>
      </w:r>
      <w:r w:rsidRPr="0045764A">
        <w:rPr>
          <w:rFonts w:eastAsia="TimesNewRoman"/>
          <w:szCs w:val="22"/>
          <w:lang w:val="sr-Latn-ME"/>
        </w:rPr>
        <w:t xml:space="preserve">erena do teška </w:t>
      </w:r>
      <w:proofErr w:type="spellStart"/>
      <w:r w:rsidRPr="0045764A">
        <w:rPr>
          <w:rFonts w:eastAsia="TimesNewRoman"/>
          <w:szCs w:val="22"/>
          <w:lang w:val="sr-Latn-ME"/>
        </w:rPr>
        <w:t>proteinurija</w:t>
      </w:r>
      <w:proofErr w:type="spellEnd"/>
      <w:r w:rsidRPr="0045764A">
        <w:rPr>
          <w:rFonts w:eastAsia="TimesNewRoman"/>
          <w:szCs w:val="22"/>
          <w:lang w:val="sr-Latn-ME"/>
        </w:rPr>
        <w:t>, treba smanjiti dozu ili privremeno prekinuti terapiju</w:t>
      </w:r>
      <w:r w:rsidR="009F2FB0" w:rsidRPr="0045764A">
        <w:rPr>
          <w:rFonts w:eastAsia="TimesNewRoman"/>
          <w:szCs w:val="22"/>
          <w:lang w:val="sr-Latn-ME"/>
        </w:rPr>
        <w:t xml:space="preserve"> </w:t>
      </w:r>
      <w:proofErr w:type="spellStart"/>
      <w:r w:rsidRPr="0045764A">
        <w:rPr>
          <w:rFonts w:eastAsia="TimesNewRoman"/>
          <w:szCs w:val="22"/>
          <w:lang w:val="sr-Latn-ME"/>
        </w:rPr>
        <w:t>aksitinibom</w:t>
      </w:r>
      <w:proofErr w:type="spellEnd"/>
      <w:r w:rsidRPr="0045764A">
        <w:rPr>
          <w:rFonts w:eastAsia="TimesNewRoman"/>
          <w:szCs w:val="22"/>
          <w:lang w:val="sr-Latn-ME"/>
        </w:rPr>
        <w:t xml:space="preserve"> (</w:t>
      </w:r>
      <w:r w:rsidR="006F7AEE" w:rsidRPr="0045764A">
        <w:rPr>
          <w:rFonts w:eastAsia="TimesNewRoman"/>
          <w:szCs w:val="22"/>
          <w:lang w:val="sr-Latn-ME"/>
        </w:rPr>
        <w:t>pogledati dio</w:t>
      </w:r>
      <w:r w:rsidRPr="0045764A">
        <w:rPr>
          <w:rFonts w:eastAsia="TimesNewRoman"/>
          <w:szCs w:val="22"/>
          <w:lang w:val="sr-Latn-ME"/>
        </w:rPr>
        <w:t xml:space="preserve"> 4.2). Terapiju </w:t>
      </w:r>
      <w:proofErr w:type="spellStart"/>
      <w:r w:rsidRPr="0045764A">
        <w:rPr>
          <w:rFonts w:eastAsia="TimesNewRoman"/>
          <w:szCs w:val="22"/>
          <w:lang w:val="sr-Latn-ME"/>
        </w:rPr>
        <w:t>aksitinibom</w:t>
      </w:r>
      <w:proofErr w:type="spellEnd"/>
      <w:r w:rsidRPr="0045764A">
        <w:rPr>
          <w:rFonts w:eastAsia="TimesNewRoman"/>
          <w:szCs w:val="22"/>
          <w:lang w:val="sr-Latn-ME"/>
        </w:rPr>
        <w:t xml:space="preserve"> treba obustaviti ukoliko se kod pacijenta razvije</w:t>
      </w:r>
      <w:r w:rsidR="009F2FB0" w:rsidRPr="0045764A">
        <w:rPr>
          <w:rFonts w:eastAsia="TimesNewRoman"/>
          <w:szCs w:val="22"/>
          <w:lang w:val="sr-Latn-ME"/>
        </w:rPr>
        <w:t xml:space="preserve"> </w:t>
      </w:r>
      <w:proofErr w:type="spellStart"/>
      <w:r w:rsidRPr="0045764A">
        <w:rPr>
          <w:rFonts w:eastAsia="TimesNewRoman"/>
          <w:szCs w:val="22"/>
          <w:lang w:val="sr-Latn-ME"/>
        </w:rPr>
        <w:t>nefrotski</w:t>
      </w:r>
      <w:proofErr w:type="spellEnd"/>
      <w:r w:rsidRPr="0045764A">
        <w:rPr>
          <w:rFonts w:eastAsia="TimesNewRoman"/>
          <w:szCs w:val="22"/>
          <w:lang w:val="sr-Latn-ME"/>
        </w:rPr>
        <w:t xml:space="preserve"> sindrom.</w:t>
      </w:r>
    </w:p>
    <w:p w14:paraId="70DA2E7B" w14:textId="77777777" w:rsidR="00873119" w:rsidRPr="0045764A" w:rsidRDefault="00873119" w:rsidP="00C65330">
      <w:pPr>
        <w:tabs>
          <w:tab w:val="clear" w:pos="284"/>
        </w:tabs>
        <w:autoSpaceDE w:val="0"/>
        <w:autoSpaceDN w:val="0"/>
        <w:adjustRightInd w:val="0"/>
        <w:rPr>
          <w:i/>
          <w:iCs/>
          <w:szCs w:val="22"/>
          <w:lang w:val="sr-Latn-ME"/>
        </w:rPr>
      </w:pPr>
    </w:p>
    <w:p w14:paraId="48D90486" w14:textId="6B377A84" w:rsidR="00154F24" w:rsidRPr="0045764A" w:rsidRDefault="00154F24" w:rsidP="00C65330">
      <w:pPr>
        <w:tabs>
          <w:tab w:val="clear" w:pos="284"/>
        </w:tabs>
        <w:autoSpaceDE w:val="0"/>
        <w:autoSpaceDN w:val="0"/>
        <w:adjustRightInd w:val="0"/>
        <w:rPr>
          <w:i/>
          <w:iCs/>
          <w:szCs w:val="22"/>
          <w:lang w:val="sr-Latn-ME"/>
        </w:rPr>
      </w:pPr>
      <w:r w:rsidRPr="0045764A">
        <w:rPr>
          <w:i/>
          <w:iCs/>
          <w:szCs w:val="22"/>
          <w:lang w:val="sr-Latn-ME"/>
        </w:rPr>
        <w:t>Neželjen</w:t>
      </w:r>
      <w:r w:rsidR="00813F85" w:rsidRPr="0045764A">
        <w:rPr>
          <w:i/>
          <w:iCs/>
          <w:szCs w:val="22"/>
          <w:lang w:val="sr-Latn-ME"/>
        </w:rPr>
        <w:t>a</w:t>
      </w:r>
      <w:r w:rsidRPr="0045764A">
        <w:rPr>
          <w:i/>
          <w:iCs/>
          <w:szCs w:val="22"/>
          <w:lang w:val="sr-Latn-ME"/>
        </w:rPr>
        <w:t xml:space="preserve"> </w:t>
      </w:r>
      <w:r w:rsidR="00813F85" w:rsidRPr="0045764A">
        <w:rPr>
          <w:i/>
          <w:iCs/>
          <w:szCs w:val="22"/>
          <w:lang w:val="sr-Latn-ME"/>
        </w:rPr>
        <w:t xml:space="preserve">dejstva </w:t>
      </w:r>
      <w:r w:rsidR="00A64AD5" w:rsidRPr="0045764A">
        <w:rPr>
          <w:i/>
          <w:iCs/>
          <w:szCs w:val="22"/>
          <w:lang w:val="sr-Latn-ME"/>
        </w:rPr>
        <w:t>po</w:t>
      </w:r>
      <w:r w:rsidRPr="0045764A">
        <w:rPr>
          <w:i/>
          <w:iCs/>
          <w:szCs w:val="22"/>
          <w:lang w:val="sr-Latn-ME"/>
        </w:rPr>
        <w:t>vezan</w:t>
      </w:r>
      <w:r w:rsidR="00813F85" w:rsidRPr="0045764A">
        <w:rPr>
          <w:i/>
          <w:iCs/>
          <w:szCs w:val="22"/>
          <w:lang w:val="sr-Latn-ME"/>
        </w:rPr>
        <w:t>a</w:t>
      </w:r>
      <w:r w:rsidRPr="0045764A">
        <w:rPr>
          <w:i/>
          <w:iCs/>
          <w:szCs w:val="22"/>
          <w:lang w:val="sr-Latn-ME"/>
        </w:rPr>
        <w:t xml:space="preserve"> </w:t>
      </w:r>
      <w:r w:rsidR="00A64AD5" w:rsidRPr="0045764A">
        <w:rPr>
          <w:i/>
          <w:iCs/>
          <w:szCs w:val="22"/>
          <w:lang w:val="sr-Latn-ME"/>
        </w:rPr>
        <w:t>sa funkcijom</w:t>
      </w:r>
      <w:r w:rsidRPr="0045764A">
        <w:rPr>
          <w:i/>
          <w:iCs/>
          <w:szCs w:val="22"/>
          <w:lang w:val="sr-Latn-ME"/>
        </w:rPr>
        <w:t xml:space="preserve"> jetr</w:t>
      </w:r>
      <w:r w:rsidR="00A64AD5" w:rsidRPr="0045764A">
        <w:rPr>
          <w:i/>
          <w:iCs/>
          <w:szCs w:val="22"/>
          <w:lang w:val="sr-Latn-ME"/>
        </w:rPr>
        <w:t>e</w:t>
      </w:r>
    </w:p>
    <w:p w14:paraId="30B902F7" w14:textId="6E79CEDB" w:rsidR="00154F24" w:rsidRPr="0045764A" w:rsidRDefault="00154F24"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U kontrolisanom kliničkom ispitivanju sa </w:t>
      </w:r>
      <w:proofErr w:type="spellStart"/>
      <w:r w:rsidRPr="0045764A">
        <w:rPr>
          <w:rFonts w:eastAsia="TimesNewRoman"/>
          <w:szCs w:val="22"/>
          <w:lang w:val="sr-Latn-ME"/>
        </w:rPr>
        <w:t>aksitinibom</w:t>
      </w:r>
      <w:proofErr w:type="spellEnd"/>
      <w:r w:rsidRPr="0045764A">
        <w:rPr>
          <w:rFonts w:eastAsia="TimesNewRoman"/>
          <w:szCs w:val="22"/>
          <w:lang w:val="sr-Latn-ME"/>
        </w:rPr>
        <w:t xml:space="preserve"> za </w:t>
      </w:r>
      <w:r w:rsidR="00AE0DCD" w:rsidRPr="0045764A">
        <w:rPr>
          <w:rFonts w:eastAsia="TimesNewRoman"/>
          <w:szCs w:val="22"/>
          <w:lang w:val="sr-Latn-ME"/>
        </w:rPr>
        <w:t>liječenj</w:t>
      </w:r>
      <w:r w:rsidRPr="0045764A">
        <w:rPr>
          <w:rFonts w:eastAsia="TimesNewRoman"/>
          <w:szCs w:val="22"/>
          <w:lang w:val="sr-Latn-ME"/>
        </w:rPr>
        <w:t>e pacijenata sa RCC, prijavljen</w:t>
      </w:r>
      <w:r w:rsidR="00813F85" w:rsidRPr="0045764A">
        <w:rPr>
          <w:rFonts w:eastAsia="TimesNewRoman"/>
          <w:szCs w:val="22"/>
          <w:lang w:val="sr-Latn-ME"/>
        </w:rPr>
        <w:t>a</w:t>
      </w:r>
      <w:r w:rsidRPr="0045764A">
        <w:rPr>
          <w:rFonts w:eastAsia="TimesNewRoman"/>
          <w:szCs w:val="22"/>
          <w:lang w:val="sr-Latn-ME"/>
        </w:rPr>
        <w:t xml:space="preserve"> su neželjen</w:t>
      </w:r>
      <w:r w:rsidR="00813F85" w:rsidRPr="0045764A">
        <w:rPr>
          <w:rFonts w:eastAsia="TimesNewRoman"/>
          <w:szCs w:val="22"/>
          <w:lang w:val="sr-Latn-ME"/>
        </w:rPr>
        <w:t>a</w:t>
      </w:r>
      <w:r w:rsidR="009F2FB0" w:rsidRPr="0045764A">
        <w:rPr>
          <w:rFonts w:eastAsia="TimesNewRoman"/>
          <w:szCs w:val="22"/>
          <w:lang w:val="sr-Latn-ME"/>
        </w:rPr>
        <w:t xml:space="preserve"> </w:t>
      </w:r>
      <w:r w:rsidR="00813F85" w:rsidRPr="0045764A">
        <w:rPr>
          <w:rFonts w:eastAsia="TimesNewRoman"/>
          <w:szCs w:val="22"/>
          <w:lang w:val="sr-Latn-ME"/>
        </w:rPr>
        <w:t xml:space="preserve">dejstva </w:t>
      </w:r>
      <w:r w:rsidR="00A64AD5" w:rsidRPr="0045764A">
        <w:rPr>
          <w:rFonts w:eastAsia="TimesNewRoman"/>
          <w:szCs w:val="22"/>
          <w:lang w:val="sr-Latn-ME"/>
        </w:rPr>
        <w:t>po</w:t>
      </w:r>
      <w:r w:rsidRPr="0045764A">
        <w:rPr>
          <w:rFonts w:eastAsia="TimesNewRoman"/>
          <w:szCs w:val="22"/>
          <w:lang w:val="sr-Latn-ME"/>
        </w:rPr>
        <w:t>vezan</w:t>
      </w:r>
      <w:r w:rsidR="00813F85" w:rsidRPr="0045764A">
        <w:rPr>
          <w:rFonts w:eastAsia="TimesNewRoman"/>
          <w:szCs w:val="22"/>
          <w:lang w:val="sr-Latn-ME"/>
        </w:rPr>
        <w:t>a</w:t>
      </w:r>
      <w:r w:rsidRPr="0045764A">
        <w:rPr>
          <w:rFonts w:eastAsia="TimesNewRoman"/>
          <w:szCs w:val="22"/>
          <w:lang w:val="sr-Latn-ME"/>
        </w:rPr>
        <w:t xml:space="preserve"> </w:t>
      </w:r>
      <w:r w:rsidR="00A64AD5" w:rsidRPr="0045764A">
        <w:rPr>
          <w:rFonts w:eastAsia="TimesNewRoman"/>
          <w:szCs w:val="22"/>
          <w:lang w:val="sr-Latn-ME"/>
        </w:rPr>
        <w:t>s</w:t>
      </w:r>
      <w:r w:rsidRPr="0045764A">
        <w:rPr>
          <w:rFonts w:eastAsia="TimesNewRoman"/>
          <w:szCs w:val="22"/>
          <w:lang w:val="sr-Latn-ME"/>
        </w:rPr>
        <w:t xml:space="preserve">a </w:t>
      </w:r>
      <w:r w:rsidR="00A64AD5" w:rsidRPr="0045764A">
        <w:rPr>
          <w:rFonts w:eastAsia="TimesNewRoman"/>
          <w:szCs w:val="22"/>
          <w:lang w:val="sr-Latn-ME"/>
        </w:rPr>
        <w:t xml:space="preserve">funkcijom </w:t>
      </w:r>
      <w:r w:rsidRPr="0045764A">
        <w:rPr>
          <w:rFonts w:eastAsia="TimesNewRoman"/>
          <w:szCs w:val="22"/>
          <w:lang w:val="sr-Latn-ME"/>
        </w:rPr>
        <w:t>jetr</w:t>
      </w:r>
      <w:r w:rsidR="00A64AD5" w:rsidRPr="0045764A">
        <w:rPr>
          <w:rFonts w:eastAsia="TimesNewRoman"/>
          <w:szCs w:val="22"/>
          <w:lang w:val="sr-Latn-ME"/>
        </w:rPr>
        <w:t>e</w:t>
      </w:r>
      <w:r w:rsidRPr="0045764A">
        <w:rPr>
          <w:rFonts w:eastAsia="TimesNewRoman"/>
          <w:szCs w:val="22"/>
          <w:lang w:val="sr-Latn-ME"/>
        </w:rPr>
        <w:t>. Najčešće prijavljen</w:t>
      </w:r>
      <w:r w:rsidR="00813F85" w:rsidRPr="0045764A">
        <w:rPr>
          <w:rFonts w:eastAsia="TimesNewRoman"/>
          <w:szCs w:val="22"/>
          <w:lang w:val="sr-Latn-ME"/>
        </w:rPr>
        <w:t>a</w:t>
      </w:r>
      <w:r w:rsidRPr="0045764A">
        <w:rPr>
          <w:rFonts w:eastAsia="TimesNewRoman"/>
          <w:szCs w:val="22"/>
          <w:lang w:val="sr-Latn-ME"/>
        </w:rPr>
        <w:t xml:space="preserve"> neželjen</w:t>
      </w:r>
      <w:r w:rsidR="00813F85" w:rsidRPr="0045764A">
        <w:rPr>
          <w:rFonts w:eastAsia="TimesNewRoman"/>
          <w:szCs w:val="22"/>
          <w:lang w:val="sr-Latn-ME"/>
        </w:rPr>
        <w:t>a</w:t>
      </w:r>
      <w:r w:rsidRPr="0045764A">
        <w:rPr>
          <w:rFonts w:eastAsia="TimesNewRoman"/>
          <w:szCs w:val="22"/>
          <w:lang w:val="sr-Latn-ME"/>
        </w:rPr>
        <w:t xml:space="preserve"> </w:t>
      </w:r>
      <w:r w:rsidR="00813F85" w:rsidRPr="0045764A">
        <w:rPr>
          <w:rFonts w:eastAsia="TimesNewRoman"/>
          <w:szCs w:val="22"/>
          <w:lang w:val="sr-Latn-ME"/>
        </w:rPr>
        <w:t xml:space="preserve">dejstva </w:t>
      </w:r>
      <w:r w:rsidR="00A64AD5" w:rsidRPr="0045764A">
        <w:rPr>
          <w:rFonts w:eastAsia="TimesNewRoman"/>
          <w:szCs w:val="22"/>
          <w:lang w:val="sr-Latn-ME"/>
        </w:rPr>
        <w:t>po</w:t>
      </w:r>
      <w:r w:rsidRPr="0045764A">
        <w:rPr>
          <w:rFonts w:eastAsia="TimesNewRoman"/>
          <w:szCs w:val="22"/>
          <w:lang w:val="sr-Latn-ME"/>
        </w:rPr>
        <w:t>vezan</w:t>
      </w:r>
      <w:r w:rsidR="00813F85" w:rsidRPr="0045764A">
        <w:rPr>
          <w:rFonts w:eastAsia="TimesNewRoman"/>
          <w:szCs w:val="22"/>
          <w:lang w:val="sr-Latn-ME"/>
        </w:rPr>
        <w:t>a</w:t>
      </w:r>
      <w:r w:rsidRPr="0045764A">
        <w:rPr>
          <w:rFonts w:eastAsia="TimesNewRoman"/>
          <w:szCs w:val="22"/>
          <w:lang w:val="sr-Latn-ME"/>
        </w:rPr>
        <w:t xml:space="preserve"> </w:t>
      </w:r>
      <w:r w:rsidR="00A64AD5" w:rsidRPr="0045764A">
        <w:rPr>
          <w:rFonts w:eastAsia="TimesNewRoman"/>
          <w:szCs w:val="22"/>
          <w:lang w:val="sr-Latn-ME"/>
        </w:rPr>
        <w:t>s</w:t>
      </w:r>
      <w:r w:rsidRPr="0045764A">
        <w:rPr>
          <w:rFonts w:eastAsia="TimesNewRoman"/>
          <w:szCs w:val="22"/>
          <w:lang w:val="sr-Latn-ME"/>
        </w:rPr>
        <w:t xml:space="preserve">a </w:t>
      </w:r>
      <w:r w:rsidR="00A64AD5" w:rsidRPr="0045764A">
        <w:rPr>
          <w:rFonts w:eastAsia="TimesNewRoman"/>
          <w:szCs w:val="22"/>
          <w:lang w:val="sr-Latn-ME"/>
        </w:rPr>
        <w:lastRenderedPageBreak/>
        <w:t xml:space="preserve">funkcijom </w:t>
      </w:r>
      <w:r w:rsidRPr="0045764A">
        <w:rPr>
          <w:rFonts w:eastAsia="TimesNewRoman"/>
          <w:szCs w:val="22"/>
          <w:lang w:val="sr-Latn-ME"/>
        </w:rPr>
        <w:t>jetr</w:t>
      </w:r>
      <w:r w:rsidR="00A64AD5" w:rsidRPr="0045764A">
        <w:rPr>
          <w:rFonts w:eastAsia="TimesNewRoman"/>
          <w:szCs w:val="22"/>
          <w:lang w:val="sr-Latn-ME"/>
        </w:rPr>
        <w:t>e</w:t>
      </w:r>
      <w:r w:rsidRPr="0045764A">
        <w:rPr>
          <w:rFonts w:eastAsia="TimesNewRoman"/>
          <w:szCs w:val="22"/>
          <w:lang w:val="sr-Latn-ME"/>
        </w:rPr>
        <w:t xml:space="preserve"> su povećanje </w:t>
      </w:r>
      <w:proofErr w:type="spellStart"/>
      <w:r w:rsidRPr="0045764A">
        <w:rPr>
          <w:rFonts w:eastAsia="TimesNewRoman"/>
          <w:szCs w:val="22"/>
          <w:lang w:val="sr-Latn-ME"/>
        </w:rPr>
        <w:t>alanin</w:t>
      </w:r>
      <w:proofErr w:type="spellEnd"/>
      <w:r w:rsidR="00C45681" w:rsidRPr="0045764A">
        <w:rPr>
          <w:rFonts w:eastAsia="TimesNewRoman"/>
          <w:szCs w:val="22"/>
          <w:lang w:val="sr-Latn-ME"/>
        </w:rPr>
        <w:t xml:space="preserve"> </w:t>
      </w:r>
      <w:proofErr w:type="spellStart"/>
      <w:r w:rsidRPr="0045764A">
        <w:rPr>
          <w:rFonts w:eastAsia="TimesNewRoman"/>
          <w:szCs w:val="22"/>
          <w:lang w:val="sr-Latn-ME"/>
        </w:rPr>
        <w:t>aminotransferaze</w:t>
      </w:r>
      <w:proofErr w:type="spellEnd"/>
      <w:r w:rsidRPr="0045764A">
        <w:rPr>
          <w:rFonts w:eastAsia="TimesNewRoman"/>
          <w:szCs w:val="22"/>
          <w:lang w:val="sr-Latn-ME"/>
        </w:rPr>
        <w:t xml:space="preserve"> (ALT), </w:t>
      </w:r>
      <w:proofErr w:type="spellStart"/>
      <w:r w:rsidRPr="0045764A">
        <w:rPr>
          <w:rFonts w:eastAsia="TimesNewRoman"/>
          <w:szCs w:val="22"/>
          <w:lang w:val="sr-Latn-ME"/>
        </w:rPr>
        <w:t>aspartat</w:t>
      </w:r>
      <w:proofErr w:type="spellEnd"/>
      <w:r w:rsidRPr="0045764A">
        <w:rPr>
          <w:rFonts w:eastAsia="TimesNewRoman"/>
          <w:szCs w:val="22"/>
          <w:lang w:val="sr-Latn-ME"/>
        </w:rPr>
        <w:t xml:space="preserve"> </w:t>
      </w:r>
      <w:proofErr w:type="spellStart"/>
      <w:r w:rsidRPr="0045764A">
        <w:rPr>
          <w:rFonts w:eastAsia="TimesNewRoman"/>
          <w:szCs w:val="22"/>
          <w:lang w:val="sr-Latn-ME"/>
        </w:rPr>
        <w:t>aminotransferaze</w:t>
      </w:r>
      <w:proofErr w:type="spellEnd"/>
      <w:r w:rsidRPr="0045764A">
        <w:rPr>
          <w:rFonts w:eastAsia="TimesNewRoman"/>
          <w:szCs w:val="22"/>
          <w:lang w:val="sr-Latn-ME"/>
        </w:rPr>
        <w:t xml:space="preserve"> (AST) i </w:t>
      </w:r>
      <w:proofErr w:type="spellStart"/>
      <w:r w:rsidRPr="0045764A">
        <w:rPr>
          <w:rFonts w:eastAsia="TimesNewRoman"/>
          <w:szCs w:val="22"/>
          <w:lang w:val="sr-Latn-ME"/>
        </w:rPr>
        <w:t>bilirubina</w:t>
      </w:r>
      <w:proofErr w:type="spellEnd"/>
      <w:r w:rsidRPr="0045764A">
        <w:rPr>
          <w:rFonts w:eastAsia="TimesNewRoman"/>
          <w:szCs w:val="22"/>
          <w:lang w:val="sr-Latn-ME"/>
        </w:rPr>
        <w:t xml:space="preserve"> u krvi (</w:t>
      </w:r>
      <w:r w:rsidR="006F7AEE" w:rsidRPr="0045764A">
        <w:rPr>
          <w:rFonts w:eastAsia="TimesNewRoman"/>
          <w:szCs w:val="22"/>
          <w:lang w:val="sr-Latn-ME"/>
        </w:rPr>
        <w:t>pogledati dio</w:t>
      </w:r>
      <w:r w:rsidRPr="0045764A">
        <w:rPr>
          <w:rFonts w:eastAsia="TimesNewRoman"/>
          <w:szCs w:val="22"/>
          <w:lang w:val="sr-Latn-ME"/>
        </w:rPr>
        <w:t xml:space="preserve"> 4.8). Ni</w:t>
      </w:r>
      <w:r w:rsidR="00A64AD5" w:rsidRPr="0045764A">
        <w:rPr>
          <w:rFonts w:eastAsia="TimesNewRoman"/>
          <w:szCs w:val="22"/>
          <w:lang w:val="sr-Latn-ME"/>
        </w:rPr>
        <w:t>je</w:t>
      </w:r>
      <w:r w:rsidRPr="0045764A">
        <w:rPr>
          <w:rFonts w:eastAsia="TimesNewRoman"/>
          <w:szCs w:val="22"/>
          <w:lang w:val="sr-Latn-ME"/>
        </w:rPr>
        <w:t>su</w:t>
      </w:r>
      <w:r w:rsidR="00C45681" w:rsidRPr="0045764A">
        <w:rPr>
          <w:rFonts w:eastAsia="TimesNewRoman"/>
          <w:szCs w:val="22"/>
          <w:lang w:val="sr-Latn-ME"/>
        </w:rPr>
        <w:t xml:space="preserve"> </w:t>
      </w:r>
      <w:r w:rsidRPr="0045764A">
        <w:rPr>
          <w:rFonts w:eastAsia="TimesNewRoman"/>
          <w:szCs w:val="22"/>
          <w:lang w:val="sr-Latn-ME"/>
        </w:rPr>
        <w:t>prim</w:t>
      </w:r>
      <w:r w:rsidR="007E60ED" w:rsidRPr="0045764A">
        <w:rPr>
          <w:rFonts w:eastAsia="TimesNewRoman"/>
          <w:szCs w:val="22"/>
          <w:lang w:val="sr-Latn-ME"/>
        </w:rPr>
        <w:t>ij</w:t>
      </w:r>
      <w:r w:rsidRPr="0045764A">
        <w:rPr>
          <w:rFonts w:eastAsia="TimesNewRoman"/>
          <w:szCs w:val="22"/>
          <w:lang w:val="sr-Latn-ME"/>
        </w:rPr>
        <w:t>ećena istovremena povećanja ALT (&gt; 3 puta od gornje granice referentn</w:t>
      </w:r>
      <w:r w:rsidR="00A64AD5" w:rsidRPr="0045764A">
        <w:rPr>
          <w:rFonts w:eastAsia="TimesNewRoman"/>
          <w:szCs w:val="22"/>
          <w:lang w:val="sr-Latn-ME"/>
        </w:rPr>
        <w:t>ih</w:t>
      </w:r>
      <w:r w:rsidRPr="0045764A">
        <w:rPr>
          <w:rFonts w:eastAsia="TimesNewRoman"/>
          <w:szCs w:val="22"/>
          <w:lang w:val="sr-Latn-ME"/>
        </w:rPr>
        <w:t xml:space="preserve"> </w:t>
      </w:r>
      <w:r w:rsidR="008E2492" w:rsidRPr="0045764A">
        <w:rPr>
          <w:rFonts w:eastAsia="TimesNewRoman"/>
          <w:szCs w:val="22"/>
          <w:lang w:val="sr-Latn-ME"/>
        </w:rPr>
        <w:t>vrijednost</w:t>
      </w:r>
      <w:r w:rsidRPr="0045764A">
        <w:rPr>
          <w:rFonts w:eastAsia="TimesNewRoman"/>
          <w:szCs w:val="22"/>
          <w:lang w:val="sr-Latn-ME"/>
        </w:rPr>
        <w:t xml:space="preserve">i) i </w:t>
      </w:r>
      <w:proofErr w:type="spellStart"/>
      <w:r w:rsidRPr="0045764A">
        <w:rPr>
          <w:rFonts w:eastAsia="TimesNewRoman"/>
          <w:szCs w:val="22"/>
          <w:lang w:val="sr-Latn-ME"/>
        </w:rPr>
        <w:t>bilirubina</w:t>
      </w:r>
      <w:proofErr w:type="spellEnd"/>
      <w:r w:rsidRPr="0045764A">
        <w:rPr>
          <w:rFonts w:eastAsia="TimesNewRoman"/>
          <w:szCs w:val="22"/>
          <w:lang w:val="sr-Latn-ME"/>
        </w:rPr>
        <w:t xml:space="preserve"> (&gt; 2</w:t>
      </w:r>
      <w:r w:rsidR="00C45681" w:rsidRPr="0045764A">
        <w:rPr>
          <w:rFonts w:eastAsia="TimesNewRoman"/>
          <w:szCs w:val="22"/>
          <w:lang w:val="sr-Latn-ME"/>
        </w:rPr>
        <w:t xml:space="preserve"> </w:t>
      </w:r>
      <w:r w:rsidRPr="0045764A">
        <w:rPr>
          <w:rFonts w:eastAsia="TimesNewRoman"/>
          <w:szCs w:val="22"/>
          <w:lang w:val="sr-Latn-ME"/>
        </w:rPr>
        <w:t xml:space="preserve">puta od gornje granice referentnih </w:t>
      </w:r>
      <w:r w:rsidR="008E2492" w:rsidRPr="0045764A">
        <w:rPr>
          <w:rFonts w:eastAsia="TimesNewRoman"/>
          <w:szCs w:val="22"/>
          <w:lang w:val="sr-Latn-ME"/>
        </w:rPr>
        <w:t>vrijednost</w:t>
      </w:r>
      <w:r w:rsidRPr="0045764A">
        <w:rPr>
          <w:rFonts w:eastAsia="TimesNewRoman"/>
          <w:szCs w:val="22"/>
          <w:lang w:val="sr-Latn-ME"/>
        </w:rPr>
        <w:t>i).</w:t>
      </w:r>
    </w:p>
    <w:p w14:paraId="36FF3F4F" w14:textId="77777777" w:rsidR="00C45681" w:rsidRPr="0045764A" w:rsidRDefault="00C45681" w:rsidP="00C65330">
      <w:pPr>
        <w:tabs>
          <w:tab w:val="clear" w:pos="284"/>
        </w:tabs>
        <w:autoSpaceDE w:val="0"/>
        <w:autoSpaceDN w:val="0"/>
        <w:adjustRightInd w:val="0"/>
        <w:rPr>
          <w:rFonts w:eastAsia="TimesNewRoman"/>
          <w:szCs w:val="22"/>
          <w:lang w:val="sr-Latn-ME"/>
        </w:rPr>
      </w:pPr>
    </w:p>
    <w:p w14:paraId="4B46734E" w14:textId="2F03DB7D" w:rsidR="00154F24" w:rsidRPr="0045764A" w:rsidRDefault="00154F24"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U kliničkom ispitivanju za određivanje doze, istovremena povećanja ALT (12 puta od gornje</w:t>
      </w:r>
      <w:r w:rsidR="00C45681" w:rsidRPr="0045764A">
        <w:rPr>
          <w:rFonts w:eastAsia="TimesNewRoman"/>
          <w:szCs w:val="22"/>
          <w:lang w:val="sr-Latn-ME"/>
        </w:rPr>
        <w:t xml:space="preserve"> </w:t>
      </w:r>
      <w:r w:rsidRPr="0045764A">
        <w:rPr>
          <w:rFonts w:eastAsia="TimesNewRoman"/>
          <w:szCs w:val="22"/>
          <w:lang w:val="sr-Latn-ME"/>
        </w:rPr>
        <w:t xml:space="preserve">granice referentnih </w:t>
      </w:r>
      <w:r w:rsidR="008E2492" w:rsidRPr="0045764A">
        <w:rPr>
          <w:rFonts w:eastAsia="TimesNewRoman"/>
          <w:szCs w:val="22"/>
          <w:lang w:val="sr-Latn-ME"/>
        </w:rPr>
        <w:t>vrijednost</w:t>
      </w:r>
      <w:r w:rsidRPr="0045764A">
        <w:rPr>
          <w:rFonts w:eastAsia="TimesNewRoman"/>
          <w:szCs w:val="22"/>
          <w:lang w:val="sr-Latn-ME"/>
        </w:rPr>
        <w:t xml:space="preserve">i) i </w:t>
      </w:r>
      <w:proofErr w:type="spellStart"/>
      <w:r w:rsidRPr="0045764A">
        <w:rPr>
          <w:rFonts w:eastAsia="TimesNewRoman"/>
          <w:szCs w:val="22"/>
          <w:lang w:val="sr-Latn-ME"/>
        </w:rPr>
        <w:t>bilirubina</w:t>
      </w:r>
      <w:proofErr w:type="spellEnd"/>
      <w:r w:rsidRPr="0045764A">
        <w:rPr>
          <w:rFonts w:eastAsia="TimesNewRoman"/>
          <w:szCs w:val="22"/>
          <w:lang w:val="sr-Latn-ME"/>
        </w:rPr>
        <w:t xml:space="preserve"> (2,3 puta od gornje granice referentnih </w:t>
      </w:r>
      <w:r w:rsidR="008E2492" w:rsidRPr="0045764A">
        <w:rPr>
          <w:rFonts w:eastAsia="TimesNewRoman"/>
          <w:szCs w:val="22"/>
          <w:lang w:val="sr-Latn-ME"/>
        </w:rPr>
        <w:t>vrijednost</w:t>
      </w:r>
      <w:r w:rsidRPr="0045764A">
        <w:rPr>
          <w:rFonts w:eastAsia="TimesNewRoman"/>
          <w:szCs w:val="22"/>
          <w:lang w:val="sr-Latn-ME"/>
        </w:rPr>
        <w:t xml:space="preserve">i), </w:t>
      </w:r>
      <w:r w:rsidR="00A64AD5" w:rsidRPr="0045764A">
        <w:rPr>
          <w:rFonts w:eastAsia="TimesNewRoman"/>
          <w:szCs w:val="22"/>
          <w:lang w:val="sr-Latn-ME"/>
        </w:rPr>
        <w:t>što</w:t>
      </w:r>
      <w:r w:rsidRPr="0045764A">
        <w:rPr>
          <w:rFonts w:eastAsia="TimesNewRoman"/>
          <w:szCs w:val="22"/>
          <w:lang w:val="sr-Latn-ME"/>
        </w:rPr>
        <w:t xml:space="preserve"> se</w:t>
      </w:r>
      <w:r w:rsidR="00C45681" w:rsidRPr="0045764A">
        <w:rPr>
          <w:rFonts w:eastAsia="TimesNewRoman"/>
          <w:szCs w:val="22"/>
          <w:lang w:val="sr-Latn-ME"/>
        </w:rPr>
        <w:t xml:space="preserve"> </w:t>
      </w:r>
      <w:r w:rsidRPr="0045764A">
        <w:rPr>
          <w:rFonts w:eastAsia="TimesNewRoman"/>
          <w:szCs w:val="22"/>
          <w:lang w:val="sr-Latn-ME"/>
        </w:rPr>
        <w:t xml:space="preserve">smatra </w:t>
      </w:r>
      <w:proofErr w:type="spellStart"/>
      <w:r w:rsidRPr="0045764A">
        <w:rPr>
          <w:rFonts w:eastAsia="TimesNewRoman"/>
          <w:szCs w:val="22"/>
          <w:lang w:val="sr-Latn-ME"/>
        </w:rPr>
        <w:t>hepatotoksičnošću</w:t>
      </w:r>
      <w:proofErr w:type="spellEnd"/>
      <w:r w:rsidRPr="0045764A">
        <w:rPr>
          <w:rFonts w:eastAsia="TimesNewRoman"/>
          <w:szCs w:val="22"/>
          <w:lang w:val="sr-Latn-ME"/>
        </w:rPr>
        <w:t xml:space="preserve"> izazvanom </w:t>
      </w:r>
      <w:r w:rsidR="00593BF5" w:rsidRPr="0045764A">
        <w:rPr>
          <w:rFonts w:eastAsia="TimesNewRoman"/>
          <w:szCs w:val="22"/>
          <w:lang w:val="sr-Latn-ME"/>
        </w:rPr>
        <w:t>lijek</w:t>
      </w:r>
      <w:r w:rsidRPr="0045764A">
        <w:rPr>
          <w:rFonts w:eastAsia="TimesNewRoman"/>
          <w:szCs w:val="22"/>
          <w:lang w:val="sr-Latn-ME"/>
        </w:rPr>
        <w:t xml:space="preserve">om, </w:t>
      </w:r>
      <w:r w:rsidR="00A64AD5" w:rsidRPr="0045764A">
        <w:rPr>
          <w:rFonts w:eastAsia="TimesNewRoman"/>
          <w:szCs w:val="22"/>
          <w:lang w:val="sr-Latn-ME"/>
        </w:rPr>
        <w:t xml:space="preserve">primijećena su </w:t>
      </w:r>
      <w:r w:rsidRPr="0045764A">
        <w:rPr>
          <w:rFonts w:eastAsia="TimesNewRoman"/>
          <w:szCs w:val="22"/>
          <w:lang w:val="sr-Latn-ME"/>
        </w:rPr>
        <w:t xml:space="preserve">kod jednog pacijenta koji je primio </w:t>
      </w:r>
      <w:proofErr w:type="spellStart"/>
      <w:r w:rsidRPr="0045764A">
        <w:rPr>
          <w:rFonts w:eastAsia="TimesNewRoman"/>
          <w:szCs w:val="22"/>
          <w:lang w:val="sr-Latn-ME"/>
        </w:rPr>
        <w:t>aksitinib</w:t>
      </w:r>
      <w:proofErr w:type="spellEnd"/>
      <w:r w:rsidR="00C45681" w:rsidRPr="0045764A">
        <w:rPr>
          <w:rFonts w:eastAsia="TimesNewRoman"/>
          <w:szCs w:val="22"/>
          <w:lang w:val="sr-Latn-ME"/>
        </w:rPr>
        <w:t xml:space="preserve"> </w:t>
      </w:r>
      <w:r w:rsidRPr="0045764A">
        <w:rPr>
          <w:rFonts w:eastAsia="TimesNewRoman"/>
          <w:szCs w:val="22"/>
          <w:lang w:val="sr-Latn-ME"/>
        </w:rPr>
        <w:t xml:space="preserve">u početnoj dozi od 20 mg dva puta dnevno (doza četvorostruko veća od </w:t>
      </w:r>
      <w:r w:rsidR="00713BD2" w:rsidRPr="0045764A">
        <w:rPr>
          <w:rFonts w:eastAsia="TimesNewRoman"/>
          <w:szCs w:val="22"/>
          <w:lang w:val="sr-Latn-ME"/>
        </w:rPr>
        <w:t xml:space="preserve">preporučene </w:t>
      </w:r>
      <w:r w:rsidRPr="0045764A">
        <w:rPr>
          <w:rFonts w:eastAsia="TimesNewRoman"/>
          <w:szCs w:val="22"/>
          <w:lang w:val="sr-Latn-ME"/>
        </w:rPr>
        <w:t>početne).</w:t>
      </w:r>
    </w:p>
    <w:p w14:paraId="17851FC4" w14:textId="77777777" w:rsidR="003D02D0" w:rsidRPr="0045764A" w:rsidRDefault="003D02D0" w:rsidP="00C65330">
      <w:pPr>
        <w:rPr>
          <w:rFonts w:eastAsia="TimesNewRoman"/>
          <w:szCs w:val="22"/>
          <w:lang w:val="sr-Latn-ME"/>
        </w:rPr>
      </w:pPr>
    </w:p>
    <w:p w14:paraId="6904F016" w14:textId="6A17E741" w:rsidR="00154F24" w:rsidRPr="0045764A" w:rsidRDefault="00154F24" w:rsidP="00C65330">
      <w:pPr>
        <w:rPr>
          <w:rFonts w:eastAsia="TimesNewRoman"/>
          <w:szCs w:val="22"/>
          <w:lang w:val="sr-Latn-ME"/>
        </w:rPr>
      </w:pPr>
      <w:r w:rsidRPr="0045764A">
        <w:rPr>
          <w:rFonts w:eastAsia="TimesNewRoman"/>
          <w:szCs w:val="22"/>
          <w:lang w:val="sr-Latn-ME"/>
        </w:rPr>
        <w:t>Treba pratiti testove funkcije jetre pr</w:t>
      </w:r>
      <w:r w:rsidR="007E60ED" w:rsidRPr="0045764A">
        <w:rPr>
          <w:rFonts w:eastAsia="TimesNewRoman"/>
          <w:szCs w:val="22"/>
          <w:lang w:val="sr-Latn-ME"/>
        </w:rPr>
        <w:t>ij</w:t>
      </w:r>
      <w:r w:rsidRPr="0045764A">
        <w:rPr>
          <w:rFonts w:eastAsia="TimesNewRoman"/>
          <w:szCs w:val="22"/>
          <w:lang w:val="sr-Latn-ME"/>
        </w:rPr>
        <w:t xml:space="preserve">e započinjanja i povremeno tokom terapije </w:t>
      </w:r>
      <w:proofErr w:type="spellStart"/>
      <w:r w:rsidRPr="0045764A">
        <w:rPr>
          <w:rFonts w:eastAsia="TimesNewRoman"/>
          <w:szCs w:val="22"/>
          <w:lang w:val="sr-Latn-ME"/>
        </w:rPr>
        <w:t>aksitinibom</w:t>
      </w:r>
      <w:proofErr w:type="spellEnd"/>
      <w:r w:rsidRPr="0045764A">
        <w:rPr>
          <w:rFonts w:eastAsia="TimesNewRoman"/>
          <w:szCs w:val="22"/>
          <w:lang w:val="sr-Latn-ME"/>
        </w:rPr>
        <w:t>.</w:t>
      </w:r>
    </w:p>
    <w:p w14:paraId="3BA6BED7" w14:textId="77777777" w:rsidR="00873119" w:rsidRPr="0045764A" w:rsidRDefault="00873119" w:rsidP="00C65330">
      <w:pPr>
        <w:rPr>
          <w:rFonts w:eastAsia="TimesNewRoman"/>
          <w:szCs w:val="22"/>
          <w:lang w:val="sr-Latn-ME"/>
        </w:rPr>
      </w:pPr>
    </w:p>
    <w:p w14:paraId="53C743F3" w14:textId="77777777" w:rsidR="00C91A2B" w:rsidRPr="0045764A" w:rsidRDefault="00C91A2B" w:rsidP="00C65330">
      <w:pPr>
        <w:tabs>
          <w:tab w:val="clear" w:pos="284"/>
        </w:tabs>
        <w:autoSpaceDE w:val="0"/>
        <w:autoSpaceDN w:val="0"/>
        <w:adjustRightInd w:val="0"/>
        <w:rPr>
          <w:iCs/>
          <w:szCs w:val="22"/>
          <w:u w:val="single"/>
          <w:lang w:val="sr-Latn-ME"/>
        </w:rPr>
      </w:pPr>
      <w:r w:rsidRPr="0045764A">
        <w:rPr>
          <w:iCs/>
          <w:szCs w:val="22"/>
          <w:u w:val="single"/>
          <w:lang w:val="sr-Latn-ME"/>
        </w:rPr>
        <w:t>Oštećenje funkcije jetre</w:t>
      </w:r>
    </w:p>
    <w:p w14:paraId="5A2CB26E" w14:textId="03097B43" w:rsidR="00C91A2B" w:rsidRPr="0045764A" w:rsidRDefault="00C91A2B"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U kliničkim ispitivanjima sa </w:t>
      </w:r>
      <w:proofErr w:type="spellStart"/>
      <w:r w:rsidRPr="0045764A">
        <w:rPr>
          <w:rFonts w:eastAsia="TimesNewRoman"/>
          <w:szCs w:val="22"/>
          <w:lang w:val="sr-Latn-ME"/>
        </w:rPr>
        <w:t>aksitinibom</w:t>
      </w:r>
      <w:proofErr w:type="spellEnd"/>
      <w:r w:rsidRPr="0045764A">
        <w:rPr>
          <w:rFonts w:eastAsia="TimesNewRoman"/>
          <w:szCs w:val="22"/>
          <w:lang w:val="sr-Latn-ME"/>
        </w:rPr>
        <w:t xml:space="preserve">, sistemska izloženost </w:t>
      </w:r>
      <w:proofErr w:type="spellStart"/>
      <w:r w:rsidRPr="0045764A">
        <w:rPr>
          <w:rFonts w:eastAsia="TimesNewRoman"/>
          <w:szCs w:val="22"/>
          <w:lang w:val="sr-Latn-ME"/>
        </w:rPr>
        <w:t>aksitinibu</w:t>
      </w:r>
      <w:proofErr w:type="spellEnd"/>
      <w:r w:rsidRPr="0045764A">
        <w:rPr>
          <w:rFonts w:eastAsia="TimesNewRoman"/>
          <w:szCs w:val="22"/>
          <w:lang w:val="sr-Latn-ME"/>
        </w:rPr>
        <w:t xml:space="preserve"> je </w:t>
      </w:r>
      <w:r w:rsidR="00A64AD5" w:rsidRPr="0045764A">
        <w:rPr>
          <w:rFonts w:eastAsia="TimesNewRoman"/>
          <w:szCs w:val="22"/>
          <w:lang w:val="sr-Latn-ME"/>
        </w:rPr>
        <w:t xml:space="preserve">bila </w:t>
      </w:r>
      <w:r w:rsidRPr="0045764A">
        <w:rPr>
          <w:rFonts w:eastAsia="TimesNewRoman"/>
          <w:szCs w:val="22"/>
          <w:lang w:val="sr-Latn-ME"/>
        </w:rPr>
        <w:t>približno dva puta veća kod</w:t>
      </w:r>
      <w:r w:rsidR="003D02D0" w:rsidRPr="0045764A">
        <w:rPr>
          <w:rFonts w:eastAsia="TimesNewRoman"/>
          <w:szCs w:val="22"/>
          <w:lang w:val="sr-Latn-ME"/>
        </w:rPr>
        <w:t xml:space="preserve"> </w:t>
      </w:r>
      <w:r w:rsidRPr="0045764A">
        <w:rPr>
          <w:rFonts w:eastAsia="TimesNewRoman"/>
          <w:szCs w:val="22"/>
          <w:lang w:val="sr-Latn-ME"/>
        </w:rPr>
        <w:t>ispitanika sa um</w:t>
      </w:r>
      <w:r w:rsidR="007E60ED" w:rsidRPr="0045764A">
        <w:rPr>
          <w:rFonts w:eastAsia="TimesNewRoman"/>
          <w:szCs w:val="22"/>
          <w:lang w:val="sr-Latn-ME"/>
        </w:rPr>
        <w:t>j</w:t>
      </w:r>
      <w:r w:rsidRPr="0045764A">
        <w:rPr>
          <w:rFonts w:eastAsia="TimesNewRoman"/>
          <w:szCs w:val="22"/>
          <w:lang w:val="sr-Latn-ME"/>
        </w:rPr>
        <w:t>erenim oštećenjem funkcije jetre (</w:t>
      </w:r>
      <w:proofErr w:type="spellStart"/>
      <w:r w:rsidRPr="0045764A">
        <w:rPr>
          <w:i/>
          <w:iCs/>
          <w:szCs w:val="22"/>
          <w:lang w:val="sr-Latn-ME"/>
        </w:rPr>
        <w:t>Child</w:t>
      </w:r>
      <w:proofErr w:type="spellEnd"/>
      <w:r w:rsidRPr="0045764A">
        <w:rPr>
          <w:i/>
          <w:iCs/>
          <w:szCs w:val="22"/>
          <w:lang w:val="sr-Latn-ME"/>
        </w:rPr>
        <w:t xml:space="preserve"> </w:t>
      </w:r>
      <w:proofErr w:type="spellStart"/>
      <w:r w:rsidRPr="0045764A">
        <w:rPr>
          <w:i/>
          <w:iCs/>
          <w:szCs w:val="22"/>
          <w:lang w:val="sr-Latn-ME"/>
        </w:rPr>
        <w:t>Pugh</w:t>
      </w:r>
      <w:proofErr w:type="spellEnd"/>
      <w:r w:rsidRPr="0045764A">
        <w:rPr>
          <w:i/>
          <w:iCs/>
          <w:szCs w:val="22"/>
          <w:lang w:val="sr-Latn-ME"/>
        </w:rPr>
        <w:t xml:space="preserve"> </w:t>
      </w:r>
      <w:r w:rsidRPr="0045764A">
        <w:rPr>
          <w:rFonts w:eastAsia="TimesNewRoman"/>
          <w:szCs w:val="22"/>
          <w:lang w:val="sr-Latn-ME"/>
        </w:rPr>
        <w:t>klasa B)</w:t>
      </w:r>
      <w:r w:rsidR="00BA69C0" w:rsidRPr="0045764A">
        <w:rPr>
          <w:rFonts w:eastAsia="TimesNewRoman"/>
          <w:szCs w:val="22"/>
          <w:lang w:val="sr-Latn-ME"/>
        </w:rPr>
        <w:t>,</w:t>
      </w:r>
      <w:r w:rsidRPr="0045764A">
        <w:rPr>
          <w:rFonts w:eastAsia="TimesNewRoman"/>
          <w:szCs w:val="22"/>
          <w:lang w:val="sr-Latn-ME"/>
        </w:rPr>
        <w:t xml:space="preserve"> u odnosu na ispitanike sa normalnom</w:t>
      </w:r>
      <w:r w:rsidR="003D02D0" w:rsidRPr="0045764A">
        <w:rPr>
          <w:rFonts w:eastAsia="TimesNewRoman"/>
          <w:szCs w:val="22"/>
          <w:lang w:val="sr-Latn-ME"/>
        </w:rPr>
        <w:t xml:space="preserve"> </w:t>
      </w:r>
      <w:r w:rsidRPr="0045764A">
        <w:rPr>
          <w:rFonts w:eastAsia="TimesNewRoman"/>
          <w:szCs w:val="22"/>
          <w:lang w:val="sr-Latn-ME"/>
        </w:rPr>
        <w:t xml:space="preserve">funkcijom jetre. Preporučuje se smanjenje doze kada se </w:t>
      </w:r>
      <w:proofErr w:type="spellStart"/>
      <w:r w:rsidRPr="0045764A">
        <w:rPr>
          <w:rFonts w:eastAsia="TimesNewRoman"/>
          <w:szCs w:val="22"/>
          <w:lang w:val="sr-Latn-ME"/>
        </w:rPr>
        <w:t>aksitinib</w:t>
      </w:r>
      <w:proofErr w:type="spellEnd"/>
      <w:r w:rsidRPr="0045764A">
        <w:rPr>
          <w:rFonts w:eastAsia="TimesNewRoman"/>
          <w:szCs w:val="22"/>
          <w:lang w:val="sr-Latn-ME"/>
        </w:rPr>
        <w:t xml:space="preserve"> </w:t>
      </w:r>
      <w:r w:rsidR="008E2492" w:rsidRPr="0045764A">
        <w:rPr>
          <w:rFonts w:eastAsia="TimesNewRoman"/>
          <w:szCs w:val="22"/>
          <w:lang w:val="sr-Latn-ME"/>
        </w:rPr>
        <w:t>primjen</w:t>
      </w:r>
      <w:r w:rsidRPr="0045764A">
        <w:rPr>
          <w:rFonts w:eastAsia="TimesNewRoman"/>
          <w:szCs w:val="22"/>
          <w:lang w:val="sr-Latn-ME"/>
        </w:rPr>
        <w:t>juje kod pacijenata sa um</w:t>
      </w:r>
      <w:r w:rsidR="007E60ED" w:rsidRPr="0045764A">
        <w:rPr>
          <w:rFonts w:eastAsia="TimesNewRoman"/>
          <w:szCs w:val="22"/>
          <w:lang w:val="sr-Latn-ME"/>
        </w:rPr>
        <w:t>j</w:t>
      </w:r>
      <w:r w:rsidRPr="0045764A">
        <w:rPr>
          <w:rFonts w:eastAsia="TimesNewRoman"/>
          <w:szCs w:val="22"/>
          <w:lang w:val="sr-Latn-ME"/>
        </w:rPr>
        <w:t>erenim</w:t>
      </w:r>
      <w:r w:rsidR="003D02D0" w:rsidRPr="0045764A">
        <w:rPr>
          <w:rFonts w:eastAsia="TimesNewRoman"/>
          <w:szCs w:val="22"/>
          <w:lang w:val="sr-Latn-ME"/>
        </w:rPr>
        <w:t xml:space="preserve"> </w:t>
      </w:r>
      <w:r w:rsidRPr="0045764A">
        <w:rPr>
          <w:rFonts w:eastAsia="TimesNewRoman"/>
          <w:szCs w:val="22"/>
          <w:lang w:val="sr-Latn-ME"/>
        </w:rPr>
        <w:t>oštećenjem funkcije jetre (</w:t>
      </w:r>
      <w:proofErr w:type="spellStart"/>
      <w:r w:rsidRPr="0045764A">
        <w:rPr>
          <w:i/>
          <w:iCs/>
          <w:szCs w:val="22"/>
          <w:lang w:val="sr-Latn-ME"/>
        </w:rPr>
        <w:t>Child</w:t>
      </w:r>
      <w:proofErr w:type="spellEnd"/>
      <w:r w:rsidRPr="0045764A">
        <w:rPr>
          <w:i/>
          <w:iCs/>
          <w:szCs w:val="22"/>
          <w:lang w:val="sr-Latn-ME"/>
        </w:rPr>
        <w:t xml:space="preserve"> </w:t>
      </w:r>
      <w:proofErr w:type="spellStart"/>
      <w:r w:rsidRPr="0045764A">
        <w:rPr>
          <w:i/>
          <w:iCs/>
          <w:szCs w:val="22"/>
          <w:lang w:val="sr-Latn-ME"/>
        </w:rPr>
        <w:t>Pugh</w:t>
      </w:r>
      <w:proofErr w:type="spellEnd"/>
      <w:r w:rsidRPr="0045764A">
        <w:rPr>
          <w:i/>
          <w:iCs/>
          <w:szCs w:val="22"/>
          <w:lang w:val="sr-Latn-ME"/>
        </w:rPr>
        <w:t xml:space="preserve"> </w:t>
      </w:r>
      <w:r w:rsidRPr="0045764A">
        <w:rPr>
          <w:rFonts w:eastAsia="TimesNewRoman"/>
          <w:szCs w:val="22"/>
          <w:lang w:val="sr-Latn-ME"/>
        </w:rPr>
        <w:t>klasa B) (</w:t>
      </w:r>
      <w:r w:rsidR="006F7AEE" w:rsidRPr="0045764A">
        <w:rPr>
          <w:rFonts w:eastAsia="TimesNewRoman"/>
          <w:szCs w:val="22"/>
          <w:lang w:val="sr-Latn-ME"/>
        </w:rPr>
        <w:t>pogledati dio</w:t>
      </w:r>
      <w:r w:rsidRPr="0045764A">
        <w:rPr>
          <w:rFonts w:eastAsia="TimesNewRoman"/>
          <w:szCs w:val="22"/>
          <w:lang w:val="sr-Latn-ME"/>
        </w:rPr>
        <w:t xml:space="preserve"> 4.2).</w:t>
      </w:r>
    </w:p>
    <w:p w14:paraId="18075BAF" w14:textId="77777777" w:rsidR="003D02D0" w:rsidRPr="0045764A" w:rsidRDefault="003D02D0" w:rsidP="00C65330">
      <w:pPr>
        <w:tabs>
          <w:tab w:val="clear" w:pos="284"/>
        </w:tabs>
        <w:autoSpaceDE w:val="0"/>
        <w:autoSpaceDN w:val="0"/>
        <w:adjustRightInd w:val="0"/>
        <w:rPr>
          <w:rFonts w:eastAsia="TimesNewRoman"/>
          <w:szCs w:val="22"/>
          <w:lang w:val="sr-Latn-ME"/>
        </w:rPr>
      </w:pPr>
    </w:p>
    <w:p w14:paraId="25D0A611" w14:textId="075230DE" w:rsidR="00C91A2B" w:rsidRPr="0045764A" w:rsidRDefault="00C91A2B" w:rsidP="007E60ED">
      <w:pPr>
        <w:tabs>
          <w:tab w:val="clear" w:pos="284"/>
        </w:tabs>
        <w:autoSpaceDE w:val="0"/>
        <w:autoSpaceDN w:val="0"/>
        <w:adjustRightInd w:val="0"/>
        <w:rPr>
          <w:rFonts w:eastAsia="TimesNewRoman"/>
          <w:szCs w:val="22"/>
          <w:lang w:val="sr-Latn-ME"/>
        </w:rPr>
      </w:pPr>
      <w:proofErr w:type="spellStart"/>
      <w:r w:rsidRPr="0045764A">
        <w:rPr>
          <w:rFonts w:eastAsia="TimesNewRoman"/>
          <w:szCs w:val="22"/>
          <w:lang w:val="sr-Latn-ME"/>
        </w:rPr>
        <w:t>Aksitinib</w:t>
      </w:r>
      <w:proofErr w:type="spellEnd"/>
      <w:r w:rsidRPr="0045764A">
        <w:rPr>
          <w:rFonts w:eastAsia="TimesNewRoman"/>
          <w:szCs w:val="22"/>
          <w:lang w:val="sr-Latn-ME"/>
        </w:rPr>
        <w:t xml:space="preserve"> nije ispitivan kod pacijenata sa teškim oštećenjem funkcije jetre (</w:t>
      </w:r>
      <w:proofErr w:type="spellStart"/>
      <w:r w:rsidRPr="0045764A">
        <w:rPr>
          <w:i/>
          <w:iCs/>
          <w:szCs w:val="22"/>
          <w:lang w:val="sr-Latn-ME"/>
        </w:rPr>
        <w:t>Child</w:t>
      </w:r>
      <w:proofErr w:type="spellEnd"/>
      <w:r w:rsidRPr="0045764A">
        <w:rPr>
          <w:i/>
          <w:iCs/>
          <w:szCs w:val="22"/>
          <w:lang w:val="sr-Latn-ME"/>
        </w:rPr>
        <w:t xml:space="preserve"> </w:t>
      </w:r>
      <w:proofErr w:type="spellStart"/>
      <w:r w:rsidRPr="0045764A">
        <w:rPr>
          <w:i/>
          <w:iCs/>
          <w:szCs w:val="22"/>
          <w:lang w:val="sr-Latn-ME"/>
        </w:rPr>
        <w:t>Pugh</w:t>
      </w:r>
      <w:proofErr w:type="spellEnd"/>
      <w:r w:rsidRPr="0045764A">
        <w:rPr>
          <w:i/>
          <w:iCs/>
          <w:szCs w:val="22"/>
          <w:lang w:val="sr-Latn-ME"/>
        </w:rPr>
        <w:t xml:space="preserve"> </w:t>
      </w:r>
      <w:r w:rsidRPr="0045764A">
        <w:rPr>
          <w:rFonts w:eastAsia="TimesNewRoman"/>
          <w:szCs w:val="22"/>
          <w:lang w:val="sr-Latn-ME"/>
        </w:rPr>
        <w:t>klasa C) i ne bi ga</w:t>
      </w:r>
      <w:r w:rsidR="007E60ED" w:rsidRPr="0045764A">
        <w:rPr>
          <w:rFonts w:eastAsia="TimesNewRoman"/>
          <w:szCs w:val="22"/>
          <w:lang w:val="sr-Latn-ME"/>
        </w:rPr>
        <w:t xml:space="preserve"> </w:t>
      </w:r>
      <w:r w:rsidRPr="0045764A">
        <w:rPr>
          <w:rFonts w:eastAsia="TimesNewRoman"/>
          <w:szCs w:val="22"/>
          <w:lang w:val="sr-Latn-ME"/>
        </w:rPr>
        <w:t>trebalo koristiti kod ove populacije.</w:t>
      </w:r>
    </w:p>
    <w:p w14:paraId="216945AC" w14:textId="5EA2948D" w:rsidR="000A5B51" w:rsidRPr="0045764A" w:rsidRDefault="000A5B51" w:rsidP="00C65330">
      <w:pPr>
        <w:rPr>
          <w:rFonts w:eastAsia="TimesNewRoman"/>
          <w:szCs w:val="22"/>
          <w:lang w:val="sr-Latn-ME"/>
        </w:rPr>
      </w:pPr>
    </w:p>
    <w:p w14:paraId="09677815" w14:textId="1F836BCB" w:rsidR="000A5B51" w:rsidRPr="0045764A" w:rsidRDefault="00C61A88" w:rsidP="00C65330">
      <w:pPr>
        <w:tabs>
          <w:tab w:val="clear" w:pos="284"/>
        </w:tabs>
        <w:autoSpaceDE w:val="0"/>
        <w:autoSpaceDN w:val="0"/>
        <w:adjustRightInd w:val="0"/>
        <w:rPr>
          <w:iCs/>
          <w:szCs w:val="22"/>
          <w:u w:val="single"/>
          <w:lang w:val="sr-Latn-ME"/>
        </w:rPr>
      </w:pPr>
      <w:r w:rsidRPr="0045764A">
        <w:rPr>
          <w:iCs/>
          <w:szCs w:val="22"/>
          <w:u w:val="single"/>
          <w:lang w:val="sr-Latn-ME"/>
        </w:rPr>
        <w:t>P</w:t>
      </w:r>
      <w:r w:rsidR="000A5B51" w:rsidRPr="0045764A">
        <w:rPr>
          <w:iCs/>
          <w:szCs w:val="22"/>
          <w:u w:val="single"/>
          <w:lang w:val="sr-Latn-ME"/>
        </w:rPr>
        <w:t>acijenti</w:t>
      </w:r>
      <w:r w:rsidRPr="0045764A">
        <w:rPr>
          <w:iCs/>
          <w:szCs w:val="22"/>
          <w:u w:val="single"/>
          <w:lang w:val="sr-Latn-ME"/>
        </w:rPr>
        <w:t xml:space="preserve"> starije životne dobi</w:t>
      </w:r>
      <w:r w:rsidR="000A5B51" w:rsidRPr="0045764A">
        <w:rPr>
          <w:iCs/>
          <w:szCs w:val="22"/>
          <w:u w:val="single"/>
          <w:lang w:val="sr-Latn-ME"/>
        </w:rPr>
        <w:t xml:space="preserve"> (</w:t>
      </w:r>
      <w:r w:rsidR="003D02D0" w:rsidRPr="0045764A">
        <w:rPr>
          <w:szCs w:val="22"/>
          <w:u w:val="single"/>
          <w:lang w:val="sr-Latn-ME"/>
        </w:rPr>
        <w:t>≥</w:t>
      </w:r>
      <w:r w:rsidR="000A5B51" w:rsidRPr="0045764A">
        <w:rPr>
          <w:szCs w:val="22"/>
          <w:u w:val="single"/>
          <w:lang w:val="sr-Latn-ME"/>
        </w:rPr>
        <w:t xml:space="preserve"> </w:t>
      </w:r>
      <w:r w:rsidR="000A5B51" w:rsidRPr="0045764A">
        <w:rPr>
          <w:iCs/>
          <w:szCs w:val="22"/>
          <w:u w:val="single"/>
          <w:lang w:val="sr-Latn-ME"/>
        </w:rPr>
        <w:t>65 godina) i rasa</w:t>
      </w:r>
    </w:p>
    <w:p w14:paraId="69750957" w14:textId="1DCA6CD1" w:rsidR="000A5B51" w:rsidRPr="0045764A" w:rsidRDefault="000A5B51"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U kliničkom ispitivanju sa </w:t>
      </w:r>
      <w:proofErr w:type="spellStart"/>
      <w:r w:rsidRPr="0045764A">
        <w:rPr>
          <w:rFonts w:eastAsia="TimesNewRoman"/>
          <w:szCs w:val="22"/>
          <w:lang w:val="sr-Latn-ME"/>
        </w:rPr>
        <w:t>aksitinibom</w:t>
      </w:r>
      <w:proofErr w:type="spellEnd"/>
      <w:r w:rsidRPr="0045764A">
        <w:rPr>
          <w:rFonts w:eastAsia="TimesNewRoman"/>
          <w:szCs w:val="22"/>
          <w:lang w:val="sr-Latn-ME"/>
        </w:rPr>
        <w:t xml:space="preserve"> za </w:t>
      </w:r>
      <w:r w:rsidR="00AE0DCD" w:rsidRPr="0045764A">
        <w:rPr>
          <w:rFonts w:eastAsia="TimesNewRoman"/>
          <w:szCs w:val="22"/>
          <w:lang w:val="sr-Latn-ME"/>
        </w:rPr>
        <w:t>liječenj</w:t>
      </w:r>
      <w:r w:rsidRPr="0045764A">
        <w:rPr>
          <w:rFonts w:eastAsia="TimesNewRoman"/>
          <w:szCs w:val="22"/>
          <w:lang w:val="sr-Latn-ME"/>
        </w:rPr>
        <w:t>e pacijenata sa RCC, 34% pacijenata l</w:t>
      </w:r>
      <w:r w:rsidR="00C61A88" w:rsidRPr="0045764A">
        <w:rPr>
          <w:rFonts w:eastAsia="TimesNewRoman"/>
          <w:szCs w:val="22"/>
          <w:lang w:val="sr-Latn-ME"/>
        </w:rPr>
        <w:t>ij</w:t>
      </w:r>
      <w:r w:rsidRPr="0045764A">
        <w:rPr>
          <w:rFonts w:eastAsia="TimesNewRoman"/>
          <w:szCs w:val="22"/>
          <w:lang w:val="sr-Latn-ME"/>
        </w:rPr>
        <w:t xml:space="preserve">ečenih </w:t>
      </w:r>
      <w:proofErr w:type="spellStart"/>
      <w:r w:rsidRPr="0045764A">
        <w:rPr>
          <w:rFonts w:eastAsia="TimesNewRoman"/>
          <w:szCs w:val="22"/>
          <w:lang w:val="sr-Latn-ME"/>
        </w:rPr>
        <w:t>aksitinibom</w:t>
      </w:r>
      <w:proofErr w:type="spellEnd"/>
      <w:r w:rsidR="00316747" w:rsidRPr="0045764A">
        <w:rPr>
          <w:rFonts w:eastAsia="TimesNewRoman"/>
          <w:szCs w:val="22"/>
          <w:lang w:val="sr-Latn-ME"/>
        </w:rPr>
        <w:t xml:space="preserve"> </w:t>
      </w:r>
      <w:r w:rsidRPr="0045764A">
        <w:rPr>
          <w:rFonts w:eastAsia="TimesNewRoman"/>
          <w:szCs w:val="22"/>
          <w:lang w:val="sr-Latn-ME"/>
        </w:rPr>
        <w:t xml:space="preserve">bilo je starosti </w:t>
      </w:r>
      <w:r w:rsidR="003D02D0" w:rsidRPr="0045764A">
        <w:rPr>
          <w:szCs w:val="22"/>
          <w:lang w:val="sr-Latn-ME"/>
        </w:rPr>
        <w:t>≥</w:t>
      </w:r>
      <w:r w:rsidRPr="0045764A">
        <w:rPr>
          <w:szCs w:val="22"/>
          <w:lang w:val="sr-Latn-ME"/>
        </w:rPr>
        <w:t xml:space="preserve"> </w:t>
      </w:r>
      <w:r w:rsidRPr="0045764A">
        <w:rPr>
          <w:rFonts w:eastAsia="TimesNewRoman"/>
          <w:szCs w:val="22"/>
          <w:lang w:val="sr-Latn-ME"/>
        </w:rPr>
        <w:t>65 godina. Većina pacijenata su bili b</w:t>
      </w:r>
      <w:r w:rsidR="00C61A88" w:rsidRPr="0045764A">
        <w:rPr>
          <w:rFonts w:eastAsia="TimesNewRoman"/>
          <w:szCs w:val="22"/>
          <w:lang w:val="sr-Latn-ME"/>
        </w:rPr>
        <w:t>ij</w:t>
      </w:r>
      <w:r w:rsidRPr="0045764A">
        <w:rPr>
          <w:rFonts w:eastAsia="TimesNewRoman"/>
          <w:szCs w:val="22"/>
          <w:lang w:val="sr-Latn-ME"/>
        </w:rPr>
        <w:t>e</w:t>
      </w:r>
      <w:r w:rsidR="00282214" w:rsidRPr="0045764A">
        <w:rPr>
          <w:rFonts w:eastAsia="TimesNewRoman"/>
          <w:szCs w:val="22"/>
          <w:lang w:val="sr-Latn-ME"/>
        </w:rPr>
        <w:t>le rase</w:t>
      </w:r>
      <w:r w:rsidRPr="0045764A">
        <w:rPr>
          <w:rFonts w:eastAsia="TimesNewRoman"/>
          <w:szCs w:val="22"/>
          <w:lang w:val="sr-Latn-ME"/>
        </w:rPr>
        <w:t xml:space="preserve"> (77%) ili azijskog por</w:t>
      </w:r>
      <w:r w:rsidR="00C61A88" w:rsidRPr="0045764A">
        <w:rPr>
          <w:rFonts w:eastAsia="TimesNewRoman"/>
          <w:szCs w:val="22"/>
          <w:lang w:val="sr-Latn-ME"/>
        </w:rPr>
        <w:t>ij</w:t>
      </w:r>
      <w:r w:rsidRPr="0045764A">
        <w:rPr>
          <w:rFonts w:eastAsia="TimesNewRoman"/>
          <w:szCs w:val="22"/>
          <w:lang w:val="sr-Latn-ME"/>
        </w:rPr>
        <w:t>ekla (21%). Iako se veća</w:t>
      </w:r>
      <w:r w:rsidR="00316747" w:rsidRPr="0045764A">
        <w:rPr>
          <w:rFonts w:eastAsia="TimesNewRoman"/>
          <w:szCs w:val="22"/>
          <w:lang w:val="sr-Latn-ME"/>
        </w:rPr>
        <w:t xml:space="preserve"> </w:t>
      </w:r>
      <w:r w:rsidRPr="0045764A">
        <w:rPr>
          <w:rFonts w:eastAsia="TimesNewRoman"/>
          <w:szCs w:val="22"/>
          <w:lang w:val="sr-Latn-ME"/>
        </w:rPr>
        <w:t>os</w:t>
      </w:r>
      <w:r w:rsidR="00C61A88" w:rsidRPr="0045764A">
        <w:rPr>
          <w:rFonts w:eastAsia="TimesNewRoman"/>
          <w:szCs w:val="22"/>
          <w:lang w:val="sr-Latn-ME"/>
        </w:rPr>
        <w:t>j</w:t>
      </w:r>
      <w:r w:rsidRPr="0045764A">
        <w:rPr>
          <w:rFonts w:eastAsia="TimesNewRoman"/>
          <w:szCs w:val="22"/>
          <w:lang w:val="sr-Latn-ME"/>
        </w:rPr>
        <w:t xml:space="preserve">etljivost </w:t>
      </w:r>
      <w:r w:rsidR="00BA69C0" w:rsidRPr="0045764A">
        <w:rPr>
          <w:rFonts w:eastAsia="TimesNewRoman"/>
          <w:szCs w:val="22"/>
          <w:lang w:val="sr-Latn-ME"/>
        </w:rPr>
        <w:t xml:space="preserve">kod nekih </w:t>
      </w:r>
      <w:r w:rsidRPr="0045764A">
        <w:rPr>
          <w:rFonts w:eastAsia="TimesNewRoman"/>
          <w:szCs w:val="22"/>
          <w:lang w:val="sr-Latn-ME"/>
        </w:rPr>
        <w:t>starijih pacijenata i pacijenata azijskog por</w:t>
      </w:r>
      <w:r w:rsidR="00C61A88" w:rsidRPr="0045764A">
        <w:rPr>
          <w:rFonts w:eastAsia="TimesNewRoman"/>
          <w:szCs w:val="22"/>
          <w:lang w:val="sr-Latn-ME"/>
        </w:rPr>
        <w:t>ij</w:t>
      </w:r>
      <w:r w:rsidRPr="0045764A">
        <w:rPr>
          <w:rFonts w:eastAsia="TimesNewRoman"/>
          <w:szCs w:val="22"/>
          <w:lang w:val="sr-Latn-ME"/>
        </w:rPr>
        <w:t xml:space="preserve">ekla za pojavu neželjenih </w:t>
      </w:r>
      <w:r w:rsidR="00987038" w:rsidRPr="0045764A">
        <w:rPr>
          <w:rFonts w:eastAsia="TimesNewRoman"/>
          <w:szCs w:val="22"/>
          <w:lang w:val="sr-Latn-ME"/>
        </w:rPr>
        <w:t xml:space="preserve">dejstava </w:t>
      </w:r>
      <w:r w:rsidRPr="0045764A">
        <w:rPr>
          <w:rFonts w:eastAsia="TimesNewRoman"/>
          <w:szCs w:val="22"/>
          <w:lang w:val="sr-Latn-ME"/>
        </w:rPr>
        <w:t>ne može isključiti,</w:t>
      </w:r>
      <w:r w:rsidR="00316747" w:rsidRPr="0045764A">
        <w:rPr>
          <w:rFonts w:eastAsia="TimesNewRoman"/>
          <w:szCs w:val="22"/>
          <w:lang w:val="sr-Latn-ME"/>
        </w:rPr>
        <w:t xml:space="preserve"> </w:t>
      </w:r>
      <w:r w:rsidRPr="0045764A">
        <w:rPr>
          <w:rFonts w:eastAsia="TimesNewRoman"/>
          <w:szCs w:val="22"/>
          <w:lang w:val="sr-Latn-ME"/>
        </w:rPr>
        <w:t>sveukupno ni</w:t>
      </w:r>
      <w:r w:rsidR="00BA69C0" w:rsidRPr="0045764A">
        <w:rPr>
          <w:rFonts w:eastAsia="TimesNewRoman"/>
          <w:szCs w:val="22"/>
          <w:lang w:val="sr-Latn-ME"/>
        </w:rPr>
        <w:t>je</w:t>
      </w:r>
      <w:r w:rsidRPr="0045764A">
        <w:rPr>
          <w:rFonts w:eastAsia="TimesNewRoman"/>
          <w:szCs w:val="22"/>
          <w:lang w:val="sr-Latn-ME"/>
        </w:rPr>
        <w:t>su uočene velike razlike u bezb</w:t>
      </w:r>
      <w:r w:rsidR="00C61A88" w:rsidRPr="0045764A">
        <w:rPr>
          <w:rFonts w:eastAsia="TimesNewRoman"/>
          <w:szCs w:val="22"/>
          <w:lang w:val="sr-Latn-ME"/>
        </w:rPr>
        <w:t>j</w:t>
      </w:r>
      <w:r w:rsidRPr="0045764A">
        <w:rPr>
          <w:rFonts w:eastAsia="TimesNewRoman"/>
          <w:szCs w:val="22"/>
          <w:lang w:val="sr-Latn-ME"/>
        </w:rPr>
        <w:t xml:space="preserve">ednosti i efikasnosti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između pacijenata starosti </w:t>
      </w:r>
      <w:r w:rsidR="00316747" w:rsidRPr="0045764A">
        <w:rPr>
          <w:szCs w:val="22"/>
          <w:lang w:val="sr-Latn-ME"/>
        </w:rPr>
        <w:t>≥</w:t>
      </w:r>
      <w:r w:rsidRPr="0045764A">
        <w:rPr>
          <w:szCs w:val="22"/>
          <w:lang w:val="sr-Latn-ME"/>
        </w:rPr>
        <w:t xml:space="preserve"> </w:t>
      </w:r>
      <w:r w:rsidRPr="0045764A">
        <w:rPr>
          <w:rFonts w:eastAsia="TimesNewRoman"/>
          <w:szCs w:val="22"/>
          <w:lang w:val="sr-Latn-ME"/>
        </w:rPr>
        <w:t>65</w:t>
      </w:r>
      <w:r w:rsidR="00316747" w:rsidRPr="0045764A">
        <w:rPr>
          <w:rFonts w:eastAsia="TimesNewRoman"/>
          <w:szCs w:val="22"/>
          <w:lang w:val="sr-Latn-ME"/>
        </w:rPr>
        <w:t xml:space="preserve"> </w:t>
      </w:r>
      <w:r w:rsidRPr="0045764A">
        <w:rPr>
          <w:rFonts w:eastAsia="TimesNewRoman"/>
          <w:szCs w:val="22"/>
          <w:lang w:val="sr-Latn-ME"/>
        </w:rPr>
        <w:t xml:space="preserve">godina i mlađih, kao </w:t>
      </w:r>
      <w:r w:rsidR="00BA69C0" w:rsidRPr="0045764A">
        <w:rPr>
          <w:rFonts w:eastAsia="TimesNewRoman"/>
          <w:szCs w:val="22"/>
          <w:lang w:val="sr-Latn-ME"/>
        </w:rPr>
        <w:t>n</w:t>
      </w:r>
      <w:r w:rsidRPr="0045764A">
        <w:rPr>
          <w:rFonts w:eastAsia="TimesNewRoman"/>
          <w:szCs w:val="22"/>
          <w:lang w:val="sr-Latn-ME"/>
        </w:rPr>
        <w:t xml:space="preserve">i između </w:t>
      </w:r>
      <w:r w:rsidR="009F7AAB" w:rsidRPr="0045764A">
        <w:rPr>
          <w:rFonts w:eastAsia="TimesNewRoman"/>
          <w:szCs w:val="22"/>
          <w:lang w:val="sr-Latn-ME"/>
        </w:rPr>
        <w:t xml:space="preserve">pripadnika </w:t>
      </w:r>
      <w:r w:rsidRPr="0045764A">
        <w:rPr>
          <w:rFonts w:eastAsia="TimesNewRoman"/>
          <w:szCs w:val="22"/>
          <w:lang w:val="sr-Latn-ME"/>
        </w:rPr>
        <w:t>b</w:t>
      </w:r>
      <w:r w:rsidR="00C61A88" w:rsidRPr="0045764A">
        <w:rPr>
          <w:rFonts w:eastAsia="TimesNewRoman"/>
          <w:szCs w:val="22"/>
          <w:lang w:val="sr-Latn-ME"/>
        </w:rPr>
        <w:t>ij</w:t>
      </w:r>
      <w:r w:rsidRPr="0045764A">
        <w:rPr>
          <w:rFonts w:eastAsia="TimesNewRoman"/>
          <w:szCs w:val="22"/>
          <w:lang w:val="sr-Latn-ME"/>
        </w:rPr>
        <w:t>el</w:t>
      </w:r>
      <w:r w:rsidR="009F7AAB" w:rsidRPr="0045764A">
        <w:rPr>
          <w:rFonts w:eastAsia="TimesNewRoman"/>
          <w:szCs w:val="22"/>
          <w:lang w:val="sr-Latn-ME"/>
        </w:rPr>
        <w:t>e</w:t>
      </w:r>
      <w:r w:rsidRPr="0045764A">
        <w:rPr>
          <w:rFonts w:eastAsia="TimesNewRoman"/>
          <w:szCs w:val="22"/>
          <w:lang w:val="sr-Latn-ME"/>
        </w:rPr>
        <w:t xml:space="preserve"> </w:t>
      </w:r>
      <w:r w:rsidR="00BA69C0" w:rsidRPr="0045764A">
        <w:rPr>
          <w:rFonts w:eastAsia="TimesNewRoman"/>
          <w:szCs w:val="22"/>
          <w:lang w:val="sr-Latn-ME"/>
        </w:rPr>
        <w:t xml:space="preserve">rase </w:t>
      </w:r>
      <w:r w:rsidRPr="0045764A">
        <w:rPr>
          <w:rFonts w:eastAsia="TimesNewRoman"/>
          <w:szCs w:val="22"/>
          <w:lang w:val="sr-Latn-ME"/>
        </w:rPr>
        <w:t>i pacijenata drugih rasa.</w:t>
      </w:r>
    </w:p>
    <w:p w14:paraId="0735B827" w14:textId="77777777" w:rsidR="00316747" w:rsidRPr="0045764A" w:rsidRDefault="00316747" w:rsidP="00C65330">
      <w:pPr>
        <w:tabs>
          <w:tab w:val="clear" w:pos="284"/>
        </w:tabs>
        <w:autoSpaceDE w:val="0"/>
        <w:autoSpaceDN w:val="0"/>
        <w:adjustRightInd w:val="0"/>
        <w:rPr>
          <w:rFonts w:eastAsia="TimesNewRoman"/>
          <w:szCs w:val="22"/>
          <w:lang w:val="sr-Latn-ME"/>
        </w:rPr>
      </w:pPr>
    </w:p>
    <w:p w14:paraId="1E29C07D" w14:textId="0FDA1BFB" w:rsidR="000A5B51" w:rsidRPr="0045764A" w:rsidRDefault="000A5B51" w:rsidP="00C65330">
      <w:pPr>
        <w:rPr>
          <w:rFonts w:eastAsia="TimesNewRoman"/>
          <w:szCs w:val="22"/>
          <w:lang w:val="sr-Latn-ME"/>
        </w:rPr>
      </w:pPr>
      <w:r w:rsidRPr="0045764A">
        <w:rPr>
          <w:rFonts w:eastAsia="TimesNewRoman"/>
          <w:szCs w:val="22"/>
          <w:lang w:val="sr-Latn-ME"/>
        </w:rPr>
        <w:t>Nije potrebno prilagođavanje doze na osnovu starosti ili rase pacijenta (</w:t>
      </w:r>
      <w:r w:rsidR="00EB1E1B" w:rsidRPr="0045764A">
        <w:rPr>
          <w:rFonts w:eastAsia="TimesNewRoman"/>
          <w:szCs w:val="22"/>
          <w:lang w:val="sr-Latn-ME"/>
        </w:rPr>
        <w:t>pogledati djelove</w:t>
      </w:r>
      <w:r w:rsidRPr="0045764A">
        <w:rPr>
          <w:rFonts w:eastAsia="TimesNewRoman"/>
          <w:szCs w:val="22"/>
          <w:lang w:val="sr-Latn-ME"/>
        </w:rPr>
        <w:t xml:space="preserve"> 4.2 i 5.2).</w:t>
      </w:r>
    </w:p>
    <w:p w14:paraId="65108A94" w14:textId="46A1385E" w:rsidR="000A5B51" w:rsidRPr="0045764A" w:rsidRDefault="000A5B51" w:rsidP="00C65330">
      <w:pPr>
        <w:rPr>
          <w:rFonts w:eastAsia="TimesNewRoman"/>
          <w:szCs w:val="22"/>
          <w:lang w:val="sr-Latn-ME"/>
        </w:rPr>
      </w:pPr>
    </w:p>
    <w:p w14:paraId="109C8681" w14:textId="77777777" w:rsidR="00E31332" w:rsidRPr="0045764A" w:rsidRDefault="00E31332" w:rsidP="00C65330">
      <w:pPr>
        <w:tabs>
          <w:tab w:val="clear" w:pos="284"/>
        </w:tabs>
        <w:autoSpaceDE w:val="0"/>
        <w:autoSpaceDN w:val="0"/>
        <w:adjustRightInd w:val="0"/>
        <w:rPr>
          <w:i/>
          <w:iCs/>
          <w:szCs w:val="22"/>
          <w:lang w:val="sr-Latn-ME"/>
        </w:rPr>
      </w:pPr>
      <w:r w:rsidRPr="0045764A">
        <w:rPr>
          <w:i/>
          <w:iCs/>
          <w:szCs w:val="22"/>
          <w:lang w:val="sr-Latn-ME"/>
        </w:rPr>
        <w:t>Laktoza</w:t>
      </w:r>
    </w:p>
    <w:p w14:paraId="31FC3781" w14:textId="46B8401E" w:rsidR="000A5B51" w:rsidRPr="0045764A" w:rsidRDefault="00E31332"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Ovaj </w:t>
      </w:r>
      <w:r w:rsidR="00593BF5" w:rsidRPr="0045764A">
        <w:rPr>
          <w:rFonts w:eastAsia="TimesNewRoman"/>
          <w:szCs w:val="22"/>
          <w:lang w:val="sr-Latn-ME"/>
        </w:rPr>
        <w:t>lijek</w:t>
      </w:r>
      <w:r w:rsidRPr="0045764A">
        <w:rPr>
          <w:rFonts w:eastAsia="TimesNewRoman"/>
          <w:szCs w:val="22"/>
          <w:lang w:val="sr-Latn-ME"/>
        </w:rPr>
        <w:t xml:space="preserve"> sadrži laktozu. Pacijenti sa r</w:t>
      </w:r>
      <w:r w:rsidR="00C61A88" w:rsidRPr="0045764A">
        <w:rPr>
          <w:rFonts w:eastAsia="TimesNewRoman"/>
          <w:szCs w:val="22"/>
          <w:lang w:val="sr-Latn-ME"/>
        </w:rPr>
        <w:t>ij</w:t>
      </w:r>
      <w:r w:rsidRPr="0045764A">
        <w:rPr>
          <w:rFonts w:eastAsia="TimesNewRoman"/>
          <w:szCs w:val="22"/>
          <w:lang w:val="sr-Latn-ME"/>
        </w:rPr>
        <w:t xml:space="preserve">etkim </w:t>
      </w:r>
      <w:proofErr w:type="spellStart"/>
      <w:r w:rsidRPr="0045764A">
        <w:rPr>
          <w:rFonts w:eastAsia="TimesNewRoman"/>
          <w:szCs w:val="22"/>
          <w:lang w:val="sr-Latn-ME"/>
        </w:rPr>
        <w:t>nasl</w:t>
      </w:r>
      <w:r w:rsidR="00C61A88" w:rsidRPr="0045764A">
        <w:rPr>
          <w:rFonts w:eastAsia="TimesNewRoman"/>
          <w:szCs w:val="22"/>
          <w:lang w:val="sr-Latn-ME"/>
        </w:rPr>
        <w:t>j</w:t>
      </w:r>
      <w:r w:rsidRPr="0045764A">
        <w:rPr>
          <w:rFonts w:eastAsia="TimesNewRoman"/>
          <w:szCs w:val="22"/>
          <w:lang w:val="sr-Latn-ME"/>
        </w:rPr>
        <w:t>ednim</w:t>
      </w:r>
      <w:proofErr w:type="spellEnd"/>
      <w:r w:rsidRPr="0045764A">
        <w:rPr>
          <w:rFonts w:eastAsia="TimesNewRoman"/>
          <w:szCs w:val="22"/>
          <w:lang w:val="sr-Latn-ME"/>
        </w:rPr>
        <w:t xml:space="preserve"> oboljenjem intolerancije na </w:t>
      </w:r>
      <w:proofErr w:type="spellStart"/>
      <w:r w:rsidRPr="0045764A">
        <w:rPr>
          <w:rFonts w:eastAsia="TimesNewRoman"/>
          <w:szCs w:val="22"/>
          <w:lang w:val="sr-Latn-ME"/>
        </w:rPr>
        <w:t>galaktozu</w:t>
      </w:r>
      <w:proofErr w:type="spellEnd"/>
      <w:r w:rsidRPr="0045764A">
        <w:rPr>
          <w:rFonts w:eastAsia="TimesNewRoman"/>
          <w:szCs w:val="22"/>
          <w:lang w:val="sr-Latn-ME"/>
        </w:rPr>
        <w:t>, nedostatkom</w:t>
      </w:r>
      <w:r w:rsidR="00316747" w:rsidRPr="0045764A">
        <w:rPr>
          <w:rFonts w:eastAsia="TimesNewRoman"/>
          <w:szCs w:val="22"/>
          <w:lang w:val="sr-Latn-ME"/>
        </w:rPr>
        <w:t xml:space="preserve"> </w:t>
      </w:r>
      <w:proofErr w:type="spellStart"/>
      <w:r w:rsidRPr="0045764A">
        <w:rPr>
          <w:rFonts w:eastAsia="TimesNewRoman"/>
          <w:szCs w:val="22"/>
          <w:lang w:val="sr-Latn-ME"/>
        </w:rPr>
        <w:t>laktaze</w:t>
      </w:r>
      <w:proofErr w:type="spellEnd"/>
      <w:r w:rsidRPr="0045764A">
        <w:rPr>
          <w:rFonts w:eastAsia="TimesNewRoman"/>
          <w:szCs w:val="22"/>
          <w:lang w:val="sr-Latn-ME"/>
        </w:rPr>
        <w:t xml:space="preserve"> ili </w:t>
      </w:r>
      <w:proofErr w:type="spellStart"/>
      <w:r w:rsidRPr="0045764A">
        <w:rPr>
          <w:rFonts w:eastAsia="TimesNewRoman"/>
          <w:szCs w:val="22"/>
          <w:lang w:val="sr-Latn-ME"/>
        </w:rPr>
        <w:t>glukozno-galaktoznom</w:t>
      </w:r>
      <w:proofErr w:type="spellEnd"/>
      <w:r w:rsidRPr="0045764A">
        <w:rPr>
          <w:rFonts w:eastAsia="TimesNewRoman"/>
          <w:szCs w:val="22"/>
          <w:lang w:val="sr-Latn-ME"/>
        </w:rPr>
        <w:t xml:space="preserve"> </w:t>
      </w:r>
      <w:proofErr w:type="spellStart"/>
      <w:r w:rsidRPr="0045764A">
        <w:rPr>
          <w:rFonts w:eastAsia="TimesNewRoman"/>
          <w:szCs w:val="22"/>
          <w:lang w:val="sr-Latn-ME"/>
        </w:rPr>
        <w:t>malapsorpcijom</w:t>
      </w:r>
      <w:proofErr w:type="spellEnd"/>
      <w:r w:rsidRPr="0045764A">
        <w:rPr>
          <w:rFonts w:eastAsia="TimesNewRoman"/>
          <w:szCs w:val="22"/>
          <w:lang w:val="sr-Latn-ME"/>
        </w:rPr>
        <w:t>, ne sm</w:t>
      </w:r>
      <w:r w:rsidR="00C61A88" w:rsidRPr="0045764A">
        <w:rPr>
          <w:rFonts w:eastAsia="TimesNewRoman"/>
          <w:szCs w:val="22"/>
          <w:lang w:val="sr-Latn-ME"/>
        </w:rPr>
        <w:t>i</w:t>
      </w:r>
      <w:r w:rsidRPr="0045764A">
        <w:rPr>
          <w:rFonts w:eastAsia="TimesNewRoman"/>
          <w:szCs w:val="22"/>
          <w:lang w:val="sr-Latn-ME"/>
        </w:rPr>
        <w:t xml:space="preserve">ju da koriste ovaj </w:t>
      </w:r>
      <w:r w:rsidR="00593BF5" w:rsidRPr="0045764A">
        <w:rPr>
          <w:rFonts w:eastAsia="TimesNewRoman"/>
          <w:szCs w:val="22"/>
          <w:lang w:val="sr-Latn-ME"/>
        </w:rPr>
        <w:t>lijek</w:t>
      </w:r>
      <w:r w:rsidRPr="0045764A">
        <w:rPr>
          <w:rFonts w:eastAsia="TimesNewRoman"/>
          <w:szCs w:val="22"/>
          <w:lang w:val="sr-Latn-ME"/>
        </w:rPr>
        <w:t>.</w:t>
      </w:r>
    </w:p>
    <w:p w14:paraId="2580996A" w14:textId="7D848A7E" w:rsidR="0069180D" w:rsidRPr="0045764A" w:rsidRDefault="0069180D" w:rsidP="00C65330">
      <w:pPr>
        <w:tabs>
          <w:tab w:val="clear" w:pos="284"/>
        </w:tabs>
        <w:autoSpaceDE w:val="0"/>
        <w:autoSpaceDN w:val="0"/>
        <w:adjustRightInd w:val="0"/>
        <w:rPr>
          <w:rFonts w:eastAsia="TimesNewRoman"/>
          <w:szCs w:val="22"/>
          <w:lang w:val="sr-Latn-ME"/>
        </w:rPr>
      </w:pPr>
    </w:p>
    <w:p w14:paraId="60C1FBE2" w14:textId="366255F1" w:rsidR="0069180D" w:rsidRPr="0045764A" w:rsidRDefault="0069180D" w:rsidP="00C65330">
      <w:pPr>
        <w:tabs>
          <w:tab w:val="clear" w:pos="284"/>
        </w:tabs>
        <w:autoSpaceDE w:val="0"/>
        <w:autoSpaceDN w:val="0"/>
        <w:adjustRightInd w:val="0"/>
        <w:rPr>
          <w:rFonts w:eastAsia="TimesNewRoman"/>
          <w:i/>
          <w:szCs w:val="22"/>
          <w:lang w:val="sr-Latn-ME"/>
        </w:rPr>
      </w:pPr>
      <w:r w:rsidRPr="0045764A">
        <w:rPr>
          <w:rFonts w:eastAsia="TimesNewRoman"/>
          <w:i/>
          <w:szCs w:val="22"/>
          <w:lang w:val="sr-Latn-ME"/>
        </w:rPr>
        <w:t>Natrijum</w:t>
      </w:r>
    </w:p>
    <w:p w14:paraId="7587C44E" w14:textId="1CA18142" w:rsidR="0069180D" w:rsidRPr="0045764A" w:rsidRDefault="0069180D"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Ovaj lijek sadrži manje od 1 </w:t>
      </w:r>
      <w:proofErr w:type="spellStart"/>
      <w:r w:rsidRPr="0045764A">
        <w:rPr>
          <w:rFonts w:eastAsia="TimesNewRoman"/>
          <w:szCs w:val="22"/>
          <w:lang w:val="sr-Latn-ME"/>
        </w:rPr>
        <w:t>mmol</w:t>
      </w:r>
      <w:proofErr w:type="spellEnd"/>
      <w:r w:rsidRPr="0045764A">
        <w:rPr>
          <w:rFonts w:eastAsia="TimesNewRoman"/>
          <w:szCs w:val="22"/>
          <w:lang w:val="sr-Latn-ME"/>
        </w:rPr>
        <w:t xml:space="preserve"> natrijuma (23 mg) po film tableti, što znači da je suštinski „bez natrijuma“.</w:t>
      </w:r>
    </w:p>
    <w:p w14:paraId="3F774D0F" w14:textId="77777777" w:rsidR="00043115" w:rsidRPr="0045764A" w:rsidRDefault="00043115" w:rsidP="00C65330">
      <w:pPr>
        <w:rPr>
          <w:szCs w:val="22"/>
          <w:lang w:val="sr-Latn-ME"/>
        </w:rPr>
      </w:pPr>
    </w:p>
    <w:p w14:paraId="4B3C6774" w14:textId="2B1396F9" w:rsidR="00CE09F3" w:rsidRPr="0045764A" w:rsidRDefault="00CE09F3" w:rsidP="00C65330">
      <w:pPr>
        <w:rPr>
          <w:b/>
          <w:bCs/>
          <w:szCs w:val="22"/>
          <w:lang w:val="sr-Latn-ME"/>
        </w:rPr>
      </w:pPr>
      <w:r w:rsidRPr="0045764A">
        <w:rPr>
          <w:b/>
          <w:bCs/>
          <w:szCs w:val="22"/>
          <w:lang w:val="sr-Latn-ME"/>
        </w:rPr>
        <w:t xml:space="preserve">4.5. Interakcije sa drugim </w:t>
      </w:r>
      <w:r w:rsidR="00593BF5" w:rsidRPr="0045764A">
        <w:rPr>
          <w:b/>
          <w:bCs/>
          <w:szCs w:val="22"/>
          <w:lang w:val="sr-Latn-ME"/>
        </w:rPr>
        <w:t>ljek</w:t>
      </w:r>
      <w:r w:rsidRPr="0045764A">
        <w:rPr>
          <w:b/>
          <w:bCs/>
          <w:szCs w:val="22"/>
          <w:lang w:val="sr-Latn-ME"/>
        </w:rPr>
        <w:t>ovima i druge vrste interakcija</w:t>
      </w:r>
    </w:p>
    <w:p w14:paraId="4B3C6775" w14:textId="77777777" w:rsidR="00CE09F3" w:rsidRPr="0045764A" w:rsidRDefault="00CE09F3" w:rsidP="00C65330">
      <w:pPr>
        <w:rPr>
          <w:szCs w:val="22"/>
          <w:lang w:val="sr-Latn-ME"/>
        </w:rPr>
      </w:pPr>
    </w:p>
    <w:p w14:paraId="4B3C6776" w14:textId="4799F0E2" w:rsidR="00CE09F3" w:rsidRPr="0045764A" w:rsidRDefault="00891702" w:rsidP="00C65330">
      <w:pPr>
        <w:tabs>
          <w:tab w:val="clear" w:pos="284"/>
        </w:tabs>
        <w:autoSpaceDE w:val="0"/>
        <w:autoSpaceDN w:val="0"/>
        <w:adjustRightInd w:val="0"/>
        <w:rPr>
          <w:rFonts w:eastAsia="TimesNewRoman"/>
          <w:szCs w:val="22"/>
          <w:lang w:val="sr-Latn-ME"/>
        </w:rPr>
      </w:pPr>
      <w:r w:rsidRPr="0045764A">
        <w:rPr>
          <w:i/>
          <w:iCs/>
          <w:szCs w:val="22"/>
          <w:lang w:val="sr-Latn-ME"/>
        </w:rPr>
        <w:t xml:space="preserve">In </w:t>
      </w:r>
      <w:proofErr w:type="spellStart"/>
      <w:r w:rsidRPr="0045764A">
        <w:rPr>
          <w:i/>
          <w:iCs/>
          <w:szCs w:val="22"/>
          <w:lang w:val="sr-Latn-ME"/>
        </w:rPr>
        <w:t>vitro</w:t>
      </w:r>
      <w:proofErr w:type="spellEnd"/>
      <w:r w:rsidRPr="0045764A">
        <w:rPr>
          <w:i/>
          <w:iCs/>
          <w:szCs w:val="22"/>
          <w:lang w:val="sr-Latn-ME"/>
        </w:rPr>
        <w:t xml:space="preserve"> </w:t>
      </w:r>
      <w:r w:rsidRPr="0045764A">
        <w:rPr>
          <w:rFonts w:eastAsia="TimesNewRoman"/>
          <w:szCs w:val="22"/>
          <w:lang w:val="sr-Latn-ME"/>
        </w:rPr>
        <w:t xml:space="preserve">podaci ukazuju da se </w:t>
      </w:r>
      <w:proofErr w:type="spellStart"/>
      <w:r w:rsidRPr="0045764A">
        <w:rPr>
          <w:rFonts w:eastAsia="TimesNewRoman"/>
          <w:szCs w:val="22"/>
          <w:lang w:val="sr-Latn-ME"/>
        </w:rPr>
        <w:t>aksitinib</w:t>
      </w:r>
      <w:proofErr w:type="spellEnd"/>
      <w:r w:rsidRPr="0045764A">
        <w:rPr>
          <w:rFonts w:eastAsia="TimesNewRoman"/>
          <w:szCs w:val="22"/>
          <w:lang w:val="sr-Latn-ME"/>
        </w:rPr>
        <w:t xml:space="preserve"> prvenstveno </w:t>
      </w:r>
      <w:proofErr w:type="spellStart"/>
      <w:r w:rsidRPr="0045764A">
        <w:rPr>
          <w:rFonts w:eastAsia="TimesNewRoman"/>
          <w:szCs w:val="22"/>
          <w:lang w:val="sr-Latn-ME"/>
        </w:rPr>
        <w:t>metaboliše</w:t>
      </w:r>
      <w:proofErr w:type="spellEnd"/>
      <w:r w:rsidRPr="0045764A">
        <w:rPr>
          <w:rFonts w:eastAsia="TimesNewRoman"/>
          <w:szCs w:val="22"/>
          <w:lang w:val="sr-Latn-ME"/>
        </w:rPr>
        <w:t xml:space="preserve"> putem CYP3A4/5 i</w:t>
      </w:r>
      <w:r w:rsidR="00373102" w:rsidRPr="0045764A">
        <w:rPr>
          <w:rFonts w:eastAsia="TimesNewRoman"/>
          <w:szCs w:val="22"/>
          <w:lang w:val="sr-Latn-ME"/>
        </w:rPr>
        <w:t>,</w:t>
      </w:r>
      <w:r w:rsidRPr="0045764A">
        <w:rPr>
          <w:rFonts w:eastAsia="TimesNewRoman"/>
          <w:szCs w:val="22"/>
          <w:lang w:val="sr-Latn-ME"/>
        </w:rPr>
        <w:t xml:space="preserve"> u manjoj m</w:t>
      </w:r>
      <w:r w:rsidR="00C61A88" w:rsidRPr="0045764A">
        <w:rPr>
          <w:rFonts w:eastAsia="TimesNewRoman"/>
          <w:szCs w:val="22"/>
          <w:lang w:val="sr-Latn-ME"/>
        </w:rPr>
        <w:t>j</w:t>
      </w:r>
      <w:r w:rsidRPr="0045764A">
        <w:rPr>
          <w:rFonts w:eastAsia="TimesNewRoman"/>
          <w:szCs w:val="22"/>
          <w:lang w:val="sr-Latn-ME"/>
        </w:rPr>
        <w:t>eri</w:t>
      </w:r>
      <w:r w:rsidR="00373102" w:rsidRPr="0045764A">
        <w:rPr>
          <w:rFonts w:eastAsia="TimesNewRoman"/>
          <w:szCs w:val="22"/>
          <w:lang w:val="sr-Latn-ME"/>
        </w:rPr>
        <w:t>,</w:t>
      </w:r>
      <w:r w:rsidRPr="0045764A">
        <w:rPr>
          <w:rFonts w:eastAsia="TimesNewRoman"/>
          <w:szCs w:val="22"/>
          <w:lang w:val="sr-Latn-ME"/>
        </w:rPr>
        <w:t xml:space="preserve"> putem</w:t>
      </w:r>
      <w:r w:rsidR="0031245B" w:rsidRPr="0045764A">
        <w:rPr>
          <w:rFonts w:eastAsia="TimesNewRoman"/>
          <w:szCs w:val="22"/>
          <w:lang w:val="sr-Latn-ME"/>
        </w:rPr>
        <w:t xml:space="preserve"> </w:t>
      </w:r>
      <w:r w:rsidRPr="0045764A">
        <w:rPr>
          <w:rFonts w:eastAsia="TimesNewRoman"/>
          <w:szCs w:val="22"/>
          <w:lang w:val="sr-Latn-ME"/>
        </w:rPr>
        <w:t xml:space="preserve">CYP1A2, CYP2C19 i </w:t>
      </w:r>
      <w:proofErr w:type="spellStart"/>
      <w:r w:rsidRPr="0045764A">
        <w:rPr>
          <w:rFonts w:eastAsia="TimesNewRoman"/>
          <w:szCs w:val="22"/>
          <w:lang w:val="sr-Latn-ME"/>
        </w:rPr>
        <w:t>uridin</w:t>
      </w:r>
      <w:proofErr w:type="spellEnd"/>
      <w:r w:rsidRPr="0045764A">
        <w:rPr>
          <w:rFonts w:eastAsia="TimesNewRoman"/>
          <w:szCs w:val="22"/>
          <w:lang w:val="sr-Latn-ME"/>
        </w:rPr>
        <w:t xml:space="preserve"> </w:t>
      </w:r>
      <w:proofErr w:type="spellStart"/>
      <w:r w:rsidRPr="0045764A">
        <w:rPr>
          <w:rFonts w:eastAsia="TimesNewRoman"/>
          <w:szCs w:val="22"/>
          <w:lang w:val="sr-Latn-ME"/>
        </w:rPr>
        <w:t>difosfat-glukuronoziltransferaze</w:t>
      </w:r>
      <w:proofErr w:type="spellEnd"/>
      <w:r w:rsidRPr="0045764A">
        <w:rPr>
          <w:rFonts w:eastAsia="TimesNewRoman"/>
          <w:szCs w:val="22"/>
          <w:lang w:val="sr-Latn-ME"/>
        </w:rPr>
        <w:t xml:space="preserve"> (UGT) 1A1.</w:t>
      </w:r>
    </w:p>
    <w:p w14:paraId="10CBC973" w14:textId="74FBEA49" w:rsidR="00910814" w:rsidRPr="0045764A" w:rsidRDefault="00910814" w:rsidP="00C65330">
      <w:pPr>
        <w:rPr>
          <w:rFonts w:eastAsia="TimesNewRoman"/>
          <w:szCs w:val="22"/>
          <w:lang w:val="sr-Latn-ME"/>
        </w:rPr>
      </w:pPr>
    </w:p>
    <w:p w14:paraId="0E483426" w14:textId="77777777" w:rsidR="00910814" w:rsidRPr="0045764A" w:rsidRDefault="00910814" w:rsidP="00C65330">
      <w:pPr>
        <w:tabs>
          <w:tab w:val="clear" w:pos="284"/>
        </w:tabs>
        <w:autoSpaceDE w:val="0"/>
        <w:autoSpaceDN w:val="0"/>
        <w:adjustRightInd w:val="0"/>
        <w:rPr>
          <w:iCs/>
          <w:szCs w:val="22"/>
          <w:u w:val="single"/>
          <w:lang w:val="sr-Latn-ME"/>
        </w:rPr>
      </w:pPr>
      <w:proofErr w:type="spellStart"/>
      <w:r w:rsidRPr="0045764A">
        <w:rPr>
          <w:iCs/>
          <w:szCs w:val="22"/>
          <w:u w:val="single"/>
          <w:lang w:val="sr-Latn-ME"/>
        </w:rPr>
        <w:t>Inhibitori</w:t>
      </w:r>
      <w:proofErr w:type="spellEnd"/>
      <w:r w:rsidRPr="0045764A">
        <w:rPr>
          <w:iCs/>
          <w:szCs w:val="22"/>
          <w:u w:val="single"/>
          <w:lang w:val="sr-Latn-ME"/>
        </w:rPr>
        <w:t xml:space="preserve"> CYP3A4/5</w:t>
      </w:r>
    </w:p>
    <w:p w14:paraId="6B413F39" w14:textId="77777777" w:rsidR="00DB4644" w:rsidRPr="0045764A" w:rsidRDefault="00910814" w:rsidP="00C65330">
      <w:pPr>
        <w:tabs>
          <w:tab w:val="clear" w:pos="284"/>
        </w:tabs>
        <w:autoSpaceDE w:val="0"/>
        <w:autoSpaceDN w:val="0"/>
        <w:adjustRightInd w:val="0"/>
        <w:rPr>
          <w:rFonts w:eastAsia="TimesNewRoman"/>
          <w:szCs w:val="22"/>
          <w:lang w:val="sr-Latn-ME"/>
        </w:rPr>
      </w:pPr>
      <w:proofErr w:type="spellStart"/>
      <w:r w:rsidRPr="0045764A">
        <w:rPr>
          <w:rFonts w:eastAsia="TimesNewRoman"/>
          <w:szCs w:val="22"/>
          <w:lang w:val="sr-Latn-ME"/>
        </w:rPr>
        <w:t>Ketokonazol</w:t>
      </w:r>
      <w:proofErr w:type="spellEnd"/>
      <w:r w:rsidRPr="0045764A">
        <w:rPr>
          <w:rFonts w:eastAsia="TimesNewRoman"/>
          <w:szCs w:val="22"/>
          <w:lang w:val="sr-Latn-ME"/>
        </w:rPr>
        <w:t xml:space="preserve">, jak </w:t>
      </w:r>
      <w:proofErr w:type="spellStart"/>
      <w:r w:rsidRPr="0045764A">
        <w:rPr>
          <w:rFonts w:eastAsia="TimesNewRoman"/>
          <w:szCs w:val="22"/>
          <w:lang w:val="sr-Latn-ME"/>
        </w:rPr>
        <w:t>inhibitor</w:t>
      </w:r>
      <w:proofErr w:type="spellEnd"/>
      <w:r w:rsidRPr="0045764A">
        <w:rPr>
          <w:rFonts w:eastAsia="TimesNewRoman"/>
          <w:szCs w:val="22"/>
          <w:lang w:val="sr-Latn-ME"/>
        </w:rPr>
        <w:t xml:space="preserve"> CYP3A4/5, </w:t>
      </w:r>
      <w:r w:rsidR="008E2492" w:rsidRPr="0045764A">
        <w:rPr>
          <w:rFonts w:eastAsia="TimesNewRoman"/>
          <w:szCs w:val="22"/>
          <w:lang w:val="sr-Latn-ME"/>
        </w:rPr>
        <w:t>prim</w:t>
      </w:r>
      <w:r w:rsidR="00C61A88" w:rsidRPr="0045764A">
        <w:rPr>
          <w:rFonts w:eastAsia="TimesNewRoman"/>
          <w:szCs w:val="22"/>
          <w:lang w:val="sr-Latn-ME"/>
        </w:rPr>
        <w:t>i</w:t>
      </w:r>
      <w:r w:rsidR="008E2492" w:rsidRPr="0045764A">
        <w:rPr>
          <w:rFonts w:eastAsia="TimesNewRoman"/>
          <w:szCs w:val="22"/>
          <w:lang w:val="sr-Latn-ME"/>
        </w:rPr>
        <w:t>jen</w:t>
      </w:r>
      <w:r w:rsidRPr="0045764A">
        <w:rPr>
          <w:rFonts w:eastAsia="TimesNewRoman"/>
          <w:szCs w:val="22"/>
          <w:lang w:val="sr-Latn-ME"/>
        </w:rPr>
        <w:t>jen u dozi od 400 mg jednom dnevno tokom sedam dana kod</w:t>
      </w:r>
      <w:r w:rsidR="006A787F" w:rsidRPr="0045764A">
        <w:rPr>
          <w:rFonts w:eastAsia="TimesNewRoman"/>
          <w:szCs w:val="22"/>
          <w:lang w:val="sr-Latn-ME"/>
        </w:rPr>
        <w:t xml:space="preserve"> </w:t>
      </w:r>
      <w:r w:rsidRPr="0045764A">
        <w:rPr>
          <w:rFonts w:eastAsia="TimesNewRoman"/>
          <w:szCs w:val="22"/>
          <w:lang w:val="sr-Latn-ME"/>
        </w:rPr>
        <w:t>zdravih dobrovoljaca, povećao je pros</w:t>
      </w:r>
      <w:r w:rsidR="00C61A88" w:rsidRPr="0045764A">
        <w:rPr>
          <w:rFonts w:eastAsia="TimesNewRoman"/>
          <w:szCs w:val="22"/>
          <w:lang w:val="sr-Latn-ME"/>
        </w:rPr>
        <w:t>j</w:t>
      </w:r>
      <w:r w:rsidRPr="0045764A">
        <w:rPr>
          <w:rFonts w:eastAsia="TimesNewRoman"/>
          <w:szCs w:val="22"/>
          <w:lang w:val="sr-Latn-ME"/>
        </w:rPr>
        <w:t xml:space="preserve">ečnu </w:t>
      </w:r>
      <w:r w:rsidR="008E2492" w:rsidRPr="0045764A">
        <w:rPr>
          <w:rFonts w:eastAsia="TimesNewRoman"/>
          <w:szCs w:val="22"/>
          <w:lang w:val="sr-Latn-ME"/>
        </w:rPr>
        <w:t>vrijednost</w:t>
      </w:r>
      <w:r w:rsidRPr="0045764A">
        <w:rPr>
          <w:rFonts w:eastAsia="TimesNewRoman"/>
          <w:szCs w:val="22"/>
          <w:lang w:val="sr-Latn-ME"/>
        </w:rPr>
        <w:t xml:space="preserve"> površine ispod krive (PIK) dva puta i </w:t>
      </w:r>
      <w:proofErr w:type="spellStart"/>
      <w:r w:rsidRPr="0045764A">
        <w:rPr>
          <w:rFonts w:eastAsia="TimesNewRoman"/>
          <w:szCs w:val="22"/>
          <w:lang w:val="sr-Latn-ME"/>
        </w:rPr>
        <w:t>Cmax</w:t>
      </w:r>
      <w:proofErr w:type="spellEnd"/>
      <w:r w:rsidRPr="0045764A">
        <w:rPr>
          <w:rFonts w:eastAsia="TimesNewRoman"/>
          <w:szCs w:val="22"/>
          <w:lang w:val="sr-Latn-ME"/>
        </w:rPr>
        <w:t xml:space="preserve"> 1,5 puta</w:t>
      </w:r>
      <w:r w:rsidR="006A787F" w:rsidRPr="0045764A">
        <w:rPr>
          <w:rFonts w:eastAsia="TimesNewRoman"/>
          <w:szCs w:val="22"/>
          <w:lang w:val="sr-Latn-ME"/>
        </w:rPr>
        <w:t xml:space="preserve"> </w:t>
      </w:r>
      <w:r w:rsidRPr="0045764A">
        <w:rPr>
          <w:rFonts w:eastAsia="TimesNewRoman"/>
          <w:szCs w:val="22"/>
          <w:lang w:val="sr-Latn-ME"/>
        </w:rPr>
        <w:t xml:space="preserve">nakon </w:t>
      </w:r>
      <w:r w:rsidR="008E2492" w:rsidRPr="0045764A">
        <w:rPr>
          <w:rFonts w:eastAsia="TimesNewRoman"/>
          <w:szCs w:val="22"/>
          <w:lang w:val="sr-Latn-ME"/>
        </w:rPr>
        <w:t>primjen</w:t>
      </w:r>
      <w:r w:rsidRPr="0045764A">
        <w:rPr>
          <w:rFonts w:eastAsia="TimesNewRoman"/>
          <w:szCs w:val="22"/>
          <w:lang w:val="sr-Latn-ME"/>
        </w:rPr>
        <w:t xml:space="preserve">e jedne oralne doze od 5 mg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Istovremena </w:t>
      </w:r>
      <w:r w:rsidR="008E2492" w:rsidRPr="0045764A">
        <w:rPr>
          <w:rFonts w:eastAsia="TimesNewRoman"/>
          <w:szCs w:val="22"/>
          <w:lang w:val="sr-Latn-ME"/>
        </w:rPr>
        <w:t>primjen</w:t>
      </w:r>
      <w:r w:rsidRPr="0045764A">
        <w:rPr>
          <w:rFonts w:eastAsia="TimesNewRoman"/>
          <w:szCs w:val="22"/>
          <w:lang w:val="sr-Latn-ME"/>
        </w:rPr>
        <w:t xml:space="preserve">a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sa jakim </w:t>
      </w:r>
      <w:proofErr w:type="spellStart"/>
      <w:r w:rsidRPr="0045764A">
        <w:rPr>
          <w:rFonts w:eastAsia="TimesNewRoman"/>
          <w:szCs w:val="22"/>
          <w:lang w:val="sr-Latn-ME"/>
        </w:rPr>
        <w:t>inhibitorima</w:t>
      </w:r>
      <w:proofErr w:type="spellEnd"/>
      <w:r w:rsidR="006A787F" w:rsidRPr="0045764A">
        <w:rPr>
          <w:rFonts w:eastAsia="TimesNewRoman"/>
          <w:szCs w:val="22"/>
          <w:lang w:val="sr-Latn-ME"/>
        </w:rPr>
        <w:t xml:space="preserve"> </w:t>
      </w:r>
      <w:r w:rsidRPr="0045764A">
        <w:rPr>
          <w:rFonts w:eastAsia="TimesNewRoman"/>
          <w:szCs w:val="22"/>
          <w:lang w:val="sr-Latn-ME"/>
        </w:rPr>
        <w:t xml:space="preserve">CYP3A4/5 (npr. </w:t>
      </w:r>
      <w:proofErr w:type="spellStart"/>
      <w:r w:rsidRPr="0045764A">
        <w:rPr>
          <w:rFonts w:eastAsia="TimesNewRoman"/>
          <w:szCs w:val="22"/>
          <w:lang w:val="sr-Latn-ME"/>
        </w:rPr>
        <w:t>ketokonazolom</w:t>
      </w:r>
      <w:proofErr w:type="spellEnd"/>
      <w:r w:rsidRPr="0045764A">
        <w:rPr>
          <w:rFonts w:eastAsia="TimesNewRoman"/>
          <w:szCs w:val="22"/>
          <w:lang w:val="sr-Latn-ME"/>
        </w:rPr>
        <w:t xml:space="preserve">, </w:t>
      </w:r>
      <w:proofErr w:type="spellStart"/>
      <w:r w:rsidRPr="0045764A">
        <w:rPr>
          <w:rFonts w:eastAsia="TimesNewRoman"/>
          <w:szCs w:val="22"/>
          <w:lang w:val="sr-Latn-ME"/>
        </w:rPr>
        <w:t>itrakonazolom</w:t>
      </w:r>
      <w:proofErr w:type="spellEnd"/>
      <w:r w:rsidRPr="0045764A">
        <w:rPr>
          <w:rFonts w:eastAsia="TimesNewRoman"/>
          <w:szCs w:val="22"/>
          <w:lang w:val="sr-Latn-ME"/>
        </w:rPr>
        <w:t xml:space="preserve">, </w:t>
      </w:r>
      <w:proofErr w:type="spellStart"/>
      <w:r w:rsidRPr="0045764A">
        <w:rPr>
          <w:rFonts w:eastAsia="TimesNewRoman"/>
          <w:szCs w:val="22"/>
          <w:lang w:val="sr-Latn-ME"/>
        </w:rPr>
        <w:t>klaritromicinom</w:t>
      </w:r>
      <w:proofErr w:type="spellEnd"/>
      <w:r w:rsidRPr="0045764A">
        <w:rPr>
          <w:rFonts w:eastAsia="TimesNewRoman"/>
          <w:szCs w:val="22"/>
          <w:lang w:val="sr-Latn-ME"/>
        </w:rPr>
        <w:t xml:space="preserve">, </w:t>
      </w:r>
      <w:proofErr w:type="spellStart"/>
      <w:r w:rsidRPr="0045764A">
        <w:rPr>
          <w:rFonts w:eastAsia="TimesNewRoman"/>
          <w:szCs w:val="22"/>
          <w:lang w:val="sr-Latn-ME"/>
        </w:rPr>
        <w:t>eritromicinom</w:t>
      </w:r>
      <w:proofErr w:type="spellEnd"/>
      <w:r w:rsidRPr="0045764A">
        <w:rPr>
          <w:rFonts w:eastAsia="TimesNewRoman"/>
          <w:szCs w:val="22"/>
          <w:lang w:val="sr-Latn-ME"/>
        </w:rPr>
        <w:t xml:space="preserve">, </w:t>
      </w:r>
      <w:proofErr w:type="spellStart"/>
      <w:r w:rsidRPr="0045764A">
        <w:rPr>
          <w:rFonts w:eastAsia="TimesNewRoman"/>
          <w:szCs w:val="22"/>
          <w:lang w:val="sr-Latn-ME"/>
        </w:rPr>
        <w:t>atazanavirom</w:t>
      </w:r>
      <w:proofErr w:type="spellEnd"/>
      <w:r w:rsidRPr="0045764A">
        <w:rPr>
          <w:rFonts w:eastAsia="TimesNewRoman"/>
          <w:szCs w:val="22"/>
          <w:lang w:val="sr-Latn-ME"/>
        </w:rPr>
        <w:t>,</w:t>
      </w:r>
      <w:r w:rsidR="006A787F" w:rsidRPr="0045764A">
        <w:rPr>
          <w:rFonts w:eastAsia="TimesNewRoman"/>
          <w:szCs w:val="22"/>
          <w:lang w:val="sr-Latn-ME"/>
        </w:rPr>
        <w:t xml:space="preserve"> </w:t>
      </w:r>
      <w:proofErr w:type="spellStart"/>
      <w:r w:rsidRPr="0045764A">
        <w:rPr>
          <w:rFonts w:eastAsia="TimesNewRoman"/>
          <w:szCs w:val="22"/>
          <w:lang w:val="sr-Latn-ME"/>
        </w:rPr>
        <w:t>indinavirom</w:t>
      </w:r>
      <w:proofErr w:type="spellEnd"/>
      <w:r w:rsidRPr="0045764A">
        <w:rPr>
          <w:rFonts w:eastAsia="TimesNewRoman"/>
          <w:szCs w:val="22"/>
          <w:lang w:val="sr-Latn-ME"/>
        </w:rPr>
        <w:t xml:space="preserve">, </w:t>
      </w:r>
      <w:proofErr w:type="spellStart"/>
      <w:r w:rsidRPr="0045764A">
        <w:rPr>
          <w:rFonts w:eastAsia="TimesNewRoman"/>
          <w:szCs w:val="22"/>
          <w:lang w:val="sr-Latn-ME"/>
        </w:rPr>
        <w:t>nefazodonom</w:t>
      </w:r>
      <w:proofErr w:type="spellEnd"/>
      <w:r w:rsidRPr="0045764A">
        <w:rPr>
          <w:rFonts w:eastAsia="TimesNewRoman"/>
          <w:szCs w:val="22"/>
          <w:lang w:val="sr-Latn-ME"/>
        </w:rPr>
        <w:t xml:space="preserve">, </w:t>
      </w:r>
      <w:proofErr w:type="spellStart"/>
      <w:r w:rsidRPr="0045764A">
        <w:rPr>
          <w:rFonts w:eastAsia="TimesNewRoman"/>
          <w:szCs w:val="22"/>
          <w:lang w:val="sr-Latn-ME"/>
        </w:rPr>
        <w:t>ne</w:t>
      </w:r>
      <w:r w:rsidR="005A5802" w:rsidRPr="0045764A">
        <w:rPr>
          <w:rFonts w:eastAsia="TimesNewRoman"/>
          <w:szCs w:val="22"/>
          <w:lang w:val="sr-Latn-ME"/>
        </w:rPr>
        <w:t>l</w:t>
      </w:r>
      <w:r w:rsidRPr="0045764A">
        <w:rPr>
          <w:rFonts w:eastAsia="TimesNewRoman"/>
          <w:szCs w:val="22"/>
          <w:lang w:val="sr-Latn-ME"/>
        </w:rPr>
        <w:t>finavirom</w:t>
      </w:r>
      <w:proofErr w:type="spellEnd"/>
      <w:r w:rsidRPr="0045764A">
        <w:rPr>
          <w:rFonts w:eastAsia="TimesNewRoman"/>
          <w:szCs w:val="22"/>
          <w:lang w:val="sr-Latn-ME"/>
        </w:rPr>
        <w:t xml:space="preserve">, </w:t>
      </w:r>
      <w:proofErr w:type="spellStart"/>
      <w:r w:rsidRPr="0045764A">
        <w:rPr>
          <w:rFonts w:eastAsia="TimesNewRoman"/>
          <w:szCs w:val="22"/>
          <w:lang w:val="sr-Latn-ME"/>
        </w:rPr>
        <w:t>ritonavirom</w:t>
      </w:r>
      <w:proofErr w:type="spellEnd"/>
      <w:r w:rsidRPr="0045764A">
        <w:rPr>
          <w:rFonts w:eastAsia="TimesNewRoman"/>
          <w:szCs w:val="22"/>
          <w:lang w:val="sr-Latn-ME"/>
        </w:rPr>
        <w:t xml:space="preserve">, </w:t>
      </w:r>
      <w:proofErr w:type="spellStart"/>
      <w:r w:rsidRPr="0045764A">
        <w:rPr>
          <w:rFonts w:eastAsia="TimesNewRoman"/>
          <w:szCs w:val="22"/>
          <w:lang w:val="sr-Latn-ME"/>
        </w:rPr>
        <w:t>sakvinavirom</w:t>
      </w:r>
      <w:proofErr w:type="spellEnd"/>
      <w:r w:rsidRPr="0045764A">
        <w:rPr>
          <w:rFonts w:eastAsia="TimesNewRoman"/>
          <w:szCs w:val="22"/>
          <w:lang w:val="sr-Latn-ME"/>
        </w:rPr>
        <w:t xml:space="preserve"> i </w:t>
      </w:r>
      <w:proofErr w:type="spellStart"/>
      <w:r w:rsidRPr="0045764A">
        <w:rPr>
          <w:rFonts w:eastAsia="TimesNewRoman"/>
          <w:szCs w:val="22"/>
          <w:lang w:val="sr-Latn-ME"/>
        </w:rPr>
        <w:t>telitromicinom</w:t>
      </w:r>
      <w:proofErr w:type="spellEnd"/>
      <w:r w:rsidRPr="0045764A">
        <w:rPr>
          <w:rFonts w:eastAsia="TimesNewRoman"/>
          <w:szCs w:val="22"/>
          <w:lang w:val="sr-Latn-ME"/>
        </w:rPr>
        <w:t>) može da poveća</w:t>
      </w:r>
      <w:r w:rsidR="006A787F" w:rsidRPr="0045764A">
        <w:rPr>
          <w:rFonts w:eastAsia="TimesNewRoman"/>
          <w:szCs w:val="22"/>
          <w:lang w:val="sr-Latn-ME"/>
        </w:rPr>
        <w:t xml:space="preserve"> </w:t>
      </w:r>
      <w:r w:rsidRPr="0045764A">
        <w:rPr>
          <w:rFonts w:eastAsia="TimesNewRoman"/>
          <w:szCs w:val="22"/>
          <w:lang w:val="sr-Latn-ME"/>
        </w:rPr>
        <w:t xml:space="preserve">koncentraciju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u plazmi. </w:t>
      </w:r>
    </w:p>
    <w:p w14:paraId="624ACB96" w14:textId="1378101B" w:rsidR="00910814" w:rsidRPr="0045764A" w:rsidRDefault="00910814"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Grejpfrut takođe može da poveća koncentracije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u plazmi.</w:t>
      </w:r>
      <w:r w:rsidR="00DB4644" w:rsidRPr="0045764A">
        <w:rPr>
          <w:rFonts w:eastAsia="TimesNewRoman"/>
          <w:szCs w:val="22"/>
          <w:lang w:val="sr-Latn-ME"/>
        </w:rPr>
        <w:t xml:space="preserve"> </w:t>
      </w:r>
      <w:r w:rsidR="00373102" w:rsidRPr="0045764A">
        <w:rPr>
          <w:rFonts w:eastAsia="TimesNewRoman"/>
          <w:szCs w:val="22"/>
          <w:lang w:val="sr-Latn-ME"/>
        </w:rPr>
        <w:t>Za istovremenu primjenu p</w:t>
      </w:r>
      <w:r w:rsidRPr="0045764A">
        <w:rPr>
          <w:rFonts w:eastAsia="TimesNewRoman"/>
          <w:szCs w:val="22"/>
          <w:lang w:val="sr-Latn-ME"/>
        </w:rPr>
        <w:t xml:space="preserve">reporučuje se izbor alternativnog </w:t>
      </w:r>
      <w:r w:rsidR="00593BF5" w:rsidRPr="0045764A">
        <w:rPr>
          <w:rFonts w:eastAsia="TimesNewRoman"/>
          <w:szCs w:val="22"/>
          <w:lang w:val="sr-Latn-ME"/>
        </w:rPr>
        <w:t>lijek</w:t>
      </w:r>
      <w:r w:rsidRPr="0045764A">
        <w:rPr>
          <w:rFonts w:eastAsia="TimesNewRoman"/>
          <w:szCs w:val="22"/>
          <w:lang w:val="sr-Latn-ME"/>
        </w:rPr>
        <w:t xml:space="preserve">a </w:t>
      </w:r>
      <w:r w:rsidR="00373102" w:rsidRPr="0045764A">
        <w:rPr>
          <w:rFonts w:eastAsia="TimesNewRoman"/>
          <w:szCs w:val="22"/>
          <w:lang w:val="sr-Latn-ME"/>
        </w:rPr>
        <w:t>koji</w:t>
      </w:r>
      <w:r w:rsidRPr="0045764A">
        <w:rPr>
          <w:rFonts w:eastAsia="TimesNewRoman"/>
          <w:szCs w:val="22"/>
          <w:lang w:val="sr-Latn-ME"/>
        </w:rPr>
        <w:t xml:space="preserve"> nema ili ima minimalni potencijal</w:t>
      </w:r>
      <w:r w:rsidR="007658C3" w:rsidRPr="0045764A">
        <w:rPr>
          <w:rFonts w:eastAsia="TimesNewRoman"/>
          <w:szCs w:val="22"/>
          <w:lang w:val="sr-Latn-ME"/>
        </w:rPr>
        <w:t xml:space="preserve"> </w:t>
      </w:r>
      <w:r w:rsidRPr="0045764A">
        <w:rPr>
          <w:rFonts w:eastAsia="TimesNewRoman"/>
          <w:szCs w:val="22"/>
          <w:lang w:val="sr-Latn-ME"/>
        </w:rPr>
        <w:t xml:space="preserve">inhibicije CYP3A4/5. Ako je </w:t>
      </w:r>
      <w:r w:rsidR="008E2492" w:rsidRPr="0045764A">
        <w:rPr>
          <w:rFonts w:eastAsia="TimesNewRoman"/>
          <w:szCs w:val="22"/>
          <w:lang w:val="sr-Latn-ME"/>
        </w:rPr>
        <w:t>primjen</w:t>
      </w:r>
      <w:r w:rsidRPr="0045764A">
        <w:rPr>
          <w:rFonts w:eastAsia="TimesNewRoman"/>
          <w:szCs w:val="22"/>
          <w:lang w:val="sr-Latn-ME"/>
        </w:rPr>
        <w:t xml:space="preserve">a jakog </w:t>
      </w:r>
      <w:proofErr w:type="spellStart"/>
      <w:r w:rsidRPr="0045764A">
        <w:rPr>
          <w:rFonts w:eastAsia="TimesNewRoman"/>
          <w:szCs w:val="22"/>
          <w:lang w:val="sr-Latn-ME"/>
        </w:rPr>
        <w:t>inhibitora</w:t>
      </w:r>
      <w:proofErr w:type="spellEnd"/>
      <w:r w:rsidRPr="0045764A">
        <w:rPr>
          <w:rFonts w:eastAsia="TimesNewRoman"/>
          <w:szCs w:val="22"/>
          <w:lang w:val="sr-Latn-ME"/>
        </w:rPr>
        <w:t xml:space="preserve"> CYP3A4/5 neophodna, preporučuje se prilagođavanje</w:t>
      </w:r>
      <w:r w:rsidR="007658C3" w:rsidRPr="0045764A">
        <w:rPr>
          <w:rFonts w:eastAsia="TimesNewRoman"/>
          <w:szCs w:val="22"/>
          <w:lang w:val="sr-Latn-ME"/>
        </w:rPr>
        <w:t xml:space="preserve"> </w:t>
      </w:r>
      <w:r w:rsidRPr="0045764A">
        <w:rPr>
          <w:rFonts w:eastAsia="TimesNewRoman"/>
          <w:szCs w:val="22"/>
          <w:lang w:val="sr-Latn-ME"/>
        </w:rPr>
        <w:t xml:space="preserve">doze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w:t>
      </w:r>
      <w:r w:rsidR="006F7AEE" w:rsidRPr="0045764A">
        <w:rPr>
          <w:rFonts w:eastAsia="TimesNewRoman"/>
          <w:szCs w:val="22"/>
          <w:lang w:val="sr-Latn-ME"/>
        </w:rPr>
        <w:t>pogledati dio</w:t>
      </w:r>
      <w:r w:rsidRPr="0045764A">
        <w:rPr>
          <w:rFonts w:eastAsia="TimesNewRoman"/>
          <w:szCs w:val="22"/>
          <w:lang w:val="sr-Latn-ME"/>
        </w:rPr>
        <w:t xml:space="preserve"> 4.2).</w:t>
      </w:r>
    </w:p>
    <w:p w14:paraId="61989704" w14:textId="77777777" w:rsidR="007658C3" w:rsidRPr="0045764A" w:rsidRDefault="007658C3" w:rsidP="00C65330">
      <w:pPr>
        <w:tabs>
          <w:tab w:val="clear" w:pos="284"/>
        </w:tabs>
        <w:autoSpaceDE w:val="0"/>
        <w:autoSpaceDN w:val="0"/>
        <w:adjustRightInd w:val="0"/>
        <w:rPr>
          <w:i/>
          <w:iCs/>
          <w:szCs w:val="22"/>
          <w:lang w:val="sr-Latn-ME"/>
        </w:rPr>
      </w:pPr>
    </w:p>
    <w:p w14:paraId="6A712683" w14:textId="2B7278FF" w:rsidR="00910814" w:rsidRPr="0045764A" w:rsidRDefault="00910814" w:rsidP="00C65330">
      <w:pPr>
        <w:tabs>
          <w:tab w:val="clear" w:pos="284"/>
        </w:tabs>
        <w:autoSpaceDE w:val="0"/>
        <w:autoSpaceDN w:val="0"/>
        <w:adjustRightInd w:val="0"/>
        <w:rPr>
          <w:iCs/>
          <w:szCs w:val="22"/>
          <w:u w:val="single"/>
          <w:lang w:val="sr-Latn-ME"/>
        </w:rPr>
      </w:pPr>
      <w:proofErr w:type="spellStart"/>
      <w:r w:rsidRPr="0045764A">
        <w:rPr>
          <w:iCs/>
          <w:szCs w:val="22"/>
          <w:u w:val="single"/>
          <w:lang w:val="sr-Latn-ME"/>
        </w:rPr>
        <w:lastRenderedPageBreak/>
        <w:t>Inhibitori</w:t>
      </w:r>
      <w:proofErr w:type="spellEnd"/>
      <w:r w:rsidRPr="0045764A">
        <w:rPr>
          <w:iCs/>
          <w:szCs w:val="22"/>
          <w:u w:val="single"/>
          <w:lang w:val="sr-Latn-ME"/>
        </w:rPr>
        <w:t xml:space="preserve"> CYP1A2 i CYP2C19</w:t>
      </w:r>
    </w:p>
    <w:p w14:paraId="78DC382A" w14:textId="24D6BE6D" w:rsidR="00910814" w:rsidRPr="0045764A" w:rsidRDefault="00910814"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CYP1A2 i CYP2C19 čine manje značajne (&lt; 10%) puteve </w:t>
      </w:r>
      <w:proofErr w:type="spellStart"/>
      <w:r w:rsidRPr="0045764A">
        <w:rPr>
          <w:rFonts w:eastAsia="TimesNewRoman"/>
          <w:szCs w:val="22"/>
          <w:lang w:val="sr-Latn-ME"/>
        </w:rPr>
        <w:t>metabolisanja</w:t>
      </w:r>
      <w:proofErr w:type="spellEnd"/>
      <w:r w:rsidRPr="0045764A">
        <w:rPr>
          <w:rFonts w:eastAsia="TimesNewRoman"/>
          <w:szCs w:val="22"/>
          <w:lang w:val="sr-Latn-ME"/>
        </w:rPr>
        <w:t xml:space="preserve"> </w:t>
      </w:r>
      <w:proofErr w:type="spellStart"/>
      <w:r w:rsidRPr="0045764A">
        <w:rPr>
          <w:rFonts w:eastAsia="TimesNewRoman"/>
          <w:szCs w:val="22"/>
          <w:lang w:val="sr-Latn-ME"/>
        </w:rPr>
        <w:t>aksitiniba</w:t>
      </w:r>
      <w:proofErr w:type="spellEnd"/>
      <w:r w:rsidRPr="0045764A">
        <w:rPr>
          <w:rFonts w:eastAsia="TimesNewRoman"/>
          <w:szCs w:val="22"/>
          <w:lang w:val="sr-Latn-ME"/>
        </w:rPr>
        <w:t>. Nije ispitano dejstvo</w:t>
      </w:r>
      <w:r w:rsidR="007658C3" w:rsidRPr="0045764A">
        <w:rPr>
          <w:rFonts w:eastAsia="TimesNewRoman"/>
          <w:szCs w:val="22"/>
          <w:lang w:val="sr-Latn-ME"/>
        </w:rPr>
        <w:t xml:space="preserve"> </w:t>
      </w:r>
      <w:r w:rsidRPr="0045764A">
        <w:rPr>
          <w:rFonts w:eastAsia="TimesNewRoman"/>
          <w:szCs w:val="22"/>
          <w:lang w:val="sr-Latn-ME"/>
        </w:rPr>
        <w:t xml:space="preserve">jakih </w:t>
      </w:r>
      <w:proofErr w:type="spellStart"/>
      <w:r w:rsidRPr="0045764A">
        <w:rPr>
          <w:rFonts w:eastAsia="TimesNewRoman"/>
          <w:szCs w:val="22"/>
          <w:lang w:val="sr-Latn-ME"/>
        </w:rPr>
        <w:t>inhibitora</w:t>
      </w:r>
      <w:proofErr w:type="spellEnd"/>
      <w:r w:rsidRPr="0045764A">
        <w:rPr>
          <w:rFonts w:eastAsia="TimesNewRoman"/>
          <w:szCs w:val="22"/>
          <w:lang w:val="sr-Latn-ME"/>
        </w:rPr>
        <w:t xml:space="preserve"> ovih </w:t>
      </w:r>
      <w:proofErr w:type="spellStart"/>
      <w:r w:rsidRPr="0045764A">
        <w:rPr>
          <w:rFonts w:eastAsia="TimesNewRoman"/>
          <w:szCs w:val="22"/>
          <w:lang w:val="sr-Latn-ME"/>
        </w:rPr>
        <w:t>izoenzima</w:t>
      </w:r>
      <w:proofErr w:type="spellEnd"/>
      <w:r w:rsidRPr="0045764A">
        <w:rPr>
          <w:rFonts w:eastAsia="TimesNewRoman"/>
          <w:szCs w:val="22"/>
          <w:lang w:val="sr-Latn-ME"/>
        </w:rPr>
        <w:t xml:space="preserve"> na </w:t>
      </w:r>
      <w:proofErr w:type="spellStart"/>
      <w:r w:rsidRPr="0045764A">
        <w:rPr>
          <w:rFonts w:eastAsia="TimesNewRoman"/>
          <w:szCs w:val="22"/>
          <w:lang w:val="sr-Latn-ME"/>
        </w:rPr>
        <w:t>farmakokinetiku</w:t>
      </w:r>
      <w:proofErr w:type="spellEnd"/>
      <w:r w:rsidRPr="0045764A">
        <w:rPr>
          <w:rFonts w:eastAsia="TimesNewRoman"/>
          <w:szCs w:val="22"/>
          <w:lang w:val="sr-Latn-ME"/>
        </w:rPr>
        <w:t xml:space="preserve"> </w:t>
      </w:r>
      <w:proofErr w:type="spellStart"/>
      <w:r w:rsidRPr="0045764A">
        <w:rPr>
          <w:rFonts w:eastAsia="TimesNewRoman"/>
          <w:szCs w:val="22"/>
          <w:lang w:val="sr-Latn-ME"/>
        </w:rPr>
        <w:t>aksitiniba</w:t>
      </w:r>
      <w:proofErr w:type="spellEnd"/>
      <w:r w:rsidRPr="0045764A">
        <w:rPr>
          <w:rFonts w:eastAsia="TimesNewRoman"/>
          <w:szCs w:val="22"/>
          <w:lang w:val="sr-Latn-ME"/>
        </w:rPr>
        <w:t>. Potreban je oprez zbog rizika od povećanja</w:t>
      </w:r>
      <w:r w:rsidR="007658C3" w:rsidRPr="0045764A">
        <w:rPr>
          <w:rFonts w:eastAsia="TimesNewRoman"/>
          <w:szCs w:val="22"/>
          <w:lang w:val="sr-Latn-ME"/>
        </w:rPr>
        <w:t xml:space="preserve"> </w:t>
      </w:r>
      <w:r w:rsidRPr="0045764A">
        <w:rPr>
          <w:rFonts w:eastAsia="TimesNewRoman"/>
          <w:szCs w:val="22"/>
          <w:lang w:val="sr-Latn-ME"/>
        </w:rPr>
        <w:t xml:space="preserve">koncentracije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u plazmi kod pacijenata koji uzimaju jake </w:t>
      </w:r>
      <w:proofErr w:type="spellStart"/>
      <w:r w:rsidRPr="0045764A">
        <w:rPr>
          <w:rFonts w:eastAsia="TimesNewRoman"/>
          <w:szCs w:val="22"/>
          <w:lang w:val="sr-Latn-ME"/>
        </w:rPr>
        <w:t>inhibitore</w:t>
      </w:r>
      <w:proofErr w:type="spellEnd"/>
      <w:r w:rsidRPr="0045764A">
        <w:rPr>
          <w:rFonts w:eastAsia="TimesNewRoman"/>
          <w:szCs w:val="22"/>
          <w:lang w:val="sr-Latn-ME"/>
        </w:rPr>
        <w:t xml:space="preserve"> ovih </w:t>
      </w:r>
      <w:proofErr w:type="spellStart"/>
      <w:r w:rsidRPr="0045764A">
        <w:rPr>
          <w:rFonts w:eastAsia="TimesNewRoman"/>
          <w:szCs w:val="22"/>
          <w:lang w:val="sr-Latn-ME"/>
        </w:rPr>
        <w:t>izoenzima</w:t>
      </w:r>
      <w:proofErr w:type="spellEnd"/>
      <w:r w:rsidRPr="0045764A">
        <w:rPr>
          <w:rFonts w:eastAsia="TimesNewRoman"/>
          <w:szCs w:val="22"/>
          <w:lang w:val="sr-Latn-ME"/>
        </w:rPr>
        <w:t>.</w:t>
      </w:r>
    </w:p>
    <w:p w14:paraId="62028623" w14:textId="77777777" w:rsidR="007658C3" w:rsidRPr="0045764A" w:rsidRDefault="007658C3" w:rsidP="00C65330">
      <w:pPr>
        <w:tabs>
          <w:tab w:val="clear" w:pos="284"/>
        </w:tabs>
        <w:autoSpaceDE w:val="0"/>
        <w:autoSpaceDN w:val="0"/>
        <w:adjustRightInd w:val="0"/>
        <w:rPr>
          <w:rFonts w:eastAsia="TimesNewRoman"/>
          <w:szCs w:val="22"/>
          <w:lang w:val="sr-Latn-ME"/>
        </w:rPr>
      </w:pPr>
    </w:p>
    <w:p w14:paraId="3363A88E" w14:textId="77777777" w:rsidR="00910814" w:rsidRPr="0045764A" w:rsidRDefault="00910814" w:rsidP="00C65330">
      <w:pPr>
        <w:tabs>
          <w:tab w:val="clear" w:pos="284"/>
        </w:tabs>
        <w:autoSpaceDE w:val="0"/>
        <w:autoSpaceDN w:val="0"/>
        <w:adjustRightInd w:val="0"/>
        <w:rPr>
          <w:iCs/>
          <w:szCs w:val="22"/>
          <w:u w:val="single"/>
          <w:lang w:val="sr-Latn-ME"/>
        </w:rPr>
      </w:pPr>
      <w:r w:rsidRPr="0045764A">
        <w:rPr>
          <w:iCs/>
          <w:szCs w:val="22"/>
          <w:u w:val="single"/>
          <w:lang w:val="sr-Latn-ME"/>
        </w:rPr>
        <w:t>Induktori CYP3A4/5</w:t>
      </w:r>
    </w:p>
    <w:p w14:paraId="3FA15495" w14:textId="4CBEB8FF" w:rsidR="00910814" w:rsidRPr="0045764A" w:rsidRDefault="00910814" w:rsidP="00C65330">
      <w:pPr>
        <w:tabs>
          <w:tab w:val="clear" w:pos="284"/>
        </w:tabs>
        <w:autoSpaceDE w:val="0"/>
        <w:autoSpaceDN w:val="0"/>
        <w:adjustRightInd w:val="0"/>
        <w:rPr>
          <w:rFonts w:eastAsia="TimesNewRoman"/>
          <w:szCs w:val="22"/>
          <w:lang w:val="sr-Latn-ME"/>
        </w:rPr>
      </w:pPr>
      <w:proofErr w:type="spellStart"/>
      <w:r w:rsidRPr="0045764A">
        <w:rPr>
          <w:rFonts w:eastAsia="TimesNewRoman"/>
          <w:szCs w:val="22"/>
          <w:lang w:val="sr-Latn-ME"/>
        </w:rPr>
        <w:t>Rifampicin</w:t>
      </w:r>
      <w:proofErr w:type="spellEnd"/>
      <w:r w:rsidRPr="0045764A">
        <w:rPr>
          <w:rFonts w:eastAsia="TimesNewRoman"/>
          <w:szCs w:val="22"/>
          <w:lang w:val="sr-Latn-ME"/>
        </w:rPr>
        <w:t xml:space="preserve">, jak induktor CYP3A4/5, </w:t>
      </w:r>
      <w:r w:rsidR="008E2492" w:rsidRPr="0045764A">
        <w:rPr>
          <w:rFonts w:eastAsia="TimesNewRoman"/>
          <w:szCs w:val="22"/>
          <w:lang w:val="sr-Latn-ME"/>
        </w:rPr>
        <w:t>prim</w:t>
      </w:r>
      <w:r w:rsidR="00C61A88" w:rsidRPr="0045764A">
        <w:rPr>
          <w:rFonts w:eastAsia="TimesNewRoman"/>
          <w:szCs w:val="22"/>
          <w:lang w:val="sr-Latn-ME"/>
        </w:rPr>
        <w:t>i</w:t>
      </w:r>
      <w:r w:rsidR="008E2492" w:rsidRPr="0045764A">
        <w:rPr>
          <w:rFonts w:eastAsia="TimesNewRoman"/>
          <w:szCs w:val="22"/>
          <w:lang w:val="sr-Latn-ME"/>
        </w:rPr>
        <w:t>jen</w:t>
      </w:r>
      <w:r w:rsidRPr="0045764A">
        <w:rPr>
          <w:rFonts w:eastAsia="TimesNewRoman"/>
          <w:szCs w:val="22"/>
          <w:lang w:val="sr-Latn-ME"/>
        </w:rPr>
        <w:t>jen u dozi od 600 mg jednom dnevno tokom devet dana kod</w:t>
      </w:r>
      <w:r w:rsidR="007658C3" w:rsidRPr="0045764A">
        <w:rPr>
          <w:rFonts w:eastAsia="TimesNewRoman"/>
          <w:szCs w:val="22"/>
          <w:lang w:val="sr-Latn-ME"/>
        </w:rPr>
        <w:t xml:space="preserve"> </w:t>
      </w:r>
      <w:r w:rsidRPr="0045764A">
        <w:rPr>
          <w:rFonts w:eastAsia="TimesNewRoman"/>
          <w:szCs w:val="22"/>
          <w:lang w:val="sr-Latn-ME"/>
        </w:rPr>
        <w:t>zdravih dobrovoljaca, smanjio je pros</w:t>
      </w:r>
      <w:r w:rsidR="00C61A88" w:rsidRPr="0045764A">
        <w:rPr>
          <w:rFonts w:eastAsia="TimesNewRoman"/>
          <w:szCs w:val="22"/>
          <w:lang w:val="sr-Latn-ME"/>
        </w:rPr>
        <w:t>j</w:t>
      </w:r>
      <w:r w:rsidRPr="0045764A">
        <w:rPr>
          <w:rFonts w:eastAsia="TimesNewRoman"/>
          <w:szCs w:val="22"/>
          <w:lang w:val="sr-Latn-ME"/>
        </w:rPr>
        <w:t xml:space="preserve">ečnu </w:t>
      </w:r>
      <w:r w:rsidR="008E2492" w:rsidRPr="0045764A">
        <w:rPr>
          <w:rFonts w:eastAsia="TimesNewRoman"/>
          <w:szCs w:val="22"/>
          <w:lang w:val="sr-Latn-ME"/>
        </w:rPr>
        <w:t>vrijednost</w:t>
      </w:r>
      <w:r w:rsidRPr="0045764A">
        <w:rPr>
          <w:rFonts w:eastAsia="TimesNewRoman"/>
          <w:szCs w:val="22"/>
          <w:lang w:val="sr-Latn-ME"/>
        </w:rPr>
        <w:t xml:space="preserve"> PIK za 79% i </w:t>
      </w:r>
      <w:proofErr w:type="spellStart"/>
      <w:r w:rsidRPr="0045764A">
        <w:rPr>
          <w:rFonts w:eastAsia="TimesNewRoman"/>
          <w:szCs w:val="22"/>
          <w:lang w:val="sr-Latn-ME"/>
        </w:rPr>
        <w:t>Cmax</w:t>
      </w:r>
      <w:proofErr w:type="spellEnd"/>
      <w:r w:rsidRPr="0045764A">
        <w:rPr>
          <w:rFonts w:eastAsia="TimesNewRoman"/>
          <w:szCs w:val="22"/>
          <w:lang w:val="sr-Latn-ME"/>
        </w:rPr>
        <w:t xml:space="preserve"> za 71% nakon </w:t>
      </w:r>
      <w:r w:rsidR="008E2492" w:rsidRPr="0045764A">
        <w:rPr>
          <w:rFonts w:eastAsia="TimesNewRoman"/>
          <w:szCs w:val="22"/>
          <w:lang w:val="sr-Latn-ME"/>
        </w:rPr>
        <w:t>primjen</w:t>
      </w:r>
      <w:r w:rsidRPr="0045764A">
        <w:rPr>
          <w:rFonts w:eastAsia="TimesNewRoman"/>
          <w:szCs w:val="22"/>
          <w:lang w:val="sr-Latn-ME"/>
        </w:rPr>
        <w:t>e jedne oralne</w:t>
      </w:r>
      <w:r w:rsidR="007658C3" w:rsidRPr="0045764A">
        <w:rPr>
          <w:rFonts w:eastAsia="TimesNewRoman"/>
          <w:szCs w:val="22"/>
          <w:lang w:val="sr-Latn-ME"/>
        </w:rPr>
        <w:t xml:space="preserve"> </w:t>
      </w:r>
      <w:r w:rsidRPr="0045764A">
        <w:rPr>
          <w:rFonts w:eastAsia="TimesNewRoman"/>
          <w:szCs w:val="22"/>
          <w:lang w:val="sr-Latn-ME"/>
        </w:rPr>
        <w:t xml:space="preserve">doze od 5 mg </w:t>
      </w:r>
      <w:proofErr w:type="spellStart"/>
      <w:r w:rsidRPr="0045764A">
        <w:rPr>
          <w:rFonts w:eastAsia="TimesNewRoman"/>
          <w:szCs w:val="22"/>
          <w:lang w:val="sr-Latn-ME"/>
        </w:rPr>
        <w:t>aksitiniba</w:t>
      </w:r>
      <w:proofErr w:type="spellEnd"/>
      <w:r w:rsidRPr="0045764A">
        <w:rPr>
          <w:rFonts w:eastAsia="TimesNewRoman"/>
          <w:szCs w:val="22"/>
          <w:lang w:val="sr-Latn-ME"/>
        </w:rPr>
        <w:t>.</w:t>
      </w:r>
    </w:p>
    <w:p w14:paraId="26D102F2" w14:textId="77777777" w:rsidR="007658C3" w:rsidRPr="0045764A" w:rsidRDefault="007658C3" w:rsidP="00C65330">
      <w:pPr>
        <w:tabs>
          <w:tab w:val="clear" w:pos="284"/>
        </w:tabs>
        <w:autoSpaceDE w:val="0"/>
        <w:autoSpaceDN w:val="0"/>
        <w:adjustRightInd w:val="0"/>
        <w:rPr>
          <w:rFonts w:eastAsia="TimesNewRoman"/>
          <w:szCs w:val="22"/>
          <w:lang w:val="sr-Latn-ME"/>
        </w:rPr>
      </w:pPr>
    </w:p>
    <w:p w14:paraId="3368988E" w14:textId="0A8DDC01" w:rsidR="00910814" w:rsidRPr="0045764A" w:rsidRDefault="00910814"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Istovremena </w:t>
      </w:r>
      <w:r w:rsidR="008E2492" w:rsidRPr="0045764A">
        <w:rPr>
          <w:rFonts w:eastAsia="TimesNewRoman"/>
          <w:szCs w:val="22"/>
          <w:lang w:val="sr-Latn-ME"/>
        </w:rPr>
        <w:t>primjen</w:t>
      </w:r>
      <w:r w:rsidRPr="0045764A">
        <w:rPr>
          <w:rFonts w:eastAsia="TimesNewRoman"/>
          <w:szCs w:val="22"/>
          <w:lang w:val="sr-Latn-ME"/>
        </w:rPr>
        <w:t xml:space="preserve">a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sa jakim induktorima CYP3A4/5 (npr. </w:t>
      </w:r>
      <w:proofErr w:type="spellStart"/>
      <w:r w:rsidRPr="0045764A">
        <w:rPr>
          <w:rFonts w:eastAsia="TimesNewRoman"/>
          <w:szCs w:val="22"/>
          <w:lang w:val="sr-Latn-ME"/>
        </w:rPr>
        <w:t>rifampicin</w:t>
      </w:r>
      <w:r w:rsidR="00373102" w:rsidRPr="0045764A">
        <w:rPr>
          <w:rFonts w:eastAsia="TimesNewRoman"/>
          <w:szCs w:val="22"/>
          <w:lang w:val="sr-Latn-ME"/>
        </w:rPr>
        <w:t>om</w:t>
      </w:r>
      <w:proofErr w:type="spellEnd"/>
      <w:r w:rsidRPr="0045764A">
        <w:rPr>
          <w:rFonts w:eastAsia="TimesNewRoman"/>
          <w:szCs w:val="22"/>
          <w:lang w:val="sr-Latn-ME"/>
        </w:rPr>
        <w:t xml:space="preserve">, </w:t>
      </w:r>
      <w:proofErr w:type="spellStart"/>
      <w:r w:rsidRPr="0045764A">
        <w:rPr>
          <w:rFonts w:eastAsia="TimesNewRoman"/>
          <w:szCs w:val="22"/>
          <w:lang w:val="sr-Latn-ME"/>
        </w:rPr>
        <w:t>deksametazon</w:t>
      </w:r>
      <w:r w:rsidR="00373102" w:rsidRPr="0045764A">
        <w:rPr>
          <w:rFonts w:eastAsia="TimesNewRoman"/>
          <w:szCs w:val="22"/>
          <w:lang w:val="sr-Latn-ME"/>
        </w:rPr>
        <w:t>om</w:t>
      </w:r>
      <w:proofErr w:type="spellEnd"/>
      <w:r w:rsidRPr="0045764A">
        <w:rPr>
          <w:rFonts w:eastAsia="TimesNewRoman"/>
          <w:szCs w:val="22"/>
          <w:lang w:val="sr-Latn-ME"/>
        </w:rPr>
        <w:t xml:space="preserve">, </w:t>
      </w:r>
      <w:proofErr w:type="spellStart"/>
      <w:r w:rsidRPr="0045764A">
        <w:rPr>
          <w:rFonts w:eastAsia="TimesNewRoman"/>
          <w:szCs w:val="22"/>
          <w:lang w:val="sr-Latn-ME"/>
        </w:rPr>
        <w:t>fenitoin</w:t>
      </w:r>
      <w:r w:rsidR="00373102" w:rsidRPr="0045764A">
        <w:rPr>
          <w:rFonts w:eastAsia="TimesNewRoman"/>
          <w:szCs w:val="22"/>
          <w:lang w:val="sr-Latn-ME"/>
        </w:rPr>
        <w:t>om</w:t>
      </w:r>
      <w:proofErr w:type="spellEnd"/>
      <w:r w:rsidRPr="0045764A">
        <w:rPr>
          <w:rFonts w:eastAsia="TimesNewRoman"/>
          <w:szCs w:val="22"/>
          <w:lang w:val="sr-Latn-ME"/>
        </w:rPr>
        <w:t>,</w:t>
      </w:r>
      <w:r w:rsidR="00EC70B7" w:rsidRPr="0045764A">
        <w:rPr>
          <w:rFonts w:eastAsia="TimesNewRoman"/>
          <w:szCs w:val="22"/>
          <w:lang w:val="sr-Latn-ME"/>
        </w:rPr>
        <w:t xml:space="preserve"> </w:t>
      </w:r>
      <w:proofErr w:type="spellStart"/>
      <w:r w:rsidRPr="0045764A">
        <w:rPr>
          <w:rFonts w:eastAsia="TimesNewRoman"/>
          <w:szCs w:val="22"/>
          <w:lang w:val="sr-Latn-ME"/>
        </w:rPr>
        <w:t>karbamazepin</w:t>
      </w:r>
      <w:r w:rsidR="00373102" w:rsidRPr="0045764A">
        <w:rPr>
          <w:rFonts w:eastAsia="TimesNewRoman"/>
          <w:szCs w:val="22"/>
          <w:lang w:val="sr-Latn-ME"/>
        </w:rPr>
        <w:t>om</w:t>
      </w:r>
      <w:proofErr w:type="spellEnd"/>
      <w:r w:rsidRPr="0045764A">
        <w:rPr>
          <w:rFonts w:eastAsia="TimesNewRoman"/>
          <w:szCs w:val="22"/>
          <w:lang w:val="sr-Latn-ME"/>
        </w:rPr>
        <w:t xml:space="preserve">, </w:t>
      </w:r>
      <w:proofErr w:type="spellStart"/>
      <w:r w:rsidRPr="0045764A">
        <w:rPr>
          <w:rFonts w:eastAsia="TimesNewRoman"/>
          <w:szCs w:val="22"/>
          <w:lang w:val="sr-Latn-ME"/>
        </w:rPr>
        <w:t>rifabutin</w:t>
      </w:r>
      <w:r w:rsidR="00373102" w:rsidRPr="0045764A">
        <w:rPr>
          <w:rFonts w:eastAsia="TimesNewRoman"/>
          <w:szCs w:val="22"/>
          <w:lang w:val="sr-Latn-ME"/>
        </w:rPr>
        <w:t>om</w:t>
      </w:r>
      <w:proofErr w:type="spellEnd"/>
      <w:r w:rsidRPr="0045764A">
        <w:rPr>
          <w:rFonts w:eastAsia="TimesNewRoman"/>
          <w:szCs w:val="22"/>
          <w:lang w:val="sr-Latn-ME"/>
        </w:rPr>
        <w:t xml:space="preserve">, </w:t>
      </w:r>
      <w:proofErr w:type="spellStart"/>
      <w:r w:rsidRPr="0045764A">
        <w:rPr>
          <w:rFonts w:eastAsia="TimesNewRoman"/>
          <w:szCs w:val="22"/>
          <w:lang w:val="sr-Latn-ME"/>
        </w:rPr>
        <w:t>rifapentin</w:t>
      </w:r>
      <w:r w:rsidR="00373102" w:rsidRPr="0045764A">
        <w:rPr>
          <w:rFonts w:eastAsia="TimesNewRoman"/>
          <w:szCs w:val="22"/>
          <w:lang w:val="sr-Latn-ME"/>
        </w:rPr>
        <w:t>om</w:t>
      </w:r>
      <w:proofErr w:type="spellEnd"/>
      <w:r w:rsidRPr="0045764A">
        <w:rPr>
          <w:rFonts w:eastAsia="TimesNewRoman"/>
          <w:szCs w:val="22"/>
          <w:lang w:val="sr-Latn-ME"/>
        </w:rPr>
        <w:t xml:space="preserve">, </w:t>
      </w:r>
      <w:proofErr w:type="spellStart"/>
      <w:r w:rsidRPr="0045764A">
        <w:rPr>
          <w:rFonts w:eastAsia="TimesNewRoman"/>
          <w:szCs w:val="22"/>
          <w:lang w:val="sr-Latn-ME"/>
        </w:rPr>
        <w:t>fenobarbital</w:t>
      </w:r>
      <w:r w:rsidR="00373102" w:rsidRPr="0045764A">
        <w:rPr>
          <w:rFonts w:eastAsia="TimesNewRoman"/>
          <w:szCs w:val="22"/>
          <w:lang w:val="sr-Latn-ME"/>
        </w:rPr>
        <w:t>om</w:t>
      </w:r>
      <w:proofErr w:type="spellEnd"/>
      <w:r w:rsidRPr="0045764A">
        <w:rPr>
          <w:rFonts w:eastAsia="TimesNewRoman"/>
          <w:szCs w:val="22"/>
          <w:lang w:val="sr-Latn-ME"/>
        </w:rPr>
        <w:t xml:space="preserve"> i </w:t>
      </w:r>
      <w:proofErr w:type="spellStart"/>
      <w:r w:rsidRPr="0045764A">
        <w:rPr>
          <w:i/>
          <w:iCs/>
          <w:szCs w:val="22"/>
          <w:lang w:val="sr-Latn-ME"/>
        </w:rPr>
        <w:t>Hypericum</w:t>
      </w:r>
      <w:proofErr w:type="spellEnd"/>
      <w:r w:rsidRPr="0045764A">
        <w:rPr>
          <w:i/>
          <w:iCs/>
          <w:szCs w:val="22"/>
          <w:lang w:val="sr-Latn-ME"/>
        </w:rPr>
        <w:t xml:space="preserve"> </w:t>
      </w:r>
      <w:proofErr w:type="spellStart"/>
      <w:r w:rsidRPr="0045764A">
        <w:rPr>
          <w:i/>
          <w:iCs/>
          <w:szCs w:val="22"/>
          <w:lang w:val="sr-Latn-ME"/>
        </w:rPr>
        <w:t>perforatum</w:t>
      </w:r>
      <w:proofErr w:type="spellEnd"/>
      <w:r w:rsidRPr="0045764A">
        <w:rPr>
          <w:i/>
          <w:iCs/>
          <w:szCs w:val="22"/>
          <w:lang w:val="sr-Latn-ME"/>
        </w:rPr>
        <w:t xml:space="preserve"> </w:t>
      </w:r>
      <w:r w:rsidRPr="0045764A">
        <w:rPr>
          <w:rFonts w:eastAsia="TimesNewRoman"/>
          <w:szCs w:val="22"/>
          <w:lang w:val="sr-Latn-ME"/>
        </w:rPr>
        <w:t>[kantarion</w:t>
      </w:r>
      <w:r w:rsidR="00373102" w:rsidRPr="0045764A">
        <w:rPr>
          <w:rFonts w:eastAsia="TimesNewRoman"/>
          <w:szCs w:val="22"/>
          <w:lang w:val="sr-Latn-ME"/>
        </w:rPr>
        <w:t>om</w:t>
      </w:r>
      <w:r w:rsidRPr="0045764A">
        <w:rPr>
          <w:rFonts w:eastAsia="TimesNewRoman"/>
          <w:szCs w:val="22"/>
          <w:lang w:val="sr-Latn-ME"/>
        </w:rPr>
        <w:t>]) može da smanji</w:t>
      </w:r>
      <w:r w:rsidR="007658C3" w:rsidRPr="0045764A">
        <w:rPr>
          <w:rFonts w:eastAsia="TimesNewRoman"/>
          <w:szCs w:val="22"/>
          <w:lang w:val="sr-Latn-ME"/>
        </w:rPr>
        <w:t xml:space="preserve"> </w:t>
      </w:r>
      <w:r w:rsidRPr="0045764A">
        <w:rPr>
          <w:rFonts w:eastAsia="TimesNewRoman"/>
          <w:szCs w:val="22"/>
          <w:lang w:val="sr-Latn-ME"/>
        </w:rPr>
        <w:t xml:space="preserve">koncentraciju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u plazmi. </w:t>
      </w:r>
      <w:r w:rsidR="00373102" w:rsidRPr="0045764A">
        <w:rPr>
          <w:rFonts w:eastAsia="TimesNewRoman"/>
          <w:szCs w:val="22"/>
          <w:lang w:val="sr-Latn-ME"/>
        </w:rPr>
        <w:t>Za istovremenu primjenu p</w:t>
      </w:r>
      <w:r w:rsidRPr="0045764A">
        <w:rPr>
          <w:rFonts w:eastAsia="TimesNewRoman"/>
          <w:szCs w:val="22"/>
          <w:lang w:val="sr-Latn-ME"/>
        </w:rPr>
        <w:t xml:space="preserve">reporučuje se izbor alternativnog </w:t>
      </w:r>
      <w:r w:rsidR="00593BF5" w:rsidRPr="0045764A">
        <w:rPr>
          <w:rFonts w:eastAsia="TimesNewRoman"/>
          <w:szCs w:val="22"/>
          <w:lang w:val="sr-Latn-ME"/>
        </w:rPr>
        <w:t>lijek</w:t>
      </w:r>
      <w:r w:rsidRPr="0045764A">
        <w:rPr>
          <w:rFonts w:eastAsia="TimesNewRoman"/>
          <w:szCs w:val="22"/>
          <w:lang w:val="sr-Latn-ME"/>
        </w:rPr>
        <w:t xml:space="preserve">a </w:t>
      </w:r>
      <w:r w:rsidR="00373102" w:rsidRPr="0045764A">
        <w:rPr>
          <w:rFonts w:eastAsia="TimesNewRoman"/>
          <w:szCs w:val="22"/>
          <w:lang w:val="sr-Latn-ME"/>
        </w:rPr>
        <w:t>koji</w:t>
      </w:r>
      <w:r w:rsidRPr="0045764A">
        <w:rPr>
          <w:rFonts w:eastAsia="TimesNewRoman"/>
          <w:szCs w:val="22"/>
          <w:lang w:val="sr-Latn-ME"/>
        </w:rPr>
        <w:t xml:space="preserve"> nema ili</w:t>
      </w:r>
      <w:r w:rsidR="00EC70B7" w:rsidRPr="0045764A">
        <w:rPr>
          <w:rFonts w:eastAsia="TimesNewRoman"/>
          <w:szCs w:val="22"/>
          <w:lang w:val="sr-Latn-ME"/>
        </w:rPr>
        <w:t xml:space="preserve"> </w:t>
      </w:r>
      <w:r w:rsidRPr="0045764A">
        <w:rPr>
          <w:rFonts w:eastAsia="TimesNewRoman"/>
          <w:szCs w:val="22"/>
          <w:lang w:val="sr-Latn-ME"/>
        </w:rPr>
        <w:t xml:space="preserve">ima minimalni potencijal indukcije CYP3A4/5. Ako je </w:t>
      </w:r>
      <w:r w:rsidR="008E2492" w:rsidRPr="0045764A">
        <w:rPr>
          <w:rFonts w:eastAsia="TimesNewRoman"/>
          <w:szCs w:val="22"/>
          <w:lang w:val="sr-Latn-ME"/>
        </w:rPr>
        <w:t>primjen</w:t>
      </w:r>
      <w:r w:rsidRPr="0045764A">
        <w:rPr>
          <w:rFonts w:eastAsia="TimesNewRoman"/>
          <w:szCs w:val="22"/>
          <w:lang w:val="sr-Latn-ME"/>
        </w:rPr>
        <w:t>a jakog induktora CYP3A4/5 neophodna,</w:t>
      </w:r>
      <w:r w:rsidR="00EC70B7" w:rsidRPr="0045764A">
        <w:rPr>
          <w:rFonts w:eastAsia="TimesNewRoman"/>
          <w:szCs w:val="22"/>
          <w:lang w:val="sr-Latn-ME"/>
        </w:rPr>
        <w:t xml:space="preserve"> </w:t>
      </w:r>
      <w:r w:rsidRPr="0045764A">
        <w:rPr>
          <w:rFonts w:eastAsia="TimesNewRoman"/>
          <w:szCs w:val="22"/>
          <w:lang w:val="sr-Latn-ME"/>
        </w:rPr>
        <w:t xml:space="preserve">preporučuje se prilagođavanje doze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w:t>
      </w:r>
      <w:r w:rsidR="006F7AEE" w:rsidRPr="0045764A">
        <w:rPr>
          <w:rFonts w:eastAsia="TimesNewRoman"/>
          <w:szCs w:val="22"/>
          <w:lang w:val="sr-Latn-ME"/>
        </w:rPr>
        <w:t>pogledati dio</w:t>
      </w:r>
      <w:r w:rsidRPr="0045764A">
        <w:rPr>
          <w:rFonts w:eastAsia="TimesNewRoman"/>
          <w:szCs w:val="22"/>
          <w:lang w:val="sr-Latn-ME"/>
        </w:rPr>
        <w:t xml:space="preserve"> 4.2).</w:t>
      </w:r>
    </w:p>
    <w:p w14:paraId="08FEA5C3" w14:textId="77777777" w:rsidR="00EC70B7" w:rsidRPr="0045764A" w:rsidRDefault="00EC70B7" w:rsidP="00C65330">
      <w:pPr>
        <w:tabs>
          <w:tab w:val="clear" w:pos="284"/>
        </w:tabs>
        <w:autoSpaceDE w:val="0"/>
        <w:autoSpaceDN w:val="0"/>
        <w:adjustRightInd w:val="0"/>
        <w:rPr>
          <w:rFonts w:eastAsia="TimesNewRoman"/>
          <w:szCs w:val="22"/>
          <w:lang w:val="sr-Latn-ME"/>
        </w:rPr>
      </w:pPr>
    </w:p>
    <w:p w14:paraId="4EB13F33" w14:textId="77777777" w:rsidR="00910814" w:rsidRPr="0045764A" w:rsidRDefault="00910814" w:rsidP="00C65330">
      <w:pPr>
        <w:tabs>
          <w:tab w:val="clear" w:pos="284"/>
        </w:tabs>
        <w:autoSpaceDE w:val="0"/>
        <w:autoSpaceDN w:val="0"/>
        <w:adjustRightInd w:val="0"/>
        <w:rPr>
          <w:iCs/>
          <w:szCs w:val="22"/>
          <w:u w:val="single"/>
          <w:lang w:val="sr-Latn-ME"/>
        </w:rPr>
      </w:pPr>
      <w:r w:rsidRPr="0045764A">
        <w:rPr>
          <w:iCs/>
          <w:szCs w:val="22"/>
          <w:u w:val="single"/>
          <w:lang w:val="sr-Latn-ME"/>
        </w:rPr>
        <w:t xml:space="preserve">In </w:t>
      </w:r>
      <w:proofErr w:type="spellStart"/>
      <w:r w:rsidRPr="0045764A">
        <w:rPr>
          <w:iCs/>
          <w:szCs w:val="22"/>
          <w:u w:val="single"/>
          <w:lang w:val="sr-Latn-ME"/>
        </w:rPr>
        <w:t>vitro</w:t>
      </w:r>
      <w:proofErr w:type="spellEnd"/>
      <w:r w:rsidRPr="0045764A">
        <w:rPr>
          <w:iCs/>
          <w:szCs w:val="22"/>
          <w:u w:val="single"/>
          <w:lang w:val="sr-Latn-ME"/>
        </w:rPr>
        <w:t xml:space="preserve"> ispitivanja CYP i UGT inhibicije i indukcije</w:t>
      </w:r>
    </w:p>
    <w:p w14:paraId="232776BA" w14:textId="6827EEE7" w:rsidR="00910814" w:rsidRPr="0045764A" w:rsidRDefault="00910814" w:rsidP="00C65330">
      <w:pPr>
        <w:tabs>
          <w:tab w:val="clear" w:pos="284"/>
        </w:tabs>
        <w:autoSpaceDE w:val="0"/>
        <w:autoSpaceDN w:val="0"/>
        <w:adjustRightInd w:val="0"/>
        <w:rPr>
          <w:rFonts w:eastAsia="TimesNewRoman"/>
          <w:szCs w:val="22"/>
          <w:lang w:val="sr-Latn-ME"/>
        </w:rPr>
      </w:pPr>
      <w:r w:rsidRPr="0045764A">
        <w:rPr>
          <w:i/>
          <w:iCs/>
          <w:szCs w:val="22"/>
          <w:lang w:val="sr-Latn-ME"/>
        </w:rPr>
        <w:t xml:space="preserve">In </w:t>
      </w:r>
      <w:proofErr w:type="spellStart"/>
      <w:r w:rsidRPr="0045764A">
        <w:rPr>
          <w:i/>
          <w:iCs/>
          <w:szCs w:val="22"/>
          <w:lang w:val="sr-Latn-ME"/>
        </w:rPr>
        <w:t>vitro</w:t>
      </w:r>
      <w:proofErr w:type="spellEnd"/>
      <w:r w:rsidRPr="0045764A">
        <w:rPr>
          <w:i/>
          <w:iCs/>
          <w:szCs w:val="22"/>
          <w:lang w:val="sr-Latn-ME"/>
        </w:rPr>
        <w:t xml:space="preserve"> </w:t>
      </w:r>
      <w:r w:rsidRPr="0045764A">
        <w:rPr>
          <w:rFonts w:eastAsia="TimesNewRoman"/>
          <w:szCs w:val="22"/>
          <w:lang w:val="sr-Latn-ME"/>
        </w:rPr>
        <w:t xml:space="preserve">ispitivanja su pokazala da </w:t>
      </w:r>
      <w:proofErr w:type="spellStart"/>
      <w:r w:rsidRPr="0045764A">
        <w:rPr>
          <w:rFonts w:eastAsia="TimesNewRoman"/>
          <w:szCs w:val="22"/>
          <w:lang w:val="sr-Latn-ME"/>
        </w:rPr>
        <w:t>aksitinib</w:t>
      </w:r>
      <w:proofErr w:type="spellEnd"/>
      <w:r w:rsidRPr="0045764A">
        <w:rPr>
          <w:rFonts w:eastAsia="TimesNewRoman"/>
          <w:szCs w:val="22"/>
          <w:lang w:val="sr-Latn-ME"/>
        </w:rPr>
        <w:t xml:space="preserve"> ne inhibira CYP2A6, CYP2C9, CYP2C19, CYP2D6, CYP2E1,</w:t>
      </w:r>
      <w:r w:rsidR="000922C2" w:rsidRPr="0045764A">
        <w:rPr>
          <w:rFonts w:eastAsia="TimesNewRoman"/>
          <w:szCs w:val="22"/>
          <w:lang w:val="sr-Latn-ME"/>
        </w:rPr>
        <w:t xml:space="preserve"> </w:t>
      </w:r>
      <w:r w:rsidRPr="0045764A">
        <w:rPr>
          <w:rFonts w:eastAsia="TimesNewRoman"/>
          <w:szCs w:val="22"/>
          <w:lang w:val="sr-Latn-ME"/>
        </w:rPr>
        <w:t>CYP3A4/5 i UGT1A1 pri terapijskim koncentracijama u plazmi.</w:t>
      </w:r>
    </w:p>
    <w:p w14:paraId="5D305D31" w14:textId="77777777" w:rsidR="00EC70B7" w:rsidRPr="0045764A" w:rsidRDefault="00EC70B7" w:rsidP="00C65330">
      <w:pPr>
        <w:tabs>
          <w:tab w:val="clear" w:pos="284"/>
        </w:tabs>
        <w:autoSpaceDE w:val="0"/>
        <w:autoSpaceDN w:val="0"/>
        <w:adjustRightInd w:val="0"/>
        <w:rPr>
          <w:rFonts w:eastAsia="TimesNewRoman"/>
          <w:szCs w:val="22"/>
          <w:lang w:val="sr-Latn-ME"/>
        </w:rPr>
      </w:pPr>
    </w:p>
    <w:p w14:paraId="70378DD8" w14:textId="13A89031" w:rsidR="00910814" w:rsidRPr="0045764A" w:rsidRDefault="00910814" w:rsidP="00C65330">
      <w:pPr>
        <w:tabs>
          <w:tab w:val="clear" w:pos="284"/>
        </w:tabs>
        <w:autoSpaceDE w:val="0"/>
        <w:autoSpaceDN w:val="0"/>
        <w:adjustRightInd w:val="0"/>
        <w:rPr>
          <w:rFonts w:eastAsia="TimesNewRoman"/>
          <w:szCs w:val="22"/>
          <w:lang w:val="sr-Latn-ME"/>
        </w:rPr>
      </w:pPr>
      <w:r w:rsidRPr="0045764A">
        <w:rPr>
          <w:i/>
          <w:iCs/>
          <w:szCs w:val="22"/>
          <w:lang w:val="sr-Latn-ME"/>
        </w:rPr>
        <w:t xml:space="preserve">In </w:t>
      </w:r>
      <w:proofErr w:type="spellStart"/>
      <w:r w:rsidRPr="0045764A">
        <w:rPr>
          <w:i/>
          <w:iCs/>
          <w:szCs w:val="22"/>
          <w:lang w:val="sr-Latn-ME"/>
        </w:rPr>
        <w:t>vitro</w:t>
      </w:r>
      <w:proofErr w:type="spellEnd"/>
      <w:r w:rsidRPr="0045764A">
        <w:rPr>
          <w:i/>
          <w:iCs/>
          <w:szCs w:val="22"/>
          <w:lang w:val="sr-Latn-ME"/>
        </w:rPr>
        <w:t xml:space="preserve"> </w:t>
      </w:r>
      <w:r w:rsidRPr="0045764A">
        <w:rPr>
          <w:rFonts w:eastAsia="TimesNewRoman"/>
          <w:szCs w:val="22"/>
          <w:lang w:val="sr-Latn-ME"/>
        </w:rPr>
        <w:t xml:space="preserve">ispitivanja su pokazala da </w:t>
      </w:r>
      <w:proofErr w:type="spellStart"/>
      <w:r w:rsidRPr="0045764A">
        <w:rPr>
          <w:rFonts w:eastAsia="TimesNewRoman"/>
          <w:szCs w:val="22"/>
          <w:lang w:val="sr-Latn-ME"/>
        </w:rPr>
        <w:t>aksitinib</w:t>
      </w:r>
      <w:proofErr w:type="spellEnd"/>
      <w:r w:rsidRPr="0045764A">
        <w:rPr>
          <w:rFonts w:eastAsia="TimesNewRoman"/>
          <w:szCs w:val="22"/>
          <w:lang w:val="sr-Latn-ME"/>
        </w:rPr>
        <w:t xml:space="preserve"> ima potencijal inhibiranja CYP1A2. Samim tim, istovremena</w:t>
      </w:r>
      <w:r w:rsidR="000922C2" w:rsidRPr="0045764A">
        <w:rPr>
          <w:rFonts w:eastAsia="TimesNewRoman"/>
          <w:szCs w:val="22"/>
          <w:lang w:val="sr-Latn-ME"/>
        </w:rPr>
        <w:t xml:space="preserve"> </w:t>
      </w:r>
      <w:r w:rsidR="008E2492" w:rsidRPr="0045764A">
        <w:rPr>
          <w:rFonts w:eastAsia="TimesNewRoman"/>
          <w:szCs w:val="22"/>
          <w:lang w:val="sr-Latn-ME"/>
        </w:rPr>
        <w:t>primjen</w:t>
      </w:r>
      <w:r w:rsidRPr="0045764A">
        <w:rPr>
          <w:rFonts w:eastAsia="TimesNewRoman"/>
          <w:szCs w:val="22"/>
          <w:lang w:val="sr-Latn-ME"/>
        </w:rPr>
        <w:t xml:space="preserve">a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sa supstratima CYP1A2 može dovesti do povećanja koncentracija supstrata CYP1A2 u</w:t>
      </w:r>
      <w:r w:rsidR="000922C2" w:rsidRPr="0045764A">
        <w:rPr>
          <w:rFonts w:eastAsia="TimesNewRoman"/>
          <w:szCs w:val="22"/>
          <w:lang w:val="sr-Latn-ME"/>
        </w:rPr>
        <w:t xml:space="preserve"> </w:t>
      </w:r>
      <w:r w:rsidRPr="0045764A">
        <w:rPr>
          <w:rFonts w:eastAsia="TimesNewRoman"/>
          <w:szCs w:val="22"/>
          <w:lang w:val="sr-Latn-ME"/>
        </w:rPr>
        <w:t>plazmi (npr. teofilina).</w:t>
      </w:r>
    </w:p>
    <w:p w14:paraId="6E2B572D" w14:textId="77777777" w:rsidR="00F95A2A" w:rsidRPr="0045764A" w:rsidRDefault="00F95A2A" w:rsidP="00C65330">
      <w:pPr>
        <w:tabs>
          <w:tab w:val="clear" w:pos="284"/>
        </w:tabs>
        <w:autoSpaceDE w:val="0"/>
        <w:autoSpaceDN w:val="0"/>
        <w:adjustRightInd w:val="0"/>
        <w:rPr>
          <w:rFonts w:eastAsia="TimesNewRoman"/>
          <w:szCs w:val="22"/>
          <w:lang w:val="sr-Latn-ME"/>
        </w:rPr>
      </w:pPr>
    </w:p>
    <w:p w14:paraId="6AA51C37" w14:textId="0036B1A9" w:rsidR="00910814" w:rsidRPr="0045764A" w:rsidRDefault="00910814" w:rsidP="00C65330">
      <w:pPr>
        <w:tabs>
          <w:tab w:val="clear" w:pos="284"/>
        </w:tabs>
        <w:autoSpaceDE w:val="0"/>
        <w:autoSpaceDN w:val="0"/>
        <w:adjustRightInd w:val="0"/>
        <w:rPr>
          <w:rFonts w:eastAsia="TimesNewRoman"/>
          <w:szCs w:val="22"/>
          <w:lang w:val="sr-Latn-ME"/>
        </w:rPr>
      </w:pPr>
      <w:r w:rsidRPr="0045764A">
        <w:rPr>
          <w:i/>
          <w:iCs/>
          <w:szCs w:val="22"/>
          <w:lang w:val="sr-Latn-ME"/>
        </w:rPr>
        <w:t xml:space="preserve">In </w:t>
      </w:r>
      <w:proofErr w:type="spellStart"/>
      <w:r w:rsidRPr="0045764A">
        <w:rPr>
          <w:i/>
          <w:iCs/>
          <w:szCs w:val="22"/>
          <w:lang w:val="sr-Latn-ME"/>
        </w:rPr>
        <w:t>vitro</w:t>
      </w:r>
      <w:proofErr w:type="spellEnd"/>
      <w:r w:rsidRPr="0045764A">
        <w:rPr>
          <w:i/>
          <w:iCs/>
          <w:szCs w:val="22"/>
          <w:lang w:val="sr-Latn-ME"/>
        </w:rPr>
        <w:t xml:space="preserve"> </w:t>
      </w:r>
      <w:r w:rsidRPr="0045764A">
        <w:rPr>
          <w:rFonts w:eastAsia="TimesNewRoman"/>
          <w:szCs w:val="22"/>
          <w:lang w:val="sr-Latn-ME"/>
        </w:rPr>
        <w:t xml:space="preserve">ispitivanja su takođe pokazala da </w:t>
      </w:r>
      <w:proofErr w:type="spellStart"/>
      <w:r w:rsidRPr="0045764A">
        <w:rPr>
          <w:rFonts w:eastAsia="TimesNewRoman"/>
          <w:szCs w:val="22"/>
          <w:lang w:val="sr-Latn-ME"/>
        </w:rPr>
        <w:t>aksitinib</w:t>
      </w:r>
      <w:proofErr w:type="spellEnd"/>
      <w:r w:rsidRPr="0045764A">
        <w:rPr>
          <w:rFonts w:eastAsia="TimesNewRoman"/>
          <w:szCs w:val="22"/>
          <w:lang w:val="sr-Latn-ME"/>
        </w:rPr>
        <w:t xml:space="preserve"> ima potencijal inhibiranja CYP2</w:t>
      </w:r>
      <w:r w:rsidR="00711199" w:rsidRPr="0045764A">
        <w:rPr>
          <w:rFonts w:eastAsia="TimesNewRoman"/>
          <w:szCs w:val="22"/>
          <w:lang w:val="sr-Latn-ME"/>
        </w:rPr>
        <w:t>C</w:t>
      </w:r>
      <w:r w:rsidRPr="0045764A">
        <w:rPr>
          <w:rFonts w:eastAsia="TimesNewRoman"/>
          <w:szCs w:val="22"/>
          <w:lang w:val="sr-Latn-ME"/>
        </w:rPr>
        <w:t>8. Međutim,</w:t>
      </w:r>
      <w:r w:rsidR="00F95A2A" w:rsidRPr="0045764A">
        <w:rPr>
          <w:rFonts w:eastAsia="TimesNewRoman"/>
          <w:szCs w:val="22"/>
          <w:lang w:val="sr-Latn-ME"/>
        </w:rPr>
        <w:t xml:space="preserve"> </w:t>
      </w:r>
      <w:r w:rsidRPr="0045764A">
        <w:rPr>
          <w:rFonts w:eastAsia="TimesNewRoman"/>
          <w:szCs w:val="22"/>
          <w:lang w:val="sr-Latn-ME"/>
        </w:rPr>
        <w:t xml:space="preserve">istovremena </w:t>
      </w:r>
      <w:r w:rsidR="008E2492" w:rsidRPr="0045764A">
        <w:rPr>
          <w:rFonts w:eastAsia="TimesNewRoman"/>
          <w:szCs w:val="22"/>
          <w:lang w:val="sr-Latn-ME"/>
        </w:rPr>
        <w:t>primjen</w:t>
      </w:r>
      <w:r w:rsidRPr="0045764A">
        <w:rPr>
          <w:rFonts w:eastAsia="TimesNewRoman"/>
          <w:szCs w:val="22"/>
          <w:lang w:val="sr-Latn-ME"/>
        </w:rPr>
        <w:t xml:space="preserve">a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sa </w:t>
      </w:r>
      <w:proofErr w:type="spellStart"/>
      <w:r w:rsidRPr="0045764A">
        <w:rPr>
          <w:rFonts w:eastAsia="TimesNewRoman"/>
          <w:szCs w:val="22"/>
          <w:lang w:val="sr-Latn-ME"/>
        </w:rPr>
        <w:t>paklitakselom</w:t>
      </w:r>
      <w:proofErr w:type="spellEnd"/>
      <w:r w:rsidRPr="0045764A">
        <w:rPr>
          <w:rFonts w:eastAsia="TimesNewRoman"/>
          <w:szCs w:val="22"/>
          <w:lang w:val="sr-Latn-ME"/>
        </w:rPr>
        <w:t>, poznatim supstratom CYP2</w:t>
      </w:r>
      <w:r w:rsidR="00711199" w:rsidRPr="0045764A">
        <w:rPr>
          <w:rFonts w:eastAsia="TimesNewRoman"/>
          <w:szCs w:val="22"/>
          <w:lang w:val="sr-Latn-ME"/>
        </w:rPr>
        <w:t>C</w:t>
      </w:r>
      <w:r w:rsidRPr="0045764A">
        <w:rPr>
          <w:rFonts w:eastAsia="TimesNewRoman"/>
          <w:szCs w:val="22"/>
          <w:lang w:val="sr-Latn-ME"/>
        </w:rPr>
        <w:t>8, nije dovela do povećanja</w:t>
      </w:r>
      <w:r w:rsidR="00F95A2A" w:rsidRPr="0045764A">
        <w:rPr>
          <w:rFonts w:eastAsia="TimesNewRoman"/>
          <w:szCs w:val="22"/>
          <w:lang w:val="sr-Latn-ME"/>
        </w:rPr>
        <w:t xml:space="preserve"> </w:t>
      </w:r>
      <w:r w:rsidRPr="0045764A">
        <w:rPr>
          <w:rFonts w:eastAsia="TimesNewRoman"/>
          <w:szCs w:val="22"/>
          <w:lang w:val="sr-Latn-ME"/>
        </w:rPr>
        <w:t xml:space="preserve">koncentracije </w:t>
      </w:r>
      <w:proofErr w:type="spellStart"/>
      <w:r w:rsidRPr="0045764A">
        <w:rPr>
          <w:rFonts w:eastAsia="TimesNewRoman"/>
          <w:szCs w:val="22"/>
          <w:lang w:val="sr-Latn-ME"/>
        </w:rPr>
        <w:t>paklitaksela</w:t>
      </w:r>
      <w:proofErr w:type="spellEnd"/>
      <w:r w:rsidRPr="0045764A">
        <w:rPr>
          <w:rFonts w:eastAsia="TimesNewRoman"/>
          <w:szCs w:val="22"/>
          <w:lang w:val="sr-Latn-ME"/>
        </w:rPr>
        <w:t xml:space="preserve"> u plazmi kod pacijenata sa </w:t>
      </w:r>
      <w:proofErr w:type="spellStart"/>
      <w:r w:rsidRPr="0045764A">
        <w:rPr>
          <w:rFonts w:eastAsia="TimesNewRoman"/>
          <w:szCs w:val="22"/>
          <w:lang w:val="sr-Latn-ME"/>
        </w:rPr>
        <w:t>uznapredovalim</w:t>
      </w:r>
      <w:proofErr w:type="spellEnd"/>
      <w:r w:rsidRPr="0045764A">
        <w:rPr>
          <w:rFonts w:eastAsia="TimesNewRoman"/>
          <w:szCs w:val="22"/>
          <w:lang w:val="sr-Latn-ME"/>
        </w:rPr>
        <w:t xml:space="preserve"> </w:t>
      </w:r>
      <w:proofErr w:type="spellStart"/>
      <w:r w:rsidRPr="0045764A">
        <w:rPr>
          <w:rFonts w:eastAsia="TimesNewRoman"/>
          <w:szCs w:val="22"/>
          <w:lang w:val="sr-Latn-ME"/>
        </w:rPr>
        <w:t>karcinomom</w:t>
      </w:r>
      <w:proofErr w:type="spellEnd"/>
      <w:r w:rsidRPr="0045764A">
        <w:rPr>
          <w:rFonts w:eastAsia="TimesNewRoman"/>
          <w:szCs w:val="22"/>
          <w:lang w:val="sr-Latn-ME"/>
        </w:rPr>
        <w:t>, ukazujući na odsustvo</w:t>
      </w:r>
      <w:r w:rsidR="00F95A2A" w:rsidRPr="0045764A">
        <w:rPr>
          <w:rFonts w:eastAsia="TimesNewRoman"/>
          <w:szCs w:val="22"/>
          <w:lang w:val="sr-Latn-ME"/>
        </w:rPr>
        <w:t xml:space="preserve"> </w:t>
      </w:r>
      <w:r w:rsidRPr="0045764A">
        <w:rPr>
          <w:rFonts w:eastAsia="TimesNewRoman"/>
          <w:szCs w:val="22"/>
          <w:lang w:val="sr-Latn-ME"/>
        </w:rPr>
        <w:t>inhibicije CYP2</w:t>
      </w:r>
      <w:r w:rsidR="00711199" w:rsidRPr="0045764A">
        <w:rPr>
          <w:rFonts w:eastAsia="TimesNewRoman"/>
          <w:szCs w:val="22"/>
          <w:lang w:val="sr-Latn-ME"/>
        </w:rPr>
        <w:t>C</w:t>
      </w:r>
      <w:r w:rsidRPr="0045764A">
        <w:rPr>
          <w:rFonts w:eastAsia="TimesNewRoman"/>
          <w:szCs w:val="22"/>
          <w:lang w:val="sr-Latn-ME"/>
        </w:rPr>
        <w:t>8 u kliničkim uslovima.</w:t>
      </w:r>
    </w:p>
    <w:p w14:paraId="43467BB3" w14:textId="77777777" w:rsidR="00F95A2A" w:rsidRPr="0045764A" w:rsidRDefault="00F95A2A" w:rsidP="00C65330">
      <w:pPr>
        <w:tabs>
          <w:tab w:val="clear" w:pos="284"/>
        </w:tabs>
        <w:autoSpaceDE w:val="0"/>
        <w:autoSpaceDN w:val="0"/>
        <w:adjustRightInd w:val="0"/>
        <w:rPr>
          <w:rFonts w:eastAsia="TimesNewRoman"/>
          <w:szCs w:val="22"/>
          <w:lang w:val="sr-Latn-ME"/>
        </w:rPr>
      </w:pPr>
    </w:p>
    <w:p w14:paraId="105BC2DB" w14:textId="28DAF939" w:rsidR="00910814" w:rsidRPr="0045764A" w:rsidRDefault="00910814" w:rsidP="00C65330">
      <w:pPr>
        <w:tabs>
          <w:tab w:val="clear" w:pos="284"/>
        </w:tabs>
        <w:autoSpaceDE w:val="0"/>
        <w:autoSpaceDN w:val="0"/>
        <w:adjustRightInd w:val="0"/>
        <w:rPr>
          <w:rFonts w:eastAsia="TimesNewRoman"/>
          <w:szCs w:val="22"/>
          <w:lang w:val="sr-Latn-ME"/>
        </w:rPr>
      </w:pPr>
      <w:r w:rsidRPr="0045764A">
        <w:rPr>
          <w:i/>
          <w:iCs/>
          <w:szCs w:val="22"/>
          <w:lang w:val="sr-Latn-ME"/>
        </w:rPr>
        <w:t xml:space="preserve">In </w:t>
      </w:r>
      <w:proofErr w:type="spellStart"/>
      <w:r w:rsidRPr="0045764A">
        <w:rPr>
          <w:i/>
          <w:iCs/>
          <w:szCs w:val="22"/>
          <w:lang w:val="sr-Latn-ME"/>
        </w:rPr>
        <w:t>vitro</w:t>
      </w:r>
      <w:proofErr w:type="spellEnd"/>
      <w:r w:rsidRPr="0045764A">
        <w:rPr>
          <w:i/>
          <w:iCs/>
          <w:szCs w:val="22"/>
          <w:lang w:val="sr-Latn-ME"/>
        </w:rPr>
        <w:t xml:space="preserve"> </w:t>
      </w:r>
      <w:r w:rsidRPr="0045764A">
        <w:rPr>
          <w:rFonts w:eastAsia="TimesNewRoman"/>
          <w:szCs w:val="22"/>
          <w:lang w:val="sr-Latn-ME"/>
        </w:rPr>
        <w:t xml:space="preserve">ispitivanja humanih </w:t>
      </w:r>
      <w:proofErr w:type="spellStart"/>
      <w:r w:rsidRPr="0045764A">
        <w:rPr>
          <w:rFonts w:eastAsia="TimesNewRoman"/>
          <w:szCs w:val="22"/>
          <w:lang w:val="sr-Latn-ME"/>
        </w:rPr>
        <w:t>hepatocita</w:t>
      </w:r>
      <w:proofErr w:type="spellEnd"/>
      <w:r w:rsidRPr="0045764A">
        <w:rPr>
          <w:rFonts w:eastAsia="TimesNewRoman"/>
          <w:szCs w:val="22"/>
          <w:lang w:val="sr-Latn-ME"/>
        </w:rPr>
        <w:t xml:space="preserve"> su takođe pokazala da </w:t>
      </w:r>
      <w:proofErr w:type="spellStart"/>
      <w:r w:rsidRPr="0045764A">
        <w:rPr>
          <w:rFonts w:eastAsia="TimesNewRoman"/>
          <w:szCs w:val="22"/>
          <w:lang w:val="sr-Latn-ME"/>
        </w:rPr>
        <w:t>aksitinib</w:t>
      </w:r>
      <w:proofErr w:type="spellEnd"/>
      <w:r w:rsidRPr="0045764A">
        <w:rPr>
          <w:rFonts w:eastAsia="TimesNewRoman"/>
          <w:szCs w:val="22"/>
          <w:lang w:val="sr-Latn-ME"/>
        </w:rPr>
        <w:t xml:space="preserve"> ne indukuje CYP1A1, CYP1A2 i</w:t>
      </w:r>
      <w:r w:rsidR="00F95A2A" w:rsidRPr="0045764A">
        <w:rPr>
          <w:rFonts w:eastAsia="TimesNewRoman"/>
          <w:szCs w:val="22"/>
          <w:lang w:val="sr-Latn-ME"/>
        </w:rPr>
        <w:t xml:space="preserve"> </w:t>
      </w:r>
      <w:r w:rsidRPr="0045764A">
        <w:rPr>
          <w:rFonts w:eastAsia="TimesNewRoman"/>
          <w:szCs w:val="22"/>
          <w:lang w:val="sr-Latn-ME"/>
        </w:rPr>
        <w:t xml:space="preserve">CYP3A4/5. Samim tim, ne očekuje se da će istovremena </w:t>
      </w:r>
      <w:r w:rsidR="008E2492" w:rsidRPr="0045764A">
        <w:rPr>
          <w:rFonts w:eastAsia="TimesNewRoman"/>
          <w:szCs w:val="22"/>
          <w:lang w:val="sr-Latn-ME"/>
        </w:rPr>
        <w:t>primjen</w:t>
      </w:r>
      <w:r w:rsidRPr="0045764A">
        <w:rPr>
          <w:rFonts w:eastAsia="TimesNewRoman"/>
          <w:szCs w:val="22"/>
          <w:lang w:val="sr-Latn-ME"/>
        </w:rPr>
        <w:t xml:space="preserve">a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smanjiti </w:t>
      </w:r>
      <w:r w:rsidRPr="0045764A">
        <w:rPr>
          <w:i/>
          <w:iCs/>
          <w:szCs w:val="22"/>
          <w:lang w:val="sr-Latn-ME"/>
        </w:rPr>
        <w:t xml:space="preserve">in </w:t>
      </w:r>
      <w:proofErr w:type="spellStart"/>
      <w:r w:rsidRPr="0045764A">
        <w:rPr>
          <w:i/>
          <w:iCs/>
          <w:szCs w:val="22"/>
          <w:lang w:val="sr-Latn-ME"/>
        </w:rPr>
        <w:t>vivo</w:t>
      </w:r>
      <w:proofErr w:type="spellEnd"/>
      <w:r w:rsidRPr="0045764A">
        <w:rPr>
          <w:i/>
          <w:iCs/>
          <w:szCs w:val="22"/>
          <w:lang w:val="sr-Latn-ME"/>
        </w:rPr>
        <w:t xml:space="preserve"> </w:t>
      </w:r>
      <w:r w:rsidRPr="0045764A">
        <w:rPr>
          <w:rFonts w:eastAsia="TimesNewRoman"/>
          <w:szCs w:val="22"/>
          <w:lang w:val="sr-Latn-ME"/>
        </w:rPr>
        <w:t>koncentracije</w:t>
      </w:r>
      <w:r w:rsidR="00412591" w:rsidRPr="0045764A">
        <w:rPr>
          <w:rFonts w:eastAsia="TimesNewRoman"/>
          <w:szCs w:val="22"/>
          <w:lang w:val="sr-Latn-ME"/>
        </w:rPr>
        <w:t xml:space="preserve"> </w:t>
      </w:r>
      <w:r w:rsidRPr="0045764A">
        <w:rPr>
          <w:rFonts w:eastAsia="TimesNewRoman"/>
          <w:szCs w:val="22"/>
          <w:lang w:val="sr-Latn-ME"/>
        </w:rPr>
        <w:t xml:space="preserve">istovremeno </w:t>
      </w:r>
      <w:proofErr w:type="spellStart"/>
      <w:r w:rsidR="008E2492" w:rsidRPr="0045764A">
        <w:rPr>
          <w:rFonts w:eastAsia="TimesNewRoman"/>
          <w:szCs w:val="22"/>
          <w:lang w:val="sr-Latn-ME"/>
        </w:rPr>
        <w:t>primjen</w:t>
      </w:r>
      <w:r w:rsidRPr="0045764A">
        <w:rPr>
          <w:rFonts w:eastAsia="TimesNewRoman"/>
          <w:szCs w:val="22"/>
          <w:lang w:val="sr-Latn-ME"/>
        </w:rPr>
        <w:t>jenih</w:t>
      </w:r>
      <w:proofErr w:type="spellEnd"/>
      <w:r w:rsidRPr="0045764A">
        <w:rPr>
          <w:rFonts w:eastAsia="TimesNewRoman"/>
          <w:szCs w:val="22"/>
          <w:lang w:val="sr-Latn-ME"/>
        </w:rPr>
        <w:t xml:space="preserve"> supstrata CYP1A1, CYP1A2 i CYP3A4/5 u plazmi.</w:t>
      </w:r>
    </w:p>
    <w:p w14:paraId="7D113C22" w14:textId="77777777" w:rsidR="00F95A2A" w:rsidRPr="0045764A" w:rsidRDefault="00F95A2A" w:rsidP="00C65330">
      <w:pPr>
        <w:tabs>
          <w:tab w:val="clear" w:pos="284"/>
        </w:tabs>
        <w:autoSpaceDE w:val="0"/>
        <w:autoSpaceDN w:val="0"/>
        <w:adjustRightInd w:val="0"/>
        <w:rPr>
          <w:rFonts w:eastAsia="TimesNewRoman"/>
          <w:szCs w:val="22"/>
          <w:lang w:val="sr-Latn-ME"/>
        </w:rPr>
      </w:pPr>
    </w:p>
    <w:p w14:paraId="2B4F12AB" w14:textId="77777777" w:rsidR="00910814" w:rsidRPr="0045764A" w:rsidRDefault="00910814" w:rsidP="00C65330">
      <w:pPr>
        <w:tabs>
          <w:tab w:val="clear" w:pos="284"/>
        </w:tabs>
        <w:autoSpaceDE w:val="0"/>
        <w:autoSpaceDN w:val="0"/>
        <w:adjustRightInd w:val="0"/>
        <w:rPr>
          <w:iCs/>
          <w:szCs w:val="22"/>
          <w:u w:val="single"/>
          <w:lang w:val="sr-Latn-ME"/>
        </w:rPr>
      </w:pPr>
      <w:r w:rsidRPr="0045764A">
        <w:rPr>
          <w:iCs/>
          <w:szCs w:val="22"/>
          <w:u w:val="single"/>
          <w:lang w:val="sr-Latn-ME"/>
        </w:rPr>
        <w:t xml:space="preserve">In </w:t>
      </w:r>
      <w:proofErr w:type="spellStart"/>
      <w:r w:rsidRPr="0045764A">
        <w:rPr>
          <w:iCs/>
          <w:szCs w:val="22"/>
          <w:u w:val="single"/>
          <w:lang w:val="sr-Latn-ME"/>
        </w:rPr>
        <w:t>vitro</w:t>
      </w:r>
      <w:proofErr w:type="spellEnd"/>
      <w:r w:rsidRPr="0045764A">
        <w:rPr>
          <w:iCs/>
          <w:szCs w:val="22"/>
          <w:u w:val="single"/>
          <w:lang w:val="sr-Latn-ME"/>
        </w:rPr>
        <w:t xml:space="preserve"> ispitivanja sa P-</w:t>
      </w:r>
      <w:proofErr w:type="spellStart"/>
      <w:r w:rsidRPr="0045764A">
        <w:rPr>
          <w:iCs/>
          <w:szCs w:val="22"/>
          <w:u w:val="single"/>
          <w:lang w:val="sr-Latn-ME"/>
        </w:rPr>
        <w:t>glikoproteinom</w:t>
      </w:r>
      <w:proofErr w:type="spellEnd"/>
    </w:p>
    <w:p w14:paraId="7F57E47B" w14:textId="4D326B1F" w:rsidR="00910814" w:rsidRPr="0045764A" w:rsidRDefault="00910814" w:rsidP="00C65330">
      <w:pPr>
        <w:tabs>
          <w:tab w:val="clear" w:pos="284"/>
        </w:tabs>
        <w:autoSpaceDE w:val="0"/>
        <w:autoSpaceDN w:val="0"/>
        <w:adjustRightInd w:val="0"/>
        <w:rPr>
          <w:rFonts w:eastAsia="TimesNewRoman"/>
          <w:szCs w:val="22"/>
          <w:lang w:val="sr-Latn-ME"/>
        </w:rPr>
      </w:pPr>
      <w:r w:rsidRPr="0045764A">
        <w:rPr>
          <w:i/>
          <w:iCs/>
          <w:szCs w:val="22"/>
          <w:lang w:val="sr-Latn-ME"/>
        </w:rPr>
        <w:t xml:space="preserve">In </w:t>
      </w:r>
      <w:proofErr w:type="spellStart"/>
      <w:r w:rsidRPr="0045764A">
        <w:rPr>
          <w:i/>
          <w:iCs/>
          <w:szCs w:val="22"/>
          <w:lang w:val="sr-Latn-ME"/>
        </w:rPr>
        <w:t>vitro</w:t>
      </w:r>
      <w:proofErr w:type="spellEnd"/>
      <w:r w:rsidRPr="0045764A">
        <w:rPr>
          <w:i/>
          <w:iCs/>
          <w:szCs w:val="22"/>
          <w:lang w:val="sr-Latn-ME"/>
        </w:rPr>
        <w:t xml:space="preserve"> </w:t>
      </w:r>
      <w:r w:rsidRPr="0045764A">
        <w:rPr>
          <w:rFonts w:eastAsia="TimesNewRoman"/>
          <w:szCs w:val="22"/>
          <w:lang w:val="sr-Latn-ME"/>
        </w:rPr>
        <w:t xml:space="preserve">ispitivanja su pokazala da </w:t>
      </w:r>
      <w:proofErr w:type="spellStart"/>
      <w:r w:rsidRPr="0045764A">
        <w:rPr>
          <w:rFonts w:eastAsia="TimesNewRoman"/>
          <w:szCs w:val="22"/>
          <w:lang w:val="sr-Latn-ME"/>
        </w:rPr>
        <w:t>aksitinib</w:t>
      </w:r>
      <w:proofErr w:type="spellEnd"/>
      <w:r w:rsidRPr="0045764A">
        <w:rPr>
          <w:rFonts w:eastAsia="TimesNewRoman"/>
          <w:szCs w:val="22"/>
          <w:lang w:val="sr-Latn-ME"/>
        </w:rPr>
        <w:t xml:space="preserve"> inhibira P-</w:t>
      </w:r>
      <w:proofErr w:type="spellStart"/>
      <w:r w:rsidRPr="0045764A">
        <w:rPr>
          <w:rFonts w:eastAsia="TimesNewRoman"/>
          <w:szCs w:val="22"/>
          <w:lang w:val="sr-Latn-ME"/>
        </w:rPr>
        <w:t>glikoprotein</w:t>
      </w:r>
      <w:proofErr w:type="spellEnd"/>
      <w:r w:rsidRPr="0045764A">
        <w:rPr>
          <w:rFonts w:eastAsia="TimesNewRoman"/>
          <w:szCs w:val="22"/>
          <w:lang w:val="sr-Latn-ME"/>
        </w:rPr>
        <w:t xml:space="preserve">. Međutim, ne očekuje se da </w:t>
      </w:r>
      <w:proofErr w:type="spellStart"/>
      <w:r w:rsidRPr="0045764A">
        <w:rPr>
          <w:rFonts w:eastAsia="TimesNewRoman"/>
          <w:szCs w:val="22"/>
          <w:lang w:val="sr-Latn-ME"/>
        </w:rPr>
        <w:t>aksitinib</w:t>
      </w:r>
      <w:proofErr w:type="spellEnd"/>
      <w:r w:rsidR="00950EBA" w:rsidRPr="0045764A">
        <w:rPr>
          <w:rFonts w:eastAsia="TimesNewRoman"/>
          <w:szCs w:val="22"/>
          <w:lang w:val="sr-Latn-ME"/>
        </w:rPr>
        <w:t xml:space="preserve"> </w:t>
      </w:r>
      <w:r w:rsidRPr="0045764A">
        <w:rPr>
          <w:rFonts w:eastAsia="TimesNewRoman"/>
          <w:szCs w:val="22"/>
          <w:lang w:val="sr-Latn-ME"/>
        </w:rPr>
        <w:t>inhibira P-</w:t>
      </w:r>
      <w:proofErr w:type="spellStart"/>
      <w:r w:rsidRPr="0045764A">
        <w:rPr>
          <w:rFonts w:eastAsia="TimesNewRoman"/>
          <w:szCs w:val="22"/>
          <w:lang w:val="sr-Latn-ME"/>
        </w:rPr>
        <w:t>glikoprotein</w:t>
      </w:r>
      <w:proofErr w:type="spellEnd"/>
      <w:r w:rsidRPr="0045764A">
        <w:rPr>
          <w:rFonts w:eastAsia="TimesNewRoman"/>
          <w:szCs w:val="22"/>
          <w:lang w:val="sr-Latn-ME"/>
        </w:rPr>
        <w:t xml:space="preserve"> pri terapijskim koncentracijama u plazmi. Samim tim, ne očekuje se da će</w:t>
      </w:r>
      <w:r w:rsidR="00950EBA" w:rsidRPr="0045764A">
        <w:rPr>
          <w:rFonts w:eastAsia="TimesNewRoman"/>
          <w:szCs w:val="22"/>
          <w:lang w:val="sr-Latn-ME"/>
        </w:rPr>
        <w:t xml:space="preserve"> </w:t>
      </w:r>
      <w:r w:rsidRPr="0045764A">
        <w:rPr>
          <w:rFonts w:eastAsia="TimesNewRoman"/>
          <w:szCs w:val="22"/>
          <w:lang w:val="sr-Latn-ME"/>
        </w:rPr>
        <w:t xml:space="preserve">istovremena </w:t>
      </w:r>
      <w:r w:rsidR="008E2492" w:rsidRPr="0045764A">
        <w:rPr>
          <w:rFonts w:eastAsia="TimesNewRoman"/>
          <w:szCs w:val="22"/>
          <w:lang w:val="sr-Latn-ME"/>
        </w:rPr>
        <w:t>primjen</w:t>
      </w:r>
      <w:r w:rsidRPr="0045764A">
        <w:rPr>
          <w:rFonts w:eastAsia="TimesNewRoman"/>
          <w:szCs w:val="22"/>
          <w:lang w:val="sr-Latn-ME"/>
        </w:rPr>
        <w:t xml:space="preserve">a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povećati </w:t>
      </w:r>
      <w:r w:rsidRPr="0045764A">
        <w:rPr>
          <w:i/>
          <w:iCs/>
          <w:szCs w:val="22"/>
          <w:lang w:val="sr-Latn-ME"/>
        </w:rPr>
        <w:t xml:space="preserve">in </w:t>
      </w:r>
      <w:proofErr w:type="spellStart"/>
      <w:r w:rsidRPr="0045764A">
        <w:rPr>
          <w:i/>
          <w:iCs/>
          <w:szCs w:val="22"/>
          <w:lang w:val="sr-Latn-ME"/>
        </w:rPr>
        <w:t>vivo</w:t>
      </w:r>
      <w:proofErr w:type="spellEnd"/>
      <w:r w:rsidRPr="0045764A">
        <w:rPr>
          <w:i/>
          <w:iCs/>
          <w:szCs w:val="22"/>
          <w:lang w:val="sr-Latn-ME"/>
        </w:rPr>
        <w:t xml:space="preserve"> </w:t>
      </w:r>
      <w:r w:rsidRPr="0045764A">
        <w:rPr>
          <w:rFonts w:eastAsia="TimesNewRoman"/>
          <w:szCs w:val="22"/>
          <w:lang w:val="sr-Latn-ME"/>
        </w:rPr>
        <w:t xml:space="preserve">koncentracije </w:t>
      </w:r>
      <w:proofErr w:type="spellStart"/>
      <w:r w:rsidRPr="0045764A">
        <w:rPr>
          <w:rFonts w:eastAsia="TimesNewRoman"/>
          <w:szCs w:val="22"/>
          <w:lang w:val="sr-Latn-ME"/>
        </w:rPr>
        <w:t>digoksina</w:t>
      </w:r>
      <w:proofErr w:type="spellEnd"/>
      <w:r w:rsidRPr="0045764A">
        <w:rPr>
          <w:rFonts w:eastAsia="TimesNewRoman"/>
          <w:szCs w:val="22"/>
          <w:lang w:val="sr-Latn-ME"/>
        </w:rPr>
        <w:t xml:space="preserve"> ili drugih </w:t>
      </w:r>
      <w:proofErr w:type="spellStart"/>
      <w:r w:rsidR="008E2492" w:rsidRPr="0045764A">
        <w:rPr>
          <w:rFonts w:eastAsia="TimesNewRoman"/>
          <w:szCs w:val="22"/>
          <w:lang w:val="sr-Latn-ME"/>
        </w:rPr>
        <w:t>primjen</w:t>
      </w:r>
      <w:r w:rsidRPr="0045764A">
        <w:rPr>
          <w:rFonts w:eastAsia="TimesNewRoman"/>
          <w:szCs w:val="22"/>
          <w:lang w:val="sr-Latn-ME"/>
        </w:rPr>
        <w:t>jenih</w:t>
      </w:r>
      <w:proofErr w:type="spellEnd"/>
      <w:r w:rsidRPr="0045764A">
        <w:rPr>
          <w:rFonts w:eastAsia="TimesNewRoman"/>
          <w:szCs w:val="22"/>
          <w:lang w:val="sr-Latn-ME"/>
        </w:rPr>
        <w:t xml:space="preserve"> supstrata P</w:t>
      </w:r>
      <w:r w:rsidR="009E3B23" w:rsidRPr="0045764A">
        <w:rPr>
          <w:rFonts w:eastAsia="TimesNewRoman"/>
          <w:szCs w:val="22"/>
          <w:lang w:val="sr-Latn-ME"/>
        </w:rPr>
        <w:t>-</w:t>
      </w:r>
      <w:proofErr w:type="spellStart"/>
      <w:r w:rsidRPr="0045764A">
        <w:rPr>
          <w:rFonts w:eastAsia="TimesNewRoman"/>
          <w:szCs w:val="22"/>
          <w:lang w:val="sr-Latn-ME"/>
        </w:rPr>
        <w:t>glikoproteina</w:t>
      </w:r>
      <w:proofErr w:type="spellEnd"/>
      <w:r w:rsidR="00950EBA" w:rsidRPr="0045764A">
        <w:rPr>
          <w:rFonts w:eastAsia="TimesNewRoman"/>
          <w:szCs w:val="22"/>
          <w:lang w:val="sr-Latn-ME"/>
        </w:rPr>
        <w:t xml:space="preserve"> </w:t>
      </w:r>
      <w:r w:rsidRPr="0045764A">
        <w:rPr>
          <w:rFonts w:eastAsia="TimesNewRoman"/>
          <w:szCs w:val="22"/>
          <w:lang w:val="sr-Latn-ME"/>
        </w:rPr>
        <w:t>u plazmi.</w:t>
      </w:r>
    </w:p>
    <w:p w14:paraId="74EA0F18" w14:textId="77777777" w:rsidR="00910814" w:rsidRPr="0045764A" w:rsidRDefault="00910814" w:rsidP="00C65330">
      <w:pPr>
        <w:rPr>
          <w:szCs w:val="22"/>
          <w:lang w:val="sr-Latn-ME"/>
        </w:rPr>
      </w:pPr>
    </w:p>
    <w:p w14:paraId="4B3C6777" w14:textId="77777777" w:rsidR="00CE09F3" w:rsidRPr="0045764A" w:rsidRDefault="00CE09F3" w:rsidP="00C65330">
      <w:pPr>
        <w:rPr>
          <w:b/>
          <w:bCs/>
          <w:szCs w:val="22"/>
          <w:lang w:val="sr-Latn-ME"/>
        </w:rPr>
      </w:pPr>
      <w:r w:rsidRPr="0045764A">
        <w:rPr>
          <w:b/>
          <w:bCs/>
          <w:szCs w:val="22"/>
          <w:lang w:val="sr-Latn-ME"/>
        </w:rPr>
        <w:t>4.6. Plodnost, trudnoća i dojenje</w:t>
      </w:r>
    </w:p>
    <w:p w14:paraId="4B3C6778" w14:textId="77777777" w:rsidR="00CE09F3" w:rsidRPr="0045764A" w:rsidRDefault="00CE09F3" w:rsidP="00C65330">
      <w:pPr>
        <w:rPr>
          <w:szCs w:val="22"/>
          <w:lang w:val="sr-Latn-ME"/>
        </w:rPr>
      </w:pPr>
    </w:p>
    <w:p w14:paraId="15C3F122" w14:textId="77777777" w:rsidR="00A06A36" w:rsidRPr="0045764A" w:rsidRDefault="00A06A36" w:rsidP="00A06A36">
      <w:pPr>
        <w:tabs>
          <w:tab w:val="clear" w:pos="284"/>
        </w:tabs>
        <w:autoSpaceDE w:val="0"/>
        <w:autoSpaceDN w:val="0"/>
        <w:adjustRightInd w:val="0"/>
        <w:rPr>
          <w:iCs/>
          <w:szCs w:val="22"/>
          <w:u w:val="single"/>
          <w:lang w:val="sr-Latn-ME"/>
        </w:rPr>
      </w:pPr>
      <w:r w:rsidRPr="0045764A">
        <w:rPr>
          <w:iCs/>
          <w:szCs w:val="22"/>
          <w:u w:val="single"/>
          <w:lang w:val="sr-Latn-ME"/>
        </w:rPr>
        <w:t>Plodnost</w:t>
      </w:r>
    </w:p>
    <w:p w14:paraId="1906668B" w14:textId="017F47E6" w:rsidR="00A06A36" w:rsidRPr="0045764A" w:rsidRDefault="00A06A36" w:rsidP="00A06A36">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Na osnovu </w:t>
      </w:r>
      <w:proofErr w:type="spellStart"/>
      <w:r w:rsidR="00EC7D5D" w:rsidRPr="0045764A">
        <w:rPr>
          <w:rFonts w:eastAsia="TimesNewRoman"/>
          <w:szCs w:val="22"/>
          <w:lang w:val="sr-Latn-ME"/>
        </w:rPr>
        <w:t>pret</w:t>
      </w:r>
      <w:r w:rsidRPr="0045764A">
        <w:rPr>
          <w:rFonts w:eastAsia="TimesNewRoman"/>
          <w:szCs w:val="22"/>
          <w:lang w:val="sr-Latn-ME"/>
        </w:rPr>
        <w:t>kliničkih</w:t>
      </w:r>
      <w:proofErr w:type="spellEnd"/>
      <w:r w:rsidRPr="0045764A">
        <w:rPr>
          <w:rFonts w:eastAsia="TimesNewRoman"/>
          <w:szCs w:val="22"/>
          <w:lang w:val="sr-Latn-ME"/>
        </w:rPr>
        <w:t xml:space="preserve"> podataka, </w:t>
      </w:r>
      <w:proofErr w:type="spellStart"/>
      <w:r w:rsidRPr="0045764A">
        <w:rPr>
          <w:rFonts w:eastAsia="TimesNewRoman"/>
          <w:szCs w:val="22"/>
          <w:lang w:val="sr-Latn-ME"/>
        </w:rPr>
        <w:t>aksitinib</w:t>
      </w:r>
      <w:proofErr w:type="spellEnd"/>
      <w:r w:rsidRPr="0045764A">
        <w:rPr>
          <w:rFonts w:eastAsia="TimesNewRoman"/>
          <w:szCs w:val="22"/>
          <w:lang w:val="sr-Latn-ME"/>
        </w:rPr>
        <w:t xml:space="preserve"> ima potencijal da štetno djeluje na reproduktivnu funkciju i plodnost kod </w:t>
      </w:r>
      <w:proofErr w:type="spellStart"/>
      <w:r w:rsidRPr="0045764A">
        <w:rPr>
          <w:rFonts w:eastAsia="TimesNewRoman"/>
          <w:szCs w:val="22"/>
          <w:lang w:val="sr-Latn-ME"/>
        </w:rPr>
        <w:t>ljudi</w:t>
      </w:r>
      <w:proofErr w:type="spellEnd"/>
      <w:r w:rsidRPr="0045764A">
        <w:rPr>
          <w:rFonts w:eastAsia="TimesNewRoman"/>
          <w:szCs w:val="22"/>
          <w:lang w:val="sr-Latn-ME"/>
        </w:rPr>
        <w:t xml:space="preserve"> (</w:t>
      </w:r>
      <w:r w:rsidR="006F7AEE" w:rsidRPr="0045764A">
        <w:rPr>
          <w:rFonts w:eastAsia="TimesNewRoman"/>
          <w:szCs w:val="22"/>
          <w:lang w:val="sr-Latn-ME"/>
        </w:rPr>
        <w:t>pogledati dio</w:t>
      </w:r>
      <w:r w:rsidRPr="0045764A">
        <w:rPr>
          <w:rFonts w:eastAsia="TimesNewRoman"/>
          <w:szCs w:val="22"/>
          <w:lang w:val="sr-Latn-ME"/>
        </w:rPr>
        <w:t xml:space="preserve"> 5.3).</w:t>
      </w:r>
    </w:p>
    <w:p w14:paraId="25989706" w14:textId="77777777" w:rsidR="00A06A36" w:rsidRPr="0045764A" w:rsidRDefault="00A06A36" w:rsidP="00A06A36">
      <w:pPr>
        <w:rPr>
          <w:szCs w:val="22"/>
          <w:lang w:val="sr-Latn-ME"/>
        </w:rPr>
      </w:pPr>
    </w:p>
    <w:p w14:paraId="384A6C8A" w14:textId="77777777" w:rsidR="008E0791" w:rsidRPr="0045764A" w:rsidRDefault="008E0791" w:rsidP="00C65330">
      <w:pPr>
        <w:tabs>
          <w:tab w:val="clear" w:pos="284"/>
        </w:tabs>
        <w:autoSpaceDE w:val="0"/>
        <w:autoSpaceDN w:val="0"/>
        <w:adjustRightInd w:val="0"/>
        <w:rPr>
          <w:iCs/>
          <w:szCs w:val="22"/>
          <w:u w:val="single"/>
          <w:lang w:val="sr-Latn-ME"/>
        </w:rPr>
      </w:pPr>
      <w:r w:rsidRPr="0045764A">
        <w:rPr>
          <w:iCs/>
          <w:szCs w:val="22"/>
          <w:u w:val="single"/>
          <w:lang w:val="sr-Latn-ME"/>
        </w:rPr>
        <w:t>Trudnoća</w:t>
      </w:r>
    </w:p>
    <w:p w14:paraId="0B3765F9" w14:textId="72773399" w:rsidR="008E0791" w:rsidRPr="0045764A" w:rsidRDefault="008E0791"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Nema podataka o </w:t>
      </w:r>
      <w:r w:rsidR="008E2492" w:rsidRPr="0045764A">
        <w:rPr>
          <w:rFonts w:eastAsia="TimesNewRoman"/>
          <w:szCs w:val="22"/>
          <w:lang w:val="sr-Latn-ME"/>
        </w:rPr>
        <w:t>primjen</w:t>
      </w:r>
      <w:r w:rsidRPr="0045764A">
        <w:rPr>
          <w:rFonts w:eastAsia="TimesNewRoman"/>
          <w:szCs w:val="22"/>
          <w:lang w:val="sr-Latn-ME"/>
        </w:rPr>
        <w:t xml:space="preserve">i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kod trudnica. Na osnovu farmakoloških karakteristika, </w:t>
      </w:r>
      <w:proofErr w:type="spellStart"/>
      <w:r w:rsidRPr="0045764A">
        <w:rPr>
          <w:rFonts w:eastAsia="TimesNewRoman"/>
          <w:szCs w:val="22"/>
          <w:lang w:val="sr-Latn-ME"/>
        </w:rPr>
        <w:t>aksitinib</w:t>
      </w:r>
      <w:proofErr w:type="spellEnd"/>
      <w:r w:rsidRPr="0045764A">
        <w:rPr>
          <w:rFonts w:eastAsia="TimesNewRoman"/>
          <w:szCs w:val="22"/>
          <w:lang w:val="sr-Latn-ME"/>
        </w:rPr>
        <w:t xml:space="preserve"> može</w:t>
      </w:r>
      <w:r w:rsidR="00856B76" w:rsidRPr="0045764A">
        <w:rPr>
          <w:rFonts w:eastAsia="TimesNewRoman"/>
          <w:szCs w:val="22"/>
          <w:lang w:val="sr-Latn-ME"/>
        </w:rPr>
        <w:t xml:space="preserve"> </w:t>
      </w:r>
      <w:r w:rsidR="00711199" w:rsidRPr="0045764A">
        <w:rPr>
          <w:rFonts w:eastAsia="TimesNewRoman"/>
          <w:szCs w:val="22"/>
          <w:lang w:val="sr-Latn-ME"/>
        </w:rPr>
        <w:t>štetno djelovati na</w:t>
      </w:r>
      <w:r w:rsidRPr="0045764A">
        <w:rPr>
          <w:rFonts w:eastAsia="TimesNewRoman"/>
          <w:szCs w:val="22"/>
          <w:lang w:val="sr-Latn-ME"/>
        </w:rPr>
        <w:t xml:space="preserve"> fetus kada se </w:t>
      </w:r>
      <w:r w:rsidR="008E2492" w:rsidRPr="0045764A">
        <w:rPr>
          <w:rFonts w:eastAsia="TimesNewRoman"/>
          <w:szCs w:val="22"/>
          <w:lang w:val="sr-Latn-ME"/>
        </w:rPr>
        <w:t>primjen</w:t>
      </w:r>
      <w:r w:rsidRPr="0045764A">
        <w:rPr>
          <w:rFonts w:eastAsia="TimesNewRoman"/>
          <w:szCs w:val="22"/>
          <w:lang w:val="sr-Latn-ME"/>
        </w:rPr>
        <w:t>juje kod trudnica. Ispitivanja na životinjama su pokazala</w:t>
      </w:r>
      <w:r w:rsidR="00856B76" w:rsidRPr="0045764A">
        <w:rPr>
          <w:rFonts w:eastAsia="TimesNewRoman"/>
          <w:szCs w:val="22"/>
          <w:lang w:val="sr-Latn-ME"/>
        </w:rPr>
        <w:t xml:space="preserve"> </w:t>
      </w:r>
      <w:r w:rsidRPr="0045764A">
        <w:rPr>
          <w:rFonts w:eastAsia="TimesNewRoman"/>
          <w:szCs w:val="22"/>
          <w:lang w:val="sr-Latn-ME"/>
        </w:rPr>
        <w:t>reproduktivnu toksičnost</w:t>
      </w:r>
      <w:r w:rsidR="00A06A36" w:rsidRPr="0045764A">
        <w:rPr>
          <w:rFonts w:eastAsia="TimesNewRoman"/>
          <w:szCs w:val="22"/>
          <w:lang w:val="sr-Latn-ME"/>
        </w:rPr>
        <w:t>,</w:t>
      </w:r>
      <w:r w:rsidRPr="0045764A">
        <w:rPr>
          <w:rFonts w:eastAsia="TimesNewRoman"/>
          <w:szCs w:val="22"/>
          <w:lang w:val="sr-Latn-ME"/>
        </w:rPr>
        <w:t xml:space="preserve"> uključujući </w:t>
      </w:r>
      <w:proofErr w:type="spellStart"/>
      <w:r w:rsidRPr="0045764A">
        <w:rPr>
          <w:rFonts w:eastAsia="TimesNewRoman"/>
          <w:szCs w:val="22"/>
          <w:lang w:val="sr-Latn-ME"/>
        </w:rPr>
        <w:t>malformacije</w:t>
      </w:r>
      <w:proofErr w:type="spellEnd"/>
      <w:r w:rsidRPr="0045764A">
        <w:rPr>
          <w:rFonts w:eastAsia="TimesNewRoman"/>
          <w:szCs w:val="22"/>
          <w:lang w:val="sr-Latn-ME"/>
        </w:rPr>
        <w:t xml:space="preserve"> (</w:t>
      </w:r>
      <w:r w:rsidR="006F7AEE" w:rsidRPr="0045764A">
        <w:rPr>
          <w:rFonts w:eastAsia="TimesNewRoman"/>
          <w:szCs w:val="22"/>
          <w:lang w:val="sr-Latn-ME"/>
        </w:rPr>
        <w:t>pogledati dio</w:t>
      </w:r>
      <w:r w:rsidRPr="0045764A">
        <w:rPr>
          <w:rFonts w:eastAsia="TimesNewRoman"/>
          <w:szCs w:val="22"/>
          <w:lang w:val="sr-Latn-ME"/>
        </w:rPr>
        <w:t xml:space="preserve"> 5.3). </w:t>
      </w:r>
      <w:proofErr w:type="spellStart"/>
      <w:r w:rsidRPr="0045764A">
        <w:rPr>
          <w:rFonts w:eastAsia="TimesNewRoman"/>
          <w:szCs w:val="22"/>
          <w:lang w:val="sr-Latn-ME"/>
        </w:rPr>
        <w:t>Aksitinib</w:t>
      </w:r>
      <w:proofErr w:type="spellEnd"/>
      <w:r w:rsidRPr="0045764A">
        <w:rPr>
          <w:rFonts w:eastAsia="TimesNewRoman"/>
          <w:szCs w:val="22"/>
          <w:lang w:val="sr-Latn-ME"/>
        </w:rPr>
        <w:t xml:space="preserve"> ne treba koristiti tokom</w:t>
      </w:r>
      <w:r w:rsidR="00950EBA" w:rsidRPr="0045764A">
        <w:rPr>
          <w:rFonts w:eastAsia="TimesNewRoman"/>
          <w:szCs w:val="22"/>
          <w:lang w:val="sr-Latn-ME"/>
        </w:rPr>
        <w:t xml:space="preserve"> </w:t>
      </w:r>
      <w:r w:rsidRPr="0045764A">
        <w:rPr>
          <w:rFonts w:eastAsia="TimesNewRoman"/>
          <w:szCs w:val="22"/>
          <w:lang w:val="sr-Latn-ME"/>
        </w:rPr>
        <w:t xml:space="preserve">trudnoće osim kada kliničko stanje </w:t>
      </w:r>
      <w:r w:rsidR="00A06A36" w:rsidRPr="0045764A">
        <w:rPr>
          <w:rFonts w:eastAsia="TimesNewRoman"/>
          <w:szCs w:val="22"/>
          <w:lang w:val="sr-Latn-ME"/>
        </w:rPr>
        <w:t xml:space="preserve">žene </w:t>
      </w:r>
      <w:r w:rsidRPr="0045764A">
        <w:rPr>
          <w:rFonts w:eastAsia="TimesNewRoman"/>
          <w:szCs w:val="22"/>
          <w:lang w:val="sr-Latn-ME"/>
        </w:rPr>
        <w:t>zaht</w:t>
      </w:r>
      <w:r w:rsidR="00DB72B4" w:rsidRPr="0045764A">
        <w:rPr>
          <w:rFonts w:eastAsia="TimesNewRoman"/>
          <w:szCs w:val="22"/>
          <w:lang w:val="sr-Latn-ME"/>
        </w:rPr>
        <w:t>ij</w:t>
      </w:r>
      <w:r w:rsidRPr="0045764A">
        <w:rPr>
          <w:rFonts w:eastAsia="TimesNewRoman"/>
          <w:szCs w:val="22"/>
          <w:lang w:val="sr-Latn-ME"/>
        </w:rPr>
        <w:t xml:space="preserve">eva terapiju ovim </w:t>
      </w:r>
      <w:r w:rsidR="00593BF5" w:rsidRPr="0045764A">
        <w:rPr>
          <w:rFonts w:eastAsia="TimesNewRoman"/>
          <w:szCs w:val="22"/>
          <w:lang w:val="sr-Latn-ME"/>
        </w:rPr>
        <w:t>lijek</w:t>
      </w:r>
      <w:r w:rsidRPr="0045764A">
        <w:rPr>
          <w:rFonts w:eastAsia="TimesNewRoman"/>
          <w:szCs w:val="22"/>
          <w:lang w:val="sr-Latn-ME"/>
        </w:rPr>
        <w:t>om.</w:t>
      </w:r>
    </w:p>
    <w:p w14:paraId="4D83C5B7" w14:textId="77777777" w:rsidR="00950EBA" w:rsidRPr="0045764A" w:rsidRDefault="00950EBA" w:rsidP="00C65330">
      <w:pPr>
        <w:tabs>
          <w:tab w:val="clear" w:pos="284"/>
        </w:tabs>
        <w:autoSpaceDE w:val="0"/>
        <w:autoSpaceDN w:val="0"/>
        <w:adjustRightInd w:val="0"/>
        <w:rPr>
          <w:rFonts w:eastAsia="TimesNewRoman"/>
          <w:szCs w:val="22"/>
          <w:lang w:val="sr-Latn-ME"/>
        </w:rPr>
      </w:pPr>
    </w:p>
    <w:p w14:paraId="797DD3BE" w14:textId="4F5190BD" w:rsidR="008E0791" w:rsidRPr="0045764A" w:rsidRDefault="008E0791"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Žene u reproduktivnom periodu moraju da koriste efikasnu kontracepciju tokom terapije i u periodu do 1</w:t>
      </w:r>
      <w:r w:rsidR="00950EBA" w:rsidRPr="0045764A">
        <w:rPr>
          <w:rFonts w:eastAsia="TimesNewRoman"/>
          <w:szCs w:val="22"/>
          <w:lang w:val="sr-Latn-ME"/>
        </w:rPr>
        <w:t xml:space="preserve"> </w:t>
      </w:r>
      <w:r w:rsidRPr="0045764A">
        <w:rPr>
          <w:rFonts w:eastAsia="TimesNewRoman"/>
          <w:szCs w:val="22"/>
          <w:lang w:val="sr-Latn-ME"/>
        </w:rPr>
        <w:t>ned</w:t>
      </w:r>
      <w:r w:rsidR="00DB72B4" w:rsidRPr="0045764A">
        <w:rPr>
          <w:rFonts w:eastAsia="TimesNewRoman"/>
          <w:szCs w:val="22"/>
          <w:lang w:val="sr-Latn-ME"/>
        </w:rPr>
        <w:t>j</w:t>
      </w:r>
      <w:r w:rsidRPr="0045764A">
        <w:rPr>
          <w:rFonts w:eastAsia="TimesNewRoman"/>
          <w:szCs w:val="22"/>
          <w:lang w:val="sr-Latn-ME"/>
        </w:rPr>
        <w:t>elje posl</w:t>
      </w:r>
      <w:r w:rsidR="00A06A36" w:rsidRPr="0045764A">
        <w:rPr>
          <w:rFonts w:eastAsia="TimesNewRoman"/>
          <w:szCs w:val="22"/>
          <w:lang w:val="sr-Latn-ME"/>
        </w:rPr>
        <w:t>ij</w:t>
      </w:r>
      <w:r w:rsidRPr="0045764A">
        <w:rPr>
          <w:rFonts w:eastAsia="TimesNewRoman"/>
          <w:szCs w:val="22"/>
          <w:lang w:val="sr-Latn-ME"/>
        </w:rPr>
        <w:t>e prekida terapije.</w:t>
      </w:r>
    </w:p>
    <w:p w14:paraId="4FE2AE56" w14:textId="77777777" w:rsidR="00856B76" w:rsidRPr="0045764A" w:rsidRDefault="00856B76" w:rsidP="00C65330">
      <w:pPr>
        <w:tabs>
          <w:tab w:val="clear" w:pos="284"/>
        </w:tabs>
        <w:autoSpaceDE w:val="0"/>
        <w:autoSpaceDN w:val="0"/>
        <w:adjustRightInd w:val="0"/>
        <w:rPr>
          <w:rFonts w:eastAsia="TimesNewRoman"/>
          <w:szCs w:val="22"/>
          <w:lang w:val="sr-Latn-ME"/>
        </w:rPr>
      </w:pPr>
    </w:p>
    <w:p w14:paraId="6B3109AC" w14:textId="77777777" w:rsidR="008E0791" w:rsidRPr="0045764A" w:rsidRDefault="008E0791" w:rsidP="00C65330">
      <w:pPr>
        <w:tabs>
          <w:tab w:val="clear" w:pos="284"/>
        </w:tabs>
        <w:autoSpaceDE w:val="0"/>
        <w:autoSpaceDN w:val="0"/>
        <w:adjustRightInd w:val="0"/>
        <w:rPr>
          <w:iCs/>
          <w:szCs w:val="22"/>
          <w:u w:val="single"/>
          <w:lang w:val="sr-Latn-ME"/>
        </w:rPr>
      </w:pPr>
      <w:r w:rsidRPr="0045764A">
        <w:rPr>
          <w:iCs/>
          <w:szCs w:val="22"/>
          <w:u w:val="single"/>
          <w:lang w:val="sr-Latn-ME"/>
        </w:rPr>
        <w:lastRenderedPageBreak/>
        <w:t>Dojenje</w:t>
      </w:r>
    </w:p>
    <w:p w14:paraId="48B2EB24" w14:textId="6F4186B7" w:rsidR="008E0791" w:rsidRPr="0045764A" w:rsidRDefault="008E0791"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Nije poznato da li se </w:t>
      </w:r>
      <w:proofErr w:type="spellStart"/>
      <w:r w:rsidRPr="0045764A">
        <w:rPr>
          <w:rFonts w:eastAsia="TimesNewRoman"/>
          <w:szCs w:val="22"/>
          <w:lang w:val="sr-Latn-ME"/>
        </w:rPr>
        <w:t>aksitinib</w:t>
      </w:r>
      <w:proofErr w:type="spellEnd"/>
      <w:r w:rsidRPr="0045764A">
        <w:rPr>
          <w:rFonts w:eastAsia="TimesNewRoman"/>
          <w:szCs w:val="22"/>
          <w:lang w:val="sr-Latn-ME"/>
        </w:rPr>
        <w:t xml:space="preserve"> izlučuje u majčino m</w:t>
      </w:r>
      <w:r w:rsidR="00593BF5" w:rsidRPr="0045764A">
        <w:rPr>
          <w:rFonts w:eastAsia="TimesNewRoman"/>
          <w:szCs w:val="22"/>
          <w:lang w:val="sr-Latn-ME"/>
        </w:rPr>
        <w:t>lijek</w:t>
      </w:r>
      <w:r w:rsidRPr="0045764A">
        <w:rPr>
          <w:rFonts w:eastAsia="TimesNewRoman"/>
          <w:szCs w:val="22"/>
          <w:lang w:val="sr-Latn-ME"/>
        </w:rPr>
        <w:t xml:space="preserve">o. Ne može se isključiti rizik po odojče. </w:t>
      </w:r>
      <w:proofErr w:type="spellStart"/>
      <w:r w:rsidRPr="0045764A">
        <w:rPr>
          <w:rFonts w:eastAsia="TimesNewRoman"/>
          <w:szCs w:val="22"/>
          <w:lang w:val="sr-Latn-ME"/>
        </w:rPr>
        <w:t>Aksitinib</w:t>
      </w:r>
      <w:proofErr w:type="spellEnd"/>
      <w:r w:rsidRPr="0045764A">
        <w:rPr>
          <w:rFonts w:eastAsia="TimesNewRoman"/>
          <w:szCs w:val="22"/>
          <w:lang w:val="sr-Latn-ME"/>
        </w:rPr>
        <w:t xml:space="preserve"> ne</w:t>
      </w:r>
      <w:r w:rsidR="00950EBA" w:rsidRPr="0045764A">
        <w:rPr>
          <w:rFonts w:eastAsia="TimesNewRoman"/>
          <w:szCs w:val="22"/>
          <w:lang w:val="sr-Latn-ME"/>
        </w:rPr>
        <w:t xml:space="preserve"> </w:t>
      </w:r>
      <w:r w:rsidRPr="0045764A">
        <w:rPr>
          <w:rFonts w:eastAsia="TimesNewRoman"/>
          <w:szCs w:val="22"/>
          <w:lang w:val="sr-Latn-ME"/>
        </w:rPr>
        <w:t>bi trebalo koristiti tokom perioda dojenja.</w:t>
      </w:r>
    </w:p>
    <w:p w14:paraId="2AA06189" w14:textId="77777777" w:rsidR="00856B76" w:rsidRPr="0045764A" w:rsidRDefault="00856B76" w:rsidP="00C65330">
      <w:pPr>
        <w:tabs>
          <w:tab w:val="clear" w:pos="284"/>
        </w:tabs>
        <w:autoSpaceDE w:val="0"/>
        <w:autoSpaceDN w:val="0"/>
        <w:adjustRightInd w:val="0"/>
        <w:rPr>
          <w:rFonts w:eastAsia="TimesNewRoman"/>
          <w:szCs w:val="22"/>
          <w:lang w:val="sr-Latn-ME"/>
        </w:rPr>
      </w:pPr>
    </w:p>
    <w:p w14:paraId="4B3C677A" w14:textId="62036589" w:rsidR="00CE09F3" w:rsidRPr="0045764A" w:rsidRDefault="00CE09F3" w:rsidP="00C65330">
      <w:pPr>
        <w:rPr>
          <w:b/>
          <w:bCs/>
          <w:spacing w:val="-8"/>
          <w:szCs w:val="22"/>
          <w:lang w:val="sr-Latn-ME"/>
        </w:rPr>
      </w:pPr>
      <w:r w:rsidRPr="0045764A">
        <w:rPr>
          <w:b/>
          <w:bCs/>
          <w:spacing w:val="-8"/>
          <w:szCs w:val="22"/>
          <w:lang w:val="sr-Latn-ME"/>
        </w:rPr>
        <w:t>4.7. Uticaj na sposobnost upravljanja vozilima i rukovanj</w:t>
      </w:r>
      <w:r w:rsidR="00A06A36" w:rsidRPr="0045764A">
        <w:rPr>
          <w:b/>
          <w:bCs/>
          <w:spacing w:val="-8"/>
          <w:szCs w:val="22"/>
          <w:lang w:val="sr-Latn-ME"/>
        </w:rPr>
        <w:t>e</w:t>
      </w:r>
      <w:r w:rsidRPr="0045764A">
        <w:rPr>
          <w:b/>
          <w:bCs/>
          <w:spacing w:val="-8"/>
          <w:szCs w:val="22"/>
          <w:lang w:val="sr-Latn-ME"/>
        </w:rPr>
        <w:t xml:space="preserve"> mašinama</w:t>
      </w:r>
    </w:p>
    <w:p w14:paraId="7F2F570D" w14:textId="77777777" w:rsidR="004B3C86" w:rsidRPr="0045764A" w:rsidRDefault="004B3C86" w:rsidP="00C65330">
      <w:pPr>
        <w:rPr>
          <w:b/>
          <w:bCs/>
          <w:spacing w:val="-8"/>
          <w:szCs w:val="22"/>
          <w:lang w:val="sr-Latn-ME"/>
        </w:rPr>
      </w:pPr>
    </w:p>
    <w:p w14:paraId="4B3C677C" w14:textId="0D9BF010" w:rsidR="00CE09F3" w:rsidRPr="0045764A" w:rsidRDefault="00E95EE3" w:rsidP="00C65330">
      <w:pPr>
        <w:tabs>
          <w:tab w:val="clear" w:pos="284"/>
        </w:tabs>
        <w:autoSpaceDE w:val="0"/>
        <w:autoSpaceDN w:val="0"/>
        <w:adjustRightInd w:val="0"/>
        <w:rPr>
          <w:rFonts w:eastAsia="TimesNewRoman"/>
          <w:szCs w:val="22"/>
          <w:lang w:val="sr-Latn-ME"/>
        </w:rPr>
      </w:pPr>
      <w:proofErr w:type="spellStart"/>
      <w:r w:rsidRPr="0045764A">
        <w:rPr>
          <w:rFonts w:eastAsia="TimesNewRoman"/>
          <w:szCs w:val="22"/>
          <w:lang w:val="sr-Latn-ME"/>
        </w:rPr>
        <w:t>Aksitinib</w:t>
      </w:r>
      <w:proofErr w:type="spellEnd"/>
      <w:r w:rsidRPr="0045764A">
        <w:rPr>
          <w:rFonts w:eastAsia="TimesNewRoman"/>
          <w:szCs w:val="22"/>
          <w:lang w:val="sr-Latn-ME"/>
        </w:rPr>
        <w:t xml:space="preserve"> ima </w:t>
      </w:r>
      <w:r w:rsidR="00A06A36" w:rsidRPr="0045764A">
        <w:rPr>
          <w:rFonts w:eastAsia="TimesNewRoman"/>
          <w:szCs w:val="22"/>
          <w:lang w:val="sr-Latn-ME"/>
        </w:rPr>
        <w:t xml:space="preserve">mali </w:t>
      </w:r>
      <w:r w:rsidRPr="0045764A">
        <w:rPr>
          <w:rFonts w:eastAsia="TimesNewRoman"/>
          <w:szCs w:val="22"/>
          <w:lang w:val="sr-Latn-ME"/>
        </w:rPr>
        <w:t>uticaj na sposobnost upravljanja vozilima i rukovanja mašinama. Pacijente treba</w:t>
      </w:r>
      <w:r w:rsidR="00777CB5" w:rsidRPr="0045764A">
        <w:rPr>
          <w:rFonts w:eastAsia="TimesNewRoman"/>
          <w:szCs w:val="22"/>
          <w:lang w:val="sr-Latn-ME"/>
        </w:rPr>
        <w:t xml:space="preserve"> </w:t>
      </w:r>
      <w:r w:rsidRPr="0045764A">
        <w:rPr>
          <w:rFonts w:eastAsia="TimesNewRoman"/>
          <w:szCs w:val="22"/>
          <w:lang w:val="sr-Latn-ME"/>
        </w:rPr>
        <w:t>upozoriti na mogućnost pojave nesv</w:t>
      </w:r>
      <w:r w:rsidR="00DB72B4" w:rsidRPr="0045764A">
        <w:rPr>
          <w:rFonts w:eastAsia="TimesNewRoman"/>
          <w:szCs w:val="22"/>
          <w:lang w:val="sr-Latn-ME"/>
        </w:rPr>
        <w:t>j</w:t>
      </w:r>
      <w:r w:rsidRPr="0045764A">
        <w:rPr>
          <w:rFonts w:eastAsia="TimesNewRoman"/>
          <w:szCs w:val="22"/>
          <w:lang w:val="sr-Latn-ME"/>
        </w:rPr>
        <w:t xml:space="preserve">estice i/ili zamora tokom terapije </w:t>
      </w:r>
      <w:proofErr w:type="spellStart"/>
      <w:r w:rsidRPr="0045764A">
        <w:rPr>
          <w:rFonts w:eastAsia="TimesNewRoman"/>
          <w:szCs w:val="22"/>
          <w:lang w:val="sr-Latn-ME"/>
        </w:rPr>
        <w:t>aksitinibom</w:t>
      </w:r>
      <w:proofErr w:type="spellEnd"/>
      <w:r w:rsidRPr="0045764A">
        <w:rPr>
          <w:rFonts w:eastAsia="TimesNewRoman"/>
          <w:szCs w:val="22"/>
          <w:lang w:val="sr-Latn-ME"/>
        </w:rPr>
        <w:t>.</w:t>
      </w:r>
    </w:p>
    <w:p w14:paraId="1463EAFC" w14:textId="77777777" w:rsidR="0069180D" w:rsidRPr="0045764A" w:rsidRDefault="0069180D" w:rsidP="00C65330">
      <w:pPr>
        <w:rPr>
          <w:b/>
          <w:bCs/>
          <w:szCs w:val="22"/>
          <w:lang w:val="sr-Latn-ME"/>
        </w:rPr>
      </w:pPr>
    </w:p>
    <w:p w14:paraId="4B3C677D" w14:textId="00E2B5C5" w:rsidR="00CE09F3" w:rsidRPr="0045764A" w:rsidRDefault="00CE09F3" w:rsidP="00C65330">
      <w:pPr>
        <w:rPr>
          <w:b/>
          <w:bCs/>
          <w:szCs w:val="22"/>
          <w:lang w:val="sr-Latn-ME"/>
        </w:rPr>
      </w:pPr>
      <w:r w:rsidRPr="0045764A">
        <w:rPr>
          <w:b/>
          <w:bCs/>
          <w:szCs w:val="22"/>
          <w:lang w:val="sr-Latn-ME"/>
        </w:rPr>
        <w:t>4.8. Neželjena dejstva</w:t>
      </w:r>
    </w:p>
    <w:p w14:paraId="4B3C677E" w14:textId="34F97DE7" w:rsidR="00CE09F3" w:rsidRPr="0045764A" w:rsidRDefault="00CE09F3" w:rsidP="00C65330">
      <w:pPr>
        <w:rPr>
          <w:szCs w:val="22"/>
          <w:u w:val="single"/>
          <w:lang w:val="sr-Latn-ME"/>
        </w:rPr>
      </w:pPr>
    </w:p>
    <w:p w14:paraId="4195D550" w14:textId="220CCC57" w:rsidR="00443480" w:rsidRPr="0045764A" w:rsidRDefault="00443480" w:rsidP="00C65330">
      <w:pPr>
        <w:tabs>
          <w:tab w:val="clear" w:pos="284"/>
        </w:tabs>
        <w:autoSpaceDE w:val="0"/>
        <w:autoSpaceDN w:val="0"/>
        <w:adjustRightInd w:val="0"/>
        <w:rPr>
          <w:iCs/>
          <w:szCs w:val="22"/>
          <w:u w:val="single"/>
          <w:lang w:val="sr-Latn-ME"/>
        </w:rPr>
      </w:pPr>
      <w:r w:rsidRPr="0045764A">
        <w:rPr>
          <w:iCs/>
          <w:szCs w:val="22"/>
          <w:u w:val="single"/>
          <w:lang w:val="sr-Latn-ME"/>
        </w:rPr>
        <w:t xml:space="preserve">Sažetak </w:t>
      </w:r>
      <w:proofErr w:type="spellStart"/>
      <w:r w:rsidRPr="0045764A">
        <w:rPr>
          <w:iCs/>
          <w:szCs w:val="22"/>
          <w:u w:val="single"/>
          <w:lang w:val="sr-Latn-ME"/>
        </w:rPr>
        <w:t>bezb</w:t>
      </w:r>
      <w:r w:rsidR="00AD5F09" w:rsidRPr="0045764A">
        <w:rPr>
          <w:iCs/>
          <w:szCs w:val="22"/>
          <w:u w:val="single"/>
          <w:lang w:val="sr-Latn-ME"/>
        </w:rPr>
        <w:t>j</w:t>
      </w:r>
      <w:r w:rsidRPr="0045764A">
        <w:rPr>
          <w:iCs/>
          <w:szCs w:val="22"/>
          <w:u w:val="single"/>
          <w:lang w:val="sr-Latn-ME"/>
        </w:rPr>
        <w:t>ednosnog</w:t>
      </w:r>
      <w:proofErr w:type="spellEnd"/>
      <w:r w:rsidRPr="0045764A">
        <w:rPr>
          <w:iCs/>
          <w:szCs w:val="22"/>
          <w:u w:val="single"/>
          <w:lang w:val="sr-Latn-ME"/>
        </w:rPr>
        <w:t xml:space="preserve"> profila</w:t>
      </w:r>
    </w:p>
    <w:p w14:paraId="10AFCF19" w14:textId="791FFF35" w:rsidR="00443480" w:rsidRPr="0045764A" w:rsidRDefault="00443480"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Rizici koji su navedeni u daljem tekstu, uključujući odgovarajuće m</w:t>
      </w:r>
      <w:r w:rsidR="00AD5F09" w:rsidRPr="0045764A">
        <w:rPr>
          <w:rFonts w:eastAsia="TimesNewRoman"/>
          <w:szCs w:val="22"/>
          <w:lang w:val="sr-Latn-ME"/>
        </w:rPr>
        <w:t>j</w:t>
      </w:r>
      <w:r w:rsidRPr="0045764A">
        <w:rPr>
          <w:rFonts w:eastAsia="TimesNewRoman"/>
          <w:szCs w:val="22"/>
          <w:lang w:val="sr-Latn-ME"/>
        </w:rPr>
        <w:t xml:space="preserve">ere koje treba preduzeti, detaljnije su razmatrani u </w:t>
      </w:r>
      <w:r w:rsidR="00EB1E1B" w:rsidRPr="0045764A">
        <w:rPr>
          <w:rFonts w:eastAsia="TimesNewRoman"/>
          <w:szCs w:val="22"/>
          <w:lang w:val="sr-Latn-ME"/>
        </w:rPr>
        <w:t xml:space="preserve">dijelu </w:t>
      </w:r>
      <w:r w:rsidRPr="0045764A">
        <w:rPr>
          <w:rFonts w:eastAsia="TimesNewRoman"/>
          <w:szCs w:val="22"/>
          <w:lang w:val="sr-Latn-ME"/>
        </w:rPr>
        <w:t xml:space="preserve">4.4: događaji povezani sa srčanom </w:t>
      </w:r>
      <w:proofErr w:type="spellStart"/>
      <w:r w:rsidRPr="0045764A">
        <w:rPr>
          <w:rFonts w:eastAsia="TimesNewRoman"/>
          <w:szCs w:val="22"/>
          <w:lang w:val="sr-Latn-ME"/>
        </w:rPr>
        <w:t>insuficijencijom</w:t>
      </w:r>
      <w:proofErr w:type="spellEnd"/>
      <w:r w:rsidRPr="0045764A">
        <w:rPr>
          <w:rFonts w:eastAsia="TimesNewRoman"/>
          <w:szCs w:val="22"/>
          <w:lang w:val="sr-Latn-ME"/>
        </w:rPr>
        <w:t xml:space="preserve">, hipertenzija, </w:t>
      </w:r>
      <w:proofErr w:type="spellStart"/>
      <w:r w:rsidRPr="0045764A">
        <w:rPr>
          <w:rFonts w:eastAsia="TimesNewRoman"/>
          <w:szCs w:val="22"/>
          <w:lang w:val="sr-Latn-ME"/>
        </w:rPr>
        <w:t>disfunkcija</w:t>
      </w:r>
      <w:proofErr w:type="spellEnd"/>
      <w:r w:rsidRPr="0045764A">
        <w:rPr>
          <w:rFonts w:eastAsia="TimesNewRoman"/>
          <w:szCs w:val="22"/>
          <w:lang w:val="sr-Latn-ME"/>
        </w:rPr>
        <w:t xml:space="preserve"> </w:t>
      </w:r>
      <w:proofErr w:type="spellStart"/>
      <w:r w:rsidRPr="0045764A">
        <w:rPr>
          <w:rFonts w:eastAsia="TimesNewRoman"/>
          <w:szCs w:val="22"/>
          <w:lang w:val="sr-Latn-ME"/>
        </w:rPr>
        <w:t>tireoidne</w:t>
      </w:r>
      <w:proofErr w:type="spellEnd"/>
      <w:r w:rsidRPr="0045764A">
        <w:rPr>
          <w:rFonts w:eastAsia="TimesNewRoman"/>
          <w:szCs w:val="22"/>
          <w:lang w:val="sr-Latn-ME"/>
        </w:rPr>
        <w:t xml:space="preserve"> žl</w:t>
      </w:r>
      <w:r w:rsidR="00AD5F09" w:rsidRPr="0045764A">
        <w:rPr>
          <w:rFonts w:eastAsia="TimesNewRoman"/>
          <w:szCs w:val="22"/>
          <w:lang w:val="sr-Latn-ME"/>
        </w:rPr>
        <w:t>ij</w:t>
      </w:r>
      <w:r w:rsidRPr="0045764A">
        <w:rPr>
          <w:rFonts w:eastAsia="TimesNewRoman"/>
          <w:szCs w:val="22"/>
          <w:lang w:val="sr-Latn-ME"/>
        </w:rPr>
        <w:t xml:space="preserve">ezde, arterijski </w:t>
      </w:r>
      <w:proofErr w:type="spellStart"/>
      <w:r w:rsidRPr="0045764A">
        <w:rPr>
          <w:rFonts w:eastAsia="TimesNewRoman"/>
          <w:szCs w:val="22"/>
          <w:lang w:val="sr-Latn-ME"/>
        </w:rPr>
        <w:t>tromboemb</w:t>
      </w:r>
      <w:r w:rsidR="00AD5F09" w:rsidRPr="0045764A">
        <w:rPr>
          <w:rFonts w:eastAsia="TimesNewRoman"/>
          <w:szCs w:val="22"/>
          <w:lang w:val="sr-Latn-ME"/>
        </w:rPr>
        <w:t>o</w:t>
      </w:r>
      <w:r w:rsidRPr="0045764A">
        <w:rPr>
          <w:rFonts w:eastAsia="TimesNewRoman"/>
          <w:szCs w:val="22"/>
          <w:lang w:val="sr-Latn-ME"/>
        </w:rPr>
        <w:t>lijski</w:t>
      </w:r>
      <w:proofErr w:type="spellEnd"/>
      <w:r w:rsidRPr="0045764A">
        <w:rPr>
          <w:rFonts w:eastAsia="TimesNewRoman"/>
          <w:szCs w:val="22"/>
          <w:lang w:val="sr-Latn-ME"/>
        </w:rPr>
        <w:t xml:space="preserve"> događaji, venski </w:t>
      </w:r>
      <w:proofErr w:type="spellStart"/>
      <w:r w:rsidRPr="0045764A">
        <w:rPr>
          <w:rFonts w:eastAsia="TimesNewRoman"/>
          <w:szCs w:val="22"/>
          <w:lang w:val="sr-Latn-ME"/>
        </w:rPr>
        <w:t>tromboembolijski</w:t>
      </w:r>
      <w:proofErr w:type="spellEnd"/>
      <w:r w:rsidRPr="0045764A">
        <w:rPr>
          <w:rFonts w:eastAsia="TimesNewRoman"/>
          <w:szCs w:val="22"/>
          <w:lang w:val="sr-Latn-ME"/>
        </w:rPr>
        <w:t xml:space="preserve"> događaji, povećanje </w:t>
      </w:r>
      <w:r w:rsidR="008E2492" w:rsidRPr="0045764A">
        <w:rPr>
          <w:rFonts w:eastAsia="TimesNewRoman"/>
          <w:szCs w:val="22"/>
          <w:lang w:val="sr-Latn-ME"/>
        </w:rPr>
        <w:t>vrijednost</w:t>
      </w:r>
      <w:r w:rsidRPr="0045764A">
        <w:rPr>
          <w:rFonts w:eastAsia="TimesNewRoman"/>
          <w:szCs w:val="22"/>
          <w:lang w:val="sr-Latn-ME"/>
        </w:rPr>
        <w:t>i</w:t>
      </w:r>
      <w:r w:rsidR="009515A2" w:rsidRPr="0045764A">
        <w:rPr>
          <w:rFonts w:eastAsia="TimesNewRoman"/>
          <w:szCs w:val="22"/>
          <w:lang w:val="sr-Latn-ME"/>
        </w:rPr>
        <w:t xml:space="preserve"> </w:t>
      </w:r>
      <w:r w:rsidRPr="0045764A">
        <w:rPr>
          <w:rFonts w:eastAsia="TimesNewRoman"/>
          <w:szCs w:val="22"/>
          <w:lang w:val="sr-Latn-ME"/>
        </w:rPr>
        <w:t xml:space="preserve">hemoglobina ili </w:t>
      </w:r>
      <w:proofErr w:type="spellStart"/>
      <w:r w:rsidRPr="0045764A">
        <w:rPr>
          <w:rFonts w:eastAsia="TimesNewRoman"/>
          <w:szCs w:val="22"/>
          <w:lang w:val="sr-Latn-ME"/>
        </w:rPr>
        <w:t>hematokrita</w:t>
      </w:r>
      <w:proofErr w:type="spellEnd"/>
      <w:r w:rsidRPr="0045764A">
        <w:rPr>
          <w:rFonts w:eastAsia="TimesNewRoman"/>
          <w:szCs w:val="22"/>
          <w:lang w:val="sr-Latn-ME"/>
        </w:rPr>
        <w:t>, krvarenje, gastrointestinalna perforacija i stvaranje fistule, komplikacije pri</w:t>
      </w:r>
      <w:r w:rsidR="009515A2" w:rsidRPr="0045764A">
        <w:rPr>
          <w:rFonts w:eastAsia="TimesNewRoman"/>
          <w:szCs w:val="22"/>
          <w:lang w:val="sr-Latn-ME"/>
        </w:rPr>
        <w:t xml:space="preserve"> </w:t>
      </w:r>
      <w:r w:rsidRPr="0045764A">
        <w:rPr>
          <w:rFonts w:eastAsia="TimesNewRoman"/>
          <w:szCs w:val="22"/>
          <w:lang w:val="sr-Latn-ME"/>
        </w:rPr>
        <w:t xml:space="preserve">zarastanju rana, PRES, </w:t>
      </w:r>
      <w:proofErr w:type="spellStart"/>
      <w:r w:rsidRPr="0045764A">
        <w:rPr>
          <w:rFonts w:eastAsia="TimesNewRoman"/>
          <w:szCs w:val="22"/>
          <w:lang w:val="sr-Latn-ME"/>
        </w:rPr>
        <w:t>proteinurija</w:t>
      </w:r>
      <w:proofErr w:type="spellEnd"/>
      <w:r w:rsidRPr="0045764A">
        <w:rPr>
          <w:rFonts w:eastAsia="TimesNewRoman"/>
          <w:szCs w:val="22"/>
          <w:lang w:val="sr-Latn-ME"/>
        </w:rPr>
        <w:t xml:space="preserve"> i povećanje enzima jetre.</w:t>
      </w:r>
    </w:p>
    <w:p w14:paraId="542831DD" w14:textId="77777777" w:rsidR="00443480" w:rsidRPr="0045764A" w:rsidRDefault="00443480" w:rsidP="00C65330">
      <w:pPr>
        <w:tabs>
          <w:tab w:val="clear" w:pos="284"/>
        </w:tabs>
        <w:autoSpaceDE w:val="0"/>
        <w:autoSpaceDN w:val="0"/>
        <w:adjustRightInd w:val="0"/>
        <w:rPr>
          <w:rFonts w:eastAsia="TimesNewRoman"/>
          <w:szCs w:val="22"/>
          <w:lang w:val="sr-Latn-ME"/>
        </w:rPr>
      </w:pPr>
    </w:p>
    <w:p w14:paraId="49B3A9E5" w14:textId="39E406E7" w:rsidR="00443480" w:rsidRPr="0045764A" w:rsidRDefault="00443480"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Najčešć</w:t>
      </w:r>
      <w:r w:rsidR="004009C8" w:rsidRPr="0045764A">
        <w:rPr>
          <w:rFonts w:eastAsia="TimesNewRoman"/>
          <w:szCs w:val="22"/>
          <w:lang w:val="sr-Latn-ME"/>
        </w:rPr>
        <w:t>a</w:t>
      </w:r>
      <w:r w:rsidRPr="0045764A">
        <w:rPr>
          <w:rFonts w:eastAsia="TimesNewRoman"/>
          <w:szCs w:val="22"/>
          <w:lang w:val="sr-Latn-ME"/>
        </w:rPr>
        <w:t xml:space="preserve"> (</w:t>
      </w:r>
      <w:r w:rsidR="00286EAE" w:rsidRPr="0045764A">
        <w:rPr>
          <w:szCs w:val="22"/>
          <w:lang w:val="sr-Latn-ME"/>
        </w:rPr>
        <w:t>≥</w:t>
      </w:r>
      <w:r w:rsidRPr="0045764A">
        <w:rPr>
          <w:szCs w:val="22"/>
          <w:lang w:val="sr-Latn-ME"/>
        </w:rPr>
        <w:t xml:space="preserve"> </w:t>
      </w:r>
      <w:r w:rsidRPr="0045764A">
        <w:rPr>
          <w:rFonts w:eastAsia="TimesNewRoman"/>
          <w:szCs w:val="22"/>
          <w:lang w:val="sr-Latn-ME"/>
        </w:rPr>
        <w:t>20%) neželjen</w:t>
      </w:r>
      <w:r w:rsidR="004009C8" w:rsidRPr="0045764A">
        <w:rPr>
          <w:rFonts w:eastAsia="TimesNewRoman"/>
          <w:szCs w:val="22"/>
          <w:lang w:val="sr-Latn-ME"/>
        </w:rPr>
        <w:t>a</w:t>
      </w:r>
      <w:r w:rsidRPr="0045764A">
        <w:rPr>
          <w:rFonts w:eastAsia="TimesNewRoman"/>
          <w:szCs w:val="22"/>
          <w:lang w:val="sr-Latn-ME"/>
        </w:rPr>
        <w:t xml:space="preserve"> </w:t>
      </w:r>
      <w:r w:rsidR="004009C8" w:rsidRPr="0045764A">
        <w:rPr>
          <w:rFonts w:eastAsia="TimesNewRoman"/>
          <w:szCs w:val="22"/>
          <w:lang w:val="sr-Latn-ME"/>
        </w:rPr>
        <w:t xml:space="preserve">dejstva </w:t>
      </w:r>
      <w:r w:rsidRPr="0045764A">
        <w:rPr>
          <w:rFonts w:eastAsia="TimesNewRoman"/>
          <w:szCs w:val="22"/>
          <w:lang w:val="sr-Latn-ME"/>
        </w:rPr>
        <w:t>prim</w:t>
      </w:r>
      <w:r w:rsidR="00AD5F09" w:rsidRPr="0045764A">
        <w:rPr>
          <w:rFonts w:eastAsia="TimesNewRoman"/>
          <w:szCs w:val="22"/>
          <w:lang w:val="sr-Latn-ME"/>
        </w:rPr>
        <w:t>ij</w:t>
      </w:r>
      <w:r w:rsidRPr="0045764A">
        <w:rPr>
          <w:rFonts w:eastAsia="TimesNewRoman"/>
          <w:szCs w:val="22"/>
          <w:lang w:val="sr-Latn-ME"/>
        </w:rPr>
        <w:t>ećen</w:t>
      </w:r>
      <w:r w:rsidR="004009C8" w:rsidRPr="0045764A">
        <w:rPr>
          <w:rFonts w:eastAsia="TimesNewRoman"/>
          <w:szCs w:val="22"/>
          <w:lang w:val="sr-Latn-ME"/>
        </w:rPr>
        <w:t>a</w:t>
      </w:r>
      <w:r w:rsidRPr="0045764A">
        <w:rPr>
          <w:rFonts w:eastAsia="TimesNewRoman"/>
          <w:szCs w:val="22"/>
          <w:lang w:val="sr-Latn-ME"/>
        </w:rPr>
        <w:t xml:space="preserve"> prilikom terapije </w:t>
      </w:r>
      <w:proofErr w:type="spellStart"/>
      <w:r w:rsidRPr="0045764A">
        <w:rPr>
          <w:rFonts w:eastAsia="TimesNewRoman"/>
          <w:szCs w:val="22"/>
          <w:lang w:val="sr-Latn-ME"/>
        </w:rPr>
        <w:t>aksitinibom</w:t>
      </w:r>
      <w:proofErr w:type="spellEnd"/>
      <w:r w:rsidRPr="0045764A">
        <w:rPr>
          <w:rFonts w:eastAsia="TimesNewRoman"/>
          <w:szCs w:val="22"/>
          <w:lang w:val="sr-Latn-ME"/>
        </w:rPr>
        <w:t xml:space="preserve"> su dijareja, hipertenzija, zamor,</w:t>
      </w:r>
      <w:r w:rsidR="009515A2" w:rsidRPr="0045764A">
        <w:rPr>
          <w:rFonts w:eastAsia="TimesNewRoman"/>
          <w:szCs w:val="22"/>
          <w:lang w:val="sr-Latn-ME"/>
        </w:rPr>
        <w:t xml:space="preserve"> </w:t>
      </w:r>
      <w:r w:rsidRPr="0045764A">
        <w:rPr>
          <w:rFonts w:eastAsia="TimesNewRoman"/>
          <w:szCs w:val="22"/>
          <w:lang w:val="sr-Latn-ME"/>
        </w:rPr>
        <w:t>smanjen apetit, mučnina, smanjen</w:t>
      </w:r>
      <w:r w:rsidR="00A2560D" w:rsidRPr="0045764A">
        <w:rPr>
          <w:rFonts w:eastAsia="TimesNewRoman"/>
          <w:szCs w:val="22"/>
          <w:lang w:val="sr-Latn-ME"/>
        </w:rPr>
        <w:t>je</w:t>
      </w:r>
      <w:r w:rsidRPr="0045764A">
        <w:rPr>
          <w:rFonts w:eastAsia="TimesNewRoman"/>
          <w:szCs w:val="22"/>
          <w:lang w:val="sr-Latn-ME"/>
        </w:rPr>
        <w:t xml:space="preserve"> t</w:t>
      </w:r>
      <w:r w:rsidR="00AD5F09" w:rsidRPr="0045764A">
        <w:rPr>
          <w:rFonts w:eastAsia="TimesNewRoman"/>
          <w:szCs w:val="22"/>
          <w:lang w:val="sr-Latn-ME"/>
        </w:rPr>
        <w:t>j</w:t>
      </w:r>
      <w:r w:rsidRPr="0045764A">
        <w:rPr>
          <w:rFonts w:eastAsia="TimesNewRoman"/>
          <w:szCs w:val="22"/>
          <w:lang w:val="sr-Latn-ME"/>
        </w:rPr>
        <w:t>elesn</w:t>
      </w:r>
      <w:r w:rsidR="00A2560D" w:rsidRPr="0045764A">
        <w:rPr>
          <w:rFonts w:eastAsia="TimesNewRoman"/>
          <w:szCs w:val="22"/>
          <w:lang w:val="sr-Latn-ME"/>
        </w:rPr>
        <w:t>e</w:t>
      </w:r>
      <w:r w:rsidRPr="0045764A">
        <w:rPr>
          <w:rFonts w:eastAsia="TimesNewRoman"/>
          <w:szCs w:val="22"/>
          <w:lang w:val="sr-Latn-ME"/>
        </w:rPr>
        <w:t xml:space="preserve"> mas</w:t>
      </w:r>
      <w:r w:rsidR="00A2560D" w:rsidRPr="0045764A">
        <w:rPr>
          <w:rFonts w:eastAsia="TimesNewRoman"/>
          <w:szCs w:val="22"/>
          <w:lang w:val="sr-Latn-ME"/>
        </w:rPr>
        <w:t>e</w:t>
      </w:r>
      <w:r w:rsidRPr="0045764A">
        <w:rPr>
          <w:rFonts w:eastAsia="TimesNewRoman"/>
          <w:szCs w:val="22"/>
          <w:lang w:val="sr-Latn-ME"/>
        </w:rPr>
        <w:t xml:space="preserve">, </w:t>
      </w:r>
      <w:proofErr w:type="spellStart"/>
      <w:r w:rsidRPr="0045764A">
        <w:rPr>
          <w:rFonts w:eastAsia="TimesNewRoman"/>
          <w:szCs w:val="22"/>
          <w:lang w:val="sr-Latn-ME"/>
        </w:rPr>
        <w:t>disfonija</w:t>
      </w:r>
      <w:proofErr w:type="spellEnd"/>
      <w:r w:rsidRPr="0045764A">
        <w:rPr>
          <w:rFonts w:eastAsia="TimesNewRoman"/>
          <w:szCs w:val="22"/>
          <w:lang w:val="sr-Latn-ME"/>
        </w:rPr>
        <w:t xml:space="preserve">, sindrom </w:t>
      </w:r>
      <w:proofErr w:type="spellStart"/>
      <w:r w:rsidRPr="0045764A">
        <w:rPr>
          <w:rFonts w:eastAsia="TimesNewRoman"/>
          <w:szCs w:val="22"/>
          <w:lang w:val="sr-Latn-ME"/>
        </w:rPr>
        <w:t>palmarno-plantarne</w:t>
      </w:r>
      <w:proofErr w:type="spellEnd"/>
      <w:r w:rsidRPr="0045764A">
        <w:rPr>
          <w:rFonts w:eastAsia="TimesNewRoman"/>
          <w:szCs w:val="22"/>
          <w:lang w:val="sr-Latn-ME"/>
        </w:rPr>
        <w:t xml:space="preserve"> </w:t>
      </w:r>
      <w:proofErr w:type="spellStart"/>
      <w:r w:rsidRPr="0045764A">
        <w:rPr>
          <w:rFonts w:eastAsia="TimesNewRoman"/>
          <w:szCs w:val="22"/>
          <w:lang w:val="sr-Latn-ME"/>
        </w:rPr>
        <w:t>eritrodizestezije</w:t>
      </w:r>
      <w:proofErr w:type="spellEnd"/>
      <w:r w:rsidR="009515A2" w:rsidRPr="0045764A">
        <w:rPr>
          <w:rFonts w:eastAsia="TimesNewRoman"/>
          <w:szCs w:val="22"/>
          <w:lang w:val="sr-Latn-ME"/>
        </w:rPr>
        <w:t xml:space="preserve"> </w:t>
      </w:r>
      <w:r w:rsidRPr="0045764A">
        <w:rPr>
          <w:rFonts w:eastAsia="TimesNewRoman"/>
          <w:szCs w:val="22"/>
          <w:lang w:val="sr-Latn-ME"/>
        </w:rPr>
        <w:t xml:space="preserve">(šaka-stopalo), krvarenje, </w:t>
      </w:r>
      <w:proofErr w:type="spellStart"/>
      <w:r w:rsidRPr="0045764A">
        <w:rPr>
          <w:rFonts w:eastAsia="TimesNewRoman"/>
          <w:szCs w:val="22"/>
          <w:lang w:val="sr-Latn-ME"/>
        </w:rPr>
        <w:t>hipotireoidizam</w:t>
      </w:r>
      <w:proofErr w:type="spellEnd"/>
      <w:r w:rsidRPr="0045764A">
        <w:rPr>
          <w:rFonts w:eastAsia="TimesNewRoman"/>
          <w:szCs w:val="22"/>
          <w:lang w:val="sr-Latn-ME"/>
        </w:rPr>
        <w:t xml:space="preserve">, povraćanje, </w:t>
      </w:r>
      <w:proofErr w:type="spellStart"/>
      <w:r w:rsidRPr="0045764A">
        <w:rPr>
          <w:rFonts w:eastAsia="TimesNewRoman"/>
          <w:szCs w:val="22"/>
          <w:lang w:val="sr-Latn-ME"/>
        </w:rPr>
        <w:t>proteinurija</w:t>
      </w:r>
      <w:proofErr w:type="spellEnd"/>
      <w:r w:rsidRPr="0045764A">
        <w:rPr>
          <w:rFonts w:eastAsia="TimesNewRoman"/>
          <w:szCs w:val="22"/>
          <w:lang w:val="sr-Latn-ME"/>
        </w:rPr>
        <w:t>, kašalj i konstipacija.</w:t>
      </w:r>
    </w:p>
    <w:p w14:paraId="21C57BAB" w14:textId="77777777" w:rsidR="009515A2" w:rsidRPr="0045764A" w:rsidRDefault="009515A2" w:rsidP="00C65330">
      <w:pPr>
        <w:tabs>
          <w:tab w:val="clear" w:pos="284"/>
        </w:tabs>
        <w:autoSpaceDE w:val="0"/>
        <w:autoSpaceDN w:val="0"/>
        <w:adjustRightInd w:val="0"/>
        <w:rPr>
          <w:rFonts w:eastAsia="TimesNewRoman"/>
          <w:szCs w:val="22"/>
          <w:lang w:val="sr-Latn-ME"/>
        </w:rPr>
      </w:pPr>
    </w:p>
    <w:p w14:paraId="0C898E3C" w14:textId="7BE999D7" w:rsidR="00443480" w:rsidRPr="0045764A" w:rsidRDefault="00443480" w:rsidP="00C65330">
      <w:pPr>
        <w:tabs>
          <w:tab w:val="clear" w:pos="284"/>
        </w:tabs>
        <w:autoSpaceDE w:val="0"/>
        <w:autoSpaceDN w:val="0"/>
        <w:adjustRightInd w:val="0"/>
        <w:rPr>
          <w:iCs/>
          <w:szCs w:val="22"/>
          <w:u w:val="single"/>
          <w:lang w:val="sr-Latn-ME"/>
        </w:rPr>
      </w:pPr>
      <w:r w:rsidRPr="0045764A">
        <w:rPr>
          <w:iCs/>
          <w:szCs w:val="22"/>
          <w:u w:val="single"/>
          <w:lang w:val="sr-Latn-ME"/>
        </w:rPr>
        <w:t xml:space="preserve">Tabelarni prikaz neželjenih </w:t>
      </w:r>
      <w:r w:rsidR="00345F5C" w:rsidRPr="0045764A">
        <w:rPr>
          <w:iCs/>
          <w:szCs w:val="22"/>
          <w:u w:val="single"/>
          <w:lang w:val="sr-Latn-ME"/>
        </w:rPr>
        <w:t>dejstava</w:t>
      </w:r>
    </w:p>
    <w:p w14:paraId="048A9DC8" w14:textId="2931EA58" w:rsidR="00443480" w:rsidRPr="0045764A" w:rsidRDefault="00443480"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Tabela 1 predstavlja objedinjeni skup podataka neželjenih </w:t>
      </w:r>
      <w:r w:rsidR="00345F5C" w:rsidRPr="0045764A">
        <w:rPr>
          <w:rFonts w:eastAsia="TimesNewRoman"/>
          <w:szCs w:val="22"/>
          <w:lang w:val="sr-Latn-ME"/>
        </w:rPr>
        <w:t xml:space="preserve">dejstava </w:t>
      </w:r>
      <w:r w:rsidRPr="0045764A">
        <w:rPr>
          <w:rFonts w:eastAsia="TimesNewRoman"/>
          <w:szCs w:val="22"/>
          <w:lang w:val="sr-Latn-ME"/>
        </w:rPr>
        <w:t xml:space="preserve">kod 672 pacijenta koji su primali </w:t>
      </w:r>
      <w:proofErr w:type="spellStart"/>
      <w:r w:rsidRPr="0045764A">
        <w:rPr>
          <w:rFonts w:eastAsia="TimesNewRoman"/>
          <w:szCs w:val="22"/>
          <w:lang w:val="sr-Latn-ME"/>
        </w:rPr>
        <w:t>aksitinib</w:t>
      </w:r>
      <w:proofErr w:type="spellEnd"/>
      <w:r w:rsidR="00AD5F09" w:rsidRPr="0045764A">
        <w:rPr>
          <w:rFonts w:eastAsia="TimesNewRoman"/>
          <w:szCs w:val="22"/>
          <w:lang w:val="sr-Latn-ME"/>
        </w:rPr>
        <w:t xml:space="preserve"> </w:t>
      </w:r>
      <w:r w:rsidRPr="0045764A">
        <w:rPr>
          <w:rFonts w:eastAsia="TimesNewRoman"/>
          <w:szCs w:val="22"/>
          <w:lang w:val="sr-Latn-ME"/>
        </w:rPr>
        <w:t xml:space="preserve">u kliničkim ispitivanjima za </w:t>
      </w:r>
      <w:r w:rsidR="00AE0DCD" w:rsidRPr="0045764A">
        <w:rPr>
          <w:rFonts w:eastAsia="TimesNewRoman"/>
          <w:szCs w:val="22"/>
          <w:lang w:val="sr-Latn-ME"/>
        </w:rPr>
        <w:t>liječenj</w:t>
      </w:r>
      <w:r w:rsidRPr="0045764A">
        <w:rPr>
          <w:rFonts w:eastAsia="TimesNewRoman"/>
          <w:szCs w:val="22"/>
          <w:lang w:val="sr-Latn-ME"/>
        </w:rPr>
        <w:t>e pacijenata sa RCC (</w:t>
      </w:r>
      <w:r w:rsidR="006F7AEE" w:rsidRPr="0045764A">
        <w:rPr>
          <w:rFonts w:eastAsia="TimesNewRoman"/>
          <w:szCs w:val="22"/>
          <w:lang w:val="sr-Latn-ME"/>
        </w:rPr>
        <w:t>pogledati dio</w:t>
      </w:r>
      <w:r w:rsidRPr="0045764A">
        <w:rPr>
          <w:rFonts w:eastAsia="TimesNewRoman"/>
          <w:szCs w:val="22"/>
          <w:lang w:val="sr-Latn-ME"/>
        </w:rPr>
        <w:t xml:space="preserve"> 5.1).</w:t>
      </w:r>
      <w:r w:rsidR="00665243" w:rsidRPr="0045764A">
        <w:rPr>
          <w:rFonts w:eastAsia="TimesNewRoman"/>
          <w:szCs w:val="22"/>
          <w:lang w:val="sr-Latn-ME"/>
        </w:rPr>
        <w:t xml:space="preserve"> </w:t>
      </w:r>
      <w:r w:rsidR="00141469" w:rsidRPr="0045764A">
        <w:rPr>
          <w:rFonts w:eastAsia="TimesNewRoman"/>
          <w:szCs w:val="22"/>
          <w:lang w:val="sr-Latn-ME"/>
        </w:rPr>
        <w:t>Neželjen</w:t>
      </w:r>
      <w:r w:rsidR="00345F5C" w:rsidRPr="0045764A">
        <w:rPr>
          <w:rFonts w:eastAsia="TimesNewRoman"/>
          <w:szCs w:val="22"/>
          <w:lang w:val="sr-Latn-ME"/>
        </w:rPr>
        <w:t>a</w:t>
      </w:r>
      <w:r w:rsidR="00141469" w:rsidRPr="0045764A">
        <w:rPr>
          <w:rFonts w:eastAsia="TimesNewRoman"/>
          <w:szCs w:val="22"/>
          <w:lang w:val="sr-Latn-ME"/>
        </w:rPr>
        <w:t xml:space="preserve"> </w:t>
      </w:r>
      <w:r w:rsidR="00345F5C" w:rsidRPr="0045764A">
        <w:rPr>
          <w:rFonts w:eastAsia="TimesNewRoman"/>
          <w:szCs w:val="22"/>
          <w:lang w:val="sr-Latn-ME"/>
        </w:rPr>
        <w:t xml:space="preserve">dejstva </w:t>
      </w:r>
      <w:r w:rsidR="00763240" w:rsidRPr="0045764A">
        <w:rPr>
          <w:rFonts w:eastAsia="TimesNewRoman"/>
          <w:szCs w:val="22"/>
          <w:lang w:val="sr-Latn-ME"/>
        </w:rPr>
        <w:t xml:space="preserve">identifikovane tokom kliničkih studija u </w:t>
      </w:r>
      <w:proofErr w:type="spellStart"/>
      <w:r w:rsidR="00763240" w:rsidRPr="0045764A">
        <w:rPr>
          <w:rFonts w:eastAsia="TimesNewRoman"/>
          <w:szCs w:val="22"/>
          <w:lang w:val="sr-Latn-ME"/>
        </w:rPr>
        <w:t>postmarketinškom</w:t>
      </w:r>
      <w:proofErr w:type="spellEnd"/>
      <w:r w:rsidR="00763240" w:rsidRPr="0045764A">
        <w:rPr>
          <w:rFonts w:eastAsia="TimesNewRoman"/>
          <w:szCs w:val="22"/>
          <w:lang w:val="sr-Latn-ME"/>
        </w:rPr>
        <w:t xml:space="preserve"> period</w:t>
      </w:r>
      <w:r w:rsidR="00387869" w:rsidRPr="0045764A">
        <w:rPr>
          <w:rFonts w:eastAsia="TimesNewRoman"/>
          <w:szCs w:val="22"/>
          <w:lang w:val="sr-Latn-ME"/>
        </w:rPr>
        <w:t>u</w:t>
      </w:r>
      <w:r w:rsidR="00763240" w:rsidRPr="0045764A">
        <w:rPr>
          <w:rFonts w:eastAsia="TimesNewRoman"/>
          <w:szCs w:val="22"/>
          <w:lang w:val="sr-Latn-ME"/>
        </w:rPr>
        <w:t xml:space="preserve"> </w:t>
      </w:r>
      <w:r w:rsidR="008352D1" w:rsidRPr="0045764A">
        <w:rPr>
          <w:rFonts w:eastAsia="TimesNewRoman"/>
          <w:szCs w:val="22"/>
          <w:lang w:val="sr-Latn-ME"/>
        </w:rPr>
        <w:t xml:space="preserve">takođe </w:t>
      </w:r>
      <w:r w:rsidR="00387869" w:rsidRPr="0045764A">
        <w:rPr>
          <w:rFonts w:eastAsia="TimesNewRoman"/>
          <w:szCs w:val="22"/>
          <w:lang w:val="sr-Latn-ME"/>
        </w:rPr>
        <w:t xml:space="preserve">su </w:t>
      </w:r>
      <w:r w:rsidR="008352D1" w:rsidRPr="0045764A">
        <w:rPr>
          <w:rFonts w:eastAsia="TimesNewRoman"/>
          <w:szCs w:val="22"/>
          <w:lang w:val="sr-Latn-ME"/>
        </w:rPr>
        <w:t>uključene.</w:t>
      </w:r>
    </w:p>
    <w:p w14:paraId="55E99B04" w14:textId="77777777" w:rsidR="00AD5F09" w:rsidRPr="0045764A" w:rsidRDefault="00AD5F09" w:rsidP="00C65330">
      <w:pPr>
        <w:tabs>
          <w:tab w:val="clear" w:pos="284"/>
        </w:tabs>
        <w:autoSpaceDE w:val="0"/>
        <w:autoSpaceDN w:val="0"/>
        <w:adjustRightInd w:val="0"/>
        <w:rPr>
          <w:rFonts w:eastAsia="TimesNewRoman"/>
          <w:szCs w:val="22"/>
          <w:lang w:val="sr-Latn-ME"/>
        </w:rPr>
      </w:pPr>
    </w:p>
    <w:p w14:paraId="54D3C6E4" w14:textId="77777777" w:rsidR="00443480" w:rsidRPr="0045764A" w:rsidRDefault="00443480"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Neželjena dejstva su navedena po klasama sistema organa, kategoriji učestalosti i stepenu ozbiljnosti.</w:t>
      </w:r>
    </w:p>
    <w:p w14:paraId="17333FE9" w14:textId="63879D5C" w:rsidR="00443480" w:rsidRPr="0045764A" w:rsidRDefault="00443480" w:rsidP="00C65330">
      <w:pPr>
        <w:tabs>
          <w:tab w:val="clear" w:pos="284"/>
        </w:tabs>
        <w:autoSpaceDE w:val="0"/>
        <w:autoSpaceDN w:val="0"/>
        <w:adjustRightInd w:val="0"/>
        <w:rPr>
          <w:szCs w:val="22"/>
          <w:lang w:val="sr-Latn-ME"/>
        </w:rPr>
      </w:pPr>
      <w:r w:rsidRPr="0045764A">
        <w:rPr>
          <w:rFonts w:eastAsia="TimesNewRoman"/>
          <w:szCs w:val="22"/>
          <w:lang w:val="sr-Latn-ME"/>
        </w:rPr>
        <w:t>Kategorije učestalosti definisane su kao: veoma često (</w:t>
      </w:r>
      <w:r w:rsidR="00E97B37" w:rsidRPr="0045764A">
        <w:rPr>
          <w:szCs w:val="22"/>
          <w:lang w:val="sr-Latn-ME"/>
        </w:rPr>
        <w:t>≥</w:t>
      </w:r>
      <w:r w:rsidRPr="0045764A">
        <w:rPr>
          <w:szCs w:val="22"/>
          <w:lang w:val="sr-Latn-ME"/>
        </w:rPr>
        <w:t xml:space="preserve"> </w:t>
      </w:r>
      <w:r w:rsidRPr="0045764A">
        <w:rPr>
          <w:rFonts w:eastAsia="TimesNewRoman"/>
          <w:szCs w:val="22"/>
          <w:lang w:val="sr-Latn-ME"/>
        </w:rPr>
        <w:t>1/10), često (</w:t>
      </w:r>
      <w:r w:rsidR="00E97B37" w:rsidRPr="0045764A">
        <w:rPr>
          <w:szCs w:val="22"/>
          <w:lang w:val="sr-Latn-ME"/>
        </w:rPr>
        <w:t>≥</w:t>
      </w:r>
      <w:r w:rsidRPr="0045764A">
        <w:rPr>
          <w:szCs w:val="22"/>
          <w:lang w:val="sr-Latn-ME"/>
        </w:rPr>
        <w:t xml:space="preserve"> </w:t>
      </w:r>
      <w:r w:rsidRPr="0045764A">
        <w:rPr>
          <w:rFonts w:eastAsia="TimesNewRoman"/>
          <w:szCs w:val="22"/>
          <w:lang w:val="sr-Latn-ME"/>
        </w:rPr>
        <w:t>1/100 do &lt; 1/10), povremeno (</w:t>
      </w:r>
      <w:r w:rsidR="00E97B37" w:rsidRPr="0045764A">
        <w:rPr>
          <w:szCs w:val="22"/>
          <w:lang w:val="sr-Latn-ME"/>
        </w:rPr>
        <w:t xml:space="preserve">≥ </w:t>
      </w:r>
      <w:r w:rsidRPr="0045764A">
        <w:rPr>
          <w:rFonts w:eastAsia="TimesNewRoman"/>
          <w:szCs w:val="22"/>
          <w:lang w:val="sr-Latn-ME"/>
        </w:rPr>
        <w:t>1/1000 do &lt; 1/100), r</w:t>
      </w:r>
      <w:r w:rsidR="003D111E" w:rsidRPr="0045764A">
        <w:rPr>
          <w:rFonts w:eastAsia="TimesNewRoman"/>
          <w:szCs w:val="22"/>
          <w:lang w:val="sr-Latn-ME"/>
        </w:rPr>
        <w:t>ij</w:t>
      </w:r>
      <w:r w:rsidRPr="0045764A">
        <w:rPr>
          <w:rFonts w:eastAsia="TimesNewRoman"/>
          <w:szCs w:val="22"/>
          <w:lang w:val="sr-Latn-ME"/>
        </w:rPr>
        <w:t>etko (</w:t>
      </w:r>
      <w:r w:rsidR="00E97B37" w:rsidRPr="0045764A">
        <w:rPr>
          <w:szCs w:val="22"/>
          <w:lang w:val="sr-Latn-ME"/>
        </w:rPr>
        <w:t xml:space="preserve">≥ </w:t>
      </w:r>
      <w:r w:rsidRPr="0045764A">
        <w:rPr>
          <w:rFonts w:eastAsia="TimesNewRoman"/>
          <w:szCs w:val="22"/>
          <w:lang w:val="sr-Latn-ME"/>
        </w:rPr>
        <w:t>1/10000 do &lt; 1/1000) ), veoma r</w:t>
      </w:r>
      <w:r w:rsidR="003D111E" w:rsidRPr="0045764A">
        <w:rPr>
          <w:rFonts w:eastAsia="TimesNewRoman"/>
          <w:szCs w:val="22"/>
          <w:lang w:val="sr-Latn-ME"/>
        </w:rPr>
        <w:t>ij</w:t>
      </w:r>
      <w:r w:rsidRPr="0045764A">
        <w:rPr>
          <w:rFonts w:eastAsia="TimesNewRoman"/>
          <w:szCs w:val="22"/>
          <w:lang w:val="sr-Latn-ME"/>
        </w:rPr>
        <w:t>etko (&lt; 1/10000) i nepoznato (ne može se</w:t>
      </w:r>
      <w:r w:rsidR="00E97B37" w:rsidRPr="0045764A">
        <w:rPr>
          <w:szCs w:val="22"/>
          <w:lang w:val="sr-Latn-ME"/>
        </w:rPr>
        <w:t xml:space="preserve"> </w:t>
      </w:r>
      <w:r w:rsidRPr="0045764A">
        <w:rPr>
          <w:rFonts w:eastAsia="TimesNewRoman"/>
          <w:szCs w:val="22"/>
          <w:lang w:val="sr-Latn-ME"/>
        </w:rPr>
        <w:t>proc</w:t>
      </w:r>
      <w:r w:rsidR="003D111E" w:rsidRPr="0045764A">
        <w:rPr>
          <w:rFonts w:eastAsia="TimesNewRoman"/>
          <w:szCs w:val="22"/>
          <w:lang w:val="sr-Latn-ME"/>
        </w:rPr>
        <w:t>ij</w:t>
      </w:r>
      <w:r w:rsidRPr="0045764A">
        <w:rPr>
          <w:rFonts w:eastAsia="TimesNewRoman"/>
          <w:szCs w:val="22"/>
          <w:lang w:val="sr-Latn-ME"/>
        </w:rPr>
        <w:t xml:space="preserve">eniti na osnovu dostupnih podataka). Postojeća baza podataka </w:t>
      </w:r>
      <w:r w:rsidR="00FE1A67" w:rsidRPr="0045764A">
        <w:rPr>
          <w:rFonts w:eastAsia="TimesNewRoman"/>
          <w:szCs w:val="22"/>
          <w:lang w:val="sr-Latn-ME"/>
        </w:rPr>
        <w:t>o bezbjednosti</w:t>
      </w:r>
      <w:r w:rsidRPr="0045764A">
        <w:rPr>
          <w:rFonts w:eastAsia="TimesNewRoman"/>
          <w:szCs w:val="22"/>
          <w:lang w:val="sr-Latn-ME"/>
        </w:rPr>
        <w:t xml:space="preserve"> </w:t>
      </w:r>
      <w:proofErr w:type="spellStart"/>
      <w:r w:rsidRPr="0045764A">
        <w:rPr>
          <w:rFonts w:eastAsia="TimesNewRoman"/>
          <w:szCs w:val="22"/>
          <w:lang w:val="sr-Latn-ME"/>
        </w:rPr>
        <w:t>aksitinib</w:t>
      </w:r>
      <w:r w:rsidR="00FE1A67" w:rsidRPr="0045764A">
        <w:rPr>
          <w:rFonts w:eastAsia="TimesNewRoman"/>
          <w:szCs w:val="22"/>
          <w:lang w:val="sr-Latn-ME"/>
        </w:rPr>
        <w:t>a</w:t>
      </w:r>
      <w:proofErr w:type="spellEnd"/>
      <w:r w:rsidRPr="0045764A">
        <w:rPr>
          <w:rFonts w:eastAsia="TimesNewRoman"/>
          <w:szCs w:val="22"/>
          <w:lang w:val="sr-Latn-ME"/>
        </w:rPr>
        <w:t xml:space="preserve"> je suviše mala</w:t>
      </w:r>
      <w:r w:rsidR="00E97B37" w:rsidRPr="0045764A">
        <w:rPr>
          <w:szCs w:val="22"/>
          <w:lang w:val="sr-Latn-ME"/>
        </w:rPr>
        <w:t xml:space="preserve"> </w:t>
      </w:r>
      <w:r w:rsidRPr="0045764A">
        <w:rPr>
          <w:rFonts w:eastAsia="TimesNewRoman"/>
          <w:szCs w:val="22"/>
          <w:lang w:val="sr-Latn-ME"/>
        </w:rPr>
        <w:t xml:space="preserve">da bi </w:t>
      </w:r>
      <w:r w:rsidR="00FE1A67" w:rsidRPr="0045764A">
        <w:rPr>
          <w:rFonts w:eastAsia="TimesNewRoman"/>
          <w:szCs w:val="22"/>
          <w:lang w:val="sr-Latn-ME"/>
        </w:rPr>
        <w:t xml:space="preserve">se </w:t>
      </w:r>
      <w:r w:rsidRPr="0045764A">
        <w:rPr>
          <w:rFonts w:eastAsia="TimesNewRoman"/>
          <w:szCs w:val="22"/>
          <w:lang w:val="sr-Latn-ME"/>
        </w:rPr>
        <w:t>registroval</w:t>
      </w:r>
      <w:r w:rsidR="00C50BD9" w:rsidRPr="0045764A">
        <w:rPr>
          <w:rFonts w:eastAsia="TimesNewRoman"/>
          <w:szCs w:val="22"/>
          <w:lang w:val="sr-Latn-ME"/>
        </w:rPr>
        <w:t>a</w:t>
      </w:r>
      <w:r w:rsidRPr="0045764A">
        <w:rPr>
          <w:rFonts w:eastAsia="TimesNewRoman"/>
          <w:szCs w:val="22"/>
          <w:lang w:val="sr-Latn-ME"/>
        </w:rPr>
        <w:t xml:space="preserve"> r</w:t>
      </w:r>
      <w:r w:rsidR="003D111E" w:rsidRPr="0045764A">
        <w:rPr>
          <w:rFonts w:eastAsia="TimesNewRoman"/>
          <w:szCs w:val="22"/>
          <w:lang w:val="sr-Latn-ME"/>
        </w:rPr>
        <w:t>ij</w:t>
      </w:r>
      <w:r w:rsidRPr="0045764A">
        <w:rPr>
          <w:rFonts w:eastAsia="TimesNewRoman"/>
          <w:szCs w:val="22"/>
          <w:lang w:val="sr-Latn-ME"/>
        </w:rPr>
        <w:t>etk</w:t>
      </w:r>
      <w:r w:rsidR="00C50BD9" w:rsidRPr="0045764A">
        <w:rPr>
          <w:rFonts w:eastAsia="TimesNewRoman"/>
          <w:szCs w:val="22"/>
          <w:lang w:val="sr-Latn-ME"/>
        </w:rPr>
        <w:t>a</w:t>
      </w:r>
      <w:r w:rsidRPr="0045764A">
        <w:rPr>
          <w:rFonts w:eastAsia="TimesNewRoman"/>
          <w:szCs w:val="22"/>
          <w:lang w:val="sr-Latn-ME"/>
        </w:rPr>
        <w:t xml:space="preserve"> i veoma r</w:t>
      </w:r>
      <w:r w:rsidR="003D111E" w:rsidRPr="0045764A">
        <w:rPr>
          <w:rFonts w:eastAsia="TimesNewRoman"/>
          <w:szCs w:val="22"/>
          <w:lang w:val="sr-Latn-ME"/>
        </w:rPr>
        <w:t>ij</w:t>
      </w:r>
      <w:r w:rsidRPr="0045764A">
        <w:rPr>
          <w:rFonts w:eastAsia="TimesNewRoman"/>
          <w:szCs w:val="22"/>
          <w:lang w:val="sr-Latn-ME"/>
        </w:rPr>
        <w:t>etk</w:t>
      </w:r>
      <w:r w:rsidR="00C50BD9" w:rsidRPr="0045764A">
        <w:rPr>
          <w:rFonts w:eastAsia="TimesNewRoman"/>
          <w:szCs w:val="22"/>
          <w:lang w:val="sr-Latn-ME"/>
        </w:rPr>
        <w:t>a</w:t>
      </w:r>
      <w:r w:rsidRPr="0045764A">
        <w:rPr>
          <w:rFonts w:eastAsia="TimesNewRoman"/>
          <w:szCs w:val="22"/>
          <w:lang w:val="sr-Latn-ME"/>
        </w:rPr>
        <w:t xml:space="preserve"> neželjen</w:t>
      </w:r>
      <w:r w:rsidR="007A7462" w:rsidRPr="0045764A">
        <w:rPr>
          <w:rFonts w:eastAsia="TimesNewRoman"/>
          <w:szCs w:val="22"/>
          <w:lang w:val="sr-Latn-ME"/>
        </w:rPr>
        <w:t>a</w:t>
      </w:r>
      <w:r w:rsidRPr="0045764A">
        <w:rPr>
          <w:rFonts w:eastAsia="TimesNewRoman"/>
          <w:szCs w:val="22"/>
          <w:lang w:val="sr-Latn-ME"/>
        </w:rPr>
        <w:t xml:space="preserve"> </w:t>
      </w:r>
      <w:r w:rsidR="007A7462" w:rsidRPr="0045764A">
        <w:rPr>
          <w:rFonts w:eastAsia="TimesNewRoman"/>
          <w:szCs w:val="22"/>
          <w:lang w:val="sr-Latn-ME"/>
        </w:rPr>
        <w:t>dejstva</w:t>
      </w:r>
      <w:r w:rsidRPr="0045764A">
        <w:rPr>
          <w:rFonts w:eastAsia="TimesNewRoman"/>
          <w:szCs w:val="22"/>
          <w:lang w:val="sr-Latn-ME"/>
        </w:rPr>
        <w:t>.</w:t>
      </w:r>
    </w:p>
    <w:p w14:paraId="20A18709" w14:textId="77777777" w:rsidR="00E97B37" w:rsidRPr="0045764A" w:rsidRDefault="00E97B37" w:rsidP="00C65330">
      <w:pPr>
        <w:tabs>
          <w:tab w:val="clear" w:pos="284"/>
        </w:tabs>
        <w:autoSpaceDE w:val="0"/>
        <w:autoSpaceDN w:val="0"/>
        <w:adjustRightInd w:val="0"/>
        <w:rPr>
          <w:rFonts w:eastAsia="TimesNewRoman"/>
          <w:szCs w:val="22"/>
          <w:lang w:val="sr-Latn-ME"/>
        </w:rPr>
      </w:pPr>
    </w:p>
    <w:p w14:paraId="4B3C6780" w14:textId="7E4C6636" w:rsidR="00CE09F3" w:rsidRPr="0045764A" w:rsidRDefault="00443480"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Kategorije su dod</w:t>
      </w:r>
      <w:r w:rsidR="003D111E" w:rsidRPr="0045764A">
        <w:rPr>
          <w:rFonts w:eastAsia="TimesNewRoman"/>
          <w:szCs w:val="22"/>
          <w:lang w:val="sr-Latn-ME"/>
        </w:rPr>
        <w:t>ij</w:t>
      </w:r>
      <w:r w:rsidRPr="0045764A">
        <w:rPr>
          <w:rFonts w:eastAsia="TimesNewRoman"/>
          <w:szCs w:val="22"/>
          <w:lang w:val="sr-Latn-ME"/>
        </w:rPr>
        <w:t xml:space="preserve">eljene na osnovu apsolutnih učestalosti </w:t>
      </w:r>
      <w:proofErr w:type="spellStart"/>
      <w:r w:rsidRPr="0045764A">
        <w:rPr>
          <w:rFonts w:eastAsia="TimesNewRoman"/>
          <w:szCs w:val="22"/>
          <w:lang w:val="sr-Latn-ME"/>
        </w:rPr>
        <w:t>objedinjenih</w:t>
      </w:r>
      <w:proofErr w:type="spellEnd"/>
      <w:r w:rsidRPr="0045764A">
        <w:rPr>
          <w:rFonts w:eastAsia="TimesNewRoman"/>
          <w:szCs w:val="22"/>
          <w:lang w:val="sr-Latn-ME"/>
        </w:rPr>
        <w:t xml:space="preserve"> podataka dobijenih u kliničkim</w:t>
      </w:r>
      <w:r w:rsidR="00E97B37" w:rsidRPr="0045764A">
        <w:rPr>
          <w:rFonts w:eastAsia="TimesNewRoman"/>
          <w:szCs w:val="22"/>
          <w:lang w:val="sr-Latn-ME"/>
        </w:rPr>
        <w:t xml:space="preserve"> </w:t>
      </w:r>
      <w:r w:rsidRPr="0045764A">
        <w:rPr>
          <w:rFonts w:eastAsia="TimesNewRoman"/>
          <w:szCs w:val="22"/>
          <w:lang w:val="sr-Latn-ME"/>
        </w:rPr>
        <w:t>ispitivanjima. U okviru svake klase sistema organa, neželjen</w:t>
      </w:r>
      <w:r w:rsidR="007A7462" w:rsidRPr="0045764A">
        <w:rPr>
          <w:rFonts w:eastAsia="TimesNewRoman"/>
          <w:szCs w:val="22"/>
          <w:lang w:val="sr-Latn-ME"/>
        </w:rPr>
        <w:t>a</w:t>
      </w:r>
      <w:r w:rsidRPr="0045764A">
        <w:rPr>
          <w:rFonts w:eastAsia="TimesNewRoman"/>
          <w:szCs w:val="22"/>
          <w:lang w:val="sr-Latn-ME"/>
        </w:rPr>
        <w:t xml:space="preserve"> </w:t>
      </w:r>
      <w:r w:rsidR="007A7462" w:rsidRPr="0045764A">
        <w:rPr>
          <w:rFonts w:eastAsia="TimesNewRoman"/>
          <w:szCs w:val="22"/>
          <w:lang w:val="sr-Latn-ME"/>
        </w:rPr>
        <w:t xml:space="preserve">dejstva </w:t>
      </w:r>
      <w:r w:rsidRPr="0045764A">
        <w:rPr>
          <w:rFonts w:eastAsia="TimesNewRoman"/>
          <w:szCs w:val="22"/>
          <w:lang w:val="sr-Latn-ME"/>
        </w:rPr>
        <w:t>sa istom učestalošću predstavljen</w:t>
      </w:r>
      <w:r w:rsidR="007A7462" w:rsidRPr="0045764A">
        <w:rPr>
          <w:rFonts w:eastAsia="TimesNewRoman"/>
          <w:szCs w:val="22"/>
          <w:lang w:val="sr-Latn-ME"/>
        </w:rPr>
        <w:t>a</w:t>
      </w:r>
      <w:r w:rsidRPr="0045764A">
        <w:rPr>
          <w:rFonts w:eastAsia="TimesNewRoman"/>
          <w:szCs w:val="22"/>
          <w:lang w:val="sr-Latn-ME"/>
        </w:rPr>
        <w:t xml:space="preserve"> su</w:t>
      </w:r>
      <w:r w:rsidR="00E97B37" w:rsidRPr="0045764A">
        <w:rPr>
          <w:rFonts w:eastAsia="TimesNewRoman"/>
          <w:szCs w:val="22"/>
          <w:lang w:val="sr-Latn-ME"/>
        </w:rPr>
        <w:t xml:space="preserve"> </w:t>
      </w:r>
      <w:r w:rsidRPr="0045764A">
        <w:rPr>
          <w:rFonts w:eastAsia="TimesNewRoman"/>
          <w:szCs w:val="22"/>
          <w:lang w:val="sr-Latn-ME"/>
        </w:rPr>
        <w:t xml:space="preserve">po </w:t>
      </w:r>
      <w:proofErr w:type="spellStart"/>
      <w:r w:rsidRPr="0045764A">
        <w:rPr>
          <w:rFonts w:eastAsia="TimesNewRoman"/>
          <w:szCs w:val="22"/>
          <w:lang w:val="sr-Latn-ME"/>
        </w:rPr>
        <w:t>opadajućoj</w:t>
      </w:r>
      <w:proofErr w:type="spellEnd"/>
      <w:r w:rsidRPr="0045764A">
        <w:rPr>
          <w:rFonts w:eastAsia="TimesNewRoman"/>
          <w:szCs w:val="22"/>
          <w:lang w:val="sr-Latn-ME"/>
        </w:rPr>
        <w:t xml:space="preserve"> ozbiljnosti.</w:t>
      </w:r>
    </w:p>
    <w:p w14:paraId="62E0C95B" w14:textId="6499845E" w:rsidR="00CA7CE0" w:rsidRPr="0045764A" w:rsidRDefault="00CA7CE0" w:rsidP="00C65330">
      <w:pPr>
        <w:tabs>
          <w:tab w:val="clear" w:pos="284"/>
        </w:tabs>
        <w:autoSpaceDE w:val="0"/>
        <w:autoSpaceDN w:val="0"/>
        <w:adjustRightInd w:val="0"/>
        <w:rPr>
          <w:rFonts w:eastAsia="TimesNewRoman"/>
          <w:szCs w:val="22"/>
          <w:lang w:val="sr-Latn-ME"/>
        </w:rPr>
      </w:pPr>
    </w:p>
    <w:p w14:paraId="33F6EF75" w14:textId="2D115BEB" w:rsidR="00443480" w:rsidRPr="0045764A" w:rsidRDefault="00027C3F" w:rsidP="00E35F2A">
      <w:pPr>
        <w:tabs>
          <w:tab w:val="clear" w:pos="284"/>
        </w:tabs>
        <w:autoSpaceDE w:val="0"/>
        <w:autoSpaceDN w:val="0"/>
        <w:adjustRightInd w:val="0"/>
        <w:rPr>
          <w:rFonts w:eastAsia="TimesNewRoman"/>
          <w:szCs w:val="22"/>
          <w:lang w:val="sr-Latn-ME"/>
        </w:rPr>
      </w:pPr>
      <w:r w:rsidRPr="0045764A">
        <w:rPr>
          <w:b/>
          <w:bCs/>
          <w:szCs w:val="22"/>
          <w:lang w:val="sr-Latn-ME"/>
        </w:rPr>
        <w:t>Tabela 1. Neželjen</w:t>
      </w:r>
      <w:r w:rsidR="007A7462" w:rsidRPr="0045764A">
        <w:rPr>
          <w:b/>
          <w:bCs/>
          <w:szCs w:val="22"/>
          <w:lang w:val="sr-Latn-ME"/>
        </w:rPr>
        <w:t>a</w:t>
      </w:r>
      <w:r w:rsidRPr="0045764A">
        <w:rPr>
          <w:b/>
          <w:bCs/>
          <w:szCs w:val="22"/>
          <w:lang w:val="sr-Latn-ME"/>
        </w:rPr>
        <w:t xml:space="preserve"> </w:t>
      </w:r>
      <w:r w:rsidR="007A7462" w:rsidRPr="0045764A">
        <w:rPr>
          <w:b/>
          <w:bCs/>
          <w:szCs w:val="22"/>
          <w:lang w:val="sr-Latn-ME"/>
        </w:rPr>
        <w:t xml:space="preserve">dejstva </w:t>
      </w:r>
      <w:r w:rsidRPr="0045764A">
        <w:rPr>
          <w:b/>
          <w:bCs/>
          <w:szCs w:val="22"/>
          <w:lang w:val="sr-Latn-ME"/>
        </w:rPr>
        <w:t>prijavljen</w:t>
      </w:r>
      <w:r w:rsidR="007A7462" w:rsidRPr="0045764A">
        <w:rPr>
          <w:b/>
          <w:bCs/>
          <w:szCs w:val="22"/>
          <w:lang w:val="sr-Latn-ME"/>
        </w:rPr>
        <w:t>a</w:t>
      </w:r>
      <w:r w:rsidRPr="0045764A">
        <w:rPr>
          <w:b/>
          <w:bCs/>
          <w:szCs w:val="22"/>
          <w:lang w:val="sr-Latn-ME"/>
        </w:rPr>
        <w:t xml:space="preserve"> u ispitivanjima RCC kod pacijenata koji su primili </w:t>
      </w:r>
      <w:proofErr w:type="spellStart"/>
      <w:r w:rsidRPr="0045764A">
        <w:rPr>
          <w:b/>
          <w:bCs/>
          <w:szCs w:val="22"/>
          <w:lang w:val="sr-Latn-ME"/>
        </w:rPr>
        <w:t>aksitinib</w:t>
      </w:r>
      <w:proofErr w:type="spellEnd"/>
      <w:r w:rsidR="00DF4B20" w:rsidRPr="0045764A">
        <w:rPr>
          <w:b/>
          <w:bCs/>
          <w:szCs w:val="22"/>
          <w:lang w:val="sr-Latn-ME"/>
        </w:rPr>
        <w:t xml:space="preserve"> </w:t>
      </w:r>
      <w:r w:rsidRPr="0045764A">
        <w:rPr>
          <w:b/>
          <w:bCs/>
          <w:szCs w:val="22"/>
          <w:lang w:val="sr-Latn-ME"/>
        </w:rPr>
        <w:t>(N=672)</w:t>
      </w:r>
    </w:p>
    <w:tbl>
      <w:tblPr>
        <w:tblStyle w:val="TableGrid"/>
        <w:tblW w:w="0" w:type="auto"/>
        <w:tblLayout w:type="fixed"/>
        <w:tblLook w:val="04A0" w:firstRow="1" w:lastRow="0" w:firstColumn="1" w:lastColumn="0" w:noHBand="0" w:noVBand="1"/>
      </w:tblPr>
      <w:tblGrid>
        <w:gridCol w:w="1838"/>
        <w:gridCol w:w="1395"/>
        <w:gridCol w:w="2007"/>
        <w:gridCol w:w="1418"/>
        <w:gridCol w:w="1134"/>
        <w:gridCol w:w="1225"/>
      </w:tblGrid>
      <w:tr w:rsidR="00DF2E90" w:rsidRPr="0045764A" w14:paraId="1329DB46" w14:textId="77777777" w:rsidTr="001E4272">
        <w:tc>
          <w:tcPr>
            <w:tcW w:w="1838" w:type="dxa"/>
            <w:vAlign w:val="center"/>
          </w:tcPr>
          <w:p w14:paraId="222AE081" w14:textId="77777777" w:rsidR="00046FB7" w:rsidRPr="0045764A" w:rsidRDefault="00046FB7" w:rsidP="00911D8F">
            <w:pPr>
              <w:tabs>
                <w:tab w:val="clear" w:pos="284"/>
              </w:tabs>
              <w:autoSpaceDE w:val="0"/>
              <w:autoSpaceDN w:val="0"/>
              <w:adjustRightInd w:val="0"/>
              <w:jc w:val="left"/>
              <w:rPr>
                <w:b/>
                <w:bCs/>
                <w:szCs w:val="22"/>
                <w:lang w:val="sr-Latn-ME"/>
              </w:rPr>
            </w:pPr>
            <w:r w:rsidRPr="0045764A">
              <w:rPr>
                <w:b/>
                <w:bCs/>
                <w:szCs w:val="22"/>
                <w:lang w:val="sr-Latn-ME"/>
              </w:rPr>
              <w:t>Klasa sistema</w:t>
            </w:r>
          </w:p>
          <w:p w14:paraId="63333902" w14:textId="61F374C6" w:rsidR="00CA7CE0" w:rsidRPr="0045764A" w:rsidRDefault="00046FB7" w:rsidP="00911D8F">
            <w:pPr>
              <w:jc w:val="left"/>
              <w:rPr>
                <w:rFonts w:eastAsia="TimesNewRoman"/>
                <w:szCs w:val="22"/>
                <w:lang w:val="sr-Latn-ME"/>
              </w:rPr>
            </w:pPr>
            <w:r w:rsidRPr="0045764A">
              <w:rPr>
                <w:b/>
                <w:bCs/>
                <w:szCs w:val="22"/>
                <w:lang w:val="sr-Latn-ME"/>
              </w:rPr>
              <w:t>organa</w:t>
            </w:r>
          </w:p>
        </w:tc>
        <w:tc>
          <w:tcPr>
            <w:tcW w:w="1395" w:type="dxa"/>
            <w:vAlign w:val="center"/>
          </w:tcPr>
          <w:p w14:paraId="40CA93C2" w14:textId="77777777" w:rsidR="00046FB7" w:rsidRPr="0045764A" w:rsidRDefault="00046FB7" w:rsidP="00911D8F">
            <w:pPr>
              <w:tabs>
                <w:tab w:val="clear" w:pos="284"/>
              </w:tabs>
              <w:autoSpaceDE w:val="0"/>
              <w:autoSpaceDN w:val="0"/>
              <w:adjustRightInd w:val="0"/>
              <w:jc w:val="left"/>
              <w:rPr>
                <w:b/>
                <w:bCs/>
                <w:szCs w:val="22"/>
                <w:lang w:val="sr-Latn-ME"/>
              </w:rPr>
            </w:pPr>
            <w:r w:rsidRPr="0045764A">
              <w:rPr>
                <w:b/>
                <w:bCs/>
                <w:szCs w:val="22"/>
                <w:lang w:val="sr-Latn-ME"/>
              </w:rPr>
              <w:t>Kategorija</w:t>
            </w:r>
          </w:p>
          <w:p w14:paraId="3F1EF1F8" w14:textId="3693562A" w:rsidR="00CA7CE0" w:rsidRPr="0045764A" w:rsidRDefault="00046FB7" w:rsidP="00911D8F">
            <w:pPr>
              <w:jc w:val="left"/>
              <w:rPr>
                <w:rFonts w:eastAsia="TimesNewRoman"/>
                <w:szCs w:val="22"/>
                <w:lang w:val="sr-Latn-ME"/>
              </w:rPr>
            </w:pPr>
            <w:r w:rsidRPr="0045764A">
              <w:rPr>
                <w:b/>
                <w:bCs/>
                <w:szCs w:val="22"/>
                <w:lang w:val="sr-Latn-ME"/>
              </w:rPr>
              <w:t>učestalosti</w:t>
            </w:r>
          </w:p>
        </w:tc>
        <w:tc>
          <w:tcPr>
            <w:tcW w:w="2007" w:type="dxa"/>
            <w:vAlign w:val="center"/>
          </w:tcPr>
          <w:p w14:paraId="213594AE" w14:textId="027C29B4" w:rsidR="00CA7CE0" w:rsidRPr="0045764A" w:rsidRDefault="00665627" w:rsidP="00911D8F">
            <w:pPr>
              <w:jc w:val="left"/>
              <w:rPr>
                <w:rFonts w:eastAsia="TimesNewRoman"/>
                <w:szCs w:val="22"/>
                <w:lang w:val="sr-Latn-ME"/>
              </w:rPr>
            </w:pPr>
            <w:r w:rsidRPr="0045764A">
              <w:rPr>
                <w:b/>
                <w:bCs/>
                <w:szCs w:val="22"/>
                <w:lang w:val="sr-Latn-ME"/>
              </w:rPr>
              <w:t>Neželjen</w:t>
            </w:r>
            <w:r w:rsidR="007A7462" w:rsidRPr="0045764A">
              <w:rPr>
                <w:b/>
                <w:bCs/>
                <w:szCs w:val="22"/>
                <w:lang w:val="sr-Latn-ME"/>
              </w:rPr>
              <w:t>o</w:t>
            </w:r>
            <w:r w:rsidRPr="0045764A">
              <w:rPr>
                <w:b/>
                <w:bCs/>
                <w:szCs w:val="22"/>
                <w:lang w:val="sr-Latn-ME"/>
              </w:rPr>
              <w:t xml:space="preserve"> </w:t>
            </w:r>
            <w:proofErr w:type="spellStart"/>
            <w:r w:rsidR="007A7462" w:rsidRPr="0045764A">
              <w:rPr>
                <w:b/>
                <w:bCs/>
                <w:szCs w:val="22"/>
                <w:lang w:val="sr-Latn-ME"/>
              </w:rPr>
              <w:t>dejstvo</w:t>
            </w:r>
            <w:r w:rsidR="007A7462" w:rsidRPr="0045764A">
              <w:rPr>
                <w:b/>
                <w:bCs/>
                <w:szCs w:val="22"/>
                <w:vertAlign w:val="superscript"/>
                <w:lang w:val="sr-Latn-ME"/>
              </w:rPr>
              <w:t>a</w:t>
            </w:r>
            <w:proofErr w:type="spellEnd"/>
          </w:p>
        </w:tc>
        <w:tc>
          <w:tcPr>
            <w:tcW w:w="1418" w:type="dxa"/>
            <w:vAlign w:val="center"/>
          </w:tcPr>
          <w:p w14:paraId="1F95AC08" w14:textId="3152BA33" w:rsidR="00CA7CE0" w:rsidRPr="0045764A" w:rsidRDefault="00EE2478" w:rsidP="00911D8F">
            <w:pPr>
              <w:tabs>
                <w:tab w:val="clear" w:pos="284"/>
              </w:tabs>
              <w:autoSpaceDE w:val="0"/>
              <w:autoSpaceDN w:val="0"/>
              <w:adjustRightInd w:val="0"/>
              <w:ind w:right="-101"/>
              <w:jc w:val="left"/>
              <w:rPr>
                <w:rFonts w:eastAsia="TimesNewRoman"/>
                <w:szCs w:val="22"/>
                <w:lang w:val="sr-Latn-ME"/>
              </w:rPr>
            </w:pPr>
            <w:r w:rsidRPr="0045764A">
              <w:rPr>
                <w:b/>
                <w:bCs/>
                <w:szCs w:val="22"/>
                <w:lang w:val="sr-Latn-ME"/>
              </w:rPr>
              <w:t>Svi</w:t>
            </w:r>
            <w:r w:rsidR="00911D8F" w:rsidRPr="0045764A">
              <w:rPr>
                <w:b/>
                <w:bCs/>
                <w:szCs w:val="22"/>
                <w:lang w:val="sr-Latn-ME"/>
              </w:rPr>
              <w:t xml:space="preserve"> </w:t>
            </w:r>
            <w:proofErr w:type="spellStart"/>
            <w:r w:rsidRPr="0045764A">
              <w:rPr>
                <w:b/>
                <w:bCs/>
                <w:szCs w:val="22"/>
                <w:lang w:val="sr-Latn-ME"/>
              </w:rPr>
              <w:t>gradusi</w:t>
            </w:r>
            <w:r w:rsidRPr="0045764A">
              <w:rPr>
                <w:b/>
                <w:bCs/>
                <w:szCs w:val="22"/>
                <w:vertAlign w:val="superscript"/>
                <w:lang w:val="sr-Latn-ME"/>
              </w:rPr>
              <w:t>b</w:t>
            </w:r>
            <w:proofErr w:type="spellEnd"/>
            <w:r w:rsidR="00911D8F" w:rsidRPr="0045764A">
              <w:rPr>
                <w:b/>
                <w:bCs/>
                <w:szCs w:val="22"/>
                <w:vertAlign w:val="superscript"/>
                <w:lang w:val="sr-Latn-ME"/>
              </w:rPr>
              <w:t xml:space="preserve"> </w:t>
            </w:r>
            <w:r w:rsidRPr="0045764A">
              <w:rPr>
                <w:b/>
                <w:bCs/>
                <w:szCs w:val="22"/>
                <w:lang w:val="sr-Latn-ME"/>
              </w:rPr>
              <w:t>%</w:t>
            </w:r>
          </w:p>
        </w:tc>
        <w:tc>
          <w:tcPr>
            <w:tcW w:w="1134" w:type="dxa"/>
            <w:vAlign w:val="center"/>
          </w:tcPr>
          <w:p w14:paraId="4BF57A0F" w14:textId="3D66F324" w:rsidR="00CA7CE0" w:rsidRPr="0045764A" w:rsidRDefault="00B76F4B" w:rsidP="001E4272">
            <w:pPr>
              <w:tabs>
                <w:tab w:val="clear" w:pos="284"/>
              </w:tabs>
              <w:autoSpaceDE w:val="0"/>
              <w:autoSpaceDN w:val="0"/>
              <w:adjustRightInd w:val="0"/>
              <w:ind w:right="-102"/>
              <w:jc w:val="left"/>
              <w:rPr>
                <w:rFonts w:eastAsia="TimesNewRoman"/>
                <w:szCs w:val="22"/>
                <w:lang w:val="sr-Latn-ME"/>
              </w:rPr>
            </w:pPr>
            <w:r w:rsidRPr="0045764A">
              <w:rPr>
                <w:b/>
                <w:bCs/>
                <w:szCs w:val="22"/>
                <w:lang w:val="sr-Latn-ME"/>
              </w:rPr>
              <w:t>Gradus 3</w:t>
            </w:r>
            <w:r w:rsidRPr="0045764A">
              <w:rPr>
                <w:b/>
                <w:bCs/>
                <w:szCs w:val="22"/>
                <w:vertAlign w:val="superscript"/>
                <w:lang w:val="sr-Latn-ME"/>
              </w:rPr>
              <w:t>b</w:t>
            </w:r>
            <w:r w:rsidR="00911D8F" w:rsidRPr="0045764A">
              <w:rPr>
                <w:b/>
                <w:bCs/>
                <w:szCs w:val="22"/>
                <w:vertAlign w:val="superscript"/>
                <w:lang w:val="sr-Latn-ME"/>
              </w:rPr>
              <w:t xml:space="preserve"> </w:t>
            </w:r>
            <w:r w:rsidRPr="0045764A">
              <w:rPr>
                <w:b/>
                <w:bCs/>
                <w:szCs w:val="22"/>
                <w:lang w:val="sr-Latn-ME"/>
              </w:rPr>
              <w:t>%</w:t>
            </w:r>
          </w:p>
        </w:tc>
        <w:tc>
          <w:tcPr>
            <w:tcW w:w="1225" w:type="dxa"/>
            <w:vAlign w:val="center"/>
          </w:tcPr>
          <w:p w14:paraId="23587269" w14:textId="3BA7BF32" w:rsidR="00CA7CE0" w:rsidRPr="0045764A" w:rsidRDefault="009261D7" w:rsidP="00911D8F">
            <w:pPr>
              <w:tabs>
                <w:tab w:val="clear" w:pos="284"/>
              </w:tabs>
              <w:autoSpaceDE w:val="0"/>
              <w:autoSpaceDN w:val="0"/>
              <w:adjustRightInd w:val="0"/>
              <w:ind w:right="-20"/>
              <w:jc w:val="left"/>
              <w:rPr>
                <w:rFonts w:eastAsia="TimesNewRoman"/>
                <w:szCs w:val="22"/>
                <w:lang w:val="sr-Latn-ME"/>
              </w:rPr>
            </w:pPr>
            <w:r w:rsidRPr="0045764A">
              <w:rPr>
                <w:b/>
                <w:bCs/>
                <w:szCs w:val="22"/>
                <w:lang w:val="sr-Latn-ME"/>
              </w:rPr>
              <w:t>Gradus</w:t>
            </w:r>
            <w:r w:rsidR="00911D8F" w:rsidRPr="0045764A">
              <w:rPr>
                <w:b/>
                <w:bCs/>
                <w:szCs w:val="22"/>
                <w:lang w:val="sr-Latn-ME"/>
              </w:rPr>
              <w:t xml:space="preserve"> </w:t>
            </w:r>
            <w:r w:rsidRPr="0045764A">
              <w:rPr>
                <w:b/>
                <w:bCs/>
                <w:szCs w:val="22"/>
                <w:lang w:val="sr-Latn-ME"/>
              </w:rPr>
              <w:t>4</w:t>
            </w:r>
            <w:r w:rsidRPr="0045764A">
              <w:rPr>
                <w:b/>
                <w:bCs/>
                <w:szCs w:val="22"/>
                <w:vertAlign w:val="superscript"/>
                <w:lang w:val="sr-Latn-ME"/>
              </w:rPr>
              <w:t>b</w:t>
            </w:r>
            <w:r w:rsidR="00911D8F" w:rsidRPr="0045764A">
              <w:rPr>
                <w:b/>
                <w:bCs/>
                <w:szCs w:val="22"/>
                <w:vertAlign w:val="superscript"/>
                <w:lang w:val="sr-Latn-ME"/>
              </w:rPr>
              <w:t xml:space="preserve"> </w:t>
            </w:r>
            <w:r w:rsidRPr="0045764A">
              <w:rPr>
                <w:b/>
                <w:bCs/>
                <w:szCs w:val="22"/>
                <w:lang w:val="sr-Latn-ME"/>
              </w:rPr>
              <w:t>%</w:t>
            </w:r>
          </w:p>
        </w:tc>
      </w:tr>
      <w:tr w:rsidR="00523AEB" w:rsidRPr="0045764A" w14:paraId="13D26D0F" w14:textId="77777777" w:rsidTr="001E4272">
        <w:tc>
          <w:tcPr>
            <w:tcW w:w="1838" w:type="dxa"/>
            <w:vMerge w:val="restart"/>
          </w:tcPr>
          <w:p w14:paraId="47CDB797" w14:textId="59CD3B6F" w:rsidR="009C29A7" w:rsidRPr="0045764A" w:rsidRDefault="009C29A7" w:rsidP="00911D8F">
            <w:pPr>
              <w:tabs>
                <w:tab w:val="clear" w:pos="284"/>
              </w:tabs>
              <w:autoSpaceDE w:val="0"/>
              <w:autoSpaceDN w:val="0"/>
              <w:adjustRightInd w:val="0"/>
              <w:jc w:val="left"/>
              <w:rPr>
                <w:rFonts w:eastAsia="TimesNewRoman"/>
                <w:szCs w:val="22"/>
                <w:lang w:val="sr-Latn-ME"/>
              </w:rPr>
            </w:pPr>
            <w:r w:rsidRPr="0045764A">
              <w:rPr>
                <w:rFonts w:eastAsia="TimesNewRoman"/>
                <w:i/>
                <w:iCs/>
                <w:szCs w:val="22"/>
                <w:lang w:val="sr-Latn-ME"/>
              </w:rPr>
              <w:t>Poremećaji krvi i</w:t>
            </w:r>
            <w:r w:rsidR="00911D8F" w:rsidRPr="0045764A">
              <w:rPr>
                <w:rFonts w:eastAsia="TimesNewRoman"/>
                <w:i/>
                <w:iCs/>
                <w:szCs w:val="22"/>
                <w:lang w:val="sr-Latn-ME"/>
              </w:rPr>
              <w:t xml:space="preserve"> </w:t>
            </w:r>
            <w:r w:rsidRPr="0045764A">
              <w:rPr>
                <w:rFonts w:eastAsia="TimesNewRoman"/>
                <w:i/>
                <w:iCs/>
                <w:szCs w:val="22"/>
                <w:lang w:val="sr-Latn-ME"/>
              </w:rPr>
              <w:t>limfnog sistema</w:t>
            </w:r>
          </w:p>
        </w:tc>
        <w:tc>
          <w:tcPr>
            <w:tcW w:w="1395" w:type="dxa"/>
            <w:vMerge w:val="restart"/>
          </w:tcPr>
          <w:p w14:paraId="3A08E74F" w14:textId="7E26A96D" w:rsidR="009C29A7" w:rsidRPr="0045764A" w:rsidRDefault="00EF593D" w:rsidP="00C65330">
            <w:pPr>
              <w:rPr>
                <w:rFonts w:eastAsia="TimesNewRoman"/>
                <w:szCs w:val="22"/>
                <w:lang w:val="sr-Latn-ME"/>
              </w:rPr>
            </w:pPr>
            <w:r w:rsidRPr="0045764A">
              <w:rPr>
                <w:rFonts w:eastAsia="TimesNewRoman"/>
                <w:szCs w:val="22"/>
                <w:lang w:val="sr-Latn-ME"/>
              </w:rPr>
              <w:t>Čest</w:t>
            </w:r>
            <w:r w:rsidR="00DF4B20" w:rsidRPr="0045764A">
              <w:rPr>
                <w:rFonts w:eastAsia="TimesNewRoman"/>
                <w:szCs w:val="22"/>
                <w:lang w:val="sr-Latn-ME"/>
              </w:rPr>
              <w:t>o</w:t>
            </w:r>
          </w:p>
        </w:tc>
        <w:tc>
          <w:tcPr>
            <w:tcW w:w="2007" w:type="dxa"/>
          </w:tcPr>
          <w:p w14:paraId="029E982C" w14:textId="70E1216D" w:rsidR="009C29A7" w:rsidRPr="0045764A" w:rsidRDefault="00A650E0" w:rsidP="00654072">
            <w:pPr>
              <w:jc w:val="left"/>
              <w:rPr>
                <w:rFonts w:eastAsia="TimesNewRoman"/>
                <w:szCs w:val="22"/>
                <w:lang w:val="sr-Latn-ME"/>
              </w:rPr>
            </w:pPr>
            <w:r w:rsidRPr="0045764A">
              <w:rPr>
                <w:rFonts w:eastAsia="TimesNewRoman"/>
                <w:szCs w:val="22"/>
                <w:lang w:val="sr-Latn-ME"/>
              </w:rPr>
              <w:t xml:space="preserve">Anemija </w:t>
            </w:r>
          </w:p>
        </w:tc>
        <w:tc>
          <w:tcPr>
            <w:tcW w:w="1418" w:type="dxa"/>
          </w:tcPr>
          <w:p w14:paraId="194074A1" w14:textId="3A6F2803" w:rsidR="009C29A7" w:rsidRPr="0045764A" w:rsidRDefault="005110DE" w:rsidP="00C65330">
            <w:pPr>
              <w:rPr>
                <w:rFonts w:eastAsia="TimesNewRoman"/>
                <w:szCs w:val="22"/>
                <w:lang w:val="sr-Latn-ME"/>
              </w:rPr>
            </w:pPr>
            <w:r w:rsidRPr="0045764A">
              <w:rPr>
                <w:rFonts w:eastAsia="TimesNewRoman"/>
                <w:szCs w:val="22"/>
                <w:lang w:val="sr-Latn-ME"/>
              </w:rPr>
              <w:t>6,3</w:t>
            </w:r>
          </w:p>
        </w:tc>
        <w:tc>
          <w:tcPr>
            <w:tcW w:w="1134" w:type="dxa"/>
          </w:tcPr>
          <w:p w14:paraId="58C6F126" w14:textId="37C8BDF6" w:rsidR="009C29A7" w:rsidRPr="0045764A" w:rsidRDefault="00B153AA" w:rsidP="00C65330">
            <w:pPr>
              <w:rPr>
                <w:rFonts w:eastAsia="TimesNewRoman"/>
                <w:szCs w:val="22"/>
                <w:lang w:val="sr-Latn-ME"/>
              </w:rPr>
            </w:pPr>
            <w:r w:rsidRPr="0045764A">
              <w:rPr>
                <w:rFonts w:eastAsia="TimesNewRoman"/>
                <w:szCs w:val="22"/>
                <w:lang w:val="sr-Latn-ME"/>
              </w:rPr>
              <w:t>1,2</w:t>
            </w:r>
          </w:p>
        </w:tc>
        <w:tc>
          <w:tcPr>
            <w:tcW w:w="1225" w:type="dxa"/>
          </w:tcPr>
          <w:p w14:paraId="631E132C" w14:textId="5DB3CBB5" w:rsidR="009C29A7" w:rsidRPr="0045764A" w:rsidRDefault="00D25B85" w:rsidP="00C65330">
            <w:pPr>
              <w:rPr>
                <w:rFonts w:eastAsia="TimesNewRoman"/>
                <w:szCs w:val="22"/>
                <w:lang w:val="sr-Latn-ME"/>
              </w:rPr>
            </w:pPr>
            <w:r w:rsidRPr="0045764A">
              <w:rPr>
                <w:rFonts w:eastAsia="TimesNewRoman"/>
                <w:szCs w:val="22"/>
                <w:lang w:val="sr-Latn-ME"/>
              </w:rPr>
              <w:t>0,4</w:t>
            </w:r>
          </w:p>
        </w:tc>
      </w:tr>
      <w:tr w:rsidR="00523AEB" w:rsidRPr="0045764A" w14:paraId="42A2F507" w14:textId="77777777" w:rsidTr="001E4272">
        <w:tc>
          <w:tcPr>
            <w:tcW w:w="1838" w:type="dxa"/>
            <w:vMerge/>
          </w:tcPr>
          <w:p w14:paraId="0AAE8569" w14:textId="77777777" w:rsidR="009C29A7" w:rsidRPr="0045764A" w:rsidRDefault="009C29A7" w:rsidP="00654072">
            <w:pPr>
              <w:jc w:val="left"/>
              <w:rPr>
                <w:rFonts w:eastAsia="TimesNewRoman"/>
                <w:szCs w:val="22"/>
                <w:lang w:val="sr-Latn-ME"/>
              </w:rPr>
            </w:pPr>
          </w:p>
        </w:tc>
        <w:tc>
          <w:tcPr>
            <w:tcW w:w="1395" w:type="dxa"/>
            <w:vMerge/>
          </w:tcPr>
          <w:p w14:paraId="6440C005" w14:textId="77777777" w:rsidR="009C29A7" w:rsidRPr="0045764A" w:rsidRDefault="009C29A7" w:rsidP="00C65330">
            <w:pPr>
              <w:rPr>
                <w:rFonts w:eastAsia="TimesNewRoman"/>
                <w:szCs w:val="22"/>
                <w:lang w:val="sr-Latn-ME"/>
              </w:rPr>
            </w:pPr>
          </w:p>
        </w:tc>
        <w:tc>
          <w:tcPr>
            <w:tcW w:w="2007" w:type="dxa"/>
          </w:tcPr>
          <w:p w14:paraId="23136678" w14:textId="0F88D5FF" w:rsidR="009C29A7" w:rsidRPr="0045764A" w:rsidRDefault="0019341B" w:rsidP="00654072">
            <w:pPr>
              <w:jc w:val="left"/>
              <w:rPr>
                <w:rFonts w:eastAsia="TimesNewRoman"/>
                <w:szCs w:val="22"/>
                <w:lang w:val="sr-Latn-ME"/>
              </w:rPr>
            </w:pPr>
            <w:proofErr w:type="spellStart"/>
            <w:r w:rsidRPr="0045764A">
              <w:rPr>
                <w:rFonts w:eastAsia="TimesNewRoman"/>
                <w:szCs w:val="22"/>
                <w:lang w:val="sr-Latn-ME"/>
              </w:rPr>
              <w:t>Trombocitopenija</w:t>
            </w:r>
            <w:proofErr w:type="spellEnd"/>
          </w:p>
        </w:tc>
        <w:tc>
          <w:tcPr>
            <w:tcW w:w="1418" w:type="dxa"/>
          </w:tcPr>
          <w:p w14:paraId="3A4EDD97" w14:textId="52B332F4" w:rsidR="009C29A7" w:rsidRPr="0045764A" w:rsidRDefault="005110DE" w:rsidP="00C65330">
            <w:pPr>
              <w:rPr>
                <w:rFonts w:eastAsia="TimesNewRoman"/>
                <w:szCs w:val="22"/>
                <w:lang w:val="sr-Latn-ME"/>
              </w:rPr>
            </w:pPr>
            <w:r w:rsidRPr="0045764A">
              <w:rPr>
                <w:rFonts w:eastAsia="TimesNewRoman"/>
                <w:szCs w:val="22"/>
                <w:lang w:val="sr-Latn-ME"/>
              </w:rPr>
              <w:t>1,6</w:t>
            </w:r>
          </w:p>
        </w:tc>
        <w:tc>
          <w:tcPr>
            <w:tcW w:w="1134" w:type="dxa"/>
          </w:tcPr>
          <w:p w14:paraId="7E97B514" w14:textId="4B515241" w:rsidR="009C29A7" w:rsidRPr="0045764A" w:rsidRDefault="00B153AA" w:rsidP="00C65330">
            <w:pPr>
              <w:rPr>
                <w:rFonts w:eastAsia="TimesNewRoman"/>
                <w:szCs w:val="22"/>
                <w:lang w:val="sr-Latn-ME"/>
              </w:rPr>
            </w:pPr>
            <w:r w:rsidRPr="0045764A">
              <w:rPr>
                <w:rFonts w:eastAsia="TimesNewRoman"/>
                <w:szCs w:val="22"/>
                <w:lang w:val="sr-Latn-ME"/>
              </w:rPr>
              <w:t>0,1</w:t>
            </w:r>
          </w:p>
        </w:tc>
        <w:tc>
          <w:tcPr>
            <w:tcW w:w="1225" w:type="dxa"/>
          </w:tcPr>
          <w:p w14:paraId="1D0ACE8F" w14:textId="626B17CA" w:rsidR="009C29A7" w:rsidRPr="0045764A" w:rsidRDefault="00EB194D" w:rsidP="00C65330">
            <w:pPr>
              <w:rPr>
                <w:rFonts w:eastAsia="TimesNewRoman"/>
                <w:szCs w:val="22"/>
                <w:lang w:val="sr-Latn-ME"/>
              </w:rPr>
            </w:pPr>
            <w:r w:rsidRPr="0045764A">
              <w:rPr>
                <w:rFonts w:eastAsia="TimesNewRoman"/>
                <w:szCs w:val="22"/>
                <w:lang w:val="sr-Latn-ME"/>
              </w:rPr>
              <w:t>0</w:t>
            </w:r>
          </w:p>
        </w:tc>
      </w:tr>
      <w:tr w:rsidR="00523AEB" w:rsidRPr="0045764A" w14:paraId="611BBE08" w14:textId="77777777" w:rsidTr="001E4272">
        <w:tc>
          <w:tcPr>
            <w:tcW w:w="1838" w:type="dxa"/>
            <w:vMerge/>
          </w:tcPr>
          <w:p w14:paraId="009EE66A" w14:textId="77777777" w:rsidR="009C29A7" w:rsidRPr="0045764A" w:rsidRDefault="009C29A7" w:rsidP="00654072">
            <w:pPr>
              <w:jc w:val="left"/>
              <w:rPr>
                <w:rFonts w:eastAsia="TimesNewRoman"/>
                <w:szCs w:val="22"/>
                <w:lang w:val="sr-Latn-ME"/>
              </w:rPr>
            </w:pPr>
          </w:p>
        </w:tc>
        <w:tc>
          <w:tcPr>
            <w:tcW w:w="1395" w:type="dxa"/>
            <w:vMerge/>
          </w:tcPr>
          <w:p w14:paraId="6AFA0DF4" w14:textId="77777777" w:rsidR="009C29A7" w:rsidRPr="0045764A" w:rsidRDefault="009C29A7" w:rsidP="00C65330">
            <w:pPr>
              <w:rPr>
                <w:rFonts w:eastAsia="TimesNewRoman"/>
                <w:szCs w:val="22"/>
                <w:lang w:val="sr-Latn-ME"/>
              </w:rPr>
            </w:pPr>
          </w:p>
        </w:tc>
        <w:tc>
          <w:tcPr>
            <w:tcW w:w="2007" w:type="dxa"/>
          </w:tcPr>
          <w:p w14:paraId="15F6323F" w14:textId="4686B244" w:rsidR="009C29A7" w:rsidRPr="0045764A" w:rsidRDefault="007A6A60" w:rsidP="00654072">
            <w:pPr>
              <w:jc w:val="left"/>
              <w:rPr>
                <w:rFonts w:eastAsia="TimesNewRoman"/>
                <w:szCs w:val="22"/>
                <w:lang w:val="sr-Latn-ME"/>
              </w:rPr>
            </w:pPr>
            <w:proofErr w:type="spellStart"/>
            <w:r w:rsidRPr="0045764A">
              <w:rPr>
                <w:rFonts w:eastAsia="TimesNewRoman"/>
                <w:szCs w:val="22"/>
                <w:lang w:val="sr-Latn-ME"/>
              </w:rPr>
              <w:t>Policitemija</w:t>
            </w:r>
            <w:r w:rsidRPr="0045764A">
              <w:rPr>
                <w:rFonts w:eastAsia="TimesNewRoman"/>
                <w:szCs w:val="22"/>
                <w:vertAlign w:val="superscript"/>
                <w:lang w:val="sr-Latn-ME"/>
              </w:rPr>
              <w:t>c</w:t>
            </w:r>
            <w:proofErr w:type="spellEnd"/>
          </w:p>
        </w:tc>
        <w:tc>
          <w:tcPr>
            <w:tcW w:w="1418" w:type="dxa"/>
          </w:tcPr>
          <w:p w14:paraId="20F2496B" w14:textId="54CB297D" w:rsidR="009C29A7" w:rsidRPr="0045764A" w:rsidRDefault="005110DE" w:rsidP="00C65330">
            <w:pPr>
              <w:rPr>
                <w:rFonts w:eastAsia="TimesNewRoman"/>
                <w:szCs w:val="22"/>
                <w:lang w:val="sr-Latn-ME"/>
              </w:rPr>
            </w:pPr>
            <w:r w:rsidRPr="0045764A">
              <w:rPr>
                <w:rFonts w:eastAsia="TimesNewRoman"/>
                <w:szCs w:val="22"/>
                <w:lang w:val="sr-Latn-ME"/>
              </w:rPr>
              <w:t>1,5</w:t>
            </w:r>
          </w:p>
        </w:tc>
        <w:tc>
          <w:tcPr>
            <w:tcW w:w="1134" w:type="dxa"/>
          </w:tcPr>
          <w:p w14:paraId="09F75FFF" w14:textId="4A521DBA" w:rsidR="009C29A7" w:rsidRPr="0045764A" w:rsidRDefault="00B153AA" w:rsidP="00C65330">
            <w:pPr>
              <w:rPr>
                <w:rFonts w:eastAsia="TimesNewRoman"/>
                <w:szCs w:val="22"/>
                <w:lang w:val="sr-Latn-ME"/>
              </w:rPr>
            </w:pPr>
            <w:r w:rsidRPr="0045764A">
              <w:rPr>
                <w:rFonts w:eastAsia="TimesNewRoman"/>
                <w:szCs w:val="22"/>
                <w:lang w:val="sr-Latn-ME"/>
              </w:rPr>
              <w:t>0,1</w:t>
            </w:r>
          </w:p>
        </w:tc>
        <w:tc>
          <w:tcPr>
            <w:tcW w:w="1225" w:type="dxa"/>
          </w:tcPr>
          <w:p w14:paraId="722A701B" w14:textId="417C8F5A" w:rsidR="009C29A7" w:rsidRPr="0045764A" w:rsidRDefault="00EB194D" w:rsidP="00C65330">
            <w:pPr>
              <w:rPr>
                <w:rFonts w:eastAsia="TimesNewRoman"/>
                <w:szCs w:val="22"/>
                <w:lang w:val="sr-Latn-ME"/>
              </w:rPr>
            </w:pPr>
            <w:r w:rsidRPr="0045764A">
              <w:rPr>
                <w:rFonts w:eastAsia="TimesNewRoman"/>
                <w:szCs w:val="22"/>
                <w:lang w:val="sr-Latn-ME"/>
              </w:rPr>
              <w:t>0</w:t>
            </w:r>
          </w:p>
        </w:tc>
      </w:tr>
      <w:tr w:rsidR="00523AEB" w:rsidRPr="0045764A" w14:paraId="2E68EA1B" w14:textId="77777777" w:rsidTr="001E4272">
        <w:tc>
          <w:tcPr>
            <w:tcW w:w="1838" w:type="dxa"/>
            <w:vMerge/>
          </w:tcPr>
          <w:p w14:paraId="00562D6D" w14:textId="77777777" w:rsidR="009C29A7" w:rsidRPr="0045764A" w:rsidRDefault="009C29A7" w:rsidP="00654072">
            <w:pPr>
              <w:jc w:val="left"/>
              <w:rPr>
                <w:rFonts w:eastAsia="TimesNewRoman"/>
                <w:szCs w:val="22"/>
                <w:lang w:val="sr-Latn-ME"/>
              </w:rPr>
            </w:pPr>
          </w:p>
        </w:tc>
        <w:tc>
          <w:tcPr>
            <w:tcW w:w="1395" w:type="dxa"/>
            <w:vMerge w:val="restart"/>
          </w:tcPr>
          <w:p w14:paraId="05194D06" w14:textId="2C3EB87B" w:rsidR="009C29A7" w:rsidRPr="0045764A" w:rsidRDefault="00EF593D" w:rsidP="00C65330">
            <w:pPr>
              <w:rPr>
                <w:rFonts w:eastAsia="TimesNewRoman"/>
                <w:szCs w:val="22"/>
                <w:lang w:val="sr-Latn-ME"/>
              </w:rPr>
            </w:pPr>
            <w:r w:rsidRPr="0045764A">
              <w:rPr>
                <w:rFonts w:eastAsia="TimesNewRoman"/>
                <w:szCs w:val="22"/>
                <w:lang w:val="sr-Latn-ME"/>
              </w:rPr>
              <w:t>Povremen</w:t>
            </w:r>
            <w:r w:rsidR="00DF4B20" w:rsidRPr="0045764A">
              <w:rPr>
                <w:rFonts w:eastAsia="TimesNewRoman"/>
                <w:szCs w:val="22"/>
                <w:lang w:val="sr-Latn-ME"/>
              </w:rPr>
              <w:t>o</w:t>
            </w:r>
          </w:p>
        </w:tc>
        <w:tc>
          <w:tcPr>
            <w:tcW w:w="2007" w:type="dxa"/>
          </w:tcPr>
          <w:p w14:paraId="36AC88EB" w14:textId="6DE43DCB" w:rsidR="009C29A7" w:rsidRPr="0045764A" w:rsidRDefault="00EB194D" w:rsidP="00654072">
            <w:pPr>
              <w:jc w:val="left"/>
              <w:rPr>
                <w:rFonts w:eastAsia="TimesNewRoman"/>
                <w:szCs w:val="22"/>
                <w:lang w:val="sr-Latn-ME"/>
              </w:rPr>
            </w:pPr>
            <w:proofErr w:type="spellStart"/>
            <w:r w:rsidRPr="0045764A">
              <w:rPr>
                <w:rFonts w:eastAsia="TimesNewRoman"/>
                <w:szCs w:val="22"/>
                <w:lang w:val="sr-Latn-ME"/>
              </w:rPr>
              <w:t>Neutropenija</w:t>
            </w:r>
            <w:proofErr w:type="spellEnd"/>
          </w:p>
        </w:tc>
        <w:tc>
          <w:tcPr>
            <w:tcW w:w="1418" w:type="dxa"/>
          </w:tcPr>
          <w:p w14:paraId="140D67E4" w14:textId="1DB62538" w:rsidR="009C29A7" w:rsidRPr="0045764A" w:rsidRDefault="00575971" w:rsidP="00C65330">
            <w:pPr>
              <w:rPr>
                <w:rFonts w:eastAsia="TimesNewRoman"/>
                <w:szCs w:val="22"/>
                <w:lang w:val="sr-Latn-ME"/>
              </w:rPr>
            </w:pPr>
            <w:r w:rsidRPr="0045764A">
              <w:rPr>
                <w:rFonts w:eastAsia="TimesNewRoman"/>
                <w:szCs w:val="22"/>
                <w:lang w:val="sr-Latn-ME"/>
              </w:rPr>
              <w:t>0,3</w:t>
            </w:r>
          </w:p>
        </w:tc>
        <w:tc>
          <w:tcPr>
            <w:tcW w:w="1134" w:type="dxa"/>
          </w:tcPr>
          <w:p w14:paraId="61575238" w14:textId="2BDABE7C" w:rsidR="009C29A7" w:rsidRPr="0045764A" w:rsidRDefault="00952EFD" w:rsidP="00C65330">
            <w:pPr>
              <w:rPr>
                <w:rFonts w:eastAsia="TimesNewRoman"/>
                <w:szCs w:val="22"/>
                <w:lang w:val="sr-Latn-ME"/>
              </w:rPr>
            </w:pPr>
            <w:r w:rsidRPr="0045764A">
              <w:rPr>
                <w:rFonts w:eastAsia="TimesNewRoman"/>
                <w:szCs w:val="22"/>
                <w:lang w:val="sr-Latn-ME"/>
              </w:rPr>
              <w:t>0,1</w:t>
            </w:r>
          </w:p>
        </w:tc>
        <w:tc>
          <w:tcPr>
            <w:tcW w:w="1225" w:type="dxa"/>
          </w:tcPr>
          <w:p w14:paraId="6DFA179E" w14:textId="6A459C26" w:rsidR="009C29A7" w:rsidRPr="0045764A" w:rsidRDefault="00952EFD" w:rsidP="00C65330">
            <w:pPr>
              <w:rPr>
                <w:rFonts w:eastAsia="TimesNewRoman"/>
                <w:szCs w:val="22"/>
                <w:lang w:val="sr-Latn-ME"/>
              </w:rPr>
            </w:pPr>
            <w:r w:rsidRPr="0045764A">
              <w:rPr>
                <w:rFonts w:eastAsia="TimesNewRoman"/>
                <w:szCs w:val="22"/>
                <w:lang w:val="sr-Latn-ME"/>
              </w:rPr>
              <w:t>0</w:t>
            </w:r>
          </w:p>
        </w:tc>
      </w:tr>
      <w:tr w:rsidR="00523AEB" w:rsidRPr="0045764A" w14:paraId="3695CC8A" w14:textId="77777777" w:rsidTr="001E4272">
        <w:tc>
          <w:tcPr>
            <w:tcW w:w="1838" w:type="dxa"/>
            <w:vMerge/>
          </w:tcPr>
          <w:p w14:paraId="09E9E242" w14:textId="77777777" w:rsidR="009C29A7" w:rsidRPr="0045764A" w:rsidRDefault="009C29A7" w:rsidP="00654072">
            <w:pPr>
              <w:jc w:val="left"/>
              <w:rPr>
                <w:rFonts w:eastAsia="TimesNewRoman"/>
                <w:szCs w:val="22"/>
                <w:lang w:val="sr-Latn-ME"/>
              </w:rPr>
            </w:pPr>
          </w:p>
        </w:tc>
        <w:tc>
          <w:tcPr>
            <w:tcW w:w="1395" w:type="dxa"/>
            <w:vMerge/>
          </w:tcPr>
          <w:p w14:paraId="6C99A649" w14:textId="77777777" w:rsidR="009C29A7" w:rsidRPr="0045764A" w:rsidRDefault="009C29A7" w:rsidP="00C65330">
            <w:pPr>
              <w:rPr>
                <w:rFonts w:eastAsia="TimesNewRoman"/>
                <w:szCs w:val="22"/>
                <w:lang w:val="sr-Latn-ME"/>
              </w:rPr>
            </w:pPr>
          </w:p>
        </w:tc>
        <w:tc>
          <w:tcPr>
            <w:tcW w:w="2007" w:type="dxa"/>
          </w:tcPr>
          <w:p w14:paraId="5D8D3415" w14:textId="177CDE74" w:rsidR="009C29A7" w:rsidRPr="0045764A" w:rsidRDefault="0091084B" w:rsidP="00654072">
            <w:pPr>
              <w:jc w:val="left"/>
              <w:rPr>
                <w:rFonts w:eastAsia="TimesNewRoman"/>
                <w:szCs w:val="22"/>
                <w:lang w:val="sr-Latn-ME"/>
              </w:rPr>
            </w:pPr>
            <w:proofErr w:type="spellStart"/>
            <w:r w:rsidRPr="0045764A">
              <w:rPr>
                <w:rFonts w:eastAsia="TimesNewRoman"/>
                <w:szCs w:val="22"/>
                <w:lang w:val="sr-Latn-ME"/>
              </w:rPr>
              <w:t>Leukopenija</w:t>
            </w:r>
            <w:proofErr w:type="spellEnd"/>
          </w:p>
        </w:tc>
        <w:tc>
          <w:tcPr>
            <w:tcW w:w="1418" w:type="dxa"/>
          </w:tcPr>
          <w:p w14:paraId="0D13E352" w14:textId="214BC629" w:rsidR="009C29A7" w:rsidRPr="0045764A" w:rsidRDefault="00575971" w:rsidP="00C65330">
            <w:pPr>
              <w:rPr>
                <w:rFonts w:eastAsia="TimesNewRoman"/>
                <w:szCs w:val="22"/>
                <w:lang w:val="sr-Latn-ME"/>
              </w:rPr>
            </w:pPr>
            <w:r w:rsidRPr="0045764A">
              <w:rPr>
                <w:rFonts w:eastAsia="TimesNewRoman"/>
                <w:szCs w:val="22"/>
                <w:lang w:val="sr-Latn-ME"/>
              </w:rPr>
              <w:t>0,4</w:t>
            </w:r>
          </w:p>
        </w:tc>
        <w:tc>
          <w:tcPr>
            <w:tcW w:w="1134" w:type="dxa"/>
          </w:tcPr>
          <w:p w14:paraId="4F048486" w14:textId="01CA721E" w:rsidR="009C29A7" w:rsidRPr="0045764A" w:rsidRDefault="00952EFD" w:rsidP="00C65330">
            <w:pPr>
              <w:rPr>
                <w:rFonts w:eastAsia="TimesNewRoman"/>
                <w:szCs w:val="22"/>
                <w:lang w:val="sr-Latn-ME"/>
              </w:rPr>
            </w:pPr>
            <w:r w:rsidRPr="0045764A">
              <w:rPr>
                <w:rFonts w:eastAsia="TimesNewRoman"/>
                <w:szCs w:val="22"/>
                <w:lang w:val="sr-Latn-ME"/>
              </w:rPr>
              <w:t>0</w:t>
            </w:r>
          </w:p>
        </w:tc>
        <w:tc>
          <w:tcPr>
            <w:tcW w:w="1225" w:type="dxa"/>
          </w:tcPr>
          <w:p w14:paraId="7B5CEA4F" w14:textId="4E889EEC" w:rsidR="009C29A7" w:rsidRPr="0045764A" w:rsidRDefault="00952EFD" w:rsidP="00C65330">
            <w:pPr>
              <w:rPr>
                <w:rFonts w:eastAsia="TimesNewRoman"/>
                <w:szCs w:val="22"/>
                <w:lang w:val="sr-Latn-ME"/>
              </w:rPr>
            </w:pPr>
            <w:r w:rsidRPr="0045764A">
              <w:rPr>
                <w:rFonts w:eastAsia="TimesNewRoman"/>
                <w:szCs w:val="22"/>
                <w:lang w:val="sr-Latn-ME"/>
              </w:rPr>
              <w:t>0</w:t>
            </w:r>
          </w:p>
        </w:tc>
      </w:tr>
      <w:tr w:rsidR="00980BB4" w:rsidRPr="0045764A" w14:paraId="7E20624A" w14:textId="77777777" w:rsidTr="001E4272">
        <w:tc>
          <w:tcPr>
            <w:tcW w:w="1838" w:type="dxa"/>
            <w:vMerge w:val="restart"/>
          </w:tcPr>
          <w:p w14:paraId="19BC2D3A" w14:textId="4CAA50A6" w:rsidR="00E13D60" w:rsidRPr="0045764A" w:rsidRDefault="00F3475B" w:rsidP="00654072">
            <w:pPr>
              <w:jc w:val="left"/>
              <w:rPr>
                <w:rFonts w:eastAsia="TimesNewRoman"/>
                <w:i/>
                <w:iCs/>
                <w:szCs w:val="22"/>
                <w:lang w:val="sr-Latn-ME"/>
              </w:rPr>
            </w:pPr>
            <w:r w:rsidRPr="0045764A">
              <w:rPr>
                <w:rFonts w:eastAsia="TimesNewRoman"/>
                <w:i/>
                <w:iCs/>
                <w:szCs w:val="22"/>
                <w:lang w:val="sr-Latn-ME"/>
              </w:rPr>
              <w:t>Endokrini poremećaji</w:t>
            </w:r>
          </w:p>
        </w:tc>
        <w:tc>
          <w:tcPr>
            <w:tcW w:w="1395" w:type="dxa"/>
          </w:tcPr>
          <w:p w14:paraId="631FBCCC" w14:textId="7D380026" w:rsidR="00E13D60" w:rsidRPr="0045764A" w:rsidRDefault="006C4091" w:rsidP="00C65330">
            <w:pPr>
              <w:rPr>
                <w:rFonts w:eastAsia="TimesNewRoman"/>
                <w:szCs w:val="22"/>
                <w:lang w:val="sr-Latn-ME"/>
              </w:rPr>
            </w:pPr>
            <w:r w:rsidRPr="0045764A">
              <w:rPr>
                <w:rFonts w:eastAsia="TimesNewRoman"/>
                <w:szCs w:val="22"/>
                <w:lang w:val="sr-Latn-ME"/>
              </w:rPr>
              <w:t>Veoma čest</w:t>
            </w:r>
            <w:r w:rsidR="00DF4B20" w:rsidRPr="0045764A">
              <w:rPr>
                <w:rFonts w:eastAsia="TimesNewRoman"/>
                <w:szCs w:val="22"/>
                <w:lang w:val="sr-Latn-ME"/>
              </w:rPr>
              <w:t>o</w:t>
            </w:r>
          </w:p>
        </w:tc>
        <w:tc>
          <w:tcPr>
            <w:tcW w:w="2007" w:type="dxa"/>
          </w:tcPr>
          <w:p w14:paraId="539AB6D3" w14:textId="3417C87A" w:rsidR="00E13D60" w:rsidRPr="0045764A" w:rsidRDefault="00987EDD" w:rsidP="00654072">
            <w:pPr>
              <w:jc w:val="left"/>
              <w:rPr>
                <w:rFonts w:eastAsia="TimesNewRoman"/>
                <w:szCs w:val="22"/>
                <w:lang w:val="sr-Latn-ME"/>
              </w:rPr>
            </w:pPr>
            <w:proofErr w:type="spellStart"/>
            <w:r w:rsidRPr="0045764A">
              <w:rPr>
                <w:rFonts w:eastAsia="TimesNewRoman"/>
                <w:szCs w:val="22"/>
                <w:lang w:val="sr-Latn-ME"/>
              </w:rPr>
              <w:t>Hipotireoidizam</w:t>
            </w:r>
            <w:r w:rsidRPr="0045764A">
              <w:rPr>
                <w:rFonts w:eastAsia="TimesNewRoman"/>
                <w:szCs w:val="22"/>
                <w:vertAlign w:val="superscript"/>
                <w:lang w:val="sr-Latn-ME"/>
              </w:rPr>
              <w:t>c</w:t>
            </w:r>
            <w:proofErr w:type="spellEnd"/>
          </w:p>
        </w:tc>
        <w:tc>
          <w:tcPr>
            <w:tcW w:w="1418" w:type="dxa"/>
          </w:tcPr>
          <w:p w14:paraId="716498E3" w14:textId="24F1926E" w:rsidR="00E13D60" w:rsidRPr="0045764A" w:rsidRDefault="000F0B40" w:rsidP="00C65330">
            <w:pPr>
              <w:rPr>
                <w:rFonts w:eastAsia="TimesNewRoman"/>
                <w:szCs w:val="22"/>
                <w:lang w:val="sr-Latn-ME"/>
              </w:rPr>
            </w:pPr>
            <w:r w:rsidRPr="0045764A">
              <w:rPr>
                <w:rFonts w:eastAsia="TimesNewRoman"/>
                <w:szCs w:val="22"/>
                <w:lang w:val="sr-Latn-ME"/>
              </w:rPr>
              <w:t>24,6</w:t>
            </w:r>
          </w:p>
        </w:tc>
        <w:tc>
          <w:tcPr>
            <w:tcW w:w="1134" w:type="dxa"/>
          </w:tcPr>
          <w:p w14:paraId="3B4A2D4F" w14:textId="5DB04204" w:rsidR="00E13D60" w:rsidRPr="0045764A" w:rsidRDefault="000F0B40" w:rsidP="00C65330">
            <w:pPr>
              <w:rPr>
                <w:rFonts w:eastAsia="TimesNewRoman"/>
                <w:szCs w:val="22"/>
                <w:lang w:val="sr-Latn-ME"/>
              </w:rPr>
            </w:pPr>
            <w:r w:rsidRPr="0045764A">
              <w:rPr>
                <w:rFonts w:eastAsia="TimesNewRoman"/>
                <w:szCs w:val="22"/>
                <w:lang w:val="sr-Latn-ME"/>
              </w:rPr>
              <w:t>0,3</w:t>
            </w:r>
          </w:p>
        </w:tc>
        <w:tc>
          <w:tcPr>
            <w:tcW w:w="1225" w:type="dxa"/>
          </w:tcPr>
          <w:p w14:paraId="27B8F875" w14:textId="4DE17589" w:rsidR="00E13D60" w:rsidRPr="0045764A" w:rsidRDefault="000F0B40" w:rsidP="00C65330">
            <w:pPr>
              <w:rPr>
                <w:rFonts w:eastAsia="TimesNewRoman"/>
                <w:szCs w:val="22"/>
                <w:lang w:val="sr-Latn-ME"/>
              </w:rPr>
            </w:pPr>
            <w:r w:rsidRPr="0045764A">
              <w:rPr>
                <w:rFonts w:eastAsia="TimesNewRoman"/>
                <w:szCs w:val="22"/>
                <w:lang w:val="sr-Latn-ME"/>
              </w:rPr>
              <w:t>0</w:t>
            </w:r>
          </w:p>
        </w:tc>
      </w:tr>
      <w:tr w:rsidR="00980BB4" w:rsidRPr="0045764A" w14:paraId="60D2FAF3" w14:textId="77777777" w:rsidTr="001E4272">
        <w:tc>
          <w:tcPr>
            <w:tcW w:w="1838" w:type="dxa"/>
            <w:vMerge/>
          </w:tcPr>
          <w:p w14:paraId="2841B463" w14:textId="77777777" w:rsidR="00E13D60" w:rsidRPr="0045764A" w:rsidRDefault="00E13D60" w:rsidP="00654072">
            <w:pPr>
              <w:jc w:val="left"/>
              <w:rPr>
                <w:rFonts w:eastAsia="TimesNewRoman"/>
                <w:szCs w:val="22"/>
                <w:lang w:val="sr-Latn-ME"/>
              </w:rPr>
            </w:pPr>
          </w:p>
        </w:tc>
        <w:tc>
          <w:tcPr>
            <w:tcW w:w="1395" w:type="dxa"/>
          </w:tcPr>
          <w:p w14:paraId="7BB1FBD3" w14:textId="686ABE38" w:rsidR="00E13D60" w:rsidRPr="0045764A" w:rsidRDefault="006C4091" w:rsidP="00C65330">
            <w:pPr>
              <w:rPr>
                <w:rFonts w:eastAsia="TimesNewRoman"/>
                <w:szCs w:val="22"/>
                <w:lang w:val="sr-Latn-ME"/>
              </w:rPr>
            </w:pPr>
            <w:r w:rsidRPr="0045764A">
              <w:rPr>
                <w:rFonts w:eastAsia="TimesNewRoman"/>
                <w:szCs w:val="22"/>
                <w:lang w:val="sr-Latn-ME"/>
              </w:rPr>
              <w:t>Čest</w:t>
            </w:r>
            <w:r w:rsidR="00DF4B20" w:rsidRPr="0045764A">
              <w:rPr>
                <w:rFonts w:eastAsia="TimesNewRoman"/>
                <w:szCs w:val="22"/>
                <w:lang w:val="sr-Latn-ME"/>
              </w:rPr>
              <w:t>o</w:t>
            </w:r>
          </w:p>
        </w:tc>
        <w:tc>
          <w:tcPr>
            <w:tcW w:w="2007" w:type="dxa"/>
          </w:tcPr>
          <w:p w14:paraId="7616C0E4" w14:textId="2AD044F2" w:rsidR="00E13D60" w:rsidRPr="0045764A" w:rsidRDefault="00F723B7" w:rsidP="00654072">
            <w:pPr>
              <w:jc w:val="left"/>
              <w:rPr>
                <w:rFonts w:eastAsia="TimesNewRoman"/>
                <w:szCs w:val="22"/>
                <w:lang w:val="sr-Latn-ME"/>
              </w:rPr>
            </w:pPr>
            <w:proofErr w:type="spellStart"/>
            <w:r w:rsidRPr="0045764A">
              <w:rPr>
                <w:rFonts w:eastAsia="TimesNewRoman"/>
                <w:szCs w:val="22"/>
                <w:lang w:val="sr-Latn-ME"/>
              </w:rPr>
              <w:t>Hipertireoidizam</w:t>
            </w:r>
            <w:r w:rsidRPr="0045764A">
              <w:rPr>
                <w:rFonts w:eastAsia="TimesNewRoman"/>
                <w:szCs w:val="22"/>
                <w:vertAlign w:val="superscript"/>
                <w:lang w:val="sr-Latn-ME"/>
              </w:rPr>
              <w:t>c</w:t>
            </w:r>
            <w:proofErr w:type="spellEnd"/>
          </w:p>
        </w:tc>
        <w:tc>
          <w:tcPr>
            <w:tcW w:w="1418" w:type="dxa"/>
          </w:tcPr>
          <w:p w14:paraId="61F2D2C0" w14:textId="0B6BB929" w:rsidR="00E13D60" w:rsidRPr="0045764A" w:rsidRDefault="003973B7" w:rsidP="00C65330">
            <w:pPr>
              <w:rPr>
                <w:rFonts w:eastAsia="TimesNewRoman"/>
                <w:szCs w:val="22"/>
                <w:lang w:val="sr-Latn-ME"/>
              </w:rPr>
            </w:pPr>
            <w:r w:rsidRPr="0045764A">
              <w:rPr>
                <w:rFonts w:eastAsia="TimesNewRoman"/>
                <w:szCs w:val="22"/>
                <w:lang w:val="sr-Latn-ME"/>
              </w:rPr>
              <w:t>1,6</w:t>
            </w:r>
          </w:p>
        </w:tc>
        <w:tc>
          <w:tcPr>
            <w:tcW w:w="1134" w:type="dxa"/>
          </w:tcPr>
          <w:p w14:paraId="3B8C0D8E" w14:textId="74DA8B69" w:rsidR="00E13D60" w:rsidRPr="0045764A" w:rsidRDefault="003973B7" w:rsidP="00C65330">
            <w:pPr>
              <w:rPr>
                <w:rFonts w:eastAsia="TimesNewRoman"/>
                <w:szCs w:val="22"/>
                <w:lang w:val="sr-Latn-ME"/>
              </w:rPr>
            </w:pPr>
            <w:r w:rsidRPr="0045764A">
              <w:rPr>
                <w:rFonts w:eastAsia="TimesNewRoman"/>
                <w:szCs w:val="22"/>
                <w:lang w:val="sr-Latn-ME"/>
              </w:rPr>
              <w:t>0,1</w:t>
            </w:r>
          </w:p>
        </w:tc>
        <w:tc>
          <w:tcPr>
            <w:tcW w:w="1225" w:type="dxa"/>
          </w:tcPr>
          <w:p w14:paraId="06F0D974" w14:textId="78C43169" w:rsidR="00E13D60" w:rsidRPr="0045764A" w:rsidRDefault="003973B7" w:rsidP="00C65330">
            <w:pPr>
              <w:rPr>
                <w:rFonts w:eastAsia="TimesNewRoman"/>
                <w:szCs w:val="22"/>
                <w:lang w:val="sr-Latn-ME"/>
              </w:rPr>
            </w:pPr>
            <w:r w:rsidRPr="0045764A">
              <w:rPr>
                <w:rFonts w:eastAsia="TimesNewRoman"/>
                <w:szCs w:val="22"/>
                <w:lang w:val="sr-Latn-ME"/>
              </w:rPr>
              <w:t>0,1</w:t>
            </w:r>
          </w:p>
        </w:tc>
      </w:tr>
      <w:tr w:rsidR="00E02F38" w:rsidRPr="0045764A" w14:paraId="4F5A05D5" w14:textId="77777777" w:rsidTr="001E4272">
        <w:tc>
          <w:tcPr>
            <w:tcW w:w="1838" w:type="dxa"/>
            <w:vMerge w:val="restart"/>
          </w:tcPr>
          <w:p w14:paraId="69FD6F9A" w14:textId="182A24C8" w:rsidR="003973B7" w:rsidRPr="0045764A" w:rsidRDefault="003973B7" w:rsidP="00654072">
            <w:pPr>
              <w:jc w:val="left"/>
              <w:rPr>
                <w:rFonts w:eastAsia="TimesNewRoman"/>
                <w:i/>
                <w:iCs/>
                <w:szCs w:val="22"/>
                <w:lang w:val="sr-Latn-ME"/>
              </w:rPr>
            </w:pPr>
            <w:r w:rsidRPr="0045764A">
              <w:rPr>
                <w:rFonts w:eastAsia="TimesNewRoman"/>
                <w:i/>
                <w:iCs/>
                <w:szCs w:val="22"/>
                <w:lang w:val="sr-Latn-ME"/>
              </w:rPr>
              <w:t>Poremećaji metabolizma i ishrane</w:t>
            </w:r>
          </w:p>
        </w:tc>
        <w:tc>
          <w:tcPr>
            <w:tcW w:w="1395" w:type="dxa"/>
          </w:tcPr>
          <w:p w14:paraId="3AAF51B8" w14:textId="62105377" w:rsidR="003973B7" w:rsidRPr="0045764A" w:rsidRDefault="007860D1" w:rsidP="00C65330">
            <w:pPr>
              <w:rPr>
                <w:rFonts w:eastAsia="TimesNewRoman"/>
                <w:szCs w:val="22"/>
                <w:lang w:val="sr-Latn-ME"/>
              </w:rPr>
            </w:pPr>
            <w:r w:rsidRPr="0045764A">
              <w:rPr>
                <w:rFonts w:eastAsia="TimesNewRoman"/>
                <w:szCs w:val="22"/>
                <w:lang w:val="sr-Latn-ME"/>
              </w:rPr>
              <w:t>Veoma čest</w:t>
            </w:r>
            <w:r w:rsidR="00DF4B20" w:rsidRPr="0045764A">
              <w:rPr>
                <w:rFonts w:eastAsia="TimesNewRoman"/>
                <w:szCs w:val="22"/>
                <w:lang w:val="sr-Latn-ME"/>
              </w:rPr>
              <w:t>o</w:t>
            </w:r>
          </w:p>
        </w:tc>
        <w:tc>
          <w:tcPr>
            <w:tcW w:w="2007" w:type="dxa"/>
          </w:tcPr>
          <w:p w14:paraId="72DED376" w14:textId="672899B2" w:rsidR="003973B7" w:rsidRPr="0045764A" w:rsidRDefault="00885E75" w:rsidP="00654072">
            <w:pPr>
              <w:jc w:val="left"/>
              <w:rPr>
                <w:rFonts w:eastAsia="TimesNewRoman"/>
                <w:szCs w:val="22"/>
                <w:lang w:val="sr-Latn-ME"/>
              </w:rPr>
            </w:pPr>
            <w:r w:rsidRPr="0045764A">
              <w:rPr>
                <w:rFonts w:eastAsia="TimesNewRoman"/>
                <w:szCs w:val="22"/>
                <w:lang w:val="sr-Latn-ME"/>
              </w:rPr>
              <w:t>Smanjen apetit</w:t>
            </w:r>
          </w:p>
        </w:tc>
        <w:tc>
          <w:tcPr>
            <w:tcW w:w="1418" w:type="dxa"/>
          </w:tcPr>
          <w:p w14:paraId="69634AFA" w14:textId="1C470669" w:rsidR="003973B7" w:rsidRPr="0045764A" w:rsidRDefault="00C87BA0" w:rsidP="00C65330">
            <w:pPr>
              <w:rPr>
                <w:rFonts w:eastAsia="TimesNewRoman"/>
                <w:szCs w:val="22"/>
                <w:lang w:val="sr-Latn-ME"/>
              </w:rPr>
            </w:pPr>
            <w:r w:rsidRPr="0045764A">
              <w:rPr>
                <w:rFonts w:eastAsia="TimesNewRoman"/>
                <w:szCs w:val="22"/>
                <w:lang w:val="sr-Latn-ME"/>
              </w:rPr>
              <w:t>39,0</w:t>
            </w:r>
          </w:p>
        </w:tc>
        <w:tc>
          <w:tcPr>
            <w:tcW w:w="1134" w:type="dxa"/>
          </w:tcPr>
          <w:p w14:paraId="2140556E" w14:textId="566E2D01" w:rsidR="003973B7" w:rsidRPr="0045764A" w:rsidRDefault="00C87BA0" w:rsidP="00C65330">
            <w:pPr>
              <w:rPr>
                <w:rFonts w:eastAsia="TimesNewRoman"/>
                <w:szCs w:val="22"/>
                <w:lang w:val="sr-Latn-ME"/>
              </w:rPr>
            </w:pPr>
            <w:r w:rsidRPr="0045764A">
              <w:rPr>
                <w:rFonts w:eastAsia="TimesNewRoman"/>
                <w:szCs w:val="22"/>
                <w:lang w:val="sr-Latn-ME"/>
              </w:rPr>
              <w:t>3,6</w:t>
            </w:r>
          </w:p>
        </w:tc>
        <w:tc>
          <w:tcPr>
            <w:tcW w:w="1225" w:type="dxa"/>
          </w:tcPr>
          <w:p w14:paraId="3C1A130F" w14:textId="15D0B610" w:rsidR="003973B7" w:rsidRPr="0045764A" w:rsidRDefault="00C87BA0" w:rsidP="00C65330">
            <w:pPr>
              <w:rPr>
                <w:rFonts w:eastAsia="TimesNewRoman"/>
                <w:szCs w:val="22"/>
                <w:lang w:val="sr-Latn-ME"/>
              </w:rPr>
            </w:pPr>
            <w:r w:rsidRPr="0045764A">
              <w:rPr>
                <w:rFonts w:eastAsia="TimesNewRoman"/>
                <w:szCs w:val="22"/>
                <w:lang w:val="sr-Latn-ME"/>
              </w:rPr>
              <w:t>0,3</w:t>
            </w:r>
          </w:p>
        </w:tc>
      </w:tr>
      <w:tr w:rsidR="00E02F38" w:rsidRPr="0045764A" w14:paraId="530F3DE5" w14:textId="77777777" w:rsidTr="001E4272">
        <w:tc>
          <w:tcPr>
            <w:tcW w:w="1838" w:type="dxa"/>
            <w:vMerge/>
          </w:tcPr>
          <w:p w14:paraId="53F105C9" w14:textId="77777777" w:rsidR="00507B6C" w:rsidRPr="0045764A" w:rsidRDefault="00507B6C" w:rsidP="00654072">
            <w:pPr>
              <w:jc w:val="left"/>
              <w:rPr>
                <w:rFonts w:eastAsia="TimesNewRoman"/>
                <w:szCs w:val="22"/>
                <w:lang w:val="sr-Latn-ME"/>
              </w:rPr>
            </w:pPr>
          </w:p>
        </w:tc>
        <w:tc>
          <w:tcPr>
            <w:tcW w:w="1395" w:type="dxa"/>
            <w:vMerge w:val="restart"/>
          </w:tcPr>
          <w:p w14:paraId="6077D000" w14:textId="7D5031E1" w:rsidR="00507B6C" w:rsidRPr="0045764A" w:rsidRDefault="00A428F0" w:rsidP="00C65330">
            <w:pPr>
              <w:rPr>
                <w:rFonts w:eastAsia="TimesNewRoman"/>
                <w:szCs w:val="22"/>
                <w:lang w:val="sr-Latn-ME"/>
              </w:rPr>
            </w:pPr>
            <w:r w:rsidRPr="0045764A">
              <w:rPr>
                <w:rFonts w:eastAsia="TimesNewRoman"/>
                <w:szCs w:val="22"/>
                <w:lang w:val="sr-Latn-ME"/>
              </w:rPr>
              <w:t>Čest</w:t>
            </w:r>
            <w:r w:rsidR="001914DD" w:rsidRPr="0045764A">
              <w:rPr>
                <w:rFonts w:eastAsia="TimesNewRoman"/>
                <w:szCs w:val="22"/>
                <w:lang w:val="sr-Latn-ME"/>
              </w:rPr>
              <w:t>o</w:t>
            </w:r>
          </w:p>
        </w:tc>
        <w:tc>
          <w:tcPr>
            <w:tcW w:w="2007" w:type="dxa"/>
          </w:tcPr>
          <w:p w14:paraId="6F7383FD" w14:textId="320995D7" w:rsidR="00507B6C" w:rsidRPr="0045764A" w:rsidRDefault="003C0E23" w:rsidP="00654072">
            <w:pPr>
              <w:jc w:val="left"/>
              <w:rPr>
                <w:rFonts w:eastAsia="TimesNewRoman"/>
                <w:szCs w:val="22"/>
                <w:lang w:val="sr-Latn-ME"/>
              </w:rPr>
            </w:pPr>
            <w:r w:rsidRPr="0045764A">
              <w:rPr>
                <w:rFonts w:eastAsia="TimesNewRoman"/>
                <w:szCs w:val="22"/>
                <w:lang w:val="sr-Latn-ME"/>
              </w:rPr>
              <w:t>Dehidratacija</w:t>
            </w:r>
          </w:p>
        </w:tc>
        <w:tc>
          <w:tcPr>
            <w:tcW w:w="1418" w:type="dxa"/>
          </w:tcPr>
          <w:p w14:paraId="3D9B61A5" w14:textId="1B113D98" w:rsidR="00507B6C" w:rsidRPr="0045764A" w:rsidRDefault="0084341E" w:rsidP="00C65330">
            <w:pPr>
              <w:rPr>
                <w:rFonts w:eastAsia="TimesNewRoman"/>
                <w:szCs w:val="22"/>
                <w:lang w:val="sr-Latn-ME"/>
              </w:rPr>
            </w:pPr>
            <w:r w:rsidRPr="0045764A">
              <w:rPr>
                <w:rFonts w:eastAsia="TimesNewRoman"/>
                <w:szCs w:val="22"/>
                <w:lang w:val="sr-Latn-ME"/>
              </w:rPr>
              <w:t>6,7</w:t>
            </w:r>
          </w:p>
        </w:tc>
        <w:tc>
          <w:tcPr>
            <w:tcW w:w="1134" w:type="dxa"/>
          </w:tcPr>
          <w:p w14:paraId="0CFDBD9A" w14:textId="39B2F54C" w:rsidR="00507B6C" w:rsidRPr="0045764A" w:rsidRDefault="00545A6E" w:rsidP="00C65330">
            <w:pPr>
              <w:rPr>
                <w:rFonts w:eastAsia="TimesNewRoman"/>
                <w:szCs w:val="22"/>
                <w:lang w:val="sr-Latn-ME"/>
              </w:rPr>
            </w:pPr>
            <w:r w:rsidRPr="0045764A">
              <w:rPr>
                <w:rFonts w:eastAsia="TimesNewRoman"/>
                <w:szCs w:val="22"/>
                <w:lang w:val="sr-Latn-ME"/>
              </w:rPr>
              <w:t>3,1</w:t>
            </w:r>
          </w:p>
        </w:tc>
        <w:tc>
          <w:tcPr>
            <w:tcW w:w="1225" w:type="dxa"/>
          </w:tcPr>
          <w:p w14:paraId="7D5F7B6F" w14:textId="62E3925B" w:rsidR="00507B6C" w:rsidRPr="0045764A" w:rsidRDefault="00545A6E" w:rsidP="00C65330">
            <w:pPr>
              <w:rPr>
                <w:rFonts w:eastAsia="TimesNewRoman"/>
                <w:szCs w:val="22"/>
                <w:lang w:val="sr-Latn-ME"/>
              </w:rPr>
            </w:pPr>
            <w:r w:rsidRPr="0045764A">
              <w:rPr>
                <w:rFonts w:eastAsia="TimesNewRoman"/>
                <w:szCs w:val="22"/>
                <w:lang w:val="sr-Latn-ME"/>
              </w:rPr>
              <w:t>0,3</w:t>
            </w:r>
          </w:p>
        </w:tc>
      </w:tr>
      <w:tr w:rsidR="00E02F38" w:rsidRPr="0045764A" w14:paraId="21481F95" w14:textId="77777777" w:rsidTr="001E4272">
        <w:tc>
          <w:tcPr>
            <w:tcW w:w="1838" w:type="dxa"/>
            <w:vMerge/>
          </w:tcPr>
          <w:p w14:paraId="74EB4911" w14:textId="77777777" w:rsidR="00507B6C" w:rsidRPr="0045764A" w:rsidRDefault="00507B6C" w:rsidP="00654072">
            <w:pPr>
              <w:jc w:val="left"/>
              <w:rPr>
                <w:rFonts w:eastAsia="TimesNewRoman"/>
                <w:szCs w:val="22"/>
                <w:lang w:val="sr-Latn-ME"/>
              </w:rPr>
            </w:pPr>
          </w:p>
        </w:tc>
        <w:tc>
          <w:tcPr>
            <w:tcW w:w="1395" w:type="dxa"/>
            <w:vMerge/>
          </w:tcPr>
          <w:p w14:paraId="015EFAC1" w14:textId="77777777" w:rsidR="00507B6C" w:rsidRPr="0045764A" w:rsidRDefault="00507B6C" w:rsidP="00C65330">
            <w:pPr>
              <w:rPr>
                <w:rFonts w:eastAsia="TimesNewRoman"/>
                <w:szCs w:val="22"/>
                <w:lang w:val="sr-Latn-ME"/>
              </w:rPr>
            </w:pPr>
          </w:p>
        </w:tc>
        <w:tc>
          <w:tcPr>
            <w:tcW w:w="2007" w:type="dxa"/>
          </w:tcPr>
          <w:p w14:paraId="33C66F0B" w14:textId="52813000" w:rsidR="00507B6C" w:rsidRPr="0045764A" w:rsidRDefault="009244F1" w:rsidP="00654072">
            <w:pPr>
              <w:jc w:val="left"/>
              <w:rPr>
                <w:rFonts w:eastAsia="TimesNewRoman"/>
                <w:szCs w:val="22"/>
                <w:lang w:val="sr-Latn-ME"/>
              </w:rPr>
            </w:pPr>
            <w:proofErr w:type="spellStart"/>
            <w:r w:rsidRPr="0045764A">
              <w:rPr>
                <w:rFonts w:eastAsia="TimesNewRoman"/>
                <w:szCs w:val="22"/>
                <w:lang w:val="sr-Latn-ME"/>
              </w:rPr>
              <w:t>Hiperkalemija</w:t>
            </w:r>
            <w:proofErr w:type="spellEnd"/>
          </w:p>
        </w:tc>
        <w:tc>
          <w:tcPr>
            <w:tcW w:w="1418" w:type="dxa"/>
          </w:tcPr>
          <w:p w14:paraId="5E9EC3ED" w14:textId="6D68B76F" w:rsidR="00507B6C" w:rsidRPr="0045764A" w:rsidRDefault="00545A6E" w:rsidP="00C65330">
            <w:pPr>
              <w:rPr>
                <w:rFonts w:eastAsia="TimesNewRoman"/>
                <w:szCs w:val="22"/>
                <w:lang w:val="sr-Latn-ME"/>
              </w:rPr>
            </w:pPr>
            <w:r w:rsidRPr="0045764A">
              <w:rPr>
                <w:rFonts w:eastAsia="TimesNewRoman"/>
                <w:szCs w:val="22"/>
                <w:lang w:val="sr-Latn-ME"/>
              </w:rPr>
              <w:t>2,7</w:t>
            </w:r>
          </w:p>
        </w:tc>
        <w:tc>
          <w:tcPr>
            <w:tcW w:w="1134" w:type="dxa"/>
          </w:tcPr>
          <w:p w14:paraId="0BCF32A8" w14:textId="560D8E62" w:rsidR="00507B6C" w:rsidRPr="0045764A" w:rsidRDefault="00D9753B" w:rsidP="00C65330">
            <w:pPr>
              <w:rPr>
                <w:rFonts w:eastAsia="TimesNewRoman"/>
                <w:szCs w:val="22"/>
                <w:lang w:val="sr-Latn-ME"/>
              </w:rPr>
            </w:pPr>
            <w:r w:rsidRPr="0045764A">
              <w:rPr>
                <w:rFonts w:eastAsia="TimesNewRoman"/>
                <w:szCs w:val="22"/>
                <w:lang w:val="sr-Latn-ME"/>
              </w:rPr>
              <w:t>1,2</w:t>
            </w:r>
          </w:p>
        </w:tc>
        <w:tc>
          <w:tcPr>
            <w:tcW w:w="1225" w:type="dxa"/>
          </w:tcPr>
          <w:p w14:paraId="26D700D8" w14:textId="72006604" w:rsidR="00507B6C" w:rsidRPr="0045764A" w:rsidRDefault="00D9753B" w:rsidP="00C65330">
            <w:pPr>
              <w:rPr>
                <w:rFonts w:eastAsia="TimesNewRoman"/>
                <w:szCs w:val="22"/>
                <w:lang w:val="sr-Latn-ME"/>
              </w:rPr>
            </w:pPr>
            <w:r w:rsidRPr="0045764A">
              <w:rPr>
                <w:rFonts w:eastAsia="TimesNewRoman"/>
                <w:szCs w:val="22"/>
                <w:lang w:val="sr-Latn-ME"/>
              </w:rPr>
              <w:t>0,1</w:t>
            </w:r>
          </w:p>
        </w:tc>
      </w:tr>
      <w:tr w:rsidR="00E02F38" w:rsidRPr="0045764A" w14:paraId="01BB9389" w14:textId="77777777" w:rsidTr="001E4272">
        <w:tc>
          <w:tcPr>
            <w:tcW w:w="1838" w:type="dxa"/>
            <w:vMerge/>
          </w:tcPr>
          <w:p w14:paraId="6A884443" w14:textId="77777777" w:rsidR="00507B6C" w:rsidRPr="0045764A" w:rsidRDefault="00507B6C" w:rsidP="00654072">
            <w:pPr>
              <w:jc w:val="left"/>
              <w:rPr>
                <w:rFonts w:eastAsia="TimesNewRoman"/>
                <w:szCs w:val="22"/>
                <w:lang w:val="sr-Latn-ME"/>
              </w:rPr>
            </w:pPr>
          </w:p>
        </w:tc>
        <w:tc>
          <w:tcPr>
            <w:tcW w:w="1395" w:type="dxa"/>
            <w:vMerge/>
          </w:tcPr>
          <w:p w14:paraId="08AF9CD4" w14:textId="77777777" w:rsidR="00507B6C" w:rsidRPr="0045764A" w:rsidRDefault="00507B6C" w:rsidP="00C65330">
            <w:pPr>
              <w:rPr>
                <w:rFonts w:eastAsia="TimesNewRoman"/>
                <w:szCs w:val="22"/>
                <w:lang w:val="sr-Latn-ME"/>
              </w:rPr>
            </w:pPr>
          </w:p>
        </w:tc>
        <w:tc>
          <w:tcPr>
            <w:tcW w:w="2007" w:type="dxa"/>
          </w:tcPr>
          <w:p w14:paraId="5420265D" w14:textId="3CF236A5" w:rsidR="00507B6C" w:rsidRPr="0045764A" w:rsidRDefault="00796C96" w:rsidP="00654072">
            <w:pPr>
              <w:jc w:val="left"/>
              <w:rPr>
                <w:rFonts w:eastAsia="TimesNewRoman"/>
                <w:szCs w:val="22"/>
                <w:lang w:val="sr-Latn-ME"/>
              </w:rPr>
            </w:pPr>
            <w:proofErr w:type="spellStart"/>
            <w:r w:rsidRPr="0045764A">
              <w:rPr>
                <w:rFonts w:eastAsia="TimesNewRoman"/>
                <w:szCs w:val="22"/>
                <w:lang w:val="sr-Latn-ME"/>
              </w:rPr>
              <w:t>Hiperkalcemija</w:t>
            </w:r>
            <w:proofErr w:type="spellEnd"/>
          </w:p>
        </w:tc>
        <w:tc>
          <w:tcPr>
            <w:tcW w:w="1418" w:type="dxa"/>
          </w:tcPr>
          <w:p w14:paraId="706CA436" w14:textId="6CC1C24F" w:rsidR="00507B6C" w:rsidRPr="0045764A" w:rsidRDefault="009C168F" w:rsidP="00C65330">
            <w:pPr>
              <w:rPr>
                <w:rFonts w:eastAsia="TimesNewRoman"/>
                <w:szCs w:val="22"/>
                <w:lang w:val="sr-Latn-ME"/>
              </w:rPr>
            </w:pPr>
            <w:r w:rsidRPr="0045764A">
              <w:rPr>
                <w:rFonts w:eastAsia="TimesNewRoman"/>
                <w:szCs w:val="22"/>
                <w:lang w:val="sr-Latn-ME"/>
              </w:rPr>
              <w:t>2,2</w:t>
            </w:r>
          </w:p>
        </w:tc>
        <w:tc>
          <w:tcPr>
            <w:tcW w:w="1134" w:type="dxa"/>
          </w:tcPr>
          <w:p w14:paraId="12E49113" w14:textId="4BF26DB8" w:rsidR="00507B6C" w:rsidRPr="0045764A" w:rsidRDefault="009C168F" w:rsidP="00C65330">
            <w:pPr>
              <w:rPr>
                <w:rFonts w:eastAsia="TimesNewRoman"/>
                <w:szCs w:val="22"/>
                <w:lang w:val="sr-Latn-ME"/>
              </w:rPr>
            </w:pPr>
            <w:r w:rsidRPr="0045764A">
              <w:rPr>
                <w:rFonts w:eastAsia="TimesNewRoman"/>
                <w:szCs w:val="22"/>
                <w:lang w:val="sr-Latn-ME"/>
              </w:rPr>
              <w:t>0,1</w:t>
            </w:r>
          </w:p>
        </w:tc>
        <w:tc>
          <w:tcPr>
            <w:tcW w:w="1225" w:type="dxa"/>
          </w:tcPr>
          <w:p w14:paraId="659E3747" w14:textId="5C0EB8A5" w:rsidR="00507B6C" w:rsidRPr="0045764A" w:rsidRDefault="009C168F" w:rsidP="00C65330">
            <w:pPr>
              <w:rPr>
                <w:rFonts w:eastAsia="TimesNewRoman"/>
                <w:szCs w:val="22"/>
                <w:lang w:val="sr-Latn-ME"/>
              </w:rPr>
            </w:pPr>
            <w:r w:rsidRPr="0045764A">
              <w:rPr>
                <w:rFonts w:eastAsia="TimesNewRoman"/>
                <w:szCs w:val="22"/>
                <w:lang w:val="sr-Latn-ME"/>
              </w:rPr>
              <w:t>0,3</w:t>
            </w:r>
          </w:p>
        </w:tc>
      </w:tr>
      <w:tr w:rsidR="00E02F38" w:rsidRPr="0045764A" w14:paraId="1C010E59" w14:textId="77777777" w:rsidTr="001E4272">
        <w:tc>
          <w:tcPr>
            <w:tcW w:w="1838" w:type="dxa"/>
            <w:vMerge w:val="restart"/>
          </w:tcPr>
          <w:p w14:paraId="3FAF4043" w14:textId="4FF8B9A9" w:rsidR="00437301" w:rsidRPr="0045764A" w:rsidRDefault="00437301" w:rsidP="00654072">
            <w:pPr>
              <w:jc w:val="left"/>
              <w:rPr>
                <w:rFonts w:eastAsia="TimesNewRoman"/>
                <w:i/>
                <w:iCs/>
                <w:szCs w:val="22"/>
                <w:lang w:val="sr-Latn-ME"/>
              </w:rPr>
            </w:pPr>
            <w:r w:rsidRPr="0045764A">
              <w:rPr>
                <w:rFonts w:eastAsia="TimesNewRoman"/>
                <w:i/>
                <w:iCs/>
                <w:szCs w:val="22"/>
                <w:lang w:val="sr-Latn-ME"/>
              </w:rPr>
              <w:t>Poremećaji nervnog sistema</w:t>
            </w:r>
          </w:p>
        </w:tc>
        <w:tc>
          <w:tcPr>
            <w:tcW w:w="1395" w:type="dxa"/>
            <w:vMerge w:val="restart"/>
          </w:tcPr>
          <w:p w14:paraId="41412048" w14:textId="6D818C4C" w:rsidR="00437301" w:rsidRPr="0045764A" w:rsidRDefault="00D07D2B" w:rsidP="00C65330">
            <w:pPr>
              <w:rPr>
                <w:rFonts w:eastAsia="TimesNewRoman"/>
                <w:szCs w:val="22"/>
                <w:lang w:val="sr-Latn-ME"/>
              </w:rPr>
            </w:pPr>
            <w:r w:rsidRPr="0045764A">
              <w:rPr>
                <w:rFonts w:eastAsia="TimesNewRoman"/>
                <w:szCs w:val="22"/>
                <w:lang w:val="sr-Latn-ME"/>
              </w:rPr>
              <w:t>Veoma čest</w:t>
            </w:r>
            <w:r w:rsidR="001914DD" w:rsidRPr="0045764A">
              <w:rPr>
                <w:rFonts w:eastAsia="TimesNewRoman"/>
                <w:szCs w:val="22"/>
                <w:lang w:val="sr-Latn-ME"/>
              </w:rPr>
              <w:t>o</w:t>
            </w:r>
          </w:p>
        </w:tc>
        <w:tc>
          <w:tcPr>
            <w:tcW w:w="2007" w:type="dxa"/>
          </w:tcPr>
          <w:p w14:paraId="7A80511B" w14:textId="7631E794" w:rsidR="00437301" w:rsidRPr="0045764A" w:rsidRDefault="00755FB5" w:rsidP="00654072">
            <w:pPr>
              <w:jc w:val="left"/>
              <w:rPr>
                <w:rFonts w:eastAsia="TimesNewRoman"/>
                <w:szCs w:val="22"/>
                <w:lang w:val="sr-Latn-ME"/>
              </w:rPr>
            </w:pPr>
            <w:r w:rsidRPr="0045764A">
              <w:rPr>
                <w:rFonts w:eastAsia="TimesNewRoman"/>
                <w:szCs w:val="22"/>
                <w:lang w:val="sr-Latn-ME"/>
              </w:rPr>
              <w:t>Glavobolja</w:t>
            </w:r>
          </w:p>
        </w:tc>
        <w:tc>
          <w:tcPr>
            <w:tcW w:w="1418" w:type="dxa"/>
          </w:tcPr>
          <w:p w14:paraId="27B468AE" w14:textId="02D35036" w:rsidR="00437301" w:rsidRPr="0045764A" w:rsidRDefault="005D3B0A" w:rsidP="00C65330">
            <w:pPr>
              <w:rPr>
                <w:rFonts w:eastAsia="TimesNewRoman"/>
                <w:szCs w:val="22"/>
                <w:lang w:val="sr-Latn-ME"/>
              </w:rPr>
            </w:pPr>
            <w:r w:rsidRPr="0045764A">
              <w:rPr>
                <w:rFonts w:eastAsia="TimesNewRoman"/>
                <w:szCs w:val="22"/>
                <w:lang w:val="sr-Latn-ME"/>
              </w:rPr>
              <w:t>16,2</w:t>
            </w:r>
          </w:p>
        </w:tc>
        <w:tc>
          <w:tcPr>
            <w:tcW w:w="1134" w:type="dxa"/>
          </w:tcPr>
          <w:p w14:paraId="4F209607" w14:textId="7E895D1C" w:rsidR="00437301" w:rsidRPr="0045764A" w:rsidRDefault="005D3B0A" w:rsidP="00C65330">
            <w:pPr>
              <w:rPr>
                <w:rFonts w:eastAsia="TimesNewRoman"/>
                <w:szCs w:val="22"/>
                <w:lang w:val="sr-Latn-ME"/>
              </w:rPr>
            </w:pPr>
            <w:r w:rsidRPr="0045764A">
              <w:rPr>
                <w:rFonts w:eastAsia="TimesNewRoman"/>
                <w:szCs w:val="22"/>
                <w:lang w:val="sr-Latn-ME"/>
              </w:rPr>
              <w:t>0,7</w:t>
            </w:r>
          </w:p>
        </w:tc>
        <w:tc>
          <w:tcPr>
            <w:tcW w:w="1225" w:type="dxa"/>
          </w:tcPr>
          <w:p w14:paraId="30287AF0" w14:textId="76C5F2D4" w:rsidR="00437301" w:rsidRPr="0045764A" w:rsidRDefault="005D3B0A" w:rsidP="00C65330">
            <w:pPr>
              <w:rPr>
                <w:rFonts w:eastAsia="TimesNewRoman"/>
                <w:szCs w:val="22"/>
                <w:lang w:val="sr-Latn-ME"/>
              </w:rPr>
            </w:pPr>
            <w:r w:rsidRPr="0045764A">
              <w:rPr>
                <w:rFonts w:eastAsia="TimesNewRoman"/>
                <w:szCs w:val="22"/>
                <w:lang w:val="sr-Latn-ME"/>
              </w:rPr>
              <w:t>0</w:t>
            </w:r>
          </w:p>
        </w:tc>
      </w:tr>
      <w:tr w:rsidR="00E02F38" w:rsidRPr="0045764A" w14:paraId="6B9E6C2C" w14:textId="77777777" w:rsidTr="001E4272">
        <w:tc>
          <w:tcPr>
            <w:tcW w:w="1838" w:type="dxa"/>
            <w:vMerge/>
          </w:tcPr>
          <w:p w14:paraId="3C119E93" w14:textId="77777777" w:rsidR="00437301" w:rsidRPr="0045764A" w:rsidRDefault="00437301" w:rsidP="00654072">
            <w:pPr>
              <w:jc w:val="left"/>
              <w:rPr>
                <w:rFonts w:eastAsia="TimesNewRoman"/>
                <w:szCs w:val="22"/>
                <w:lang w:val="sr-Latn-ME"/>
              </w:rPr>
            </w:pPr>
          </w:p>
        </w:tc>
        <w:tc>
          <w:tcPr>
            <w:tcW w:w="1395" w:type="dxa"/>
            <w:vMerge/>
          </w:tcPr>
          <w:p w14:paraId="0AFD369C" w14:textId="77777777" w:rsidR="00437301" w:rsidRPr="0045764A" w:rsidRDefault="00437301" w:rsidP="00C65330">
            <w:pPr>
              <w:rPr>
                <w:rFonts w:eastAsia="TimesNewRoman"/>
                <w:szCs w:val="22"/>
                <w:lang w:val="sr-Latn-ME"/>
              </w:rPr>
            </w:pPr>
          </w:p>
        </w:tc>
        <w:tc>
          <w:tcPr>
            <w:tcW w:w="2007" w:type="dxa"/>
          </w:tcPr>
          <w:p w14:paraId="2F24C3E8" w14:textId="7C06022B" w:rsidR="00437301" w:rsidRPr="0045764A" w:rsidRDefault="000C5580" w:rsidP="00654072">
            <w:pPr>
              <w:jc w:val="left"/>
              <w:rPr>
                <w:rFonts w:eastAsia="TimesNewRoman"/>
                <w:szCs w:val="22"/>
                <w:lang w:val="sr-Latn-ME"/>
              </w:rPr>
            </w:pPr>
            <w:proofErr w:type="spellStart"/>
            <w:r w:rsidRPr="0045764A">
              <w:rPr>
                <w:rFonts w:eastAsia="TimesNewRoman"/>
                <w:szCs w:val="22"/>
                <w:lang w:val="sr-Latn-ME"/>
              </w:rPr>
              <w:t>Disgeuzija</w:t>
            </w:r>
            <w:proofErr w:type="spellEnd"/>
          </w:p>
        </w:tc>
        <w:tc>
          <w:tcPr>
            <w:tcW w:w="1418" w:type="dxa"/>
          </w:tcPr>
          <w:p w14:paraId="307C6ED4" w14:textId="0958B872" w:rsidR="00437301" w:rsidRPr="0045764A" w:rsidRDefault="00F10523" w:rsidP="00C65330">
            <w:pPr>
              <w:rPr>
                <w:rFonts w:eastAsia="TimesNewRoman"/>
                <w:szCs w:val="22"/>
                <w:lang w:val="sr-Latn-ME"/>
              </w:rPr>
            </w:pPr>
            <w:r w:rsidRPr="0045764A">
              <w:rPr>
                <w:rFonts w:eastAsia="TimesNewRoman"/>
                <w:szCs w:val="22"/>
                <w:lang w:val="sr-Latn-ME"/>
              </w:rPr>
              <w:t>11,5</w:t>
            </w:r>
          </w:p>
        </w:tc>
        <w:tc>
          <w:tcPr>
            <w:tcW w:w="1134" w:type="dxa"/>
          </w:tcPr>
          <w:p w14:paraId="30B482CC" w14:textId="2BA8AA2F" w:rsidR="00437301" w:rsidRPr="0045764A" w:rsidRDefault="00F10523" w:rsidP="00C65330">
            <w:pPr>
              <w:rPr>
                <w:rFonts w:eastAsia="TimesNewRoman"/>
                <w:szCs w:val="22"/>
                <w:lang w:val="sr-Latn-ME"/>
              </w:rPr>
            </w:pPr>
            <w:r w:rsidRPr="0045764A">
              <w:rPr>
                <w:rFonts w:eastAsia="TimesNewRoman"/>
                <w:szCs w:val="22"/>
                <w:lang w:val="sr-Latn-ME"/>
              </w:rPr>
              <w:t>0</w:t>
            </w:r>
          </w:p>
        </w:tc>
        <w:tc>
          <w:tcPr>
            <w:tcW w:w="1225" w:type="dxa"/>
          </w:tcPr>
          <w:p w14:paraId="180AA667" w14:textId="00958C78" w:rsidR="00437301" w:rsidRPr="0045764A" w:rsidRDefault="00F10523" w:rsidP="00C65330">
            <w:pPr>
              <w:rPr>
                <w:rFonts w:eastAsia="TimesNewRoman"/>
                <w:szCs w:val="22"/>
                <w:lang w:val="sr-Latn-ME"/>
              </w:rPr>
            </w:pPr>
            <w:r w:rsidRPr="0045764A">
              <w:rPr>
                <w:rFonts w:eastAsia="TimesNewRoman"/>
                <w:szCs w:val="22"/>
                <w:lang w:val="sr-Latn-ME"/>
              </w:rPr>
              <w:t>0</w:t>
            </w:r>
          </w:p>
        </w:tc>
      </w:tr>
      <w:tr w:rsidR="00E02F38" w:rsidRPr="0045764A" w14:paraId="21FF1C5C" w14:textId="77777777" w:rsidTr="001E4272">
        <w:tc>
          <w:tcPr>
            <w:tcW w:w="1838" w:type="dxa"/>
            <w:vMerge/>
          </w:tcPr>
          <w:p w14:paraId="7216B7DB" w14:textId="77777777" w:rsidR="005F7DAE" w:rsidRPr="0045764A" w:rsidRDefault="005F7DAE" w:rsidP="00654072">
            <w:pPr>
              <w:jc w:val="left"/>
              <w:rPr>
                <w:rFonts w:eastAsia="TimesNewRoman"/>
                <w:szCs w:val="22"/>
                <w:lang w:val="sr-Latn-ME"/>
              </w:rPr>
            </w:pPr>
          </w:p>
        </w:tc>
        <w:tc>
          <w:tcPr>
            <w:tcW w:w="1395" w:type="dxa"/>
          </w:tcPr>
          <w:p w14:paraId="6C983096" w14:textId="1DF02FA1" w:rsidR="005F7DAE" w:rsidRPr="0045764A" w:rsidRDefault="00D07D2B" w:rsidP="00C65330">
            <w:pPr>
              <w:rPr>
                <w:rFonts w:eastAsia="TimesNewRoman"/>
                <w:szCs w:val="22"/>
                <w:lang w:val="sr-Latn-ME"/>
              </w:rPr>
            </w:pPr>
            <w:r w:rsidRPr="0045764A">
              <w:rPr>
                <w:rFonts w:eastAsia="TimesNewRoman"/>
                <w:szCs w:val="22"/>
                <w:lang w:val="sr-Latn-ME"/>
              </w:rPr>
              <w:t>Čest</w:t>
            </w:r>
            <w:r w:rsidR="001914DD" w:rsidRPr="0045764A">
              <w:rPr>
                <w:rFonts w:eastAsia="TimesNewRoman"/>
                <w:szCs w:val="22"/>
                <w:lang w:val="sr-Latn-ME"/>
              </w:rPr>
              <w:t>o</w:t>
            </w:r>
          </w:p>
        </w:tc>
        <w:tc>
          <w:tcPr>
            <w:tcW w:w="2007" w:type="dxa"/>
          </w:tcPr>
          <w:p w14:paraId="258CD737" w14:textId="141B9FEA" w:rsidR="005F7DAE" w:rsidRPr="0045764A" w:rsidRDefault="000C5580" w:rsidP="00654072">
            <w:pPr>
              <w:jc w:val="left"/>
              <w:rPr>
                <w:rFonts w:eastAsia="TimesNewRoman"/>
                <w:szCs w:val="22"/>
                <w:lang w:val="sr-Latn-ME"/>
              </w:rPr>
            </w:pPr>
            <w:r w:rsidRPr="0045764A">
              <w:rPr>
                <w:rFonts w:eastAsia="TimesNewRoman"/>
                <w:szCs w:val="22"/>
                <w:lang w:val="sr-Latn-ME"/>
              </w:rPr>
              <w:t>Vrtoglavica</w:t>
            </w:r>
          </w:p>
        </w:tc>
        <w:tc>
          <w:tcPr>
            <w:tcW w:w="1418" w:type="dxa"/>
          </w:tcPr>
          <w:p w14:paraId="2729220A" w14:textId="4223C217" w:rsidR="005F7DAE" w:rsidRPr="0045764A" w:rsidRDefault="00F10523" w:rsidP="00C65330">
            <w:pPr>
              <w:rPr>
                <w:rFonts w:eastAsia="TimesNewRoman"/>
                <w:szCs w:val="22"/>
                <w:lang w:val="sr-Latn-ME"/>
              </w:rPr>
            </w:pPr>
            <w:r w:rsidRPr="0045764A">
              <w:rPr>
                <w:rFonts w:eastAsia="TimesNewRoman"/>
                <w:szCs w:val="22"/>
                <w:lang w:val="sr-Latn-ME"/>
              </w:rPr>
              <w:t>9,1</w:t>
            </w:r>
          </w:p>
        </w:tc>
        <w:tc>
          <w:tcPr>
            <w:tcW w:w="1134" w:type="dxa"/>
          </w:tcPr>
          <w:p w14:paraId="700B90ED" w14:textId="46753FB8" w:rsidR="005F7DAE" w:rsidRPr="0045764A" w:rsidRDefault="00443EFD" w:rsidP="00C65330">
            <w:pPr>
              <w:rPr>
                <w:rFonts w:eastAsia="TimesNewRoman"/>
                <w:szCs w:val="22"/>
                <w:lang w:val="sr-Latn-ME"/>
              </w:rPr>
            </w:pPr>
            <w:r w:rsidRPr="0045764A">
              <w:rPr>
                <w:rFonts w:eastAsia="TimesNewRoman"/>
                <w:szCs w:val="22"/>
                <w:lang w:val="sr-Latn-ME"/>
              </w:rPr>
              <w:t>0,6</w:t>
            </w:r>
          </w:p>
        </w:tc>
        <w:tc>
          <w:tcPr>
            <w:tcW w:w="1225" w:type="dxa"/>
          </w:tcPr>
          <w:p w14:paraId="06C3D640" w14:textId="1B1A4771" w:rsidR="005F7DAE" w:rsidRPr="0045764A" w:rsidRDefault="00443EFD" w:rsidP="00C65330">
            <w:pPr>
              <w:rPr>
                <w:rFonts w:eastAsia="TimesNewRoman"/>
                <w:szCs w:val="22"/>
                <w:lang w:val="sr-Latn-ME"/>
              </w:rPr>
            </w:pPr>
            <w:r w:rsidRPr="0045764A">
              <w:rPr>
                <w:rFonts w:eastAsia="TimesNewRoman"/>
                <w:szCs w:val="22"/>
                <w:lang w:val="sr-Latn-ME"/>
              </w:rPr>
              <w:t>0</w:t>
            </w:r>
          </w:p>
        </w:tc>
      </w:tr>
      <w:tr w:rsidR="00E02F38" w:rsidRPr="0045764A" w14:paraId="1E99CFE0" w14:textId="77777777" w:rsidTr="001E4272">
        <w:tc>
          <w:tcPr>
            <w:tcW w:w="1838" w:type="dxa"/>
            <w:vMerge/>
          </w:tcPr>
          <w:p w14:paraId="50984484" w14:textId="77777777" w:rsidR="005F7DAE" w:rsidRPr="0045764A" w:rsidRDefault="005F7DAE" w:rsidP="00654072">
            <w:pPr>
              <w:jc w:val="left"/>
              <w:rPr>
                <w:rFonts w:eastAsia="TimesNewRoman"/>
                <w:szCs w:val="22"/>
                <w:lang w:val="sr-Latn-ME"/>
              </w:rPr>
            </w:pPr>
          </w:p>
        </w:tc>
        <w:tc>
          <w:tcPr>
            <w:tcW w:w="1395" w:type="dxa"/>
          </w:tcPr>
          <w:p w14:paraId="7C896094" w14:textId="1C0BB8C2" w:rsidR="005F7DAE" w:rsidRPr="0045764A" w:rsidRDefault="00D07D2B" w:rsidP="00C65330">
            <w:pPr>
              <w:rPr>
                <w:rFonts w:eastAsia="TimesNewRoman"/>
                <w:szCs w:val="22"/>
                <w:lang w:val="sr-Latn-ME"/>
              </w:rPr>
            </w:pPr>
            <w:r w:rsidRPr="0045764A">
              <w:rPr>
                <w:rFonts w:eastAsia="TimesNewRoman"/>
                <w:szCs w:val="22"/>
                <w:lang w:val="sr-Latn-ME"/>
              </w:rPr>
              <w:t>Povremen</w:t>
            </w:r>
            <w:r w:rsidR="001914DD" w:rsidRPr="0045764A">
              <w:rPr>
                <w:rFonts w:eastAsia="TimesNewRoman"/>
                <w:szCs w:val="22"/>
                <w:lang w:val="sr-Latn-ME"/>
              </w:rPr>
              <w:t>o</w:t>
            </w:r>
          </w:p>
        </w:tc>
        <w:tc>
          <w:tcPr>
            <w:tcW w:w="2007" w:type="dxa"/>
          </w:tcPr>
          <w:p w14:paraId="1F4E7209" w14:textId="77777777" w:rsidR="00A618E6" w:rsidRPr="0045764A" w:rsidRDefault="00A618E6" w:rsidP="00654072">
            <w:pPr>
              <w:tabs>
                <w:tab w:val="clear" w:pos="284"/>
              </w:tabs>
              <w:autoSpaceDE w:val="0"/>
              <w:autoSpaceDN w:val="0"/>
              <w:adjustRightInd w:val="0"/>
              <w:jc w:val="left"/>
              <w:rPr>
                <w:rFonts w:eastAsia="TimesNewRoman"/>
                <w:szCs w:val="22"/>
                <w:lang w:val="sr-Latn-ME"/>
              </w:rPr>
            </w:pPr>
            <w:r w:rsidRPr="0045764A">
              <w:rPr>
                <w:rFonts w:eastAsia="TimesNewRoman"/>
                <w:szCs w:val="22"/>
                <w:lang w:val="sr-Latn-ME"/>
              </w:rPr>
              <w:t>Sindrom posteriorne</w:t>
            </w:r>
          </w:p>
          <w:p w14:paraId="1F7988F5" w14:textId="77777777" w:rsidR="00A618E6" w:rsidRPr="0045764A" w:rsidRDefault="00A618E6" w:rsidP="00654072">
            <w:pPr>
              <w:tabs>
                <w:tab w:val="clear" w:pos="284"/>
              </w:tabs>
              <w:autoSpaceDE w:val="0"/>
              <w:autoSpaceDN w:val="0"/>
              <w:adjustRightInd w:val="0"/>
              <w:jc w:val="left"/>
              <w:rPr>
                <w:rFonts w:eastAsia="TimesNewRoman"/>
                <w:szCs w:val="22"/>
                <w:lang w:val="sr-Latn-ME"/>
              </w:rPr>
            </w:pPr>
            <w:proofErr w:type="spellStart"/>
            <w:r w:rsidRPr="0045764A">
              <w:rPr>
                <w:rFonts w:eastAsia="TimesNewRoman"/>
                <w:szCs w:val="22"/>
                <w:lang w:val="sr-Latn-ME"/>
              </w:rPr>
              <w:t>reverzibilne</w:t>
            </w:r>
            <w:proofErr w:type="spellEnd"/>
          </w:p>
          <w:p w14:paraId="3D4B0BCC" w14:textId="1487CFA3" w:rsidR="005F7DAE" w:rsidRPr="0045764A" w:rsidRDefault="00A618E6" w:rsidP="00654072">
            <w:pPr>
              <w:jc w:val="left"/>
              <w:rPr>
                <w:rFonts w:eastAsia="TimesNewRoman"/>
                <w:szCs w:val="22"/>
                <w:lang w:val="sr-Latn-ME"/>
              </w:rPr>
            </w:pPr>
            <w:proofErr w:type="spellStart"/>
            <w:r w:rsidRPr="0045764A">
              <w:rPr>
                <w:rFonts w:eastAsia="TimesNewRoman"/>
                <w:szCs w:val="22"/>
                <w:lang w:val="sr-Latn-ME"/>
              </w:rPr>
              <w:t>encefalopatije</w:t>
            </w:r>
            <w:r w:rsidRPr="0045764A">
              <w:rPr>
                <w:rFonts w:eastAsia="TimesNewRoman"/>
                <w:szCs w:val="22"/>
                <w:vertAlign w:val="superscript"/>
                <w:lang w:val="sr-Latn-ME"/>
              </w:rPr>
              <w:t>e</w:t>
            </w:r>
            <w:proofErr w:type="spellEnd"/>
          </w:p>
        </w:tc>
        <w:tc>
          <w:tcPr>
            <w:tcW w:w="1418" w:type="dxa"/>
          </w:tcPr>
          <w:p w14:paraId="031058AC" w14:textId="11F0A541" w:rsidR="005F7DAE" w:rsidRPr="0045764A" w:rsidRDefault="00830818" w:rsidP="00C65330">
            <w:pPr>
              <w:rPr>
                <w:rFonts w:eastAsia="TimesNewRoman"/>
                <w:szCs w:val="22"/>
                <w:lang w:val="sr-Latn-ME"/>
              </w:rPr>
            </w:pPr>
            <w:r w:rsidRPr="0045764A">
              <w:rPr>
                <w:rFonts w:eastAsia="TimesNewRoman"/>
                <w:szCs w:val="22"/>
                <w:lang w:val="sr-Latn-ME"/>
              </w:rPr>
              <w:t>0,3</w:t>
            </w:r>
          </w:p>
        </w:tc>
        <w:tc>
          <w:tcPr>
            <w:tcW w:w="1134" w:type="dxa"/>
          </w:tcPr>
          <w:p w14:paraId="25265D82" w14:textId="462D19C7" w:rsidR="005F7DAE" w:rsidRPr="0045764A" w:rsidRDefault="00F024E2" w:rsidP="00C65330">
            <w:pPr>
              <w:rPr>
                <w:rFonts w:eastAsia="TimesNewRoman"/>
                <w:szCs w:val="22"/>
                <w:lang w:val="sr-Latn-ME"/>
              </w:rPr>
            </w:pPr>
            <w:r w:rsidRPr="0045764A">
              <w:rPr>
                <w:rFonts w:eastAsia="TimesNewRoman"/>
                <w:szCs w:val="22"/>
                <w:lang w:val="sr-Latn-ME"/>
              </w:rPr>
              <w:t>0,1</w:t>
            </w:r>
          </w:p>
        </w:tc>
        <w:tc>
          <w:tcPr>
            <w:tcW w:w="1225" w:type="dxa"/>
          </w:tcPr>
          <w:p w14:paraId="4BDDFF59" w14:textId="4B42B7EA" w:rsidR="005F7DAE" w:rsidRPr="0045764A" w:rsidRDefault="00F024E2" w:rsidP="00C65330">
            <w:pPr>
              <w:rPr>
                <w:rFonts w:eastAsia="TimesNewRoman"/>
                <w:szCs w:val="22"/>
                <w:lang w:val="sr-Latn-ME"/>
              </w:rPr>
            </w:pPr>
            <w:r w:rsidRPr="0045764A">
              <w:rPr>
                <w:rFonts w:eastAsia="TimesNewRoman"/>
                <w:szCs w:val="22"/>
                <w:lang w:val="sr-Latn-ME"/>
              </w:rPr>
              <w:t>0</w:t>
            </w:r>
          </w:p>
        </w:tc>
      </w:tr>
      <w:tr w:rsidR="00E02F38" w:rsidRPr="0045764A" w14:paraId="4AB9BD64" w14:textId="77777777" w:rsidTr="001E4272">
        <w:tc>
          <w:tcPr>
            <w:tcW w:w="1838" w:type="dxa"/>
          </w:tcPr>
          <w:p w14:paraId="3E8BFB11" w14:textId="77777777" w:rsidR="006E6893" w:rsidRPr="0045764A" w:rsidRDefault="006E6893" w:rsidP="00654072">
            <w:pPr>
              <w:tabs>
                <w:tab w:val="clear" w:pos="284"/>
              </w:tabs>
              <w:autoSpaceDE w:val="0"/>
              <w:autoSpaceDN w:val="0"/>
              <w:adjustRightInd w:val="0"/>
              <w:jc w:val="left"/>
              <w:rPr>
                <w:rFonts w:eastAsia="TimesNewRoman"/>
                <w:i/>
                <w:iCs/>
                <w:szCs w:val="22"/>
                <w:lang w:val="sr-Latn-ME"/>
              </w:rPr>
            </w:pPr>
            <w:r w:rsidRPr="0045764A">
              <w:rPr>
                <w:rFonts w:eastAsia="TimesNewRoman"/>
                <w:i/>
                <w:iCs/>
                <w:szCs w:val="22"/>
                <w:lang w:val="sr-Latn-ME"/>
              </w:rPr>
              <w:t>Poremećaji uha i</w:t>
            </w:r>
          </w:p>
          <w:p w14:paraId="100D1B38" w14:textId="08BBB004" w:rsidR="00335808" w:rsidRPr="0045764A" w:rsidRDefault="006E6893" w:rsidP="00654072">
            <w:pPr>
              <w:jc w:val="left"/>
              <w:rPr>
                <w:rFonts w:eastAsia="TimesNewRoman"/>
                <w:szCs w:val="22"/>
                <w:lang w:val="sr-Latn-ME"/>
              </w:rPr>
            </w:pPr>
            <w:r w:rsidRPr="0045764A">
              <w:rPr>
                <w:rFonts w:eastAsia="TimesNewRoman"/>
                <w:i/>
                <w:iCs/>
                <w:szCs w:val="22"/>
                <w:lang w:val="sr-Latn-ME"/>
              </w:rPr>
              <w:t>la</w:t>
            </w:r>
            <w:r w:rsidR="00BB6DE9" w:rsidRPr="0045764A">
              <w:rPr>
                <w:rFonts w:eastAsia="TimesNewRoman"/>
                <w:i/>
                <w:iCs/>
                <w:szCs w:val="22"/>
                <w:lang w:val="sr-Latn-ME"/>
              </w:rPr>
              <w:t>v</w:t>
            </w:r>
            <w:r w:rsidRPr="0045764A">
              <w:rPr>
                <w:rFonts w:eastAsia="TimesNewRoman"/>
                <w:i/>
                <w:iCs/>
                <w:szCs w:val="22"/>
                <w:lang w:val="sr-Latn-ME"/>
              </w:rPr>
              <w:t>irinta</w:t>
            </w:r>
          </w:p>
        </w:tc>
        <w:tc>
          <w:tcPr>
            <w:tcW w:w="1395" w:type="dxa"/>
          </w:tcPr>
          <w:p w14:paraId="61D9E7A4" w14:textId="235C2C26" w:rsidR="00335808" w:rsidRPr="0045764A" w:rsidRDefault="008C6F66" w:rsidP="00C65330">
            <w:pPr>
              <w:rPr>
                <w:rFonts w:eastAsia="TimesNewRoman"/>
                <w:szCs w:val="22"/>
                <w:lang w:val="sr-Latn-ME"/>
              </w:rPr>
            </w:pPr>
            <w:r w:rsidRPr="0045764A">
              <w:rPr>
                <w:rFonts w:eastAsia="TimesNewRoman"/>
                <w:szCs w:val="22"/>
                <w:lang w:val="sr-Latn-ME"/>
              </w:rPr>
              <w:t>Čest</w:t>
            </w:r>
            <w:r w:rsidR="001914DD" w:rsidRPr="0045764A">
              <w:rPr>
                <w:rFonts w:eastAsia="TimesNewRoman"/>
                <w:szCs w:val="22"/>
                <w:lang w:val="sr-Latn-ME"/>
              </w:rPr>
              <w:t>o</w:t>
            </w:r>
          </w:p>
        </w:tc>
        <w:tc>
          <w:tcPr>
            <w:tcW w:w="2007" w:type="dxa"/>
          </w:tcPr>
          <w:p w14:paraId="7F987689" w14:textId="673DFDBA" w:rsidR="00335808" w:rsidRPr="0045764A" w:rsidRDefault="008C6F66" w:rsidP="00654072">
            <w:pPr>
              <w:jc w:val="left"/>
              <w:rPr>
                <w:rFonts w:eastAsia="TimesNewRoman"/>
                <w:szCs w:val="22"/>
                <w:lang w:val="sr-Latn-ME"/>
              </w:rPr>
            </w:pPr>
            <w:proofErr w:type="spellStart"/>
            <w:r w:rsidRPr="0045764A">
              <w:rPr>
                <w:rFonts w:eastAsia="TimesNewRoman"/>
                <w:szCs w:val="22"/>
                <w:lang w:val="sr-Latn-ME"/>
              </w:rPr>
              <w:t>Tinitus</w:t>
            </w:r>
            <w:proofErr w:type="spellEnd"/>
          </w:p>
        </w:tc>
        <w:tc>
          <w:tcPr>
            <w:tcW w:w="1418" w:type="dxa"/>
          </w:tcPr>
          <w:p w14:paraId="17085E8F" w14:textId="23BF5F82" w:rsidR="00335808" w:rsidRPr="0045764A" w:rsidRDefault="008C6F66" w:rsidP="00C65330">
            <w:pPr>
              <w:rPr>
                <w:rFonts w:eastAsia="TimesNewRoman"/>
                <w:szCs w:val="22"/>
                <w:lang w:val="sr-Latn-ME"/>
              </w:rPr>
            </w:pPr>
            <w:r w:rsidRPr="0045764A">
              <w:rPr>
                <w:rFonts w:eastAsia="TimesNewRoman"/>
                <w:szCs w:val="22"/>
                <w:lang w:val="sr-Latn-ME"/>
              </w:rPr>
              <w:t>3,1</w:t>
            </w:r>
          </w:p>
        </w:tc>
        <w:tc>
          <w:tcPr>
            <w:tcW w:w="1134" w:type="dxa"/>
          </w:tcPr>
          <w:p w14:paraId="37203FEF" w14:textId="7FBFC195" w:rsidR="00335808" w:rsidRPr="0045764A" w:rsidRDefault="008C6F66" w:rsidP="00C65330">
            <w:pPr>
              <w:rPr>
                <w:rFonts w:eastAsia="TimesNewRoman"/>
                <w:szCs w:val="22"/>
                <w:lang w:val="sr-Latn-ME"/>
              </w:rPr>
            </w:pPr>
            <w:r w:rsidRPr="0045764A">
              <w:rPr>
                <w:rFonts w:eastAsia="TimesNewRoman"/>
                <w:szCs w:val="22"/>
                <w:lang w:val="sr-Latn-ME"/>
              </w:rPr>
              <w:t>0</w:t>
            </w:r>
          </w:p>
        </w:tc>
        <w:tc>
          <w:tcPr>
            <w:tcW w:w="1225" w:type="dxa"/>
          </w:tcPr>
          <w:p w14:paraId="6B417F33" w14:textId="7A727CA4" w:rsidR="00335808" w:rsidRPr="0045764A" w:rsidRDefault="008C6F66" w:rsidP="00C65330">
            <w:pPr>
              <w:rPr>
                <w:rFonts w:eastAsia="TimesNewRoman"/>
                <w:szCs w:val="22"/>
                <w:lang w:val="sr-Latn-ME"/>
              </w:rPr>
            </w:pPr>
            <w:r w:rsidRPr="0045764A">
              <w:rPr>
                <w:rFonts w:eastAsia="TimesNewRoman"/>
                <w:szCs w:val="22"/>
                <w:lang w:val="sr-Latn-ME"/>
              </w:rPr>
              <w:t>0</w:t>
            </w:r>
          </w:p>
        </w:tc>
      </w:tr>
      <w:tr w:rsidR="00E02F38" w:rsidRPr="0045764A" w14:paraId="4A895929" w14:textId="77777777" w:rsidTr="001E4272">
        <w:tc>
          <w:tcPr>
            <w:tcW w:w="1838" w:type="dxa"/>
          </w:tcPr>
          <w:p w14:paraId="38155BA4" w14:textId="135856CB" w:rsidR="003D3D17" w:rsidRPr="0045764A" w:rsidRDefault="003D3D17" w:rsidP="00654072">
            <w:pPr>
              <w:tabs>
                <w:tab w:val="clear" w:pos="284"/>
              </w:tabs>
              <w:autoSpaceDE w:val="0"/>
              <w:autoSpaceDN w:val="0"/>
              <w:adjustRightInd w:val="0"/>
              <w:jc w:val="left"/>
              <w:rPr>
                <w:rFonts w:eastAsia="TimesNewRoman"/>
                <w:i/>
                <w:iCs/>
                <w:szCs w:val="22"/>
                <w:lang w:val="sr-Latn-ME"/>
              </w:rPr>
            </w:pPr>
            <w:r w:rsidRPr="0045764A">
              <w:rPr>
                <w:rFonts w:eastAsia="TimesNewRoman"/>
                <w:i/>
                <w:iCs/>
                <w:szCs w:val="22"/>
                <w:lang w:val="sr-Latn-ME"/>
              </w:rPr>
              <w:t>Kardiološki</w:t>
            </w:r>
          </w:p>
          <w:p w14:paraId="017EA14C" w14:textId="26697BF8" w:rsidR="00335808" w:rsidRPr="0045764A" w:rsidRDefault="003D3D17" w:rsidP="00654072">
            <w:pPr>
              <w:jc w:val="left"/>
              <w:rPr>
                <w:rFonts w:eastAsia="TimesNewRoman"/>
                <w:szCs w:val="22"/>
                <w:lang w:val="sr-Latn-ME"/>
              </w:rPr>
            </w:pPr>
            <w:r w:rsidRPr="0045764A">
              <w:rPr>
                <w:rFonts w:eastAsia="TimesNewRoman"/>
                <w:i/>
                <w:iCs/>
                <w:szCs w:val="22"/>
                <w:lang w:val="sr-Latn-ME"/>
              </w:rPr>
              <w:t>poremećaji</w:t>
            </w:r>
          </w:p>
        </w:tc>
        <w:tc>
          <w:tcPr>
            <w:tcW w:w="1395" w:type="dxa"/>
          </w:tcPr>
          <w:p w14:paraId="71FE9641" w14:textId="54C89A4C" w:rsidR="00335808" w:rsidRPr="0045764A" w:rsidRDefault="00C61DE9" w:rsidP="00C65330">
            <w:pPr>
              <w:rPr>
                <w:rFonts w:eastAsia="TimesNewRoman"/>
                <w:szCs w:val="22"/>
                <w:lang w:val="sr-Latn-ME"/>
              </w:rPr>
            </w:pPr>
            <w:r w:rsidRPr="0045764A">
              <w:rPr>
                <w:rFonts w:eastAsia="TimesNewRoman"/>
                <w:szCs w:val="22"/>
                <w:lang w:val="sr-Latn-ME"/>
              </w:rPr>
              <w:t>Čest</w:t>
            </w:r>
            <w:r w:rsidR="001914DD" w:rsidRPr="0045764A">
              <w:rPr>
                <w:rFonts w:eastAsia="TimesNewRoman"/>
                <w:szCs w:val="22"/>
                <w:lang w:val="sr-Latn-ME"/>
              </w:rPr>
              <w:t>o</w:t>
            </w:r>
          </w:p>
        </w:tc>
        <w:tc>
          <w:tcPr>
            <w:tcW w:w="2007" w:type="dxa"/>
          </w:tcPr>
          <w:p w14:paraId="5A399B6F" w14:textId="04DD1BC4" w:rsidR="001E057A" w:rsidRPr="0045764A" w:rsidRDefault="001E057A" w:rsidP="00654072">
            <w:pPr>
              <w:tabs>
                <w:tab w:val="clear" w:pos="284"/>
              </w:tabs>
              <w:autoSpaceDE w:val="0"/>
              <w:autoSpaceDN w:val="0"/>
              <w:adjustRightInd w:val="0"/>
              <w:jc w:val="left"/>
              <w:rPr>
                <w:rFonts w:eastAsia="TimesNewRoman"/>
                <w:szCs w:val="22"/>
                <w:lang w:val="sr-Latn-ME"/>
              </w:rPr>
            </w:pPr>
            <w:r w:rsidRPr="0045764A">
              <w:rPr>
                <w:rFonts w:eastAsia="TimesNewRoman"/>
                <w:szCs w:val="22"/>
                <w:lang w:val="sr-Latn-ME"/>
              </w:rPr>
              <w:t>Događaji povezani sa</w:t>
            </w:r>
            <w:r w:rsidR="003D111E" w:rsidRPr="0045764A">
              <w:rPr>
                <w:rFonts w:eastAsia="TimesNewRoman"/>
                <w:szCs w:val="22"/>
                <w:lang w:val="sr-Latn-ME"/>
              </w:rPr>
              <w:t xml:space="preserve"> </w:t>
            </w:r>
            <w:r w:rsidRPr="0045764A">
              <w:rPr>
                <w:rFonts w:eastAsia="TimesNewRoman"/>
                <w:szCs w:val="22"/>
                <w:lang w:val="sr-Latn-ME"/>
              </w:rPr>
              <w:t>srčanom</w:t>
            </w:r>
          </w:p>
          <w:p w14:paraId="4ED73DEA" w14:textId="6F0CE469" w:rsidR="00335808" w:rsidRPr="0045764A" w:rsidRDefault="001E057A" w:rsidP="00654072">
            <w:pPr>
              <w:jc w:val="left"/>
              <w:rPr>
                <w:rFonts w:eastAsia="TimesNewRoman"/>
                <w:szCs w:val="22"/>
                <w:lang w:val="sr-Latn-ME"/>
              </w:rPr>
            </w:pPr>
            <w:proofErr w:type="spellStart"/>
            <w:r w:rsidRPr="0045764A">
              <w:rPr>
                <w:rFonts w:eastAsia="TimesNewRoman"/>
                <w:szCs w:val="22"/>
                <w:lang w:val="sr-Latn-ME"/>
              </w:rPr>
              <w:t>insuficijencijom</w:t>
            </w:r>
            <w:r w:rsidRPr="0045764A">
              <w:rPr>
                <w:rFonts w:eastAsia="TimesNewRoman"/>
                <w:szCs w:val="22"/>
                <w:vertAlign w:val="superscript"/>
                <w:lang w:val="sr-Latn-ME"/>
              </w:rPr>
              <w:t>c,d,f</w:t>
            </w:r>
            <w:proofErr w:type="spellEnd"/>
          </w:p>
        </w:tc>
        <w:tc>
          <w:tcPr>
            <w:tcW w:w="1418" w:type="dxa"/>
          </w:tcPr>
          <w:p w14:paraId="326F1A97" w14:textId="79DCF196" w:rsidR="00335808" w:rsidRPr="0045764A" w:rsidRDefault="008504D2" w:rsidP="00C65330">
            <w:pPr>
              <w:rPr>
                <w:rFonts w:eastAsia="TimesNewRoman"/>
                <w:szCs w:val="22"/>
                <w:lang w:val="sr-Latn-ME"/>
              </w:rPr>
            </w:pPr>
            <w:r w:rsidRPr="0045764A">
              <w:rPr>
                <w:rFonts w:eastAsia="TimesNewRoman"/>
                <w:szCs w:val="22"/>
                <w:lang w:val="sr-Latn-ME"/>
              </w:rPr>
              <w:t>1,8</w:t>
            </w:r>
          </w:p>
        </w:tc>
        <w:tc>
          <w:tcPr>
            <w:tcW w:w="1134" w:type="dxa"/>
          </w:tcPr>
          <w:p w14:paraId="6B5BF1DD" w14:textId="3C641952" w:rsidR="00335808" w:rsidRPr="0045764A" w:rsidRDefault="008504D2" w:rsidP="00C65330">
            <w:pPr>
              <w:rPr>
                <w:rFonts w:eastAsia="TimesNewRoman"/>
                <w:szCs w:val="22"/>
                <w:lang w:val="sr-Latn-ME"/>
              </w:rPr>
            </w:pPr>
            <w:r w:rsidRPr="0045764A">
              <w:rPr>
                <w:rFonts w:eastAsia="TimesNewRoman"/>
                <w:szCs w:val="22"/>
                <w:lang w:val="sr-Latn-ME"/>
              </w:rPr>
              <w:t>0,3</w:t>
            </w:r>
          </w:p>
        </w:tc>
        <w:tc>
          <w:tcPr>
            <w:tcW w:w="1225" w:type="dxa"/>
          </w:tcPr>
          <w:p w14:paraId="415A916A" w14:textId="236E5251" w:rsidR="00335808" w:rsidRPr="0045764A" w:rsidRDefault="008504D2" w:rsidP="00C65330">
            <w:pPr>
              <w:rPr>
                <w:rFonts w:eastAsia="TimesNewRoman"/>
                <w:szCs w:val="22"/>
                <w:lang w:val="sr-Latn-ME"/>
              </w:rPr>
            </w:pPr>
            <w:r w:rsidRPr="0045764A">
              <w:rPr>
                <w:rFonts w:eastAsia="TimesNewRoman"/>
                <w:szCs w:val="22"/>
                <w:lang w:val="sr-Latn-ME"/>
              </w:rPr>
              <w:t>0,7</w:t>
            </w:r>
          </w:p>
        </w:tc>
      </w:tr>
      <w:tr w:rsidR="003C4691" w:rsidRPr="0045764A" w14:paraId="689B5EB1" w14:textId="77777777" w:rsidTr="001E4272">
        <w:tc>
          <w:tcPr>
            <w:tcW w:w="1838" w:type="dxa"/>
            <w:vMerge w:val="restart"/>
          </w:tcPr>
          <w:p w14:paraId="3E6B685E" w14:textId="54053305" w:rsidR="00703FB9" w:rsidRPr="0045764A" w:rsidRDefault="00703FB9" w:rsidP="00654072">
            <w:pPr>
              <w:tabs>
                <w:tab w:val="clear" w:pos="284"/>
              </w:tabs>
              <w:autoSpaceDE w:val="0"/>
              <w:autoSpaceDN w:val="0"/>
              <w:adjustRightInd w:val="0"/>
              <w:jc w:val="left"/>
              <w:rPr>
                <w:rFonts w:eastAsia="TimesNewRoman"/>
                <w:i/>
                <w:iCs/>
                <w:szCs w:val="22"/>
                <w:lang w:val="sr-Latn-ME"/>
              </w:rPr>
            </w:pPr>
            <w:r w:rsidRPr="0045764A">
              <w:rPr>
                <w:rFonts w:eastAsia="TimesNewRoman"/>
                <w:i/>
                <w:iCs/>
                <w:szCs w:val="22"/>
                <w:lang w:val="sr-Latn-ME"/>
              </w:rPr>
              <w:t>Vaskularni</w:t>
            </w:r>
          </w:p>
          <w:p w14:paraId="76FE6150" w14:textId="398FB90A" w:rsidR="003C4691" w:rsidRPr="0045764A" w:rsidRDefault="00703FB9" w:rsidP="00654072">
            <w:pPr>
              <w:jc w:val="left"/>
              <w:rPr>
                <w:rFonts w:eastAsia="TimesNewRoman"/>
                <w:szCs w:val="22"/>
                <w:lang w:val="sr-Latn-ME"/>
              </w:rPr>
            </w:pPr>
            <w:r w:rsidRPr="0045764A">
              <w:rPr>
                <w:rFonts w:eastAsia="TimesNewRoman"/>
                <w:i/>
                <w:iCs/>
                <w:szCs w:val="22"/>
                <w:lang w:val="sr-Latn-ME"/>
              </w:rPr>
              <w:t>poremećaji</w:t>
            </w:r>
          </w:p>
        </w:tc>
        <w:tc>
          <w:tcPr>
            <w:tcW w:w="1395" w:type="dxa"/>
            <w:vMerge w:val="restart"/>
          </w:tcPr>
          <w:p w14:paraId="17E83912" w14:textId="5339BE46" w:rsidR="003C4691" w:rsidRPr="0045764A" w:rsidRDefault="00A052FE" w:rsidP="00C65330">
            <w:pPr>
              <w:rPr>
                <w:rFonts w:eastAsia="TimesNewRoman"/>
                <w:szCs w:val="22"/>
                <w:lang w:val="sr-Latn-ME"/>
              </w:rPr>
            </w:pPr>
            <w:r w:rsidRPr="0045764A">
              <w:rPr>
                <w:rFonts w:eastAsia="TimesNewRoman"/>
                <w:szCs w:val="22"/>
                <w:lang w:val="sr-Latn-ME"/>
              </w:rPr>
              <w:t>Veoma čest</w:t>
            </w:r>
            <w:r w:rsidR="001914DD" w:rsidRPr="0045764A">
              <w:rPr>
                <w:rFonts w:eastAsia="TimesNewRoman"/>
                <w:szCs w:val="22"/>
                <w:lang w:val="sr-Latn-ME"/>
              </w:rPr>
              <w:t>o</w:t>
            </w:r>
          </w:p>
        </w:tc>
        <w:tc>
          <w:tcPr>
            <w:tcW w:w="2007" w:type="dxa"/>
          </w:tcPr>
          <w:p w14:paraId="42E21685" w14:textId="2B7FA4E1" w:rsidR="003C4691" w:rsidRPr="0045764A" w:rsidRDefault="00D24155" w:rsidP="00654072">
            <w:pPr>
              <w:jc w:val="left"/>
              <w:rPr>
                <w:rFonts w:eastAsia="TimesNewRoman"/>
                <w:szCs w:val="22"/>
                <w:lang w:val="sr-Latn-ME"/>
              </w:rPr>
            </w:pPr>
            <w:proofErr w:type="spellStart"/>
            <w:r w:rsidRPr="0045764A">
              <w:rPr>
                <w:rFonts w:eastAsia="TimesNewRoman"/>
                <w:szCs w:val="22"/>
                <w:lang w:val="sr-Latn-ME"/>
              </w:rPr>
              <w:t>Hipertenzija</w:t>
            </w:r>
            <w:r w:rsidRPr="0045764A">
              <w:rPr>
                <w:rFonts w:eastAsia="TimesNewRoman"/>
                <w:szCs w:val="22"/>
                <w:vertAlign w:val="superscript"/>
                <w:lang w:val="sr-Latn-ME"/>
              </w:rPr>
              <w:t>g</w:t>
            </w:r>
            <w:proofErr w:type="spellEnd"/>
          </w:p>
        </w:tc>
        <w:tc>
          <w:tcPr>
            <w:tcW w:w="1418" w:type="dxa"/>
          </w:tcPr>
          <w:p w14:paraId="7686C1E2" w14:textId="1E857F60" w:rsidR="003C4691" w:rsidRPr="0045764A" w:rsidRDefault="00267974" w:rsidP="00C65330">
            <w:pPr>
              <w:rPr>
                <w:rFonts w:eastAsia="TimesNewRoman"/>
                <w:szCs w:val="22"/>
                <w:lang w:val="sr-Latn-ME"/>
              </w:rPr>
            </w:pPr>
            <w:r w:rsidRPr="0045764A">
              <w:rPr>
                <w:rFonts w:eastAsia="TimesNewRoman"/>
                <w:szCs w:val="22"/>
                <w:lang w:val="sr-Latn-ME"/>
              </w:rPr>
              <w:t>51,2</w:t>
            </w:r>
          </w:p>
        </w:tc>
        <w:tc>
          <w:tcPr>
            <w:tcW w:w="1134" w:type="dxa"/>
          </w:tcPr>
          <w:p w14:paraId="2AC8E594" w14:textId="7BE2A856" w:rsidR="003C4691" w:rsidRPr="0045764A" w:rsidRDefault="00847A4A" w:rsidP="00C65330">
            <w:pPr>
              <w:rPr>
                <w:rFonts w:eastAsia="TimesNewRoman"/>
                <w:szCs w:val="22"/>
                <w:lang w:val="sr-Latn-ME"/>
              </w:rPr>
            </w:pPr>
            <w:r w:rsidRPr="0045764A">
              <w:rPr>
                <w:rFonts w:eastAsia="TimesNewRoman"/>
                <w:szCs w:val="22"/>
                <w:lang w:val="sr-Latn-ME"/>
              </w:rPr>
              <w:t>22,0</w:t>
            </w:r>
          </w:p>
        </w:tc>
        <w:tc>
          <w:tcPr>
            <w:tcW w:w="1225" w:type="dxa"/>
          </w:tcPr>
          <w:p w14:paraId="781C1696" w14:textId="3C931494" w:rsidR="003C4691" w:rsidRPr="0045764A" w:rsidRDefault="00847A4A" w:rsidP="00C65330">
            <w:pPr>
              <w:rPr>
                <w:rFonts w:eastAsia="TimesNewRoman"/>
                <w:szCs w:val="22"/>
                <w:lang w:val="sr-Latn-ME"/>
              </w:rPr>
            </w:pPr>
            <w:r w:rsidRPr="0045764A">
              <w:rPr>
                <w:rFonts w:eastAsia="TimesNewRoman"/>
                <w:szCs w:val="22"/>
                <w:lang w:val="sr-Latn-ME"/>
              </w:rPr>
              <w:t>1,0</w:t>
            </w:r>
          </w:p>
        </w:tc>
      </w:tr>
      <w:tr w:rsidR="003C4691" w:rsidRPr="0045764A" w14:paraId="3F517062" w14:textId="77777777" w:rsidTr="001E4272">
        <w:tc>
          <w:tcPr>
            <w:tcW w:w="1838" w:type="dxa"/>
            <w:vMerge/>
          </w:tcPr>
          <w:p w14:paraId="05B09DD8" w14:textId="77777777" w:rsidR="003C4691" w:rsidRPr="0045764A" w:rsidRDefault="003C4691" w:rsidP="00654072">
            <w:pPr>
              <w:jc w:val="left"/>
              <w:rPr>
                <w:rFonts w:eastAsia="TimesNewRoman"/>
                <w:szCs w:val="22"/>
                <w:lang w:val="sr-Latn-ME"/>
              </w:rPr>
            </w:pPr>
          </w:p>
        </w:tc>
        <w:tc>
          <w:tcPr>
            <w:tcW w:w="1395" w:type="dxa"/>
            <w:vMerge/>
          </w:tcPr>
          <w:p w14:paraId="63A42056" w14:textId="77777777" w:rsidR="003C4691" w:rsidRPr="0045764A" w:rsidRDefault="003C4691" w:rsidP="00C65330">
            <w:pPr>
              <w:rPr>
                <w:rFonts w:eastAsia="TimesNewRoman"/>
                <w:szCs w:val="22"/>
                <w:lang w:val="sr-Latn-ME"/>
              </w:rPr>
            </w:pPr>
          </w:p>
        </w:tc>
        <w:tc>
          <w:tcPr>
            <w:tcW w:w="2007" w:type="dxa"/>
          </w:tcPr>
          <w:p w14:paraId="2A797E47" w14:textId="6119155D" w:rsidR="003C4691" w:rsidRPr="0045764A" w:rsidRDefault="001D1DAA" w:rsidP="00654072">
            <w:pPr>
              <w:jc w:val="left"/>
              <w:rPr>
                <w:rFonts w:eastAsia="TimesNewRoman"/>
                <w:szCs w:val="22"/>
                <w:lang w:val="sr-Latn-ME"/>
              </w:rPr>
            </w:pPr>
            <w:proofErr w:type="spellStart"/>
            <w:r w:rsidRPr="0045764A">
              <w:rPr>
                <w:rFonts w:eastAsia="TimesNewRoman"/>
                <w:szCs w:val="22"/>
                <w:lang w:val="sr-Latn-ME"/>
              </w:rPr>
              <w:t>Krvarenje</w:t>
            </w:r>
            <w:r w:rsidRPr="0045764A">
              <w:rPr>
                <w:rFonts w:eastAsia="TimesNewRoman"/>
                <w:szCs w:val="22"/>
                <w:vertAlign w:val="superscript"/>
                <w:lang w:val="sr-Latn-ME"/>
              </w:rPr>
              <w:t>c,d,h</w:t>
            </w:r>
            <w:proofErr w:type="spellEnd"/>
          </w:p>
        </w:tc>
        <w:tc>
          <w:tcPr>
            <w:tcW w:w="1418" w:type="dxa"/>
          </w:tcPr>
          <w:p w14:paraId="11EE2703" w14:textId="09B4E5DF" w:rsidR="003C4691" w:rsidRPr="0045764A" w:rsidRDefault="00CD6EFE" w:rsidP="00C65330">
            <w:pPr>
              <w:rPr>
                <w:rFonts w:eastAsia="TimesNewRoman"/>
                <w:szCs w:val="22"/>
                <w:lang w:val="sr-Latn-ME"/>
              </w:rPr>
            </w:pPr>
            <w:r w:rsidRPr="0045764A">
              <w:rPr>
                <w:rFonts w:eastAsia="TimesNewRoman"/>
                <w:szCs w:val="22"/>
                <w:lang w:val="sr-Latn-ME"/>
              </w:rPr>
              <w:t>25,7</w:t>
            </w:r>
          </w:p>
        </w:tc>
        <w:tc>
          <w:tcPr>
            <w:tcW w:w="1134" w:type="dxa"/>
          </w:tcPr>
          <w:p w14:paraId="785B60EC" w14:textId="14B8BF01" w:rsidR="003C4691" w:rsidRPr="0045764A" w:rsidRDefault="00CD6EFE" w:rsidP="00C65330">
            <w:pPr>
              <w:rPr>
                <w:rFonts w:eastAsia="TimesNewRoman"/>
                <w:szCs w:val="22"/>
                <w:lang w:val="sr-Latn-ME"/>
              </w:rPr>
            </w:pPr>
            <w:r w:rsidRPr="0045764A">
              <w:rPr>
                <w:rFonts w:eastAsia="TimesNewRoman"/>
                <w:szCs w:val="22"/>
                <w:lang w:val="sr-Latn-ME"/>
              </w:rPr>
              <w:t>3,0</w:t>
            </w:r>
          </w:p>
        </w:tc>
        <w:tc>
          <w:tcPr>
            <w:tcW w:w="1225" w:type="dxa"/>
          </w:tcPr>
          <w:p w14:paraId="64A23ED5" w14:textId="71B7D14C" w:rsidR="003C4691" w:rsidRPr="0045764A" w:rsidRDefault="00CD6EFE" w:rsidP="00C65330">
            <w:pPr>
              <w:rPr>
                <w:rFonts w:eastAsia="TimesNewRoman"/>
                <w:szCs w:val="22"/>
                <w:lang w:val="sr-Latn-ME"/>
              </w:rPr>
            </w:pPr>
            <w:r w:rsidRPr="0045764A">
              <w:rPr>
                <w:rFonts w:eastAsia="TimesNewRoman"/>
                <w:szCs w:val="22"/>
                <w:lang w:val="sr-Latn-ME"/>
              </w:rPr>
              <w:t>1,0</w:t>
            </w:r>
          </w:p>
        </w:tc>
      </w:tr>
      <w:tr w:rsidR="003C4691" w:rsidRPr="0045764A" w14:paraId="3F592D91" w14:textId="77777777" w:rsidTr="001E4272">
        <w:tc>
          <w:tcPr>
            <w:tcW w:w="1838" w:type="dxa"/>
            <w:vMerge/>
          </w:tcPr>
          <w:p w14:paraId="2430AADC" w14:textId="77777777" w:rsidR="003C4691" w:rsidRPr="0045764A" w:rsidRDefault="003C4691" w:rsidP="00654072">
            <w:pPr>
              <w:jc w:val="left"/>
              <w:rPr>
                <w:rFonts w:eastAsia="TimesNewRoman"/>
                <w:szCs w:val="22"/>
                <w:lang w:val="sr-Latn-ME"/>
              </w:rPr>
            </w:pPr>
          </w:p>
        </w:tc>
        <w:tc>
          <w:tcPr>
            <w:tcW w:w="1395" w:type="dxa"/>
            <w:vMerge w:val="restart"/>
          </w:tcPr>
          <w:p w14:paraId="1D8B09DA" w14:textId="77777777" w:rsidR="003B3F69" w:rsidRPr="0045764A" w:rsidRDefault="003B3F69" w:rsidP="00C65330">
            <w:pPr>
              <w:rPr>
                <w:rFonts w:eastAsia="TimesNewRoman"/>
                <w:szCs w:val="22"/>
                <w:lang w:val="sr-Latn-ME"/>
              </w:rPr>
            </w:pPr>
          </w:p>
          <w:p w14:paraId="483C0E70" w14:textId="77777777" w:rsidR="003B3F69" w:rsidRPr="0045764A" w:rsidRDefault="003B3F69" w:rsidP="00C65330">
            <w:pPr>
              <w:rPr>
                <w:rFonts w:eastAsia="TimesNewRoman"/>
                <w:szCs w:val="22"/>
                <w:lang w:val="sr-Latn-ME"/>
              </w:rPr>
            </w:pPr>
          </w:p>
          <w:p w14:paraId="5959F121" w14:textId="77777777" w:rsidR="003B3F69" w:rsidRPr="0045764A" w:rsidRDefault="003B3F69" w:rsidP="00C65330">
            <w:pPr>
              <w:rPr>
                <w:rFonts w:eastAsia="TimesNewRoman"/>
                <w:szCs w:val="22"/>
                <w:lang w:val="sr-Latn-ME"/>
              </w:rPr>
            </w:pPr>
          </w:p>
          <w:p w14:paraId="7A178E5D" w14:textId="69456BBA" w:rsidR="003C4691" w:rsidRPr="0045764A" w:rsidRDefault="00A052FE" w:rsidP="00C65330">
            <w:pPr>
              <w:rPr>
                <w:rFonts w:eastAsia="TimesNewRoman"/>
                <w:szCs w:val="22"/>
                <w:lang w:val="sr-Latn-ME"/>
              </w:rPr>
            </w:pPr>
            <w:r w:rsidRPr="0045764A">
              <w:rPr>
                <w:rFonts w:eastAsia="TimesNewRoman"/>
                <w:szCs w:val="22"/>
                <w:lang w:val="sr-Latn-ME"/>
              </w:rPr>
              <w:t>Čest</w:t>
            </w:r>
            <w:r w:rsidR="001914DD" w:rsidRPr="0045764A">
              <w:rPr>
                <w:rFonts w:eastAsia="TimesNewRoman"/>
                <w:szCs w:val="22"/>
                <w:lang w:val="sr-Latn-ME"/>
              </w:rPr>
              <w:t>o</w:t>
            </w:r>
          </w:p>
        </w:tc>
        <w:tc>
          <w:tcPr>
            <w:tcW w:w="2007" w:type="dxa"/>
          </w:tcPr>
          <w:p w14:paraId="71F77F16" w14:textId="77777777" w:rsidR="009232AB" w:rsidRPr="0045764A" w:rsidRDefault="009232AB" w:rsidP="00654072">
            <w:pPr>
              <w:tabs>
                <w:tab w:val="clear" w:pos="284"/>
              </w:tabs>
              <w:autoSpaceDE w:val="0"/>
              <w:autoSpaceDN w:val="0"/>
              <w:adjustRightInd w:val="0"/>
              <w:jc w:val="left"/>
              <w:rPr>
                <w:rFonts w:eastAsia="TimesNewRoman"/>
                <w:szCs w:val="22"/>
                <w:lang w:val="sr-Latn-ME"/>
              </w:rPr>
            </w:pPr>
            <w:r w:rsidRPr="0045764A">
              <w:rPr>
                <w:rFonts w:eastAsia="TimesNewRoman"/>
                <w:szCs w:val="22"/>
                <w:lang w:val="sr-Latn-ME"/>
              </w:rPr>
              <w:t>Venski embolijski i</w:t>
            </w:r>
          </w:p>
          <w:p w14:paraId="74BD7AD2" w14:textId="3ED36EBF" w:rsidR="003C4691" w:rsidRPr="0045764A" w:rsidRDefault="009232AB" w:rsidP="00654072">
            <w:pPr>
              <w:jc w:val="left"/>
              <w:rPr>
                <w:rFonts w:eastAsia="TimesNewRoman"/>
                <w:szCs w:val="22"/>
                <w:lang w:val="sr-Latn-ME"/>
              </w:rPr>
            </w:pPr>
            <w:proofErr w:type="spellStart"/>
            <w:r w:rsidRPr="0045764A">
              <w:rPr>
                <w:rFonts w:eastAsia="TimesNewRoman"/>
                <w:szCs w:val="22"/>
                <w:lang w:val="sr-Latn-ME"/>
              </w:rPr>
              <w:t>trombotični</w:t>
            </w:r>
            <w:proofErr w:type="spellEnd"/>
            <w:r w:rsidRPr="0045764A">
              <w:rPr>
                <w:rFonts w:eastAsia="TimesNewRoman"/>
                <w:szCs w:val="22"/>
                <w:lang w:val="sr-Latn-ME"/>
              </w:rPr>
              <w:t xml:space="preserve"> </w:t>
            </w:r>
            <w:proofErr w:type="spellStart"/>
            <w:r w:rsidRPr="0045764A">
              <w:rPr>
                <w:rFonts w:eastAsia="TimesNewRoman"/>
                <w:szCs w:val="22"/>
                <w:lang w:val="sr-Latn-ME"/>
              </w:rPr>
              <w:t>događaji</w:t>
            </w:r>
            <w:r w:rsidRPr="0045764A">
              <w:rPr>
                <w:rFonts w:eastAsia="TimesNewRoman"/>
                <w:szCs w:val="22"/>
                <w:vertAlign w:val="superscript"/>
                <w:lang w:val="sr-Latn-ME"/>
              </w:rPr>
              <w:t>c,d,i</w:t>
            </w:r>
            <w:proofErr w:type="spellEnd"/>
          </w:p>
        </w:tc>
        <w:tc>
          <w:tcPr>
            <w:tcW w:w="1418" w:type="dxa"/>
          </w:tcPr>
          <w:p w14:paraId="241DC001" w14:textId="4525857E" w:rsidR="003C4691" w:rsidRPr="0045764A" w:rsidRDefault="004C2AAF" w:rsidP="00C65330">
            <w:pPr>
              <w:rPr>
                <w:rFonts w:eastAsia="TimesNewRoman"/>
                <w:szCs w:val="22"/>
                <w:lang w:val="sr-Latn-ME"/>
              </w:rPr>
            </w:pPr>
            <w:r w:rsidRPr="0045764A">
              <w:rPr>
                <w:rFonts w:eastAsia="TimesNewRoman"/>
                <w:szCs w:val="22"/>
                <w:lang w:val="sr-Latn-ME"/>
              </w:rPr>
              <w:t>2,8</w:t>
            </w:r>
          </w:p>
        </w:tc>
        <w:tc>
          <w:tcPr>
            <w:tcW w:w="1134" w:type="dxa"/>
          </w:tcPr>
          <w:p w14:paraId="245BA7A1" w14:textId="43FE8A96" w:rsidR="003C4691" w:rsidRPr="0045764A" w:rsidRDefault="004C2AAF" w:rsidP="00C65330">
            <w:pPr>
              <w:rPr>
                <w:rFonts w:eastAsia="TimesNewRoman"/>
                <w:szCs w:val="22"/>
                <w:lang w:val="sr-Latn-ME"/>
              </w:rPr>
            </w:pPr>
            <w:r w:rsidRPr="0045764A">
              <w:rPr>
                <w:rFonts w:eastAsia="TimesNewRoman"/>
                <w:szCs w:val="22"/>
                <w:lang w:val="sr-Latn-ME"/>
              </w:rPr>
              <w:t>0,9</w:t>
            </w:r>
          </w:p>
        </w:tc>
        <w:tc>
          <w:tcPr>
            <w:tcW w:w="1225" w:type="dxa"/>
          </w:tcPr>
          <w:p w14:paraId="6B3A86FB" w14:textId="1B64FD76" w:rsidR="003C4691" w:rsidRPr="0045764A" w:rsidRDefault="004C2AAF" w:rsidP="00C65330">
            <w:pPr>
              <w:rPr>
                <w:rFonts w:eastAsia="TimesNewRoman"/>
                <w:szCs w:val="22"/>
                <w:lang w:val="sr-Latn-ME"/>
              </w:rPr>
            </w:pPr>
            <w:r w:rsidRPr="0045764A">
              <w:rPr>
                <w:rFonts w:eastAsia="TimesNewRoman"/>
                <w:szCs w:val="22"/>
                <w:lang w:val="sr-Latn-ME"/>
              </w:rPr>
              <w:t>1,2</w:t>
            </w:r>
          </w:p>
        </w:tc>
      </w:tr>
      <w:tr w:rsidR="003C4691" w:rsidRPr="0045764A" w14:paraId="3DF76C89" w14:textId="77777777" w:rsidTr="001E4272">
        <w:tc>
          <w:tcPr>
            <w:tcW w:w="1838" w:type="dxa"/>
            <w:vMerge/>
          </w:tcPr>
          <w:p w14:paraId="6FBCD249" w14:textId="77777777" w:rsidR="003C4691" w:rsidRPr="0045764A" w:rsidRDefault="003C4691" w:rsidP="00654072">
            <w:pPr>
              <w:jc w:val="left"/>
              <w:rPr>
                <w:rFonts w:eastAsia="TimesNewRoman"/>
                <w:szCs w:val="22"/>
                <w:lang w:val="sr-Latn-ME"/>
              </w:rPr>
            </w:pPr>
          </w:p>
        </w:tc>
        <w:tc>
          <w:tcPr>
            <w:tcW w:w="1395" w:type="dxa"/>
            <w:vMerge/>
          </w:tcPr>
          <w:p w14:paraId="39DC1F13" w14:textId="77777777" w:rsidR="003C4691" w:rsidRPr="0045764A" w:rsidRDefault="003C4691" w:rsidP="00C65330">
            <w:pPr>
              <w:rPr>
                <w:rFonts w:eastAsia="TimesNewRoman"/>
                <w:szCs w:val="22"/>
                <w:lang w:val="sr-Latn-ME"/>
              </w:rPr>
            </w:pPr>
          </w:p>
        </w:tc>
        <w:tc>
          <w:tcPr>
            <w:tcW w:w="2007" w:type="dxa"/>
          </w:tcPr>
          <w:p w14:paraId="4CA0ECC0" w14:textId="1088D6BE" w:rsidR="003C4691" w:rsidRPr="0045764A" w:rsidRDefault="00FA2B8C" w:rsidP="00654072">
            <w:pPr>
              <w:tabs>
                <w:tab w:val="clear" w:pos="284"/>
              </w:tabs>
              <w:autoSpaceDE w:val="0"/>
              <w:autoSpaceDN w:val="0"/>
              <w:adjustRightInd w:val="0"/>
              <w:jc w:val="left"/>
              <w:rPr>
                <w:rFonts w:eastAsia="TimesNewRoman"/>
                <w:szCs w:val="22"/>
                <w:lang w:val="sr-Latn-ME"/>
              </w:rPr>
            </w:pPr>
            <w:r w:rsidRPr="0045764A">
              <w:rPr>
                <w:rFonts w:eastAsia="TimesNewRoman"/>
                <w:szCs w:val="22"/>
                <w:lang w:val="sr-Latn-ME"/>
              </w:rPr>
              <w:t>Arterijski embolijski i</w:t>
            </w:r>
            <w:r w:rsidR="006009BF" w:rsidRPr="0045764A">
              <w:rPr>
                <w:rFonts w:eastAsia="TimesNewRoman"/>
                <w:szCs w:val="22"/>
                <w:lang w:val="sr-Latn-ME"/>
              </w:rPr>
              <w:t xml:space="preserve"> </w:t>
            </w:r>
            <w:proofErr w:type="spellStart"/>
            <w:r w:rsidRPr="0045764A">
              <w:rPr>
                <w:rFonts w:eastAsia="TimesNewRoman"/>
                <w:szCs w:val="22"/>
                <w:lang w:val="sr-Latn-ME"/>
              </w:rPr>
              <w:t>trombotični</w:t>
            </w:r>
            <w:proofErr w:type="spellEnd"/>
            <w:r w:rsidRPr="0045764A">
              <w:rPr>
                <w:rFonts w:eastAsia="TimesNewRoman"/>
                <w:szCs w:val="22"/>
                <w:lang w:val="sr-Latn-ME"/>
              </w:rPr>
              <w:t xml:space="preserve"> </w:t>
            </w:r>
            <w:proofErr w:type="spellStart"/>
            <w:r w:rsidRPr="0045764A">
              <w:rPr>
                <w:rFonts w:eastAsia="TimesNewRoman"/>
                <w:szCs w:val="22"/>
                <w:lang w:val="sr-Latn-ME"/>
              </w:rPr>
              <w:t>događaji</w:t>
            </w:r>
            <w:r w:rsidRPr="0045764A">
              <w:rPr>
                <w:rFonts w:eastAsia="TimesNewRoman"/>
                <w:szCs w:val="22"/>
                <w:vertAlign w:val="superscript"/>
                <w:lang w:val="sr-Latn-ME"/>
              </w:rPr>
              <w:t>c,d,j</w:t>
            </w:r>
            <w:proofErr w:type="spellEnd"/>
          </w:p>
        </w:tc>
        <w:tc>
          <w:tcPr>
            <w:tcW w:w="1418" w:type="dxa"/>
          </w:tcPr>
          <w:p w14:paraId="54A75B37" w14:textId="1E601930" w:rsidR="003C4691" w:rsidRPr="0045764A" w:rsidRDefault="005D2232" w:rsidP="00C65330">
            <w:pPr>
              <w:rPr>
                <w:rFonts w:eastAsia="TimesNewRoman"/>
                <w:szCs w:val="22"/>
                <w:lang w:val="sr-Latn-ME"/>
              </w:rPr>
            </w:pPr>
            <w:r w:rsidRPr="0045764A">
              <w:rPr>
                <w:rFonts w:eastAsia="TimesNewRoman"/>
                <w:szCs w:val="22"/>
                <w:lang w:val="sr-Latn-ME"/>
              </w:rPr>
              <w:t>2,8</w:t>
            </w:r>
          </w:p>
        </w:tc>
        <w:tc>
          <w:tcPr>
            <w:tcW w:w="1134" w:type="dxa"/>
          </w:tcPr>
          <w:p w14:paraId="3363222D" w14:textId="18874540" w:rsidR="003C4691" w:rsidRPr="0045764A" w:rsidRDefault="005D2232" w:rsidP="00C65330">
            <w:pPr>
              <w:rPr>
                <w:rFonts w:eastAsia="TimesNewRoman"/>
                <w:szCs w:val="22"/>
                <w:lang w:val="sr-Latn-ME"/>
              </w:rPr>
            </w:pPr>
            <w:r w:rsidRPr="0045764A">
              <w:rPr>
                <w:rFonts w:eastAsia="TimesNewRoman"/>
                <w:szCs w:val="22"/>
                <w:lang w:val="sr-Latn-ME"/>
              </w:rPr>
              <w:t>1,2</w:t>
            </w:r>
          </w:p>
        </w:tc>
        <w:tc>
          <w:tcPr>
            <w:tcW w:w="1225" w:type="dxa"/>
          </w:tcPr>
          <w:p w14:paraId="7D22DFFA" w14:textId="09C4B312" w:rsidR="003C4691" w:rsidRPr="0045764A" w:rsidRDefault="005D2232" w:rsidP="00C65330">
            <w:pPr>
              <w:rPr>
                <w:rFonts w:eastAsia="TimesNewRoman"/>
                <w:szCs w:val="22"/>
                <w:lang w:val="sr-Latn-ME"/>
              </w:rPr>
            </w:pPr>
            <w:r w:rsidRPr="0045764A">
              <w:rPr>
                <w:rFonts w:eastAsia="TimesNewRoman"/>
                <w:szCs w:val="22"/>
                <w:lang w:val="sr-Latn-ME"/>
              </w:rPr>
              <w:t>1.3</w:t>
            </w:r>
          </w:p>
        </w:tc>
      </w:tr>
      <w:tr w:rsidR="00C40788" w:rsidRPr="0045764A" w14:paraId="1795BE0C" w14:textId="77777777" w:rsidTr="001E4272">
        <w:tc>
          <w:tcPr>
            <w:tcW w:w="1838" w:type="dxa"/>
            <w:vMerge/>
          </w:tcPr>
          <w:p w14:paraId="7AF713C3" w14:textId="77777777" w:rsidR="00C40788" w:rsidRPr="0045764A" w:rsidRDefault="00C40788" w:rsidP="00654072">
            <w:pPr>
              <w:jc w:val="left"/>
              <w:rPr>
                <w:rFonts w:eastAsia="TimesNewRoman"/>
                <w:szCs w:val="22"/>
                <w:lang w:val="sr-Latn-ME"/>
              </w:rPr>
            </w:pPr>
          </w:p>
        </w:tc>
        <w:tc>
          <w:tcPr>
            <w:tcW w:w="1395" w:type="dxa"/>
          </w:tcPr>
          <w:p w14:paraId="73BE1566" w14:textId="2742B8C8" w:rsidR="00C40788" w:rsidRPr="0045764A" w:rsidRDefault="00A052FE" w:rsidP="00C65330">
            <w:pPr>
              <w:rPr>
                <w:rFonts w:eastAsia="TimesNewRoman"/>
                <w:szCs w:val="22"/>
                <w:lang w:val="sr-Latn-ME"/>
              </w:rPr>
            </w:pPr>
            <w:r w:rsidRPr="0045764A">
              <w:rPr>
                <w:rFonts w:eastAsia="TimesNewRoman"/>
                <w:szCs w:val="22"/>
                <w:lang w:val="sr-Latn-ME"/>
              </w:rPr>
              <w:t>Nepoznat</w:t>
            </w:r>
            <w:r w:rsidR="001914DD" w:rsidRPr="0045764A">
              <w:rPr>
                <w:rFonts w:eastAsia="TimesNewRoman"/>
                <w:szCs w:val="22"/>
                <w:lang w:val="sr-Latn-ME"/>
              </w:rPr>
              <w:t>o</w:t>
            </w:r>
          </w:p>
        </w:tc>
        <w:tc>
          <w:tcPr>
            <w:tcW w:w="2007" w:type="dxa"/>
          </w:tcPr>
          <w:p w14:paraId="5E47EA1B" w14:textId="7B8D9C41" w:rsidR="00C40788" w:rsidRPr="0045764A" w:rsidRDefault="001C4AD1" w:rsidP="00654072">
            <w:pPr>
              <w:jc w:val="left"/>
              <w:rPr>
                <w:rFonts w:eastAsia="TimesNewRoman"/>
                <w:szCs w:val="22"/>
                <w:lang w:val="sr-Latn-ME"/>
              </w:rPr>
            </w:pPr>
            <w:proofErr w:type="spellStart"/>
            <w:r w:rsidRPr="0045764A">
              <w:rPr>
                <w:rFonts w:eastAsia="TimesNewRoman"/>
                <w:szCs w:val="22"/>
                <w:lang w:val="sr-Latn-ME"/>
              </w:rPr>
              <w:t>Aneurizme</w:t>
            </w:r>
            <w:proofErr w:type="spellEnd"/>
            <w:r w:rsidRPr="0045764A">
              <w:rPr>
                <w:rFonts w:eastAsia="TimesNewRoman"/>
                <w:szCs w:val="22"/>
                <w:lang w:val="sr-Latn-ME"/>
              </w:rPr>
              <w:t xml:space="preserve"> </w:t>
            </w:r>
            <w:r w:rsidR="004C2AAF" w:rsidRPr="0045764A">
              <w:rPr>
                <w:rFonts w:eastAsia="TimesNewRoman"/>
                <w:szCs w:val="22"/>
                <w:lang w:val="sr-Latn-ME"/>
              </w:rPr>
              <w:t>i</w:t>
            </w:r>
            <w:r w:rsidRPr="0045764A">
              <w:rPr>
                <w:rFonts w:eastAsia="TimesNewRoman"/>
                <w:szCs w:val="22"/>
                <w:lang w:val="sr-Latn-ME"/>
              </w:rPr>
              <w:t xml:space="preserve"> disekcije </w:t>
            </w:r>
            <w:proofErr w:type="spellStart"/>
            <w:r w:rsidRPr="0045764A">
              <w:rPr>
                <w:rFonts w:eastAsia="TimesNewRoman"/>
                <w:szCs w:val="22"/>
                <w:lang w:val="sr-Latn-ME"/>
              </w:rPr>
              <w:t>aorte</w:t>
            </w:r>
            <w:r w:rsidR="00F42FBA" w:rsidRPr="0045764A">
              <w:rPr>
                <w:rFonts w:eastAsia="TimesNewRoman"/>
                <w:szCs w:val="22"/>
                <w:vertAlign w:val="superscript"/>
                <w:lang w:val="sr-Latn-ME"/>
              </w:rPr>
              <w:t>d</w:t>
            </w:r>
            <w:proofErr w:type="spellEnd"/>
          </w:p>
        </w:tc>
        <w:tc>
          <w:tcPr>
            <w:tcW w:w="1418" w:type="dxa"/>
          </w:tcPr>
          <w:p w14:paraId="07ECF7FC" w14:textId="5A16618D" w:rsidR="00C40788" w:rsidRPr="0045764A" w:rsidRDefault="005D2232" w:rsidP="00C65330">
            <w:pPr>
              <w:rPr>
                <w:rFonts w:eastAsia="TimesNewRoman"/>
                <w:szCs w:val="22"/>
                <w:lang w:val="sr-Latn-ME"/>
              </w:rPr>
            </w:pPr>
            <w:r w:rsidRPr="0045764A">
              <w:rPr>
                <w:rFonts w:eastAsia="TimesNewRoman"/>
                <w:szCs w:val="22"/>
                <w:lang w:val="sr-Latn-ME"/>
              </w:rPr>
              <w:t>-</w:t>
            </w:r>
          </w:p>
        </w:tc>
        <w:tc>
          <w:tcPr>
            <w:tcW w:w="1134" w:type="dxa"/>
          </w:tcPr>
          <w:p w14:paraId="28F240C9" w14:textId="27A937EA" w:rsidR="00C40788" w:rsidRPr="0045764A" w:rsidRDefault="005D2232" w:rsidP="00C65330">
            <w:pPr>
              <w:rPr>
                <w:rFonts w:eastAsia="TimesNewRoman"/>
                <w:szCs w:val="22"/>
                <w:lang w:val="sr-Latn-ME"/>
              </w:rPr>
            </w:pPr>
            <w:r w:rsidRPr="0045764A">
              <w:rPr>
                <w:rFonts w:eastAsia="TimesNewRoman"/>
                <w:szCs w:val="22"/>
                <w:lang w:val="sr-Latn-ME"/>
              </w:rPr>
              <w:t>-</w:t>
            </w:r>
          </w:p>
        </w:tc>
        <w:tc>
          <w:tcPr>
            <w:tcW w:w="1225" w:type="dxa"/>
          </w:tcPr>
          <w:p w14:paraId="70AC285F" w14:textId="21D2CFBF" w:rsidR="00C40788" w:rsidRPr="0045764A" w:rsidRDefault="005D2232" w:rsidP="00C65330">
            <w:pPr>
              <w:rPr>
                <w:rFonts w:eastAsia="TimesNewRoman"/>
                <w:szCs w:val="22"/>
                <w:lang w:val="sr-Latn-ME"/>
              </w:rPr>
            </w:pPr>
            <w:r w:rsidRPr="0045764A">
              <w:rPr>
                <w:rFonts w:eastAsia="TimesNewRoman"/>
                <w:szCs w:val="22"/>
                <w:lang w:val="sr-Latn-ME"/>
              </w:rPr>
              <w:t>-</w:t>
            </w:r>
          </w:p>
        </w:tc>
      </w:tr>
      <w:tr w:rsidR="009A3545" w:rsidRPr="0045764A" w14:paraId="6B3C1E2D" w14:textId="77777777" w:rsidTr="001E4272">
        <w:tc>
          <w:tcPr>
            <w:tcW w:w="1838" w:type="dxa"/>
            <w:vMerge w:val="restart"/>
          </w:tcPr>
          <w:p w14:paraId="3F5275CA" w14:textId="77777777" w:rsidR="009A3545" w:rsidRPr="0045764A" w:rsidRDefault="009A3545" w:rsidP="00654072">
            <w:pPr>
              <w:tabs>
                <w:tab w:val="clear" w:pos="284"/>
              </w:tabs>
              <w:autoSpaceDE w:val="0"/>
              <w:autoSpaceDN w:val="0"/>
              <w:adjustRightInd w:val="0"/>
              <w:jc w:val="left"/>
              <w:rPr>
                <w:rFonts w:eastAsia="TimesNewRoman"/>
                <w:i/>
                <w:iCs/>
                <w:szCs w:val="22"/>
                <w:lang w:val="sr-Latn-ME"/>
              </w:rPr>
            </w:pPr>
            <w:r w:rsidRPr="0045764A">
              <w:rPr>
                <w:rFonts w:eastAsia="TimesNewRoman"/>
                <w:i/>
                <w:iCs/>
                <w:szCs w:val="22"/>
                <w:lang w:val="sr-Latn-ME"/>
              </w:rPr>
              <w:t>Respiratorni,</w:t>
            </w:r>
          </w:p>
          <w:p w14:paraId="597DA311" w14:textId="77777777" w:rsidR="009A3545" w:rsidRPr="0045764A" w:rsidRDefault="009A3545" w:rsidP="00654072">
            <w:pPr>
              <w:tabs>
                <w:tab w:val="clear" w:pos="284"/>
              </w:tabs>
              <w:autoSpaceDE w:val="0"/>
              <w:autoSpaceDN w:val="0"/>
              <w:adjustRightInd w:val="0"/>
              <w:jc w:val="left"/>
              <w:rPr>
                <w:rFonts w:eastAsia="TimesNewRoman"/>
                <w:i/>
                <w:iCs/>
                <w:szCs w:val="22"/>
                <w:lang w:val="sr-Latn-ME"/>
              </w:rPr>
            </w:pPr>
            <w:r w:rsidRPr="0045764A">
              <w:rPr>
                <w:rFonts w:eastAsia="TimesNewRoman"/>
                <w:i/>
                <w:iCs/>
                <w:szCs w:val="22"/>
                <w:lang w:val="sr-Latn-ME"/>
              </w:rPr>
              <w:t>torakalni i</w:t>
            </w:r>
          </w:p>
          <w:p w14:paraId="43E5B777" w14:textId="77777777" w:rsidR="009A3545" w:rsidRPr="0045764A" w:rsidRDefault="009A3545" w:rsidP="00654072">
            <w:pPr>
              <w:tabs>
                <w:tab w:val="clear" w:pos="284"/>
              </w:tabs>
              <w:autoSpaceDE w:val="0"/>
              <w:autoSpaceDN w:val="0"/>
              <w:adjustRightInd w:val="0"/>
              <w:jc w:val="left"/>
              <w:rPr>
                <w:rFonts w:eastAsia="TimesNewRoman"/>
                <w:i/>
                <w:iCs/>
                <w:szCs w:val="22"/>
                <w:lang w:val="sr-Latn-ME"/>
              </w:rPr>
            </w:pPr>
            <w:proofErr w:type="spellStart"/>
            <w:r w:rsidRPr="0045764A">
              <w:rPr>
                <w:rFonts w:eastAsia="TimesNewRoman"/>
                <w:i/>
                <w:iCs/>
                <w:szCs w:val="22"/>
                <w:lang w:val="sr-Latn-ME"/>
              </w:rPr>
              <w:t>medijastinalni</w:t>
            </w:r>
            <w:proofErr w:type="spellEnd"/>
          </w:p>
          <w:p w14:paraId="0C707BC7" w14:textId="5EBC2679" w:rsidR="009A3545" w:rsidRPr="0045764A" w:rsidRDefault="009A3545" w:rsidP="00654072">
            <w:pPr>
              <w:jc w:val="left"/>
              <w:rPr>
                <w:rFonts w:eastAsia="TimesNewRoman"/>
                <w:szCs w:val="22"/>
                <w:lang w:val="sr-Latn-ME"/>
              </w:rPr>
            </w:pPr>
            <w:r w:rsidRPr="0045764A">
              <w:rPr>
                <w:rFonts w:eastAsia="TimesNewRoman"/>
                <w:i/>
                <w:iCs/>
                <w:szCs w:val="22"/>
                <w:lang w:val="sr-Latn-ME"/>
              </w:rPr>
              <w:t>poremećaji</w:t>
            </w:r>
          </w:p>
        </w:tc>
        <w:tc>
          <w:tcPr>
            <w:tcW w:w="1395" w:type="dxa"/>
            <w:vMerge w:val="restart"/>
          </w:tcPr>
          <w:p w14:paraId="524930B9" w14:textId="3CDE953F" w:rsidR="009A3545" w:rsidRPr="0045764A" w:rsidRDefault="00285B98" w:rsidP="00C65330">
            <w:pPr>
              <w:rPr>
                <w:rFonts w:eastAsia="TimesNewRoman"/>
                <w:szCs w:val="22"/>
                <w:lang w:val="sr-Latn-ME"/>
              </w:rPr>
            </w:pPr>
            <w:r w:rsidRPr="0045764A">
              <w:rPr>
                <w:rFonts w:eastAsia="TimesNewRoman"/>
                <w:szCs w:val="22"/>
                <w:lang w:val="sr-Latn-ME"/>
              </w:rPr>
              <w:t>Veoma čest</w:t>
            </w:r>
            <w:r w:rsidR="001914DD" w:rsidRPr="0045764A">
              <w:rPr>
                <w:rFonts w:eastAsia="TimesNewRoman"/>
                <w:szCs w:val="22"/>
                <w:lang w:val="sr-Latn-ME"/>
              </w:rPr>
              <w:t>o</w:t>
            </w:r>
          </w:p>
        </w:tc>
        <w:tc>
          <w:tcPr>
            <w:tcW w:w="2007" w:type="dxa"/>
          </w:tcPr>
          <w:p w14:paraId="5CDF0238" w14:textId="1CA689F2" w:rsidR="009A3545" w:rsidRPr="0045764A" w:rsidRDefault="00446825" w:rsidP="00654072">
            <w:pPr>
              <w:jc w:val="left"/>
              <w:rPr>
                <w:rFonts w:eastAsia="TimesNewRoman"/>
                <w:szCs w:val="22"/>
                <w:lang w:val="sr-Latn-ME"/>
              </w:rPr>
            </w:pPr>
            <w:proofErr w:type="spellStart"/>
            <w:r w:rsidRPr="0045764A">
              <w:rPr>
                <w:rFonts w:eastAsia="TimesNewRoman"/>
                <w:szCs w:val="22"/>
                <w:lang w:val="sr-Latn-ME"/>
              </w:rPr>
              <w:t>Dispneja</w:t>
            </w:r>
            <w:r w:rsidRPr="0045764A">
              <w:rPr>
                <w:rFonts w:eastAsia="TimesNewRoman"/>
                <w:szCs w:val="22"/>
                <w:vertAlign w:val="superscript"/>
                <w:lang w:val="sr-Latn-ME"/>
              </w:rPr>
              <w:t>d</w:t>
            </w:r>
            <w:proofErr w:type="spellEnd"/>
          </w:p>
        </w:tc>
        <w:tc>
          <w:tcPr>
            <w:tcW w:w="1418" w:type="dxa"/>
          </w:tcPr>
          <w:p w14:paraId="72651673" w14:textId="18DA5F66" w:rsidR="009A3545" w:rsidRPr="0045764A" w:rsidRDefault="00825D30" w:rsidP="00C65330">
            <w:pPr>
              <w:rPr>
                <w:rFonts w:eastAsia="TimesNewRoman"/>
                <w:szCs w:val="22"/>
                <w:lang w:val="sr-Latn-ME"/>
              </w:rPr>
            </w:pPr>
            <w:r w:rsidRPr="0045764A">
              <w:rPr>
                <w:rFonts w:eastAsia="TimesNewRoman"/>
                <w:szCs w:val="22"/>
                <w:lang w:val="sr-Latn-ME"/>
              </w:rPr>
              <w:t>17,1</w:t>
            </w:r>
          </w:p>
        </w:tc>
        <w:tc>
          <w:tcPr>
            <w:tcW w:w="1134" w:type="dxa"/>
          </w:tcPr>
          <w:p w14:paraId="2B1B4080" w14:textId="5A742241" w:rsidR="009A3545" w:rsidRPr="0045764A" w:rsidRDefault="00825D30" w:rsidP="00C65330">
            <w:pPr>
              <w:rPr>
                <w:rFonts w:eastAsia="TimesNewRoman"/>
                <w:szCs w:val="22"/>
                <w:lang w:val="sr-Latn-ME"/>
              </w:rPr>
            </w:pPr>
            <w:r w:rsidRPr="0045764A">
              <w:rPr>
                <w:rFonts w:eastAsia="TimesNewRoman"/>
                <w:szCs w:val="22"/>
                <w:lang w:val="sr-Latn-ME"/>
              </w:rPr>
              <w:t>3,6</w:t>
            </w:r>
          </w:p>
        </w:tc>
        <w:tc>
          <w:tcPr>
            <w:tcW w:w="1225" w:type="dxa"/>
          </w:tcPr>
          <w:p w14:paraId="4F8638C1" w14:textId="519719E0" w:rsidR="009A3545" w:rsidRPr="0045764A" w:rsidRDefault="00825D30" w:rsidP="00C65330">
            <w:pPr>
              <w:rPr>
                <w:rFonts w:eastAsia="TimesNewRoman"/>
                <w:szCs w:val="22"/>
                <w:lang w:val="sr-Latn-ME"/>
              </w:rPr>
            </w:pPr>
            <w:r w:rsidRPr="0045764A">
              <w:rPr>
                <w:rFonts w:eastAsia="TimesNewRoman"/>
                <w:szCs w:val="22"/>
                <w:lang w:val="sr-Latn-ME"/>
              </w:rPr>
              <w:t>0,6</w:t>
            </w:r>
          </w:p>
        </w:tc>
      </w:tr>
      <w:tr w:rsidR="009A3545" w:rsidRPr="0045764A" w14:paraId="466D5A45" w14:textId="77777777" w:rsidTr="001E4272">
        <w:tc>
          <w:tcPr>
            <w:tcW w:w="1838" w:type="dxa"/>
            <w:vMerge/>
          </w:tcPr>
          <w:p w14:paraId="7981D254" w14:textId="77777777" w:rsidR="009A3545" w:rsidRPr="0045764A" w:rsidRDefault="009A3545" w:rsidP="00654072">
            <w:pPr>
              <w:jc w:val="left"/>
              <w:rPr>
                <w:rFonts w:eastAsia="TimesNewRoman"/>
                <w:szCs w:val="22"/>
                <w:lang w:val="sr-Latn-ME"/>
              </w:rPr>
            </w:pPr>
          </w:p>
        </w:tc>
        <w:tc>
          <w:tcPr>
            <w:tcW w:w="1395" w:type="dxa"/>
            <w:vMerge/>
          </w:tcPr>
          <w:p w14:paraId="046ED2C9" w14:textId="77777777" w:rsidR="009A3545" w:rsidRPr="0045764A" w:rsidRDefault="009A3545" w:rsidP="00C65330">
            <w:pPr>
              <w:rPr>
                <w:rFonts w:eastAsia="TimesNewRoman"/>
                <w:szCs w:val="22"/>
                <w:lang w:val="sr-Latn-ME"/>
              </w:rPr>
            </w:pPr>
          </w:p>
        </w:tc>
        <w:tc>
          <w:tcPr>
            <w:tcW w:w="2007" w:type="dxa"/>
          </w:tcPr>
          <w:p w14:paraId="2A991CA6" w14:textId="22D456DA" w:rsidR="009A3545" w:rsidRPr="0045764A" w:rsidRDefault="00072919" w:rsidP="00654072">
            <w:pPr>
              <w:jc w:val="left"/>
              <w:rPr>
                <w:rFonts w:eastAsia="TimesNewRoman"/>
                <w:szCs w:val="22"/>
                <w:lang w:val="sr-Latn-ME"/>
              </w:rPr>
            </w:pPr>
            <w:r w:rsidRPr="0045764A">
              <w:rPr>
                <w:rFonts w:eastAsia="TimesNewRoman"/>
                <w:szCs w:val="22"/>
                <w:lang w:val="sr-Latn-ME"/>
              </w:rPr>
              <w:t>Kašalj</w:t>
            </w:r>
          </w:p>
        </w:tc>
        <w:tc>
          <w:tcPr>
            <w:tcW w:w="1418" w:type="dxa"/>
          </w:tcPr>
          <w:p w14:paraId="4EECC58D" w14:textId="24C0D000" w:rsidR="009A3545" w:rsidRPr="0045764A" w:rsidRDefault="00AF3913" w:rsidP="00C65330">
            <w:pPr>
              <w:rPr>
                <w:rFonts w:eastAsia="TimesNewRoman"/>
                <w:szCs w:val="22"/>
                <w:lang w:val="sr-Latn-ME"/>
              </w:rPr>
            </w:pPr>
            <w:r w:rsidRPr="0045764A">
              <w:rPr>
                <w:rFonts w:eastAsia="TimesNewRoman"/>
                <w:szCs w:val="22"/>
                <w:lang w:val="sr-Latn-ME"/>
              </w:rPr>
              <w:t>20,4</w:t>
            </w:r>
          </w:p>
        </w:tc>
        <w:tc>
          <w:tcPr>
            <w:tcW w:w="1134" w:type="dxa"/>
          </w:tcPr>
          <w:p w14:paraId="6C63835E" w14:textId="18B69E3E" w:rsidR="009A3545" w:rsidRPr="0045764A" w:rsidRDefault="00AF3913" w:rsidP="00C65330">
            <w:pPr>
              <w:rPr>
                <w:rFonts w:eastAsia="TimesNewRoman"/>
                <w:szCs w:val="22"/>
                <w:lang w:val="sr-Latn-ME"/>
              </w:rPr>
            </w:pPr>
            <w:r w:rsidRPr="0045764A">
              <w:rPr>
                <w:rFonts w:eastAsia="TimesNewRoman"/>
                <w:szCs w:val="22"/>
                <w:lang w:val="sr-Latn-ME"/>
              </w:rPr>
              <w:t>0,6</w:t>
            </w:r>
          </w:p>
        </w:tc>
        <w:tc>
          <w:tcPr>
            <w:tcW w:w="1225" w:type="dxa"/>
          </w:tcPr>
          <w:p w14:paraId="40B3A27D" w14:textId="30E15EAE" w:rsidR="009A3545" w:rsidRPr="0045764A" w:rsidRDefault="00AF3913" w:rsidP="00C65330">
            <w:pPr>
              <w:rPr>
                <w:rFonts w:eastAsia="TimesNewRoman"/>
                <w:szCs w:val="22"/>
                <w:lang w:val="sr-Latn-ME"/>
              </w:rPr>
            </w:pPr>
            <w:r w:rsidRPr="0045764A">
              <w:rPr>
                <w:rFonts w:eastAsia="TimesNewRoman"/>
                <w:szCs w:val="22"/>
                <w:lang w:val="sr-Latn-ME"/>
              </w:rPr>
              <w:t>0</w:t>
            </w:r>
          </w:p>
        </w:tc>
      </w:tr>
      <w:tr w:rsidR="009A3545" w:rsidRPr="0045764A" w14:paraId="383A9A26" w14:textId="77777777" w:rsidTr="001E4272">
        <w:tc>
          <w:tcPr>
            <w:tcW w:w="1838" w:type="dxa"/>
            <w:vMerge/>
          </w:tcPr>
          <w:p w14:paraId="33BDA26D" w14:textId="77777777" w:rsidR="009A3545" w:rsidRPr="0045764A" w:rsidRDefault="009A3545" w:rsidP="00654072">
            <w:pPr>
              <w:jc w:val="left"/>
              <w:rPr>
                <w:rFonts w:eastAsia="TimesNewRoman"/>
                <w:szCs w:val="22"/>
                <w:lang w:val="sr-Latn-ME"/>
              </w:rPr>
            </w:pPr>
          </w:p>
        </w:tc>
        <w:tc>
          <w:tcPr>
            <w:tcW w:w="1395" w:type="dxa"/>
            <w:vMerge/>
          </w:tcPr>
          <w:p w14:paraId="0D0D1115" w14:textId="77777777" w:rsidR="009A3545" w:rsidRPr="0045764A" w:rsidRDefault="009A3545" w:rsidP="00C65330">
            <w:pPr>
              <w:rPr>
                <w:rFonts w:eastAsia="TimesNewRoman"/>
                <w:szCs w:val="22"/>
                <w:lang w:val="sr-Latn-ME"/>
              </w:rPr>
            </w:pPr>
          </w:p>
        </w:tc>
        <w:tc>
          <w:tcPr>
            <w:tcW w:w="2007" w:type="dxa"/>
          </w:tcPr>
          <w:p w14:paraId="4955122B" w14:textId="30481385" w:rsidR="009A3545" w:rsidRPr="0045764A" w:rsidRDefault="00255B0A" w:rsidP="00654072">
            <w:pPr>
              <w:jc w:val="left"/>
              <w:rPr>
                <w:rFonts w:eastAsia="TimesNewRoman"/>
                <w:szCs w:val="22"/>
                <w:lang w:val="sr-Latn-ME"/>
              </w:rPr>
            </w:pPr>
            <w:proofErr w:type="spellStart"/>
            <w:r w:rsidRPr="0045764A">
              <w:rPr>
                <w:rFonts w:eastAsia="TimesNewRoman"/>
                <w:szCs w:val="22"/>
                <w:lang w:val="sr-Latn-ME"/>
              </w:rPr>
              <w:t>Disfonija</w:t>
            </w:r>
            <w:proofErr w:type="spellEnd"/>
          </w:p>
        </w:tc>
        <w:tc>
          <w:tcPr>
            <w:tcW w:w="1418" w:type="dxa"/>
          </w:tcPr>
          <w:p w14:paraId="5FA6D6A8" w14:textId="60F7377F" w:rsidR="009A3545" w:rsidRPr="0045764A" w:rsidRDefault="00AF3913" w:rsidP="00C65330">
            <w:pPr>
              <w:rPr>
                <w:rFonts w:eastAsia="TimesNewRoman"/>
                <w:szCs w:val="22"/>
                <w:lang w:val="sr-Latn-ME"/>
              </w:rPr>
            </w:pPr>
            <w:r w:rsidRPr="0045764A">
              <w:rPr>
                <w:rFonts w:eastAsia="TimesNewRoman"/>
                <w:szCs w:val="22"/>
                <w:lang w:val="sr-Latn-ME"/>
              </w:rPr>
              <w:t>32,7</w:t>
            </w:r>
          </w:p>
        </w:tc>
        <w:tc>
          <w:tcPr>
            <w:tcW w:w="1134" w:type="dxa"/>
          </w:tcPr>
          <w:p w14:paraId="1E85DF79" w14:textId="45B60407" w:rsidR="009A3545" w:rsidRPr="0045764A" w:rsidRDefault="00FB6F3D" w:rsidP="00C65330">
            <w:pPr>
              <w:rPr>
                <w:rFonts w:eastAsia="TimesNewRoman"/>
                <w:szCs w:val="22"/>
                <w:lang w:val="sr-Latn-ME"/>
              </w:rPr>
            </w:pPr>
            <w:r w:rsidRPr="0045764A">
              <w:rPr>
                <w:rFonts w:eastAsia="TimesNewRoman"/>
                <w:szCs w:val="22"/>
                <w:lang w:val="sr-Latn-ME"/>
              </w:rPr>
              <w:t>0</w:t>
            </w:r>
          </w:p>
        </w:tc>
        <w:tc>
          <w:tcPr>
            <w:tcW w:w="1225" w:type="dxa"/>
          </w:tcPr>
          <w:p w14:paraId="10DAE2C7" w14:textId="46C57078" w:rsidR="009A3545" w:rsidRPr="0045764A" w:rsidRDefault="00FB6F3D" w:rsidP="00C65330">
            <w:pPr>
              <w:rPr>
                <w:rFonts w:eastAsia="TimesNewRoman"/>
                <w:szCs w:val="22"/>
                <w:lang w:val="sr-Latn-ME"/>
              </w:rPr>
            </w:pPr>
            <w:r w:rsidRPr="0045764A">
              <w:rPr>
                <w:rFonts w:eastAsia="TimesNewRoman"/>
                <w:szCs w:val="22"/>
                <w:lang w:val="sr-Latn-ME"/>
              </w:rPr>
              <w:t>0,1</w:t>
            </w:r>
          </w:p>
        </w:tc>
      </w:tr>
      <w:tr w:rsidR="0042769B" w:rsidRPr="0045764A" w14:paraId="0FB4BB6E" w14:textId="77777777" w:rsidTr="001E4272">
        <w:tc>
          <w:tcPr>
            <w:tcW w:w="1838" w:type="dxa"/>
            <w:vMerge/>
          </w:tcPr>
          <w:p w14:paraId="3E66723B" w14:textId="77777777" w:rsidR="0042769B" w:rsidRPr="0045764A" w:rsidRDefault="0042769B" w:rsidP="00654072">
            <w:pPr>
              <w:jc w:val="left"/>
              <w:rPr>
                <w:rFonts w:eastAsia="TimesNewRoman"/>
                <w:szCs w:val="22"/>
                <w:lang w:val="sr-Latn-ME"/>
              </w:rPr>
            </w:pPr>
          </w:p>
        </w:tc>
        <w:tc>
          <w:tcPr>
            <w:tcW w:w="1395" w:type="dxa"/>
          </w:tcPr>
          <w:p w14:paraId="7B391EF1" w14:textId="42106AD4" w:rsidR="0042769B" w:rsidRPr="0045764A" w:rsidRDefault="001742B6" w:rsidP="00C65330">
            <w:pPr>
              <w:rPr>
                <w:rFonts w:eastAsia="TimesNewRoman"/>
                <w:szCs w:val="22"/>
                <w:lang w:val="sr-Latn-ME"/>
              </w:rPr>
            </w:pPr>
            <w:r w:rsidRPr="0045764A">
              <w:rPr>
                <w:rFonts w:eastAsia="TimesNewRoman"/>
                <w:szCs w:val="22"/>
                <w:lang w:val="sr-Latn-ME"/>
              </w:rPr>
              <w:t>Čest</w:t>
            </w:r>
            <w:r w:rsidR="001914DD" w:rsidRPr="0045764A">
              <w:rPr>
                <w:rFonts w:eastAsia="TimesNewRoman"/>
                <w:szCs w:val="22"/>
                <w:lang w:val="sr-Latn-ME"/>
              </w:rPr>
              <w:t>o</w:t>
            </w:r>
          </w:p>
        </w:tc>
        <w:tc>
          <w:tcPr>
            <w:tcW w:w="2007" w:type="dxa"/>
          </w:tcPr>
          <w:p w14:paraId="5964F7C3" w14:textId="412B59C3" w:rsidR="0042769B" w:rsidRPr="0045764A" w:rsidRDefault="00255B0A" w:rsidP="00654072">
            <w:pPr>
              <w:jc w:val="left"/>
              <w:rPr>
                <w:rFonts w:eastAsia="TimesNewRoman"/>
                <w:szCs w:val="22"/>
                <w:lang w:val="sr-Latn-ME"/>
              </w:rPr>
            </w:pPr>
            <w:proofErr w:type="spellStart"/>
            <w:r w:rsidRPr="0045764A">
              <w:rPr>
                <w:rFonts w:eastAsia="TimesNewRoman"/>
                <w:szCs w:val="22"/>
                <w:lang w:val="sr-Latn-ME"/>
              </w:rPr>
              <w:t>Orofaring</w:t>
            </w:r>
            <w:r w:rsidR="00410E6A" w:rsidRPr="0045764A">
              <w:rPr>
                <w:rFonts w:eastAsia="TimesNewRoman"/>
                <w:szCs w:val="22"/>
                <w:lang w:val="sr-Latn-ME"/>
              </w:rPr>
              <w:t>e</w:t>
            </w:r>
            <w:r w:rsidRPr="0045764A">
              <w:rPr>
                <w:rFonts w:eastAsia="TimesNewRoman"/>
                <w:szCs w:val="22"/>
                <w:lang w:val="sr-Latn-ME"/>
              </w:rPr>
              <w:t>alni</w:t>
            </w:r>
            <w:proofErr w:type="spellEnd"/>
            <w:r w:rsidRPr="0045764A">
              <w:rPr>
                <w:rFonts w:eastAsia="TimesNewRoman"/>
                <w:szCs w:val="22"/>
                <w:lang w:val="sr-Latn-ME"/>
              </w:rPr>
              <w:t xml:space="preserve"> bol</w:t>
            </w:r>
          </w:p>
        </w:tc>
        <w:tc>
          <w:tcPr>
            <w:tcW w:w="1418" w:type="dxa"/>
          </w:tcPr>
          <w:p w14:paraId="1181E98E" w14:textId="1DA646EB" w:rsidR="0042769B" w:rsidRPr="0045764A" w:rsidRDefault="00CF7722" w:rsidP="00C65330">
            <w:pPr>
              <w:rPr>
                <w:rFonts w:eastAsia="TimesNewRoman"/>
                <w:szCs w:val="22"/>
                <w:lang w:val="sr-Latn-ME"/>
              </w:rPr>
            </w:pPr>
            <w:r w:rsidRPr="0045764A">
              <w:rPr>
                <w:rFonts w:eastAsia="TimesNewRoman"/>
                <w:szCs w:val="22"/>
                <w:lang w:val="sr-Latn-ME"/>
              </w:rPr>
              <w:t>7,4</w:t>
            </w:r>
          </w:p>
        </w:tc>
        <w:tc>
          <w:tcPr>
            <w:tcW w:w="1134" w:type="dxa"/>
          </w:tcPr>
          <w:p w14:paraId="3FE9ADC6" w14:textId="0EFB6A89" w:rsidR="0042769B" w:rsidRPr="0045764A" w:rsidRDefault="00CF7722" w:rsidP="00C65330">
            <w:pPr>
              <w:rPr>
                <w:rFonts w:eastAsia="TimesNewRoman"/>
                <w:szCs w:val="22"/>
                <w:lang w:val="sr-Latn-ME"/>
              </w:rPr>
            </w:pPr>
            <w:r w:rsidRPr="0045764A">
              <w:rPr>
                <w:rFonts w:eastAsia="TimesNewRoman"/>
                <w:szCs w:val="22"/>
                <w:lang w:val="sr-Latn-ME"/>
              </w:rPr>
              <w:t>0</w:t>
            </w:r>
          </w:p>
        </w:tc>
        <w:tc>
          <w:tcPr>
            <w:tcW w:w="1225" w:type="dxa"/>
          </w:tcPr>
          <w:p w14:paraId="02BC5FD2" w14:textId="5E32AFFB" w:rsidR="0042769B" w:rsidRPr="0045764A" w:rsidRDefault="00CF7722" w:rsidP="00C65330">
            <w:pPr>
              <w:rPr>
                <w:rFonts w:eastAsia="TimesNewRoman"/>
                <w:szCs w:val="22"/>
                <w:lang w:val="sr-Latn-ME"/>
              </w:rPr>
            </w:pPr>
            <w:r w:rsidRPr="0045764A">
              <w:rPr>
                <w:rFonts w:eastAsia="TimesNewRoman"/>
                <w:szCs w:val="22"/>
                <w:lang w:val="sr-Latn-ME"/>
              </w:rPr>
              <w:t>0</w:t>
            </w:r>
          </w:p>
        </w:tc>
      </w:tr>
      <w:tr w:rsidR="00222AF3" w:rsidRPr="0045764A" w14:paraId="247A4679" w14:textId="77777777" w:rsidTr="001E4272">
        <w:tc>
          <w:tcPr>
            <w:tcW w:w="1838" w:type="dxa"/>
            <w:vMerge w:val="restart"/>
          </w:tcPr>
          <w:p w14:paraId="4717697E" w14:textId="77DD4A1B" w:rsidR="00222AF3" w:rsidRPr="0045764A" w:rsidRDefault="00222AF3" w:rsidP="00654072">
            <w:pPr>
              <w:tabs>
                <w:tab w:val="clear" w:pos="284"/>
              </w:tabs>
              <w:autoSpaceDE w:val="0"/>
              <w:autoSpaceDN w:val="0"/>
              <w:adjustRightInd w:val="0"/>
              <w:jc w:val="left"/>
              <w:rPr>
                <w:rFonts w:eastAsia="TimesNewRoman"/>
                <w:i/>
                <w:iCs/>
                <w:szCs w:val="22"/>
                <w:lang w:val="sr-Latn-ME"/>
              </w:rPr>
            </w:pPr>
            <w:r w:rsidRPr="0045764A">
              <w:rPr>
                <w:rFonts w:eastAsia="TimesNewRoman"/>
                <w:i/>
                <w:iCs/>
                <w:szCs w:val="22"/>
                <w:lang w:val="sr-Latn-ME"/>
              </w:rPr>
              <w:t>Gastrointestinalni</w:t>
            </w:r>
          </w:p>
          <w:p w14:paraId="0BAC63C5" w14:textId="6836EDF3" w:rsidR="00222AF3" w:rsidRPr="0045764A" w:rsidRDefault="00222AF3" w:rsidP="00654072">
            <w:pPr>
              <w:jc w:val="left"/>
              <w:rPr>
                <w:rFonts w:eastAsia="TimesNewRoman"/>
                <w:szCs w:val="22"/>
                <w:lang w:val="sr-Latn-ME"/>
              </w:rPr>
            </w:pPr>
            <w:r w:rsidRPr="0045764A">
              <w:rPr>
                <w:rFonts w:eastAsia="TimesNewRoman"/>
                <w:i/>
                <w:iCs/>
                <w:szCs w:val="22"/>
                <w:lang w:val="sr-Latn-ME"/>
              </w:rPr>
              <w:t>poremećaji</w:t>
            </w:r>
          </w:p>
        </w:tc>
        <w:tc>
          <w:tcPr>
            <w:tcW w:w="1395" w:type="dxa"/>
            <w:vMerge w:val="restart"/>
          </w:tcPr>
          <w:p w14:paraId="6F7C30F0" w14:textId="0ECF40E3" w:rsidR="00222AF3" w:rsidRPr="0045764A" w:rsidRDefault="00B07EA9" w:rsidP="00C65330">
            <w:pPr>
              <w:rPr>
                <w:rFonts w:eastAsia="TimesNewRoman"/>
                <w:szCs w:val="22"/>
                <w:lang w:val="sr-Latn-ME"/>
              </w:rPr>
            </w:pPr>
            <w:r w:rsidRPr="0045764A">
              <w:rPr>
                <w:rFonts w:eastAsia="TimesNewRoman"/>
                <w:szCs w:val="22"/>
                <w:lang w:val="sr-Latn-ME"/>
              </w:rPr>
              <w:t>Veoma čest</w:t>
            </w:r>
            <w:r w:rsidR="001914DD" w:rsidRPr="0045764A">
              <w:rPr>
                <w:rFonts w:eastAsia="TimesNewRoman"/>
                <w:szCs w:val="22"/>
                <w:lang w:val="sr-Latn-ME"/>
              </w:rPr>
              <w:t>o</w:t>
            </w:r>
          </w:p>
        </w:tc>
        <w:tc>
          <w:tcPr>
            <w:tcW w:w="2007" w:type="dxa"/>
          </w:tcPr>
          <w:p w14:paraId="0A6E661F" w14:textId="33AF5839" w:rsidR="00222AF3" w:rsidRPr="0045764A" w:rsidRDefault="00143E99" w:rsidP="00654072">
            <w:pPr>
              <w:jc w:val="left"/>
              <w:rPr>
                <w:rFonts w:eastAsia="TimesNewRoman"/>
                <w:szCs w:val="22"/>
                <w:lang w:val="sr-Latn-ME"/>
              </w:rPr>
            </w:pPr>
            <w:r w:rsidRPr="0045764A">
              <w:rPr>
                <w:rFonts w:eastAsia="TimesNewRoman"/>
                <w:szCs w:val="22"/>
                <w:lang w:val="sr-Latn-ME"/>
              </w:rPr>
              <w:t>Dijareja</w:t>
            </w:r>
          </w:p>
        </w:tc>
        <w:tc>
          <w:tcPr>
            <w:tcW w:w="1418" w:type="dxa"/>
          </w:tcPr>
          <w:p w14:paraId="48505B59" w14:textId="4FCB6260" w:rsidR="00222AF3" w:rsidRPr="0045764A" w:rsidRDefault="0028112D" w:rsidP="00C65330">
            <w:pPr>
              <w:rPr>
                <w:rFonts w:eastAsia="TimesNewRoman"/>
                <w:szCs w:val="22"/>
                <w:lang w:val="sr-Latn-ME"/>
              </w:rPr>
            </w:pPr>
            <w:r w:rsidRPr="0045764A">
              <w:rPr>
                <w:rFonts w:eastAsia="TimesNewRoman"/>
                <w:szCs w:val="22"/>
                <w:lang w:val="sr-Latn-ME"/>
              </w:rPr>
              <w:t>55,4</w:t>
            </w:r>
          </w:p>
        </w:tc>
        <w:tc>
          <w:tcPr>
            <w:tcW w:w="1134" w:type="dxa"/>
          </w:tcPr>
          <w:p w14:paraId="4DCD45FD" w14:textId="378F9902" w:rsidR="00222AF3" w:rsidRPr="0045764A" w:rsidRDefault="0028112D" w:rsidP="00C65330">
            <w:pPr>
              <w:rPr>
                <w:rFonts w:eastAsia="TimesNewRoman"/>
                <w:szCs w:val="22"/>
                <w:lang w:val="sr-Latn-ME"/>
              </w:rPr>
            </w:pPr>
            <w:r w:rsidRPr="0045764A">
              <w:rPr>
                <w:rFonts w:eastAsia="TimesNewRoman"/>
                <w:szCs w:val="22"/>
                <w:lang w:val="sr-Latn-ME"/>
              </w:rPr>
              <w:t>10,1</w:t>
            </w:r>
          </w:p>
        </w:tc>
        <w:tc>
          <w:tcPr>
            <w:tcW w:w="1225" w:type="dxa"/>
          </w:tcPr>
          <w:p w14:paraId="5702E0E3" w14:textId="47F3A6D9" w:rsidR="00222AF3" w:rsidRPr="0045764A" w:rsidRDefault="0028112D" w:rsidP="00C65330">
            <w:pPr>
              <w:rPr>
                <w:rFonts w:eastAsia="TimesNewRoman"/>
                <w:szCs w:val="22"/>
                <w:lang w:val="sr-Latn-ME"/>
              </w:rPr>
            </w:pPr>
            <w:r w:rsidRPr="0045764A">
              <w:rPr>
                <w:rFonts w:eastAsia="TimesNewRoman"/>
                <w:szCs w:val="22"/>
                <w:lang w:val="sr-Latn-ME"/>
              </w:rPr>
              <w:t>0,1</w:t>
            </w:r>
          </w:p>
        </w:tc>
      </w:tr>
      <w:tr w:rsidR="00222AF3" w:rsidRPr="0045764A" w14:paraId="6DB8F87B" w14:textId="77777777" w:rsidTr="001E4272">
        <w:tc>
          <w:tcPr>
            <w:tcW w:w="1838" w:type="dxa"/>
            <w:vMerge/>
          </w:tcPr>
          <w:p w14:paraId="0EA89491" w14:textId="77777777" w:rsidR="00222AF3" w:rsidRPr="0045764A" w:rsidRDefault="00222AF3" w:rsidP="00654072">
            <w:pPr>
              <w:jc w:val="left"/>
              <w:rPr>
                <w:rFonts w:eastAsia="TimesNewRoman"/>
                <w:szCs w:val="22"/>
                <w:lang w:val="sr-Latn-ME"/>
              </w:rPr>
            </w:pPr>
          </w:p>
        </w:tc>
        <w:tc>
          <w:tcPr>
            <w:tcW w:w="1395" w:type="dxa"/>
            <w:vMerge/>
          </w:tcPr>
          <w:p w14:paraId="745831ED" w14:textId="77777777" w:rsidR="00222AF3" w:rsidRPr="0045764A" w:rsidRDefault="00222AF3" w:rsidP="00C65330">
            <w:pPr>
              <w:rPr>
                <w:rFonts w:eastAsia="TimesNewRoman"/>
                <w:szCs w:val="22"/>
                <w:lang w:val="sr-Latn-ME"/>
              </w:rPr>
            </w:pPr>
          </w:p>
        </w:tc>
        <w:tc>
          <w:tcPr>
            <w:tcW w:w="2007" w:type="dxa"/>
          </w:tcPr>
          <w:p w14:paraId="7680343A" w14:textId="14E5EB28" w:rsidR="00222AF3" w:rsidRPr="0045764A" w:rsidRDefault="001605D4" w:rsidP="00654072">
            <w:pPr>
              <w:jc w:val="left"/>
              <w:rPr>
                <w:rFonts w:eastAsia="TimesNewRoman"/>
                <w:szCs w:val="22"/>
                <w:lang w:val="sr-Latn-ME"/>
              </w:rPr>
            </w:pPr>
            <w:r w:rsidRPr="0045764A">
              <w:rPr>
                <w:rFonts w:eastAsia="TimesNewRoman"/>
                <w:szCs w:val="22"/>
                <w:lang w:val="sr-Latn-ME"/>
              </w:rPr>
              <w:t>Povraćanje</w:t>
            </w:r>
          </w:p>
        </w:tc>
        <w:tc>
          <w:tcPr>
            <w:tcW w:w="1418" w:type="dxa"/>
          </w:tcPr>
          <w:p w14:paraId="2F607AE6" w14:textId="71E238F6" w:rsidR="00222AF3" w:rsidRPr="0045764A" w:rsidRDefault="00BB0AEE" w:rsidP="00C65330">
            <w:pPr>
              <w:rPr>
                <w:rFonts w:eastAsia="TimesNewRoman"/>
                <w:szCs w:val="22"/>
                <w:lang w:val="sr-Latn-ME"/>
              </w:rPr>
            </w:pPr>
            <w:r w:rsidRPr="0045764A">
              <w:rPr>
                <w:rFonts w:eastAsia="TimesNewRoman"/>
                <w:szCs w:val="22"/>
                <w:lang w:val="sr-Latn-ME"/>
              </w:rPr>
              <w:t>23,7</w:t>
            </w:r>
          </w:p>
        </w:tc>
        <w:tc>
          <w:tcPr>
            <w:tcW w:w="1134" w:type="dxa"/>
          </w:tcPr>
          <w:p w14:paraId="23579DB4" w14:textId="5578F740" w:rsidR="00222AF3" w:rsidRPr="0045764A" w:rsidRDefault="00BB0AEE" w:rsidP="00C65330">
            <w:pPr>
              <w:rPr>
                <w:rFonts w:eastAsia="TimesNewRoman"/>
                <w:szCs w:val="22"/>
                <w:lang w:val="sr-Latn-ME"/>
              </w:rPr>
            </w:pPr>
            <w:r w:rsidRPr="0045764A">
              <w:rPr>
                <w:rFonts w:eastAsia="TimesNewRoman"/>
                <w:szCs w:val="22"/>
                <w:lang w:val="sr-Latn-ME"/>
              </w:rPr>
              <w:t>2,7</w:t>
            </w:r>
          </w:p>
        </w:tc>
        <w:tc>
          <w:tcPr>
            <w:tcW w:w="1225" w:type="dxa"/>
          </w:tcPr>
          <w:p w14:paraId="7349B530" w14:textId="1C7F854A" w:rsidR="00222AF3" w:rsidRPr="0045764A" w:rsidRDefault="00BB0AEE" w:rsidP="00C65330">
            <w:pPr>
              <w:rPr>
                <w:rFonts w:eastAsia="TimesNewRoman"/>
                <w:szCs w:val="22"/>
                <w:lang w:val="sr-Latn-ME"/>
              </w:rPr>
            </w:pPr>
            <w:r w:rsidRPr="0045764A">
              <w:rPr>
                <w:rFonts w:eastAsia="TimesNewRoman"/>
                <w:szCs w:val="22"/>
                <w:lang w:val="sr-Latn-ME"/>
              </w:rPr>
              <w:t>0,1</w:t>
            </w:r>
          </w:p>
        </w:tc>
      </w:tr>
      <w:tr w:rsidR="00222AF3" w:rsidRPr="0045764A" w14:paraId="160D6BBB" w14:textId="77777777" w:rsidTr="001E4272">
        <w:tc>
          <w:tcPr>
            <w:tcW w:w="1838" w:type="dxa"/>
            <w:vMerge/>
          </w:tcPr>
          <w:p w14:paraId="2BDF3B4B" w14:textId="77777777" w:rsidR="00222AF3" w:rsidRPr="0045764A" w:rsidRDefault="00222AF3" w:rsidP="00654072">
            <w:pPr>
              <w:jc w:val="left"/>
              <w:rPr>
                <w:rFonts w:eastAsia="TimesNewRoman"/>
                <w:szCs w:val="22"/>
                <w:lang w:val="sr-Latn-ME"/>
              </w:rPr>
            </w:pPr>
          </w:p>
        </w:tc>
        <w:tc>
          <w:tcPr>
            <w:tcW w:w="1395" w:type="dxa"/>
            <w:vMerge/>
          </w:tcPr>
          <w:p w14:paraId="2DF271C8" w14:textId="77777777" w:rsidR="00222AF3" w:rsidRPr="0045764A" w:rsidRDefault="00222AF3" w:rsidP="00C65330">
            <w:pPr>
              <w:rPr>
                <w:rFonts w:eastAsia="TimesNewRoman"/>
                <w:szCs w:val="22"/>
                <w:lang w:val="sr-Latn-ME"/>
              </w:rPr>
            </w:pPr>
          </w:p>
        </w:tc>
        <w:tc>
          <w:tcPr>
            <w:tcW w:w="2007" w:type="dxa"/>
          </w:tcPr>
          <w:p w14:paraId="4903CEB6" w14:textId="20620ED6" w:rsidR="00222AF3" w:rsidRPr="0045764A" w:rsidRDefault="001605D4" w:rsidP="00654072">
            <w:pPr>
              <w:jc w:val="left"/>
              <w:rPr>
                <w:rFonts w:eastAsia="TimesNewRoman"/>
                <w:szCs w:val="22"/>
                <w:lang w:val="sr-Latn-ME"/>
              </w:rPr>
            </w:pPr>
            <w:r w:rsidRPr="0045764A">
              <w:rPr>
                <w:rFonts w:eastAsia="TimesNewRoman"/>
                <w:szCs w:val="22"/>
                <w:lang w:val="sr-Latn-ME"/>
              </w:rPr>
              <w:t>Mučnina</w:t>
            </w:r>
          </w:p>
        </w:tc>
        <w:tc>
          <w:tcPr>
            <w:tcW w:w="1418" w:type="dxa"/>
          </w:tcPr>
          <w:p w14:paraId="321DF9C7" w14:textId="7387FF29" w:rsidR="00222AF3" w:rsidRPr="0045764A" w:rsidRDefault="00BB0AEE" w:rsidP="00C65330">
            <w:pPr>
              <w:rPr>
                <w:rFonts w:eastAsia="TimesNewRoman"/>
                <w:szCs w:val="22"/>
                <w:lang w:val="sr-Latn-ME"/>
              </w:rPr>
            </w:pPr>
            <w:r w:rsidRPr="0045764A">
              <w:rPr>
                <w:rFonts w:eastAsia="TimesNewRoman"/>
                <w:szCs w:val="22"/>
                <w:lang w:val="sr-Latn-ME"/>
              </w:rPr>
              <w:t>33,0</w:t>
            </w:r>
          </w:p>
        </w:tc>
        <w:tc>
          <w:tcPr>
            <w:tcW w:w="1134" w:type="dxa"/>
          </w:tcPr>
          <w:p w14:paraId="43042315" w14:textId="3E93687D" w:rsidR="00222AF3" w:rsidRPr="0045764A" w:rsidRDefault="00BB0AEE" w:rsidP="00C65330">
            <w:pPr>
              <w:rPr>
                <w:rFonts w:eastAsia="TimesNewRoman"/>
                <w:szCs w:val="22"/>
                <w:lang w:val="sr-Latn-ME"/>
              </w:rPr>
            </w:pPr>
            <w:r w:rsidRPr="0045764A">
              <w:rPr>
                <w:rFonts w:eastAsia="TimesNewRoman"/>
                <w:szCs w:val="22"/>
                <w:lang w:val="sr-Latn-ME"/>
              </w:rPr>
              <w:t>2,2</w:t>
            </w:r>
          </w:p>
        </w:tc>
        <w:tc>
          <w:tcPr>
            <w:tcW w:w="1225" w:type="dxa"/>
          </w:tcPr>
          <w:p w14:paraId="10C2A3AA" w14:textId="7447E40C" w:rsidR="00222AF3" w:rsidRPr="0045764A" w:rsidRDefault="002D224F" w:rsidP="00C65330">
            <w:pPr>
              <w:rPr>
                <w:rFonts w:eastAsia="TimesNewRoman"/>
                <w:szCs w:val="22"/>
                <w:lang w:val="sr-Latn-ME"/>
              </w:rPr>
            </w:pPr>
            <w:r w:rsidRPr="0045764A">
              <w:rPr>
                <w:rFonts w:eastAsia="TimesNewRoman"/>
                <w:szCs w:val="22"/>
                <w:lang w:val="sr-Latn-ME"/>
              </w:rPr>
              <w:t>0,1</w:t>
            </w:r>
          </w:p>
        </w:tc>
      </w:tr>
      <w:tr w:rsidR="00222AF3" w:rsidRPr="0045764A" w14:paraId="54CD64AC" w14:textId="77777777" w:rsidTr="001E4272">
        <w:tc>
          <w:tcPr>
            <w:tcW w:w="1838" w:type="dxa"/>
            <w:vMerge/>
          </w:tcPr>
          <w:p w14:paraId="455DE087" w14:textId="77777777" w:rsidR="00222AF3" w:rsidRPr="0045764A" w:rsidRDefault="00222AF3" w:rsidP="00654072">
            <w:pPr>
              <w:jc w:val="left"/>
              <w:rPr>
                <w:rFonts w:eastAsia="TimesNewRoman"/>
                <w:szCs w:val="22"/>
                <w:lang w:val="sr-Latn-ME"/>
              </w:rPr>
            </w:pPr>
          </w:p>
        </w:tc>
        <w:tc>
          <w:tcPr>
            <w:tcW w:w="1395" w:type="dxa"/>
            <w:vMerge/>
          </w:tcPr>
          <w:p w14:paraId="3D7B8225" w14:textId="77777777" w:rsidR="00222AF3" w:rsidRPr="0045764A" w:rsidRDefault="00222AF3" w:rsidP="00C65330">
            <w:pPr>
              <w:rPr>
                <w:rFonts w:eastAsia="TimesNewRoman"/>
                <w:szCs w:val="22"/>
                <w:lang w:val="sr-Latn-ME"/>
              </w:rPr>
            </w:pPr>
          </w:p>
        </w:tc>
        <w:tc>
          <w:tcPr>
            <w:tcW w:w="2007" w:type="dxa"/>
          </w:tcPr>
          <w:p w14:paraId="463C9CE2" w14:textId="38B7F865" w:rsidR="00222AF3" w:rsidRPr="0045764A" w:rsidRDefault="00FA2602" w:rsidP="00654072">
            <w:pPr>
              <w:jc w:val="left"/>
              <w:rPr>
                <w:rFonts w:eastAsia="TimesNewRoman"/>
                <w:szCs w:val="22"/>
                <w:lang w:val="sr-Latn-ME"/>
              </w:rPr>
            </w:pPr>
            <w:r w:rsidRPr="0045764A">
              <w:rPr>
                <w:rFonts w:eastAsia="TimesNewRoman"/>
                <w:szCs w:val="22"/>
                <w:lang w:val="sr-Latn-ME"/>
              </w:rPr>
              <w:t>Abdominalni bol</w:t>
            </w:r>
          </w:p>
        </w:tc>
        <w:tc>
          <w:tcPr>
            <w:tcW w:w="1418" w:type="dxa"/>
          </w:tcPr>
          <w:p w14:paraId="1E5B62F8" w14:textId="0610E8A3" w:rsidR="00222AF3" w:rsidRPr="0045764A" w:rsidRDefault="002D224F" w:rsidP="00C65330">
            <w:pPr>
              <w:rPr>
                <w:rFonts w:eastAsia="TimesNewRoman"/>
                <w:szCs w:val="22"/>
                <w:lang w:val="sr-Latn-ME"/>
              </w:rPr>
            </w:pPr>
            <w:r w:rsidRPr="0045764A">
              <w:rPr>
                <w:rFonts w:eastAsia="TimesNewRoman"/>
                <w:szCs w:val="22"/>
                <w:lang w:val="sr-Latn-ME"/>
              </w:rPr>
              <w:t>14,7</w:t>
            </w:r>
          </w:p>
        </w:tc>
        <w:tc>
          <w:tcPr>
            <w:tcW w:w="1134" w:type="dxa"/>
          </w:tcPr>
          <w:p w14:paraId="32F087E8" w14:textId="677E48B7" w:rsidR="00222AF3" w:rsidRPr="0045764A" w:rsidRDefault="002D224F" w:rsidP="00C65330">
            <w:pPr>
              <w:rPr>
                <w:rFonts w:eastAsia="TimesNewRoman"/>
                <w:szCs w:val="22"/>
                <w:lang w:val="sr-Latn-ME"/>
              </w:rPr>
            </w:pPr>
            <w:r w:rsidRPr="0045764A">
              <w:rPr>
                <w:rFonts w:eastAsia="TimesNewRoman"/>
                <w:szCs w:val="22"/>
                <w:lang w:val="sr-Latn-ME"/>
              </w:rPr>
              <w:t>2,5</w:t>
            </w:r>
          </w:p>
        </w:tc>
        <w:tc>
          <w:tcPr>
            <w:tcW w:w="1225" w:type="dxa"/>
          </w:tcPr>
          <w:p w14:paraId="509A9184" w14:textId="5FAA53A8" w:rsidR="00222AF3" w:rsidRPr="0045764A" w:rsidRDefault="002D224F" w:rsidP="00C65330">
            <w:pPr>
              <w:rPr>
                <w:rFonts w:eastAsia="TimesNewRoman"/>
                <w:szCs w:val="22"/>
                <w:lang w:val="sr-Latn-ME"/>
              </w:rPr>
            </w:pPr>
            <w:r w:rsidRPr="0045764A">
              <w:rPr>
                <w:rFonts w:eastAsia="TimesNewRoman"/>
                <w:szCs w:val="22"/>
                <w:lang w:val="sr-Latn-ME"/>
              </w:rPr>
              <w:t>0,3</w:t>
            </w:r>
          </w:p>
        </w:tc>
      </w:tr>
      <w:tr w:rsidR="00222AF3" w:rsidRPr="0045764A" w14:paraId="2466E87C" w14:textId="77777777" w:rsidTr="001E4272">
        <w:tc>
          <w:tcPr>
            <w:tcW w:w="1838" w:type="dxa"/>
            <w:vMerge/>
          </w:tcPr>
          <w:p w14:paraId="0D1508B7" w14:textId="77777777" w:rsidR="00222AF3" w:rsidRPr="0045764A" w:rsidRDefault="00222AF3" w:rsidP="00654072">
            <w:pPr>
              <w:jc w:val="left"/>
              <w:rPr>
                <w:rFonts w:eastAsia="TimesNewRoman"/>
                <w:szCs w:val="22"/>
                <w:lang w:val="sr-Latn-ME"/>
              </w:rPr>
            </w:pPr>
          </w:p>
        </w:tc>
        <w:tc>
          <w:tcPr>
            <w:tcW w:w="1395" w:type="dxa"/>
            <w:vMerge/>
          </w:tcPr>
          <w:p w14:paraId="7AFC1C69" w14:textId="77777777" w:rsidR="00222AF3" w:rsidRPr="0045764A" w:rsidRDefault="00222AF3" w:rsidP="00C65330">
            <w:pPr>
              <w:rPr>
                <w:rFonts w:eastAsia="TimesNewRoman"/>
                <w:szCs w:val="22"/>
                <w:lang w:val="sr-Latn-ME"/>
              </w:rPr>
            </w:pPr>
          </w:p>
        </w:tc>
        <w:tc>
          <w:tcPr>
            <w:tcW w:w="2007" w:type="dxa"/>
          </w:tcPr>
          <w:p w14:paraId="34DAD05F" w14:textId="63A5C60F" w:rsidR="00222AF3" w:rsidRPr="0045764A" w:rsidRDefault="007C5D6D" w:rsidP="00654072">
            <w:pPr>
              <w:jc w:val="left"/>
              <w:rPr>
                <w:rFonts w:eastAsia="TimesNewRoman"/>
                <w:szCs w:val="22"/>
                <w:lang w:val="sr-Latn-ME"/>
              </w:rPr>
            </w:pPr>
            <w:r w:rsidRPr="0045764A">
              <w:rPr>
                <w:rFonts w:eastAsia="TimesNewRoman"/>
                <w:szCs w:val="22"/>
                <w:lang w:val="sr-Latn-ME"/>
              </w:rPr>
              <w:t>Konstipacija</w:t>
            </w:r>
          </w:p>
        </w:tc>
        <w:tc>
          <w:tcPr>
            <w:tcW w:w="1418" w:type="dxa"/>
          </w:tcPr>
          <w:p w14:paraId="49789976" w14:textId="630D5156" w:rsidR="00222AF3" w:rsidRPr="0045764A" w:rsidRDefault="00B86E6D" w:rsidP="00C65330">
            <w:pPr>
              <w:rPr>
                <w:rFonts w:eastAsia="TimesNewRoman"/>
                <w:szCs w:val="22"/>
                <w:lang w:val="sr-Latn-ME"/>
              </w:rPr>
            </w:pPr>
            <w:r w:rsidRPr="0045764A">
              <w:rPr>
                <w:rFonts w:eastAsia="TimesNewRoman"/>
                <w:szCs w:val="22"/>
                <w:lang w:val="sr-Latn-ME"/>
              </w:rPr>
              <w:t>20,2</w:t>
            </w:r>
          </w:p>
        </w:tc>
        <w:tc>
          <w:tcPr>
            <w:tcW w:w="1134" w:type="dxa"/>
          </w:tcPr>
          <w:p w14:paraId="32A4329D" w14:textId="23056652" w:rsidR="00222AF3" w:rsidRPr="0045764A" w:rsidRDefault="00B86E6D" w:rsidP="00C65330">
            <w:pPr>
              <w:rPr>
                <w:rFonts w:eastAsia="TimesNewRoman"/>
                <w:szCs w:val="22"/>
                <w:lang w:val="sr-Latn-ME"/>
              </w:rPr>
            </w:pPr>
            <w:r w:rsidRPr="0045764A">
              <w:rPr>
                <w:rFonts w:eastAsia="TimesNewRoman"/>
                <w:szCs w:val="22"/>
                <w:lang w:val="sr-Latn-ME"/>
              </w:rPr>
              <w:t>1,0</w:t>
            </w:r>
          </w:p>
        </w:tc>
        <w:tc>
          <w:tcPr>
            <w:tcW w:w="1225" w:type="dxa"/>
          </w:tcPr>
          <w:p w14:paraId="60367658" w14:textId="21330D84" w:rsidR="00222AF3" w:rsidRPr="0045764A" w:rsidRDefault="00B86E6D" w:rsidP="00C65330">
            <w:pPr>
              <w:rPr>
                <w:rFonts w:eastAsia="TimesNewRoman"/>
                <w:szCs w:val="22"/>
                <w:lang w:val="sr-Latn-ME"/>
              </w:rPr>
            </w:pPr>
            <w:r w:rsidRPr="0045764A">
              <w:rPr>
                <w:rFonts w:eastAsia="TimesNewRoman"/>
                <w:szCs w:val="22"/>
                <w:lang w:val="sr-Latn-ME"/>
              </w:rPr>
              <w:t>0</w:t>
            </w:r>
          </w:p>
        </w:tc>
      </w:tr>
      <w:tr w:rsidR="00222AF3" w:rsidRPr="0045764A" w14:paraId="094E6CAF" w14:textId="77777777" w:rsidTr="001E4272">
        <w:tc>
          <w:tcPr>
            <w:tcW w:w="1838" w:type="dxa"/>
            <w:vMerge/>
          </w:tcPr>
          <w:p w14:paraId="49F726B2" w14:textId="77777777" w:rsidR="00222AF3" w:rsidRPr="0045764A" w:rsidRDefault="00222AF3" w:rsidP="00654072">
            <w:pPr>
              <w:jc w:val="left"/>
              <w:rPr>
                <w:rFonts w:eastAsia="TimesNewRoman"/>
                <w:szCs w:val="22"/>
                <w:lang w:val="sr-Latn-ME"/>
              </w:rPr>
            </w:pPr>
          </w:p>
        </w:tc>
        <w:tc>
          <w:tcPr>
            <w:tcW w:w="1395" w:type="dxa"/>
            <w:vMerge/>
          </w:tcPr>
          <w:p w14:paraId="299449CA" w14:textId="77777777" w:rsidR="00222AF3" w:rsidRPr="0045764A" w:rsidRDefault="00222AF3" w:rsidP="00C65330">
            <w:pPr>
              <w:rPr>
                <w:rFonts w:eastAsia="TimesNewRoman"/>
                <w:szCs w:val="22"/>
                <w:lang w:val="sr-Latn-ME"/>
              </w:rPr>
            </w:pPr>
          </w:p>
        </w:tc>
        <w:tc>
          <w:tcPr>
            <w:tcW w:w="2007" w:type="dxa"/>
          </w:tcPr>
          <w:p w14:paraId="38DF9D08" w14:textId="52F78853" w:rsidR="00222AF3" w:rsidRPr="0045764A" w:rsidRDefault="008D3E75" w:rsidP="00654072">
            <w:pPr>
              <w:jc w:val="left"/>
              <w:rPr>
                <w:rFonts w:eastAsia="TimesNewRoman"/>
                <w:szCs w:val="22"/>
                <w:lang w:val="sr-Latn-ME"/>
              </w:rPr>
            </w:pPr>
            <w:proofErr w:type="spellStart"/>
            <w:r w:rsidRPr="0045764A">
              <w:rPr>
                <w:rFonts w:eastAsia="TimesNewRoman"/>
                <w:szCs w:val="22"/>
                <w:lang w:val="sr-Latn-ME"/>
              </w:rPr>
              <w:t>Stomatitis</w:t>
            </w:r>
            <w:proofErr w:type="spellEnd"/>
          </w:p>
        </w:tc>
        <w:tc>
          <w:tcPr>
            <w:tcW w:w="1418" w:type="dxa"/>
          </w:tcPr>
          <w:p w14:paraId="7597FCCB" w14:textId="09D5CCE0" w:rsidR="00222AF3" w:rsidRPr="0045764A" w:rsidRDefault="000E72DE" w:rsidP="00C65330">
            <w:pPr>
              <w:rPr>
                <w:rFonts w:eastAsia="TimesNewRoman"/>
                <w:szCs w:val="22"/>
                <w:lang w:val="sr-Latn-ME"/>
              </w:rPr>
            </w:pPr>
            <w:r w:rsidRPr="0045764A">
              <w:rPr>
                <w:rFonts w:eastAsia="TimesNewRoman"/>
                <w:szCs w:val="22"/>
                <w:lang w:val="sr-Latn-ME"/>
              </w:rPr>
              <w:t>15,5</w:t>
            </w:r>
          </w:p>
        </w:tc>
        <w:tc>
          <w:tcPr>
            <w:tcW w:w="1134" w:type="dxa"/>
          </w:tcPr>
          <w:p w14:paraId="62C9DD1F" w14:textId="3DE76604" w:rsidR="00222AF3" w:rsidRPr="0045764A" w:rsidRDefault="000E72DE" w:rsidP="00C65330">
            <w:pPr>
              <w:rPr>
                <w:rFonts w:eastAsia="TimesNewRoman"/>
                <w:szCs w:val="22"/>
                <w:lang w:val="sr-Latn-ME"/>
              </w:rPr>
            </w:pPr>
            <w:r w:rsidRPr="0045764A">
              <w:rPr>
                <w:rFonts w:eastAsia="TimesNewRoman"/>
                <w:szCs w:val="22"/>
                <w:lang w:val="sr-Latn-ME"/>
              </w:rPr>
              <w:t>1,8</w:t>
            </w:r>
          </w:p>
        </w:tc>
        <w:tc>
          <w:tcPr>
            <w:tcW w:w="1225" w:type="dxa"/>
          </w:tcPr>
          <w:p w14:paraId="7534E552" w14:textId="3E9A3D7F" w:rsidR="00222AF3" w:rsidRPr="0045764A" w:rsidRDefault="00B86E6D" w:rsidP="00C65330">
            <w:pPr>
              <w:rPr>
                <w:rFonts w:eastAsia="TimesNewRoman"/>
                <w:szCs w:val="22"/>
                <w:lang w:val="sr-Latn-ME"/>
              </w:rPr>
            </w:pPr>
            <w:r w:rsidRPr="0045764A">
              <w:rPr>
                <w:rFonts w:eastAsia="TimesNewRoman"/>
                <w:szCs w:val="22"/>
                <w:lang w:val="sr-Latn-ME"/>
              </w:rPr>
              <w:t>0</w:t>
            </w:r>
          </w:p>
        </w:tc>
      </w:tr>
      <w:tr w:rsidR="00222AF3" w:rsidRPr="0045764A" w14:paraId="7251E773" w14:textId="77777777" w:rsidTr="001E4272">
        <w:tc>
          <w:tcPr>
            <w:tcW w:w="1838" w:type="dxa"/>
            <w:vMerge/>
          </w:tcPr>
          <w:p w14:paraId="01A2A1EF" w14:textId="77777777" w:rsidR="00222AF3" w:rsidRPr="0045764A" w:rsidRDefault="00222AF3" w:rsidP="00654072">
            <w:pPr>
              <w:jc w:val="left"/>
              <w:rPr>
                <w:rFonts w:eastAsia="TimesNewRoman"/>
                <w:szCs w:val="22"/>
                <w:lang w:val="sr-Latn-ME"/>
              </w:rPr>
            </w:pPr>
          </w:p>
        </w:tc>
        <w:tc>
          <w:tcPr>
            <w:tcW w:w="1395" w:type="dxa"/>
            <w:vMerge/>
          </w:tcPr>
          <w:p w14:paraId="572AFAC8" w14:textId="77777777" w:rsidR="00222AF3" w:rsidRPr="0045764A" w:rsidRDefault="00222AF3" w:rsidP="00C65330">
            <w:pPr>
              <w:rPr>
                <w:rFonts w:eastAsia="TimesNewRoman"/>
                <w:szCs w:val="22"/>
                <w:lang w:val="sr-Latn-ME"/>
              </w:rPr>
            </w:pPr>
          </w:p>
        </w:tc>
        <w:tc>
          <w:tcPr>
            <w:tcW w:w="2007" w:type="dxa"/>
          </w:tcPr>
          <w:p w14:paraId="26E3A3E6" w14:textId="33F36C0B" w:rsidR="00222AF3" w:rsidRPr="0045764A" w:rsidRDefault="00410E6A" w:rsidP="00654072">
            <w:pPr>
              <w:jc w:val="left"/>
              <w:rPr>
                <w:rFonts w:eastAsia="TimesNewRoman"/>
                <w:szCs w:val="22"/>
                <w:lang w:val="sr-Latn-ME"/>
              </w:rPr>
            </w:pPr>
            <w:r w:rsidRPr="0045764A">
              <w:rPr>
                <w:rFonts w:eastAsia="TimesNewRoman"/>
                <w:szCs w:val="22"/>
                <w:lang w:val="sr-Latn-ME"/>
              </w:rPr>
              <w:t>Dispepsija</w:t>
            </w:r>
          </w:p>
        </w:tc>
        <w:tc>
          <w:tcPr>
            <w:tcW w:w="1418" w:type="dxa"/>
          </w:tcPr>
          <w:p w14:paraId="06137A50" w14:textId="0DC37E4F" w:rsidR="00222AF3" w:rsidRPr="0045764A" w:rsidRDefault="000E72DE" w:rsidP="00C65330">
            <w:pPr>
              <w:rPr>
                <w:rFonts w:eastAsia="TimesNewRoman"/>
                <w:szCs w:val="22"/>
                <w:lang w:val="sr-Latn-ME"/>
              </w:rPr>
            </w:pPr>
            <w:r w:rsidRPr="0045764A">
              <w:rPr>
                <w:rFonts w:eastAsia="TimesNewRoman"/>
                <w:szCs w:val="22"/>
                <w:lang w:val="sr-Latn-ME"/>
              </w:rPr>
              <w:t>11,2</w:t>
            </w:r>
          </w:p>
        </w:tc>
        <w:tc>
          <w:tcPr>
            <w:tcW w:w="1134" w:type="dxa"/>
          </w:tcPr>
          <w:p w14:paraId="3447F4AD" w14:textId="000AEC66" w:rsidR="00222AF3" w:rsidRPr="0045764A" w:rsidRDefault="000E72DE" w:rsidP="00C65330">
            <w:pPr>
              <w:rPr>
                <w:rFonts w:eastAsia="TimesNewRoman"/>
                <w:szCs w:val="22"/>
                <w:lang w:val="sr-Latn-ME"/>
              </w:rPr>
            </w:pPr>
            <w:r w:rsidRPr="0045764A">
              <w:rPr>
                <w:rFonts w:eastAsia="TimesNewRoman"/>
                <w:szCs w:val="22"/>
                <w:lang w:val="sr-Latn-ME"/>
              </w:rPr>
              <w:t>0,1</w:t>
            </w:r>
          </w:p>
        </w:tc>
        <w:tc>
          <w:tcPr>
            <w:tcW w:w="1225" w:type="dxa"/>
          </w:tcPr>
          <w:p w14:paraId="478271BB" w14:textId="3E3601FC" w:rsidR="00222AF3" w:rsidRPr="0045764A" w:rsidRDefault="00B86E6D" w:rsidP="00C65330">
            <w:pPr>
              <w:rPr>
                <w:rFonts w:eastAsia="TimesNewRoman"/>
                <w:szCs w:val="22"/>
                <w:lang w:val="sr-Latn-ME"/>
              </w:rPr>
            </w:pPr>
            <w:r w:rsidRPr="0045764A">
              <w:rPr>
                <w:rFonts w:eastAsia="TimesNewRoman"/>
                <w:szCs w:val="22"/>
                <w:lang w:val="sr-Latn-ME"/>
              </w:rPr>
              <w:t>0</w:t>
            </w:r>
          </w:p>
        </w:tc>
      </w:tr>
      <w:tr w:rsidR="00222AF3" w:rsidRPr="0045764A" w14:paraId="68936533" w14:textId="77777777" w:rsidTr="001E4272">
        <w:tc>
          <w:tcPr>
            <w:tcW w:w="1838" w:type="dxa"/>
            <w:vMerge/>
          </w:tcPr>
          <w:p w14:paraId="12C70105" w14:textId="77777777" w:rsidR="00222AF3" w:rsidRPr="0045764A" w:rsidRDefault="00222AF3" w:rsidP="00654072">
            <w:pPr>
              <w:jc w:val="left"/>
              <w:rPr>
                <w:rFonts w:eastAsia="TimesNewRoman"/>
                <w:szCs w:val="22"/>
                <w:lang w:val="sr-Latn-ME"/>
              </w:rPr>
            </w:pPr>
          </w:p>
        </w:tc>
        <w:tc>
          <w:tcPr>
            <w:tcW w:w="1395" w:type="dxa"/>
            <w:vMerge w:val="restart"/>
          </w:tcPr>
          <w:p w14:paraId="777ECCF4" w14:textId="08271B24" w:rsidR="00222AF3" w:rsidRPr="0045764A" w:rsidRDefault="00B07EA9" w:rsidP="00C65330">
            <w:pPr>
              <w:rPr>
                <w:rFonts w:eastAsia="TimesNewRoman"/>
                <w:szCs w:val="22"/>
                <w:lang w:val="sr-Latn-ME"/>
              </w:rPr>
            </w:pPr>
            <w:r w:rsidRPr="0045764A">
              <w:rPr>
                <w:rFonts w:eastAsia="TimesNewRoman"/>
                <w:szCs w:val="22"/>
                <w:lang w:val="sr-Latn-ME"/>
              </w:rPr>
              <w:t>Čest</w:t>
            </w:r>
            <w:r w:rsidR="001914DD" w:rsidRPr="0045764A">
              <w:rPr>
                <w:rFonts w:eastAsia="TimesNewRoman"/>
                <w:szCs w:val="22"/>
                <w:lang w:val="sr-Latn-ME"/>
              </w:rPr>
              <w:t>o</w:t>
            </w:r>
          </w:p>
        </w:tc>
        <w:tc>
          <w:tcPr>
            <w:tcW w:w="2007" w:type="dxa"/>
          </w:tcPr>
          <w:p w14:paraId="6FA56F35" w14:textId="77777777" w:rsidR="00C36A2A" w:rsidRPr="0045764A" w:rsidRDefault="00C36A2A" w:rsidP="00654072">
            <w:pPr>
              <w:tabs>
                <w:tab w:val="clear" w:pos="284"/>
              </w:tabs>
              <w:autoSpaceDE w:val="0"/>
              <w:autoSpaceDN w:val="0"/>
              <w:adjustRightInd w:val="0"/>
              <w:jc w:val="left"/>
              <w:rPr>
                <w:rFonts w:eastAsia="TimesNewRoman"/>
                <w:szCs w:val="22"/>
                <w:lang w:val="sr-Latn-ME"/>
              </w:rPr>
            </w:pPr>
            <w:r w:rsidRPr="0045764A">
              <w:rPr>
                <w:rFonts w:eastAsia="TimesNewRoman"/>
                <w:szCs w:val="22"/>
                <w:lang w:val="sr-Latn-ME"/>
              </w:rPr>
              <w:t>Bol u gornjem</w:t>
            </w:r>
          </w:p>
          <w:p w14:paraId="5689B4AC" w14:textId="38A83360" w:rsidR="00222AF3" w:rsidRPr="0045764A" w:rsidRDefault="00C36A2A" w:rsidP="00654072">
            <w:pPr>
              <w:jc w:val="left"/>
              <w:rPr>
                <w:rFonts w:eastAsia="TimesNewRoman"/>
                <w:szCs w:val="22"/>
                <w:lang w:val="sr-Latn-ME"/>
              </w:rPr>
            </w:pPr>
            <w:r w:rsidRPr="0045764A">
              <w:rPr>
                <w:rFonts w:eastAsia="TimesNewRoman"/>
                <w:szCs w:val="22"/>
                <w:lang w:val="sr-Latn-ME"/>
              </w:rPr>
              <w:t>abdomenu</w:t>
            </w:r>
          </w:p>
        </w:tc>
        <w:tc>
          <w:tcPr>
            <w:tcW w:w="1418" w:type="dxa"/>
          </w:tcPr>
          <w:p w14:paraId="7BE50EA9" w14:textId="52460CFD" w:rsidR="00222AF3" w:rsidRPr="0045764A" w:rsidRDefault="009B00E9" w:rsidP="00C65330">
            <w:pPr>
              <w:rPr>
                <w:rFonts w:eastAsia="TimesNewRoman"/>
                <w:szCs w:val="22"/>
                <w:lang w:val="sr-Latn-ME"/>
              </w:rPr>
            </w:pPr>
            <w:r w:rsidRPr="0045764A">
              <w:rPr>
                <w:rFonts w:eastAsia="TimesNewRoman"/>
                <w:szCs w:val="22"/>
                <w:lang w:val="sr-Latn-ME"/>
              </w:rPr>
              <w:t>9,4</w:t>
            </w:r>
          </w:p>
        </w:tc>
        <w:tc>
          <w:tcPr>
            <w:tcW w:w="1134" w:type="dxa"/>
          </w:tcPr>
          <w:p w14:paraId="1D7063FB" w14:textId="1C92C074" w:rsidR="00222AF3" w:rsidRPr="0045764A" w:rsidRDefault="009B00E9" w:rsidP="00C65330">
            <w:pPr>
              <w:rPr>
                <w:rFonts w:eastAsia="TimesNewRoman"/>
                <w:szCs w:val="22"/>
                <w:lang w:val="sr-Latn-ME"/>
              </w:rPr>
            </w:pPr>
            <w:r w:rsidRPr="0045764A">
              <w:rPr>
                <w:rFonts w:eastAsia="TimesNewRoman"/>
                <w:szCs w:val="22"/>
                <w:lang w:val="sr-Latn-ME"/>
              </w:rPr>
              <w:t>0,9</w:t>
            </w:r>
          </w:p>
        </w:tc>
        <w:tc>
          <w:tcPr>
            <w:tcW w:w="1225" w:type="dxa"/>
          </w:tcPr>
          <w:p w14:paraId="7BB84DF3" w14:textId="6DA0EC3F" w:rsidR="00222AF3" w:rsidRPr="0045764A" w:rsidRDefault="007F36B0" w:rsidP="00C65330">
            <w:pPr>
              <w:rPr>
                <w:rFonts w:eastAsia="TimesNewRoman"/>
                <w:szCs w:val="22"/>
                <w:lang w:val="sr-Latn-ME"/>
              </w:rPr>
            </w:pPr>
            <w:r w:rsidRPr="0045764A">
              <w:rPr>
                <w:rFonts w:eastAsia="TimesNewRoman"/>
                <w:szCs w:val="22"/>
                <w:lang w:val="sr-Latn-ME"/>
              </w:rPr>
              <w:t>0</w:t>
            </w:r>
          </w:p>
        </w:tc>
      </w:tr>
      <w:tr w:rsidR="00222AF3" w:rsidRPr="0045764A" w14:paraId="502F2BFC" w14:textId="77777777" w:rsidTr="001E4272">
        <w:tc>
          <w:tcPr>
            <w:tcW w:w="1838" w:type="dxa"/>
            <w:vMerge/>
          </w:tcPr>
          <w:p w14:paraId="789AD78D" w14:textId="77777777" w:rsidR="00222AF3" w:rsidRPr="0045764A" w:rsidRDefault="00222AF3" w:rsidP="00654072">
            <w:pPr>
              <w:jc w:val="left"/>
              <w:rPr>
                <w:rFonts w:eastAsia="TimesNewRoman"/>
                <w:szCs w:val="22"/>
                <w:lang w:val="sr-Latn-ME"/>
              </w:rPr>
            </w:pPr>
          </w:p>
        </w:tc>
        <w:tc>
          <w:tcPr>
            <w:tcW w:w="1395" w:type="dxa"/>
            <w:vMerge/>
          </w:tcPr>
          <w:p w14:paraId="674C4244" w14:textId="77777777" w:rsidR="00222AF3" w:rsidRPr="0045764A" w:rsidRDefault="00222AF3" w:rsidP="00C65330">
            <w:pPr>
              <w:rPr>
                <w:rFonts w:eastAsia="TimesNewRoman"/>
                <w:szCs w:val="22"/>
                <w:lang w:val="sr-Latn-ME"/>
              </w:rPr>
            </w:pPr>
          </w:p>
        </w:tc>
        <w:tc>
          <w:tcPr>
            <w:tcW w:w="2007" w:type="dxa"/>
          </w:tcPr>
          <w:p w14:paraId="73972941" w14:textId="7D9FA0CA" w:rsidR="00222AF3" w:rsidRPr="0045764A" w:rsidRDefault="00581BC4" w:rsidP="00654072">
            <w:pPr>
              <w:jc w:val="left"/>
              <w:rPr>
                <w:rFonts w:eastAsia="TimesNewRoman"/>
                <w:szCs w:val="22"/>
                <w:lang w:val="sr-Latn-ME"/>
              </w:rPr>
            </w:pPr>
            <w:r w:rsidRPr="0045764A">
              <w:rPr>
                <w:rFonts w:eastAsia="TimesNewRoman"/>
                <w:szCs w:val="22"/>
                <w:lang w:val="sr-Latn-ME"/>
              </w:rPr>
              <w:t>Nadimanje</w:t>
            </w:r>
          </w:p>
        </w:tc>
        <w:tc>
          <w:tcPr>
            <w:tcW w:w="1418" w:type="dxa"/>
          </w:tcPr>
          <w:p w14:paraId="09169ACD" w14:textId="2CBD2A40" w:rsidR="00222AF3" w:rsidRPr="0045764A" w:rsidRDefault="002D51D9" w:rsidP="00C65330">
            <w:pPr>
              <w:rPr>
                <w:rFonts w:eastAsia="TimesNewRoman"/>
                <w:szCs w:val="22"/>
                <w:lang w:val="sr-Latn-ME"/>
              </w:rPr>
            </w:pPr>
            <w:r w:rsidRPr="0045764A">
              <w:rPr>
                <w:rFonts w:eastAsia="TimesNewRoman"/>
                <w:szCs w:val="22"/>
                <w:lang w:val="sr-Latn-ME"/>
              </w:rPr>
              <w:t>4,5</w:t>
            </w:r>
          </w:p>
        </w:tc>
        <w:tc>
          <w:tcPr>
            <w:tcW w:w="1134" w:type="dxa"/>
          </w:tcPr>
          <w:p w14:paraId="433D6B70" w14:textId="47951B55" w:rsidR="00222AF3" w:rsidRPr="0045764A" w:rsidRDefault="007F36B0" w:rsidP="00C65330">
            <w:pPr>
              <w:rPr>
                <w:rFonts w:eastAsia="TimesNewRoman"/>
                <w:szCs w:val="22"/>
                <w:lang w:val="sr-Latn-ME"/>
              </w:rPr>
            </w:pPr>
            <w:r w:rsidRPr="0045764A">
              <w:rPr>
                <w:rFonts w:eastAsia="TimesNewRoman"/>
                <w:szCs w:val="22"/>
                <w:lang w:val="sr-Latn-ME"/>
              </w:rPr>
              <w:t>0</w:t>
            </w:r>
          </w:p>
        </w:tc>
        <w:tc>
          <w:tcPr>
            <w:tcW w:w="1225" w:type="dxa"/>
          </w:tcPr>
          <w:p w14:paraId="264F6DAC" w14:textId="51940D3E" w:rsidR="00222AF3" w:rsidRPr="0045764A" w:rsidRDefault="007F36B0" w:rsidP="00C65330">
            <w:pPr>
              <w:rPr>
                <w:rFonts w:eastAsia="TimesNewRoman"/>
                <w:szCs w:val="22"/>
                <w:lang w:val="sr-Latn-ME"/>
              </w:rPr>
            </w:pPr>
            <w:r w:rsidRPr="0045764A">
              <w:rPr>
                <w:rFonts w:eastAsia="TimesNewRoman"/>
                <w:szCs w:val="22"/>
                <w:lang w:val="sr-Latn-ME"/>
              </w:rPr>
              <w:t>0</w:t>
            </w:r>
          </w:p>
        </w:tc>
      </w:tr>
      <w:tr w:rsidR="00222AF3" w:rsidRPr="0045764A" w14:paraId="66CA6AB0" w14:textId="77777777" w:rsidTr="001E4272">
        <w:tc>
          <w:tcPr>
            <w:tcW w:w="1838" w:type="dxa"/>
            <w:vMerge/>
          </w:tcPr>
          <w:p w14:paraId="441A41FA" w14:textId="77777777" w:rsidR="00222AF3" w:rsidRPr="0045764A" w:rsidRDefault="00222AF3" w:rsidP="00654072">
            <w:pPr>
              <w:jc w:val="left"/>
              <w:rPr>
                <w:rFonts w:eastAsia="TimesNewRoman"/>
                <w:szCs w:val="22"/>
                <w:lang w:val="sr-Latn-ME"/>
              </w:rPr>
            </w:pPr>
          </w:p>
        </w:tc>
        <w:tc>
          <w:tcPr>
            <w:tcW w:w="1395" w:type="dxa"/>
            <w:vMerge/>
          </w:tcPr>
          <w:p w14:paraId="3E61F17B" w14:textId="77777777" w:rsidR="00222AF3" w:rsidRPr="0045764A" w:rsidRDefault="00222AF3" w:rsidP="00C65330">
            <w:pPr>
              <w:rPr>
                <w:rFonts w:eastAsia="TimesNewRoman"/>
                <w:szCs w:val="22"/>
                <w:lang w:val="sr-Latn-ME"/>
              </w:rPr>
            </w:pPr>
          </w:p>
        </w:tc>
        <w:tc>
          <w:tcPr>
            <w:tcW w:w="2007" w:type="dxa"/>
          </w:tcPr>
          <w:p w14:paraId="4E79D778" w14:textId="24D4EBE2" w:rsidR="00222AF3" w:rsidRPr="0045764A" w:rsidRDefault="00581BC4" w:rsidP="00654072">
            <w:pPr>
              <w:jc w:val="left"/>
              <w:rPr>
                <w:rFonts w:eastAsia="TimesNewRoman"/>
                <w:szCs w:val="22"/>
                <w:lang w:val="sr-Latn-ME"/>
              </w:rPr>
            </w:pPr>
            <w:r w:rsidRPr="0045764A">
              <w:rPr>
                <w:rFonts w:eastAsia="TimesNewRoman"/>
                <w:szCs w:val="22"/>
                <w:lang w:val="sr-Latn-ME"/>
              </w:rPr>
              <w:t>Hemoroidi</w:t>
            </w:r>
          </w:p>
        </w:tc>
        <w:tc>
          <w:tcPr>
            <w:tcW w:w="1418" w:type="dxa"/>
          </w:tcPr>
          <w:p w14:paraId="334C03FD" w14:textId="60095142" w:rsidR="00222AF3" w:rsidRPr="0045764A" w:rsidRDefault="002D51D9" w:rsidP="00C65330">
            <w:pPr>
              <w:rPr>
                <w:rFonts w:eastAsia="TimesNewRoman"/>
                <w:szCs w:val="22"/>
                <w:lang w:val="sr-Latn-ME"/>
              </w:rPr>
            </w:pPr>
            <w:r w:rsidRPr="0045764A">
              <w:rPr>
                <w:rFonts w:eastAsia="TimesNewRoman"/>
                <w:szCs w:val="22"/>
                <w:lang w:val="sr-Latn-ME"/>
              </w:rPr>
              <w:t>3,3</w:t>
            </w:r>
          </w:p>
        </w:tc>
        <w:tc>
          <w:tcPr>
            <w:tcW w:w="1134" w:type="dxa"/>
          </w:tcPr>
          <w:p w14:paraId="0641E23F" w14:textId="3E4661AC" w:rsidR="00222AF3" w:rsidRPr="0045764A" w:rsidRDefault="007F36B0" w:rsidP="00C65330">
            <w:pPr>
              <w:rPr>
                <w:rFonts w:eastAsia="TimesNewRoman"/>
                <w:szCs w:val="22"/>
                <w:lang w:val="sr-Latn-ME"/>
              </w:rPr>
            </w:pPr>
            <w:r w:rsidRPr="0045764A">
              <w:rPr>
                <w:rFonts w:eastAsia="TimesNewRoman"/>
                <w:szCs w:val="22"/>
                <w:lang w:val="sr-Latn-ME"/>
              </w:rPr>
              <w:t>0</w:t>
            </w:r>
          </w:p>
        </w:tc>
        <w:tc>
          <w:tcPr>
            <w:tcW w:w="1225" w:type="dxa"/>
          </w:tcPr>
          <w:p w14:paraId="28913C7E" w14:textId="37CCF424" w:rsidR="00222AF3" w:rsidRPr="0045764A" w:rsidRDefault="007F36B0" w:rsidP="00C65330">
            <w:pPr>
              <w:rPr>
                <w:rFonts w:eastAsia="TimesNewRoman"/>
                <w:szCs w:val="22"/>
                <w:lang w:val="sr-Latn-ME"/>
              </w:rPr>
            </w:pPr>
            <w:r w:rsidRPr="0045764A">
              <w:rPr>
                <w:rFonts w:eastAsia="TimesNewRoman"/>
                <w:szCs w:val="22"/>
                <w:lang w:val="sr-Latn-ME"/>
              </w:rPr>
              <w:t>0</w:t>
            </w:r>
          </w:p>
        </w:tc>
      </w:tr>
      <w:tr w:rsidR="00222AF3" w:rsidRPr="0045764A" w14:paraId="4A696AA9" w14:textId="77777777" w:rsidTr="001E4272">
        <w:tc>
          <w:tcPr>
            <w:tcW w:w="1838" w:type="dxa"/>
            <w:vMerge/>
          </w:tcPr>
          <w:p w14:paraId="14E4DB57" w14:textId="77777777" w:rsidR="00222AF3" w:rsidRPr="0045764A" w:rsidRDefault="00222AF3" w:rsidP="00654072">
            <w:pPr>
              <w:jc w:val="left"/>
              <w:rPr>
                <w:rFonts w:eastAsia="TimesNewRoman"/>
                <w:szCs w:val="22"/>
                <w:lang w:val="sr-Latn-ME"/>
              </w:rPr>
            </w:pPr>
          </w:p>
        </w:tc>
        <w:tc>
          <w:tcPr>
            <w:tcW w:w="1395" w:type="dxa"/>
            <w:vMerge/>
          </w:tcPr>
          <w:p w14:paraId="2ABF4B1C" w14:textId="77777777" w:rsidR="00222AF3" w:rsidRPr="0045764A" w:rsidRDefault="00222AF3" w:rsidP="00C65330">
            <w:pPr>
              <w:rPr>
                <w:rFonts w:eastAsia="TimesNewRoman"/>
                <w:szCs w:val="22"/>
                <w:lang w:val="sr-Latn-ME"/>
              </w:rPr>
            </w:pPr>
          </w:p>
        </w:tc>
        <w:tc>
          <w:tcPr>
            <w:tcW w:w="2007" w:type="dxa"/>
          </w:tcPr>
          <w:p w14:paraId="07B134FC" w14:textId="65A980C6" w:rsidR="00222AF3" w:rsidRPr="0045764A" w:rsidRDefault="000C6A76" w:rsidP="00654072">
            <w:pPr>
              <w:jc w:val="left"/>
              <w:rPr>
                <w:rFonts w:eastAsia="TimesNewRoman"/>
                <w:szCs w:val="22"/>
                <w:lang w:val="sr-Latn-ME"/>
              </w:rPr>
            </w:pPr>
            <w:proofErr w:type="spellStart"/>
            <w:r w:rsidRPr="0045764A">
              <w:rPr>
                <w:rFonts w:eastAsia="TimesNewRoman"/>
                <w:szCs w:val="22"/>
                <w:lang w:val="sr-Latn-ME"/>
              </w:rPr>
              <w:t>Glosodinija</w:t>
            </w:r>
            <w:proofErr w:type="spellEnd"/>
          </w:p>
        </w:tc>
        <w:tc>
          <w:tcPr>
            <w:tcW w:w="1418" w:type="dxa"/>
          </w:tcPr>
          <w:p w14:paraId="344A69C9" w14:textId="02DB20A8" w:rsidR="00222AF3" w:rsidRPr="0045764A" w:rsidRDefault="002D51D9" w:rsidP="00C65330">
            <w:pPr>
              <w:rPr>
                <w:rFonts w:eastAsia="TimesNewRoman"/>
                <w:szCs w:val="22"/>
                <w:lang w:val="sr-Latn-ME"/>
              </w:rPr>
            </w:pPr>
            <w:r w:rsidRPr="0045764A">
              <w:rPr>
                <w:rFonts w:eastAsia="TimesNewRoman"/>
                <w:szCs w:val="22"/>
                <w:lang w:val="sr-Latn-ME"/>
              </w:rPr>
              <w:t>2,8</w:t>
            </w:r>
          </w:p>
        </w:tc>
        <w:tc>
          <w:tcPr>
            <w:tcW w:w="1134" w:type="dxa"/>
          </w:tcPr>
          <w:p w14:paraId="25C90D60" w14:textId="2D1DDC80" w:rsidR="00222AF3" w:rsidRPr="0045764A" w:rsidRDefault="007F36B0" w:rsidP="00C65330">
            <w:pPr>
              <w:rPr>
                <w:rFonts w:eastAsia="TimesNewRoman"/>
                <w:szCs w:val="22"/>
                <w:lang w:val="sr-Latn-ME"/>
              </w:rPr>
            </w:pPr>
            <w:r w:rsidRPr="0045764A">
              <w:rPr>
                <w:rFonts w:eastAsia="TimesNewRoman"/>
                <w:szCs w:val="22"/>
                <w:lang w:val="sr-Latn-ME"/>
              </w:rPr>
              <w:t>0</w:t>
            </w:r>
          </w:p>
        </w:tc>
        <w:tc>
          <w:tcPr>
            <w:tcW w:w="1225" w:type="dxa"/>
          </w:tcPr>
          <w:p w14:paraId="2D12EF0C" w14:textId="4CBEE324" w:rsidR="00222AF3" w:rsidRPr="0045764A" w:rsidRDefault="007F36B0" w:rsidP="00C65330">
            <w:pPr>
              <w:rPr>
                <w:rFonts w:eastAsia="TimesNewRoman"/>
                <w:szCs w:val="22"/>
                <w:lang w:val="sr-Latn-ME"/>
              </w:rPr>
            </w:pPr>
            <w:r w:rsidRPr="0045764A">
              <w:rPr>
                <w:rFonts w:eastAsia="TimesNewRoman"/>
                <w:szCs w:val="22"/>
                <w:lang w:val="sr-Latn-ME"/>
              </w:rPr>
              <w:t>0</w:t>
            </w:r>
          </w:p>
        </w:tc>
      </w:tr>
      <w:tr w:rsidR="00222AF3" w:rsidRPr="0045764A" w14:paraId="3595F584" w14:textId="77777777" w:rsidTr="001E4272">
        <w:tc>
          <w:tcPr>
            <w:tcW w:w="1838" w:type="dxa"/>
            <w:vMerge/>
          </w:tcPr>
          <w:p w14:paraId="6A2590B1" w14:textId="77777777" w:rsidR="00222AF3" w:rsidRPr="0045764A" w:rsidRDefault="00222AF3" w:rsidP="00654072">
            <w:pPr>
              <w:jc w:val="left"/>
              <w:rPr>
                <w:rFonts w:eastAsia="TimesNewRoman"/>
                <w:szCs w:val="22"/>
                <w:lang w:val="sr-Latn-ME"/>
              </w:rPr>
            </w:pPr>
          </w:p>
        </w:tc>
        <w:tc>
          <w:tcPr>
            <w:tcW w:w="1395" w:type="dxa"/>
            <w:vMerge/>
          </w:tcPr>
          <w:p w14:paraId="3E2CC738" w14:textId="77777777" w:rsidR="00222AF3" w:rsidRPr="0045764A" w:rsidRDefault="00222AF3" w:rsidP="00C65330">
            <w:pPr>
              <w:rPr>
                <w:rFonts w:eastAsia="TimesNewRoman"/>
                <w:szCs w:val="22"/>
                <w:lang w:val="sr-Latn-ME"/>
              </w:rPr>
            </w:pPr>
          </w:p>
        </w:tc>
        <w:tc>
          <w:tcPr>
            <w:tcW w:w="2007" w:type="dxa"/>
          </w:tcPr>
          <w:p w14:paraId="0469279F" w14:textId="77777777" w:rsidR="000C6A76" w:rsidRPr="0045764A" w:rsidRDefault="000C6A76" w:rsidP="00654072">
            <w:pPr>
              <w:tabs>
                <w:tab w:val="clear" w:pos="284"/>
              </w:tabs>
              <w:autoSpaceDE w:val="0"/>
              <w:autoSpaceDN w:val="0"/>
              <w:adjustRightInd w:val="0"/>
              <w:jc w:val="left"/>
              <w:rPr>
                <w:rFonts w:eastAsia="TimesNewRoman"/>
                <w:szCs w:val="22"/>
                <w:lang w:val="sr-Latn-ME"/>
              </w:rPr>
            </w:pPr>
            <w:r w:rsidRPr="0045764A">
              <w:rPr>
                <w:rFonts w:eastAsia="TimesNewRoman"/>
                <w:szCs w:val="22"/>
                <w:lang w:val="sr-Latn-ME"/>
              </w:rPr>
              <w:t>Gastrointestinalna</w:t>
            </w:r>
          </w:p>
          <w:p w14:paraId="56E37EEB" w14:textId="5121B229" w:rsidR="00222AF3" w:rsidRPr="0045764A" w:rsidRDefault="000C6A76" w:rsidP="00654072">
            <w:pPr>
              <w:jc w:val="left"/>
              <w:rPr>
                <w:rFonts w:eastAsia="TimesNewRoman"/>
                <w:szCs w:val="22"/>
                <w:lang w:val="sr-Latn-ME"/>
              </w:rPr>
            </w:pPr>
            <w:r w:rsidRPr="0045764A">
              <w:rPr>
                <w:rFonts w:eastAsia="TimesNewRoman"/>
                <w:szCs w:val="22"/>
                <w:lang w:val="sr-Latn-ME"/>
              </w:rPr>
              <w:t xml:space="preserve">perforacija i </w:t>
            </w:r>
            <w:proofErr w:type="spellStart"/>
            <w:r w:rsidRPr="0045764A">
              <w:rPr>
                <w:rFonts w:eastAsia="TimesNewRoman"/>
                <w:szCs w:val="22"/>
                <w:lang w:val="sr-Latn-ME"/>
              </w:rPr>
              <w:t>fistula</w:t>
            </w:r>
            <w:r w:rsidRPr="0045764A">
              <w:rPr>
                <w:rFonts w:eastAsia="TimesNewRoman"/>
                <w:szCs w:val="22"/>
                <w:vertAlign w:val="superscript"/>
                <w:lang w:val="sr-Latn-ME"/>
              </w:rPr>
              <w:t>c,k</w:t>
            </w:r>
            <w:proofErr w:type="spellEnd"/>
          </w:p>
        </w:tc>
        <w:tc>
          <w:tcPr>
            <w:tcW w:w="1418" w:type="dxa"/>
          </w:tcPr>
          <w:p w14:paraId="7088D376" w14:textId="677B2240" w:rsidR="00222AF3" w:rsidRPr="0045764A" w:rsidRDefault="002D51D9" w:rsidP="00C65330">
            <w:pPr>
              <w:rPr>
                <w:rFonts w:eastAsia="TimesNewRoman"/>
                <w:szCs w:val="22"/>
                <w:lang w:val="sr-Latn-ME"/>
              </w:rPr>
            </w:pPr>
            <w:r w:rsidRPr="0045764A">
              <w:rPr>
                <w:rFonts w:eastAsia="TimesNewRoman"/>
                <w:szCs w:val="22"/>
                <w:lang w:val="sr-Latn-ME"/>
              </w:rPr>
              <w:t>1,9</w:t>
            </w:r>
          </w:p>
        </w:tc>
        <w:tc>
          <w:tcPr>
            <w:tcW w:w="1134" w:type="dxa"/>
          </w:tcPr>
          <w:p w14:paraId="4C254AC1" w14:textId="57772FFD" w:rsidR="00222AF3" w:rsidRPr="0045764A" w:rsidRDefault="00D62A2C" w:rsidP="00C65330">
            <w:pPr>
              <w:rPr>
                <w:rFonts w:eastAsia="TimesNewRoman"/>
                <w:szCs w:val="22"/>
                <w:lang w:val="sr-Latn-ME"/>
              </w:rPr>
            </w:pPr>
            <w:r w:rsidRPr="0045764A">
              <w:rPr>
                <w:rFonts w:eastAsia="TimesNewRoman"/>
                <w:szCs w:val="22"/>
                <w:lang w:val="sr-Latn-ME"/>
              </w:rPr>
              <w:t>0,9</w:t>
            </w:r>
          </w:p>
        </w:tc>
        <w:tc>
          <w:tcPr>
            <w:tcW w:w="1225" w:type="dxa"/>
          </w:tcPr>
          <w:p w14:paraId="4DB1B5BD" w14:textId="0CC532CD" w:rsidR="00222AF3" w:rsidRPr="0045764A" w:rsidRDefault="007F36B0" w:rsidP="00C65330">
            <w:pPr>
              <w:rPr>
                <w:rFonts w:eastAsia="TimesNewRoman"/>
                <w:szCs w:val="22"/>
                <w:lang w:val="sr-Latn-ME"/>
              </w:rPr>
            </w:pPr>
            <w:r w:rsidRPr="0045764A">
              <w:rPr>
                <w:rFonts w:eastAsia="TimesNewRoman"/>
                <w:szCs w:val="22"/>
                <w:lang w:val="sr-Latn-ME"/>
              </w:rPr>
              <w:t>0,3</w:t>
            </w:r>
          </w:p>
        </w:tc>
      </w:tr>
      <w:tr w:rsidR="0022376E" w:rsidRPr="0045764A" w14:paraId="2DD3DC5D" w14:textId="77777777" w:rsidTr="001E4272">
        <w:tc>
          <w:tcPr>
            <w:tcW w:w="1838" w:type="dxa"/>
            <w:vMerge w:val="restart"/>
          </w:tcPr>
          <w:p w14:paraId="386ECD66" w14:textId="2FE8F3A4" w:rsidR="0022376E" w:rsidRPr="0045764A" w:rsidRDefault="0022376E" w:rsidP="00654072">
            <w:pPr>
              <w:tabs>
                <w:tab w:val="clear" w:pos="284"/>
              </w:tabs>
              <w:autoSpaceDE w:val="0"/>
              <w:autoSpaceDN w:val="0"/>
              <w:adjustRightInd w:val="0"/>
              <w:jc w:val="left"/>
              <w:rPr>
                <w:rFonts w:eastAsia="TimesNewRoman"/>
                <w:i/>
                <w:iCs/>
                <w:szCs w:val="22"/>
                <w:lang w:val="sr-Latn-ME"/>
              </w:rPr>
            </w:pPr>
            <w:proofErr w:type="spellStart"/>
            <w:r w:rsidRPr="0045764A">
              <w:rPr>
                <w:rFonts w:eastAsia="TimesNewRoman"/>
                <w:i/>
                <w:iCs/>
                <w:szCs w:val="22"/>
                <w:lang w:val="sr-Latn-ME"/>
              </w:rPr>
              <w:t>Hepatobil</w:t>
            </w:r>
            <w:r w:rsidR="00F322E0" w:rsidRPr="0045764A">
              <w:rPr>
                <w:rFonts w:eastAsia="TimesNewRoman"/>
                <w:i/>
                <w:iCs/>
                <w:szCs w:val="22"/>
                <w:lang w:val="sr-Latn-ME"/>
              </w:rPr>
              <w:t>i</w:t>
            </w:r>
            <w:r w:rsidRPr="0045764A">
              <w:rPr>
                <w:rFonts w:eastAsia="TimesNewRoman"/>
                <w:i/>
                <w:iCs/>
                <w:szCs w:val="22"/>
                <w:lang w:val="sr-Latn-ME"/>
              </w:rPr>
              <w:t>jarni</w:t>
            </w:r>
            <w:proofErr w:type="spellEnd"/>
          </w:p>
          <w:p w14:paraId="23146FAE" w14:textId="0DCAA4F7" w:rsidR="0022376E" w:rsidRPr="0045764A" w:rsidRDefault="0022376E" w:rsidP="00654072">
            <w:pPr>
              <w:jc w:val="left"/>
              <w:rPr>
                <w:rFonts w:eastAsia="TimesNewRoman"/>
                <w:szCs w:val="22"/>
                <w:lang w:val="sr-Latn-ME"/>
              </w:rPr>
            </w:pPr>
            <w:r w:rsidRPr="0045764A">
              <w:rPr>
                <w:rFonts w:eastAsia="TimesNewRoman"/>
                <w:i/>
                <w:iCs/>
                <w:szCs w:val="22"/>
                <w:lang w:val="sr-Latn-ME"/>
              </w:rPr>
              <w:t>poremećaji</w:t>
            </w:r>
          </w:p>
        </w:tc>
        <w:tc>
          <w:tcPr>
            <w:tcW w:w="1395" w:type="dxa"/>
            <w:vMerge w:val="restart"/>
          </w:tcPr>
          <w:p w14:paraId="620D2E4A" w14:textId="5F48D6EB" w:rsidR="0022376E" w:rsidRPr="0045764A" w:rsidRDefault="0022376E" w:rsidP="00C65330">
            <w:pPr>
              <w:rPr>
                <w:rFonts w:eastAsia="TimesNewRoman"/>
                <w:szCs w:val="22"/>
                <w:lang w:val="sr-Latn-ME"/>
              </w:rPr>
            </w:pPr>
            <w:r w:rsidRPr="0045764A">
              <w:rPr>
                <w:rFonts w:eastAsia="TimesNewRoman"/>
                <w:szCs w:val="22"/>
                <w:lang w:val="sr-Latn-ME"/>
              </w:rPr>
              <w:t>Čest</w:t>
            </w:r>
            <w:r w:rsidR="001914DD" w:rsidRPr="0045764A">
              <w:rPr>
                <w:rFonts w:eastAsia="TimesNewRoman"/>
                <w:szCs w:val="22"/>
                <w:lang w:val="sr-Latn-ME"/>
              </w:rPr>
              <w:t>o</w:t>
            </w:r>
          </w:p>
        </w:tc>
        <w:tc>
          <w:tcPr>
            <w:tcW w:w="2007" w:type="dxa"/>
          </w:tcPr>
          <w:p w14:paraId="2EB5C30C" w14:textId="658FDA72" w:rsidR="0022376E" w:rsidRPr="0045764A" w:rsidRDefault="0022376E" w:rsidP="00654072">
            <w:pPr>
              <w:jc w:val="left"/>
              <w:rPr>
                <w:rFonts w:eastAsia="TimesNewRoman"/>
                <w:szCs w:val="22"/>
                <w:lang w:val="sr-Latn-ME"/>
              </w:rPr>
            </w:pPr>
            <w:proofErr w:type="spellStart"/>
            <w:r w:rsidRPr="0045764A">
              <w:rPr>
                <w:rFonts w:eastAsia="TimesNewRoman"/>
                <w:szCs w:val="22"/>
                <w:lang w:val="sr-Latn-ME"/>
              </w:rPr>
              <w:t>Hiperbilirubinemija</w:t>
            </w:r>
            <w:proofErr w:type="spellEnd"/>
          </w:p>
        </w:tc>
        <w:tc>
          <w:tcPr>
            <w:tcW w:w="1418" w:type="dxa"/>
          </w:tcPr>
          <w:p w14:paraId="0E0867FF" w14:textId="3F733502" w:rsidR="0022376E" w:rsidRPr="0045764A" w:rsidRDefault="0022376E" w:rsidP="00C65330">
            <w:pPr>
              <w:rPr>
                <w:rFonts w:eastAsia="TimesNewRoman"/>
                <w:szCs w:val="22"/>
                <w:lang w:val="sr-Latn-ME"/>
              </w:rPr>
            </w:pPr>
            <w:r w:rsidRPr="0045764A">
              <w:rPr>
                <w:rFonts w:eastAsia="TimesNewRoman"/>
                <w:szCs w:val="22"/>
                <w:lang w:val="sr-Latn-ME"/>
              </w:rPr>
              <w:t>1,3</w:t>
            </w:r>
          </w:p>
        </w:tc>
        <w:tc>
          <w:tcPr>
            <w:tcW w:w="1134" w:type="dxa"/>
          </w:tcPr>
          <w:p w14:paraId="738A63CC" w14:textId="7E6D8B42" w:rsidR="0022376E" w:rsidRPr="0045764A" w:rsidRDefault="0022376E" w:rsidP="00C65330">
            <w:pPr>
              <w:rPr>
                <w:rFonts w:eastAsia="TimesNewRoman"/>
                <w:szCs w:val="22"/>
                <w:lang w:val="sr-Latn-ME"/>
              </w:rPr>
            </w:pPr>
            <w:r w:rsidRPr="0045764A">
              <w:rPr>
                <w:rFonts w:eastAsia="TimesNewRoman"/>
                <w:szCs w:val="22"/>
                <w:lang w:val="sr-Latn-ME"/>
              </w:rPr>
              <w:t>0,1</w:t>
            </w:r>
          </w:p>
        </w:tc>
        <w:tc>
          <w:tcPr>
            <w:tcW w:w="1225" w:type="dxa"/>
          </w:tcPr>
          <w:p w14:paraId="1F2371DD" w14:textId="45D99755" w:rsidR="0022376E" w:rsidRPr="0045764A" w:rsidRDefault="0022376E" w:rsidP="00C65330">
            <w:pPr>
              <w:rPr>
                <w:rFonts w:eastAsia="TimesNewRoman"/>
                <w:szCs w:val="22"/>
                <w:lang w:val="sr-Latn-ME"/>
              </w:rPr>
            </w:pPr>
            <w:r w:rsidRPr="0045764A">
              <w:rPr>
                <w:rFonts w:eastAsia="TimesNewRoman"/>
                <w:szCs w:val="22"/>
                <w:lang w:val="sr-Latn-ME"/>
              </w:rPr>
              <w:t>0,1</w:t>
            </w:r>
          </w:p>
        </w:tc>
      </w:tr>
      <w:tr w:rsidR="0022376E" w:rsidRPr="0045764A" w14:paraId="62CB2099" w14:textId="77777777" w:rsidTr="001E4272">
        <w:tc>
          <w:tcPr>
            <w:tcW w:w="1838" w:type="dxa"/>
            <w:vMerge/>
          </w:tcPr>
          <w:p w14:paraId="389FC29B" w14:textId="77777777" w:rsidR="0022376E" w:rsidRPr="0045764A" w:rsidRDefault="0022376E" w:rsidP="00654072">
            <w:pPr>
              <w:jc w:val="left"/>
              <w:rPr>
                <w:rFonts w:eastAsia="TimesNewRoman"/>
                <w:szCs w:val="22"/>
                <w:lang w:val="sr-Latn-ME"/>
              </w:rPr>
            </w:pPr>
          </w:p>
        </w:tc>
        <w:tc>
          <w:tcPr>
            <w:tcW w:w="1395" w:type="dxa"/>
            <w:vMerge/>
          </w:tcPr>
          <w:p w14:paraId="63F97F4F" w14:textId="77777777" w:rsidR="0022376E" w:rsidRPr="0045764A" w:rsidRDefault="0022376E" w:rsidP="00C65330">
            <w:pPr>
              <w:rPr>
                <w:rFonts w:eastAsia="TimesNewRoman"/>
                <w:szCs w:val="22"/>
                <w:lang w:val="sr-Latn-ME"/>
              </w:rPr>
            </w:pPr>
          </w:p>
        </w:tc>
        <w:tc>
          <w:tcPr>
            <w:tcW w:w="2007" w:type="dxa"/>
          </w:tcPr>
          <w:p w14:paraId="7595F315" w14:textId="6DB1D843" w:rsidR="0022376E" w:rsidRPr="0045764A" w:rsidRDefault="0022376E" w:rsidP="00654072">
            <w:pPr>
              <w:jc w:val="left"/>
              <w:rPr>
                <w:rFonts w:eastAsia="TimesNewRoman"/>
                <w:szCs w:val="22"/>
                <w:lang w:val="sr-Latn-ME"/>
              </w:rPr>
            </w:pPr>
            <w:proofErr w:type="spellStart"/>
            <w:r w:rsidRPr="0045764A">
              <w:rPr>
                <w:rFonts w:eastAsia="TimesNewRoman"/>
                <w:szCs w:val="22"/>
                <w:lang w:val="sr-Latn-ME"/>
              </w:rPr>
              <w:t>Holecisti</w:t>
            </w:r>
            <w:r w:rsidR="009A1911" w:rsidRPr="0045764A">
              <w:rPr>
                <w:rFonts w:eastAsia="TimesNewRoman"/>
                <w:szCs w:val="22"/>
                <w:lang w:val="sr-Latn-ME"/>
              </w:rPr>
              <w:t>tis</w:t>
            </w:r>
            <w:r w:rsidR="00CE5AB7" w:rsidRPr="0045764A">
              <w:rPr>
                <w:rFonts w:eastAsia="TimesNewRoman"/>
                <w:szCs w:val="22"/>
                <w:vertAlign w:val="superscript"/>
                <w:lang w:val="sr-Latn-ME"/>
              </w:rPr>
              <w:t>n</w:t>
            </w:r>
            <w:proofErr w:type="spellEnd"/>
          </w:p>
        </w:tc>
        <w:tc>
          <w:tcPr>
            <w:tcW w:w="1418" w:type="dxa"/>
          </w:tcPr>
          <w:p w14:paraId="149B505D" w14:textId="77545CE8" w:rsidR="0022376E" w:rsidRPr="0045764A" w:rsidRDefault="00B208DB" w:rsidP="00C65330">
            <w:pPr>
              <w:rPr>
                <w:rFonts w:eastAsia="TimesNewRoman"/>
                <w:szCs w:val="22"/>
                <w:lang w:val="sr-Latn-ME"/>
              </w:rPr>
            </w:pPr>
            <w:r w:rsidRPr="0045764A">
              <w:rPr>
                <w:rFonts w:eastAsia="TimesNewRoman"/>
                <w:szCs w:val="22"/>
                <w:lang w:val="sr-Latn-ME"/>
              </w:rPr>
              <w:t>1,0</w:t>
            </w:r>
          </w:p>
        </w:tc>
        <w:tc>
          <w:tcPr>
            <w:tcW w:w="1134" w:type="dxa"/>
          </w:tcPr>
          <w:p w14:paraId="2566AA45" w14:textId="2CAFDD3A" w:rsidR="0022376E" w:rsidRPr="0045764A" w:rsidRDefault="00B208DB" w:rsidP="00C65330">
            <w:pPr>
              <w:rPr>
                <w:rFonts w:eastAsia="TimesNewRoman"/>
                <w:szCs w:val="22"/>
                <w:lang w:val="sr-Latn-ME"/>
              </w:rPr>
            </w:pPr>
            <w:r w:rsidRPr="0045764A">
              <w:rPr>
                <w:rFonts w:eastAsia="TimesNewRoman"/>
                <w:szCs w:val="22"/>
                <w:lang w:val="sr-Latn-ME"/>
              </w:rPr>
              <w:t>0,6</w:t>
            </w:r>
          </w:p>
        </w:tc>
        <w:tc>
          <w:tcPr>
            <w:tcW w:w="1225" w:type="dxa"/>
          </w:tcPr>
          <w:p w14:paraId="6E9EF287" w14:textId="3CBE7D2C" w:rsidR="0022376E" w:rsidRPr="0045764A" w:rsidRDefault="00CF4865" w:rsidP="00C65330">
            <w:pPr>
              <w:rPr>
                <w:rFonts w:eastAsia="TimesNewRoman"/>
                <w:szCs w:val="22"/>
                <w:lang w:val="sr-Latn-ME"/>
              </w:rPr>
            </w:pPr>
            <w:r w:rsidRPr="0045764A">
              <w:rPr>
                <w:rFonts w:eastAsia="TimesNewRoman"/>
                <w:szCs w:val="22"/>
                <w:lang w:val="sr-Latn-ME"/>
              </w:rPr>
              <w:t>0,1</w:t>
            </w:r>
          </w:p>
        </w:tc>
      </w:tr>
      <w:tr w:rsidR="00BE331A" w:rsidRPr="0045764A" w14:paraId="0B2C8919" w14:textId="77777777" w:rsidTr="001E4272">
        <w:tc>
          <w:tcPr>
            <w:tcW w:w="1838" w:type="dxa"/>
            <w:vMerge w:val="restart"/>
          </w:tcPr>
          <w:p w14:paraId="344B4B9B" w14:textId="77777777" w:rsidR="002D01AC" w:rsidRPr="0045764A" w:rsidRDefault="002D01AC" w:rsidP="00654072">
            <w:pPr>
              <w:tabs>
                <w:tab w:val="clear" w:pos="284"/>
              </w:tabs>
              <w:autoSpaceDE w:val="0"/>
              <w:autoSpaceDN w:val="0"/>
              <w:adjustRightInd w:val="0"/>
              <w:jc w:val="left"/>
              <w:rPr>
                <w:i/>
                <w:iCs/>
                <w:szCs w:val="22"/>
                <w:lang w:val="sr-Latn-ME"/>
              </w:rPr>
            </w:pPr>
            <w:r w:rsidRPr="0045764A">
              <w:rPr>
                <w:i/>
                <w:iCs/>
                <w:szCs w:val="22"/>
                <w:lang w:val="sr-Latn-ME"/>
              </w:rPr>
              <w:t>Poremećaji kože i</w:t>
            </w:r>
          </w:p>
          <w:p w14:paraId="6F7A2E0E" w14:textId="47A042BD" w:rsidR="00BE331A" w:rsidRPr="0045764A" w:rsidRDefault="002D01AC" w:rsidP="00654072">
            <w:pPr>
              <w:jc w:val="left"/>
              <w:rPr>
                <w:rFonts w:eastAsia="TimesNewRoman"/>
                <w:szCs w:val="22"/>
                <w:lang w:val="sr-Latn-ME"/>
              </w:rPr>
            </w:pPr>
            <w:r w:rsidRPr="0045764A">
              <w:rPr>
                <w:i/>
                <w:iCs/>
                <w:szCs w:val="22"/>
                <w:lang w:val="sr-Latn-ME"/>
              </w:rPr>
              <w:t>potkožnog tkiva</w:t>
            </w:r>
          </w:p>
        </w:tc>
        <w:tc>
          <w:tcPr>
            <w:tcW w:w="1395" w:type="dxa"/>
            <w:vMerge w:val="restart"/>
          </w:tcPr>
          <w:p w14:paraId="3D45CE9D" w14:textId="0869E0F9" w:rsidR="00BE331A" w:rsidRPr="0045764A" w:rsidRDefault="002D01AC" w:rsidP="00C65330">
            <w:pPr>
              <w:rPr>
                <w:rFonts w:eastAsia="TimesNewRoman"/>
                <w:szCs w:val="22"/>
                <w:lang w:val="sr-Latn-ME"/>
              </w:rPr>
            </w:pPr>
            <w:r w:rsidRPr="0045764A">
              <w:rPr>
                <w:rFonts w:eastAsia="TimesNewRoman"/>
                <w:szCs w:val="22"/>
                <w:lang w:val="sr-Latn-ME"/>
              </w:rPr>
              <w:t>Veoma čest</w:t>
            </w:r>
            <w:r w:rsidR="001914DD" w:rsidRPr="0045764A">
              <w:rPr>
                <w:rFonts w:eastAsia="TimesNewRoman"/>
                <w:szCs w:val="22"/>
                <w:lang w:val="sr-Latn-ME"/>
              </w:rPr>
              <w:t>o</w:t>
            </w:r>
          </w:p>
        </w:tc>
        <w:tc>
          <w:tcPr>
            <w:tcW w:w="2007" w:type="dxa"/>
          </w:tcPr>
          <w:p w14:paraId="1AAF3D98" w14:textId="5A573C05" w:rsidR="003F67FD" w:rsidRPr="0045764A" w:rsidRDefault="003F67FD" w:rsidP="00654072">
            <w:pPr>
              <w:tabs>
                <w:tab w:val="clear" w:pos="284"/>
              </w:tabs>
              <w:autoSpaceDE w:val="0"/>
              <w:autoSpaceDN w:val="0"/>
              <w:adjustRightInd w:val="0"/>
              <w:jc w:val="left"/>
              <w:rPr>
                <w:szCs w:val="22"/>
                <w:lang w:val="sr-Latn-ME"/>
              </w:rPr>
            </w:pPr>
            <w:r w:rsidRPr="0045764A">
              <w:rPr>
                <w:szCs w:val="22"/>
                <w:lang w:val="sr-Latn-ME"/>
              </w:rPr>
              <w:t xml:space="preserve">Sindrom </w:t>
            </w:r>
            <w:proofErr w:type="spellStart"/>
            <w:r w:rsidRPr="0045764A">
              <w:rPr>
                <w:szCs w:val="22"/>
                <w:lang w:val="sr-Latn-ME"/>
              </w:rPr>
              <w:t>palmarno</w:t>
            </w:r>
            <w:r w:rsidR="00EC3754" w:rsidRPr="0045764A">
              <w:rPr>
                <w:szCs w:val="22"/>
                <w:lang w:val="sr-Latn-ME"/>
              </w:rPr>
              <w:t>-</w:t>
            </w:r>
            <w:r w:rsidRPr="0045764A">
              <w:rPr>
                <w:szCs w:val="22"/>
                <w:lang w:val="sr-Latn-ME"/>
              </w:rPr>
              <w:t>plantarne</w:t>
            </w:r>
            <w:proofErr w:type="spellEnd"/>
          </w:p>
          <w:p w14:paraId="4FDAAC16" w14:textId="77777777" w:rsidR="003F67FD" w:rsidRPr="0045764A" w:rsidRDefault="003F67FD" w:rsidP="00654072">
            <w:pPr>
              <w:tabs>
                <w:tab w:val="clear" w:pos="284"/>
              </w:tabs>
              <w:autoSpaceDE w:val="0"/>
              <w:autoSpaceDN w:val="0"/>
              <w:adjustRightInd w:val="0"/>
              <w:jc w:val="left"/>
              <w:rPr>
                <w:szCs w:val="22"/>
                <w:lang w:val="sr-Latn-ME"/>
              </w:rPr>
            </w:pPr>
            <w:proofErr w:type="spellStart"/>
            <w:r w:rsidRPr="0045764A">
              <w:rPr>
                <w:szCs w:val="22"/>
                <w:lang w:val="sr-Latn-ME"/>
              </w:rPr>
              <w:t>eritrodizestezije</w:t>
            </w:r>
            <w:proofErr w:type="spellEnd"/>
          </w:p>
          <w:p w14:paraId="3A143CDE" w14:textId="1308A6DB" w:rsidR="00BE331A" w:rsidRPr="0045764A" w:rsidRDefault="003F67FD" w:rsidP="00654072">
            <w:pPr>
              <w:jc w:val="left"/>
              <w:rPr>
                <w:rFonts w:eastAsia="TimesNewRoman"/>
                <w:szCs w:val="22"/>
                <w:lang w:val="sr-Latn-ME"/>
              </w:rPr>
            </w:pPr>
            <w:r w:rsidRPr="0045764A">
              <w:rPr>
                <w:szCs w:val="22"/>
                <w:lang w:val="sr-Latn-ME"/>
              </w:rPr>
              <w:t>(sindrom šaka-stopalo)</w:t>
            </w:r>
          </w:p>
        </w:tc>
        <w:tc>
          <w:tcPr>
            <w:tcW w:w="1418" w:type="dxa"/>
          </w:tcPr>
          <w:p w14:paraId="356FF6B4" w14:textId="792EDCCA" w:rsidR="00BE331A" w:rsidRPr="0045764A" w:rsidRDefault="00D6558D" w:rsidP="00C65330">
            <w:pPr>
              <w:rPr>
                <w:rFonts w:eastAsia="TimesNewRoman"/>
                <w:szCs w:val="22"/>
                <w:lang w:val="sr-Latn-ME"/>
              </w:rPr>
            </w:pPr>
            <w:r w:rsidRPr="0045764A">
              <w:rPr>
                <w:rFonts w:eastAsia="TimesNewRoman"/>
                <w:szCs w:val="22"/>
                <w:lang w:val="sr-Latn-ME"/>
              </w:rPr>
              <w:t>32,1</w:t>
            </w:r>
          </w:p>
        </w:tc>
        <w:tc>
          <w:tcPr>
            <w:tcW w:w="1134" w:type="dxa"/>
          </w:tcPr>
          <w:p w14:paraId="23581A01" w14:textId="2E2260F0" w:rsidR="00BE331A" w:rsidRPr="0045764A" w:rsidRDefault="00D6558D" w:rsidP="00C65330">
            <w:pPr>
              <w:rPr>
                <w:rFonts w:eastAsia="TimesNewRoman"/>
                <w:szCs w:val="22"/>
                <w:lang w:val="sr-Latn-ME"/>
              </w:rPr>
            </w:pPr>
            <w:r w:rsidRPr="0045764A">
              <w:rPr>
                <w:rFonts w:eastAsia="TimesNewRoman"/>
                <w:szCs w:val="22"/>
                <w:lang w:val="sr-Latn-ME"/>
              </w:rPr>
              <w:t>7,6</w:t>
            </w:r>
          </w:p>
        </w:tc>
        <w:tc>
          <w:tcPr>
            <w:tcW w:w="1225" w:type="dxa"/>
          </w:tcPr>
          <w:p w14:paraId="05EA5E33" w14:textId="77EDB345" w:rsidR="00BE331A" w:rsidRPr="0045764A" w:rsidRDefault="00D6558D" w:rsidP="00C65330">
            <w:pPr>
              <w:rPr>
                <w:rFonts w:eastAsia="TimesNewRoman"/>
                <w:szCs w:val="22"/>
                <w:lang w:val="sr-Latn-ME"/>
              </w:rPr>
            </w:pPr>
            <w:r w:rsidRPr="0045764A">
              <w:rPr>
                <w:rFonts w:eastAsia="TimesNewRoman"/>
                <w:szCs w:val="22"/>
                <w:lang w:val="sr-Latn-ME"/>
              </w:rPr>
              <w:t>0</w:t>
            </w:r>
          </w:p>
        </w:tc>
      </w:tr>
      <w:tr w:rsidR="00BE331A" w:rsidRPr="0045764A" w14:paraId="0298C68A" w14:textId="77777777" w:rsidTr="001E4272">
        <w:tc>
          <w:tcPr>
            <w:tcW w:w="1838" w:type="dxa"/>
            <w:vMerge/>
          </w:tcPr>
          <w:p w14:paraId="0E08CB1C" w14:textId="77777777" w:rsidR="00BE331A" w:rsidRPr="0045764A" w:rsidRDefault="00BE331A" w:rsidP="00654072">
            <w:pPr>
              <w:jc w:val="left"/>
              <w:rPr>
                <w:rFonts w:eastAsia="TimesNewRoman"/>
                <w:szCs w:val="22"/>
                <w:lang w:val="sr-Latn-ME"/>
              </w:rPr>
            </w:pPr>
          </w:p>
        </w:tc>
        <w:tc>
          <w:tcPr>
            <w:tcW w:w="1395" w:type="dxa"/>
            <w:vMerge/>
          </w:tcPr>
          <w:p w14:paraId="0264B523" w14:textId="77777777" w:rsidR="00BE331A" w:rsidRPr="0045764A" w:rsidRDefault="00BE331A" w:rsidP="00C65330">
            <w:pPr>
              <w:rPr>
                <w:rFonts w:eastAsia="TimesNewRoman"/>
                <w:szCs w:val="22"/>
                <w:lang w:val="sr-Latn-ME"/>
              </w:rPr>
            </w:pPr>
          </w:p>
        </w:tc>
        <w:tc>
          <w:tcPr>
            <w:tcW w:w="2007" w:type="dxa"/>
          </w:tcPr>
          <w:p w14:paraId="6C85A986" w14:textId="7C196C67" w:rsidR="00BE331A" w:rsidRPr="0045764A" w:rsidRDefault="003F67FD" w:rsidP="00654072">
            <w:pPr>
              <w:jc w:val="left"/>
              <w:rPr>
                <w:rFonts w:eastAsia="TimesNewRoman"/>
                <w:szCs w:val="22"/>
                <w:lang w:val="sr-Latn-ME"/>
              </w:rPr>
            </w:pPr>
            <w:r w:rsidRPr="0045764A">
              <w:rPr>
                <w:rFonts w:eastAsia="TimesNewRoman"/>
                <w:szCs w:val="22"/>
                <w:lang w:val="sr-Latn-ME"/>
              </w:rPr>
              <w:t>Osip</w:t>
            </w:r>
          </w:p>
        </w:tc>
        <w:tc>
          <w:tcPr>
            <w:tcW w:w="1418" w:type="dxa"/>
          </w:tcPr>
          <w:p w14:paraId="5EC56128" w14:textId="442C9E46" w:rsidR="00BE331A" w:rsidRPr="0045764A" w:rsidRDefault="00B10EE2" w:rsidP="00C65330">
            <w:pPr>
              <w:rPr>
                <w:rFonts w:eastAsia="TimesNewRoman"/>
                <w:szCs w:val="22"/>
                <w:lang w:val="sr-Latn-ME"/>
              </w:rPr>
            </w:pPr>
            <w:r w:rsidRPr="0045764A">
              <w:rPr>
                <w:rFonts w:eastAsia="TimesNewRoman"/>
                <w:szCs w:val="22"/>
                <w:lang w:val="sr-Latn-ME"/>
              </w:rPr>
              <w:t>14,3</w:t>
            </w:r>
          </w:p>
        </w:tc>
        <w:tc>
          <w:tcPr>
            <w:tcW w:w="1134" w:type="dxa"/>
          </w:tcPr>
          <w:p w14:paraId="552D2674" w14:textId="1B71D231" w:rsidR="00BE331A" w:rsidRPr="0045764A" w:rsidRDefault="00CB3AA2" w:rsidP="00C65330">
            <w:pPr>
              <w:rPr>
                <w:rFonts w:eastAsia="TimesNewRoman"/>
                <w:szCs w:val="22"/>
                <w:lang w:val="sr-Latn-ME"/>
              </w:rPr>
            </w:pPr>
            <w:r w:rsidRPr="0045764A">
              <w:rPr>
                <w:rFonts w:eastAsia="TimesNewRoman"/>
                <w:szCs w:val="22"/>
                <w:lang w:val="sr-Latn-ME"/>
              </w:rPr>
              <w:t>0,1</w:t>
            </w:r>
          </w:p>
        </w:tc>
        <w:tc>
          <w:tcPr>
            <w:tcW w:w="1225" w:type="dxa"/>
          </w:tcPr>
          <w:p w14:paraId="402911B3" w14:textId="5BAEEEF1" w:rsidR="00BE331A" w:rsidRPr="0045764A" w:rsidRDefault="00830B94" w:rsidP="00C65330">
            <w:pPr>
              <w:rPr>
                <w:rFonts w:eastAsia="TimesNewRoman"/>
                <w:szCs w:val="22"/>
                <w:lang w:val="sr-Latn-ME"/>
              </w:rPr>
            </w:pPr>
            <w:r w:rsidRPr="0045764A">
              <w:rPr>
                <w:rFonts w:eastAsia="TimesNewRoman"/>
                <w:szCs w:val="22"/>
                <w:lang w:val="sr-Latn-ME"/>
              </w:rPr>
              <w:t>0</w:t>
            </w:r>
          </w:p>
        </w:tc>
      </w:tr>
      <w:tr w:rsidR="00BE331A" w:rsidRPr="0045764A" w14:paraId="1660C77E" w14:textId="77777777" w:rsidTr="001E4272">
        <w:tc>
          <w:tcPr>
            <w:tcW w:w="1838" w:type="dxa"/>
            <w:vMerge/>
          </w:tcPr>
          <w:p w14:paraId="0162BEB8" w14:textId="77777777" w:rsidR="00BE331A" w:rsidRPr="0045764A" w:rsidRDefault="00BE331A" w:rsidP="00654072">
            <w:pPr>
              <w:jc w:val="left"/>
              <w:rPr>
                <w:rFonts w:eastAsia="TimesNewRoman"/>
                <w:szCs w:val="22"/>
                <w:lang w:val="sr-Latn-ME"/>
              </w:rPr>
            </w:pPr>
          </w:p>
        </w:tc>
        <w:tc>
          <w:tcPr>
            <w:tcW w:w="1395" w:type="dxa"/>
            <w:vMerge/>
          </w:tcPr>
          <w:p w14:paraId="443B3A43" w14:textId="77777777" w:rsidR="00BE331A" w:rsidRPr="0045764A" w:rsidRDefault="00BE331A" w:rsidP="00C65330">
            <w:pPr>
              <w:rPr>
                <w:rFonts w:eastAsia="TimesNewRoman"/>
                <w:szCs w:val="22"/>
                <w:lang w:val="sr-Latn-ME"/>
              </w:rPr>
            </w:pPr>
          </w:p>
        </w:tc>
        <w:tc>
          <w:tcPr>
            <w:tcW w:w="2007" w:type="dxa"/>
          </w:tcPr>
          <w:p w14:paraId="2F36F6A2" w14:textId="713B0563" w:rsidR="00BE331A" w:rsidRPr="0045764A" w:rsidRDefault="003F67FD" w:rsidP="00654072">
            <w:pPr>
              <w:jc w:val="left"/>
              <w:rPr>
                <w:rFonts w:eastAsia="TimesNewRoman"/>
                <w:szCs w:val="22"/>
                <w:lang w:val="sr-Latn-ME"/>
              </w:rPr>
            </w:pPr>
            <w:r w:rsidRPr="0045764A">
              <w:rPr>
                <w:rFonts w:eastAsia="TimesNewRoman"/>
                <w:szCs w:val="22"/>
                <w:lang w:val="sr-Latn-ME"/>
              </w:rPr>
              <w:t>Suva koža</w:t>
            </w:r>
          </w:p>
        </w:tc>
        <w:tc>
          <w:tcPr>
            <w:tcW w:w="1418" w:type="dxa"/>
          </w:tcPr>
          <w:p w14:paraId="6AA05F12" w14:textId="098622FA" w:rsidR="00BE331A" w:rsidRPr="0045764A" w:rsidRDefault="00B10EE2" w:rsidP="00C65330">
            <w:pPr>
              <w:rPr>
                <w:rFonts w:eastAsia="TimesNewRoman"/>
                <w:szCs w:val="22"/>
                <w:lang w:val="sr-Latn-ME"/>
              </w:rPr>
            </w:pPr>
            <w:r w:rsidRPr="0045764A">
              <w:rPr>
                <w:rFonts w:eastAsia="TimesNewRoman"/>
                <w:szCs w:val="22"/>
                <w:lang w:val="sr-Latn-ME"/>
              </w:rPr>
              <w:t>10,1</w:t>
            </w:r>
          </w:p>
        </w:tc>
        <w:tc>
          <w:tcPr>
            <w:tcW w:w="1134" w:type="dxa"/>
          </w:tcPr>
          <w:p w14:paraId="256C148D" w14:textId="42DB98F6" w:rsidR="00BE331A" w:rsidRPr="0045764A" w:rsidRDefault="00CB3AA2" w:rsidP="00C65330">
            <w:pPr>
              <w:rPr>
                <w:rFonts w:eastAsia="TimesNewRoman"/>
                <w:szCs w:val="22"/>
                <w:lang w:val="sr-Latn-ME"/>
              </w:rPr>
            </w:pPr>
            <w:r w:rsidRPr="0045764A">
              <w:rPr>
                <w:rFonts w:eastAsia="TimesNewRoman"/>
                <w:szCs w:val="22"/>
                <w:lang w:val="sr-Latn-ME"/>
              </w:rPr>
              <w:t>0,1</w:t>
            </w:r>
          </w:p>
        </w:tc>
        <w:tc>
          <w:tcPr>
            <w:tcW w:w="1225" w:type="dxa"/>
          </w:tcPr>
          <w:p w14:paraId="3E5D24FD" w14:textId="611170D6" w:rsidR="00BE331A" w:rsidRPr="0045764A" w:rsidRDefault="00830B94" w:rsidP="00C65330">
            <w:pPr>
              <w:rPr>
                <w:rFonts w:eastAsia="TimesNewRoman"/>
                <w:szCs w:val="22"/>
                <w:lang w:val="sr-Latn-ME"/>
              </w:rPr>
            </w:pPr>
            <w:r w:rsidRPr="0045764A">
              <w:rPr>
                <w:rFonts w:eastAsia="TimesNewRoman"/>
                <w:szCs w:val="22"/>
                <w:lang w:val="sr-Latn-ME"/>
              </w:rPr>
              <w:t>0</w:t>
            </w:r>
          </w:p>
        </w:tc>
      </w:tr>
      <w:tr w:rsidR="00BE331A" w:rsidRPr="0045764A" w14:paraId="6094364C" w14:textId="77777777" w:rsidTr="001E4272">
        <w:tc>
          <w:tcPr>
            <w:tcW w:w="1838" w:type="dxa"/>
            <w:vMerge/>
          </w:tcPr>
          <w:p w14:paraId="6EB95F9F" w14:textId="77777777" w:rsidR="00BE331A" w:rsidRPr="0045764A" w:rsidRDefault="00BE331A" w:rsidP="00654072">
            <w:pPr>
              <w:jc w:val="left"/>
              <w:rPr>
                <w:rFonts w:eastAsia="TimesNewRoman"/>
                <w:szCs w:val="22"/>
                <w:lang w:val="sr-Latn-ME"/>
              </w:rPr>
            </w:pPr>
          </w:p>
        </w:tc>
        <w:tc>
          <w:tcPr>
            <w:tcW w:w="1395" w:type="dxa"/>
            <w:vMerge w:val="restart"/>
          </w:tcPr>
          <w:p w14:paraId="58964A73" w14:textId="60E85DA3" w:rsidR="00BE331A" w:rsidRPr="0045764A" w:rsidRDefault="002D01AC" w:rsidP="00C65330">
            <w:pPr>
              <w:rPr>
                <w:rFonts w:eastAsia="TimesNewRoman"/>
                <w:szCs w:val="22"/>
                <w:lang w:val="sr-Latn-ME"/>
              </w:rPr>
            </w:pPr>
            <w:r w:rsidRPr="0045764A">
              <w:rPr>
                <w:rFonts w:eastAsia="TimesNewRoman"/>
                <w:szCs w:val="22"/>
                <w:lang w:val="sr-Latn-ME"/>
              </w:rPr>
              <w:t>Čest</w:t>
            </w:r>
            <w:r w:rsidR="001914DD" w:rsidRPr="0045764A">
              <w:rPr>
                <w:rFonts w:eastAsia="TimesNewRoman"/>
                <w:szCs w:val="22"/>
                <w:lang w:val="sr-Latn-ME"/>
              </w:rPr>
              <w:t>o</w:t>
            </w:r>
          </w:p>
        </w:tc>
        <w:tc>
          <w:tcPr>
            <w:tcW w:w="2007" w:type="dxa"/>
          </w:tcPr>
          <w:p w14:paraId="18B30901" w14:textId="2C501A88" w:rsidR="00BE331A" w:rsidRPr="0045764A" w:rsidRDefault="00EC3754" w:rsidP="00654072">
            <w:pPr>
              <w:jc w:val="left"/>
              <w:rPr>
                <w:rFonts w:eastAsia="TimesNewRoman"/>
                <w:szCs w:val="22"/>
                <w:lang w:val="sr-Latn-ME"/>
              </w:rPr>
            </w:pPr>
            <w:proofErr w:type="spellStart"/>
            <w:r w:rsidRPr="0045764A">
              <w:rPr>
                <w:rFonts w:eastAsia="TimesNewRoman"/>
                <w:szCs w:val="22"/>
                <w:lang w:val="sr-Latn-ME"/>
              </w:rPr>
              <w:t>Pruritus</w:t>
            </w:r>
            <w:proofErr w:type="spellEnd"/>
          </w:p>
        </w:tc>
        <w:tc>
          <w:tcPr>
            <w:tcW w:w="1418" w:type="dxa"/>
          </w:tcPr>
          <w:p w14:paraId="276D1C12" w14:textId="37C49510" w:rsidR="00BE331A" w:rsidRPr="0045764A" w:rsidRDefault="00B10EE2" w:rsidP="00C65330">
            <w:pPr>
              <w:rPr>
                <w:rFonts w:eastAsia="TimesNewRoman"/>
                <w:szCs w:val="22"/>
                <w:lang w:val="sr-Latn-ME"/>
              </w:rPr>
            </w:pPr>
            <w:r w:rsidRPr="0045764A">
              <w:rPr>
                <w:rFonts w:eastAsia="TimesNewRoman"/>
                <w:szCs w:val="22"/>
                <w:lang w:val="sr-Latn-ME"/>
              </w:rPr>
              <w:t>6,0</w:t>
            </w:r>
          </w:p>
        </w:tc>
        <w:tc>
          <w:tcPr>
            <w:tcW w:w="1134" w:type="dxa"/>
          </w:tcPr>
          <w:p w14:paraId="1FDA9491" w14:textId="7562CE51" w:rsidR="00BE331A" w:rsidRPr="0045764A" w:rsidRDefault="00830B94" w:rsidP="00C65330">
            <w:pPr>
              <w:rPr>
                <w:rFonts w:eastAsia="TimesNewRoman"/>
                <w:szCs w:val="22"/>
                <w:lang w:val="sr-Latn-ME"/>
              </w:rPr>
            </w:pPr>
            <w:r w:rsidRPr="0045764A">
              <w:rPr>
                <w:rFonts w:eastAsia="TimesNewRoman"/>
                <w:szCs w:val="22"/>
                <w:lang w:val="sr-Latn-ME"/>
              </w:rPr>
              <w:t>0</w:t>
            </w:r>
          </w:p>
        </w:tc>
        <w:tc>
          <w:tcPr>
            <w:tcW w:w="1225" w:type="dxa"/>
          </w:tcPr>
          <w:p w14:paraId="1F8230BB" w14:textId="7522A10C" w:rsidR="00BE331A" w:rsidRPr="0045764A" w:rsidRDefault="00830B94" w:rsidP="00C65330">
            <w:pPr>
              <w:rPr>
                <w:rFonts w:eastAsia="TimesNewRoman"/>
                <w:szCs w:val="22"/>
                <w:lang w:val="sr-Latn-ME"/>
              </w:rPr>
            </w:pPr>
            <w:r w:rsidRPr="0045764A">
              <w:rPr>
                <w:rFonts w:eastAsia="TimesNewRoman"/>
                <w:szCs w:val="22"/>
                <w:lang w:val="sr-Latn-ME"/>
              </w:rPr>
              <w:t>0</w:t>
            </w:r>
          </w:p>
        </w:tc>
      </w:tr>
      <w:tr w:rsidR="00BE331A" w:rsidRPr="0045764A" w14:paraId="2062255E" w14:textId="77777777" w:rsidTr="001E4272">
        <w:tc>
          <w:tcPr>
            <w:tcW w:w="1838" w:type="dxa"/>
            <w:vMerge/>
          </w:tcPr>
          <w:p w14:paraId="72E728CA" w14:textId="77777777" w:rsidR="00BE331A" w:rsidRPr="0045764A" w:rsidRDefault="00BE331A" w:rsidP="00654072">
            <w:pPr>
              <w:jc w:val="left"/>
              <w:rPr>
                <w:rFonts w:eastAsia="TimesNewRoman"/>
                <w:szCs w:val="22"/>
                <w:lang w:val="sr-Latn-ME"/>
              </w:rPr>
            </w:pPr>
          </w:p>
        </w:tc>
        <w:tc>
          <w:tcPr>
            <w:tcW w:w="1395" w:type="dxa"/>
            <w:vMerge/>
          </w:tcPr>
          <w:p w14:paraId="2914CCB0" w14:textId="77777777" w:rsidR="00BE331A" w:rsidRPr="0045764A" w:rsidRDefault="00BE331A" w:rsidP="00C65330">
            <w:pPr>
              <w:rPr>
                <w:rFonts w:eastAsia="TimesNewRoman"/>
                <w:szCs w:val="22"/>
                <w:lang w:val="sr-Latn-ME"/>
              </w:rPr>
            </w:pPr>
          </w:p>
        </w:tc>
        <w:tc>
          <w:tcPr>
            <w:tcW w:w="2007" w:type="dxa"/>
          </w:tcPr>
          <w:p w14:paraId="1DFD46CB" w14:textId="2B23B45B" w:rsidR="00BE331A" w:rsidRPr="0045764A" w:rsidRDefault="00EC3754" w:rsidP="00654072">
            <w:pPr>
              <w:jc w:val="left"/>
              <w:rPr>
                <w:rFonts w:eastAsia="TimesNewRoman"/>
                <w:szCs w:val="22"/>
                <w:lang w:val="sr-Latn-ME"/>
              </w:rPr>
            </w:pPr>
            <w:proofErr w:type="spellStart"/>
            <w:r w:rsidRPr="0045764A">
              <w:rPr>
                <w:rFonts w:eastAsia="TimesNewRoman"/>
                <w:szCs w:val="22"/>
                <w:lang w:val="sr-Latn-ME"/>
              </w:rPr>
              <w:t>Eritem</w:t>
            </w:r>
            <w:proofErr w:type="spellEnd"/>
          </w:p>
        </w:tc>
        <w:tc>
          <w:tcPr>
            <w:tcW w:w="1418" w:type="dxa"/>
          </w:tcPr>
          <w:p w14:paraId="18919ED5" w14:textId="25C310C1" w:rsidR="00BE331A" w:rsidRPr="0045764A" w:rsidRDefault="00CB3AA2" w:rsidP="00C65330">
            <w:pPr>
              <w:rPr>
                <w:rFonts w:eastAsia="TimesNewRoman"/>
                <w:szCs w:val="22"/>
                <w:lang w:val="sr-Latn-ME"/>
              </w:rPr>
            </w:pPr>
            <w:r w:rsidRPr="0045764A">
              <w:rPr>
                <w:rFonts w:eastAsia="TimesNewRoman"/>
                <w:szCs w:val="22"/>
                <w:lang w:val="sr-Latn-ME"/>
              </w:rPr>
              <w:t>3,7</w:t>
            </w:r>
          </w:p>
        </w:tc>
        <w:tc>
          <w:tcPr>
            <w:tcW w:w="1134" w:type="dxa"/>
          </w:tcPr>
          <w:p w14:paraId="258716FD" w14:textId="35721A2C" w:rsidR="00BE331A" w:rsidRPr="0045764A" w:rsidRDefault="00830B94" w:rsidP="00C65330">
            <w:pPr>
              <w:rPr>
                <w:rFonts w:eastAsia="TimesNewRoman"/>
                <w:szCs w:val="22"/>
                <w:lang w:val="sr-Latn-ME"/>
              </w:rPr>
            </w:pPr>
            <w:r w:rsidRPr="0045764A">
              <w:rPr>
                <w:rFonts w:eastAsia="TimesNewRoman"/>
                <w:szCs w:val="22"/>
                <w:lang w:val="sr-Latn-ME"/>
              </w:rPr>
              <w:t>0</w:t>
            </w:r>
          </w:p>
        </w:tc>
        <w:tc>
          <w:tcPr>
            <w:tcW w:w="1225" w:type="dxa"/>
          </w:tcPr>
          <w:p w14:paraId="4A89B7EF" w14:textId="4C894B5C" w:rsidR="00BE331A" w:rsidRPr="0045764A" w:rsidRDefault="00830B94" w:rsidP="00C65330">
            <w:pPr>
              <w:rPr>
                <w:rFonts w:eastAsia="TimesNewRoman"/>
                <w:szCs w:val="22"/>
                <w:lang w:val="sr-Latn-ME"/>
              </w:rPr>
            </w:pPr>
            <w:r w:rsidRPr="0045764A">
              <w:rPr>
                <w:rFonts w:eastAsia="TimesNewRoman"/>
                <w:szCs w:val="22"/>
                <w:lang w:val="sr-Latn-ME"/>
              </w:rPr>
              <w:t>0</w:t>
            </w:r>
          </w:p>
        </w:tc>
      </w:tr>
      <w:tr w:rsidR="00BE331A" w:rsidRPr="0045764A" w14:paraId="28CD3EC7" w14:textId="77777777" w:rsidTr="001E4272">
        <w:tc>
          <w:tcPr>
            <w:tcW w:w="1838" w:type="dxa"/>
            <w:vMerge/>
          </w:tcPr>
          <w:p w14:paraId="384B2E4E" w14:textId="77777777" w:rsidR="00BE331A" w:rsidRPr="0045764A" w:rsidRDefault="00BE331A" w:rsidP="00654072">
            <w:pPr>
              <w:jc w:val="left"/>
              <w:rPr>
                <w:rFonts w:eastAsia="TimesNewRoman"/>
                <w:szCs w:val="22"/>
                <w:lang w:val="sr-Latn-ME"/>
              </w:rPr>
            </w:pPr>
          </w:p>
        </w:tc>
        <w:tc>
          <w:tcPr>
            <w:tcW w:w="1395" w:type="dxa"/>
            <w:vMerge/>
          </w:tcPr>
          <w:p w14:paraId="373C474B" w14:textId="77777777" w:rsidR="00BE331A" w:rsidRPr="0045764A" w:rsidRDefault="00BE331A" w:rsidP="00C65330">
            <w:pPr>
              <w:rPr>
                <w:rFonts w:eastAsia="TimesNewRoman"/>
                <w:szCs w:val="22"/>
                <w:lang w:val="sr-Latn-ME"/>
              </w:rPr>
            </w:pPr>
          </w:p>
        </w:tc>
        <w:tc>
          <w:tcPr>
            <w:tcW w:w="2007" w:type="dxa"/>
          </w:tcPr>
          <w:p w14:paraId="1E87E3BC" w14:textId="22F98B06" w:rsidR="00BE331A" w:rsidRPr="0045764A" w:rsidRDefault="00EC3754" w:rsidP="00654072">
            <w:pPr>
              <w:jc w:val="left"/>
              <w:rPr>
                <w:rFonts w:eastAsia="TimesNewRoman"/>
                <w:szCs w:val="22"/>
                <w:lang w:val="sr-Latn-ME"/>
              </w:rPr>
            </w:pPr>
            <w:r w:rsidRPr="0045764A">
              <w:rPr>
                <w:rFonts w:eastAsia="TimesNewRoman"/>
                <w:szCs w:val="22"/>
                <w:lang w:val="sr-Latn-ME"/>
              </w:rPr>
              <w:t>Alopecija</w:t>
            </w:r>
          </w:p>
        </w:tc>
        <w:tc>
          <w:tcPr>
            <w:tcW w:w="1418" w:type="dxa"/>
          </w:tcPr>
          <w:p w14:paraId="5E3874D1" w14:textId="2CEEE61D" w:rsidR="00BE331A" w:rsidRPr="0045764A" w:rsidRDefault="00CB3AA2" w:rsidP="00C65330">
            <w:pPr>
              <w:rPr>
                <w:rFonts w:eastAsia="TimesNewRoman"/>
                <w:szCs w:val="22"/>
                <w:lang w:val="sr-Latn-ME"/>
              </w:rPr>
            </w:pPr>
            <w:r w:rsidRPr="0045764A">
              <w:rPr>
                <w:rFonts w:eastAsia="TimesNewRoman"/>
                <w:szCs w:val="22"/>
                <w:lang w:val="sr-Latn-ME"/>
              </w:rPr>
              <w:t>5,7</w:t>
            </w:r>
          </w:p>
        </w:tc>
        <w:tc>
          <w:tcPr>
            <w:tcW w:w="1134" w:type="dxa"/>
          </w:tcPr>
          <w:p w14:paraId="36E667BE" w14:textId="51FB6C2F" w:rsidR="00BE331A" w:rsidRPr="0045764A" w:rsidRDefault="00830B94" w:rsidP="00C65330">
            <w:pPr>
              <w:rPr>
                <w:rFonts w:eastAsia="TimesNewRoman"/>
                <w:szCs w:val="22"/>
                <w:lang w:val="sr-Latn-ME"/>
              </w:rPr>
            </w:pPr>
            <w:r w:rsidRPr="0045764A">
              <w:rPr>
                <w:rFonts w:eastAsia="TimesNewRoman"/>
                <w:szCs w:val="22"/>
                <w:lang w:val="sr-Latn-ME"/>
              </w:rPr>
              <w:t>0</w:t>
            </w:r>
          </w:p>
        </w:tc>
        <w:tc>
          <w:tcPr>
            <w:tcW w:w="1225" w:type="dxa"/>
          </w:tcPr>
          <w:p w14:paraId="4026BA7E" w14:textId="4A1CE7F5" w:rsidR="00BE331A" w:rsidRPr="0045764A" w:rsidRDefault="00830B94" w:rsidP="00C65330">
            <w:pPr>
              <w:rPr>
                <w:rFonts w:eastAsia="TimesNewRoman"/>
                <w:szCs w:val="22"/>
                <w:lang w:val="sr-Latn-ME"/>
              </w:rPr>
            </w:pPr>
            <w:r w:rsidRPr="0045764A">
              <w:rPr>
                <w:rFonts w:eastAsia="TimesNewRoman"/>
                <w:szCs w:val="22"/>
                <w:lang w:val="sr-Latn-ME"/>
              </w:rPr>
              <w:t>0</w:t>
            </w:r>
          </w:p>
        </w:tc>
      </w:tr>
      <w:tr w:rsidR="00F322E0" w:rsidRPr="0045764A" w14:paraId="1D464F09" w14:textId="77777777" w:rsidTr="001E4272">
        <w:tc>
          <w:tcPr>
            <w:tcW w:w="1838" w:type="dxa"/>
            <w:vMerge w:val="restart"/>
          </w:tcPr>
          <w:p w14:paraId="5C60A020" w14:textId="3A8BB88B" w:rsidR="00F322E0" w:rsidRPr="0045764A" w:rsidRDefault="00F322E0" w:rsidP="00654072">
            <w:pPr>
              <w:tabs>
                <w:tab w:val="clear" w:pos="284"/>
              </w:tabs>
              <w:autoSpaceDE w:val="0"/>
              <w:autoSpaceDN w:val="0"/>
              <w:adjustRightInd w:val="0"/>
              <w:jc w:val="left"/>
              <w:rPr>
                <w:rFonts w:eastAsia="TimesNewRoman"/>
                <w:i/>
                <w:iCs/>
                <w:szCs w:val="22"/>
                <w:lang w:val="sr-Latn-ME"/>
              </w:rPr>
            </w:pPr>
            <w:r w:rsidRPr="0045764A">
              <w:rPr>
                <w:rFonts w:eastAsia="TimesNewRoman"/>
                <w:i/>
                <w:iCs/>
                <w:szCs w:val="22"/>
                <w:lang w:val="sr-Latn-ME"/>
              </w:rPr>
              <w:lastRenderedPageBreak/>
              <w:t>Poremećaji mišićno-koštanog</w:t>
            </w:r>
          </w:p>
          <w:p w14:paraId="01EBC7B7" w14:textId="77777777" w:rsidR="00F322E0" w:rsidRPr="0045764A" w:rsidRDefault="00F322E0" w:rsidP="00654072">
            <w:pPr>
              <w:tabs>
                <w:tab w:val="clear" w:pos="284"/>
              </w:tabs>
              <w:autoSpaceDE w:val="0"/>
              <w:autoSpaceDN w:val="0"/>
              <w:adjustRightInd w:val="0"/>
              <w:jc w:val="left"/>
              <w:rPr>
                <w:rFonts w:eastAsia="TimesNewRoman"/>
                <w:i/>
                <w:iCs/>
                <w:szCs w:val="22"/>
                <w:lang w:val="sr-Latn-ME"/>
              </w:rPr>
            </w:pPr>
            <w:r w:rsidRPr="0045764A">
              <w:rPr>
                <w:rFonts w:eastAsia="TimesNewRoman"/>
                <w:i/>
                <w:iCs/>
                <w:szCs w:val="22"/>
                <w:lang w:val="sr-Latn-ME"/>
              </w:rPr>
              <w:t>sistema i</w:t>
            </w:r>
          </w:p>
          <w:p w14:paraId="28E18B7F" w14:textId="4D597406" w:rsidR="00F322E0" w:rsidRPr="0045764A" w:rsidRDefault="00F322E0" w:rsidP="00654072">
            <w:pPr>
              <w:jc w:val="left"/>
              <w:rPr>
                <w:rFonts w:eastAsia="TimesNewRoman"/>
                <w:i/>
                <w:iCs/>
                <w:szCs w:val="22"/>
                <w:lang w:val="sr-Latn-ME"/>
              </w:rPr>
            </w:pPr>
            <w:r w:rsidRPr="0045764A">
              <w:rPr>
                <w:rFonts w:eastAsia="TimesNewRoman"/>
                <w:i/>
                <w:iCs/>
                <w:szCs w:val="22"/>
                <w:lang w:val="sr-Latn-ME"/>
              </w:rPr>
              <w:t>vezivnog tkiva</w:t>
            </w:r>
          </w:p>
        </w:tc>
        <w:tc>
          <w:tcPr>
            <w:tcW w:w="1395" w:type="dxa"/>
            <w:vMerge w:val="restart"/>
          </w:tcPr>
          <w:p w14:paraId="6FB15E80" w14:textId="4D5D245C" w:rsidR="00F322E0" w:rsidRPr="0045764A" w:rsidRDefault="00624E96" w:rsidP="00C65330">
            <w:pPr>
              <w:rPr>
                <w:rFonts w:eastAsia="TimesNewRoman"/>
                <w:szCs w:val="22"/>
                <w:lang w:val="sr-Latn-ME"/>
              </w:rPr>
            </w:pPr>
            <w:r w:rsidRPr="0045764A">
              <w:rPr>
                <w:rFonts w:eastAsia="TimesNewRoman"/>
                <w:szCs w:val="22"/>
                <w:lang w:val="sr-Latn-ME"/>
              </w:rPr>
              <w:t>Veoma čest</w:t>
            </w:r>
            <w:r w:rsidR="00527066" w:rsidRPr="0045764A">
              <w:rPr>
                <w:rFonts w:eastAsia="TimesNewRoman"/>
                <w:szCs w:val="22"/>
                <w:lang w:val="sr-Latn-ME"/>
              </w:rPr>
              <w:t>o</w:t>
            </w:r>
          </w:p>
        </w:tc>
        <w:tc>
          <w:tcPr>
            <w:tcW w:w="2007" w:type="dxa"/>
          </w:tcPr>
          <w:p w14:paraId="02834CC4" w14:textId="29048E36" w:rsidR="00F322E0" w:rsidRPr="0045764A" w:rsidRDefault="00FD665F" w:rsidP="00654072">
            <w:pPr>
              <w:jc w:val="left"/>
              <w:rPr>
                <w:rFonts w:eastAsia="TimesNewRoman"/>
                <w:szCs w:val="22"/>
                <w:lang w:val="sr-Latn-ME"/>
              </w:rPr>
            </w:pPr>
            <w:proofErr w:type="spellStart"/>
            <w:r w:rsidRPr="0045764A">
              <w:rPr>
                <w:rFonts w:eastAsia="TimesNewRoman"/>
                <w:szCs w:val="22"/>
                <w:lang w:val="sr-Latn-ME"/>
              </w:rPr>
              <w:t>Artralgija</w:t>
            </w:r>
            <w:proofErr w:type="spellEnd"/>
          </w:p>
        </w:tc>
        <w:tc>
          <w:tcPr>
            <w:tcW w:w="1418" w:type="dxa"/>
          </w:tcPr>
          <w:p w14:paraId="02249CDA" w14:textId="40159FD6" w:rsidR="00F322E0" w:rsidRPr="0045764A" w:rsidRDefault="00CC6229" w:rsidP="00C65330">
            <w:pPr>
              <w:rPr>
                <w:rFonts w:eastAsia="TimesNewRoman"/>
                <w:szCs w:val="22"/>
                <w:lang w:val="sr-Latn-ME"/>
              </w:rPr>
            </w:pPr>
            <w:r w:rsidRPr="0045764A">
              <w:rPr>
                <w:rFonts w:eastAsia="TimesNewRoman"/>
                <w:szCs w:val="22"/>
                <w:lang w:val="sr-Latn-ME"/>
              </w:rPr>
              <w:t>17,7</w:t>
            </w:r>
          </w:p>
        </w:tc>
        <w:tc>
          <w:tcPr>
            <w:tcW w:w="1134" w:type="dxa"/>
          </w:tcPr>
          <w:p w14:paraId="51A1F9AA" w14:textId="19999670" w:rsidR="00F322E0" w:rsidRPr="0045764A" w:rsidRDefault="00CC6229" w:rsidP="00C65330">
            <w:pPr>
              <w:rPr>
                <w:rFonts w:eastAsia="TimesNewRoman"/>
                <w:szCs w:val="22"/>
                <w:lang w:val="sr-Latn-ME"/>
              </w:rPr>
            </w:pPr>
            <w:r w:rsidRPr="0045764A">
              <w:rPr>
                <w:rFonts w:eastAsia="TimesNewRoman"/>
                <w:szCs w:val="22"/>
                <w:lang w:val="sr-Latn-ME"/>
              </w:rPr>
              <w:t>1,9</w:t>
            </w:r>
          </w:p>
        </w:tc>
        <w:tc>
          <w:tcPr>
            <w:tcW w:w="1225" w:type="dxa"/>
          </w:tcPr>
          <w:p w14:paraId="4DF3CE83" w14:textId="6859D900" w:rsidR="00F322E0" w:rsidRPr="0045764A" w:rsidRDefault="00A314D5" w:rsidP="00C65330">
            <w:pPr>
              <w:rPr>
                <w:rFonts w:eastAsia="TimesNewRoman"/>
                <w:szCs w:val="22"/>
                <w:lang w:val="sr-Latn-ME"/>
              </w:rPr>
            </w:pPr>
            <w:r w:rsidRPr="0045764A">
              <w:rPr>
                <w:rFonts w:eastAsia="TimesNewRoman"/>
                <w:szCs w:val="22"/>
                <w:lang w:val="sr-Latn-ME"/>
              </w:rPr>
              <w:t>0,3</w:t>
            </w:r>
          </w:p>
        </w:tc>
      </w:tr>
      <w:tr w:rsidR="00F322E0" w:rsidRPr="0045764A" w14:paraId="3720325F" w14:textId="77777777" w:rsidTr="001E4272">
        <w:tc>
          <w:tcPr>
            <w:tcW w:w="1838" w:type="dxa"/>
            <w:vMerge/>
          </w:tcPr>
          <w:p w14:paraId="2EF26C19" w14:textId="77777777" w:rsidR="00F322E0" w:rsidRPr="0045764A" w:rsidRDefault="00F322E0" w:rsidP="00654072">
            <w:pPr>
              <w:jc w:val="left"/>
              <w:rPr>
                <w:rFonts w:eastAsia="TimesNewRoman"/>
                <w:i/>
                <w:iCs/>
                <w:szCs w:val="22"/>
                <w:lang w:val="sr-Latn-ME"/>
              </w:rPr>
            </w:pPr>
          </w:p>
        </w:tc>
        <w:tc>
          <w:tcPr>
            <w:tcW w:w="1395" w:type="dxa"/>
            <w:vMerge/>
          </w:tcPr>
          <w:p w14:paraId="2529CB68" w14:textId="77777777" w:rsidR="00F322E0" w:rsidRPr="0045764A" w:rsidRDefault="00F322E0" w:rsidP="00C65330">
            <w:pPr>
              <w:rPr>
                <w:rFonts w:eastAsia="TimesNewRoman"/>
                <w:szCs w:val="22"/>
                <w:lang w:val="sr-Latn-ME"/>
              </w:rPr>
            </w:pPr>
          </w:p>
        </w:tc>
        <w:tc>
          <w:tcPr>
            <w:tcW w:w="2007" w:type="dxa"/>
          </w:tcPr>
          <w:p w14:paraId="4F6D23D4" w14:textId="7DD9A8E0" w:rsidR="00F322E0" w:rsidRPr="0045764A" w:rsidRDefault="0080279B" w:rsidP="00654072">
            <w:pPr>
              <w:jc w:val="left"/>
              <w:rPr>
                <w:rFonts w:eastAsia="TimesNewRoman"/>
                <w:szCs w:val="22"/>
                <w:lang w:val="sr-Latn-ME"/>
              </w:rPr>
            </w:pPr>
            <w:r w:rsidRPr="0045764A">
              <w:rPr>
                <w:rFonts w:eastAsia="TimesNewRoman"/>
                <w:szCs w:val="22"/>
                <w:lang w:val="sr-Latn-ME"/>
              </w:rPr>
              <w:t>Bol u ekstremitetima</w:t>
            </w:r>
          </w:p>
        </w:tc>
        <w:tc>
          <w:tcPr>
            <w:tcW w:w="1418" w:type="dxa"/>
          </w:tcPr>
          <w:p w14:paraId="29046E0F" w14:textId="450F980B" w:rsidR="00F322E0" w:rsidRPr="0045764A" w:rsidRDefault="00A314D5" w:rsidP="00C65330">
            <w:pPr>
              <w:rPr>
                <w:rFonts w:eastAsia="TimesNewRoman"/>
                <w:szCs w:val="22"/>
                <w:lang w:val="sr-Latn-ME"/>
              </w:rPr>
            </w:pPr>
            <w:r w:rsidRPr="0045764A">
              <w:rPr>
                <w:rFonts w:eastAsia="TimesNewRoman"/>
                <w:szCs w:val="22"/>
                <w:lang w:val="sr-Latn-ME"/>
              </w:rPr>
              <w:t>14,1</w:t>
            </w:r>
          </w:p>
        </w:tc>
        <w:tc>
          <w:tcPr>
            <w:tcW w:w="1134" w:type="dxa"/>
          </w:tcPr>
          <w:p w14:paraId="29FEFA76" w14:textId="1D701643" w:rsidR="00F322E0" w:rsidRPr="0045764A" w:rsidRDefault="00A314D5" w:rsidP="00C65330">
            <w:pPr>
              <w:rPr>
                <w:rFonts w:eastAsia="TimesNewRoman"/>
                <w:szCs w:val="22"/>
                <w:lang w:val="sr-Latn-ME"/>
              </w:rPr>
            </w:pPr>
            <w:r w:rsidRPr="0045764A">
              <w:rPr>
                <w:rFonts w:eastAsia="TimesNewRoman"/>
                <w:szCs w:val="22"/>
                <w:lang w:val="sr-Latn-ME"/>
              </w:rPr>
              <w:t>1,0</w:t>
            </w:r>
          </w:p>
        </w:tc>
        <w:tc>
          <w:tcPr>
            <w:tcW w:w="1225" w:type="dxa"/>
          </w:tcPr>
          <w:p w14:paraId="35DB3F82" w14:textId="1B52FD34" w:rsidR="00F322E0" w:rsidRPr="0045764A" w:rsidRDefault="00A314D5" w:rsidP="00C65330">
            <w:pPr>
              <w:rPr>
                <w:rFonts w:eastAsia="TimesNewRoman"/>
                <w:szCs w:val="22"/>
                <w:lang w:val="sr-Latn-ME"/>
              </w:rPr>
            </w:pPr>
            <w:r w:rsidRPr="0045764A">
              <w:rPr>
                <w:rFonts w:eastAsia="TimesNewRoman"/>
                <w:szCs w:val="22"/>
                <w:lang w:val="sr-Latn-ME"/>
              </w:rPr>
              <w:t>0,3</w:t>
            </w:r>
          </w:p>
        </w:tc>
      </w:tr>
      <w:tr w:rsidR="00C946CB" w:rsidRPr="0045764A" w14:paraId="778370B0" w14:textId="77777777" w:rsidTr="001E4272">
        <w:tc>
          <w:tcPr>
            <w:tcW w:w="1838" w:type="dxa"/>
            <w:vMerge/>
          </w:tcPr>
          <w:p w14:paraId="49BAAFB8" w14:textId="77777777" w:rsidR="00C946CB" w:rsidRPr="0045764A" w:rsidRDefault="00C946CB" w:rsidP="00654072">
            <w:pPr>
              <w:jc w:val="left"/>
              <w:rPr>
                <w:rFonts w:eastAsia="TimesNewRoman"/>
                <w:i/>
                <w:iCs/>
                <w:szCs w:val="22"/>
                <w:lang w:val="sr-Latn-ME"/>
              </w:rPr>
            </w:pPr>
          </w:p>
        </w:tc>
        <w:tc>
          <w:tcPr>
            <w:tcW w:w="1395" w:type="dxa"/>
          </w:tcPr>
          <w:p w14:paraId="19F4065B" w14:textId="0948B7B7" w:rsidR="00C946CB" w:rsidRPr="0045764A" w:rsidRDefault="00624E96" w:rsidP="00C65330">
            <w:pPr>
              <w:rPr>
                <w:rFonts w:eastAsia="TimesNewRoman"/>
                <w:szCs w:val="22"/>
                <w:lang w:val="sr-Latn-ME"/>
              </w:rPr>
            </w:pPr>
            <w:r w:rsidRPr="0045764A">
              <w:rPr>
                <w:rFonts w:eastAsia="TimesNewRoman"/>
                <w:szCs w:val="22"/>
                <w:lang w:val="sr-Latn-ME"/>
              </w:rPr>
              <w:t>Čest</w:t>
            </w:r>
            <w:r w:rsidR="00527066" w:rsidRPr="0045764A">
              <w:rPr>
                <w:rFonts w:eastAsia="TimesNewRoman"/>
                <w:szCs w:val="22"/>
                <w:lang w:val="sr-Latn-ME"/>
              </w:rPr>
              <w:t>o</w:t>
            </w:r>
          </w:p>
        </w:tc>
        <w:tc>
          <w:tcPr>
            <w:tcW w:w="2007" w:type="dxa"/>
          </w:tcPr>
          <w:p w14:paraId="41A482BC" w14:textId="7EE7B6C7" w:rsidR="00C946CB" w:rsidRPr="0045764A" w:rsidRDefault="0080279B" w:rsidP="00654072">
            <w:pPr>
              <w:jc w:val="left"/>
              <w:rPr>
                <w:rFonts w:eastAsia="TimesNewRoman"/>
                <w:szCs w:val="22"/>
                <w:lang w:val="sr-Latn-ME"/>
              </w:rPr>
            </w:pPr>
            <w:proofErr w:type="spellStart"/>
            <w:r w:rsidRPr="0045764A">
              <w:rPr>
                <w:rFonts w:eastAsia="TimesNewRoman"/>
                <w:szCs w:val="22"/>
                <w:lang w:val="sr-Latn-ME"/>
              </w:rPr>
              <w:t>Mijalgija</w:t>
            </w:r>
            <w:proofErr w:type="spellEnd"/>
          </w:p>
        </w:tc>
        <w:tc>
          <w:tcPr>
            <w:tcW w:w="1418" w:type="dxa"/>
          </w:tcPr>
          <w:p w14:paraId="5F38508B" w14:textId="4640F625" w:rsidR="00C946CB" w:rsidRPr="0045764A" w:rsidRDefault="0069139F" w:rsidP="00C65330">
            <w:pPr>
              <w:rPr>
                <w:rFonts w:eastAsia="TimesNewRoman"/>
                <w:szCs w:val="22"/>
                <w:lang w:val="sr-Latn-ME"/>
              </w:rPr>
            </w:pPr>
            <w:r w:rsidRPr="0045764A">
              <w:rPr>
                <w:rFonts w:eastAsia="TimesNewRoman"/>
                <w:szCs w:val="22"/>
                <w:lang w:val="sr-Latn-ME"/>
              </w:rPr>
              <w:t>8,2</w:t>
            </w:r>
          </w:p>
        </w:tc>
        <w:tc>
          <w:tcPr>
            <w:tcW w:w="1134" w:type="dxa"/>
          </w:tcPr>
          <w:p w14:paraId="0E76D411" w14:textId="5A8EBA65" w:rsidR="00C946CB" w:rsidRPr="0045764A" w:rsidRDefault="0069139F" w:rsidP="00C65330">
            <w:pPr>
              <w:rPr>
                <w:rFonts w:eastAsia="TimesNewRoman"/>
                <w:szCs w:val="22"/>
                <w:lang w:val="sr-Latn-ME"/>
              </w:rPr>
            </w:pPr>
            <w:r w:rsidRPr="0045764A">
              <w:rPr>
                <w:rFonts w:eastAsia="TimesNewRoman"/>
                <w:szCs w:val="22"/>
                <w:lang w:val="sr-Latn-ME"/>
              </w:rPr>
              <w:t>0,6</w:t>
            </w:r>
          </w:p>
        </w:tc>
        <w:tc>
          <w:tcPr>
            <w:tcW w:w="1225" w:type="dxa"/>
          </w:tcPr>
          <w:p w14:paraId="7FB25568" w14:textId="4206728A" w:rsidR="00C946CB" w:rsidRPr="0045764A" w:rsidRDefault="0069139F" w:rsidP="00C65330">
            <w:pPr>
              <w:rPr>
                <w:rFonts w:eastAsia="TimesNewRoman"/>
                <w:szCs w:val="22"/>
                <w:lang w:val="sr-Latn-ME"/>
              </w:rPr>
            </w:pPr>
            <w:r w:rsidRPr="0045764A">
              <w:rPr>
                <w:rFonts w:eastAsia="TimesNewRoman"/>
                <w:szCs w:val="22"/>
                <w:lang w:val="sr-Latn-ME"/>
              </w:rPr>
              <w:t>0,1</w:t>
            </w:r>
          </w:p>
        </w:tc>
      </w:tr>
      <w:tr w:rsidR="00C946CB" w:rsidRPr="0045764A" w14:paraId="20AA17CF" w14:textId="77777777" w:rsidTr="001E4272">
        <w:tc>
          <w:tcPr>
            <w:tcW w:w="1838" w:type="dxa"/>
            <w:vMerge w:val="restart"/>
          </w:tcPr>
          <w:p w14:paraId="65C29FFD" w14:textId="77777777" w:rsidR="00381A42" w:rsidRPr="0045764A" w:rsidRDefault="00381A42" w:rsidP="00654072">
            <w:pPr>
              <w:tabs>
                <w:tab w:val="clear" w:pos="284"/>
              </w:tabs>
              <w:autoSpaceDE w:val="0"/>
              <w:autoSpaceDN w:val="0"/>
              <w:adjustRightInd w:val="0"/>
              <w:jc w:val="left"/>
              <w:rPr>
                <w:rFonts w:eastAsia="TimesNewRoman"/>
                <w:i/>
                <w:iCs/>
                <w:szCs w:val="22"/>
                <w:lang w:val="sr-Latn-ME"/>
              </w:rPr>
            </w:pPr>
            <w:r w:rsidRPr="0045764A">
              <w:rPr>
                <w:rFonts w:eastAsia="TimesNewRoman"/>
                <w:i/>
                <w:iCs/>
                <w:szCs w:val="22"/>
                <w:lang w:val="sr-Latn-ME"/>
              </w:rPr>
              <w:t>Poremećaji bubrega</w:t>
            </w:r>
          </w:p>
          <w:p w14:paraId="35C6F999" w14:textId="768092E2" w:rsidR="00C946CB" w:rsidRPr="0045764A" w:rsidRDefault="00381A42" w:rsidP="00654072">
            <w:pPr>
              <w:jc w:val="left"/>
              <w:rPr>
                <w:rFonts w:eastAsia="TimesNewRoman"/>
                <w:i/>
                <w:iCs/>
                <w:szCs w:val="22"/>
                <w:lang w:val="sr-Latn-ME"/>
              </w:rPr>
            </w:pPr>
            <w:r w:rsidRPr="0045764A">
              <w:rPr>
                <w:rFonts w:eastAsia="TimesNewRoman"/>
                <w:i/>
                <w:iCs/>
                <w:szCs w:val="22"/>
                <w:lang w:val="sr-Latn-ME"/>
              </w:rPr>
              <w:t xml:space="preserve">i </w:t>
            </w:r>
            <w:proofErr w:type="spellStart"/>
            <w:r w:rsidRPr="0045764A">
              <w:rPr>
                <w:rFonts w:eastAsia="TimesNewRoman"/>
                <w:i/>
                <w:iCs/>
                <w:szCs w:val="22"/>
                <w:lang w:val="sr-Latn-ME"/>
              </w:rPr>
              <w:t>urinarnog</w:t>
            </w:r>
            <w:proofErr w:type="spellEnd"/>
            <w:r w:rsidRPr="0045764A">
              <w:rPr>
                <w:rFonts w:eastAsia="TimesNewRoman"/>
                <w:i/>
                <w:iCs/>
                <w:szCs w:val="22"/>
                <w:lang w:val="sr-Latn-ME"/>
              </w:rPr>
              <w:t xml:space="preserve"> sistema</w:t>
            </w:r>
          </w:p>
        </w:tc>
        <w:tc>
          <w:tcPr>
            <w:tcW w:w="1395" w:type="dxa"/>
          </w:tcPr>
          <w:p w14:paraId="2D623EF8" w14:textId="45BC963C" w:rsidR="00C946CB" w:rsidRPr="0045764A" w:rsidRDefault="0081095A" w:rsidP="00C65330">
            <w:pPr>
              <w:rPr>
                <w:rFonts w:eastAsia="TimesNewRoman"/>
                <w:szCs w:val="22"/>
                <w:lang w:val="sr-Latn-ME"/>
              </w:rPr>
            </w:pPr>
            <w:r w:rsidRPr="0045764A">
              <w:rPr>
                <w:rFonts w:eastAsia="TimesNewRoman"/>
                <w:szCs w:val="22"/>
                <w:lang w:val="sr-Latn-ME"/>
              </w:rPr>
              <w:t>Veoma čest</w:t>
            </w:r>
            <w:r w:rsidR="001914DD" w:rsidRPr="0045764A">
              <w:rPr>
                <w:rFonts w:eastAsia="TimesNewRoman"/>
                <w:szCs w:val="22"/>
                <w:lang w:val="sr-Latn-ME"/>
              </w:rPr>
              <w:t>o</w:t>
            </w:r>
          </w:p>
        </w:tc>
        <w:tc>
          <w:tcPr>
            <w:tcW w:w="2007" w:type="dxa"/>
          </w:tcPr>
          <w:p w14:paraId="2D168883" w14:textId="10A6FB4B" w:rsidR="00C946CB" w:rsidRPr="0045764A" w:rsidRDefault="00CC7C83" w:rsidP="00654072">
            <w:pPr>
              <w:jc w:val="left"/>
              <w:rPr>
                <w:rFonts w:eastAsia="TimesNewRoman"/>
                <w:szCs w:val="22"/>
                <w:lang w:val="sr-Latn-ME"/>
              </w:rPr>
            </w:pPr>
            <w:proofErr w:type="spellStart"/>
            <w:r w:rsidRPr="0045764A">
              <w:rPr>
                <w:rFonts w:eastAsia="TimesNewRoman"/>
                <w:szCs w:val="22"/>
                <w:lang w:val="sr-Latn-ME"/>
              </w:rPr>
              <w:t>Proteinurija</w:t>
            </w:r>
            <w:r w:rsidRPr="0045764A">
              <w:rPr>
                <w:rFonts w:eastAsia="TimesNewRoman"/>
                <w:szCs w:val="22"/>
                <w:vertAlign w:val="superscript"/>
                <w:lang w:val="sr-Latn-ME"/>
              </w:rPr>
              <w:t>l</w:t>
            </w:r>
            <w:proofErr w:type="spellEnd"/>
          </w:p>
        </w:tc>
        <w:tc>
          <w:tcPr>
            <w:tcW w:w="1418" w:type="dxa"/>
          </w:tcPr>
          <w:p w14:paraId="547FC9F4" w14:textId="319D11E9" w:rsidR="00C946CB" w:rsidRPr="0045764A" w:rsidRDefault="002767D2" w:rsidP="00C65330">
            <w:pPr>
              <w:rPr>
                <w:rFonts w:eastAsia="TimesNewRoman"/>
                <w:szCs w:val="22"/>
                <w:lang w:val="sr-Latn-ME"/>
              </w:rPr>
            </w:pPr>
            <w:r w:rsidRPr="0045764A">
              <w:rPr>
                <w:rFonts w:eastAsia="TimesNewRoman"/>
                <w:szCs w:val="22"/>
                <w:lang w:val="sr-Latn-ME"/>
              </w:rPr>
              <w:t>21,1</w:t>
            </w:r>
          </w:p>
        </w:tc>
        <w:tc>
          <w:tcPr>
            <w:tcW w:w="1134" w:type="dxa"/>
          </w:tcPr>
          <w:p w14:paraId="4573709B" w14:textId="0819C393" w:rsidR="00C946CB" w:rsidRPr="0045764A" w:rsidRDefault="002767D2" w:rsidP="00C65330">
            <w:pPr>
              <w:rPr>
                <w:rFonts w:eastAsia="TimesNewRoman"/>
                <w:szCs w:val="22"/>
                <w:lang w:val="sr-Latn-ME"/>
              </w:rPr>
            </w:pPr>
            <w:r w:rsidRPr="0045764A">
              <w:rPr>
                <w:rFonts w:eastAsia="TimesNewRoman"/>
                <w:szCs w:val="22"/>
                <w:lang w:val="sr-Latn-ME"/>
              </w:rPr>
              <w:t>4,8</w:t>
            </w:r>
          </w:p>
        </w:tc>
        <w:tc>
          <w:tcPr>
            <w:tcW w:w="1225" w:type="dxa"/>
          </w:tcPr>
          <w:p w14:paraId="78B3B16A" w14:textId="444999B5" w:rsidR="00C946CB" w:rsidRPr="0045764A" w:rsidRDefault="0069139F" w:rsidP="00C65330">
            <w:pPr>
              <w:rPr>
                <w:rFonts w:eastAsia="TimesNewRoman"/>
                <w:szCs w:val="22"/>
                <w:lang w:val="sr-Latn-ME"/>
              </w:rPr>
            </w:pPr>
            <w:r w:rsidRPr="0045764A">
              <w:rPr>
                <w:rFonts w:eastAsia="TimesNewRoman"/>
                <w:szCs w:val="22"/>
                <w:lang w:val="sr-Latn-ME"/>
              </w:rPr>
              <w:t>0,1</w:t>
            </w:r>
          </w:p>
        </w:tc>
      </w:tr>
      <w:tr w:rsidR="00C946CB" w:rsidRPr="0045764A" w14:paraId="3E415C1F" w14:textId="77777777" w:rsidTr="001E4272">
        <w:trPr>
          <w:trHeight w:val="575"/>
        </w:trPr>
        <w:tc>
          <w:tcPr>
            <w:tcW w:w="1838" w:type="dxa"/>
            <w:vMerge/>
          </w:tcPr>
          <w:p w14:paraId="0516C6DF" w14:textId="77777777" w:rsidR="00C946CB" w:rsidRPr="0045764A" w:rsidRDefault="00C946CB" w:rsidP="00654072">
            <w:pPr>
              <w:jc w:val="left"/>
              <w:rPr>
                <w:rFonts w:eastAsia="TimesNewRoman"/>
                <w:i/>
                <w:iCs/>
                <w:szCs w:val="22"/>
                <w:lang w:val="sr-Latn-ME"/>
              </w:rPr>
            </w:pPr>
          </w:p>
        </w:tc>
        <w:tc>
          <w:tcPr>
            <w:tcW w:w="1395" w:type="dxa"/>
          </w:tcPr>
          <w:p w14:paraId="55D81361" w14:textId="6EDC62D2" w:rsidR="00C946CB" w:rsidRPr="0045764A" w:rsidRDefault="0081095A" w:rsidP="00C65330">
            <w:pPr>
              <w:rPr>
                <w:rFonts w:eastAsia="TimesNewRoman"/>
                <w:szCs w:val="22"/>
                <w:lang w:val="sr-Latn-ME"/>
              </w:rPr>
            </w:pPr>
            <w:r w:rsidRPr="0045764A">
              <w:rPr>
                <w:rFonts w:eastAsia="TimesNewRoman"/>
                <w:szCs w:val="22"/>
                <w:lang w:val="sr-Latn-ME"/>
              </w:rPr>
              <w:t>Čest</w:t>
            </w:r>
            <w:r w:rsidR="00527066" w:rsidRPr="0045764A">
              <w:rPr>
                <w:rFonts w:eastAsia="TimesNewRoman"/>
                <w:szCs w:val="22"/>
                <w:lang w:val="sr-Latn-ME"/>
              </w:rPr>
              <w:t>o</w:t>
            </w:r>
          </w:p>
        </w:tc>
        <w:tc>
          <w:tcPr>
            <w:tcW w:w="2007" w:type="dxa"/>
          </w:tcPr>
          <w:p w14:paraId="04BF1B73" w14:textId="77777777" w:rsidR="00C9096E" w:rsidRPr="0045764A" w:rsidRDefault="00C9096E" w:rsidP="00654072">
            <w:pPr>
              <w:tabs>
                <w:tab w:val="clear" w:pos="284"/>
              </w:tabs>
              <w:autoSpaceDE w:val="0"/>
              <w:autoSpaceDN w:val="0"/>
              <w:adjustRightInd w:val="0"/>
              <w:jc w:val="left"/>
              <w:rPr>
                <w:rFonts w:eastAsia="TimesNewRoman"/>
                <w:szCs w:val="22"/>
                <w:lang w:val="sr-Latn-ME"/>
              </w:rPr>
            </w:pPr>
            <w:r w:rsidRPr="0045764A">
              <w:rPr>
                <w:rFonts w:eastAsia="TimesNewRoman"/>
                <w:szCs w:val="22"/>
                <w:lang w:val="sr-Latn-ME"/>
              </w:rPr>
              <w:t>Bubrežna</w:t>
            </w:r>
          </w:p>
          <w:p w14:paraId="5D6C5D2F" w14:textId="328CBFAE" w:rsidR="00C946CB" w:rsidRPr="0045764A" w:rsidRDefault="00C9096E" w:rsidP="00654072">
            <w:pPr>
              <w:jc w:val="left"/>
              <w:rPr>
                <w:rFonts w:eastAsia="TimesNewRoman"/>
                <w:szCs w:val="22"/>
                <w:lang w:val="sr-Latn-ME"/>
              </w:rPr>
            </w:pPr>
            <w:proofErr w:type="spellStart"/>
            <w:r w:rsidRPr="0045764A">
              <w:rPr>
                <w:rFonts w:eastAsia="TimesNewRoman"/>
                <w:szCs w:val="22"/>
                <w:lang w:val="sr-Latn-ME"/>
              </w:rPr>
              <w:t>insuficijencija</w:t>
            </w:r>
            <w:r w:rsidRPr="0045764A">
              <w:rPr>
                <w:rFonts w:eastAsia="TimesNewRoman"/>
                <w:szCs w:val="22"/>
                <w:vertAlign w:val="superscript"/>
                <w:lang w:val="sr-Latn-ME"/>
              </w:rPr>
              <w:t>m</w:t>
            </w:r>
            <w:proofErr w:type="spellEnd"/>
          </w:p>
        </w:tc>
        <w:tc>
          <w:tcPr>
            <w:tcW w:w="1418" w:type="dxa"/>
          </w:tcPr>
          <w:p w14:paraId="213FB1F6" w14:textId="59233844" w:rsidR="00C946CB" w:rsidRPr="0045764A" w:rsidRDefault="00A805A9" w:rsidP="00C65330">
            <w:pPr>
              <w:rPr>
                <w:rFonts w:eastAsia="TimesNewRoman"/>
                <w:szCs w:val="22"/>
                <w:lang w:val="sr-Latn-ME"/>
              </w:rPr>
            </w:pPr>
            <w:r w:rsidRPr="0045764A">
              <w:rPr>
                <w:rFonts w:eastAsia="TimesNewRoman"/>
                <w:szCs w:val="22"/>
                <w:lang w:val="sr-Latn-ME"/>
              </w:rPr>
              <w:t>1,6</w:t>
            </w:r>
          </w:p>
        </w:tc>
        <w:tc>
          <w:tcPr>
            <w:tcW w:w="1134" w:type="dxa"/>
          </w:tcPr>
          <w:p w14:paraId="239AF4B3" w14:textId="565DA235" w:rsidR="00C946CB" w:rsidRPr="0045764A" w:rsidRDefault="00A805A9" w:rsidP="00C65330">
            <w:pPr>
              <w:rPr>
                <w:rFonts w:eastAsia="TimesNewRoman"/>
                <w:szCs w:val="22"/>
                <w:lang w:val="sr-Latn-ME"/>
              </w:rPr>
            </w:pPr>
            <w:r w:rsidRPr="0045764A">
              <w:rPr>
                <w:rFonts w:eastAsia="TimesNewRoman"/>
                <w:szCs w:val="22"/>
                <w:lang w:val="sr-Latn-ME"/>
              </w:rPr>
              <w:t>0,9</w:t>
            </w:r>
          </w:p>
        </w:tc>
        <w:tc>
          <w:tcPr>
            <w:tcW w:w="1225" w:type="dxa"/>
          </w:tcPr>
          <w:p w14:paraId="0AAA31B3" w14:textId="14AFABA0" w:rsidR="00C946CB" w:rsidRPr="0045764A" w:rsidRDefault="00A805A9" w:rsidP="00C65330">
            <w:pPr>
              <w:rPr>
                <w:rFonts w:eastAsia="TimesNewRoman"/>
                <w:szCs w:val="22"/>
                <w:lang w:val="sr-Latn-ME"/>
              </w:rPr>
            </w:pPr>
            <w:r w:rsidRPr="0045764A">
              <w:rPr>
                <w:rFonts w:eastAsia="TimesNewRoman"/>
                <w:szCs w:val="22"/>
                <w:lang w:val="sr-Latn-ME"/>
              </w:rPr>
              <w:t>0,1</w:t>
            </w:r>
          </w:p>
        </w:tc>
      </w:tr>
      <w:tr w:rsidR="009E5B51" w:rsidRPr="0045764A" w14:paraId="01E613B7" w14:textId="77777777" w:rsidTr="001E4272">
        <w:tc>
          <w:tcPr>
            <w:tcW w:w="1838" w:type="dxa"/>
            <w:vMerge w:val="restart"/>
          </w:tcPr>
          <w:p w14:paraId="5BFBE8B2" w14:textId="21382337" w:rsidR="009E5B51" w:rsidRPr="0045764A" w:rsidRDefault="009E5B51" w:rsidP="00654072">
            <w:pPr>
              <w:tabs>
                <w:tab w:val="clear" w:pos="284"/>
              </w:tabs>
              <w:autoSpaceDE w:val="0"/>
              <w:autoSpaceDN w:val="0"/>
              <w:adjustRightInd w:val="0"/>
              <w:jc w:val="left"/>
              <w:rPr>
                <w:rFonts w:eastAsia="TimesNewRoman"/>
                <w:i/>
                <w:iCs/>
                <w:szCs w:val="22"/>
                <w:lang w:val="sr-Latn-ME"/>
              </w:rPr>
            </w:pPr>
            <w:r w:rsidRPr="0045764A">
              <w:rPr>
                <w:rFonts w:eastAsia="TimesNewRoman"/>
                <w:i/>
                <w:iCs/>
                <w:szCs w:val="22"/>
                <w:lang w:val="sr-Latn-ME"/>
              </w:rPr>
              <w:t>Opšti poremećaji i</w:t>
            </w:r>
            <w:r w:rsidR="001914DD" w:rsidRPr="0045764A">
              <w:rPr>
                <w:rFonts w:eastAsia="TimesNewRoman"/>
                <w:i/>
                <w:iCs/>
                <w:szCs w:val="22"/>
                <w:lang w:val="sr-Latn-ME"/>
              </w:rPr>
              <w:t xml:space="preserve"> </w:t>
            </w:r>
            <w:r w:rsidRPr="0045764A">
              <w:rPr>
                <w:rFonts w:eastAsia="TimesNewRoman"/>
                <w:i/>
                <w:iCs/>
                <w:szCs w:val="22"/>
                <w:lang w:val="sr-Latn-ME"/>
              </w:rPr>
              <w:t>reakcije na m</w:t>
            </w:r>
            <w:r w:rsidR="006009BF" w:rsidRPr="0045764A">
              <w:rPr>
                <w:rFonts w:eastAsia="TimesNewRoman"/>
                <w:i/>
                <w:iCs/>
                <w:szCs w:val="22"/>
                <w:lang w:val="sr-Latn-ME"/>
              </w:rPr>
              <w:t>j</w:t>
            </w:r>
            <w:r w:rsidRPr="0045764A">
              <w:rPr>
                <w:rFonts w:eastAsia="TimesNewRoman"/>
                <w:i/>
                <w:iCs/>
                <w:szCs w:val="22"/>
                <w:lang w:val="sr-Latn-ME"/>
              </w:rPr>
              <w:t>estu</w:t>
            </w:r>
          </w:p>
          <w:p w14:paraId="1C2B37CD" w14:textId="45E759B0" w:rsidR="009E5B51" w:rsidRPr="0045764A" w:rsidRDefault="008E2492" w:rsidP="00654072">
            <w:pPr>
              <w:jc w:val="left"/>
              <w:rPr>
                <w:rFonts w:eastAsia="TimesNewRoman"/>
                <w:i/>
                <w:iCs/>
                <w:szCs w:val="22"/>
                <w:lang w:val="sr-Latn-ME"/>
              </w:rPr>
            </w:pPr>
            <w:r w:rsidRPr="0045764A">
              <w:rPr>
                <w:rFonts w:eastAsia="TimesNewRoman"/>
                <w:i/>
                <w:iCs/>
                <w:szCs w:val="22"/>
                <w:lang w:val="sr-Latn-ME"/>
              </w:rPr>
              <w:t>primjen</w:t>
            </w:r>
            <w:r w:rsidR="009E5B51" w:rsidRPr="0045764A">
              <w:rPr>
                <w:rFonts w:eastAsia="TimesNewRoman"/>
                <w:i/>
                <w:iCs/>
                <w:szCs w:val="22"/>
                <w:lang w:val="sr-Latn-ME"/>
              </w:rPr>
              <w:t>e</w:t>
            </w:r>
          </w:p>
        </w:tc>
        <w:tc>
          <w:tcPr>
            <w:tcW w:w="1395" w:type="dxa"/>
            <w:vMerge w:val="restart"/>
          </w:tcPr>
          <w:p w14:paraId="41087C9A" w14:textId="6EAD72DE" w:rsidR="009E5B51" w:rsidRPr="0045764A" w:rsidRDefault="00792D46" w:rsidP="00C65330">
            <w:pPr>
              <w:rPr>
                <w:rFonts w:eastAsia="TimesNewRoman"/>
                <w:szCs w:val="22"/>
                <w:lang w:val="sr-Latn-ME"/>
              </w:rPr>
            </w:pPr>
            <w:r w:rsidRPr="0045764A">
              <w:rPr>
                <w:rFonts w:eastAsia="TimesNewRoman"/>
                <w:szCs w:val="22"/>
                <w:lang w:val="sr-Latn-ME"/>
              </w:rPr>
              <w:t>Veoma čest</w:t>
            </w:r>
            <w:r w:rsidR="001914DD" w:rsidRPr="0045764A">
              <w:rPr>
                <w:rFonts w:eastAsia="TimesNewRoman"/>
                <w:szCs w:val="22"/>
                <w:lang w:val="sr-Latn-ME"/>
              </w:rPr>
              <w:t>o</w:t>
            </w:r>
          </w:p>
        </w:tc>
        <w:tc>
          <w:tcPr>
            <w:tcW w:w="2007" w:type="dxa"/>
          </w:tcPr>
          <w:p w14:paraId="7DA10492" w14:textId="79D8FFC4" w:rsidR="009E5B51" w:rsidRPr="0045764A" w:rsidRDefault="00116146" w:rsidP="00654072">
            <w:pPr>
              <w:jc w:val="left"/>
              <w:rPr>
                <w:rFonts w:eastAsia="TimesNewRoman"/>
                <w:szCs w:val="22"/>
                <w:lang w:val="sr-Latn-ME"/>
              </w:rPr>
            </w:pPr>
            <w:r w:rsidRPr="0045764A">
              <w:rPr>
                <w:rFonts w:eastAsia="TimesNewRoman"/>
                <w:szCs w:val="22"/>
                <w:lang w:val="sr-Latn-ME"/>
              </w:rPr>
              <w:t>Zamor</w:t>
            </w:r>
          </w:p>
        </w:tc>
        <w:tc>
          <w:tcPr>
            <w:tcW w:w="1418" w:type="dxa"/>
          </w:tcPr>
          <w:p w14:paraId="25395312" w14:textId="2ACA73F6" w:rsidR="009E5B51" w:rsidRPr="0045764A" w:rsidRDefault="00470C27" w:rsidP="00C65330">
            <w:pPr>
              <w:rPr>
                <w:rFonts w:eastAsia="TimesNewRoman"/>
                <w:szCs w:val="22"/>
                <w:lang w:val="sr-Latn-ME"/>
              </w:rPr>
            </w:pPr>
            <w:r w:rsidRPr="0045764A">
              <w:rPr>
                <w:rFonts w:eastAsia="TimesNewRoman"/>
                <w:szCs w:val="22"/>
                <w:lang w:val="sr-Latn-ME"/>
              </w:rPr>
              <w:t>45,1</w:t>
            </w:r>
          </w:p>
        </w:tc>
        <w:tc>
          <w:tcPr>
            <w:tcW w:w="1134" w:type="dxa"/>
          </w:tcPr>
          <w:p w14:paraId="2334A119" w14:textId="229A4653" w:rsidR="009E5B51" w:rsidRPr="0045764A" w:rsidRDefault="00470C27" w:rsidP="00C65330">
            <w:pPr>
              <w:rPr>
                <w:rFonts w:eastAsia="TimesNewRoman"/>
                <w:szCs w:val="22"/>
                <w:lang w:val="sr-Latn-ME"/>
              </w:rPr>
            </w:pPr>
            <w:r w:rsidRPr="0045764A">
              <w:rPr>
                <w:rFonts w:eastAsia="TimesNewRoman"/>
                <w:szCs w:val="22"/>
                <w:lang w:val="sr-Latn-ME"/>
              </w:rPr>
              <w:t>10,6</w:t>
            </w:r>
          </w:p>
        </w:tc>
        <w:tc>
          <w:tcPr>
            <w:tcW w:w="1225" w:type="dxa"/>
          </w:tcPr>
          <w:p w14:paraId="35150177" w14:textId="7D8B0A45" w:rsidR="009E5B51" w:rsidRPr="0045764A" w:rsidRDefault="006478BF" w:rsidP="00C65330">
            <w:pPr>
              <w:rPr>
                <w:rFonts w:eastAsia="TimesNewRoman"/>
                <w:szCs w:val="22"/>
                <w:lang w:val="sr-Latn-ME"/>
              </w:rPr>
            </w:pPr>
            <w:r w:rsidRPr="0045764A">
              <w:rPr>
                <w:rFonts w:eastAsia="TimesNewRoman"/>
                <w:szCs w:val="22"/>
                <w:lang w:val="sr-Latn-ME"/>
              </w:rPr>
              <w:t>0,3</w:t>
            </w:r>
          </w:p>
        </w:tc>
      </w:tr>
      <w:tr w:rsidR="009E5B51" w:rsidRPr="0045764A" w14:paraId="6899C239" w14:textId="77777777" w:rsidTr="001E4272">
        <w:tc>
          <w:tcPr>
            <w:tcW w:w="1838" w:type="dxa"/>
            <w:vMerge/>
          </w:tcPr>
          <w:p w14:paraId="48F63599" w14:textId="77777777" w:rsidR="009E5B51" w:rsidRPr="0045764A" w:rsidRDefault="009E5B51" w:rsidP="00654072">
            <w:pPr>
              <w:jc w:val="left"/>
              <w:rPr>
                <w:rFonts w:eastAsia="TimesNewRoman"/>
                <w:i/>
                <w:iCs/>
                <w:szCs w:val="22"/>
                <w:lang w:val="sr-Latn-ME"/>
              </w:rPr>
            </w:pPr>
          </w:p>
        </w:tc>
        <w:tc>
          <w:tcPr>
            <w:tcW w:w="1395" w:type="dxa"/>
            <w:vMerge/>
          </w:tcPr>
          <w:p w14:paraId="28730EA4" w14:textId="77777777" w:rsidR="009E5B51" w:rsidRPr="0045764A" w:rsidRDefault="009E5B51" w:rsidP="00C65330">
            <w:pPr>
              <w:rPr>
                <w:rFonts w:eastAsia="TimesNewRoman"/>
                <w:szCs w:val="22"/>
                <w:lang w:val="sr-Latn-ME"/>
              </w:rPr>
            </w:pPr>
          </w:p>
        </w:tc>
        <w:tc>
          <w:tcPr>
            <w:tcW w:w="2007" w:type="dxa"/>
          </w:tcPr>
          <w:p w14:paraId="61057E2C" w14:textId="223A7AE8" w:rsidR="009E5B51" w:rsidRPr="0045764A" w:rsidRDefault="00E61C42" w:rsidP="00654072">
            <w:pPr>
              <w:jc w:val="left"/>
              <w:rPr>
                <w:rFonts w:eastAsia="TimesNewRoman"/>
                <w:szCs w:val="22"/>
                <w:lang w:val="sr-Latn-ME"/>
              </w:rPr>
            </w:pPr>
            <w:proofErr w:type="spellStart"/>
            <w:r w:rsidRPr="0045764A">
              <w:rPr>
                <w:rFonts w:eastAsia="TimesNewRoman"/>
                <w:szCs w:val="22"/>
                <w:lang w:val="sr-Latn-ME"/>
              </w:rPr>
              <w:t>Astenija</w:t>
            </w:r>
            <w:r w:rsidRPr="0045764A">
              <w:rPr>
                <w:rFonts w:eastAsia="TimesNewRoman"/>
                <w:szCs w:val="22"/>
                <w:vertAlign w:val="superscript"/>
                <w:lang w:val="sr-Latn-ME"/>
              </w:rPr>
              <w:t>d</w:t>
            </w:r>
            <w:proofErr w:type="spellEnd"/>
          </w:p>
        </w:tc>
        <w:tc>
          <w:tcPr>
            <w:tcW w:w="1418" w:type="dxa"/>
          </w:tcPr>
          <w:p w14:paraId="2AC63A99" w14:textId="5771653C" w:rsidR="009E5B51" w:rsidRPr="0045764A" w:rsidRDefault="00857354" w:rsidP="00C65330">
            <w:pPr>
              <w:rPr>
                <w:rFonts w:eastAsia="TimesNewRoman"/>
                <w:szCs w:val="22"/>
                <w:lang w:val="sr-Latn-ME"/>
              </w:rPr>
            </w:pPr>
            <w:r w:rsidRPr="0045764A">
              <w:rPr>
                <w:rFonts w:eastAsia="TimesNewRoman"/>
                <w:szCs w:val="22"/>
                <w:lang w:val="sr-Latn-ME"/>
              </w:rPr>
              <w:t>13,8</w:t>
            </w:r>
          </w:p>
        </w:tc>
        <w:tc>
          <w:tcPr>
            <w:tcW w:w="1134" w:type="dxa"/>
          </w:tcPr>
          <w:p w14:paraId="11C2C68B" w14:textId="5CFC2F5D" w:rsidR="009E5B51" w:rsidRPr="0045764A" w:rsidRDefault="00857354" w:rsidP="00C65330">
            <w:pPr>
              <w:rPr>
                <w:rFonts w:eastAsia="TimesNewRoman"/>
                <w:szCs w:val="22"/>
                <w:lang w:val="sr-Latn-ME"/>
              </w:rPr>
            </w:pPr>
            <w:r w:rsidRPr="0045764A">
              <w:rPr>
                <w:rFonts w:eastAsia="TimesNewRoman"/>
                <w:szCs w:val="22"/>
                <w:lang w:val="sr-Latn-ME"/>
              </w:rPr>
              <w:t>2,8</w:t>
            </w:r>
          </w:p>
        </w:tc>
        <w:tc>
          <w:tcPr>
            <w:tcW w:w="1225" w:type="dxa"/>
          </w:tcPr>
          <w:p w14:paraId="7847767E" w14:textId="3CC40496" w:rsidR="009E5B51" w:rsidRPr="0045764A" w:rsidRDefault="006478BF" w:rsidP="00C65330">
            <w:pPr>
              <w:rPr>
                <w:rFonts w:eastAsia="TimesNewRoman"/>
                <w:szCs w:val="22"/>
                <w:lang w:val="sr-Latn-ME"/>
              </w:rPr>
            </w:pPr>
            <w:r w:rsidRPr="0045764A">
              <w:rPr>
                <w:rFonts w:eastAsia="TimesNewRoman"/>
                <w:szCs w:val="22"/>
                <w:lang w:val="sr-Latn-ME"/>
              </w:rPr>
              <w:t>0,3</w:t>
            </w:r>
          </w:p>
        </w:tc>
      </w:tr>
      <w:tr w:rsidR="009E5B51" w:rsidRPr="0045764A" w14:paraId="6078728B" w14:textId="77777777" w:rsidTr="001E4272">
        <w:tc>
          <w:tcPr>
            <w:tcW w:w="1838" w:type="dxa"/>
            <w:vMerge/>
          </w:tcPr>
          <w:p w14:paraId="66E02FE3" w14:textId="77777777" w:rsidR="009E5B51" w:rsidRPr="0045764A" w:rsidRDefault="009E5B51" w:rsidP="00654072">
            <w:pPr>
              <w:jc w:val="left"/>
              <w:rPr>
                <w:rFonts w:eastAsia="TimesNewRoman"/>
                <w:i/>
                <w:iCs/>
                <w:szCs w:val="22"/>
                <w:lang w:val="sr-Latn-ME"/>
              </w:rPr>
            </w:pPr>
          </w:p>
        </w:tc>
        <w:tc>
          <w:tcPr>
            <w:tcW w:w="1395" w:type="dxa"/>
            <w:vMerge/>
          </w:tcPr>
          <w:p w14:paraId="419A1113" w14:textId="77777777" w:rsidR="009E5B51" w:rsidRPr="0045764A" w:rsidRDefault="009E5B51" w:rsidP="00C65330">
            <w:pPr>
              <w:rPr>
                <w:rFonts w:eastAsia="TimesNewRoman"/>
                <w:szCs w:val="22"/>
                <w:lang w:val="sr-Latn-ME"/>
              </w:rPr>
            </w:pPr>
          </w:p>
        </w:tc>
        <w:tc>
          <w:tcPr>
            <w:tcW w:w="2007" w:type="dxa"/>
          </w:tcPr>
          <w:p w14:paraId="4E8DD82C" w14:textId="1AFAE6E8" w:rsidR="009E5B51" w:rsidRPr="0045764A" w:rsidRDefault="00180537" w:rsidP="00654072">
            <w:pPr>
              <w:jc w:val="left"/>
              <w:rPr>
                <w:rFonts w:eastAsia="TimesNewRoman"/>
                <w:szCs w:val="22"/>
                <w:lang w:val="sr-Latn-ME"/>
              </w:rPr>
            </w:pPr>
            <w:r w:rsidRPr="0045764A">
              <w:rPr>
                <w:rFonts w:eastAsia="TimesNewRoman"/>
                <w:szCs w:val="22"/>
                <w:lang w:val="sr-Latn-ME"/>
              </w:rPr>
              <w:t xml:space="preserve">Zapaljenje </w:t>
            </w:r>
            <w:proofErr w:type="spellStart"/>
            <w:r w:rsidRPr="0045764A">
              <w:rPr>
                <w:rFonts w:eastAsia="TimesNewRoman"/>
                <w:szCs w:val="22"/>
                <w:lang w:val="sr-Latn-ME"/>
              </w:rPr>
              <w:t>sluznice</w:t>
            </w:r>
            <w:proofErr w:type="spellEnd"/>
          </w:p>
        </w:tc>
        <w:tc>
          <w:tcPr>
            <w:tcW w:w="1418" w:type="dxa"/>
          </w:tcPr>
          <w:p w14:paraId="32AAFAC2" w14:textId="524382BA" w:rsidR="009E5B51" w:rsidRPr="0045764A" w:rsidRDefault="00857354" w:rsidP="00C65330">
            <w:pPr>
              <w:rPr>
                <w:rFonts w:eastAsia="TimesNewRoman"/>
                <w:szCs w:val="22"/>
                <w:lang w:val="sr-Latn-ME"/>
              </w:rPr>
            </w:pPr>
            <w:r w:rsidRPr="0045764A">
              <w:rPr>
                <w:rFonts w:eastAsia="TimesNewRoman"/>
                <w:szCs w:val="22"/>
                <w:lang w:val="sr-Latn-ME"/>
              </w:rPr>
              <w:t>13,7</w:t>
            </w:r>
          </w:p>
        </w:tc>
        <w:tc>
          <w:tcPr>
            <w:tcW w:w="1134" w:type="dxa"/>
          </w:tcPr>
          <w:p w14:paraId="6462B818" w14:textId="3314BF76" w:rsidR="009E5B51" w:rsidRPr="0045764A" w:rsidRDefault="00CC2AFF" w:rsidP="00C65330">
            <w:pPr>
              <w:rPr>
                <w:rFonts w:eastAsia="TimesNewRoman"/>
                <w:szCs w:val="22"/>
                <w:lang w:val="sr-Latn-ME"/>
              </w:rPr>
            </w:pPr>
            <w:r w:rsidRPr="0045764A">
              <w:rPr>
                <w:rFonts w:eastAsia="TimesNewRoman"/>
                <w:szCs w:val="22"/>
                <w:lang w:val="sr-Latn-ME"/>
              </w:rPr>
              <w:t>1,0</w:t>
            </w:r>
          </w:p>
        </w:tc>
        <w:tc>
          <w:tcPr>
            <w:tcW w:w="1225" w:type="dxa"/>
          </w:tcPr>
          <w:p w14:paraId="3A3D65D5" w14:textId="3E01DDD8" w:rsidR="009E5B51" w:rsidRPr="0045764A" w:rsidRDefault="00CC2AFF" w:rsidP="00C65330">
            <w:pPr>
              <w:rPr>
                <w:rFonts w:eastAsia="TimesNewRoman"/>
                <w:szCs w:val="22"/>
                <w:lang w:val="sr-Latn-ME"/>
              </w:rPr>
            </w:pPr>
            <w:r w:rsidRPr="0045764A">
              <w:rPr>
                <w:rFonts w:eastAsia="TimesNewRoman"/>
                <w:szCs w:val="22"/>
                <w:lang w:val="sr-Latn-ME"/>
              </w:rPr>
              <w:t>0</w:t>
            </w:r>
          </w:p>
        </w:tc>
      </w:tr>
      <w:tr w:rsidR="002706A3" w:rsidRPr="0045764A" w14:paraId="40EEABBF" w14:textId="77777777" w:rsidTr="001E4272">
        <w:tc>
          <w:tcPr>
            <w:tcW w:w="1838" w:type="dxa"/>
            <w:vMerge w:val="restart"/>
          </w:tcPr>
          <w:p w14:paraId="4DDB8C6D" w14:textId="1081C055" w:rsidR="002706A3" w:rsidRPr="0045764A" w:rsidRDefault="00980BB4" w:rsidP="00654072">
            <w:pPr>
              <w:jc w:val="left"/>
              <w:rPr>
                <w:rFonts w:eastAsia="TimesNewRoman"/>
                <w:i/>
                <w:iCs/>
                <w:szCs w:val="22"/>
                <w:lang w:val="sr-Latn-ME"/>
              </w:rPr>
            </w:pPr>
            <w:r w:rsidRPr="0045764A">
              <w:rPr>
                <w:rFonts w:eastAsia="TimesNewRoman"/>
                <w:i/>
                <w:iCs/>
                <w:szCs w:val="22"/>
                <w:lang w:val="sr-Latn-ME"/>
              </w:rPr>
              <w:t>Ispitivanja</w:t>
            </w:r>
          </w:p>
        </w:tc>
        <w:tc>
          <w:tcPr>
            <w:tcW w:w="1395" w:type="dxa"/>
          </w:tcPr>
          <w:p w14:paraId="7AA70776" w14:textId="1C724550" w:rsidR="002706A3" w:rsidRPr="0045764A" w:rsidRDefault="00F44A56" w:rsidP="00C65330">
            <w:pPr>
              <w:rPr>
                <w:rFonts w:eastAsia="TimesNewRoman"/>
                <w:szCs w:val="22"/>
                <w:lang w:val="sr-Latn-ME"/>
              </w:rPr>
            </w:pPr>
            <w:r w:rsidRPr="0045764A">
              <w:rPr>
                <w:rFonts w:eastAsia="TimesNewRoman"/>
                <w:szCs w:val="22"/>
                <w:lang w:val="sr-Latn-ME"/>
              </w:rPr>
              <w:t>Veoma čest</w:t>
            </w:r>
            <w:r w:rsidR="00527066" w:rsidRPr="0045764A">
              <w:rPr>
                <w:rFonts w:eastAsia="TimesNewRoman"/>
                <w:szCs w:val="22"/>
                <w:lang w:val="sr-Latn-ME"/>
              </w:rPr>
              <w:t>o</w:t>
            </w:r>
          </w:p>
        </w:tc>
        <w:tc>
          <w:tcPr>
            <w:tcW w:w="2007" w:type="dxa"/>
          </w:tcPr>
          <w:p w14:paraId="74D64036" w14:textId="41EE17F5" w:rsidR="002706A3" w:rsidRPr="0045764A" w:rsidRDefault="009D3C48" w:rsidP="00654072">
            <w:pPr>
              <w:jc w:val="left"/>
              <w:rPr>
                <w:rFonts w:eastAsia="TimesNewRoman"/>
                <w:szCs w:val="22"/>
                <w:lang w:val="sr-Latn-ME"/>
              </w:rPr>
            </w:pPr>
            <w:r w:rsidRPr="0045764A">
              <w:rPr>
                <w:rFonts w:eastAsia="TimesNewRoman"/>
                <w:szCs w:val="22"/>
                <w:lang w:val="sr-Latn-ME"/>
              </w:rPr>
              <w:t>Smanjenje t</w:t>
            </w:r>
            <w:r w:rsidR="006009BF" w:rsidRPr="0045764A">
              <w:rPr>
                <w:rFonts w:eastAsia="TimesNewRoman"/>
                <w:szCs w:val="22"/>
                <w:lang w:val="sr-Latn-ME"/>
              </w:rPr>
              <w:t>j</w:t>
            </w:r>
            <w:r w:rsidRPr="0045764A">
              <w:rPr>
                <w:rFonts w:eastAsia="TimesNewRoman"/>
                <w:szCs w:val="22"/>
                <w:lang w:val="sr-Latn-ME"/>
              </w:rPr>
              <w:t>elesne mase</w:t>
            </w:r>
          </w:p>
        </w:tc>
        <w:tc>
          <w:tcPr>
            <w:tcW w:w="1418" w:type="dxa"/>
          </w:tcPr>
          <w:p w14:paraId="5A6A4BAE" w14:textId="049FED35" w:rsidR="002706A3" w:rsidRPr="0045764A" w:rsidRDefault="00CC2AFF" w:rsidP="00C65330">
            <w:pPr>
              <w:rPr>
                <w:rFonts w:eastAsia="TimesNewRoman"/>
                <w:szCs w:val="22"/>
                <w:lang w:val="sr-Latn-ME"/>
              </w:rPr>
            </w:pPr>
            <w:r w:rsidRPr="0045764A">
              <w:rPr>
                <w:rFonts w:eastAsia="TimesNewRoman"/>
                <w:szCs w:val="22"/>
                <w:lang w:val="sr-Latn-ME"/>
              </w:rPr>
              <w:t>32,7</w:t>
            </w:r>
          </w:p>
        </w:tc>
        <w:tc>
          <w:tcPr>
            <w:tcW w:w="1134" w:type="dxa"/>
          </w:tcPr>
          <w:p w14:paraId="3AE639FD" w14:textId="7D8E3B42" w:rsidR="002706A3" w:rsidRPr="0045764A" w:rsidRDefault="00CC2AFF" w:rsidP="00C65330">
            <w:pPr>
              <w:rPr>
                <w:rFonts w:eastAsia="TimesNewRoman"/>
                <w:szCs w:val="22"/>
                <w:lang w:val="sr-Latn-ME"/>
              </w:rPr>
            </w:pPr>
            <w:r w:rsidRPr="0045764A">
              <w:rPr>
                <w:rFonts w:eastAsia="TimesNewRoman"/>
                <w:szCs w:val="22"/>
                <w:lang w:val="sr-Latn-ME"/>
              </w:rPr>
              <w:t>4,9</w:t>
            </w:r>
          </w:p>
        </w:tc>
        <w:tc>
          <w:tcPr>
            <w:tcW w:w="1225" w:type="dxa"/>
          </w:tcPr>
          <w:p w14:paraId="2D4B6857" w14:textId="54844910" w:rsidR="002706A3" w:rsidRPr="0045764A" w:rsidRDefault="00CC2AFF" w:rsidP="00C65330">
            <w:pPr>
              <w:rPr>
                <w:rFonts w:eastAsia="TimesNewRoman"/>
                <w:szCs w:val="22"/>
                <w:lang w:val="sr-Latn-ME"/>
              </w:rPr>
            </w:pPr>
            <w:r w:rsidRPr="0045764A">
              <w:rPr>
                <w:rFonts w:eastAsia="TimesNewRoman"/>
                <w:szCs w:val="22"/>
                <w:lang w:val="sr-Latn-ME"/>
              </w:rPr>
              <w:t>0</w:t>
            </w:r>
          </w:p>
        </w:tc>
      </w:tr>
      <w:tr w:rsidR="00792D46" w:rsidRPr="0045764A" w14:paraId="0DF25581" w14:textId="77777777" w:rsidTr="001E4272">
        <w:tc>
          <w:tcPr>
            <w:tcW w:w="1838" w:type="dxa"/>
            <w:vMerge/>
          </w:tcPr>
          <w:p w14:paraId="7BAB1F72" w14:textId="77777777" w:rsidR="00792D46" w:rsidRPr="0045764A" w:rsidRDefault="00792D46" w:rsidP="00654072">
            <w:pPr>
              <w:jc w:val="left"/>
              <w:rPr>
                <w:rFonts w:eastAsia="TimesNewRoman"/>
                <w:szCs w:val="22"/>
                <w:lang w:val="sr-Latn-ME"/>
              </w:rPr>
            </w:pPr>
          </w:p>
        </w:tc>
        <w:tc>
          <w:tcPr>
            <w:tcW w:w="1395" w:type="dxa"/>
            <w:vMerge w:val="restart"/>
          </w:tcPr>
          <w:p w14:paraId="6EE25E4F" w14:textId="74BDB399" w:rsidR="00792D46" w:rsidRPr="0045764A" w:rsidRDefault="00F44A56" w:rsidP="00C65330">
            <w:pPr>
              <w:rPr>
                <w:rFonts w:eastAsia="TimesNewRoman"/>
                <w:szCs w:val="22"/>
                <w:lang w:val="sr-Latn-ME"/>
              </w:rPr>
            </w:pPr>
            <w:r w:rsidRPr="0045764A">
              <w:rPr>
                <w:rFonts w:eastAsia="TimesNewRoman"/>
                <w:szCs w:val="22"/>
                <w:lang w:val="sr-Latn-ME"/>
              </w:rPr>
              <w:t>Čest</w:t>
            </w:r>
            <w:r w:rsidR="00527066" w:rsidRPr="0045764A">
              <w:rPr>
                <w:rFonts w:eastAsia="TimesNewRoman"/>
                <w:szCs w:val="22"/>
                <w:lang w:val="sr-Latn-ME"/>
              </w:rPr>
              <w:t>o</w:t>
            </w:r>
          </w:p>
        </w:tc>
        <w:tc>
          <w:tcPr>
            <w:tcW w:w="2007" w:type="dxa"/>
          </w:tcPr>
          <w:p w14:paraId="7D48ED50" w14:textId="64A1F336" w:rsidR="00792D46" w:rsidRPr="0045764A" w:rsidRDefault="002B07D2" w:rsidP="00654072">
            <w:pPr>
              <w:jc w:val="left"/>
              <w:rPr>
                <w:rFonts w:eastAsia="TimesNewRoman"/>
                <w:szCs w:val="22"/>
                <w:lang w:val="sr-Latn-ME"/>
              </w:rPr>
            </w:pPr>
            <w:r w:rsidRPr="0045764A">
              <w:rPr>
                <w:rFonts w:eastAsia="TimesNewRoman"/>
                <w:szCs w:val="22"/>
                <w:lang w:val="sr-Latn-ME"/>
              </w:rPr>
              <w:t xml:space="preserve">Povećanje </w:t>
            </w:r>
            <w:proofErr w:type="spellStart"/>
            <w:r w:rsidRPr="0045764A">
              <w:rPr>
                <w:rFonts w:eastAsia="TimesNewRoman"/>
                <w:szCs w:val="22"/>
                <w:lang w:val="sr-Latn-ME"/>
              </w:rPr>
              <w:t>lipaze</w:t>
            </w:r>
            <w:proofErr w:type="spellEnd"/>
          </w:p>
        </w:tc>
        <w:tc>
          <w:tcPr>
            <w:tcW w:w="1418" w:type="dxa"/>
          </w:tcPr>
          <w:p w14:paraId="71C51690" w14:textId="0DB490F6" w:rsidR="00792D46" w:rsidRPr="0045764A" w:rsidRDefault="002962F4" w:rsidP="00C65330">
            <w:pPr>
              <w:rPr>
                <w:rFonts w:eastAsia="TimesNewRoman"/>
                <w:szCs w:val="22"/>
                <w:lang w:val="sr-Latn-ME"/>
              </w:rPr>
            </w:pPr>
            <w:r w:rsidRPr="0045764A">
              <w:rPr>
                <w:rFonts w:eastAsia="TimesNewRoman"/>
                <w:szCs w:val="22"/>
                <w:lang w:val="sr-Latn-ME"/>
              </w:rPr>
              <w:t>3,7</w:t>
            </w:r>
          </w:p>
        </w:tc>
        <w:tc>
          <w:tcPr>
            <w:tcW w:w="1134" w:type="dxa"/>
          </w:tcPr>
          <w:p w14:paraId="30FF7FEF" w14:textId="6091AF08" w:rsidR="00792D46" w:rsidRPr="0045764A" w:rsidRDefault="002962F4" w:rsidP="00C65330">
            <w:pPr>
              <w:rPr>
                <w:rFonts w:eastAsia="TimesNewRoman"/>
                <w:szCs w:val="22"/>
                <w:lang w:val="sr-Latn-ME"/>
              </w:rPr>
            </w:pPr>
            <w:r w:rsidRPr="0045764A">
              <w:rPr>
                <w:rFonts w:eastAsia="TimesNewRoman"/>
                <w:szCs w:val="22"/>
                <w:lang w:val="sr-Latn-ME"/>
              </w:rPr>
              <w:t>0,7</w:t>
            </w:r>
          </w:p>
        </w:tc>
        <w:tc>
          <w:tcPr>
            <w:tcW w:w="1225" w:type="dxa"/>
          </w:tcPr>
          <w:p w14:paraId="54DBC3C6" w14:textId="5239829C" w:rsidR="00792D46" w:rsidRPr="0045764A" w:rsidRDefault="002962F4" w:rsidP="00C65330">
            <w:pPr>
              <w:rPr>
                <w:rFonts w:eastAsia="TimesNewRoman"/>
                <w:szCs w:val="22"/>
                <w:lang w:val="sr-Latn-ME"/>
              </w:rPr>
            </w:pPr>
            <w:r w:rsidRPr="0045764A">
              <w:rPr>
                <w:rFonts w:eastAsia="TimesNewRoman"/>
                <w:szCs w:val="22"/>
                <w:lang w:val="sr-Latn-ME"/>
              </w:rPr>
              <w:t>0,7</w:t>
            </w:r>
          </w:p>
        </w:tc>
      </w:tr>
      <w:tr w:rsidR="00792D46" w:rsidRPr="0045764A" w14:paraId="62C22B8E" w14:textId="77777777" w:rsidTr="001E4272">
        <w:tc>
          <w:tcPr>
            <w:tcW w:w="1838" w:type="dxa"/>
            <w:vMerge/>
          </w:tcPr>
          <w:p w14:paraId="4B541EF8" w14:textId="77777777" w:rsidR="00792D46" w:rsidRPr="0045764A" w:rsidRDefault="00792D46" w:rsidP="00654072">
            <w:pPr>
              <w:jc w:val="left"/>
              <w:rPr>
                <w:rFonts w:eastAsia="TimesNewRoman"/>
                <w:szCs w:val="22"/>
                <w:lang w:val="sr-Latn-ME"/>
              </w:rPr>
            </w:pPr>
          </w:p>
        </w:tc>
        <w:tc>
          <w:tcPr>
            <w:tcW w:w="1395" w:type="dxa"/>
            <w:vMerge/>
          </w:tcPr>
          <w:p w14:paraId="7534ED3A" w14:textId="77777777" w:rsidR="00792D46" w:rsidRPr="0045764A" w:rsidRDefault="00792D46" w:rsidP="00C65330">
            <w:pPr>
              <w:rPr>
                <w:rFonts w:eastAsia="TimesNewRoman"/>
                <w:szCs w:val="22"/>
                <w:lang w:val="sr-Latn-ME"/>
              </w:rPr>
            </w:pPr>
          </w:p>
        </w:tc>
        <w:tc>
          <w:tcPr>
            <w:tcW w:w="2007" w:type="dxa"/>
          </w:tcPr>
          <w:p w14:paraId="284207DF" w14:textId="77777777" w:rsidR="002B07D2" w:rsidRPr="0045764A" w:rsidRDefault="002B07D2" w:rsidP="00654072">
            <w:pPr>
              <w:tabs>
                <w:tab w:val="clear" w:pos="284"/>
              </w:tabs>
              <w:autoSpaceDE w:val="0"/>
              <w:autoSpaceDN w:val="0"/>
              <w:adjustRightInd w:val="0"/>
              <w:jc w:val="left"/>
              <w:rPr>
                <w:rFonts w:eastAsia="TimesNewRoman"/>
                <w:szCs w:val="22"/>
                <w:lang w:val="sr-Latn-ME"/>
              </w:rPr>
            </w:pPr>
            <w:r w:rsidRPr="0045764A">
              <w:rPr>
                <w:rFonts w:eastAsia="TimesNewRoman"/>
                <w:szCs w:val="22"/>
                <w:lang w:val="sr-Latn-ME"/>
              </w:rPr>
              <w:t xml:space="preserve">Povećanje </w:t>
            </w:r>
            <w:proofErr w:type="spellStart"/>
            <w:r w:rsidRPr="0045764A">
              <w:rPr>
                <w:rFonts w:eastAsia="TimesNewRoman"/>
                <w:szCs w:val="22"/>
                <w:lang w:val="sr-Latn-ME"/>
              </w:rPr>
              <w:t>alanin</w:t>
            </w:r>
            <w:proofErr w:type="spellEnd"/>
          </w:p>
          <w:p w14:paraId="0A7DC1CF" w14:textId="0834CDAE" w:rsidR="00792D46" w:rsidRPr="0045764A" w:rsidRDefault="002B07D2" w:rsidP="00654072">
            <w:pPr>
              <w:jc w:val="left"/>
              <w:rPr>
                <w:rFonts w:eastAsia="TimesNewRoman"/>
                <w:szCs w:val="22"/>
                <w:lang w:val="sr-Latn-ME"/>
              </w:rPr>
            </w:pPr>
            <w:proofErr w:type="spellStart"/>
            <w:r w:rsidRPr="0045764A">
              <w:rPr>
                <w:rFonts w:eastAsia="TimesNewRoman"/>
                <w:szCs w:val="22"/>
                <w:lang w:val="sr-Latn-ME"/>
              </w:rPr>
              <w:t>aminotransferaze</w:t>
            </w:r>
            <w:proofErr w:type="spellEnd"/>
          </w:p>
        </w:tc>
        <w:tc>
          <w:tcPr>
            <w:tcW w:w="1418" w:type="dxa"/>
          </w:tcPr>
          <w:p w14:paraId="1580DFDE" w14:textId="43A8E80E" w:rsidR="00792D46" w:rsidRPr="0045764A" w:rsidRDefault="0037139D" w:rsidP="00C65330">
            <w:pPr>
              <w:rPr>
                <w:rFonts w:eastAsia="TimesNewRoman"/>
                <w:szCs w:val="22"/>
                <w:lang w:val="sr-Latn-ME"/>
              </w:rPr>
            </w:pPr>
            <w:r w:rsidRPr="0045764A">
              <w:rPr>
                <w:rFonts w:eastAsia="TimesNewRoman"/>
                <w:szCs w:val="22"/>
                <w:lang w:val="sr-Latn-ME"/>
              </w:rPr>
              <w:t>6,5</w:t>
            </w:r>
          </w:p>
        </w:tc>
        <w:tc>
          <w:tcPr>
            <w:tcW w:w="1134" w:type="dxa"/>
          </w:tcPr>
          <w:p w14:paraId="0C190DEF" w14:textId="348B2D36" w:rsidR="00792D46" w:rsidRPr="0045764A" w:rsidRDefault="006139EA" w:rsidP="00C65330">
            <w:pPr>
              <w:rPr>
                <w:rFonts w:eastAsia="TimesNewRoman"/>
                <w:szCs w:val="22"/>
                <w:lang w:val="sr-Latn-ME"/>
              </w:rPr>
            </w:pPr>
            <w:r w:rsidRPr="0045764A">
              <w:rPr>
                <w:rFonts w:eastAsia="TimesNewRoman"/>
                <w:szCs w:val="22"/>
                <w:lang w:val="sr-Latn-ME"/>
              </w:rPr>
              <w:t>1,2</w:t>
            </w:r>
          </w:p>
        </w:tc>
        <w:tc>
          <w:tcPr>
            <w:tcW w:w="1225" w:type="dxa"/>
          </w:tcPr>
          <w:p w14:paraId="38384BD6" w14:textId="5A5250D3" w:rsidR="00792D46" w:rsidRPr="0045764A" w:rsidRDefault="006139EA" w:rsidP="00C65330">
            <w:pPr>
              <w:rPr>
                <w:rFonts w:eastAsia="TimesNewRoman"/>
                <w:szCs w:val="22"/>
                <w:lang w:val="sr-Latn-ME"/>
              </w:rPr>
            </w:pPr>
            <w:r w:rsidRPr="0045764A">
              <w:rPr>
                <w:rFonts w:eastAsia="TimesNewRoman"/>
                <w:szCs w:val="22"/>
                <w:lang w:val="sr-Latn-ME"/>
              </w:rPr>
              <w:t>0</w:t>
            </w:r>
          </w:p>
        </w:tc>
      </w:tr>
      <w:tr w:rsidR="00792D46" w:rsidRPr="0045764A" w14:paraId="014BE33B" w14:textId="77777777" w:rsidTr="001E4272">
        <w:tc>
          <w:tcPr>
            <w:tcW w:w="1838" w:type="dxa"/>
            <w:vMerge/>
          </w:tcPr>
          <w:p w14:paraId="75875CC7" w14:textId="77777777" w:rsidR="00792D46" w:rsidRPr="0045764A" w:rsidRDefault="00792D46" w:rsidP="00654072">
            <w:pPr>
              <w:jc w:val="left"/>
              <w:rPr>
                <w:rFonts w:eastAsia="TimesNewRoman"/>
                <w:szCs w:val="22"/>
                <w:lang w:val="sr-Latn-ME"/>
              </w:rPr>
            </w:pPr>
          </w:p>
        </w:tc>
        <w:tc>
          <w:tcPr>
            <w:tcW w:w="1395" w:type="dxa"/>
            <w:vMerge/>
          </w:tcPr>
          <w:p w14:paraId="64FF3B92" w14:textId="77777777" w:rsidR="00792D46" w:rsidRPr="0045764A" w:rsidRDefault="00792D46" w:rsidP="00C65330">
            <w:pPr>
              <w:rPr>
                <w:rFonts w:eastAsia="TimesNewRoman"/>
                <w:szCs w:val="22"/>
                <w:lang w:val="sr-Latn-ME"/>
              </w:rPr>
            </w:pPr>
          </w:p>
        </w:tc>
        <w:tc>
          <w:tcPr>
            <w:tcW w:w="2007" w:type="dxa"/>
          </w:tcPr>
          <w:p w14:paraId="2E9D44DB" w14:textId="7177A802" w:rsidR="00792D46" w:rsidRPr="0045764A" w:rsidRDefault="00E04637" w:rsidP="00654072">
            <w:pPr>
              <w:jc w:val="left"/>
              <w:rPr>
                <w:rFonts w:eastAsia="TimesNewRoman"/>
                <w:szCs w:val="22"/>
                <w:lang w:val="sr-Latn-ME"/>
              </w:rPr>
            </w:pPr>
            <w:r w:rsidRPr="0045764A">
              <w:rPr>
                <w:rFonts w:eastAsia="TimesNewRoman"/>
                <w:szCs w:val="22"/>
                <w:lang w:val="sr-Latn-ME"/>
              </w:rPr>
              <w:t xml:space="preserve">Povećanje </w:t>
            </w:r>
            <w:proofErr w:type="spellStart"/>
            <w:r w:rsidRPr="0045764A">
              <w:rPr>
                <w:rFonts w:eastAsia="TimesNewRoman"/>
                <w:szCs w:val="22"/>
                <w:lang w:val="sr-Latn-ME"/>
              </w:rPr>
              <w:t>amilaze</w:t>
            </w:r>
            <w:proofErr w:type="spellEnd"/>
          </w:p>
        </w:tc>
        <w:tc>
          <w:tcPr>
            <w:tcW w:w="1418" w:type="dxa"/>
          </w:tcPr>
          <w:p w14:paraId="62673FDA" w14:textId="688CB550" w:rsidR="00792D46" w:rsidRPr="0045764A" w:rsidRDefault="00F40ED2" w:rsidP="00C65330">
            <w:pPr>
              <w:rPr>
                <w:rFonts w:eastAsia="TimesNewRoman"/>
                <w:szCs w:val="22"/>
                <w:lang w:val="sr-Latn-ME"/>
              </w:rPr>
            </w:pPr>
            <w:r w:rsidRPr="0045764A">
              <w:rPr>
                <w:rFonts w:eastAsia="TimesNewRoman"/>
                <w:szCs w:val="22"/>
                <w:lang w:val="sr-Latn-ME"/>
              </w:rPr>
              <w:t>3,4</w:t>
            </w:r>
          </w:p>
        </w:tc>
        <w:tc>
          <w:tcPr>
            <w:tcW w:w="1134" w:type="dxa"/>
          </w:tcPr>
          <w:p w14:paraId="2E09742D" w14:textId="55052DBA" w:rsidR="00792D46" w:rsidRPr="0045764A" w:rsidRDefault="00F40ED2" w:rsidP="00C65330">
            <w:pPr>
              <w:rPr>
                <w:rFonts w:eastAsia="TimesNewRoman"/>
                <w:szCs w:val="22"/>
                <w:lang w:val="sr-Latn-ME"/>
              </w:rPr>
            </w:pPr>
            <w:r w:rsidRPr="0045764A">
              <w:rPr>
                <w:rFonts w:eastAsia="TimesNewRoman"/>
                <w:szCs w:val="22"/>
                <w:lang w:val="sr-Latn-ME"/>
              </w:rPr>
              <w:t>0,6</w:t>
            </w:r>
          </w:p>
        </w:tc>
        <w:tc>
          <w:tcPr>
            <w:tcW w:w="1225" w:type="dxa"/>
          </w:tcPr>
          <w:p w14:paraId="3BBA9DFE" w14:textId="694F877C" w:rsidR="00792D46" w:rsidRPr="0045764A" w:rsidRDefault="00F40ED2" w:rsidP="00C65330">
            <w:pPr>
              <w:rPr>
                <w:rFonts w:eastAsia="TimesNewRoman"/>
                <w:szCs w:val="22"/>
                <w:lang w:val="sr-Latn-ME"/>
              </w:rPr>
            </w:pPr>
            <w:r w:rsidRPr="0045764A">
              <w:rPr>
                <w:rFonts w:eastAsia="TimesNewRoman"/>
                <w:szCs w:val="22"/>
                <w:lang w:val="sr-Latn-ME"/>
              </w:rPr>
              <w:t>0,4</w:t>
            </w:r>
          </w:p>
        </w:tc>
      </w:tr>
      <w:tr w:rsidR="00792D46" w:rsidRPr="0045764A" w14:paraId="2DE2CB05" w14:textId="77777777" w:rsidTr="001E4272">
        <w:tc>
          <w:tcPr>
            <w:tcW w:w="1838" w:type="dxa"/>
            <w:vMerge/>
          </w:tcPr>
          <w:p w14:paraId="65D97569" w14:textId="77777777" w:rsidR="00792D46" w:rsidRPr="0045764A" w:rsidRDefault="00792D46" w:rsidP="00654072">
            <w:pPr>
              <w:jc w:val="left"/>
              <w:rPr>
                <w:rFonts w:eastAsia="TimesNewRoman"/>
                <w:szCs w:val="22"/>
                <w:lang w:val="sr-Latn-ME"/>
              </w:rPr>
            </w:pPr>
          </w:p>
        </w:tc>
        <w:tc>
          <w:tcPr>
            <w:tcW w:w="1395" w:type="dxa"/>
            <w:vMerge/>
          </w:tcPr>
          <w:p w14:paraId="627A3B3F" w14:textId="77777777" w:rsidR="00792D46" w:rsidRPr="0045764A" w:rsidRDefault="00792D46" w:rsidP="00C65330">
            <w:pPr>
              <w:rPr>
                <w:rFonts w:eastAsia="TimesNewRoman"/>
                <w:szCs w:val="22"/>
                <w:lang w:val="sr-Latn-ME"/>
              </w:rPr>
            </w:pPr>
          </w:p>
        </w:tc>
        <w:tc>
          <w:tcPr>
            <w:tcW w:w="2007" w:type="dxa"/>
          </w:tcPr>
          <w:p w14:paraId="72D22425" w14:textId="77777777" w:rsidR="00E56BEA" w:rsidRPr="0045764A" w:rsidRDefault="00E56BEA" w:rsidP="00654072">
            <w:pPr>
              <w:tabs>
                <w:tab w:val="clear" w:pos="284"/>
              </w:tabs>
              <w:autoSpaceDE w:val="0"/>
              <w:autoSpaceDN w:val="0"/>
              <w:adjustRightInd w:val="0"/>
              <w:jc w:val="left"/>
              <w:rPr>
                <w:rFonts w:eastAsia="TimesNewRoman"/>
                <w:szCs w:val="22"/>
                <w:lang w:val="sr-Latn-ME"/>
              </w:rPr>
            </w:pPr>
            <w:r w:rsidRPr="0045764A">
              <w:rPr>
                <w:rFonts w:eastAsia="TimesNewRoman"/>
                <w:szCs w:val="22"/>
                <w:lang w:val="sr-Latn-ME"/>
              </w:rPr>
              <w:t xml:space="preserve">Povećanje </w:t>
            </w:r>
            <w:proofErr w:type="spellStart"/>
            <w:r w:rsidRPr="0045764A">
              <w:rPr>
                <w:rFonts w:eastAsia="TimesNewRoman"/>
                <w:szCs w:val="22"/>
                <w:lang w:val="sr-Latn-ME"/>
              </w:rPr>
              <w:t>aspartat</w:t>
            </w:r>
            <w:proofErr w:type="spellEnd"/>
          </w:p>
          <w:p w14:paraId="063FD4A1" w14:textId="02C199A7" w:rsidR="00792D46" w:rsidRPr="0045764A" w:rsidRDefault="00E56BEA" w:rsidP="00654072">
            <w:pPr>
              <w:jc w:val="left"/>
              <w:rPr>
                <w:rFonts w:eastAsia="TimesNewRoman"/>
                <w:szCs w:val="22"/>
                <w:lang w:val="sr-Latn-ME"/>
              </w:rPr>
            </w:pPr>
            <w:proofErr w:type="spellStart"/>
            <w:r w:rsidRPr="0045764A">
              <w:rPr>
                <w:rFonts w:eastAsia="TimesNewRoman"/>
                <w:szCs w:val="22"/>
                <w:lang w:val="sr-Latn-ME"/>
              </w:rPr>
              <w:t>aminotransferaze</w:t>
            </w:r>
            <w:proofErr w:type="spellEnd"/>
          </w:p>
        </w:tc>
        <w:tc>
          <w:tcPr>
            <w:tcW w:w="1418" w:type="dxa"/>
          </w:tcPr>
          <w:p w14:paraId="59CCD7D0" w14:textId="1C8DE09E" w:rsidR="00792D46" w:rsidRPr="0045764A" w:rsidRDefault="00C434B3" w:rsidP="00C65330">
            <w:pPr>
              <w:rPr>
                <w:rFonts w:eastAsia="TimesNewRoman"/>
                <w:szCs w:val="22"/>
                <w:lang w:val="sr-Latn-ME"/>
              </w:rPr>
            </w:pPr>
            <w:r w:rsidRPr="0045764A">
              <w:rPr>
                <w:rFonts w:eastAsia="TimesNewRoman"/>
                <w:szCs w:val="22"/>
                <w:lang w:val="sr-Latn-ME"/>
              </w:rPr>
              <w:t>6,1</w:t>
            </w:r>
          </w:p>
        </w:tc>
        <w:tc>
          <w:tcPr>
            <w:tcW w:w="1134" w:type="dxa"/>
          </w:tcPr>
          <w:p w14:paraId="228030AA" w14:textId="6428547F" w:rsidR="00792D46" w:rsidRPr="0045764A" w:rsidRDefault="00C434B3" w:rsidP="00C65330">
            <w:pPr>
              <w:rPr>
                <w:rFonts w:eastAsia="TimesNewRoman"/>
                <w:szCs w:val="22"/>
                <w:lang w:val="sr-Latn-ME"/>
              </w:rPr>
            </w:pPr>
            <w:r w:rsidRPr="0045764A">
              <w:rPr>
                <w:rFonts w:eastAsia="TimesNewRoman"/>
                <w:szCs w:val="22"/>
                <w:lang w:val="sr-Latn-ME"/>
              </w:rPr>
              <w:t>1,0</w:t>
            </w:r>
          </w:p>
        </w:tc>
        <w:tc>
          <w:tcPr>
            <w:tcW w:w="1225" w:type="dxa"/>
          </w:tcPr>
          <w:p w14:paraId="2AD7A507" w14:textId="6B43CC59" w:rsidR="00792D46" w:rsidRPr="0045764A" w:rsidRDefault="00C434B3" w:rsidP="00C65330">
            <w:pPr>
              <w:rPr>
                <w:rFonts w:eastAsia="TimesNewRoman"/>
                <w:szCs w:val="22"/>
                <w:lang w:val="sr-Latn-ME"/>
              </w:rPr>
            </w:pPr>
            <w:r w:rsidRPr="0045764A">
              <w:rPr>
                <w:rFonts w:eastAsia="TimesNewRoman"/>
                <w:szCs w:val="22"/>
                <w:lang w:val="sr-Latn-ME"/>
              </w:rPr>
              <w:t>0</w:t>
            </w:r>
          </w:p>
        </w:tc>
      </w:tr>
      <w:tr w:rsidR="00792D46" w:rsidRPr="0045764A" w14:paraId="7E678EAE" w14:textId="77777777" w:rsidTr="001E4272">
        <w:tc>
          <w:tcPr>
            <w:tcW w:w="1838" w:type="dxa"/>
            <w:vMerge/>
          </w:tcPr>
          <w:p w14:paraId="7C7575E9" w14:textId="77777777" w:rsidR="00792D46" w:rsidRPr="0045764A" w:rsidRDefault="00792D46" w:rsidP="00654072">
            <w:pPr>
              <w:jc w:val="left"/>
              <w:rPr>
                <w:rFonts w:eastAsia="TimesNewRoman"/>
                <w:szCs w:val="22"/>
                <w:lang w:val="sr-Latn-ME"/>
              </w:rPr>
            </w:pPr>
          </w:p>
        </w:tc>
        <w:tc>
          <w:tcPr>
            <w:tcW w:w="1395" w:type="dxa"/>
            <w:vMerge/>
          </w:tcPr>
          <w:p w14:paraId="41396CD2" w14:textId="77777777" w:rsidR="00792D46" w:rsidRPr="0045764A" w:rsidRDefault="00792D46" w:rsidP="00C65330">
            <w:pPr>
              <w:rPr>
                <w:rFonts w:eastAsia="TimesNewRoman"/>
                <w:szCs w:val="22"/>
                <w:lang w:val="sr-Latn-ME"/>
              </w:rPr>
            </w:pPr>
          </w:p>
        </w:tc>
        <w:tc>
          <w:tcPr>
            <w:tcW w:w="2007" w:type="dxa"/>
          </w:tcPr>
          <w:p w14:paraId="0283731E" w14:textId="77777777" w:rsidR="002F077E" w:rsidRPr="0045764A" w:rsidRDefault="002F077E" w:rsidP="00654072">
            <w:pPr>
              <w:tabs>
                <w:tab w:val="clear" w:pos="284"/>
              </w:tabs>
              <w:autoSpaceDE w:val="0"/>
              <w:autoSpaceDN w:val="0"/>
              <w:adjustRightInd w:val="0"/>
              <w:jc w:val="left"/>
              <w:rPr>
                <w:rFonts w:eastAsia="TimesNewRoman"/>
                <w:szCs w:val="22"/>
                <w:lang w:val="sr-Latn-ME"/>
              </w:rPr>
            </w:pPr>
            <w:r w:rsidRPr="0045764A">
              <w:rPr>
                <w:rFonts w:eastAsia="TimesNewRoman"/>
                <w:szCs w:val="22"/>
                <w:lang w:val="sr-Latn-ME"/>
              </w:rPr>
              <w:t>Povećanje alkalne</w:t>
            </w:r>
          </w:p>
          <w:p w14:paraId="531093D2" w14:textId="07E3FAA7" w:rsidR="00792D46" w:rsidRPr="0045764A" w:rsidRDefault="002F077E" w:rsidP="00654072">
            <w:pPr>
              <w:jc w:val="left"/>
              <w:rPr>
                <w:rFonts w:eastAsia="TimesNewRoman"/>
                <w:szCs w:val="22"/>
                <w:lang w:val="sr-Latn-ME"/>
              </w:rPr>
            </w:pPr>
            <w:proofErr w:type="spellStart"/>
            <w:r w:rsidRPr="0045764A">
              <w:rPr>
                <w:rFonts w:eastAsia="TimesNewRoman"/>
                <w:szCs w:val="22"/>
                <w:lang w:val="sr-Latn-ME"/>
              </w:rPr>
              <w:t>fosfataze</w:t>
            </w:r>
            <w:proofErr w:type="spellEnd"/>
          </w:p>
        </w:tc>
        <w:tc>
          <w:tcPr>
            <w:tcW w:w="1418" w:type="dxa"/>
          </w:tcPr>
          <w:p w14:paraId="3E03CFD5" w14:textId="43FE3583" w:rsidR="00792D46" w:rsidRPr="0045764A" w:rsidRDefault="00D536EF" w:rsidP="00C65330">
            <w:pPr>
              <w:rPr>
                <w:rFonts w:eastAsia="TimesNewRoman"/>
                <w:szCs w:val="22"/>
                <w:lang w:val="sr-Latn-ME"/>
              </w:rPr>
            </w:pPr>
            <w:r w:rsidRPr="0045764A">
              <w:rPr>
                <w:rFonts w:eastAsia="TimesNewRoman"/>
                <w:szCs w:val="22"/>
                <w:lang w:val="sr-Latn-ME"/>
              </w:rPr>
              <w:t>4,8</w:t>
            </w:r>
          </w:p>
        </w:tc>
        <w:tc>
          <w:tcPr>
            <w:tcW w:w="1134" w:type="dxa"/>
          </w:tcPr>
          <w:p w14:paraId="3348F17A" w14:textId="0B44A6F3" w:rsidR="00792D46" w:rsidRPr="0045764A" w:rsidRDefault="00D536EF" w:rsidP="00C65330">
            <w:pPr>
              <w:rPr>
                <w:rFonts w:eastAsia="TimesNewRoman"/>
                <w:szCs w:val="22"/>
                <w:lang w:val="sr-Latn-ME"/>
              </w:rPr>
            </w:pPr>
            <w:r w:rsidRPr="0045764A">
              <w:rPr>
                <w:rFonts w:eastAsia="TimesNewRoman"/>
                <w:szCs w:val="22"/>
                <w:lang w:val="sr-Latn-ME"/>
              </w:rPr>
              <w:t>0,3</w:t>
            </w:r>
          </w:p>
        </w:tc>
        <w:tc>
          <w:tcPr>
            <w:tcW w:w="1225" w:type="dxa"/>
          </w:tcPr>
          <w:p w14:paraId="106499A8" w14:textId="23035E4E" w:rsidR="00792D46" w:rsidRPr="0045764A" w:rsidRDefault="00C434B3" w:rsidP="00C65330">
            <w:pPr>
              <w:rPr>
                <w:rFonts w:eastAsia="TimesNewRoman"/>
                <w:szCs w:val="22"/>
                <w:lang w:val="sr-Latn-ME"/>
              </w:rPr>
            </w:pPr>
            <w:r w:rsidRPr="0045764A">
              <w:rPr>
                <w:rFonts w:eastAsia="TimesNewRoman"/>
                <w:szCs w:val="22"/>
                <w:lang w:val="sr-Latn-ME"/>
              </w:rPr>
              <w:t>0</w:t>
            </w:r>
          </w:p>
        </w:tc>
      </w:tr>
      <w:tr w:rsidR="00792D46" w:rsidRPr="0045764A" w14:paraId="5A61283F" w14:textId="77777777" w:rsidTr="001E4272">
        <w:tc>
          <w:tcPr>
            <w:tcW w:w="1838" w:type="dxa"/>
            <w:vMerge/>
          </w:tcPr>
          <w:p w14:paraId="4E0F6B0C" w14:textId="77777777" w:rsidR="00792D46" w:rsidRPr="0045764A" w:rsidRDefault="00792D46" w:rsidP="00654072">
            <w:pPr>
              <w:jc w:val="left"/>
              <w:rPr>
                <w:rFonts w:eastAsia="TimesNewRoman"/>
                <w:szCs w:val="22"/>
                <w:lang w:val="sr-Latn-ME"/>
              </w:rPr>
            </w:pPr>
          </w:p>
        </w:tc>
        <w:tc>
          <w:tcPr>
            <w:tcW w:w="1395" w:type="dxa"/>
            <w:vMerge/>
          </w:tcPr>
          <w:p w14:paraId="408A7790" w14:textId="77777777" w:rsidR="00792D46" w:rsidRPr="0045764A" w:rsidRDefault="00792D46" w:rsidP="00C65330">
            <w:pPr>
              <w:rPr>
                <w:rFonts w:eastAsia="TimesNewRoman"/>
                <w:szCs w:val="22"/>
                <w:lang w:val="sr-Latn-ME"/>
              </w:rPr>
            </w:pPr>
          </w:p>
        </w:tc>
        <w:tc>
          <w:tcPr>
            <w:tcW w:w="2007" w:type="dxa"/>
          </w:tcPr>
          <w:p w14:paraId="1B199EBD" w14:textId="481DEE97" w:rsidR="00792D46" w:rsidRPr="0045764A" w:rsidRDefault="002F077E" w:rsidP="00654072">
            <w:pPr>
              <w:jc w:val="left"/>
              <w:rPr>
                <w:rFonts w:eastAsia="TimesNewRoman"/>
                <w:szCs w:val="22"/>
                <w:lang w:val="sr-Latn-ME"/>
              </w:rPr>
            </w:pPr>
            <w:r w:rsidRPr="0045764A">
              <w:rPr>
                <w:rFonts w:eastAsia="TimesNewRoman"/>
                <w:szCs w:val="22"/>
                <w:lang w:val="sr-Latn-ME"/>
              </w:rPr>
              <w:t xml:space="preserve">Povećanje </w:t>
            </w:r>
            <w:proofErr w:type="spellStart"/>
            <w:r w:rsidRPr="0045764A">
              <w:rPr>
                <w:rFonts w:eastAsia="TimesNewRoman"/>
                <w:szCs w:val="22"/>
                <w:lang w:val="sr-Latn-ME"/>
              </w:rPr>
              <w:t>kreatinina</w:t>
            </w:r>
            <w:proofErr w:type="spellEnd"/>
          </w:p>
        </w:tc>
        <w:tc>
          <w:tcPr>
            <w:tcW w:w="1418" w:type="dxa"/>
          </w:tcPr>
          <w:p w14:paraId="40EB80D1" w14:textId="08197F1C" w:rsidR="00792D46" w:rsidRPr="0045764A" w:rsidRDefault="00D536EF" w:rsidP="00C65330">
            <w:pPr>
              <w:rPr>
                <w:rFonts w:eastAsia="TimesNewRoman"/>
                <w:szCs w:val="22"/>
                <w:lang w:val="sr-Latn-ME"/>
              </w:rPr>
            </w:pPr>
            <w:r w:rsidRPr="0045764A">
              <w:rPr>
                <w:rFonts w:eastAsia="TimesNewRoman"/>
                <w:szCs w:val="22"/>
                <w:lang w:val="sr-Latn-ME"/>
              </w:rPr>
              <w:t>5,7</w:t>
            </w:r>
          </w:p>
        </w:tc>
        <w:tc>
          <w:tcPr>
            <w:tcW w:w="1134" w:type="dxa"/>
          </w:tcPr>
          <w:p w14:paraId="25B9A8B2" w14:textId="3F7E7D9B" w:rsidR="00792D46" w:rsidRPr="0045764A" w:rsidRDefault="00D536EF" w:rsidP="00C65330">
            <w:pPr>
              <w:rPr>
                <w:rFonts w:eastAsia="TimesNewRoman"/>
                <w:szCs w:val="22"/>
                <w:lang w:val="sr-Latn-ME"/>
              </w:rPr>
            </w:pPr>
            <w:r w:rsidRPr="0045764A">
              <w:rPr>
                <w:rFonts w:eastAsia="TimesNewRoman"/>
                <w:szCs w:val="22"/>
                <w:lang w:val="sr-Latn-ME"/>
              </w:rPr>
              <w:t>0,4</w:t>
            </w:r>
          </w:p>
        </w:tc>
        <w:tc>
          <w:tcPr>
            <w:tcW w:w="1225" w:type="dxa"/>
          </w:tcPr>
          <w:p w14:paraId="5E89752D" w14:textId="5345A66F" w:rsidR="00792D46" w:rsidRPr="0045764A" w:rsidRDefault="00C434B3" w:rsidP="00C65330">
            <w:pPr>
              <w:rPr>
                <w:rFonts w:eastAsia="TimesNewRoman"/>
                <w:szCs w:val="22"/>
                <w:lang w:val="sr-Latn-ME"/>
              </w:rPr>
            </w:pPr>
            <w:r w:rsidRPr="0045764A">
              <w:rPr>
                <w:rFonts w:eastAsia="TimesNewRoman"/>
                <w:szCs w:val="22"/>
                <w:lang w:val="sr-Latn-ME"/>
              </w:rPr>
              <w:t>0</w:t>
            </w:r>
          </w:p>
        </w:tc>
      </w:tr>
      <w:tr w:rsidR="00792D46" w:rsidRPr="0045764A" w14:paraId="65059072" w14:textId="77777777" w:rsidTr="001E4272">
        <w:tc>
          <w:tcPr>
            <w:tcW w:w="1838" w:type="dxa"/>
            <w:vMerge/>
          </w:tcPr>
          <w:p w14:paraId="71FEB3D4" w14:textId="77777777" w:rsidR="00792D46" w:rsidRPr="0045764A" w:rsidRDefault="00792D46" w:rsidP="00654072">
            <w:pPr>
              <w:jc w:val="left"/>
              <w:rPr>
                <w:rFonts w:eastAsia="TimesNewRoman"/>
                <w:szCs w:val="22"/>
                <w:lang w:val="sr-Latn-ME"/>
              </w:rPr>
            </w:pPr>
          </w:p>
        </w:tc>
        <w:tc>
          <w:tcPr>
            <w:tcW w:w="1395" w:type="dxa"/>
            <w:vMerge/>
          </w:tcPr>
          <w:p w14:paraId="5345D2BC" w14:textId="77777777" w:rsidR="00792D46" w:rsidRPr="0045764A" w:rsidRDefault="00792D46" w:rsidP="00C65330">
            <w:pPr>
              <w:rPr>
                <w:rFonts w:eastAsia="TimesNewRoman"/>
                <w:szCs w:val="22"/>
                <w:lang w:val="sr-Latn-ME"/>
              </w:rPr>
            </w:pPr>
          </w:p>
        </w:tc>
        <w:tc>
          <w:tcPr>
            <w:tcW w:w="2007" w:type="dxa"/>
          </w:tcPr>
          <w:p w14:paraId="2B509997" w14:textId="77777777" w:rsidR="00E02F38" w:rsidRPr="0045764A" w:rsidRDefault="00E02F38" w:rsidP="00654072">
            <w:pPr>
              <w:tabs>
                <w:tab w:val="clear" w:pos="284"/>
              </w:tabs>
              <w:autoSpaceDE w:val="0"/>
              <w:autoSpaceDN w:val="0"/>
              <w:adjustRightInd w:val="0"/>
              <w:jc w:val="left"/>
              <w:rPr>
                <w:rFonts w:eastAsia="TimesNewRoman"/>
                <w:szCs w:val="22"/>
                <w:lang w:val="sr-Latn-ME"/>
              </w:rPr>
            </w:pPr>
            <w:r w:rsidRPr="0045764A">
              <w:rPr>
                <w:rFonts w:eastAsia="TimesNewRoman"/>
                <w:szCs w:val="22"/>
                <w:lang w:val="sr-Latn-ME"/>
              </w:rPr>
              <w:t>Povećanje</w:t>
            </w:r>
          </w:p>
          <w:p w14:paraId="4E21044E" w14:textId="77777777" w:rsidR="00E02F38" w:rsidRPr="0045764A" w:rsidRDefault="00E02F38" w:rsidP="00654072">
            <w:pPr>
              <w:tabs>
                <w:tab w:val="clear" w:pos="284"/>
              </w:tabs>
              <w:autoSpaceDE w:val="0"/>
              <w:autoSpaceDN w:val="0"/>
              <w:adjustRightInd w:val="0"/>
              <w:jc w:val="left"/>
              <w:rPr>
                <w:rFonts w:eastAsia="TimesNewRoman"/>
                <w:szCs w:val="22"/>
                <w:lang w:val="sr-Latn-ME"/>
              </w:rPr>
            </w:pPr>
            <w:proofErr w:type="spellStart"/>
            <w:r w:rsidRPr="0045764A">
              <w:rPr>
                <w:rFonts w:eastAsia="TimesNewRoman"/>
                <w:szCs w:val="22"/>
                <w:lang w:val="sr-Latn-ME"/>
              </w:rPr>
              <w:t>tireostimulirajućeg</w:t>
            </w:r>
            <w:proofErr w:type="spellEnd"/>
          </w:p>
          <w:p w14:paraId="38B266EA" w14:textId="63AF04FE" w:rsidR="00792D46" w:rsidRPr="0045764A" w:rsidRDefault="00E02F38" w:rsidP="00654072">
            <w:pPr>
              <w:jc w:val="left"/>
              <w:rPr>
                <w:rFonts w:eastAsia="TimesNewRoman"/>
                <w:szCs w:val="22"/>
                <w:lang w:val="sr-Latn-ME"/>
              </w:rPr>
            </w:pPr>
            <w:r w:rsidRPr="0045764A">
              <w:rPr>
                <w:rFonts w:eastAsia="TimesNewRoman"/>
                <w:szCs w:val="22"/>
                <w:lang w:val="sr-Latn-ME"/>
              </w:rPr>
              <w:t>hormona</w:t>
            </w:r>
          </w:p>
        </w:tc>
        <w:tc>
          <w:tcPr>
            <w:tcW w:w="1418" w:type="dxa"/>
          </w:tcPr>
          <w:p w14:paraId="2F22F913" w14:textId="48B8F699" w:rsidR="00792D46" w:rsidRPr="0045764A" w:rsidRDefault="00AC6C50" w:rsidP="00C65330">
            <w:pPr>
              <w:rPr>
                <w:rFonts w:eastAsia="TimesNewRoman"/>
                <w:szCs w:val="22"/>
                <w:lang w:val="sr-Latn-ME"/>
              </w:rPr>
            </w:pPr>
            <w:r w:rsidRPr="0045764A">
              <w:rPr>
                <w:rFonts w:eastAsia="TimesNewRoman"/>
                <w:szCs w:val="22"/>
                <w:lang w:val="sr-Latn-ME"/>
              </w:rPr>
              <w:t>7,9</w:t>
            </w:r>
          </w:p>
        </w:tc>
        <w:tc>
          <w:tcPr>
            <w:tcW w:w="1134" w:type="dxa"/>
          </w:tcPr>
          <w:p w14:paraId="6BBA0E1D" w14:textId="7AD91B3A" w:rsidR="00792D46" w:rsidRPr="0045764A" w:rsidRDefault="00AC6C50" w:rsidP="00C65330">
            <w:pPr>
              <w:rPr>
                <w:rFonts w:eastAsia="TimesNewRoman"/>
                <w:szCs w:val="22"/>
                <w:lang w:val="sr-Latn-ME"/>
              </w:rPr>
            </w:pPr>
            <w:r w:rsidRPr="0045764A">
              <w:rPr>
                <w:rFonts w:eastAsia="TimesNewRoman"/>
                <w:szCs w:val="22"/>
                <w:lang w:val="sr-Latn-ME"/>
              </w:rPr>
              <w:t>0</w:t>
            </w:r>
          </w:p>
        </w:tc>
        <w:tc>
          <w:tcPr>
            <w:tcW w:w="1225" w:type="dxa"/>
          </w:tcPr>
          <w:p w14:paraId="5BBC61EC" w14:textId="320ED0D5" w:rsidR="00792D46" w:rsidRPr="0045764A" w:rsidRDefault="00C434B3" w:rsidP="00C65330">
            <w:pPr>
              <w:rPr>
                <w:rFonts w:eastAsia="TimesNewRoman"/>
                <w:szCs w:val="22"/>
                <w:lang w:val="sr-Latn-ME"/>
              </w:rPr>
            </w:pPr>
            <w:r w:rsidRPr="0045764A">
              <w:rPr>
                <w:rFonts w:eastAsia="TimesNewRoman"/>
                <w:szCs w:val="22"/>
                <w:lang w:val="sr-Latn-ME"/>
              </w:rPr>
              <w:t>0</w:t>
            </w:r>
          </w:p>
        </w:tc>
      </w:tr>
    </w:tbl>
    <w:p w14:paraId="0AA24E67" w14:textId="7DF99252" w:rsidR="00345365" w:rsidRPr="0045764A" w:rsidRDefault="00345365" w:rsidP="00654072">
      <w:pPr>
        <w:pStyle w:val="ListParagraph"/>
        <w:numPr>
          <w:ilvl w:val="0"/>
          <w:numId w:val="4"/>
        </w:numPr>
        <w:tabs>
          <w:tab w:val="clear" w:pos="284"/>
        </w:tabs>
        <w:autoSpaceDE w:val="0"/>
        <w:autoSpaceDN w:val="0"/>
        <w:adjustRightInd w:val="0"/>
        <w:ind w:left="142" w:hanging="142"/>
        <w:rPr>
          <w:rFonts w:eastAsia="TimesNewRoman"/>
          <w:szCs w:val="22"/>
          <w:lang w:val="sr-Latn-ME"/>
        </w:rPr>
      </w:pPr>
      <w:r w:rsidRPr="0045764A">
        <w:rPr>
          <w:rFonts w:eastAsia="TimesNewRoman"/>
          <w:szCs w:val="22"/>
          <w:lang w:val="sr-Latn-ME"/>
        </w:rPr>
        <w:t xml:space="preserve">Učestalost terapijom izazvanih neželjenih </w:t>
      </w:r>
      <w:r w:rsidR="007A7462" w:rsidRPr="0045764A">
        <w:rPr>
          <w:rFonts w:eastAsia="TimesNewRoman"/>
          <w:szCs w:val="22"/>
          <w:lang w:val="sr-Latn-ME"/>
        </w:rPr>
        <w:t>dejstava</w:t>
      </w:r>
      <w:r w:rsidR="00BB6DE9" w:rsidRPr="0045764A">
        <w:rPr>
          <w:rFonts w:eastAsia="TimesNewRoman"/>
          <w:szCs w:val="22"/>
          <w:lang w:val="sr-Latn-ME"/>
        </w:rPr>
        <w:t>,</w:t>
      </w:r>
      <w:r w:rsidRPr="0045764A">
        <w:rPr>
          <w:rFonts w:eastAsia="TimesNewRoman"/>
          <w:szCs w:val="22"/>
          <w:lang w:val="sr-Latn-ME"/>
        </w:rPr>
        <w:t xml:space="preserve"> prema svim uzrocima</w:t>
      </w:r>
      <w:r w:rsidR="00E22809" w:rsidRPr="0045764A">
        <w:rPr>
          <w:rFonts w:eastAsia="TimesNewRoman"/>
          <w:szCs w:val="22"/>
          <w:lang w:val="sr-Latn-ME"/>
        </w:rPr>
        <w:t>.</w:t>
      </w:r>
    </w:p>
    <w:p w14:paraId="0FA68E07" w14:textId="4D68D843" w:rsidR="00345365" w:rsidRPr="0045764A" w:rsidRDefault="00345365" w:rsidP="00654072">
      <w:pPr>
        <w:pStyle w:val="ListParagraph"/>
        <w:numPr>
          <w:ilvl w:val="0"/>
          <w:numId w:val="4"/>
        </w:numPr>
        <w:tabs>
          <w:tab w:val="clear" w:pos="284"/>
        </w:tabs>
        <w:autoSpaceDE w:val="0"/>
        <w:autoSpaceDN w:val="0"/>
        <w:adjustRightInd w:val="0"/>
        <w:ind w:left="142" w:hanging="142"/>
        <w:rPr>
          <w:rFonts w:eastAsia="TimesNewRoman"/>
          <w:szCs w:val="22"/>
          <w:lang w:val="sr-Latn-ME"/>
        </w:rPr>
      </w:pPr>
      <w:r w:rsidRPr="0045764A">
        <w:rPr>
          <w:rFonts w:eastAsia="TimesNewRoman"/>
          <w:szCs w:val="22"/>
          <w:lang w:val="sr-Latn-ME"/>
        </w:rPr>
        <w:t>Kriterijumi standardne terminologije za neželjen</w:t>
      </w:r>
      <w:r w:rsidR="007A7462" w:rsidRPr="0045764A">
        <w:rPr>
          <w:rFonts w:eastAsia="TimesNewRoman"/>
          <w:szCs w:val="22"/>
          <w:lang w:val="sr-Latn-ME"/>
        </w:rPr>
        <w:t>a</w:t>
      </w:r>
      <w:r w:rsidRPr="0045764A">
        <w:rPr>
          <w:rFonts w:eastAsia="TimesNewRoman"/>
          <w:szCs w:val="22"/>
          <w:lang w:val="sr-Latn-ME"/>
        </w:rPr>
        <w:t xml:space="preserve"> </w:t>
      </w:r>
      <w:r w:rsidR="007A7462" w:rsidRPr="0045764A">
        <w:rPr>
          <w:rFonts w:eastAsia="TimesNewRoman"/>
          <w:szCs w:val="22"/>
          <w:lang w:val="sr-Latn-ME"/>
        </w:rPr>
        <w:t xml:space="preserve">dejstva </w:t>
      </w:r>
      <w:r w:rsidRPr="0045764A">
        <w:rPr>
          <w:rFonts w:eastAsia="TimesNewRoman"/>
          <w:szCs w:val="22"/>
          <w:lang w:val="sr-Latn-ME"/>
        </w:rPr>
        <w:t>Nacionalnog instituta za rak, verzija 3.0</w:t>
      </w:r>
      <w:r w:rsidR="00D90844" w:rsidRPr="0045764A">
        <w:rPr>
          <w:rFonts w:eastAsia="TimesNewRoman"/>
          <w:szCs w:val="22"/>
          <w:lang w:val="sr-Latn-ME"/>
        </w:rPr>
        <w:t>.</w:t>
      </w:r>
    </w:p>
    <w:p w14:paraId="03A35666" w14:textId="3846F616" w:rsidR="00345365" w:rsidRPr="0045764A" w:rsidRDefault="006F7AEE" w:rsidP="00654072">
      <w:pPr>
        <w:pStyle w:val="ListParagraph"/>
        <w:numPr>
          <w:ilvl w:val="0"/>
          <w:numId w:val="4"/>
        </w:numPr>
        <w:tabs>
          <w:tab w:val="clear" w:pos="284"/>
        </w:tabs>
        <w:autoSpaceDE w:val="0"/>
        <w:autoSpaceDN w:val="0"/>
        <w:adjustRightInd w:val="0"/>
        <w:ind w:left="142" w:hanging="142"/>
        <w:rPr>
          <w:rFonts w:eastAsia="TimesNewRoman"/>
          <w:szCs w:val="22"/>
          <w:lang w:val="sr-Latn-ME"/>
        </w:rPr>
      </w:pPr>
      <w:r w:rsidRPr="0045764A">
        <w:rPr>
          <w:rFonts w:eastAsia="TimesNewRoman"/>
          <w:szCs w:val="22"/>
          <w:lang w:val="sr-Latn-ME"/>
        </w:rPr>
        <w:t>Pogledati dio</w:t>
      </w:r>
      <w:r w:rsidR="00345365" w:rsidRPr="0045764A">
        <w:rPr>
          <w:rFonts w:eastAsia="TimesNewRoman"/>
          <w:szCs w:val="22"/>
          <w:lang w:val="sr-Latn-ME"/>
        </w:rPr>
        <w:t xml:space="preserve"> </w:t>
      </w:r>
      <w:r w:rsidR="00527066" w:rsidRPr="0045764A">
        <w:rPr>
          <w:rFonts w:eastAsia="TimesNewRoman"/>
          <w:szCs w:val="22"/>
          <w:lang w:val="sr-Latn-ME"/>
        </w:rPr>
        <w:t>„</w:t>
      </w:r>
      <w:r w:rsidR="00345365" w:rsidRPr="0045764A">
        <w:rPr>
          <w:rFonts w:eastAsia="TimesNewRoman"/>
          <w:szCs w:val="22"/>
          <w:lang w:val="sr-Latn-ME"/>
        </w:rPr>
        <w:t xml:space="preserve">Opis odabranih neželjenih </w:t>
      </w:r>
      <w:r w:rsidR="007A7462" w:rsidRPr="0045764A">
        <w:rPr>
          <w:rFonts w:eastAsia="TimesNewRoman"/>
          <w:szCs w:val="22"/>
          <w:lang w:val="sr-Latn-ME"/>
        </w:rPr>
        <w:t>dejstava</w:t>
      </w:r>
      <w:r w:rsidR="00527066" w:rsidRPr="0045764A">
        <w:rPr>
          <w:rFonts w:eastAsia="TimesNewRoman"/>
          <w:szCs w:val="22"/>
          <w:lang w:val="sr-Latn-ME"/>
        </w:rPr>
        <w:t>“</w:t>
      </w:r>
      <w:r w:rsidR="00E22809" w:rsidRPr="0045764A">
        <w:rPr>
          <w:rFonts w:eastAsia="TimesNewRoman"/>
          <w:szCs w:val="22"/>
          <w:lang w:val="sr-Latn-ME"/>
        </w:rPr>
        <w:t>.</w:t>
      </w:r>
    </w:p>
    <w:p w14:paraId="2C362ED8" w14:textId="1A7A4B3E" w:rsidR="00345365" w:rsidRPr="0045764A" w:rsidRDefault="00345365" w:rsidP="00654072">
      <w:pPr>
        <w:pStyle w:val="ListParagraph"/>
        <w:numPr>
          <w:ilvl w:val="0"/>
          <w:numId w:val="4"/>
        </w:numPr>
        <w:tabs>
          <w:tab w:val="clear" w:pos="284"/>
        </w:tabs>
        <w:autoSpaceDE w:val="0"/>
        <w:autoSpaceDN w:val="0"/>
        <w:adjustRightInd w:val="0"/>
        <w:ind w:left="142" w:hanging="142"/>
        <w:rPr>
          <w:rFonts w:eastAsia="TimesNewRoman"/>
          <w:szCs w:val="22"/>
          <w:lang w:val="sr-Latn-ME"/>
        </w:rPr>
      </w:pPr>
      <w:r w:rsidRPr="0045764A">
        <w:rPr>
          <w:rFonts w:eastAsia="TimesNewRoman"/>
          <w:szCs w:val="22"/>
          <w:lang w:val="sr-Latn-ME"/>
        </w:rPr>
        <w:t>Prijavljeni su fatalni (Gradus 5) slučajevi</w:t>
      </w:r>
      <w:r w:rsidR="00E22809" w:rsidRPr="0045764A">
        <w:rPr>
          <w:rFonts w:eastAsia="TimesNewRoman"/>
          <w:szCs w:val="22"/>
          <w:lang w:val="sr-Latn-ME"/>
        </w:rPr>
        <w:t>.</w:t>
      </w:r>
    </w:p>
    <w:p w14:paraId="35AFD941" w14:textId="60A55952" w:rsidR="00345365" w:rsidRPr="0045764A" w:rsidRDefault="00345365" w:rsidP="00654072">
      <w:pPr>
        <w:pStyle w:val="ListParagraph"/>
        <w:numPr>
          <w:ilvl w:val="0"/>
          <w:numId w:val="4"/>
        </w:numPr>
        <w:tabs>
          <w:tab w:val="clear" w:pos="284"/>
        </w:tabs>
        <w:autoSpaceDE w:val="0"/>
        <w:autoSpaceDN w:val="0"/>
        <w:adjustRightInd w:val="0"/>
        <w:ind w:left="142" w:hanging="142"/>
        <w:rPr>
          <w:rFonts w:eastAsia="TimesNewRoman"/>
          <w:szCs w:val="22"/>
          <w:lang w:val="sr-Latn-ME"/>
        </w:rPr>
      </w:pPr>
      <w:r w:rsidRPr="0045764A">
        <w:rPr>
          <w:rFonts w:eastAsia="TimesNewRoman"/>
          <w:szCs w:val="22"/>
          <w:lang w:val="sr-Latn-ME"/>
        </w:rPr>
        <w:t xml:space="preserve">Uključujući </w:t>
      </w:r>
      <w:proofErr w:type="spellStart"/>
      <w:r w:rsidRPr="0045764A">
        <w:rPr>
          <w:rFonts w:eastAsia="TimesNewRoman"/>
          <w:szCs w:val="22"/>
          <w:lang w:val="sr-Latn-ME"/>
        </w:rPr>
        <w:t>leukoencefalopatiju</w:t>
      </w:r>
      <w:proofErr w:type="spellEnd"/>
      <w:r w:rsidR="00E22809" w:rsidRPr="0045764A">
        <w:rPr>
          <w:rFonts w:eastAsia="TimesNewRoman"/>
          <w:szCs w:val="22"/>
          <w:lang w:val="sr-Latn-ME"/>
        </w:rPr>
        <w:t>.</w:t>
      </w:r>
    </w:p>
    <w:p w14:paraId="2C8DC0A0" w14:textId="426089C9" w:rsidR="00345365" w:rsidRPr="0045764A" w:rsidRDefault="00345365" w:rsidP="00654072">
      <w:pPr>
        <w:pStyle w:val="ListParagraph"/>
        <w:numPr>
          <w:ilvl w:val="0"/>
          <w:numId w:val="4"/>
        </w:numPr>
        <w:tabs>
          <w:tab w:val="clear" w:pos="284"/>
        </w:tabs>
        <w:autoSpaceDE w:val="0"/>
        <w:autoSpaceDN w:val="0"/>
        <w:adjustRightInd w:val="0"/>
        <w:ind w:left="142" w:hanging="142"/>
        <w:rPr>
          <w:rFonts w:eastAsia="TimesNewRoman"/>
          <w:szCs w:val="22"/>
          <w:lang w:val="sr-Latn-ME"/>
        </w:rPr>
      </w:pPr>
      <w:r w:rsidRPr="0045764A">
        <w:rPr>
          <w:rFonts w:eastAsia="TimesNewRoman"/>
          <w:szCs w:val="22"/>
          <w:lang w:val="sr-Latn-ME"/>
        </w:rPr>
        <w:t xml:space="preserve">Uključujući srčanu </w:t>
      </w:r>
      <w:proofErr w:type="spellStart"/>
      <w:r w:rsidRPr="0045764A">
        <w:rPr>
          <w:rFonts w:eastAsia="TimesNewRoman"/>
          <w:szCs w:val="22"/>
          <w:lang w:val="sr-Latn-ME"/>
        </w:rPr>
        <w:t>insuficijenciju</w:t>
      </w:r>
      <w:proofErr w:type="spellEnd"/>
      <w:r w:rsidRPr="0045764A">
        <w:rPr>
          <w:rFonts w:eastAsia="TimesNewRoman"/>
          <w:szCs w:val="22"/>
          <w:lang w:val="sr-Latn-ME"/>
        </w:rPr>
        <w:t xml:space="preserve">, </w:t>
      </w:r>
      <w:proofErr w:type="spellStart"/>
      <w:r w:rsidRPr="0045764A">
        <w:rPr>
          <w:rFonts w:eastAsia="TimesNewRoman"/>
          <w:szCs w:val="22"/>
          <w:lang w:val="sr-Latn-ME"/>
        </w:rPr>
        <w:t>kongestivnu</w:t>
      </w:r>
      <w:proofErr w:type="spellEnd"/>
      <w:r w:rsidRPr="0045764A">
        <w:rPr>
          <w:rFonts w:eastAsia="TimesNewRoman"/>
          <w:szCs w:val="22"/>
          <w:lang w:val="sr-Latn-ME"/>
        </w:rPr>
        <w:t xml:space="preserve"> srčanu </w:t>
      </w:r>
      <w:proofErr w:type="spellStart"/>
      <w:r w:rsidRPr="0045764A">
        <w:rPr>
          <w:rFonts w:eastAsia="TimesNewRoman"/>
          <w:szCs w:val="22"/>
          <w:lang w:val="sr-Latn-ME"/>
        </w:rPr>
        <w:t>insuficijenciju</w:t>
      </w:r>
      <w:proofErr w:type="spellEnd"/>
      <w:r w:rsidRPr="0045764A">
        <w:rPr>
          <w:rFonts w:eastAsia="TimesNewRoman"/>
          <w:szCs w:val="22"/>
          <w:lang w:val="sr-Latn-ME"/>
        </w:rPr>
        <w:t xml:space="preserve">, </w:t>
      </w:r>
      <w:proofErr w:type="spellStart"/>
      <w:r w:rsidRPr="0045764A">
        <w:rPr>
          <w:rFonts w:eastAsia="TimesNewRoman"/>
          <w:szCs w:val="22"/>
          <w:lang w:val="sr-Latn-ME"/>
        </w:rPr>
        <w:t>kardiopulmonarnu</w:t>
      </w:r>
      <w:proofErr w:type="spellEnd"/>
      <w:r w:rsidRPr="0045764A">
        <w:rPr>
          <w:rFonts w:eastAsia="TimesNewRoman"/>
          <w:szCs w:val="22"/>
          <w:lang w:val="sr-Latn-ME"/>
        </w:rPr>
        <w:t xml:space="preserve"> </w:t>
      </w:r>
      <w:proofErr w:type="spellStart"/>
      <w:r w:rsidRPr="0045764A">
        <w:rPr>
          <w:rFonts w:eastAsia="TimesNewRoman"/>
          <w:szCs w:val="22"/>
          <w:lang w:val="sr-Latn-ME"/>
        </w:rPr>
        <w:t>insuficijenciju</w:t>
      </w:r>
      <w:proofErr w:type="spellEnd"/>
      <w:r w:rsidRPr="0045764A">
        <w:rPr>
          <w:rFonts w:eastAsia="TimesNewRoman"/>
          <w:szCs w:val="22"/>
          <w:lang w:val="sr-Latn-ME"/>
        </w:rPr>
        <w:t>, smanjenu</w:t>
      </w:r>
      <w:r w:rsidR="003F1C6B" w:rsidRPr="0045764A">
        <w:rPr>
          <w:rFonts w:eastAsia="TimesNewRoman"/>
          <w:szCs w:val="22"/>
          <w:lang w:val="sr-Latn-ME"/>
        </w:rPr>
        <w:t xml:space="preserve"> </w:t>
      </w:r>
      <w:proofErr w:type="spellStart"/>
      <w:r w:rsidRPr="0045764A">
        <w:rPr>
          <w:rFonts w:eastAsia="TimesNewRoman"/>
          <w:szCs w:val="22"/>
          <w:lang w:val="sr-Latn-ME"/>
        </w:rPr>
        <w:t>ejekcionu</w:t>
      </w:r>
      <w:proofErr w:type="spellEnd"/>
      <w:r w:rsidRPr="0045764A">
        <w:rPr>
          <w:rFonts w:eastAsia="TimesNewRoman"/>
          <w:szCs w:val="22"/>
          <w:lang w:val="sr-Latn-ME"/>
        </w:rPr>
        <w:t xml:space="preserve"> frakciju, </w:t>
      </w:r>
      <w:proofErr w:type="spellStart"/>
      <w:r w:rsidRPr="0045764A">
        <w:rPr>
          <w:rFonts w:eastAsia="TimesNewRoman"/>
          <w:szCs w:val="22"/>
          <w:lang w:val="sr-Latn-ME"/>
        </w:rPr>
        <w:t>disfunkciju</w:t>
      </w:r>
      <w:proofErr w:type="spellEnd"/>
      <w:r w:rsidRPr="0045764A">
        <w:rPr>
          <w:rFonts w:eastAsia="TimesNewRoman"/>
          <w:szCs w:val="22"/>
          <w:lang w:val="sr-Latn-ME"/>
        </w:rPr>
        <w:t xml:space="preserve"> l</w:t>
      </w:r>
      <w:r w:rsidR="0097523F" w:rsidRPr="0045764A">
        <w:rPr>
          <w:rFonts w:eastAsia="TimesNewRoman"/>
          <w:szCs w:val="22"/>
          <w:lang w:val="sr-Latn-ME"/>
        </w:rPr>
        <w:t>ij</w:t>
      </w:r>
      <w:r w:rsidRPr="0045764A">
        <w:rPr>
          <w:rFonts w:eastAsia="TimesNewRoman"/>
          <w:szCs w:val="22"/>
          <w:lang w:val="sr-Latn-ME"/>
        </w:rPr>
        <w:t xml:space="preserve">eve komore i </w:t>
      </w:r>
      <w:proofErr w:type="spellStart"/>
      <w:r w:rsidRPr="0045764A">
        <w:rPr>
          <w:rFonts w:eastAsia="TimesNewRoman"/>
          <w:szCs w:val="22"/>
          <w:lang w:val="sr-Latn-ME"/>
        </w:rPr>
        <w:t>insuficijenciju</w:t>
      </w:r>
      <w:proofErr w:type="spellEnd"/>
      <w:r w:rsidRPr="0045764A">
        <w:rPr>
          <w:rFonts w:eastAsia="TimesNewRoman"/>
          <w:szCs w:val="22"/>
          <w:lang w:val="sr-Latn-ME"/>
        </w:rPr>
        <w:t xml:space="preserve"> desne komore.</w:t>
      </w:r>
    </w:p>
    <w:p w14:paraId="5523922A" w14:textId="0C92CC8C" w:rsidR="00345365" w:rsidRPr="0045764A" w:rsidRDefault="00345365" w:rsidP="00654072">
      <w:pPr>
        <w:pStyle w:val="ListParagraph"/>
        <w:numPr>
          <w:ilvl w:val="0"/>
          <w:numId w:val="4"/>
        </w:numPr>
        <w:tabs>
          <w:tab w:val="clear" w:pos="284"/>
        </w:tabs>
        <w:autoSpaceDE w:val="0"/>
        <w:autoSpaceDN w:val="0"/>
        <w:adjustRightInd w:val="0"/>
        <w:ind w:left="142" w:hanging="142"/>
        <w:rPr>
          <w:rFonts w:eastAsia="TimesNewRoman"/>
          <w:szCs w:val="22"/>
          <w:lang w:val="sr-Latn-ME"/>
        </w:rPr>
      </w:pPr>
      <w:r w:rsidRPr="0045764A">
        <w:rPr>
          <w:rFonts w:eastAsia="TimesNewRoman"/>
          <w:szCs w:val="22"/>
          <w:lang w:val="sr-Latn-ME"/>
        </w:rPr>
        <w:t xml:space="preserve">Uključujući malignu hipertenziju, povećan krvni pritisak, hipertenziju i </w:t>
      </w:r>
      <w:proofErr w:type="spellStart"/>
      <w:r w:rsidRPr="0045764A">
        <w:rPr>
          <w:rFonts w:eastAsia="TimesNewRoman"/>
          <w:szCs w:val="22"/>
          <w:lang w:val="sr-Latn-ME"/>
        </w:rPr>
        <w:t>hipertenzivnu</w:t>
      </w:r>
      <w:proofErr w:type="spellEnd"/>
      <w:r w:rsidRPr="0045764A">
        <w:rPr>
          <w:rFonts w:eastAsia="TimesNewRoman"/>
          <w:szCs w:val="22"/>
          <w:lang w:val="sr-Latn-ME"/>
        </w:rPr>
        <w:t xml:space="preserve"> krizu.</w:t>
      </w:r>
    </w:p>
    <w:p w14:paraId="59C7C6BC" w14:textId="76BDD93E" w:rsidR="00345365" w:rsidRPr="0045764A" w:rsidRDefault="00345365" w:rsidP="00654072">
      <w:pPr>
        <w:pStyle w:val="ListParagraph"/>
        <w:numPr>
          <w:ilvl w:val="0"/>
          <w:numId w:val="4"/>
        </w:numPr>
        <w:tabs>
          <w:tab w:val="clear" w:pos="284"/>
        </w:tabs>
        <w:autoSpaceDE w:val="0"/>
        <w:autoSpaceDN w:val="0"/>
        <w:adjustRightInd w:val="0"/>
        <w:ind w:left="142" w:hanging="142"/>
        <w:rPr>
          <w:rFonts w:eastAsia="TimesNewRoman"/>
          <w:szCs w:val="22"/>
          <w:lang w:val="sr-Latn-ME"/>
        </w:rPr>
      </w:pPr>
      <w:r w:rsidRPr="0045764A">
        <w:rPr>
          <w:rFonts w:eastAsia="TimesNewRoman"/>
          <w:szCs w:val="22"/>
          <w:lang w:val="sr-Latn-ME"/>
        </w:rPr>
        <w:t xml:space="preserve">Uključujući produženo aktivirano parcijalno </w:t>
      </w:r>
      <w:proofErr w:type="spellStart"/>
      <w:r w:rsidRPr="0045764A">
        <w:rPr>
          <w:rFonts w:eastAsia="TimesNewRoman"/>
          <w:szCs w:val="22"/>
          <w:lang w:val="sr-Latn-ME"/>
        </w:rPr>
        <w:t>tromboplastinsko</w:t>
      </w:r>
      <w:proofErr w:type="spellEnd"/>
      <w:r w:rsidRPr="0045764A">
        <w:rPr>
          <w:rFonts w:eastAsia="TimesNewRoman"/>
          <w:szCs w:val="22"/>
          <w:lang w:val="sr-Latn-ME"/>
        </w:rPr>
        <w:t xml:space="preserve"> vr</w:t>
      </w:r>
      <w:r w:rsidR="0097523F" w:rsidRPr="0045764A">
        <w:rPr>
          <w:rFonts w:eastAsia="TimesNewRoman"/>
          <w:szCs w:val="22"/>
          <w:lang w:val="sr-Latn-ME"/>
        </w:rPr>
        <w:t>ij</w:t>
      </w:r>
      <w:r w:rsidRPr="0045764A">
        <w:rPr>
          <w:rFonts w:eastAsia="TimesNewRoman"/>
          <w:szCs w:val="22"/>
          <w:lang w:val="sr-Latn-ME"/>
        </w:rPr>
        <w:t>eme, analno krvarenje, arterijsko krvarenje, prisu</w:t>
      </w:r>
      <w:r w:rsidR="0002610E" w:rsidRPr="0045764A">
        <w:rPr>
          <w:rFonts w:eastAsia="TimesNewRoman"/>
          <w:szCs w:val="22"/>
          <w:lang w:val="sr-Latn-ME"/>
        </w:rPr>
        <w:t>s</w:t>
      </w:r>
      <w:r w:rsidRPr="0045764A">
        <w:rPr>
          <w:rFonts w:eastAsia="TimesNewRoman"/>
          <w:szCs w:val="22"/>
          <w:lang w:val="sr-Latn-ME"/>
        </w:rPr>
        <w:t>tvo</w:t>
      </w:r>
      <w:r w:rsidR="003F1C6B" w:rsidRPr="0045764A">
        <w:rPr>
          <w:rFonts w:eastAsia="TimesNewRoman"/>
          <w:szCs w:val="22"/>
          <w:lang w:val="sr-Latn-ME"/>
        </w:rPr>
        <w:t xml:space="preserve"> </w:t>
      </w:r>
      <w:r w:rsidRPr="0045764A">
        <w:rPr>
          <w:rFonts w:eastAsia="TimesNewRoman"/>
          <w:szCs w:val="22"/>
          <w:lang w:val="sr-Latn-ME"/>
        </w:rPr>
        <w:t>krvi u urinu, krvarenje u centralnom nervnom sistemu, cerebralno krvarenje, produženo vr</w:t>
      </w:r>
      <w:r w:rsidR="0097523F" w:rsidRPr="0045764A">
        <w:rPr>
          <w:rFonts w:eastAsia="TimesNewRoman"/>
          <w:szCs w:val="22"/>
          <w:lang w:val="sr-Latn-ME"/>
        </w:rPr>
        <w:t>ij</w:t>
      </w:r>
      <w:r w:rsidRPr="0045764A">
        <w:rPr>
          <w:rFonts w:eastAsia="TimesNewRoman"/>
          <w:szCs w:val="22"/>
          <w:lang w:val="sr-Latn-ME"/>
        </w:rPr>
        <w:t>eme koagulacije, krvarenje</w:t>
      </w:r>
      <w:r w:rsidR="003F1C6B" w:rsidRPr="0045764A">
        <w:rPr>
          <w:rFonts w:eastAsia="TimesNewRoman"/>
          <w:szCs w:val="22"/>
          <w:lang w:val="sr-Latn-ME"/>
        </w:rPr>
        <w:t xml:space="preserve"> </w:t>
      </w:r>
      <w:r w:rsidRPr="0045764A">
        <w:rPr>
          <w:rFonts w:eastAsia="TimesNewRoman"/>
          <w:szCs w:val="22"/>
          <w:lang w:val="sr-Latn-ME"/>
        </w:rPr>
        <w:t>konju</w:t>
      </w:r>
      <w:r w:rsidR="003F1C6B" w:rsidRPr="0045764A">
        <w:rPr>
          <w:rFonts w:eastAsia="TimesNewRoman"/>
          <w:szCs w:val="22"/>
          <w:lang w:val="sr-Latn-ME"/>
        </w:rPr>
        <w:t>n</w:t>
      </w:r>
      <w:r w:rsidRPr="0045764A">
        <w:rPr>
          <w:rFonts w:eastAsia="TimesNewRoman"/>
          <w:szCs w:val="22"/>
          <w:lang w:val="sr-Latn-ME"/>
        </w:rPr>
        <w:t xml:space="preserve">ktive, kontuziju, </w:t>
      </w:r>
      <w:proofErr w:type="spellStart"/>
      <w:r w:rsidRPr="0045764A">
        <w:rPr>
          <w:rFonts w:eastAsia="TimesNewRoman"/>
          <w:szCs w:val="22"/>
          <w:lang w:val="sr-Latn-ME"/>
        </w:rPr>
        <w:t>hemoragijsku</w:t>
      </w:r>
      <w:proofErr w:type="spellEnd"/>
      <w:r w:rsidRPr="0045764A">
        <w:rPr>
          <w:rFonts w:eastAsia="TimesNewRoman"/>
          <w:szCs w:val="22"/>
          <w:lang w:val="sr-Latn-ME"/>
        </w:rPr>
        <w:t xml:space="preserve"> dijareju, </w:t>
      </w:r>
      <w:proofErr w:type="spellStart"/>
      <w:r w:rsidRPr="0045764A">
        <w:rPr>
          <w:rFonts w:eastAsia="TimesNewRoman"/>
          <w:szCs w:val="22"/>
          <w:lang w:val="sr-Latn-ME"/>
        </w:rPr>
        <w:t>disfunkcionalno</w:t>
      </w:r>
      <w:proofErr w:type="spellEnd"/>
      <w:r w:rsidRPr="0045764A">
        <w:rPr>
          <w:rFonts w:eastAsia="TimesNewRoman"/>
          <w:szCs w:val="22"/>
          <w:lang w:val="sr-Latn-ME"/>
        </w:rPr>
        <w:t xml:space="preserve"> krvarenje materice, </w:t>
      </w:r>
      <w:proofErr w:type="spellStart"/>
      <w:r w:rsidRPr="0045764A">
        <w:rPr>
          <w:rFonts w:eastAsia="TimesNewRoman"/>
          <w:szCs w:val="22"/>
          <w:lang w:val="sr-Latn-ME"/>
        </w:rPr>
        <w:t>epistaksu</w:t>
      </w:r>
      <w:proofErr w:type="spellEnd"/>
      <w:r w:rsidRPr="0045764A">
        <w:rPr>
          <w:rFonts w:eastAsia="TimesNewRoman"/>
          <w:szCs w:val="22"/>
          <w:lang w:val="sr-Latn-ME"/>
        </w:rPr>
        <w:t xml:space="preserve">, </w:t>
      </w:r>
      <w:proofErr w:type="spellStart"/>
      <w:r w:rsidRPr="0045764A">
        <w:rPr>
          <w:rFonts w:eastAsia="TimesNewRoman"/>
          <w:szCs w:val="22"/>
          <w:lang w:val="sr-Latn-ME"/>
        </w:rPr>
        <w:t>gastrično</w:t>
      </w:r>
      <w:proofErr w:type="spellEnd"/>
      <w:r w:rsidRPr="0045764A">
        <w:rPr>
          <w:rFonts w:eastAsia="TimesNewRoman"/>
          <w:szCs w:val="22"/>
          <w:lang w:val="sr-Latn-ME"/>
        </w:rPr>
        <w:t xml:space="preserve"> krvarenje,</w:t>
      </w:r>
      <w:r w:rsidR="003F1C6B" w:rsidRPr="0045764A">
        <w:rPr>
          <w:rFonts w:eastAsia="TimesNewRoman"/>
          <w:szCs w:val="22"/>
          <w:lang w:val="sr-Latn-ME"/>
        </w:rPr>
        <w:t xml:space="preserve"> </w:t>
      </w:r>
      <w:r w:rsidRPr="0045764A">
        <w:rPr>
          <w:rFonts w:eastAsia="TimesNewRoman"/>
          <w:szCs w:val="22"/>
          <w:lang w:val="sr-Latn-ME"/>
        </w:rPr>
        <w:t xml:space="preserve">gastrointestinalno krvarenje, krvarenje desni, povraćanje krvi, </w:t>
      </w:r>
      <w:proofErr w:type="spellStart"/>
      <w:r w:rsidRPr="0045764A">
        <w:rPr>
          <w:rFonts w:eastAsia="TimesNewRoman"/>
          <w:szCs w:val="22"/>
          <w:lang w:val="sr-Latn-ME"/>
        </w:rPr>
        <w:t>hematokeziju</w:t>
      </w:r>
      <w:proofErr w:type="spellEnd"/>
      <w:r w:rsidRPr="0045764A">
        <w:rPr>
          <w:rFonts w:eastAsia="TimesNewRoman"/>
          <w:szCs w:val="22"/>
          <w:lang w:val="sr-Latn-ME"/>
        </w:rPr>
        <w:t xml:space="preserve">, smanjenu </w:t>
      </w:r>
      <w:r w:rsidR="008E2492" w:rsidRPr="0045764A">
        <w:rPr>
          <w:rFonts w:eastAsia="TimesNewRoman"/>
          <w:szCs w:val="22"/>
          <w:lang w:val="sr-Latn-ME"/>
        </w:rPr>
        <w:t>vrijednost</w:t>
      </w:r>
      <w:r w:rsidRPr="0045764A">
        <w:rPr>
          <w:rFonts w:eastAsia="TimesNewRoman"/>
          <w:szCs w:val="22"/>
          <w:lang w:val="sr-Latn-ME"/>
        </w:rPr>
        <w:t xml:space="preserve"> </w:t>
      </w:r>
      <w:proofErr w:type="spellStart"/>
      <w:r w:rsidRPr="0045764A">
        <w:rPr>
          <w:rFonts w:eastAsia="TimesNewRoman"/>
          <w:szCs w:val="22"/>
          <w:lang w:val="sr-Latn-ME"/>
        </w:rPr>
        <w:t>hematokrita</w:t>
      </w:r>
      <w:proofErr w:type="spellEnd"/>
      <w:r w:rsidRPr="0045764A">
        <w:rPr>
          <w:rFonts w:eastAsia="TimesNewRoman"/>
          <w:szCs w:val="22"/>
          <w:lang w:val="sr-Latn-ME"/>
        </w:rPr>
        <w:t>,</w:t>
      </w:r>
      <w:r w:rsidR="003B15BD" w:rsidRPr="0045764A">
        <w:rPr>
          <w:rFonts w:eastAsia="TimesNewRoman"/>
          <w:szCs w:val="22"/>
          <w:lang w:val="sr-Latn-ME"/>
        </w:rPr>
        <w:t xml:space="preserve"> </w:t>
      </w:r>
      <w:proofErr w:type="spellStart"/>
      <w:r w:rsidRPr="0045764A">
        <w:rPr>
          <w:rFonts w:eastAsia="TimesNewRoman"/>
          <w:szCs w:val="22"/>
          <w:lang w:val="sr-Latn-ME"/>
        </w:rPr>
        <w:t>hematom</w:t>
      </w:r>
      <w:proofErr w:type="spellEnd"/>
      <w:r w:rsidRPr="0045764A">
        <w:rPr>
          <w:rFonts w:eastAsia="TimesNewRoman"/>
          <w:szCs w:val="22"/>
          <w:lang w:val="sr-Latn-ME"/>
        </w:rPr>
        <w:t xml:space="preserve">, </w:t>
      </w:r>
      <w:proofErr w:type="spellStart"/>
      <w:r w:rsidRPr="0045764A">
        <w:rPr>
          <w:rFonts w:eastAsia="TimesNewRoman"/>
          <w:szCs w:val="22"/>
          <w:lang w:val="sr-Latn-ME"/>
        </w:rPr>
        <w:t>hematuriju</w:t>
      </w:r>
      <w:proofErr w:type="spellEnd"/>
      <w:r w:rsidRPr="0045764A">
        <w:rPr>
          <w:rFonts w:eastAsia="TimesNewRoman"/>
          <w:szCs w:val="22"/>
          <w:lang w:val="sr-Latn-ME"/>
        </w:rPr>
        <w:t xml:space="preserve">, smanjenu </w:t>
      </w:r>
      <w:r w:rsidR="008E2492" w:rsidRPr="0045764A">
        <w:rPr>
          <w:rFonts w:eastAsia="TimesNewRoman"/>
          <w:szCs w:val="22"/>
          <w:lang w:val="sr-Latn-ME"/>
        </w:rPr>
        <w:t>vrijednost</w:t>
      </w:r>
      <w:r w:rsidRPr="0045764A">
        <w:rPr>
          <w:rFonts w:eastAsia="TimesNewRoman"/>
          <w:szCs w:val="22"/>
          <w:lang w:val="sr-Latn-ME"/>
        </w:rPr>
        <w:t xml:space="preserve"> hemoglobina, </w:t>
      </w:r>
      <w:proofErr w:type="spellStart"/>
      <w:r w:rsidRPr="0045764A">
        <w:rPr>
          <w:rFonts w:eastAsia="TimesNewRoman"/>
          <w:szCs w:val="22"/>
          <w:lang w:val="sr-Latn-ME"/>
        </w:rPr>
        <w:t>hemoptizu</w:t>
      </w:r>
      <w:proofErr w:type="spellEnd"/>
      <w:r w:rsidRPr="0045764A">
        <w:rPr>
          <w:rFonts w:eastAsia="TimesNewRoman"/>
          <w:szCs w:val="22"/>
          <w:lang w:val="sr-Latn-ME"/>
        </w:rPr>
        <w:t>, krvarenje, krvarenje koronarne arterije, krvarenje</w:t>
      </w:r>
      <w:r w:rsidR="003B15BD" w:rsidRPr="0045764A">
        <w:rPr>
          <w:rFonts w:eastAsia="TimesNewRoman"/>
          <w:szCs w:val="22"/>
          <w:lang w:val="sr-Latn-ME"/>
        </w:rPr>
        <w:t xml:space="preserve"> </w:t>
      </w:r>
      <w:proofErr w:type="spellStart"/>
      <w:r w:rsidRPr="0045764A">
        <w:rPr>
          <w:rFonts w:eastAsia="TimesNewRoman"/>
          <w:szCs w:val="22"/>
          <w:lang w:val="sr-Latn-ME"/>
        </w:rPr>
        <w:t>urinarnog</w:t>
      </w:r>
      <w:proofErr w:type="spellEnd"/>
      <w:r w:rsidRPr="0045764A">
        <w:rPr>
          <w:rFonts w:eastAsia="TimesNewRoman"/>
          <w:szCs w:val="22"/>
          <w:lang w:val="sr-Latn-ME"/>
        </w:rPr>
        <w:t xml:space="preserve"> trakta, krvarenje hemoroida, </w:t>
      </w:r>
      <w:proofErr w:type="spellStart"/>
      <w:r w:rsidRPr="0045764A">
        <w:rPr>
          <w:rFonts w:eastAsia="TimesNewRoman"/>
          <w:szCs w:val="22"/>
          <w:lang w:val="sr-Latn-ME"/>
        </w:rPr>
        <w:t>hemostazu</w:t>
      </w:r>
      <w:proofErr w:type="spellEnd"/>
      <w:r w:rsidRPr="0045764A">
        <w:rPr>
          <w:rFonts w:eastAsia="TimesNewRoman"/>
          <w:szCs w:val="22"/>
          <w:lang w:val="sr-Latn-ME"/>
        </w:rPr>
        <w:t>, povećanu tendenciju za stvaranje modrica, povećan internacionalni</w:t>
      </w:r>
      <w:r w:rsidR="003B15BD" w:rsidRPr="0045764A">
        <w:rPr>
          <w:rFonts w:eastAsia="TimesNewRoman"/>
          <w:szCs w:val="22"/>
          <w:lang w:val="sr-Latn-ME"/>
        </w:rPr>
        <w:t xml:space="preserve"> </w:t>
      </w:r>
      <w:r w:rsidRPr="0045764A">
        <w:rPr>
          <w:rFonts w:eastAsia="TimesNewRoman"/>
          <w:szCs w:val="22"/>
          <w:lang w:val="sr-Latn-ME"/>
        </w:rPr>
        <w:t xml:space="preserve">normalizovan odnos, krvarenje donjeg gastrointestinalnog trakta, </w:t>
      </w:r>
      <w:proofErr w:type="spellStart"/>
      <w:r w:rsidRPr="0045764A">
        <w:rPr>
          <w:rFonts w:eastAsia="TimesNewRoman"/>
          <w:szCs w:val="22"/>
          <w:lang w:val="sr-Latn-ME"/>
        </w:rPr>
        <w:t>melenu</w:t>
      </w:r>
      <w:proofErr w:type="spellEnd"/>
      <w:r w:rsidRPr="0045764A">
        <w:rPr>
          <w:rFonts w:eastAsia="TimesNewRoman"/>
          <w:szCs w:val="22"/>
          <w:lang w:val="sr-Latn-ME"/>
        </w:rPr>
        <w:t xml:space="preserve">, </w:t>
      </w:r>
      <w:proofErr w:type="spellStart"/>
      <w:r w:rsidRPr="0045764A">
        <w:rPr>
          <w:rFonts w:eastAsia="TimesNewRoman"/>
          <w:szCs w:val="22"/>
          <w:lang w:val="sr-Latn-ME"/>
        </w:rPr>
        <w:t>petehije</w:t>
      </w:r>
      <w:proofErr w:type="spellEnd"/>
      <w:r w:rsidRPr="0045764A">
        <w:rPr>
          <w:rFonts w:eastAsia="TimesNewRoman"/>
          <w:szCs w:val="22"/>
          <w:lang w:val="sr-Latn-ME"/>
        </w:rPr>
        <w:t>, krvarenje ždr</w:t>
      </w:r>
      <w:r w:rsidR="0097523F" w:rsidRPr="0045764A">
        <w:rPr>
          <w:rFonts w:eastAsia="TimesNewRoman"/>
          <w:szCs w:val="22"/>
          <w:lang w:val="sr-Latn-ME"/>
        </w:rPr>
        <w:t>ij</w:t>
      </w:r>
      <w:r w:rsidRPr="0045764A">
        <w:rPr>
          <w:rFonts w:eastAsia="TimesNewRoman"/>
          <w:szCs w:val="22"/>
          <w:lang w:val="sr-Latn-ME"/>
        </w:rPr>
        <w:t>ela, produženo</w:t>
      </w:r>
      <w:r w:rsidR="003B15BD" w:rsidRPr="0045764A">
        <w:rPr>
          <w:rFonts w:eastAsia="TimesNewRoman"/>
          <w:szCs w:val="22"/>
          <w:lang w:val="sr-Latn-ME"/>
        </w:rPr>
        <w:t xml:space="preserve"> </w:t>
      </w:r>
      <w:proofErr w:type="spellStart"/>
      <w:r w:rsidRPr="0045764A">
        <w:rPr>
          <w:rFonts w:eastAsia="TimesNewRoman"/>
          <w:szCs w:val="22"/>
          <w:lang w:val="sr-Latn-ME"/>
        </w:rPr>
        <w:t>protrombinsko</w:t>
      </w:r>
      <w:proofErr w:type="spellEnd"/>
      <w:r w:rsidRPr="0045764A">
        <w:rPr>
          <w:rFonts w:eastAsia="TimesNewRoman"/>
          <w:szCs w:val="22"/>
          <w:lang w:val="sr-Latn-ME"/>
        </w:rPr>
        <w:t xml:space="preserve"> vr</w:t>
      </w:r>
      <w:r w:rsidR="0097523F" w:rsidRPr="0045764A">
        <w:rPr>
          <w:rFonts w:eastAsia="TimesNewRoman"/>
          <w:szCs w:val="22"/>
          <w:lang w:val="sr-Latn-ME"/>
        </w:rPr>
        <w:t>ij</w:t>
      </w:r>
      <w:r w:rsidRPr="0045764A">
        <w:rPr>
          <w:rFonts w:eastAsia="TimesNewRoman"/>
          <w:szCs w:val="22"/>
          <w:lang w:val="sr-Latn-ME"/>
        </w:rPr>
        <w:t>eme, krvarenje pluća, purpuru, rektalno krvarenje, smanjenje broja crvenih krvnih zrnaca, krvarenje</w:t>
      </w:r>
      <w:r w:rsidR="0097523F" w:rsidRPr="0045764A">
        <w:rPr>
          <w:rFonts w:eastAsia="TimesNewRoman"/>
          <w:szCs w:val="22"/>
          <w:lang w:val="sr-Latn-ME"/>
        </w:rPr>
        <w:t xml:space="preserve"> </w:t>
      </w:r>
      <w:r w:rsidRPr="0045764A">
        <w:rPr>
          <w:rFonts w:eastAsia="TimesNewRoman"/>
          <w:szCs w:val="22"/>
          <w:lang w:val="sr-Latn-ME"/>
        </w:rPr>
        <w:t xml:space="preserve">u bubrezima, krvarenje beonjače, skupljanje krvi u </w:t>
      </w:r>
      <w:proofErr w:type="spellStart"/>
      <w:r w:rsidRPr="0045764A">
        <w:rPr>
          <w:rFonts w:eastAsia="TimesNewRoman"/>
          <w:szCs w:val="22"/>
          <w:lang w:val="sr-Latn-ME"/>
        </w:rPr>
        <w:t>skrotumu</w:t>
      </w:r>
      <w:proofErr w:type="spellEnd"/>
      <w:r w:rsidRPr="0045764A">
        <w:rPr>
          <w:rFonts w:eastAsia="TimesNewRoman"/>
          <w:szCs w:val="22"/>
          <w:lang w:val="sr-Latn-ME"/>
        </w:rPr>
        <w:t xml:space="preserve">, </w:t>
      </w:r>
      <w:proofErr w:type="spellStart"/>
      <w:r w:rsidRPr="0045764A">
        <w:rPr>
          <w:rFonts w:eastAsia="TimesNewRoman"/>
          <w:szCs w:val="22"/>
          <w:lang w:val="sr-Latn-ME"/>
        </w:rPr>
        <w:t>hematom</w:t>
      </w:r>
      <w:proofErr w:type="spellEnd"/>
      <w:r w:rsidRPr="0045764A">
        <w:rPr>
          <w:rFonts w:eastAsia="TimesNewRoman"/>
          <w:szCs w:val="22"/>
          <w:lang w:val="sr-Latn-ME"/>
        </w:rPr>
        <w:t xml:space="preserve"> slezine, </w:t>
      </w:r>
      <w:proofErr w:type="spellStart"/>
      <w:r w:rsidRPr="0045764A">
        <w:rPr>
          <w:rFonts w:eastAsia="TimesNewRoman"/>
          <w:szCs w:val="22"/>
          <w:lang w:val="sr-Latn-ME"/>
        </w:rPr>
        <w:t>splinter</w:t>
      </w:r>
      <w:proofErr w:type="spellEnd"/>
      <w:r w:rsidRPr="0045764A">
        <w:rPr>
          <w:rFonts w:eastAsia="TimesNewRoman"/>
          <w:szCs w:val="22"/>
          <w:lang w:val="sr-Latn-ME"/>
        </w:rPr>
        <w:t xml:space="preserve"> krvarenje, </w:t>
      </w:r>
      <w:proofErr w:type="spellStart"/>
      <w:r w:rsidRPr="0045764A">
        <w:rPr>
          <w:rFonts w:eastAsia="TimesNewRoman"/>
          <w:szCs w:val="22"/>
          <w:lang w:val="sr-Latn-ME"/>
        </w:rPr>
        <w:t>subarahnoidalno</w:t>
      </w:r>
      <w:proofErr w:type="spellEnd"/>
      <w:r w:rsidR="00EE2760" w:rsidRPr="0045764A">
        <w:rPr>
          <w:rFonts w:eastAsia="TimesNewRoman"/>
          <w:szCs w:val="22"/>
          <w:lang w:val="sr-Latn-ME"/>
        </w:rPr>
        <w:t xml:space="preserve"> </w:t>
      </w:r>
      <w:r w:rsidRPr="0045764A">
        <w:rPr>
          <w:rFonts w:eastAsia="TimesNewRoman"/>
          <w:szCs w:val="22"/>
          <w:lang w:val="sr-Latn-ME"/>
        </w:rPr>
        <w:t>krvarenje, krvarenje jezika, krvarenje gornjeg gastrointestinalnog trakta i vaginalno krvarenje.</w:t>
      </w:r>
    </w:p>
    <w:p w14:paraId="1D687639" w14:textId="6C441D2D" w:rsidR="00345365" w:rsidRPr="0045764A" w:rsidRDefault="00345365" w:rsidP="00654072">
      <w:pPr>
        <w:pStyle w:val="ListParagraph"/>
        <w:numPr>
          <w:ilvl w:val="0"/>
          <w:numId w:val="4"/>
        </w:numPr>
        <w:tabs>
          <w:tab w:val="clear" w:pos="284"/>
        </w:tabs>
        <w:autoSpaceDE w:val="0"/>
        <w:autoSpaceDN w:val="0"/>
        <w:adjustRightInd w:val="0"/>
        <w:ind w:left="142" w:hanging="142"/>
        <w:rPr>
          <w:rFonts w:eastAsia="TimesNewRoman"/>
          <w:szCs w:val="22"/>
          <w:lang w:val="sr-Latn-ME"/>
        </w:rPr>
      </w:pPr>
      <w:r w:rsidRPr="0045764A">
        <w:rPr>
          <w:rFonts w:eastAsia="TimesNewRoman"/>
          <w:szCs w:val="22"/>
          <w:lang w:val="sr-Latn-ME"/>
        </w:rPr>
        <w:t xml:space="preserve">Uključujući </w:t>
      </w:r>
      <w:proofErr w:type="spellStart"/>
      <w:r w:rsidRPr="0045764A">
        <w:rPr>
          <w:rFonts w:eastAsia="TimesNewRoman"/>
          <w:i/>
          <w:iCs/>
          <w:szCs w:val="22"/>
          <w:lang w:val="sr-Latn-ME"/>
        </w:rPr>
        <w:t>Budd-Chiari</w:t>
      </w:r>
      <w:proofErr w:type="spellEnd"/>
      <w:r w:rsidRPr="0045764A">
        <w:rPr>
          <w:rFonts w:eastAsia="TimesNewRoman"/>
          <w:i/>
          <w:iCs/>
          <w:szCs w:val="22"/>
          <w:lang w:val="sr-Latn-ME"/>
        </w:rPr>
        <w:t xml:space="preserve"> </w:t>
      </w:r>
      <w:r w:rsidRPr="0045764A">
        <w:rPr>
          <w:rFonts w:eastAsia="TimesNewRoman"/>
          <w:szCs w:val="22"/>
          <w:lang w:val="sr-Latn-ME"/>
        </w:rPr>
        <w:t>sindrom, trombozu dubokih vena, trombozu vratnih vena, trombozu karličnih vena, plućnu</w:t>
      </w:r>
      <w:r w:rsidR="00EE2760" w:rsidRPr="0045764A">
        <w:rPr>
          <w:rFonts w:eastAsia="TimesNewRoman"/>
          <w:szCs w:val="22"/>
          <w:lang w:val="sr-Latn-ME"/>
        </w:rPr>
        <w:t xml:space="preserve"> </w:t>
      </w:r>
      <w:r w:rsidRPr="0045764A">
        <w:rPr>
          <w:rFonts w:eastAsia="TimesNewRoman"/>
          <w:szCs w:val="22"/>
          <w:lang w:val="sr-Latn-ME"/>
        </w:rPr>
        <w:t xml:space="preserve">emboliju, </w:t>
      </w:r>
      <w:proofErr w:type="spellStart"/>
      <w:r w:rsidRPr="0045764A">
        <w:rPr>
          <w:rFonts w:eastAsia="TimesNewRoman"/>
          <w:szCs w:val="22"/>
          <w:lang w:val="sr-Latn-ME"/>
        </w:rPr>
        <w:t>okluziju</w:t>
      </w:r>
      <w:proofErr w:type="spellEnd"/>
      <w:r w:rsidRPr="0045764A">
        <w:rPr>
          <w:rFonts w:eastAsia="TimesNewRoman"/>
          <w:szCs w:val="22"/>
          <w:lang w:val="sr-Latn-ME"/>
        </w:rPr>
        <w:t xml:space="preserve"> </w:t>
      </w:r>
      <w:proofErr w:type="spellStart"/>
      <w:r w:rsidRPr="0045764A">
        <w:rPr>
          <w:rFonts w:eastAsia="TimesNewRoman"/>
          <w:szCs w:val="22"/>
          <w:lang w:val="sr-Latn-ME"/>
        </w:rPr>
        <w:t>retinalne</w:t>
      </w:r>
      <w:proofErr w:type="spellEnd"/>
      <w:r w:rsidRPr="0045764A">
        <w:rPr>
          <w:rFonts w:eastAsia="TimesNewRoman"/>
          <w:szCs w:val="22"/>
          <w:lang w:val="sr-Latn-ME"/>
        </w:rPr>
        <w:t xml:space="preserve"> vene, trombozu </w:t>
      </w:r>
      <w:proofErr w:type="spellStart"/>
      <w:r w:rsidRPr="0045764A">
        <w:rPr>
          <w:rFonts w:eastAsia="TimesNewRoman"/>
          <w:szCs w:val="22"/>
          <w:lang w:val="sr-Latn-ME"/>
        </w:rPr>
        <w:t>retinalne</w:t>
      </w:r>
      <w:proofErr w:type="spellEnd"/>
      <w:r w:rsidRPr="0045764A">
        <w:rPr>
          <w:rFonts w:eastAsia="TimesNewRoman"/>
          <w:szCs w:val="22"/>
          <w:lang w:val="sr-Latn-ME"/>
        </w:rPr>
        <w:t xml:space="preserve"> vene, trombozu </w:t>
      </w:r>
      <w:proofErr w:type="spellStart"/>
      <w:r w:rsidRPr="0045764A">
        <w:rPr>
          <w:rFonts w:eastAsia="TimesNewRoman"/>
          <w:szCs w:val="22"/>
          <w:lang w:val="sr-Latn-ME"/>
        </w:rPr>
        <w:t>subklavijalne</w:t>
      </w:r>
      <w:proofErr w:type="spellEnd"/>
      <w:r w:rsidRPr="0045764A">
        <w:rPr>
          <w:rFonts w:eastAsia="TimesNewRoman"/>
          <w:szCs w:val="22"/>
          <w:lang w:val="sr-Latn-ME"/>
        </w:rPr>
        <w:t xml:space="preserve"> vene, vensku trombozu i vensku</w:t>
      </w:r>
      <w:r w:rsidR="00EE2760" w:rsidRPr="0045764A">
        <w:rPr>
          <w:rFonts w:eastAsia="TimesNewRoman"/>
          <w:szCs w:val="22"/>
          <w:lang w:val="sr-Latn-ME"/>
        </w:rPr>
        <w:t xml:space="preserve"> </w:t>
      </w:r>
      <w:r w:rsidRPr="0045764A">
        <w:rPr>
          <w:rFonts w:eastAsia="TimesNewRoman"/>
          <w:szCs w:val="22"/>
          <w:lang w:val="sr-Latn-ME"/>
        </w:rPr>
        <w:t>trombozu nogu i ruku.</w:t>
      </w:r>
    </w:p>
    <w:p w14:paraId="0D1F69B2" w14:textId="4B2C9793" w:rsidR="00AC6C50" w:rsidRPr="0045764A" w:rsidRDefault="00345365" w:rsidP="00654072">
      <w:pPr>
        <w:pStyle w:val="ListParagraph"/>
        <w:numPr>
          <w:ilvl w:val="0"/>
          <w:numId w:val="4"/>
        </w:numPr>
        <w:tabs>
          <w:tab w:val="clear" w:pos="284"/>
        </w:tabs>
        <w:autoSpaceDE w:val="0"/>
        <w:autoSpaceDN w:val="0"/>
        <w:adjustRightInd w:val="0"/>
        <w:ind w:left="142" w:hanging="142"/>
        <w:rPr>
          <w:rFonts w:eastAsia="TimesNewRoman"/>
          <w:szCs w:val="22"/>
          <w:lang w:val="sr-Latn-ME"/>
        </w:rPr>
      </w:pPr>
      <w:r w:rsidRPr="0045764A">
        <w:rPr>
          <w:rFonts w:eastAsia="TimesNewRoman"/>
          <w:szCs w:val="22"/>
          <w:lang w:val="sr-Latn-ME"/>
        </w:rPr>
        <w:t xml:space="preserve">Uključujući akutni infarkt </w:t>
      </w:r>
      <w:proofErr w:type="spellStart"/>
      <w:r w:rsidRPr="0045764A">
        <w:rPr>
          <w:rFonts w:eastAsia="TimesNewRoman"/>
          <w:szCs w:val="22"/>
          <w:lang w:val="sr-Latn-ME"/>
        </w:rPr>
        <w:t>miokarda</w:t>
      </w:r>
      <w:proofErr w:type="spellEnd"/>
      <w:r w:rsidRPr="0045764A">
        <w:rPr>
          <w:rFonts w:eastAsia="TimesNewRoman"/>
          <w:szCs w:val="22"/>
          <w:lang w:val="sr-Latn-ME"/>
        </w:rPr>
        <w:t xml:space="preserve">, emboliju, infarkt </w:t>
      </w:r>
      <w:proofErr w:type="spellStart"/>
      <w:r w:rsidRPr="0045764A">
        <w:rPr>
          <w:rFonts w:eastAsia="TimesNewRoman"/>
          <w:szCs w:val="22"/>
          <w:lang w:val="sr-Latn-ME"/>
        </w:rPr>
        <w:t>miokarda</w:t>
      </w:r>
      <w:proofErr w:type="spellEnd"/>
      <w:r w:rsidRPr="0045764A">
        <w:rPr>
          <w:rFonts w:eastAsia="TimesNewRoman"/>
          <w:szCs w:val="22"/>
          <w:lang w:val="sr-Latn-ME"/>
        </w:rPr>
        <w:t xml:space="preserve">, </w:t>
      </w:r>
      <w:proofErr w:type="spellStart"/>
      <w:r w:rsidRPr="0045764A">
        <w:rPr>
          <w:rFonts w:eastAsia="TimesNewRoman"/>
          <w:szCs w:val="22"/>
          <w:lang w:val="sr-Latn-ME"/>
        </w:rPr>
        <w:t>okluziju</w:t>
      </w:r>
      <w:proofErr w:type="spellEnd"/>
      <w:r w:rsidRPr="0045764A">
        <w:rPr>
          <w:rFonts w:eastAsia="TimesNewRoman"/>
          <w:szCs w:val="22"/>
          <w:lang w:val="sr-Latn-ME"/>
        </w:rPr>
        <w:t xml:space="preserve"> </w:t>
      </w:r>
      <w:proofErr w:type="spellStart"/>
      <w:r w:rsidRPr="0045764A">
        <w:rPr>
          <w:rFonts w:eastAsia="TimesNewRoman"/>
          <w:szCs w:val="22"/>
          <w:lang w:val="sr-Latn-ME"/>
        </w:rPr>
        <w:t>retinalne</w:t>
      </w:r>
      <w:proofErr w:type="spellEnd"/>
      <w:r w:rsidRPr="0045764A">
        <w:rPr>
          <w:rFonts w:eastAsia="TimesNewRoman"/>
          <w:szCs w:val="22"/>
          <w:lang w:val="sr-Latn-ME"/>
        </w:rPr>
        <w:t xml:space="preserve"> arterije i </w:t>
      </w:r>
      <w:r w:rsidR="00B218D3" w:rsidRPr="0045764A">
        <w:rPr>
          <w:rFonts w:eastAsia="TimesNewRoman"/>
          <w:szCs w:val="22"/>
          <w:lang w:val="sr-Latn-ME"/>
        </w:rPr>
        <w:t xml:space="preserve">tranzitorni </w:t>
      </w:r>
      <w:proofErr w:type="spellStart"/>
      <w:r w:rsidRPr="0045764A">
        <w:rPr>
          <w:rFonts w:eastAsia="TimesNewRoman"/>
          <w:szCs w:val="22"/>
          <w:lang w:val="sr-Latn-ME"/>
        </w:rPr>
        <w:t>ishemijski</w:t>
      </w:r>
      <w:proofErr w:type="spellEnd"/>
      <w:r w:rsidR="00EE2760" w:rsidRPr="0045764A">
        <w:rPr>
          <w:rFonts w:eastAsia="TimesNewRoman"/>
          <w:szCs w:val="22"/>
          <w:lang w:val="sr-Latn-ME"/>
        </w:rPr>
        <w:t xml:space="preserve"> </w:t>
      </w:r>
      <w:r w:rsidRPr="0045764A">
        <w:rPr>
          <w:rFonts w:eastAsia="TimesNewRoman"/>
          <w:szCs w:val="22"/>
          <w:lang w:val="sr-Latn-ME"/>
        </w:rPr>
        <w:t>napad.</w:t>
      </w:r>
    </w:p>
    <w:p w14:paraId="5C860D42" w14:textId="08BFCD1B" w:rsidR="00280F53" w:rsidRPr="0045764A" w:rsidRDefault="00280F53" w:rsidP="00654072">
      <w:pPr>
        <w:pStyle w:val="ListParagraph"/>
        <w:numPr>
          <w:ilvl w:val="0"/>
          <w:numId w:val="4"/>
        </w:numPr>
        <w:tabs>
          <w:tab w:val="clear" w:pos="284"/>
        </w:tabs>
        <w:autoSpaceDE w:val="0"/>
        <w:autoSpaceDN w:val="0"/>
        <w:adjustRightInd w:val="0"/>
        <w:ind w:left="142" w:hanging="142"/>
        <w:rPr>
          <w:rFonts w:eastAsia="TimesNewRoman"/>
          <w:szCs w:val="22"/>
          <w:lang w:val="sr-Latn-ME"/>
        </w:rPr>
      </w:pPr>
      <w:r w:rsidRPr="0045764A">
        <w:rPr>
          <w:rFonts w:eastAsia="TimesNewRoman"/>
          <w:szCs w:val="22"/>
          <w:lang w:val="sr-Latn-ME"/>
        </w:rPr>
        <w:lastRenderedPageBreak/>
        <w:t>Gastrointestinalna perforacija i fistula prvenstveno uključuju sl</w:t>
      </w:r>
      <w:r w:rsidR="00827F36" w:rsidRPr="0045764A">
        <w:rPr>
          <w:rFonts w:eastAsia="TimesNewRoman"/>
          <w:szCs w:val="22"/>
          <w:lang w:val="sr-Latn-ME"/>
        </w:rPr>
        <w:t>j</w:t>
      </w:r>
      <w:r w:rsidRPr="0045764A">
        <w:rPr>
          <w:rFonts w:eastAsia="TimesNewRoman"/>
          <w:szCs w:val="22"/>
          <w:lang w:val="sr-Latn-ME"/>
        </w:rPr>
        <w:t>edeće termine: abdominalni apsces, analni apsces,</w:t>
      </w:r>
      <w:r w:rsidR="00A71481" w:rsidRPr="0045764A">
        <w:rPr>
          <w:rFonts w:eastAsia="TimesNewRoman"/>
          <w:szCs w:val="22"/>
          <w:lang w:val="sr-Latn-ME"/>
        </w:rPr>
        <w:t xml:space="preserve"> </w:t>
      </w:r>
      <w:r w:rsidRPr="0045764A">
        <w:rPr>
          <w:rFonts w:eastAsia="TimesNewRoman"/>
          <w:szCs w:val="22"/>
          <w:lang w:val="sr-Latn-ME"/>
        </w:rPr>
        <w:t xml:space="preserve">analna fistula, fistula, curenje gastrointestinalnih </w:t>
      </w:r>
      <w:proofErr w:type="spellStart"/>
      <w:r w:rsidRPr="0045764A">
        <w:rPr>
          <w:rFonts w:eastAsia="TimesNewRoman"/>
          <w:szCs w:val="22"/>
          <w:lang w:val="sr-Latn-ME"/>
        </w:rPr>
        <w:t>anastomoza</w:t>
      </w:r>
      <w:proofErr w:type="spellEnd"/>
      <w:r w:rsidRPr="0045764A">
        <w:rPr>
          <w:rFonts w:eastAsia="TimesNewRoman"/>
          <w:szCs w:val="22"/>
          <w:lang w:val="sr-Latn-ME"/>
        </w:rPr>
        <w:t>, gastrointestinalna perforacija, perforacija debelog</w:t>
      </w:r>
      <w:r w:rsidR="00A71481" w:rsidRPr="0045764A">
        <w:rPr>
          <w:rFonts w:eastAsia="TimesNewRoman"/>
          <w:szCs w:val="22"/>
          <w:lang w:val="sr-Latn-ME"/>
        </w:rPr>
        <w:t xml:space="preserve"> </w:t>
      </w:r>
      <w:r w:rsidRPr="0045764A">
        <w:rPr>
          <w:rFonts w:eastAsia="TimesNewRoman"/>
          <w:szCs w:val="22"/>
          <w:lang w:val="sr-Latn-ME"/>
        </w:rPr>
        <w:t>cr</w:t>
      </w:r>
      <w:r w:rsidR="00827F36" w:rsidRPr="0045764A">
        <w:rPr>
          <w:rFonts w:eastAsia="TimesNewRoman"/>
          <w:szCs w:val="22"/>
          <w:lang w:val="sr-Latn-ME"/>
        </w:rPr>
        <w:t>ij</w:t>
      </w:r>
      <w:r w:rsidRPr="0045764A">
        <w:rPr>
          <w:rFonts w:eastAsia="TimesNewRoman"/>
          <w:szCs w:val="22"/>
          <w:lang w:val="sr-Latn-ME"/>
        </w:rPr>
        <w:t xml:space="preserve">eva, </w:t>
      </w:r>
      <w:proofErr w:type="spellStart"/>
      <w:r w:rsidRPr="0045764A">
        <w:rPr>
          <w:rFonts w:eastAsia="TimesNewRoman"/>
          <w:szCs w:val="22"/>
          <w:lang w:val="sr-Latn-ME"/>
        </w:rPr>
        <w:t>ezofagobronhijalna</w:t>
      </w:r>
      <w:proofErr w:type="spellEnd"/>
      <w:r w:rsidRPr="0045764A">
        <w:rPr>
          <w:rFonts w:eastAsia="TimesNewRoman"/>
          <w:szCs w:val="22"/>
          <w:lang w:val="sr-Latn-ME"/>
        </w:rPr>
        <w:t xml:space="preserve"> fistula i </w:t>
      </w:r>
      <w:proofErr w:type="spellStart"/>
      <w:r w:rsidRPr="0045764A">
        <w:rPr>
          <w:rFonts w:eastAsia="TimesNewRoman"/>
          <w:szCs w:val="22"/>
          <w:lang w:val="sr-Latn-ME"/>
        </w:rPr>
        <w:t>peritonitis</w:t>
      </w:r>
      <w:proofErr w:type="spellEnd"/>
      <w:r w:rsidRPr="0045764A">
        <w:rPr>
          <w:rFonts w:eastAsia="TimesNewRoman"/>
          <w:szCs w:val="22"/>
          <w:lang w:val="sr-Latn-ME"/>
        </w:rPr>
        <w:t>.</w:t>
      </w:r>
    </w:p>
    <w:p w14:paraId="1DB7929E" w14:textId="567E30F4" w:rsidR="00280F53" w:rsidRPr="0045764A" w:rsidRDefault="00280F53" w:rsidP="00654072">
      <w:pPr>
        <w:pStyle w:val="ListParagraph"/>
        <w:numPr>
          <w:ilvl w:val="0"/>
          <w:numId w:val="4"/>
        </w:numPr>
        <w:tabs>
          <w:tab w:val="clear" w:pos="284"/>
        </w:tabs>
        <w:autoSpaceDE w:val="0"/>
        <w:autoSpaceDN w:val="0"/>
        <w:adjustRightInd w:val="0"/>
        <w:ind w:left="142" w:hanging="142"/>
        <w:rPr>
          <w:rFonts w:eastAsia="TimesNewRoman"/>
          <w:szCs w:val="22"/>
          <w:lang w:val="sr-Latn-ME"/>
        </w:rPr>
      </w:pPr>
      <w:proofErr w:type="spellStart"/>
      <w:r w:rsidRPr="0045764A">
        <w:rPr>
          <w:rFonts w:eastAsia="TimesNewRoman"/>
          <w:szCs w:val="22"/>
          <w:lang w:val="sr-Latn-ME"/>
        </w:rPr>
        <w:t>Proteinurija</w:t>
      </w:r>
      <w:proofErr w:type="spellEnd"/>
      <w:r w:rsidRPr="0045764A">
        <w:rPr>
          <w:rFonts w:eastAsia="TimesNewRoman"/>
          <w:szCs w:val="22"/>
          <w:lang w:val="sr-Latn-ME"/>
        </w:rPr>
        <w:t xml:space="preserve"> prvenstveno uključuje sl</w:t>
      </w:r>
      <w:r w:rsidR="00827F36" w:rsidRPr="0045764A">
        <w:rPr>
          <w:rFonts w:eastAsia="TimesNewRoman"/>
          <w:szCs w:val="22"/>
          <w:lang w:val="sr-Latn-ME"/>
        </w:rPr>
        <w:t>j</w:t>
      </w:r>
      <w:r w:rsidRPr="0045764A">
        <w:rPr>
          <w:rFonts w:eastAsia="TimesNewRoman"/>
          <w:szCs w:val="22"/>
          <w:lang w:val="sr-Latn-ME"/>
        </w:rPr>
        <w:t>edeće termine: protein</w:t>
      </w:r>
      <w:r w:rsidR="00E22809" w:rsidRPr="0045764A">
        <w:rPr>
          <w:rFonts w:eastAsia="TimesNewRoman"/>
          <w:szCs w:val="22"/>
          <w:lang w:val="sr-Latn-ME"/>
        </w:rPr>
        <w:t>i</w:t>
      </w:r>
      <w:r w:rsidRPr="0045764A">
        <w:rPr>
          <w:rFonts w:eastAsia="TimesNewRoman"/>
          <w:szCs w:val="22"/>
          <w:lang w:val="sr-Latn-ME"/>
        </w:rPr>
        <w:t xml:space="preserve"> u urinu, prisustvo proteina u urinu i </w:t>
      </w:r>
      <w:proofErr w:type="spellStart"/>
      <w:r w:rsidRPr="0045764A">
        <w:rPr>
          <w:rFonts w:eastAsia="TimesNewRoman"/>
          <w:szCs w:val="22"/>
          <w:lang w:val="sr-Latn-ME"/>
        </w:rPr>
        <w:t>proteinurija</w:t>
      </w:r>
      <w:proofErr w:type="spellEnd"/>
      <w:r w:rsidRPr="0045764A">
        <w:rPr>
          <w:rFonts w:eastAsia="TimesNewRoman"/>
          <w:szCs w:val="22"/>
          <w:lang w:val="sr-Latn-ME"/>
        </w:rPr>
        <w:t>.</w:t>
      </w:r>
    </w:p>
    <w:p w14:paraId="2EE9764A" w14:textId="058D6329" w:rsidR="00280F53" w:rsidRPr="0045764A" w:rsidRDefault="00280F53" w:rsidP="00654072">
      <w:pPr>
        <w:pStyle w:val="ListParagraph"/>
        <w:numPr>
          <w:ilvl w:val="0"/>
          <w:numId w:val="4"/>
        </w:numPr>
        <w:tabs>
          <w:tab w:val="clear" w:pos="284"/>
          <w:tab w:val="left" w:pos="709"/>
        </w:tabs>
        <w:ind w:left="142" w:hanging="142"/>
        <w:rPr>
          <w:rFonts w:eastAsia="TimesNewRoman"/>
          <w:szCs w:val="22"/>
          <w:lang w:val="sr-Latn-ME"/>
        </w:rPr>
      </w:pPr>
      <w:r w:rsidRPr="0045764A">
        <w:rPr>
          <w:rFonts w:eastAsia="TimesNewRoman"/>
          <w:szCs w:val="22"/>
          <w:lang w:val="sr-Latn-ME"/>
        </w:rPr>
        <w:t xml:space="preserve">Uključujući akutnu bubrežnu </w:t>
      </w:r>
      <w:proofErr w:type="spellStart"/>
      <w:r w:rsidRPr="0045764A">
        <w:rPr>
          <w:rFonts w:eastAsia="TimesNewRoman"/>
          <w:szCs w:val="22"/>
          <w:lang w:val="sr-Latn-ME"/>
        </w:rPr>
        <w:t>insuficijenciju</w:t>
      </w:r>
      <w:proofErr w:type="spellEnd"/>
      <w:r w:rsidR="00455563" w:rsidRPr="0045764A">
        <w:rPr>
          <w:rFonts w:eastAsia="TimesNewRoman"/>
          <w:szCs w:val="22"/>
          <w:lang w:val="sr-Latn-ME"/>
        </w:rPr>
        <w:t>.</w:t>
      </w:r>
    </w:p>
    <w:p w14:paraId="41E95355" w14:textId="33B73957" w:rsidR="00083F43" w:rsidRPr="0045764A" w:rsidRDefault="00180C88" w:rsidP="00654072">
      <w:pPr>
        <w:pStyle w:val="ListParagraph"/>
        <w:numPr>
          <w:ilvl w:val="0"/>
          <w:numId w:val="4"/>
        </w:numPr>
        <w:tabs>
          <w:tab w:val="clear" w:pos="284"/>
          <w:tab w:val="left" w:pos="709"/>
        </w:tabs>
        <w:ind w:left="142" w:hanging="142"/>
        <w:rPr>
          <w:szCs w:val="22"/>
          <w:lang w:val="sr-Latn-ME"/>
        </w:rPr>
      </w:pPr>
      <w:proofErr w:type="spellStart"/>
      <w:r w:rsidRPr="0045764A">
        <w:rPr>
          <w:szCs w:val="22"/>
          <w:lang w:val="sr-Latn-ME"/>
        </w:rPr>
        <w:t>H</w:t>
      </w:r>
      <w:r w:rsidR="00083F43" w:rsidRPr="0045764A">
        <w:rPr>
          <w:szCs w:val="22"/>
          <w:lang w:val="sr-Latn-ME"/>
        </w:rPr>
        <w:t>olec</w:t>
      </w:r>
      <w:r w:rsidRPr="0045764A">
        <w:rPr>
          <w:szCs w:val="22"/>
          <w:lang w:val="sr-Latn-ME"/>
        </w:rPr>
        <w:t>i</w:t>
      </w:r>
      <w:r w:rsidR="00083F43" w:rsidRPr="0045764A">
        <w:rPr>
          <w:szCs w:val="22"/>
          <w:lang w:val="sr-Latn-ME"/>
        </w:rPr>
        <w:t>stitis</w:t>
      </w:r>
      <w:proofErr w:type="spellEnd"/>
      <w:r w:rsidR="00083F43" w:rsidRPr="0045764A">
        <w:rPr>
          <w:szCs w:val="22"/>
          <w:lang w:val="sr-Latn-ME"/>
        </w:rPr>
        <w:t xml:space="preserve"> </w:t>
      </w:r>
      <w:r w:rsidRPr="0045764A">
        <w:rPr>
          <w:szCs w:val="22"/>
          <w:lang w:val="sr-Latn-ME"/>
        </w:rPr>
        <w:t>uključuje</w:t>
      </w:r>
      <w:r w:rsidR="00C04B8D" w:rsidRPr="0045764A">
        <w:rPr>
          <w:szCs w:val="22"/>
          <w:lang w:val="sr-Latn-ME"/>
        </w:rPr>
        <w:t xml:space="preserve"> akutni </w:t>
      </w:r>
      <w:proofErr w:type="spellStart"/>
      <w:r w:rsidR="00C04B8D" w:rsidRPr="0045764A">
        <w:rPr>
          <w:szCs w:val="22"/>
          <w:lang w:val="sr-Latn-ME"/>
        </w:rPr>
        <w:t>holecistitis</w:t>
      </w:r>
      <w:proofErr w:type="spellEnd"/>
      <w:r w:rsidR="00083F43" w:rsidRPr="0045764A">
        <w:rPr>
          <w:szCs w:val="22"/>
          <w:lang w:val="sr-Latn-ME"/>
        </w:rPr>
        <w:t xml:space="preserve">, </w:t>
      </w:r>
      <w:proofErr w:type="spellStart"/>
      <w:r w:rsidR="00C04B8D" w:rsidRPr="0045764A">
        <w:rPr>
          <w:szCs w:val="22"/>
          <w:lang w:val="sr-Latn-ME"/>
        </w:rPr>
        <w:t>h</w:t>
      </w:r>
      <w:r w:rsidR="00083F43" w:rsidRPr="0045764A">
        <w:rPr>
          <w:szCs w:val="22"/>
          <w:lang w:val="sr-Latn-ME"/>
        </w:rPr>
        <w:t>olec</w:t>
      </w:r>
      <w:r w:rsidR="00C04B8D" w:rsidRPr="0045764A">
        <w:rPr>
          <w:szCs w:val="22"/>
          <w:lang w:val="sr-Latn-ME"/>
        </w:rPr>
        <w:t>i</w:t>
      </w:r>
      <w:r w:rsidR="00083F43" w:rsidRPr="0045764A">
        <w:rPr>
          <w:szCs w:val="22"/>
          <w:lang w:val="sr-Latn-ME"/>
        </w:rPr>
        <w:t>stitis</w:t>
      </w:r>
      <w:proofErr w:type="spellEnd"/>
      <w:r w:rsidR="00083F43" w:rsidRPr="0045764A">
        <w:rPr>
          <w:szCs w:val="22"/>
          <w:lang w:val="sr-Latn-ME"/>
        </w:rPr>
        <w:t>, infe</w:t>
      </w:r>
      <w:r w:rsidR="00C04B8D" w:rsidRPr="0045764A">
        <w:rPr>
          <w:szCs w:val="22"/>
          <w:lang w:val="sr-Latn-ME"/>
        </w:rPr>
        <w:t>k</w:t>
      </w:r>
      <w:r w:rsidR="00083F43" w:rsidRPr="0045764A">
        <w:rPr>
          <w:szCs w:val="22"/>
          <w:lang w:val="sr-Latn-ME"/>
        </w:rPr>
        <w:t>tiv</w:t>
      </w:r>
      <w:r w:rsidR="00C04B8D" w:rsidRPr="0045764A">
        <w:rPr>
          <w:szCs w:val="22"/>
          <w:lang w:val="sr-Latn-ME"/>
        </w:rPr>
        <w:t xml:space="preserve">ni </w:t>
      </w:r>
      <w:proofErr w:type="spellStart"/>
      <w:r w:rsidR="00C04B8D" w:rsidRPr="0045764A">
        <w:rPr>
          <w:szCs w:val="22"/>
          <w:lang w:val="sr-Latn-ME"/>
        </w:rPr>
        <w:t>holecistitis</w:t>
      </w:r>
      <w:proofErr w:type="spellEnd"/>
      <w:r w:rsidR="00083F43" w:rsidRPr="0045764A">
        <w:rPr>
          <w:szCs w:val="22"/>
          <w:lang w:val="sr-Latn-ME"/>
        </w:rPr>
        <w:t>.</w:t>
      </w:r>
    </w:p>
    <w:p w14:paraId="16A97CCB" w14:textId="77777777" w:rsidR="007A7462" w:rsidRPr="0045764A" w:rsidRDefault="007A7462" w:rsidP="00E35F2A">
      <w:pPr>
        <w:tabs>
          <w:tab w:val="clear" w:pos="284"/>
          <w:tab w:val="left" w:pos="709"/>
        </w:tabs>
        <w:rPr>
          <w:szCs w:val="22"/>
          <w:lang w:val="sr-Latn-ME"/>
        </w:rPr>
      </w:pPr>
    </w:p>
    <w:p w14:paraId="372C8D8B" w14:textId="155B700E" w:rsidR="00374DEC" w:rsidRPr="0045764A" w:rsidRDefault="00374DEC" w:rsidP="00C65330">
      <w:pPr>
        <w:rPr>
          <w:rFonts w:eastAsia="TimesNewRoman"/>
          <w:szCs w:val="22"/>
          <w:u w:val="single"/>
          <w:lang w:val="sr-Latn-ME"/>
        </w:rPr>
      </w:pPr>
      <w:r w:rsidRPr="0045764A">
        <w:rPr>
          <w:rFonts w:eastAsia="TimesNewRoman"/>
          <w:szCs w:val="22"/>
          <w:u w:val="single"/>
          <w:lang w:val="sr-Latn-ME"/>
        </w:rPr>
        <w:t xml:space="preserve">Opis odabranih neželjenih </w:t>
      </w:r>
      <w:r w:rsidR="007A7462" w:rsidRPr="0045764A">
        <w:rPr>
          <w:rFonts w:eastAsia="TimesNewRoman"/>
          <w:szCs w:val="22"/>
          <w:u w:val="single"/>
          <w:lang w:val="sr-Latn-ME"/>
        </w:rPr>
        <w:t>dejstava</w:t>
      </w:r>
    </w:p>
    <w:p w14:paraId="771CDEA1" w14:textId="77777777" w:rsidR="00443480" w:rsidRPr="0045764A" w:rsidRDefault="00443480" w:rsidP="00C65330">
      <w:pPr>
        <w:rPr>
          <w:szCs w:val="22"/>
          <w:u w:val="single"/>
          <w:lang w:val="sr-Latn-ME"/>
        </w:rPr>
      </w:pPr>
    </w:p>
    <w:p w14:paraId="695C4BC4" w14:textId="7DD1814D" w:rsidR="0049304E" w:rsidRPr="0045764A" w:rsidRDefault="0049304E" w:rsidP="00C65330">
      <w:pPr>
        <w:tabs>
          <w:tab w:val="clear" w:pos="284"/>
        </w:tabs>
        <w:autoSpaceDE w:val="0"/>
        <w:autoSpaceDN w:val="0"/>
        <w:adjustRightInd w:val="0"/>
        <w:rPr>
          <w:rFonts w:eastAsia="TimesNewRoman"/>
          <w:szCs w:val="22"/>
          <w:lang w:val="sr-Latn-ME"/>
        </w:rPr>
      </w:pPr>
      <w:r w:rsidRPr="0045764A">
        <w:rPr>
          <w:i/>
          <w:iCs/>
          <w:szCs w:val="22"/>
          <w:lang w:val="sr-Latn-ME"/>
        </w:rPr>
        <w:t xml:space="preserve">Događaji povezani sa srčanom </w:t>
      </w:r>
      <w:proofErr w:type="spellStart"/>
      <w:r w:rsidRPr="0045764A">
        <w:rPr>
          <w:i/>
          <w:iCs/>
          <w:szCs w:val="22"/>
          <w:lang w:val="sr-Latn-ME"/>
        </w:rPr>
        <w:t>insuficijencijom</w:t>
      </w:r>
      <w:proofErr w:type="spellEnd"/>
      <w:r w:rsidRPr="0045764A">
        <w:rPr>
          <w:i/>
          <w:iCs/>
          <w:szCs w:val="22"/>
          <w:lang w:val="sr-Latn-ME"/>
        </w:rPr>
        <w:t xml:space="preserve"> </w:t>
      </w:r>
      <w:r w:rsidRPr="0045764A">
        <w:rPr>
          <w:rFonts w:eastAsia="TimesNewRoman"/>
          <w:szCs w:val="22"/>
          <w:lang w:val="sr-Latn-ME"/>
        </w:rPr>
        <w:t>(</w:t>
      </w:r>
      <w:r w:rsidR="006F7AEE" w:rsidRPr="0045764A">
        <w:rPr>
          <w:rFonts w:eastAsia="TimesNewRoman"/>
          <w:szCs w:val="22"/>
          <w:lang w:val="sr-Latn-ME"/>
        </w:rPr>
        <w:t>pogledati dio</w:t>
      </w:r>
      <w:r w:rsidRPr="0045764A">
        <w:rPr>
          <w:rFonts w:eastAsia="TimesNewRoman"/>
          <w:szCs w:val="22"/>
          <w:lang w:val="sr-Latn-ME"/>
        </w:rPr>
        <w:t xml:space="preserve"> 4.4)</w:t>
      </w:r>
    </w:p>
    <w:p w14:paraId="40B5E3EF" w14:textId="4C7FB7BB" w:rsidR="0049304E" w:rsidRPr="0045764A" w:rsidRDefault="0049304E"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U kontrolisanom kliničkom ispitivanju sa </w:t>
      </w:r>
      <w:proofErr w:type="spellStart"/>
      <w:r w:rsidRPr="0045764A">
        <w:rPr>
          <w:rFonts w:eastAsia="TimesNewRoman"/>
          <w:szCs w:val="22"/>
          <w:lang w:val="sr-Latn-ME"/>
        </w:rPr>
        <w:t>aksitinibom</w:t>
      </w:r>
      <w:proofErr w:type="spellEnd"/>
      <w:r w:rsidRPr="0045764A">
        <w:rPr>
          <w:rFonts w:eastAsia="TimesNewRoman"/>
          <w:szCs w:val="22"/>
          <w:lang w:val="sr-Latn-ME"/>
        </w:rPr>
        <w:t xml:space="preserve"> (N = 359) za </w:t>
      </w:r>
      <w:r w:rsidR="00AE0DCD" w:rsidRPr="0045764A">
        <w:rPr>
          <w:rFonts w:eastAsia="TimesNewRoman"/>
          <w:szCs w:val="22"/>
          <w:lang w:val="sr-Latn-ME"/>
        </w:rPr>
        <w:t>liječenj</w:t>
      </w:r>
      <w:r w:rsidRPr="0045764A">
        <w:rPr>
          <w:rFonts w:eastAsia="TimesNewRoman"/>
          <w:szCs w:val="22"/>
          <w:lang w:val="sr-Latn-ME"/>
        </w:rPr>
        <w:t>e pacijenata sa RCC, događaji</w:t>
      </w:r>
      <w:r w:rsidR="00374DEC" w:rsidRPr="0045764A">
        <w:rPr>
          <w:rFonts w:eastAsia="TimesNewRoman"/>
          <w:szCs w:val="22"/>
          <w:lang w:val="sr-Latn-ME"/>
        </w:rPr>
        <w:t xml:space="preserve"> </w:t>
      </w:r>
      <w:r w:rsidRPr="0045764A">
        <w:rPr>
          <w:rFonts w:eastAsia="TimesNewRoman"/>
          <w:szCs w:val="22"/>
          <w:lang w:val="sr-Latn-ME"/>
        </w:rPr>
        <w:t xml:space="preserve">povezani sa srčanom </w:t>
      </w:r>
      <w:proofErr w:type="spellStart"/>
      <w:r w:rsidRPr="0045764A">
        <w:rPr>
          <w:rFonts w:eastAsia="TimesNewRoman"/>
          <w:szCs w:val="22"/>
          <w:lang w:val="sr-Latn-ME"/>
        </w:rPr>
        <w:t>insuficijencijom</w:t>
      </w:r>
      <w:proofErr w:type="spellEnd"/>
      <w:r w:rsidRPr="0045764A">
        <w:rPr>
          <w:rFonts w:eastAsia="TimesNewRoman"/>
          <w:szCs w:val="22"/>
          <w:lang w:val="sr-Latn-ME"/>
        </w:rPr>
        <w:t xml:space="preserve"> prijavljeni su kod 1,7% pacijenata koji su primali </w:t>
      </w:r>
      <w:proofErr w:type="spellStart"/>
      <w:r w:rsidRPr="0045764A">
        <w:rPr>
          <w:rFonts w:eastAsia="TimesNewRoman"/>
          <w:szCs w:val="22"/>
          <w:lang w:val="sr-Latn-ME"/>
        </w:rPr>
        <w:t>aksitinib</w:t>
      </w:r>
      <w:proofErr w:type="spellEnd"/>
      <w:r w:rsidRPr="0045764A">
        <w:rPr>
          <w:rFonts w:eastAsia="TimesNewRoman"/>
          <w:szCs w:val="22"/>
          <w:lang w:val="sr-Latn-ME"/>
        </w:rPr>
        <w:t>, uključujući</w:t>
      </w:r>
      <w:r w:rsidR="00566539" w:rsidRPr="0045764A">
        <w:rPr>
          <w:rFonts w:eastAsia="TimesNewRoman"/>
          <w:szCs w:val="22"/>
          <w:lang w:val="sr-Latn-ME"/>
        </w:rPr>
        <w:t xml:space="preserve"> </w:t>
      </w:r>
      <w:r w:rsidRPr="0045764A">
        <w:rPr>
          <w:rFonts w:eastAsia="TimesNewRoman"/>
          <w:szCs w:val="22"/>
          <w:lang w:val="sr-Latn-ME"/>
        </w:rPr>
        <w:t xml:space="preserve">srčanu </w:t>
      </w:r>
      <w:proofErr w:type="spellStart"/>
      <w:r w:rsidRPr="0045764A">
        <w:rPr>
          <w:rFonts w:eastAsia="TimesNewRoman"/>
          <w:szCs w:val="22"/>
          <w:lang w:val="sr-Latn-ME"/>
        </w:rPr>
        <w:t>insuficijenciju</w:t>
      </w:r>
      <w:proofErr w:type="spellEnd"/>
      <w:r w:rsidRPr="0045764A">
        <w:rPr>
          <w:rFonts w:eastAsia="TimesNewRoman"/>
          <w:szCs w:val="22"/>
          <w:lang w:val="sr-Latn-ME"/>
        </w:rPr>
        <w:t xml:space="preserve"> (0,6%), </w:t>
      </w:r>
      <w:proofErr w:type="spellStart"/>
      <w:r w:rsidRPr="0045764A">
        <w:rPr>
          <w:rFonts w:eastAsia="TimesNewRoman"/>
          <w:szCs w:val="22"/>
          <w:lang w:val="sr-Latn-ME"/>
        </w:rPr>
        <w:t>kardiopulmonarnu</w:t>
      </w:r>
      <w:proofErr w:type="spellEnd"/>
      <w:r w:rsidRPr="0045764A">
        <w:rPr>
          <w:rFonts w:eastAsia="TimesNewRoman"/>
          <w:szCs w:val="22"/>
          <w:lang w:val="sr-Latn-ME"/>
        </w:rPr>
        <w:t xml:space="preserve"> </w:t>
      </w:r>
      <w:proofErr w:type="spellStart"/>
      <w:r w:rsidRPr="0045764A">
        <w:rPr>
          <w:rFonts w:eastAsia="TimesNewRoman"/>
          <w:szCs w:val="22"/>
          <w:lang w:val="sr-Latn-ME"/>
        </w:rPr>
        <w:t>insuficijenciju</w:t>
      </w:r>
      <w:proofErr w:type="spellEnd"/>
      <w:r w:rsidRPr="0045764A">
        <w:rPr>
          <w:rFonts w:eastAsia="TimesNewRoman"/>
          <w:szCs w:val="22"/>
          <w:lang w:val="sr-Latn-ME"/>
        </w:rPr>
        <w:t xml:space="preserve"> (0,6%), </w:t>
      </w:r>
      <w:proofErr w:type="spellStart"/>
      <w:r w:rsidRPr="0045764A">
        <w:rPr>
          <w:rFonts w:eastAsia="TimesNewRoman"/>
          <w:szCs w:val="22"/>
          <w:lang w:val="sr-Latn-ME"/>
        </w:rPr>
        <w:t>disfunkciju</w:t>
      </w:r>
      <w:proofErr w:type="spellEnd"/>
      <w:r w:rsidRPr="0045764A">
        <w:rPr>
          <w:rFonts w:eastAsia="TimesNewRoman"/>
          <w:szCs w:val="22"/>
          <w:lang w:val="sr-Latn-ME"/>
        </w:rPr>
        <w:t xml:space="preserve"> l</w:t>
      </w:r>
      <w:r w:rsidR="00827F36" w:rsidRPr="0045764A">
        <w:rPr>
          <w:rFonts w:eastAsia="TimesNewRoman"/>
          <w:szCs w:val="22"/>
          <w:lang w:val="sr-Latn-ME"/>
        </w:rPr>
        <w:t>ij</w:t>
      </w:r>
      <w:r w:rsidRPr="0045764A">
        <w:rPr>
          <w:rFonts w:eastAsia="TimesNewRoman"/>
          <w:szCs w:val="22"/>
          <w:lang w:val="sr-Latn-ME"/>
        </w:rPr>
        <w:t xml:space="preserve">eve komore (0,3%) </w:t>
      </w:r>
      <w:r w:rsidR="00566539" w:rsidRPr="0045764A">
        <w:rPr>
          <w:rFonts w:eastAsia="TimesNewRoman"/>
          <w:szCs w:val="22"/>
          <w:lang w:val="sr-Latn-ME"/>
        </w:rPr>
        <w:t xml:space="preserve">i </w:t>
      </w:r>
      <w:proofErr w:type="spellStart"/>
      <w:r w:rsidRPr="0045764A">
        <w:rPr>
          <w:rFonts w:eastAsia="TimesNewRoman"/>
          <w:szCs w:val="22"/>
          <w:lang w:val="sr-Latn-ME"/>
        </w:rPr>
        <w:t>insuficijenciju</w:t>
      </w:r>
      <w:proofErr w:type="spellEnd"/>
      <w:r w:rsidRPr="0045764A">
        <w:rPr>
          <w:rFonts w:eastAsia="TimesNewRoman"/>
          <w:szCs w:val="22"/>
          <w:lang w:val="sr-Latn-ME"/>
        </w:rPr>
        <w:t xml:space="preserve"> desne komore (0,3%). Neželjen</w:t>
      </w:r>
      <w:r w:rsidR="00406C32" w:rsidRPr="0045764A">
        <w:rPr>
          <w:rFonts w:eastAsia="TimesNewRoman"/>
          <w:szCs w:val="22"/>
          <w:lang w:val="sr-Latn-ME"/>
        </w:rPr>
        <w:t>a</w:t>
      </w:r>
      <w:r w:rsidRPr="0045764A">
        <w:rPr>
          <w:rFonts w:eastAsia="TimesNewRoman"/>
          <w:szCs w:val="22"/>
          <w:lang w:val="sr-Latn-ME"/>
        </w:rPr>
        <w:t xml:space="preserve"> </w:t>
      </w:r>
      <w:r w:rsidR="00406C32" w:rsidRPr="0045764A">
        <w:rPr>
          <w:rFonts w:eastAsia="TimesNewRoman"/>
          <w:szCs w:val="22"/>
          <w:lang w:val="sr-Latn-ME"/>
        </w:rPr>
        <w:t xml:space="preserve">dejstva </w:t>
      </w:r>
      <w:r w:rsidRPr="0045764A">
        <w:rPr>
          <w:rFonts w:eastAsia="TimesNewRoman"/>
          <w:szCs w:val="22"/>
          <w:lang w:val="sr-Latn-ME"/>
        </w:rPr>
        <w:t xml:space="preserve">Gradusa 4 povezane sa srčanom </w:t>
      </w:r>
      <w:proofErr w:type="spellStart"/>
      <w:r w:rsidRPr="0045764A">
        <w:rPr>
          <w:rFonts w:eastAsia="TimesNewRoman"/>
          <w:szCs w:val="22"/>
          <w:lang w:val="sr-Latn-ME"/>
        </w:rPr>
        <w:t>insuficijencijom</w:t>
      </w:r>
      <w:proofErr w:type="spellEnd"/>
      <w:r w:rsidR="00566539" w:rsidRPr="0045764A">
        <w:rPr>
          <w:rFonts w:eastAsia="TimesNewRoman"/>
          <w:szCs w:val="22"/>
          <w:lang w:val="sr-Latn-ME"/>
        </w:rPr>
        <w:t xml:space="preserve"> </w:t>
      </w:r>
      <w:r w:rsidRPr="0045764A">
        <w:rPr>
          <w:rFonts w:eastAsia="TimesNewRoman"/>
          <w:szCs w:val="22"/>
          <w:lang w:val="sr-Latn-ME"/>
        </w:rPr>
        <w:t>zab</w:t>
      </w:r>
      <w:r w:rsidR="00827F36" w:rsidRPr="0045764A">
        <w:rPr>
          <w:rFonts w:eastAsia="TimesNewRoman"/>
          <w:szCs w:val="22"/>
          <w:lang w:val="sr-Latn-ME"/>
        </w:rPr>
        <w:t>i</w:t>
      </w:r>
      <w:r w:rsidRPr="0045764A">
        <w:rPr>
          <w:rFonts w:eastAsia="TimesNewRoman"/>
          <w:szCs w:val="22"/>
          <w:lang w:val="sr-Latn-ME"/>
        </w:rPr>
        <w:t>l</w:t>
      </w:r>
      <w:r w:rsidR="00827F36" w:rsidRPr="0045764A">
        <w:rPr>
          <w:rFonts w:eastAsia="TimesNewRoman"/>
          <w:szCs w:val="22"/>
          <w:lang w:val="sr-Latn-ME"/>
        </w:rPr>
        <w:t>j</w:t>
      </w:r>
      <w:r w:rsidRPr="0045764A">
        <w:rPr>
          <w:rFonts w:eastAsia="TimesNewRoman"/>
          <w:szCs w:val="22"/>
          <w:lang w:val="sr-Latn-ME"/>
        </w:rPr>
        <w:t xml:space="preserve">ežene su kod 0,6% pacijenata koji su primali </w:t>
      </w:r>
      <w:proofErr w:type="spellStart"/>
      <w:r w:rsidRPr="0045764A">
        <w:rPr>
          <w:rFonts w:eastAsia="TimesNewRoman"/>
          <w:szCs w:val="22"/>
          <w:lang w:val="sr-Latn-ME"/>
        </w:rPr>
        <w:t>aksitinib</w:t>
      </w:r>
      <w:proofErr w:type="spellEnd"/>
      <w:r w:rsidRPr="0045764A">
        <w:rPr>
          <w:rFonts w:eastAsia="TimesNewRoman"/>
          <w:szCs w:val="22"/>
          <w:lang w:val="sr-Latn-ME"/>
        </w:rPr>
        <w:t>, dok su događaji povezani sa fatalnom srčanom</w:t>
      </w:r>
      <w:r w:rsidR="00566539" w:rsidRPr="0045764A">
        <w:rPr>
          <w:rFonts w:eastAsia="TimesNewRoman"/>
          <w:szCs w:val="22"/>
          <w:lang w:val="sr-Latn-ME"/>
        </w:rPr>
        <w:t xml:space="preserve"> </w:t>
      </w:r>
      <w:proofErr w:type="spellStart"/>
      <w:r w:rsidRPr="0045764A">
        <w:rPr>
          <w:rFonts w:eastAsia="TimesNewRoman"/>
          <w:szCs w:val="22"/>
          <w:lang w:val="sr-Latn-ME"/>
        </w:rPr>
        <w:t>insuficijencijom</w:t>
      </w:r>
      <w:proofErr w:type="spellEnd"/>
      <w:r w:rsidRPr="0045764A">
        <w:rPr>
          <w:rFonts w:eastAsia="TimesNewRoman"/>
          <w:szCs w:val="22"/>
          <w:lang w:val="sr-Latn-ME"/>
        </w:rPr>
        <w:t xml:space="preserve"> zab</w:t>
      </w:r>
      <w:r w:rsidR="00827F36" w:rsidRPr="0045764A">
        <w:rPr>
          <w:rFonts w:eastAsia="TimesNewRoman"/>
          <w:szCs w:val="22"/>
          <w:lang w:val="sr-Latn-ME"/>
        </w:rPr>
        <w:t>i</w:t>
      </w:r>
      <w:r w:rsidRPr="0045764A">
        <w:rPr>
          <w:rFonts w:eastAsia="TimesNewRoman"/>
          <w:szCs w:val="22"/>
          <w:lang w:val="sr-Latn-ME"/>
        </w:rPr>
        <w:t>l</w:t>
      </w:r>
      <w:r w:rsidR="00827F36" w:rsidRPr="0045764A">
        <w:rPr>
          <w:rFonts w:eastAsia="TimesNewRoman"/>
          <w:szCs w:val="22"/>
          <w:lang w:val="sr-Latn-ME"/>
        </w:rPr>
        <w:t>j</w:t>
      </w:r>
      <w:r w:rsidRPr="0045764A">
        <w:rPr>
          <w:rFonts w:eastAsia="TimesNewRoman"/>
          <w:szCs w:val="22"/>
          <w:lang w:val="sr-Latn-ME"/>
        </w:rPr>
        <w:t>eženi kod 0,</w:t>
      </w:r>
      <w:r w:rsidR="009E20C6" w:rsidRPr="0045764A">
        <w:rPr>
          <w:rFonts w:eastAsia="TimesNewRoman"/>
          <w:szCs w:val="22"/>
          <w:lang w:val="sr-Latn-ME"/>
        </w:rPr>
        <w:t>6</w:t>
      </w:r>
      <w:r w:rsidRPr="0045764A">
        <w:rPr>
          <w:rFonts w:eastAsia="TimesNewRoman"/>
          <w:szCs w:val="22"/>
          <w:lang w:val="sr-Latn-ME"/>
        </w:rPr>
        <w:t xml:space="preserve">% pacijenata koji su primali </w:t>
      </w:r>
      <w:proofErr w:type="spellStart"/>
      <w:r w:rsidRPr="0045764A">
        <w:rPr>
          <w:rFonts w:eastAsia="TimesNewRoman"/>
          <w:szCs w:val="22"/>
          <w:lang w:val="sr-Latn-ME"/>
        </w:rPr>
        <w:t>aksitinib</w:t>
      </w:r>
      <w:proofErr w:type="spellEnd"/>
      <w:r w:rsidRPr="0045764A">
        <w:rPr>
          <w:rFonts w:eastAsia="TimesNewRoman"/>
          <w:szCs w:val="22"/>
          <w:lang w:val="sr-Latn-ME"/>
        </w:rPr>
        <w:t>.</w:t>
      </w:r>
    </w:p>
    <w:p w14:paraId="1D274391" w14:textId="77777777" w:rsidR="00566539" w:rsidRPr="0045764A" w:rsidRDefault="00566539" w:rsidP="00C65330">
      <w:pPr>
        <w:tabs>
          <w:tab w:val="clear" w:pos="284"/>
        </w:tabs>
        <w:autoSpaceDE w:val="0"/>
        <w:autoSpaceDN w:val="0"/>
        <w:adjustRightInd w:val="0"/>
        <w:rPr>
          <w:rFonts w:eastAsia="TimesNewRoman"/>
          <w:szCs w:val="22"/>
          <w:lang w:val="sr-Latn-ME"/>
        </w:rPr>
      </w:pPr>
    </w:p>
    <w:p w14:paraId="77D9D446" w14:textId="7E0AE1E2" w:rsidR="0049304E" w:rsidRPr="0045764A" w:rsidRDefault="0049304E"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U ispitivanjima </w:t>
      </w:r>
      <w:proofErr w:type="spellStart"/>
      <w:r w:rsidRPr="0045764A">
        <w:rPr>
          <w:rFonts w:eastAsia="TimesNewRoman"/>
          <w:szCs w:val="22"/>
          <w:lang w:val="sr-Latn-ME"/>
        </w:rPr>
        <w:t>monoterapije</w:t>
      </w:r>
      <w:proofErr w:type="spellEnd"/>
      <w:r w:rsidRPr="0045764A">
        <w:rPr>
          <w:rFonts w:eastAsia="TimesNewRoman"/>
          <w:szCs w:val="22"/>
          <w:lang w:val="sr-Latn-ME"/>
        </w:rPr>
        <w:t xml:space="preserve"> </w:t>
      </w:r>
      <w:proofErr w:type="spellStart"/>
      <w:r w:rsidRPr="0045764A">
        <w:rPr>
          <w:rFonts w:eastAsia="TimesNewRoman"/>
          <w:szCs w:val="22"/>
          <w:lang w:val="sr-Latn-ME"/>
        </w:rPr>
        <w:t>aksitinibom</w:t>
      </w:r>
      <w:proofErr w:type="spellEnd"/>
      <w:r w:rsidRPr="0045764A">
        <w:rPr>
          <w:rFonts w:eastAsia="TimesNewRoman"/>
          <w:szCs w:val="22"/>
          <w:lang w:val="sr-Latn-ME"/>
        </w:rPr>
        <w:t xml:space="preserve"> (N=672) za </w:t>
      </w:r>
      <w:r w:rsidR="00AE0DCD" w:rsidRPr="0045764A">
        <w:rPr>
          <w:rFonts w:eastAsia="TimesNewRoman"/>
          <w:szCs w:val="22"/>
          <w:lang w:val="sr-Latn-ME"/>
        </w:rPr>
        <w:t>liječenj</w:t>
      </w:r>
      <w:r w:rsidRPr="0045764A">
        <w:rPr>
          <w:rFonts w:eastAsia="TimesNewRoman"/>
          <w:szCs w:val="22"/>
          <w:lang w:val="sr-Latn-ME"/>
        </w:rPr>
        <w:t>e pacijenata sa RCC, događaji povezani sa</w:t>
      </w:r>
      <w:r w:rsidR="00566539" w:rsidRPr="0045764A">
        <w:rPr>
          <w:rFonts w:eastAsia="TimesNewRoman"/>
          <w:szCs w:val="22"/>
          <w:lang w:val="sr-Latn-ME"/>
        </w:rPr>
        <w:t xml:space="preserve"> </w:t>
      </w:r>
      <w:r w:rsidRPr="0045764A">
        <w:rPr>
          <w:rFonts w:eastAsia="TimesNewRoman"/>
          <w:szCs w:val="22"/>
          <w:lang w:val="sr-Latn-ME"/>
        </w:rPr>
        <w:t xml:space="preserve">srčanom </w:t>
      </w:r>
      <w:proofErr w:type="spellStart"/>
      <w:r w:rsidRPr="0045764A">
        <w:rPr>
          <w:rFonts w:eastAsia="TimesNewRoman"/>
          <w:szCs w:val="22"/>
          <w:lang w:val="sr-Latn-ME"/>
        </w:rPr>
        <w:t>insuficijencijom</w:t>
      </w:r>
      <w:proofErr w:type="spellEnd"/>
      <w:r w:rsidRPr="0045764A">
        <w:rPr>
          <w:rFonts w:eastAsia="TimesNewRoman"/>
          <w:szCs w:val="22"/>
          <w:lang w:val="sr-Latn-ME"/>
        </w:rPr>
        <w:t xml:space="preserve"> (uključujući srčanu </w:t>
      </w:r>
      <w:proofErr w:type="spellStart"/>
      <w:r w:rsidRPr="0045764A">
        <w:rPr>
          <w:rFonts w:eastAsia="TimesNewRoman"/>
          <w:szCs w:val="22"/>
          <w:lang w:val="sr-Latn-ME"/>
        </w:rPr>
        <w:t>insuficijenciju</w:t>
      </w:r>
      <w:proofErr w:type="spellEnd"/>
      <w:r w:rsidRPr="0045764A">
        <w:rPr>
          <w:rFonts w:eastAsia="TimesNewRoman"/>
          <w:szCs w:val="22"/>
          <w:lang w:val="sr-Latn-ME"/>
        </w:rPr>
        <w:t xml:space="preserve">, </w:t>
      </w:r>
      <w:proofErr w:type="spellStart"/>
      <w:r w:rsidRPr="0045764A">
        <w:rPr>
          <w:rFonts w:eastAsia="TimesNewRoman"/>
          <w:szCs w:val="22"/>
          <w:lang w:val="sr-Latn-ME"/>
        </w:rPr>
        <w:t>kongestivnu</w:t>
      </w:r>
      <w:proofErr w:type="spellEnd"/>
      <w:r w:rsidRPr="0045764A">
        <w:rPr>
          <w:rFonts w:eastAsia="TimesNewRoman"/>
          <w:szCs w:val="22"/>
          <w:lang w:val="sr-Latn-ME"/>
        </w:rPr>
        <w:t xml:space="preserve"> srčanu </w:t>
      </w:r>
      <w:proofErr w:type="spellStart"/>
      <w:r w:rsidRPr="0045764A">
        <w:rPr>
          <w:rFonts w:eastAsia="TimesNewRoman"/>
          <w:szCs w:val="22"/>
          <w:lang w:val="sr-Latn-ME"/>
        </w:rPr>
        <w:t>insuficijenciju</w:t>
      </w:r>
      <w:proofErr w:type="spellEnd"/>
      <w:r w:rsidRPr="0045764A">
        <w:rPr>
          <w:rFonts w:eastAsia="TimesNewRoman"/>
          <w:szCs w:val="22"/>
          <w:lang w:val="sr-Latn-ME"/>
        </w:rPr>
        <w:t>,</w:t>
      </w:r>
      <w:r w:rsidR="004C5CE5" w:rsidRPr="0045764A">
        <w:rPr>
          <w:rFonts w:eastAsia="TimesNewRoman"/>
          <w:szCs w:val="22"/>
          <w:lang w:val="sr-Latn-ME"/>
        </w:rPr>
        <w:t xml:space="preserve"> </w:t>
      </w:r>
      <w:proofErr w:type="spellStart"/>
      <w:r w:rsidRPr="0045764A">
        <w:rPr>
          <w:rFonts w:eastAsia="TimesNewRoman"/>
          <w:szCs w:val="22"/>
          <w:lang w:val="sr-Latn-ME"/>
        </w:rPr>
        <w:t>kardiopulmonarnu</w:t>
      </w:r>
      <w:proofErr w:type="spellEnd"/>
      <w:r w:rsidRPr="0045764A">
        <w:rPr>
          <w:rFonts w:eastAsia="TimesNewRoman"/>
          <w:szCs w:val="22"/>
          <w:lang w:val="sr-Latn-ME"/>
        </w:rPr>
        <w:t xml:space="preserve"> </w:t>
      </w:r>
      <w:proofErr w:type="spellStart"/>
      <w:r w:rsidRPr="0045764A">
        <w:rPr>
          <w:rFonts w:eastAsia="TimesNewRoman"/>
          <w:szCs w:val="22"/>
          <w:lang w:val="sr-Latn-ME"/>
        </w:rPr>
        <w:t>insuficijenciju</w:t>
      </w:r>
      <w:proofErr w:type="spellEnd"/>
      <w:r w:rsidRPr="0045764A">
        <w:rPr>
          <w:rFonts w:eastAsia="TimesNewRoman"/>
          <w:szCs w:val="22"/>
          <w:lang w:val="sr-Latn-ME"/>
        </w:rPr>
        <w:t xml:space="preserve">, </w:t>
      </w:r>
      <w:proofErr w:type="spellStart"/>
      <w:r w:rsidRPr="0045764A">
        <w:rPr>
          <w:rFonts w:eastAsia="TimesNewRoman"/>
          <w:szCs w:val="22"/>
          <w:lang w:val="sr-Latn-ME"/>
        </w:rPr>
        <w:t>disfunkciju</w:t>
      </w:r>
      <w:proofErr w:type="spellEnd"/>
      <w:r w:rsidRPr="0045764A">
        <w:rPr>
          <w:rFonts w:eastAsia="TimesNewRoman"/>
          <w:szCs w:val="22"/>
          <w:lang w:val="sr-Latn-ME"/>
        </w:rPr>
        <w:t xml:space="preserve"> l</w:t>
      </w:r>
      <w:r w:rsidR="00E77F21" w:rsidRPr="0045764A">
        <w:rPr>
          <w:rFonts w:eastAsia="TimesNewRoman"/>
          <w:szCs w:val="22"/>
          <w:lang w:val="sr-Latn-ME"/>
        </w:rPr>
        <w:t>ij</w:t>
      </w:r>
      <w:r w:rsidRPr="0045764A">
        <w:rPr>
          <w:rFonts w:eastAsia="TimesNewRoman"/>
          <w:szCs w:val="22"/>
          <w:lang w:val="sr-Latn-ME"/>
        </w:rPr>
        <w:t xml:space="preserve">eve komore, smanjenu </w:t>
      </w:r>
      <w:proofErr w:type="spellStart"/>
      <w:r w:rsidRPr="0045764A">
        <w:rPr>
          <w:rFonts w:eastAsia="TimesNewRoman"/>
          <w:szCs w:val="22"/>
          <w:lang w:val="sr-Latn-ME"/>
        </w:rPr>
        <w:t>ejekcionu</w:t>
      </w:r>
      <w:proofErr w:type="spellEnd"/>
      <w:r w:rsidRPr="0045764A">
        <w:rPr>
          <w:rFonts w:eastAsia="TimesNewRoman"/>
          <w:szCs w:val="22"/>
          <w:lang w:val="sr-Latn-ME"/>
        </w:rPr>
        <w:t xml:space="preserve"> frakciju i </w:t>
      </w:r>
      <w:proofErr w:type="spellStart"/>
      <w:r w:rsidRPr="0045764A">
        <w:rPr>
          <w:rFonts w:eastAsia="TimesNewRoman"/>
          <w:szCs w:val="22"/>
          <w:lang w:val="sr-Latn-ME"/>
        </w:rPr>
        <w:t>insuficijenciju</w:t>
      </w:r>
      <w:proofErr w:type="spellEnd"/>
      <w:r w:rsidR="004C5CE5" w:rsidRPr="0045764A">
        <w:rPr>
          <w:rFonts w:eastAsia="TimesNewRoman"/>
          <w:szCs w:val="22"/>
          <w:lang w:val="sr-Latn-ME"/>
        </w:rPr>
        <w:t xml:space="preserve"> </w:t>
      </w:r>
      <w:r w:rsidRPr="0045764A">
        <w:rPr>
          <w:rFonts w:eastAsia="TimesNewRoman"/>
          <w:szCs w:val="22"/>
          <w:lang w:val="sr-Latn-ME"/>
        </w:rPr>
        <w:t>desne komore) prijavljeni su kod 1,8% pacijenata. Događaji Gradusa 3/4 povezani sa srčanom</w:t>
      </w:r>
      <w:r w:rsidR="004C5CE5" w:rsidRPr="0045764A">
        <w:rPr>
          <w:rFonts w:eastAsia="TimesNewRoman"/>
          <w:szCs w:val="22"/>
          <w:lang w:val="sr-Latn-ME"/>
        </w:rPr>
        <w:t xml:space="preserve"> </w:t>
      </w:r>
      <w:proofErr w:type="spellStart"/>
      <w:r w:rsidRPr="0045764A">
        <w:rPr>
          <w:rFonts w:eastAsia="TimesNewRoman"/>
          <w:szCs w:val="22"/>
          <w:lang w:val="sr-Latn-ME"/>
        </w:rPr>
        <w:t>insuficijencijom</w:t>
      </w:r>
      <w:proofErr w:type="spellEnd"/>
      <w:r w:rsidRPr="0045764A">
        <w:rPr>
          <w:rFonts w:eastAsia="TimesNewRoman"/>
          <w:szCs w:val="22"/>
          <w:lang w:val="sr-Latn-ME"/>
        </w:rPr>
        <w:t xml:space="preserve"> </w:t>
      </w:r>
      <w:r w:rsidR="00E77F21" w:rsidRPr="0045764A">
        <w:rPr>
          <w:rFonts w:eastAsia="TimesNewRoman"/>
          <w:szCs w:val="22"/>
          <w:lang w:val="sr-Latn-ME"/>
        </w:rPr>
        <w:t>zabiljež</w:t>
      </w:r>
      <w:r w:rsidRPr="0045764A">
        <w:rPr>
          <w:rFonts w:eastAsia="TimesNewRoman"/>
          <w:szCs w:val="22"/>
          <w:lang w:val="sr-Latn-ME"/>
        </w:rPr>
        <w:t xml:space="preserve">eni su kod 1,0% </w:t>
      </w:r>
      <w:r w:rsidR="00EF08C8" w:rsidRPr="0045764A">
        <w:rPr>
          <w:rFonts w:eastAsia="TimesNewRoman"/>
          <w:szCs w:val="22"/>
          <w:lang w:val="sr-Latn-ME"/>
        </w:rPr>
        <w:t>pacijenata</w:t>
      </w:r>
      <w:r w:rsidRPr="0045764A">
        <w:rPr>
          <w:rFonts w:eastAsia="TimesNewRoman"/>
          <w:szCs w:val="22"/>
          <w:lang w:val="sr-Latn-ME"/>
        </w:rPr>
        <w:t xml:space="preserve">, a događaji povezani sa fatalnom srčanom </w:t>
      </w:r>
      <w:proofErr w:type="spellStart"/>
      <w:r w:rsidRPr="0045764A">
        <w:rPr>
          <w:rFonts w:eastAsia="TimesNewRoman"/>
          <w:szCs w:val="22"/>
          <w:lang w:val="sr-Latn-ME"/>
        </w:rPr>
        <w:t>insuficijencijom</w:t>
      </w:r>
      <w:proofErr w:type="spellEnd"/>
      <w:r w:rsidRPr="0045764A">
        <w:rPr>
          <w:rFonts w:eastAsia="TimesNewRoman"/>
          <w:szCs w:val="22"/>
          <w:lang w:val="sr-Latn-ME"/>
        </w:rPr>
        <w:t xml:space="preserve"> kod</w:t>
      </w:r>
      <w:r w:rsidR="004C5CE5" w:rsidRPr="0045764A">
        <w:rPr>
          <w:rFonts w:eastAsia="TimesNewRoman"/>
          <w:szCs w:val="22"/>
          <w:lang w:val="sr-Latn-ME"/>
        </w:rPr>
        <w:t xml:space="preserve"> </w:t>
      </w:r>
      <w:r w:rsidRPr="0045764A">
        <w:rPr>
          <w:rFonts w:eastAsia="TimesNewRoman"/>
          <w:szCs w:val="22"/>
          <w:lang w:val="sr-Latn-ME"/>
        </w:rPr>
        <w:t xml:space="preserve">0,3% pacijenata koji su primali </w:t>
      </w:r>
      <w:proofErr w:type="spellStart"/>
      <w:r w:rsidRPr="0045764A">
        <w:rPr>
          <w:rFonts w:eastAsia="TimesNewRoman"/>
          <w:szCs w:val="22"/>
          <w:lang w:val="sr-Latn-ME"/>
        </w:rPr>
        <w:t>aksitinib</w:t>
      </w:r>
      <w:proofErr w:type="spellEnd"/>
      <w:r w:rsidRPr="0045764A">
        <w:rPr>
          <w:rFonts w:eastAsia="TimesNewRoman"/>
          <w:szCs w:val="22"/>
          <w:lang w:val="sr-Latn-ME"/>
        </w:rPr>
        <w:t>.</w:t>
      </w:r>
    </w:p>
    <w:p w14:paraId="18C6857B" w14:textId="77777777" w:rsidR="00374DEC" w:rsidRPr="0045764A" w:rsidRDefault="00374DEC" w:rsidP="00C65330">
      <w:pPr>
        <w:tabs>
          <w:tab w:val="clear" w:pos="284"/>
        </w:tabs>
        <w:autoSpaceDE w:val="0"/>
        <w:autoSpaceDN w:val="0"/>
        <w:adjustRightInd w:val="0"/>
        <w:rPr>
          <w:rFonts w:eastAsia="TimesNewRoman"/>
          <w:szCs w:val="22"/>
          <w:lang w:val="sr-Latn-ME"/>
        </w:rPr>
      </w:pPr>
    </w:p>
    <w:p w14:paraId="7AB17D95" w14:textId="6667D53B" w:rsidR="0049304E" w:rsidRPr="0045764A" w:rsidRDefault="0049304E" w:rsidP="00C65330">
      <w:pPr>
        <w:tabs>
          <w:tab w:val="clear" w:pos="284"/>
        </w:tabs>
        <w:autoSpaceDE w:val="0"/>
        <w:autoSpaceDN w:val="0"/>
        <w:adjustRightInd w:val="0"/>
        <w:rPr>
          <w:rFonts w:eastAsia="TimesNewRoman"/>
          <w:szCs w:val="22"/>
          <w:lang w:val="sr-Latn-ME"/>
        </w:rPr>
      </w:pPr>
      <w:proofErr w:type="spellStart"/>
      <w:r w:rsidRPr="0045764A">
        <w:rPr>
          <w:i/>
          <w:iCs/>
          <w:szCs w:val="22"/>
          <w:lang w:val="sr-Latn-ME"/>
        </w:rPr>
        <w:t>Tireoidna</w:t>
      </w:r>
      <w:proofErr w:type="spellEnd"/>
      <w:r w:rsidRPr="0045764A">
        <w:rPr>
          <w:i/>
          <w:iCs/>
          <w:szCs w:val="22"/>
          <w:lang w:val="sr-Latn-ME"/>
        </w:rPr>
        <w:t xml:space="preserve"> </w:t>
      </w:r>
      <w:proofErr w:type="spellStart"/>
      <w:r w:rsidRPr="0045764A">
        <w:rPr>
          <w:i/>
          <w:iCs/>
          <w:szCs w:val="22"/>
          <w:lang w:val="sr-Latn-ME"/>
        </w:rPr>
        <w:t>disfunkcija</w:t>
      </w:r>
      <w:proofErr w:type="spellEnd"/>
      <w:r w:rsidRPr="0045764A">
        <w:rPr>
          <w:i/>
          <w:iCs/>
          <w:szCs w:val="22"/>
          <w:lang w:val="sr-Latn-ME"/>
        </w:rPr>
        <w:t xml:space="preserve"> </w:t>
      </w:r>
      <w:r w:rsidRPr="0045764A">
        <w:rPr>
          <w:rFonts w:eastAsia="TimesNewRoman"/>
          <w:szCs w:val="22"/>
          <w:lang w:val="sr-Latn-ME"/>
        </w:rPr>
        <w:t>(</w:t>
      </w:r>
      <w:r w:rsidR="006F7AEE" w:rsidRPr="0045764A">
        <w:rPr>
          <w:rFonts w:eastAsia="TimesNewRoman"/>
          <w:szCs w:val="22"/>
          <w:lang w:val="sr-Latn-ME"/>
        </w:rPr>
        <w:t>pogledati dio</w:t>
      </w:r>
      <w:r w:rsidRPr="0045764A">
        <w:rPr>
          <w:rFonts w:eastAsia="TimesNewRoman"/>
          <w:szCs w:val="22"/>
          <w:lang w:val="sr-Latn-ME"/>
        </w:rPr>
        <w:t xml:space="preserve"> 4.4)</w:t>
      </w:r>
    </w:p>
    <w:p w14:paraId="7809ABBB" w14:textId="6C25C68B" w:rsidR="00C53700" w:rsidRPr="0045764A" w:rsidRDefault="0049304E"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U kontrolisanom kliničkom ispitivanju sa </w:t>
      </w:r>
      <w:proofErr w:type="spellStart"/>
      <w:r w:rsidRPr="0045764A">
        <w:rPr>
          <w:rFonts w:eastAsia="TimesNewRoman"/>
          <w:szCs w:val="22"/>
          <w:lang w:val="sr-Latn-ME"/>
        </w:rPr>
        <w:t>aksitinibom</w:t>
      </w:r>
      <w:proofErr w:type="spellEnd"/>
      <w:r w:rsidRPr="0045764A">
        <w:rPr>
          <w:rFonts w:eastAsia="TimesNewRoman"/>
          <w:szCs w:val="22"/>
          <w:lang w:val="sr-Latn-ME"/>
        </w:rPr>
        <w:t xml:space="preserve"> za </w:t>
      </w:r>
      <w:r w:rsidR="00AE0DCD" w:rsidRPr="0045764A">
        <w:rPr>
          <w:rFonts w:eastAsia="TimesNewRoman"/>
          <w:szCs w:val="22"/>
          <w:lang w:val="sr-Latn-ME"/>
        </w:rPr>
        <w:t>liječenj</w:t>
      </w:r>
      <w:r w:rsidRPr="0045764A">
        <w:rPr>
          <w:rFonts w:eastAsia="TimesNewRoman"/>
          <w:szCs w:val="22"/>
          <w:lang w:val="sr-Latn-ME"/>
        </w:rPr>
        <w:t>e pacijenata sa RCC, prijavljena je pojava</w:t>
      </w:r>
      <w:r w:rsidR="00C53700" w:rsidRPr="0045764A">
        <w:rPr>
          <w:rFonts w:eastAsia="TimesNewRoman"/>
          <w:szCs w:val="22"/>
          <w:lang w:val="sr-Latn-ME"/>
        </w:rPr>
        <w:t xml:space="preserve"> </w:t>
      </w:r>
      <w:proofErr w:type="spellStart"/>
      <w:r w:rsidRPr="0045764A">
        <w:rPr>
          <w:rFonts w:eastAsia="TimesNewRoman"/>
          <w:szCs w:val="22"/>
          <w:lang w:val="sr-Latn-ME"/>
        </w:rPr>
        <w:t>hipotireoidizma</w:t>
      </w:r>
      <w:proofErr w:type="spellEnd"/>
      <w:r w:rsidRPr="0045764A">
        <w:rPr>
          <w:rFonts w:eastAsia="TimesNewRoman"/>
          <w:szCs w:val="22"/>
          <w:lang w:val="sr-Latn-ME"/>
        </w:rPr>
        <w:t xml:space="preserve"> kod 20,9% pacijenata i </w:t>
      </w:r>
      <w:proofErr w:type="spellStart"/>
      <w:r w:rsidRPr="0045764A">
        <w:rPr>
          <w:rFonts w:eastAsia="TimesNewRoman"/>
          <w:szCs w:val="22"/>
          <w:lang w:val="sr-Latn-ME"/>
        </w:rPr>
        <w:t>hipertireoidizma</w:t>
      </w:r>
      <w:proofErr w:type="spellEnd"/>
      <w:r w:rsidRPr="0045764A">
        <w:rPr>
          <w:rFonts w:eastAsia="TimesNewRoman"/>
          <w:szCs w:val="22"/>
          <w:lang w:val="sr-Latn-ME"/>
        </w:rPr>
        <w:t xml:space="preserve"> kod 1,1% pacijenata. Prijavljen je porast</w:t>
      </w:r>
      <w:r w:rsidR="00C53700" w:rsidRPr="0045764A">
        <w:rPr>
          <w:rFonts w:eastAsia="TimesNewRoman"/>
          <w:szCs w:val="22"/>
          <w:lang w:val="sr-Latn-ME"/>
        </w:rPr>
        <w:t xml:space="preserve"> </w:t>
      </w:r>
      <w:proofErr w:type="spellStart"/>
      <w:r w:rsidRPr="0045764A">
        <w:rPr>
          <w:rFonts w:eastAsia="TimesNewRoman"/>
          <w:szCs w:val="22"/>
          <w:lang w:val="sr-Latn-ME"/>
        </w:rPr>
        <w:t>tireostimulirajućeg</w:t>
      </w:r>
      <w:proofErr w:type="spellEnd"/>
      <w:r w:rsidRPr="0045764A">
        <w:rPr>
          <w:rFonts w:eastAsia="TimesNewRoman"/>
          <w:szCs w:val="22"/>
          <w:lang w:val="sr-Latn-ME"/>
        </w:rPr>
        <w:t xml:space="preserve"> hormona (TSH) kao neželjen</w:t>
      </w:r>
      <w:r w:rsidR="003D766C" w:rsidRPr="0045764A">
        <w:rPr>
          <w:rFonts w:eastAsia="TimesNewRoman"/>
          <w:szCs w:val="22"/>
          <w:lang w:val="sr-Latn-ME"/>
        </w:rPr>
        <w:t>o</w:t>
      </w:r>
      <w:r w:rsidRPr="0045764A">
        <w:rPr>
          <w:rFonts w:eastAsia="TimesNewRoman"/>
          <w:szCs w:val="22"/>
          <w:lang w:val="sr-Latn-ME"/>
        </w:rPr>
        <w:t xml:space="preserve"> </w:t>
      </w:r>
      <w:r w:rsidR="003D766C" w:rsidRPr="0045764A">
        <w:rPr>
          <w:rFonts w:eastAsia="TimesNewRoman"/>
          <w:szCs w:val="22"/>
          <w:lang w:val="sr-Latn-ME"/>
        </w:rPr>
        <w:t xml:space="preserve">dejstvo </w:t>
      </w:r>
      <w:r w:rsidRPr="0045764A">
        <w:rPr>
          <w:rFonts w:eastAsia="TimesNewRoman"/>
          <w:szCs w:val="22"/>
          <w:lang w:val="sr-Latn-ME"/>
        </w:rPr>
        <w:t xml:space="preserve">kod 5,3% pacijenata koji su primali </w:t>
      </w:r>
      <w:proofErr w:type="spellStart"/>
      <w:r w:rsidRPr="0045764A">
        <w:rPr>
          <w:rFonts w:eastAsia="TimesNewRoman"/>
          <w:szCs w:val="22"/>
          <w:lang w:val="sr-Latn-ME"/>
        </w:rPr>
        <w:t>aksitinib</w:t>
      </w:r>
      <w:proofErr w:type="spellEnd"/>
      <w:r w:rsidRPr="0045764A">
        <w:rPr>
          <w:rFonts w:eastAsia="TimesNewRoman"/>
          <w:szCs w:val="22"/>
          <w:lang w:val="sr-Latn-ME"/>
        </w:rPr>
        <w:t>.</w:t>
      </w:r>
      <w:r w:rsidR="00D90844" w:rsidRPr="0045764A">
        <w:rPr>
          <w:rFonts w:eastAsia="TimesNewRoman"/>
          <w:szCs w:val="22"/>
          <w:lang w:val="sr-Latn-ME"/>
        </w:rPr>
        <w:t xml:space="preserve"> </w:t>
      </w:r>
      <w:r w:rsidRPr="0045764A">
        <w:rPr>
          <w:rFonts w:eastAsia="TimesNewRoman"/>
          <w:szCs w:val="22"/>
          <w:lang w:val="sr-Latn-ME"/>
        </w:rPr>
        <w:t>Tokom rutinske laboratorijske proc</w:t>
      </w:r>
      <w:r w:rsidR="003E3F9D" w:rsidRPr="0045764A">
        <w:rPr>
          <w:rFonts w:eastAsia="TimesNewRoman"/>
          <w:szCs w:val="22"/>
          <w:lang w:val="sr-Latn-ME"/>
        </w:rPr>
        <w:t>j</w:t>
      </w:r>
      <w:r w:rsidRPr="0045764A">
        <w:rPr>
          <w:rFonts w:eastAsia="TimesNewRoman"/>
          <w:szCs w:val="22"/>
          <w:lang w:val="sr-Latn-ME"/>
        </w:rPr>
        <w:t xml:space="preserve">ene, povećanja </w:t>
      </w:r>
      <w:r w:rsidR="008E2492" w:rsidRPr="0045764A">
        <w:rPr>
          <w:rFonts w:eastAsia="TimesNewRoman"/>
          <w:szCs w:val="22"/>
          <w:lang w:val="sr-Latn-ME"/>
        </w:rPr>
        <w:t>vrijednost</w:t>
      </w:r>
      <w:r w:rsidRPr="0045764A">
        <w:rPr>
          <w:rFonts w:eastAsia="TimesNewRoman"/>
          <w:szCs w:val="22"/>
          <w:lang w:val="sr-Latn-ME"/>
        </w:rPr>
        <w:t xml:space="preserve">i TSH do </w:t>
      </w:r>
      <w:r w:rsidR="00021AB6" w:rsidRPr="0045764A">
        <w:rPr>
          <w:szCs w:val="22"/>
          <w:lang w:val="sr-Latn-ME"/>
        </w:rPr>
        <w:t>≥</w:t>
      </w:r>
      <w:r w:rsidRPr="0045764A">
        <w:rPr>
          <w:szCs w:val="22"/>
          <w:lang w:val="sr-Latn-ME"/>
        </w:rPr>
        <w:t xml:space="preserve"> </w:t>
      </w:r>
      <w:r w:rsidRPr="0045764A">
        <w:rPr>
          <w:rFonts w:eastAsia="TimesNewRoman"/>
          <w:szCs w:val="22"/>
          <w:lang w:val="sr-Latn-ME"/>
        </w:rPr>
        <w:t xml:space="preserve">10 </w:t>
      </w:r>
      <w:proofErr w:type="spellStart"/>
      <w:r w:rsidRPr="0045764A">
        <w:rPr>
          <w:rFonts w:eastAsia="TimesNewRoman"/>
          <w:szCs w:val="22"/>
          <w:lang w:val="sr-Latn-ME"/>
        </w:rPr>
        <w:t>mikrojedinica</w:t>
      </w:r>
      <w:proofErr w:type="spellEnd"/>
      <w:r w:rsidRPr="0045764A">
        <w:rPr>
          <w:rFonts w:eastAsia="TimesNewRoman"/>
          <w:szCs w:val="22"/>
          <w:lang w:val="sr-Latn-ME"/>
        </w:rPr>
        <w:t>/</w:t>
      </w:r>
      <w:proofErr w:type="spellStart"/>
      <w:r w:rsidRPr="0045764A">
        <w:rPr>
          <w:rFonts w:eastAsia="TimesNewRoman"/>
          <w:szCs w:val="22"/>
          <w:lang w:val="sr-Latn-ME"/>
        </w:rPr>
        <w:t>mL</w:t>
      </w:r>
      <w:proofErr w:type="spellEnd"/>
      <w:r w:rsidRPr="0045764A">
        <w:rPr>
          <w:rFonts w:eastAsia="TimesNewRoman"/>
          <w:szCs w:val="22"/>
          <w:lang w:val="sr-Latn-ME"/>
        </w:rPr>
        <w:t xml:space="preserve"> javila su se kod</w:t>
      </w:r>
      <w:r w:rsidR="00C53700" w:rsidRPr="0045764A">
        <w:rPr>
          <w:rFonts w:eastAsia="TimesNewRoman"/>
          <w:szCs w:val="22"/>
          <w:lang w:val="sr-Latn-ME"/>
        </w:rPr>
        <w:t xml:space="preserve"> </w:t>
      </w:r>
      <w:r w:rsidRPr="0045764A">
        <w:rPr>
          <w:rFonts w:eastAsia="TimesNewRoman"/>
          <w:szCs w:val="22"/>
          <w:lang w:val="sr-Latn-ME"/>
        </w:rPr>
        <w:t xml:space="preserve">32,2% pacijenata koji su primali </w:t>
      </w:r>
      <w:proofErr w:type="spellStart"/>
      <w:r w:rsidRPr="0045764A">
        <w:rPr>
          <w:rFonts w:eastAsia="TimesNewRoman"/>
          <w:szCs w:val="22"/>
          <w:lang w:val="sr-Latn-ME"/>
        </w:rPr>
        <w:t>aksitinib</w:t>
      </w:r>
      <w:proofErr w:type="spellEnd"/>
      <w:r w:rsidRPr="0045764A">
        <w:rPr>
          <w:rFonts w:eastAsia="TimesNewRoman"/>
          <w:szCs w:val="22"/>
          <w:lang w:val="sr-Latn-ME"/>
        </w:rPr>
        <w:t>, a koji su pr</w:t>
      </w:r>
      <w:r w:rsidR="003E3F9D" w:rsidRPr="0045764A">
        <w:rPr>
          <w:rFonts w:eastAsia="TimesNewRoman"/>
          <w:szCs w:val="22"/>
          <w:lang w:val="sr-Latn-ME"/>
        </w:rPr>
        <w:t>ij</w:t>
      </w:r>
      <w:r w:rsidRPr="0045764A">
        <w:rPr>
          <w:rFonts w:eastAsia="TimesNewRoman"/>
          <w:szCs w:val="22"/>
          <w:lang w:val="sr-Latn-ME"/>
        </w:rPr>
        <w:t xml:space="preserve">e početka terapije imali TSH &lt; 5 </w:t>
      </w:r>
      <w:proofErr w:type="spellStart"/>
      <w:r w:rsidRPr="0045764A">
        <w:rPr>
          <w:rFonts w:eastAsia="TimesNewRoman"/>
          <w:szCs w:val="22"/>
          <w:lang w:val="sr-Latn-ME"/>
        </w:rPr>
        <w:t>mikrojedinica</w:t>
      </w:r>
      <w:proofErr w:type="spellEnd"/>
      <w:r w:rsidRPr="0045764A">
        <w:rPr>
          <w:rFonts w:eastAsia="TimesNewRoman"/>
          <w:szCs w:val="22"/>
          <w:lang w:val="sr-Latn-ME"/>
        </w:rPr>
        <w:t>/</w:t>
      </w:r>
      <w:proofErr w:type="spellStart"/>
      <w:r w:rsidRPr="0045764A">
        <w:rPr>
          <w:rFonts w:eastAsia="TimesNewRoman"/>
          <w:szCs w:val="22"/>
          <w:lang w:val="sr-Latn-ME"/>
        </w:rPr>
        <w:t>mL</w:t>
      </w:r>
      <w:proofErr w:type="spellEnd"/>
      <w:r w:rsidRPr="0045764A">
        <w:rPr>
          <w:rFonts w:eastAsia="TimesNewRoman"/>
          <w:szCs w:val="22"/>
          <w:lang w:val="sr-Latn-ME"/>
        </w:rPr>
        <w:t>.</w:t>
      </w:r>
    </w:p>
    <w:p w14:paraId="04B91579" w14:textId="77777777" w:rsidR="002472E0" w:rsidRPr="0045764A" w:rsidRDefault="002472E0" w:rsidP="00C65330">
      <w:pPr>
        <w:tabs>
          <w:tab w:val="clear" w:pos="284"/>
        </w:tabs>
        <w:autoSpaceDE w:val="0"/>
        <w:autoSpaceDN w:val="0"/>
        <w:adjustRightInd w:val="0"/>
        <w:rPr>
          <w:rFonts w:eastAsia="TimesNewRoman"/>
          <w:szCs w:val="22"/>
          <w:lang w:val="sr-Latn-ME"/>
        </w:rPr>
      </w:pPr>
    </w:p>
    <w:p w14:paraId="0B78C316" w14:textId="788DD5C7" w:rsidR="0049304E" w:rsidRPr="0045764A" w:rsidRDefault="0049304E"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U </w:t>
      </w:r>
      <w:proofErr w:type="spellStart"/>
      <w:r w:rsidRPr="0045764A">
        <w:rPr>
          <w:rFonts w:eastAsia="TimesNewRoman"/>
          <w:szCs w:val="22"/>
          <w:lang w:val="sr-Latn-ME"/>
        </w:rPr>
        <w:t>objedinjenim</w:t>
      </w:r>
      <w:proofErr w:type="spellEnd"/>
      <w:r w:rsidRPr="0045764A">
        <w:rPr>
          <w:rFonts w:eastAsia="TimesNewRoman"/>
          <w:szCs w:val="22"/>
          <w:lang w:val="sr-Latn-ME"/>
        </w:rPr>
        <w:t xml:space="preserve"> kliničkim ispitivanjima sa </w:t>
      </w:r>
      <w:proofErr w:type="spellStart"/>
      <w:r w:rsidRPr="0045764A">
        <w:rPr>
          <w:rFonts w:eastAsia="TimesNewRoman"/>
          <w:szCs w:val="22"/>
          <w:lang w:val="sr-Latn-ME"/>
        </w:rPr>
        <w:t>aksitinibom</w:t>
      </w:r>
      <w:proofErr w:type="spellEnd"/>
      <w:r w:rsidRPr="0045764A">
        <w:rPr>
          <w:rFonts w:eastAsia="TimesNewRoman"/>
          <w:szCs w:val="22"/>
          <w:lang w:val="sr-Latn-ME"/>
        </w:rPr>
        <w:t xml:space="preserve"> (N=672) za </w:t>
      </w:r>
      <w:r w:rsidR="00AE0DCD" w:rsidRPr="0045764A">
        <w:rPr>
          <w:rFonts w:eastAsia="TimesNewRoman"/>
          <w:szCs w:val="22"/>
          <w:lang w:val="sr-Latn-ME"/>
        </w:rPr>
        <w:t>liječenj</w:t>
      </w:r>
      <w:r w:rsidRPr="0045764A">
        <w:rPr>
          <w:rFonts w:eastAsia="TimesNewRoman"/>
          <w:szCs w:val="22"/>
          <w:lang w:val="sr-Latn-ME"/>
        </w:rPr>
        <w:t>e pacijenata sa RCC,</w:t>
      </w:r>
      <w:r w:rsidR="00C53700" w:rsidRPr="0045764A">
        <w:rPr>
          <w:rFonts w:eastAsia="TimesNewRoman"/>
          <w:szCs w:val="22"/>
          <w:lang w:val="sr-Latn-ME"/>
        </w:rPr>
        <w:t xml:space="preserve"> </w:t>
      </w:r>
      <w:proofErr w:type="spellStart"/>
      <w:r w:rsidRPr="0045764A">
        <w:rPr>
          <w:rFonts w:eastAsia="TimesNewRoman"/>
          <w:szCs w:val="22"/>
          <w:lang w:val="sr-Latn-ME"/>
        </w:rPr>
        <w:t>hipotireoidizam</w:t>
      </w:r>
      <w:proofErr w:type="spellEnd"/>
      <w:r w:rsidRPr="0045764A">
        <w:rPr>
          <w:rFonts w:eastAsia="TimesNewRoman"/>
          <w:szCs w:val="22"/>
          <w:lang w:val="sr-Latn-ME"/>
        </w:rPr>
        <w:t xml:space="preserve"> je prijavljen kod 24,6% pacijenata koji su primali </w:t>
      </w:r>
      <w:proofErr w:type="spellStart"/>
      <w:r w:rsidRPr="0045764A">
        <w:rPr>
          <w:rFonts w:eastAsia="TimesNewRoman"/>
          <w:szCs w:val="22"/>
          <w:lang w:val="sr-Latn-ME"/>
        </w:rPr>
        <w:t>aksitinib</w:t>
      </w:r>
      <w:proofErr w:type="spellEnd"/>
      <w:r w:rsidRPr="0045764A">
        <w:rPr>
          <w:rFonts w:eastAsia="TimesNewRoman"/>
          <w:szCs w:val="22"/>
          <w:lang w:val="sr-Latn-ME"/>
        </w:rPr>
        <w:t xml:space="preserve">. </w:t>
      </w:r>
      <w:proofErr w:type="spellStart"/>
      <w:r w:rsidRPr="0045764A">
        <w:rPr>
          <w:rFonts w:eastAsia="TimesNewRoman"/>
          <w:szCs w:val="22"/>
          <w:lang w:val="sr-Latn-ME"/>
        </w:rPr>
        <w:t>Hipertireoidizam</w:t>
      </w:r>
      <w:proofErr w:type="spellEnd"/>
      <w:r w:rsidRPr="0045764A">
        <w:rPr>
          <w:rFonts w:eastAsia="TimesNewRoman"/>
          <w:szCs w:val="22"/>
          <w:lang w:val="sr-Latn-ME"/>
        </w:rPr>
        <w:t xml:space="preserve"> je prijavljen</w:t>
      </w:r>
      <w:r w:rsidR="00C53700" w:rsidRPr="0045764A">
        <w:rPr>
          <w:rFonts w:eastAsia="TimesNewRoman"/>
          <w:szCs w:val="22"/>
          <w:lang w:val="sr-Latn-ME"/>
        </w:rPr>
        <w:t xml:space="preserve"> </w:t>
      </w:r>
      <w:r w:rsidRPr="0045764A">
        <w:rPr>
          <w:rFonts w:eastAsia="TimesNewRoman"/>
          <w:szCs w:val="22"/>
          <w:lang w:val="sr-Latn-ME"/>
        </w:rPr>
        <w:t xml:space="preserve">kod 1,6% pacijenata koji su primali </w:t>
      </w:r>
      <w:proofErr w:type="spellStart"/>
      <w:r w:rsidRPr="0045764A">
        <w:rPr>
          <w:rFonts w:eastAsia="TimesNewRoman"/>
          <w:szCs w:val="22"/>
          <w:lang w:val="sr-Latn-ME"/>
        </w:rPr>
        <w:t>aksitinib</w:t>
      </w:r>
      <w:proofErr w:type="spellEnd"/>
      <w:r w:rsidRPr="0045764A">
        <w:rPr>
          <w:rFonts w:eastAsia="TimesNewRoman"/>
          <w:szCs w:val="22"/>
          <w:lang w:val="sr-Latn-ME"/>
        </w:rPr>
        <w:t>.</w:t>
      </w:r>
    </w:p>
    <w:p w14:paraId="29FA9951" w14:textId="77777777" w:rsidR="004C5CE5" w:rsidRPr="0045764A" w:rsidRDefault="004C5CE5" w:rsidP="00C65330">
      <w:pPr>
        <w:tabs>
          <w:tab w:val="clear" w:pos="284"/>
        </w:tabs>
        <w:autoSpaceDE w:val="0"/>
        <w:autoSpaceDN w:val="0"/>
        <w:adjustRightInd w:val="0"/>
        <w:rPr>
          <w:rFonts w:eastAsia="TimesNewRoman"/>
          <w:szCs w:val="22"/>
          <w:lang w:val="sr-Latn-ME"/>
        </w:rPr>
      </w:pPr>
    </w:p>
    <w:p w14:paraId="32E0E23C" w14:textId="23D5ABD3" w:rsidR="0049304E" w:rsidRPr="0045764A" w:rsidRDefault="0049304E" w:rsidP="00C65330">
      <w:pPr>
        <w:tabs>
          <w:tab w:val="clear" w:pos="284"/>
        </w:tabs>
        <w:autoSpaceDE w:val="0"/>
        <w:autoSpaceDN w:val="0"/>
        <w:adjustRightInd w:val="0"/>
        <w:rPr>
          <w:rFonts w:eastAsia="TimesNewRoman"/>
          <w:szCs w:val="22"/>
          <w:lang w:val="sr-Latn-ME"/>
        </w:rPr>
      </w:pPr>
      <w:r w:rsidRPr="0045764A">
        <w:rPr>
          <w:i/>
          <w:iCs/>
          <w:szCs w:val="22"/>
          <w:lang w:val="sr-Latn-ME"/>
        </w:rPr>
        <w:t xml:space="preserve">Venski embolijski i </w:t>
      </w:r>
      <w:proofErr w:type="spellStart"/>
      <w:r w:rsidRPr="0045764A">
        <w:rPr>
          <w:i/>
          <w:iCs/>
          <w:szCs w:val="22"/>
          <w:lang w:val="sr-Latn-ME"/>
        </w:rPr>
        <w:t>trombotični</w:t>
      </w:r>
      <w:proofErr w:type="spellEnd"/>
      <w:r w:rsidRPr="0045764A">
        <w:rPr>
          <w:i/>
          <w:iCs/>
          <w:szCs w:val="22"/>
          <w:lang w:val="sr-Latn-ME"/>
        </w:rPr>
        <w:t xml:space="preserve"> događaji </w:t>
      </w:r>
      <w:r w:rsidRPr="0045764A">
        <w:rPr>
          <w:rFonts w:eastAsia="TimesNewRoman"/>
          <w:szCs w:val="22"/>
          <w:lang w:val="sr-Latn-ME"/>
        </w:rPr>
        <w:t>(</w:t>
      </w:r>
      <w:r w:rsidR="006F7AEE" w:rsidRPr="0045764A">
        <w:rPr>
          <w:rFonts w:eastAsia="TimesNewRoman"/>
          <w:szCs w:val="22"/>
          <w:lang w:val="sr-Latn-ME"/>
        </w:rPr>
        <w:t>pogledati dio</w:t>
      </w:r>
      <w:r w:rsidRPr="0045764A">
        <w:rPr>
          <w:rFonts w:eastAsia="TimesNewRoman"/>
          <w:szCs w:val="22"/>
          <w:lang w:val="sr-Latn-ME"/>
        </w:rPr>
        <w:t xml:space="preserve"> 4.4)</w:t>
      </w:r>
    </w:p>
    <w:p w14:paraId="15D67E32" w14:textId="497C09D6" w:rsidR="0049304E" w:rsidRPr="0045764A" w:rsidRDefault="0049304E"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U kontrolisanom kliničkom ispitivanju sa </w:t>
      </w:r>
      <w:proofErr w:type="spellStart"/>
      <w:r w:rsidRPr="0045764A">
        <w:rPr>
          <w:rFonts w:eastAsia="TimesNewRoman"/>
          <w:szCs w:val="22"/>
          <w:lang w:val="sr-Latn-ME"/>
        </w:rPr>
        <w:t>aksitinibom</w:t>
      </w:r>
      <w:proofErr w:type="spellEnd"/>
      <w:r w:rsidRPr="0045764A">
        <w:rPr>
          <w:rFonts w:eastAsia="TimesNewRoman"/>
          <w:szCs w:val="22"/>
          <w:lang w:val="sr-Latn-ME"/>
        </w:rPr>
        <w:t xml:space="preserve"> za </w:t>
      </w:r>
      <w:r w:rsidR="00AE0DCD" w:rsidRPr="0045764A">
        <w:rPr>
          <w:rFonts w:eastAsia="TimesNewRoman"/>
          <w:szCs w:val="22"/>
          <w:lang w:val="sr-Latn-ME"/>
        </w:rPr>
        <w:t>liječenj</w:t>
      </w:r>
      <w:r w:rsidRPr="0045764A">
        <w:rPr>
          <w:rFonts w:eastAsia="TimesNewRoman"/>
          <w:szCs w:val="22"/>
          <w:lang w:val="sr-Latn-ME"/>
        </w:rPr>
        <w:t>e pacijenata sa RCC, prijavljene su vensk</w:t>
      </w:r>
      <w:r w:rsidR="003D766C" w:rsidRPr="0045764A">
        <w:rPr>
          <w:rFonts w:eastAsia="TimesNewRoman"/>
          <w:szCs w:val="22"/>
          <w:lang w:val="sr-Latn-ME"/>
        </w:rPr>
        <w:t>a</w:t>
      </w:r>
      <w:r w:rsidR="004C5CE5" w:rsidRPr="0045764A">
        <w:rPr>
          <w:rFonts w:eastAsia="TimesNewRoman"/>
          <w:szCs w:val="22"/>
          <w:lang w:val="sr-Latn-ME"/>
        </w:rPr>
        <w:t xml:space="preserve"> </w:t>
      </w:r>
      <w:r w:rsidRPr="0045764A">
        <w:rPr>
          <w:rFonts w:eastAsia="TimesNewRoman"/>
          <w:szCs w:val="22"/>
          <w:lang w:val="sr-Latn-ME"/>
        </w:rPr>
        <w:t>embolijsk</w:t>
      </w:r>
      <w:r w:rsidR="003D766C" w:rsidRPr="0045764A">
        <w:rPr>
          <w:rFonts w:eastAsia="TimesNewRoman"/>
          <w:szCs w:val="22"/>
          <w:lang w:val="sr-Latn-ME"/>
        </w:rPr>
        <w:t>a</w:t>
      </w:r>
      <w:r w:rsidRPr="0045764A">
        <w:rPr>
          <w:rFonts w:eastAsia="TimesNewRoman"/>
          <w:szCs w:val="22"/>
          <w:lang w:val="sr-Latn-ME"/>
        </w:rPr>
        <w:t xml:space="preserve"> i </w:t>
      </w:r>
      <w:proofErr w:type="spellStart"/>
      <w:r w:rsidRPr="0045764A">
        <w:rPr>
          <w:rFonts w:eastAsia="TimesNewRoman"/>
          <w:szCs w:val="22"/>
          <w:lang w:val="sr-Latn-ME"/>
        </w:rPr>
        <w:t>trombotičn</w:t>
      </w:r>
      <w:r w:rsidR="003D766C" w:rsidRPr="0045764A">
        <w:rPr>
          <w:rFonts w:eastAsia="TimesNewRoman"/>
          <w:szCs w:val="22"/>
          <w:lang w:val="sr-Latn-ME"/>
        </w:rPr>
        <w:t>a</w:t>
      </w:r>
      <w:proofErr w:type="spellEnd"/>
      <w:r w:rsidRPr="0045764A">
        <w:rPr>
          <w:rFonts w:eastAsia="TimesNewRoman"/>
          <w:szCs w:val="22"/>
          <w:lang w:val="sr-Latn-ME"/>
        </w:rPr>
        <w:t xml:space="preserve"> neželjen</w:t>
      </w:r>
      <w:r w:rsidR="003D766C" w:rsidRPr="0045764A">
        <w:rPr>
          <w:rFonts w:eastAsia="TimesNewRoman"/>
          <w:szCs w:val="22"/>
          <w:lang w:val="sr-Latn-ME"/>
        </w:rPr>
        <w:t>a</w:t>
      </w:r>
      <w:r w:rsidRPr="0045764A">
        <w:rPr>
          <w:rFonts w:eastAsia="TimesNewRoman"/>
          <w:szCs w:val="22"/>
          <w:lang w:val="sr-Latn-ME"/>
        </w:rPr>
        <w:t xml:space="preserve"> </w:t>
      </w:r>
      <w:r w:rsidR="003D766C" w:rsidRPr="0045764A">
        <w:rPr>
          <w:rFonts w:eastAsia="TimesNewRoman"/>
          <w:szCs w:val="22"/>
          <w:lang w:val="sr-Latn-ME"/>
        </w:rPr>
        <w:t xml:space="preserve">dejstva </w:t>
      </w:r>
      <w:r w:rsidRPr="0045764A">
        <w:rPr>
          <w:rFonts w:eastAsia="TimesNewRoman"/>
          <w:szCs w:val="22"/>
          <w:lang w:val="sr-Latn-ME"/>
        </w:rPr>
        <w:t xml:space="preserve">kod 3,9% pacijenata koji su primali </w:t>
      </w:r>
      <w:proofErr w:type="spellStart"/>
      <w:r w:rsidRPr="0045764A">
        <w:rPr>
          <w:rFonts w:eastAsia="TimesNewRoman"/>
          <w:szCs w:val="22"/>
          <w:lang w:val="sr-Latn-ME"/>
        </w:rPr>
        <w:t>aksitinib</w:t>
      </w:r>
      <w:proofErr w:type="spellEnd"/>
      <w:r w:rsidRPr="0045764A">
        <w:rPr>
          <w:rFonts w:eastAsia="TimesNewRoman"/>
          <w:szCs w:val="22"/>
          <w:lang w:val="sr-Latn-ME"/>
        </w:rPr>
        <w:t>, uključujući plućnu</w:t>
      </w:r>
      <w:r w:rsidR="004C5CE5" w:rsidRPr="0045764A">
        <w:rPr>
          <w:rFonts w:eastAsia="TimesNewRoman"/>
          <w:szCs w:val="22"/>
          <w:lang w:val="sr-Latn-ME"/>
        </w:rPr>
        <w:t xml:space="preserve"> </w:t>
      </w:r>
      <w:r w:rsidRPr="0045764A">
        <w:rPr>
          <w:rFonts w:eastAsia="TimesNewRoman"/>
          <w:szCs w:val="22"/>
          <w:lang w:val="sr-Latn-ME"/>
        </w:rPr>
        <w:t xml:space="preserve">emboliju (2,2%), </w:t>
      </w:r>
      <w:proofErr w:type="spellStart"/>
      <w:r w:rsidRPr="0045764A">
        <w:rPr>
          <w:rFonts w:eastAsia="TimesNewRoman"/>
          <w:szCs w:val="22"/>
          <w:lang w:val="sr-Latn-ME"/>
        </w:rPr>
        <w:t>okluziju</w:t>
      </w:r>
      <w:proofErr w:type="spellEnd"/>
      <w:r w:rsidRPr="0045764A">
        <w:rPr>
          <w:rFonts w:eastAsia="TimesNewRoman"/>
          <w:szCs w:val="22"/>
          <w:lang w:val="sr-Latn-ME"/>
        </w:rPr>
        <w:t xml:space="preserve">/trombozu </w:t>
      </w:r>
      <w:proofErr w:type="spellStart"/>
      <w:r w:rsidRPr="0045764A">
        <w:rPr>
          <w:rFonts w:eastAsia="TimesNewRoman"/>
          <w:szCs w:val="22"/>
          <w:lang w:val="sr-Latn-ME"/>
        </w:rPr>
        <w:t>retinalne</w:t>
      </w:r>
      <w:proofErr w:type="spellEnd"/>
      <w:r w:rsidRPr="0045764A">
        <w:rPr>
          <w:rFonts w:eastAsia="TimesNewRoman"/>
          <w:szCs w:val="22"/>
          <w:lang w:val="sr-Latn-ME"/>
        </w:rPr>
        <w:t xml:space="preserve"> vene (0,6%) i trombozu dubokih vena (0,6%). Vensk</w:t>
      </w:r>
      <w:r w:rsidR="003D766C" w:rsidRPr="0045764A">
        <w:rPr>
          <w:rFonts w:eastAsia="TimesNewRoman"/>
          <w:szCs w:val="22"/>
          <w:lang w:val="sr-Latn-ME"/>
        </w:rPr>
        <w:t>a</w:t>
      </w:r>
      <w:r w:rsidR="004C5CE5" w:rsidRPr="0045764A">
        <w:rPr>
          <w:rFonts w:eastAsia="TimesNewRoman"/>
          <w:szCs w:val="22"/>
          <w:lang w:val="sr-Latn-ME"/>
        </w:rPr>
        <w:t xml:space="preserve"> </w:t>
      </w:r>
      <w:r w:rsidRPr="0045764A">
        <w:rPr>
          <w:rFonts w:eastAsia="TimesNewRoman"/>
          <w:szCs w:val="22"/>
          <w:lang w:val="sr-Latn-ME"/>
        </w:rPr>
        <w:t>embolijsk</w:t>
      </w:r>
      <w:r w:rsidR="003D766C" w:rsidRPr="0045764A">
        <w:rPr>
          <w:rFonts w:eastAsia="TimesNewRoman"/>
          <w:szCs w:val="22"/>
          <w:lang w:val="sr-Latn-ME"/>
        </w:rPr>
        <w:t>a</w:t>
      </w:r>
      <w:r w:rsidRPr="0045764A">
        <w:rPr>
          <w:rFonts w:eastAsia="TimesNewRoman"/>
          <w:szCs w:val="22"/>
          <w:lang w:val="sr-Latn-ME"/>
        </w:rPr>
        <w:t xml:space="preserve"> i </w:t>
      </w:r>
      <w:proofErr w:type="spellStart"/>
      <w:r w:rsidRPr="0045764A">
        <w:rPr>
          <w:rFonts w:eastAsia="TimesNewRoman"/>
          <w:szCs w:val="22"/>
          <w:lang w:val="sr-Latn-ME"/>
        </w:rPr>
        <w:t>trombotičn</w:t>
      </w:r>
      <w:r w:rsidR="003D766C" w:rsidRPr="0045764A">
        <w:rPr>
          <w:rFonts w:eastAsia="TimesNewRoman"/>
          <w:szCs w:val="22"/>
          <w:lang w:val="sr-Latn-ME"/>
        </w:rPr>
        <w:t>a</w:t>
      </w:r>
      <w:proofErr w:type="spellEnd"/>
      <w:r w:rsidRPr="0045764A">
        <w:rPr>
          <w:rFonts w:eastAsia="TimesNewRoman"/>
          <w:szCs w:val="22"/>
          <w:lang w:val="sr-Latn-ME"/>
        </w:rPr>
        <w:t xml:space="preserve"> neželjen</w:t>
      </w:r>
      <w:r w:rsidR="003D766C" w:rsidRPr="0045764A">
        <w:rPr>
          <w:rFonts w:eastAsia="TimesNewRoman"/>
          <w:szCs w:val="22"/>
          <w:lang w:val="sr-Latn-ME"/>
        </w:rPr>
        <w:t>a</w:t>
      </w:r>
      <w:r w:rsidRPr="0045764A">
        <w:rPr>
          <w:rFonts w:eastAsia="TimesNewRoman"/>
          <w:szCs w:val="22"/>
          <w:lang w:val="sr-Latn-ME"/>
        </w:rPr>
        <w:t xml:space="preserve"> </w:t>
      </w:r>
      <w:r w:rsidR="003D766C" w:rsidRPr="0045764A">
        <w:rPr>
          <w:rFonts w:eastAsia="TimesNewRoman"/>
          <w:szCs w:val="22"/>
          <w:lang w:val="sr-Latn-ME"/>
        </w:rPr>
        <w:t xml:space="preserve">dejstva </w:t>
      </w:r>
      <w:r w:rsidRPr="0045764A">
        <w:rPr>
          <w:rFonts w:eastAsia="TimesNewRoman"/>
          <w:szCs w:val="22"/>
          <w:lang w:val="sr-Latn-ME"/>
        </w:rPr>
        <w:t>Gradusa 3/4 prijavljene su kod 3,1% pacijenata koji su primali</w:t>
      </w:r>
      <w:r w:rsidR="004C5CE5" w:rsidRPr="0045764A">
        <w:rPr>
          <w:rFonts w:eastAsia="TimesNewRoman"/>
          <w:szCs w:val="22"/>
          <w:lang w:val="sr-Latn-ME"/>
        </w:rPr>
        <w:t xml:space="preserve"> </w:t>
      </w:r>
      <w:proofErr w:type="spellStart"/>
      <w:r w:rsidRPr="0045764A">
        <w:rPr>
          <w:rFonts w:eastAsia="TimesNewRoman"/>
          <w:szCs w:val="22"/>
          <w:lang w:val="sr-Latn-ME"/>
        </w:rPr>
        <w:t>aksitinib</w:t>
      </w:r>
      <w:proofErr w:type="spellEnd"/>
      <w:r w:rsidRPr="0045764A">
        <w:rPr>
          <w:rFonts w:eastAsia="TimesNewRoman"/>
          <w:szCs w:val="22"/>
          <w:lang w:val="sr-Latn-ME"/>
        </w:rPr>
        <w:t xml:space="preserve">. Fatalna plućna embolija prijavljena je kod jednog pacijenta (0,3%) koji je primao </w:t>
      </w:r>
      <w:proofErr w:type="spellStart"/>
      <w:r w:rsidRPr="0045764A">
        <w:rPr>
          <w:rFonts w:eastAsia="TimesNewRoman"/>
          <w:szCs w:val="22"/>
          <w:lang w:val="sr-Latn-ME"/>
        </w:rPr>
        <w:t>aksitinib</w:t>
      </w:r>
      <w:proofErr w:type="spellEnd"/>
      <w:r w:rsidRPr="0045764A">
        <w:rPr>
          <w:rFonts w:eastAsia="TimesNewRoman"/>
          <w:szCs w:val="22"/>
          <w:lang w:val="sr-Latn-ME"/>
        </w:rPr>
        <w:t>.</w:t>
      </w:r>
    </w:p>
    <w:p w14:paraId="1B7E10CB" w14:textId="77777777" w:rsidR="0045116C" w:rsidRPr="0045764A" w:rsidRDefault="0045116C" w:rsidP="00C65330">
      <w:pPr>
        <w:tabs>
          <w:tab w:val="clear" w:pos="284"/>
        </w:tabs>
        <w:autoSpaceDE w:val="0"/>
        <w:autoSpaceDN w:val="0"/>
        <w:adjustRightInd w:val="0"/>
        <w:rPr>
          <w:rFonts w:eastAsia="TimesNewRoman"/>
          <w:szCs w:val="22"/>
          <w:lang w:val="sr-Latn-ME"/>
        </w:rPr>
      </w:pPr>
    </w:p>
    <w:p w14:paraId="6CEFD11A" w14:textId="1DD2FE17" w:rsidR="0049304E" w:rsidRPr="0045764A" w:rsidRDefault="0049304E"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U </w:t>
      </w:r>
      <w:proofErr w:type="spellStart"/>
      <w:r w:rsidRPr="0045764A">
        <w:rPr>
          <w:rFonts w:eastAsia="TimesNewRoman"/>
          <w:szCs w:val="22"/>
          <w:lang w:val="sr-Latn-ME"/>
        </w:rPr>
        <w:t>objedinjenim</w:t>
      </w:r>
      <w:proofErr w:type="spellEnd"/>
      <w:r w:rsidRPr="0045764A">
        <w:rPr>
          <w:rFonts w:eastAsia="TimesNewRoman"/>
          <w:szCs w:val="22"/>
          <w:lang w:val="sr-Latn-ME"/>
        </w:rPr>
        <w:t xml:space="preserve"> kliničkim ispitivanjima sa </w:t>
      </w:r>
      <w:proofErr w:type="spellStart"/>
      <w:r w:rsidRPr="0045764A">
        <w:rPr>
          <w:rFonts w:eastAsia="TimesNewRoman"/>
          <w:szCs w:val="22"/>
          <w:lang w:val="sr-Latn-ME"/>
        </w:rPr>
        <w:t>aksitinibom</w:t>
      </w:r>
      <w:proofErr w:type="spellEnd"/>
      <w:r w:rsidRPr="0045764A">
        <w:rPr>
          <w:rFonts w:eastAsia="TimesNewRoman"/>
          <w:szCs w:val="22"/>
          <w:lang w:val="sr-Latn-ME"/>
        </w:rPr>
        <w:t xml:space="preserve"> (N=672) za </w:t>
      </w:r>
      <w:r w:rsidR="00AE0DCD" w:rsidRPr="0045764A">
        <w:rPr>
          <w:rFonts w:eastAsia="TimesNewRoman"/>
          <w:szCs w:val="22"/>
          <w:lang w:val="sr-Latn-ME"/>
        </w:rPr>
        <w:t>liječenj</w:t>
      </w:r>
      <w:r w:rsidRPr="0045764A">
        <w:rPr>
          <w:rFonts w:eastAsia="TimesNewRoman"/>
          <w:szCs w:val="22"/>
          <w:lang w:val="sr-Latn-ME"/>
        </w:rPr>
        <w:t>e pacijenata sa RCC, prijavljeni su</w:t>
      </w:r>
      <w:r w:rsidR="00417F3E" w:rsidRPr="0045764A">
        <w:rPr>
          <w:rFonts w:eastAsia="TimesNewRoman"/>
          <w:szCs w:val="22"/>
          <w:lang w:val="sr-Latn-ME"/>
        </w:rPr>
        <w:t xml:space="preserve"> </w:t>
      </w:r>
      <w:r w:rsidRPr="0045764A">
        <w:rPr>
          <w:rFonts w:eastAsia="TimesNewRoman"/>
          <w:szCs w:val="22"/>
          <w:lang w:val="sr-Latn-ME"/>
        </w:rPr>
        <w:t xml:space="preserve">venski embolijski i </w:t>
      </w:r>
      <w:proofErr w:type="spellStart"/>
      <w:r w:rsidRPr="0045764A">
        <w:rPr>
          <w:rFonts w:eastAsia="TimesNewRoman"/>
          <w:szCs w:val="22"/>
          <w:lang w:val="sr-Latn-ME"/>
        </w:rPr>
        <w:t>trombotični</w:t>
      </w:r>
      <w:proofErr w:type="spellEnd"/>
      <w:r w:rsidRPr="0045764A">
        <w:rPr>
          <w:rFonts w:eastAsia="TimesNewRoman"/>
          <w:szCs w:val="22"/>
          <w:lang w:val="sr-Latn-ME"/>
        </w:rPr>
        <w:t xml:space="preserve"> događaji kod 2,8% pacijenata koji su primali </w:t>
      </w:r>
      <w:proofErr w:type="spellStart"/>
      <w:r w:rsidRPr="0045764A">
        <w:rPr>
          <w:rFonts w:eastAsia="TimesNewRoman"/>
          <w:szCs w:val="22"/>
          <w:lang w:val="sr-Latn-ME"/>
        </w:rPr>
        <w:t>aksitinib</w:t>
      </w:r>
      <w:proofErr w:type="spellEnd"/>
      <w:r w:rsidRPr="0045764A">
        <w:rPr>
          <w:rFonts w:eastAsia="TimesNewRoman"/>
          <w:szCs w:val="22"/>
          <w:lang w:val="sr-Latn-ME"/>
        </w:rPr>
        <w:t xml:space="preserve">. Venski embolijski </w:t>
      </w:r>
      <w:r w:rsidR="00417F3E" w:rsidRPr="0045764A">
        <w:rPr>
          <w:rFonts w:eastAsia="TimesNewRoman"/>
          <w:szCs w:val="22"/>
          <w:lang w:val="sr-Latn-ME"/>
        </w:rPr>
        <w:t xml:space="preserve">i </w:t>
      </w:r>
      <w:proofErr w:type="spellStart"/>
      <w:r w:rsidRPr="0045764A">
        <w:rPr>
          <w:rFonts w:eastAsia="TimesNewRoman"/>
          <w:szCs w:val="22"/>
          <w:lang w:val="sr-Latn-ME"/>
        </w:rPr>
        <w:t>trombotični</w:t>
      </w:r>
      <w:proofErr w:type="spellEnd"/>
      <w:r w:rsidRPr="0045764A">
        <w:rPr>
          <w:rFonts w:eastAsia="TimesNewRoman"/>
          <w:szCs w:val="22"/>
          <w:lang w:val="sr-Latn-ME"/>
        </w:rPr>
        <w:t xml:space="preserve"> događaji Gradusa 3 prijavljeni </w:t>
      </w:r>
      <w:r w:rsidR="00EF08C8" w:rsidRPr="0045764A">
        <w:rPr>
          <w:rFonts w:eastAsia="TimesNewRoman"/>
          <w:szCs w:val="22"/>
          <w:lang w:val="sr-Latn-ME"/>
        </w:rPr>
        <w:t xml:space="preserve">su </w:t>
      </w:r>
      <w:r w:rsidRPr="0045764A">
        <w:rPr>
          <w:rFonts w:eastAsia="TimesNewRoman"/>
          <w:szCs w:val="22"/>
          <w:lang w:val="sr-Latn-ME"/>
        </w:rPr>
        <w:t xml:space="preserve">kod 0,9% pacijenata. Venski embolijski i </w:t>
      </w:r>
      <w:proofErr w:type="spellStart"/>
      <w:r w:rsidRPr="0045764A">
        <w:rPr>
          <w:rFonts w:eastAsia="TimesNewRoman"/>
          <w:szCs w:val="22"/>
          <w:lang w:val="sr-Latn-ME"/>
        </w:rPr>
        <w:t>trombotični</w:t>
      </w:r>
      <w:proofErr w:type="spellEnd"/>
      <w:r w:rsidRPr="0045764A">
        <w:rPr>
          <w:rFonts w:eastAsia="TimesNewRoman"/>
          <w:szCs w:val="22"/>
          <w:lang w:val="sr-Latn-ME"/>
        </w:rPr>
        <w:t xml:space="preserve"> događaji</w:t>
      </w:r>
      <w:r w:rsidR="00417F3E" w:rsidRPr="0045764A">
        <w:rPr>
          <w:rFonts w:eastAsia="TimesNewRoman"/>
          <w:szCs w:val="22"/>
          <w:lang w:val="sr-Latn-ME"/>
        </w:rPr>
        <w:t xml:space="preserve"> </w:t>
      </w:r>
      <w:r w:rsidRPr="0045764A">
        <w:rPr>
          <w:rFonts w:eastAsia="TimesNewRoman"/>
          <w:szCs w:val="22"/>
          <w:lang w:val="sr-Latn-ME"/>
        </w:rPr>
        <w:t xml:space="preserve">Gradusa 4 prijavljeni </w:t>
      </w:r>
      <w:r w:rsidR="00EF08C8" w:rsidRPr="0045764A">
        <w:rPr>
          <w:rFonts w:eastAsia="TimesNewRoman"/>
          <w:szCs w:val="22"/>
          <w:lang w:val="sr-Latn-ME"/>
        </w:rPr>
        <w:t xml:space="preserve">su </w:t>
      </w:r>
      <w:r w:rsidRPr="0045764A">
        <w:rPr>
          <w:rFonts w:eastAsia="TimesNewRoman"/>
          <w:szCs w:val="22"/>
          <w:lang w:val="sr-Latn-ME"/>
        </w:rPr>
        <w:t xml:space="preserve">kod 1,2% pacijenata. Fatalni venski embolijski i </w:t>
      </w:r>
      <w:proofErr w:type="spellStart"/>
      <w:r w:rsidRPr="0045764A">
        <w:rPr>
          <w:rFonts w:eastAsia="TimesNewRoman"/>
          <w:szCs w:val="22"/>
          <w:lang w:val="sr-Latn-ME"/>
        </w:rPr>
        <w:t>trombotični</w:t>
      </w:r>
      <w:proofErr w:type="spellEnd"/>
      <w:r w:rsidRPr="0045764A">
        <w:rPr>
          <w:rFonts w:eastAsia="TimesNewRoman"/>
          <w:szCs w:val="22"/>
          <w:lang w:val="sr-Latn-ME"/>
        </w:rPr>
        <w:t xml:space="preserve"> događaji prijavljeni</w:t>
      </w:r>
      <w:r w:rsidR="00417F3E" w:rsidRPr="0045764A">
        <w:rPr>
          <w:rFonts w:eastAsia="TimesNewRoman"/>
          <w:szCs w:val="22"/>
          <w:lang w:val="sr-Latn-ME"/>
        </w:rPr>
        <w:t xml:space="preserve"> </w:t>
      </w:r>
      <w:r w:rsidR="00EF08C8" w:rsidRPr="0045764A">
        <w:rPr>
          <w:rFonts w:eastAsia="TimesNewRoman"/>
          <w:szCs w:val="22"/>
          <w:lang w:val="sr-Latn-ME"/>
        </w:rPr>
        <w:t xml:space="preserve">su </w:t>
      </w:r>
      <w:r w:rsidRPr="0045764A">
        <w:rPr>
          <w:rFonts w:eastAsia="TimesNewRoman"/>
          <w:szCs w:val="22"/>
          <w:lang w:val="sr-Latn-ME"/>
        </w:rPr>
        <w:t xml:space="preserve">kod 0,1% pacijenata koji su primali </w:t>
      </w:r>
      <w:proofErr w:type="spellStart"/>
      <w:r w:rsidRPr="0045764A">
        <w:rPr>
          <w:rFonts w:eastAsia="TimesNewRoman"/>
          <w:szCs w:val="22"/>
          <w:lang w:val="sr-Latn-ME"/>
        </w:rPr>
        <w:t>aksitinib</w:t>
      </w:r>
      <w:proofErr w:type="spellEnd"/>
      <w:r w:rsidRPr="0045764A">
        <w:rPr>
          <w:rFonts w:eastAsia="TimesNewRoman"/>
          <w:szCs w:val="22"/>
          <w:lang w:val="sr-Latn-ME"/>
        </w:rPr>
        <w:t>.</w:t>
      </w:r>
    </w:p>
    <w:p w14:paraId="49E1190E" w14:textId="77777777" w:rsidR="001E64EF" w:rsidRPr="0045764A" w:rsidRDefault="001E64EF" w:rsidP="00C65330">
      <w:pPr>
        <w:tabs>
          <w:tab w:val="clear" w:pos="284"/>
        </w:tabs>
        <w:autoSpaceDE w:val="0"/>
        <w:autoSpaceDN w:val="0"/>
        <w:adjustRightInd w:val="0"/>
        <w:rPr>
          <w:rFonts w:eastAsia="TimesNewRoman"/>
          <w:szCs w:val="22"/>
          <w:lang w:val="sr-Latn-ME"/>
        </w:rPr>
      </w:pPr>
    </w:p>
    <w:p w14:paraId="4735D1E6" w14:textId="6FB46F55" w:rsidR="0049304E" w:rsidRPr="0045764A" w:rsidRDefault="0049304E" w:rsidP="00C65330">
      <w:pPr>
        <w:tabs>
          <w:tab w:val="clear" w:pos="284"/>
        </w:tabs>
        <w:autoSpaceDE w:val="0"/>
        <w:autoSpaceDN w:val="0"/>
        <w:adjustRightInd w:val="0"/>
        <w:rPr>
          <w:rFonts w:eastAsia="TimesNewRoman"/>
          <w:szCs w:val="22"/>
          <w:lang w:val="sr-Latn-ME"/>
        </w:rPr>
      </w:pPr>
      <w:r w:rsidRPr="0045764A">
        <w:rPr>
          <w:i/>
          <w:iCs/>
          <w:szCs w:val="22"/>
          <w:lang w:val="sr-Latn-ME"/>
        </w:rPr>
        <w:t xml:space="preserve">Arterijski embolijski i </w:t>
      </w:r>
      <w:proofErr w:type="spellStart"/>
      <w:r w:rsidRPr="0045764A">
        <w:rPr>
          <w:i/>
          <w:iCs/>
          <w:szCs w:val="22"/>
          <w:lang w:val="sr-Latn-ME"/>
        </w:rPr>
        <w:t>trombotični</w:t>
      </w:r>
      <w:proofErr w:type="spellEnd"/>
      <w:r w:rsidRPr="0045764A">
        <w:rPr>
          <w:i/>
          <w:iCs/>
          <w:szCs w:val="22"/>
          <w:lang w:val="sr-Latn-ME"/>
        </w:rPr>
        <w:t xml:space="preserve"> događaji </w:t>
      </w:r>
      <w:r w:rsidRPr="0045764A">
        <w:rPr>
          <w:rFonts w:eastAsia="TimesNewRoman"/>
          <w:szCs w:val="22"/>
          <w:lang w:val="sr-Latn-ME"/>
        </w:rPr>
        <w:t>(</w:t>
      </w:r>
      <w:r w:rsidR="006F7AEE" w:rsidRPr="0045764A">
        <w:rPr>
          <w:rFonts w:eastAsia="TimesNewRoman"/>
          <w:szCs w:val="22"/>
          <w:lang w:val="sr-Latn-ME"/>
        </w:rPr>
        <w:t>pogledati dio</w:t>
      </w:r>
      <w:r w:rsidRPr="0045764A">
        <w:rPr>
          <w:rFonts w:eastAsia="TimesNewRoman"/>
          <w:szCs w:val="22"/>
          <w:lang w:val="sr-Latn-ME"/>
        </w:rPr>
        <w:t xml:space="preserve"> 4.4)</w:t>
      </w:r>
    </w:p>
    <w:p w14:paraId="54052BBF" w14:textId="1B70C30B" w:rsidR="00B2314E" w:rsidRPr="0045764A" w:rsidRDefault="0049304E"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U kontrolisanom kliničkom ispitivanju sa </w:t>
      </w:r>
      <w:proofErr w:type="spellStart"/>
      <w:r w:rsidRPr="0045764A">
        <w:rPr>
          <w:rFonts w:eastAsia="TimesNewRoman"/>
          <w:szCs w:val="22"/>
          <w:lang w:val="sr-Latn-ME"/>
        </w:rPr>
        <w:t>aksitinibom</w:t>
      </w:r>
      <w:proofErr w:type="spellEnd"/>
      <w:r w:rsidRPr="0045764A">
        <w:rPr>
          <w:rFonts w:eastAsia="TimesNewRoman"/>
          <w:szCs w:val="22"/>
          <w:lang w:val="sr-Latn-ME"/>
        </w:rPr>
        <w:t xml:space="preserve"> za </w:t>
      </w:r>
      <w:r w:rsidR="00AE0DCD" w:rsidRPr="0045764A">
        <w:rPr>
          <w:rFonts w:eastAsia="TimesNewRoman"/>
          <w:szCs w:val="22"/>
          <w:lang w:val="sr-Latn-ME"/>
        </w:rPr>
        <w:t>liječenj</w:t>
      </w:r>
      <w:r w:rsidRPr="0045764A">
        <w:rPr>
          <w:rFonts w:eastAsia="TimesNewRoman"/>
          <w:szCs w:val="22"/>
          <w:lang w:val="sr-Latn-ME"/>
        </w:rPr>
        <w:t>e pacijenata sa RCC, prijavljen</w:t>
      </w:r>
      <w:r w:rsidR="003D766C" w:rsidRPr="0045764A">
        <w:rPr>
          <w:rFonts w:eastAsia="TimesNewRoman"/>
          <w:szCs w:val="22"/>
          <w:lang w:val="sr-Latn-ME"/>
        </w:rPr>
        <w:t>a</w:t>
      </w:r>
      <w:r w:rsidRPr="0045764A">
        <w:rPr>
          <w:rFonts w:eastAsia="TimesNewRoman"/>
          <w:szCs w:val="22"/>
          <w:lang w:val="sr-Latn-ME"/>
        </w:rPr>
        <w:t xml:space="preserve"> su arterijsk</w:t>
      </w:r>
      <w:r w:rsidR="003D766C" w:rsidRPr="0045764A">
        <w:rPr>
          <w:rFonts w:eastAsia="TimesNewRoman"/>
          <w:szCs w:val="22"/>
          <w:lang w:val="sr-Latn-ME"/>
        </w:rPr>
        <w:t>a</w:t>
      </w:r>
      <w:r w:rsidR="00781D51" w:rsidRPr="0045764A">
        <w:rPr>
          <w:rFonts w:eastAsia="TimesNewRoman"/>
          <w:szCs w:val="22"/>
          <w:lang w:val="sr-Latn-ME"/>
        </w:rPr>
        <w:t xml:space="preserve"> </w:t>
      </w:r>
      <w:r w:rsidRPr="0045764A">
        <w:rPr>
          <w:rFonts w:eastAsia="TimesNewRoman"/>
          <w:szCs w:val="22"/>
          <w:lang w:val="sr-Latn-ME"/>
        </w:rPr>
        <w:t>embolijsk</w:t>
      </w:r>
      <w:r w:rsidR="003D766C" w:rsidRPr="0045764A">
        <w:rPr>
          <w:rFonts w:eastAsia="TimesNewRoman"/>
          <w:szCs w:val="22"/>
          <w:lang w:val="sr-Latn-ME"/>
        </w:rPr>
        <w:t>a</w:t>
      </w:r>
      <w:r w:rsidRPr="0045764A">
        <w:rPr>
          <w:rFonts w:eastAsia="TimesNewRoman"/>
          <w:szCs w:val="22"/>
          <w:lang w:val="sr-Latn-ME"/>
        </w:rPr>
        <w:t xml:space="preserve"> i </w:t>
      </w:r>
      <w:proofErr w:type="spellStart"/>
      <w:r w:rsidRPr="0045764A">
        <w:rPr>
          <w:rFonts w:eastAsia="TimesNewRoman"/>
          <w:szCs w:val="22"/>
          <w:lang w:val="sr-Latn-ME"/>
        </w:rPr>
        <w:t>trombotičn</w:t>
      </w:r>
      <w:r w:rsidR="003D766C" w:rsidRPr="0045764A">
        <w:rPr>
          <w:rFonts w:eastAsia="TimesNewRoman"/>
          <w:szCs w:val="22"/>
          <w:lang w:val="sr-Latn-ME"/>
        </w:rPr>
        <w:t>a</w:t>
      </w:r>
      <w:proofErr w:type="spellEnd"/>
      <w:r w:rsidRPr="0045764A">
        <w:rPr>
          <w:rFonts w:eastAsia="TimesNewRoman"/>
          <w:szCs w:val="22"/>
          <w:lang w:val="sr-Latn-ME"/>
        </w:rPr>
        <w:t xml:space="preserve"> neželjen</w:t>
      </w:r>
      <w:r w:rsidR="003D766C" w:rsidRPr="0045764A">
        <w:rPr>
          <w:rFonts w:eastAsia="TimesNewRoman"/>
          <w:szCs w:val="22"/>
          <w:lang w:val="sr-Latn-ME"/>
        </w:rPr>
        <w:t>a</w:t>
      </w:r>
      <w:r w:rsidRPr="0045764A">
        <w:rPr>
          <w:rFonts w:eastAsia="TimesNewRoman"/>
          <w:szCs w:val="22"/>
          <w:lang w:val="sr-Latn-ME"/>
        </w:rPr>
        <w:t xml:space="preserve"> </w:t>
      </w:r>
      <w:r w:rsidR="003D766C" w:rsidRPr="0045764A">
        <w:rPr>
          <w:rFonts w:eastAsia="TimesNewRoman"/>
          <w:szCs w:val="22"/>
          <w:lang w:val="sr-Latn-ME"/>
        </w:rPr>
        <w:t xml:space="preserve">dejstva </w:t>
      </w:r>
      <w:r w:rsidRPr="0045764A">
        <w:rPr>
          <w:rFonts w:eastAsia="TimesNewRoman"/>
          <w:szCs w:val="22"/>
          <w:lang w:val="sr-Latn-ME"/>
        </w:rPr>
        <w:t xml:space="preserve">kod 4,7% pacijenata koji su primali </w:t>
      </w:r>
      <w:proofErr w:type="spellStart"/>
      <w:r w:rsidRPr="0045764A">
        <w:rPr>
          <w:rFonts w:eastAsia="TimesNewRoman"/>
          <w:szCs w:val="22"/>
          <w:lang w:val="sr-Latn-ME"/>
        </w:rPr>
        <w:t>aksitinib</w:t>
      </w:r>
      <w:proofErr w:type="spellEnd"/>
      <w:r w:rsidRPr="0045764A">
        <w:rPr>
          <w:rFonts w:eastAsia="TimesNewRoman"/>
          <w:szCs w:val="22"/>
          <w:lang w:val="sr-Latn-ME"/>
        </w:rPr>
        <w:t xml:space="preserve">, </w:t>
      </w:r>
      <w:r w:rsidRPr="0045764A">
        <w:rPr>
          <w:rFonts w:eastAsia="TimesNewRoman"/>
          <w:szCs w:val="22"/>
          <w:lang w:val="sr-Latn-ME"/>
        </w:rPr>
        <w:lastRenderedPageBreak/>
        <w:t xml:space="preserve">uključujući </w:t>
      </w:r>
      <w:r w:rsidR="00781D51" w:rsidRPr="0045764A">
        <w:rPr>
          <w:rFonts w:eastAsia="TimesNewRoman"/>
          <w:szCs w:val="22"/>
          <w:lang w:val="sr-Latn-ME"/>
        </w:rPr>
        <w:t xml:space="preserve">infarkt </w:t>
      </w:r>
      <w:proofErr w:type="spellStart"/>
      <w:r w:rsidRPr="0045764A">
        <w:rPr>
          <w:rFonts w:eastAsia="TimesNewRoman"/>
          <w:szCs w:val="22"/>
          <w:lang w:val="sr-Latn-ME"/>
        </w:rPr>
        <w:t>miokarda</w:t>
      </w:r>
      <w:proofErr w:type="spellEnd"/>
      <w:r w:rsidRPr="0045764A">
        <w:rPr>
          <w:rFonts w:eastAsia="TimesNewRoman"/>
          <w:szCs w:val="22"/>
          <w:lang w:val="sr-Latn-ME"/>
        </w:rPr>
        <w:t xml:space="preserve"> (1,4%), tranzitorni </w:t>
      </w:r>
      <w:proofErr w:type="spellStart"/>
      <w:r w:rsidRPr="0045764A">
        <w:rPr>
          <w:rFonts w:eastAsia="TimesNewRoman"/>
          <w:szCs w:val="22"/>
          <w:lang w:val="sr-Latn-ME"/>
        </w:rPr>
        <w:t>ishemijski</w:t>
      </w:r>
      <w:proofErr w:type="spellEnd"/>
      <w:r w:rsidRPr="0045764A">
        <w:rPr>
          <w:rFonts w:eastAsia="TimesNewRoman"/>
          <w:szCs w:val="22"/>
          <w:lang w:val="sr-Latn-ME"/>
        </w:rPr>
        <w:t xml:space="preserve"> napad (0,8%) i </w:t>
      </w:r>
      <w:proofErr w:type="spellStart"/>
      <w:r w:rsidRPr="0045764A">
        <w:rPr>
          <w:rFonts w:eastAsia="TimesNewRoman"/>
          <w:szCs w:val="22"/>
          <w:lang w:val="sr-Latn-ME"/>
        </w:rPr>
        <w:t>cerebrovaskularni</w:t>
      </w:r>
      <w:proofErr w:type="spellEnd"/>
      <w:r w:rsidRPr="0045764A">
        <w:rPr>
          <w:rFonts w:eastAsia="TimesNewRoman"/>
          <w:szCs w:val="22"/>
          <w:lang w:val="sr-Latn-ME"/>
        </w:rPr>
        <w:t xml:space="preserve"> </w:t>
      </w:r>
      <w:proofErr w:type="spellStart"/>
      <w:r w:rsidRPr="0045764A">
        <w:rPr>
          <w:rFonts w:eastAsia="TimesNewRoman"/>
          <w:szCs w:val="22"/>
          <w:lang w:val="sr-Latn-ME"/>
        </w:rPr>
        <w:t>insult</w:t>
      </w:r>
      <w:proofErr w:type="spellEnd"/>
      <w:r w:rsidRPr="0045764A">
        <w:rPr>
          <w:rFonts w:eastAsia="TimesNewRoman"/>
          <w:szCs w:val="22"/>
          <w:lang w:val="sr-Latn-ME"/>
        </w:rPr>
        <w:t xml:space="preserve"> (0,6%). Arterijsk</w:t>
      </w:r>
      <w:r w:rsidR="003D766C" w:rsidRPr="0045764A">
        <w:rPr>
          <w:rFonts w:eastAsia="TimesNewRoman"/>
          <w:szCs w:val="22"/>
          <w:lang w:val="sr-Latn-ME"/>
        </w:rPr>
        <w:t>a</w:t>
      </w:r>
      <w:r w:rsidR="00781D51" w:rsidRPr="0045764A">
        <w:rPr>
          <w:rFonts w:eastAsia="TimesNewRoman"/>
          <w:szCs w:val="22"/>
          <w:lang w:val="sr-Latn-ME"/>
        </w:rPr>
        <w:t xml:space="preserve"> </w:t>
      </w:r>
      <w:r w:rsidRPr="0045764A">
        <w:rPr>
          <w:rFonts w:eastAsia="TimesNewRoman"/>
          <w:szCs w:val="22"/>
          <w:lang w:val="sr-Latn-ME"/>
        </w:rPr>
        <w:t>embolijsk</w:t>
      </w:r>
      <w:r w:rsidR="003D766C" w:rsidRPr="0045764A">
        <w:rPr>
          <w:rFonts w:eastAsia="TimesNewRoman"/>
          <w:szCs w:val="22"/>
          <w:lang w:val="sr-Latn-ME"/>
        </w:rPr>
        <w:t>a</w:t>
      </w:r>
      <w:r w:rsidRPr="0045764A">
        <w:rPr>
          <w:rFonts w:eastAsia="TimesNewRoman"/>
          <w:szCs w:val="22"/>
          <w:lang w:val="sr-Latn-ME"/>
        </w:rPr>
        <w:t xml:space="preserve"> i </w:t>
      </w:r>
      <w:proofErr w:type="spellStart"/>
      <w:r w:rsidRPr="0045764A">
        <w:rPr>
          <w:rFonts w:eastAsia="TimesNewRoman"/>
          <w:szCs w:val="22"/>
          <w:lang w:val="sr-Latn-ME"/>
        </w:rPr>
        <w:t>trombotičn</w:t>
      </w:r>
      <w:r w:rsidR="003D766C" w:rsidRPr="0045764A">
        <w:rPr>
          <w:rFonts w:eastAsia="TimesNewRoman"/>
          <w:szCs w:val="22"/>
          <w:lang w:val="sr-Latn-ME"/>
        </w:rPr>
        <w:t>a</w:t>
      </w:r>
      <w:proofErr w:type="spellEnd"/>
      <w:r w:rsidRPr="0045764A">
        <w:rPr>
          <w:rFonts w:eastAsia="TimesNewRoman"/>
          <w:szCs w:val="22"/>
          <w:lang w:val="sr-Latn-ME"/>
        </w:rPr>
        <w:t xml:space="preserve"> neželjen</w:t>
      </w:r>
      <w:r w:rsidR="003D766C" w:rsidRPr="0045764A">
        <w:rPr>
          <w:rFonts w:eastAsia="TimesNewRoman"/>
          <w:szCs w:val="22"/>
          <w:lang w:val="sr-Latn-ME"/>
        </w:rPr>
        <w:t>a</w:t>
      </w:r>
      <w:r w:rsidRPr="0045764A">
        <w:rPr>
          <w:rFonts w:eastAsia="TimesNewRoman"/>
          <w:szCs w:val="22"/>
          <w:lang w:val="sr-Latn-ME"/>
        </w:rPr>
        <w:t xml:space="preserve"> </w:t>
      </w:r>
      <w:r w:rsidR="003D766C" w:rsidRPr="0045764A">
        <w:rPr>
          <w:rFonts w:eastAsia="TimesNewRoman"/>
          <w:szCs w:val="22"/>
          <w:lang w:val="sr-Latn-ME"/>
        </w:rPr>
        <w:t xml:space="preserve">dejstva </w:t>
      </w:r>
      <w:r w:rsidRPr="0045764A">
        <w:rPr>
          <w:rFonts w:eastAsia="TimesNewRoman"/>
          <w:szCs w:val="22"/>
          <w:lang w:val="sr-Latn-ME"/>
        </w:rPr>
        <w:t xml:space="preserve">Gradusa 3/4 </w:t>
      </w:r>
      <w:r w:rsidR="00E77F21" w:rsidRPr="0045764A">
        <w:rPr>
          <w:rFonts w:eastAsia="TimesNewRoman"/>
          <w:szCs w:val="22"/>
          <w:lang w:val="sr-Latn-ME"/>
        </w:rPr>
        <w:t>zabiljež</w:t>
      </w:r>
      <w:r w:rsidRPr="0045764A">
        <w:rPr>
          <w:rFonts w:eastAsia="TimesNewRoman"/>
          <w:szCs w:val="22"/>
          <w:lang w:val="sr-Latn-ME"/>
        </w:rPr>
        <w:t>en</w:t>
      </w:r>
      <w:r w:rsidR="003D766C" w:rsidRPr="0045764A">
        <w:rPr>
          <w:rFonts w:eastAsia="TimesNewRoman"/>
          <w:szCs w:val="22"/>
          <w:lang w:val="sr-Latn-ME"/>
        </w:rPr>
        <w:t>a</w:t>
      </w:r>
      <w:r w:rsidRPr="0045764A">
        <w:rPr>
          <w:rFonts w:eastAsia="TimesNewRoman"/>
          <w:szCs w:val="22"/>
          <w:lang w:val="sr-Latn-ME"/>
        </w:rPr>
        <w:t xml:space="preserve"> su kod 3,3% pacijenata koji su primali</w:t>
      </w:r>
      <w:r w:rsidR="00781D51" w:rsidRPr="0045764A">
        <w:rPr>
          <w:rFonts w:eastAsia="TimesNewRoman"/>
          <w:szCs w:val="22"/>
          <w:lang w:val="sr-Latn-ME"/>
        </w:rPr>
        <w:t xml:space="preserve"> </w:t>
      </w:r>
      <w:proofErr w:type="spellStart"/>
      <w:r w:rsidRPr="0045764A">
        <w:rPr>
          <w:rFonts w:eastAsia="TimesNewRoman"/>
          <w:szCs w:val="22"/>
          <w:lang w:val="sr-Latn-ME"/>
        </w:rPr>
        <w:t>aksitinib</w:t>
      </w:r>
      <w:proofErr w:type="spellEnd"/>
      <w:r w:rsidRPr="0045764A">
        <w:rPr>
          <w:rFonts w:eastAsia="TimesNewRoman"/>
          <w:szCs w:val="22"/>
          <w:lang w:val="sr-Latn-ME"/>
        </w:rPr>
        <w:t xml:space="preserve">. Fatalni akutni infarkt </w:t>
      </w:r>
      <w:proofErr w:type="spellStart"/>
      <w:r w:rsidRPr="0045764A">
        <w:rPr>
          <w:rFonts w:eastAsia="TimesNewRoman"/>
          <w:szCs w:val="22"/>
          <w:lang w:val="sr-Latn-ME"/>
        </w:rPr>
        <w:t>miokarda</w:t>
      </w:r>
      <w:proofErr w:type="spellEnd"/>
      <w:r w:rsidRPr="0045764A">
        <w:rPr>
          <w:rFonts w:eastAsia="TimesNewRoman"/>
          <w:szCs w:val="22"/>
          <w:lang w:val="sr-Latn-ME"/>
        </w:rPr>
        <w:t xml:space="preserve"> i </w:t>
      </w:r>
      <w:proofErr w:type="spellStart"/>
      <w:r w:rsidRPr="0045764A">
        <w:rPr>
          <w:rFonts w:eastAsia="TimesNewRoman"/>
          <w:szCs w:val="22"/>
          <w:lang w:val="sr-Latn-ME"/>
        </w:rPr>
        <w:t>cerebrovaskularni</w:t>
      </w:r>
      <w:proofErr w:type="spellEnd"/>
      <w:r w:rsidRPr="0045764A">
        <w:rPr>
          <w:rFonts w:eastAsia="TimesNewRoman"/>
          <w:szCs w:val="22"/>
          <w:lang w:val="sr-Latn-ME"/>
        </w:rPr>
        <w:t xml:space="preserve"> </w:t>
      </w:r>
      <w:proofErr w:type="spellStart"/>
      <w:r w:rsidRPr="0045764A">
        <w:rPr>
          <w:rFonts w:eastAsia="TimesNewRoman"/>
          <w:szCs w:val="22"/>
          <w:lang w:val="sr-Latn-ME"/>
        </w:rPr>
        <w:t>insult</w:t>
      </w:r>
      <w:proofErr w:type="spellEnd"/>
      <w:r w:rsidRPr="0045764A">
        <w:rPr>
          <w:rFonts w:eastAsia="TimesNewRoman"/>
          <w:szCs w:val="22"/>
          <w:lang w:val="sr-Latn-ME"/>
        </w:rPr>
        <w:t xml:space="preserve"> prijavljeni su kod po jednog pacijenta</w:t>
      </w:r>
      <w:r w:rsidR="00781D51" w:rsidRPr="0045764A">
        <w:rPr>
          <w:rFonts w:eastAsia="TimesNewRoman"/>
          <w:szCs w:val="22"/>
          <w:lang w:val="sr-Latn-ME"/>
        </w:rPr>
        <w:t xml:space="preserve"> </w:t>
      </w:r>
      <w:r w:rsidRPr="0045764A">
        <w:rPr>
          <w:rFonts w:eastAsia="TimesNewRoman"/>
          <w:szCs w:val="22"/>
          <w:lang w:val="sr-Latn-ME"/>
        </w:rPr>
        <w:t xml:space="preserve">(0,3%). U ispitivanjima </w:t>
      </w:r>
      <w:proofErr w:type="spellStart"/>
      <w:r w:rsidRPr="0045764A">
        <w:rPr>
          <w:rFonts w:eastAsia="TimesNewRoman"/>
          <w:szCs w:val="22"/>
          <w:lang w:val="sr-Latn-ME"/>
        </w:rPr>
        <w:t>monoterapije</w:t>
      </w:r>
      <w:proofErr w:type="spellEnd"/>
      <w:r w:rsidRPr="0045764A">
        <w:rPr>
          <w:rFonts w:eastAsia="TimesNewRoman"/>
          <w:szCs w:val="22"/>
          <w:lang w:val="sr-Latn-ME"/>
        </w:rPr>
        <w:t xml:space="preserve"> </w:t>
      </w:r>
      <w:proofErr w:type="spellStart"/>
      <w:r w:rsidRPr="0045764A">
        <w:rPr>
          <w:rFonts w:eastAsia="TimesNewRoman"/>
          <w:szCs w:val="22"/>
          <w:lang w:val="sr-Latn-ME"/>
        </w:rPr>
        <w:t>aksitinibom</w:t>
      </w:r>
      <w:proofErr w:type="spellEnd"/>
      <w:r w:rsidRPr="0045764A">
        <w:rPr>
          <w:rFonts w:eastAsia="TimesNewRoman"/>
          <w:szCs w:val="22"/>
          <w:lang w:val="sr-Latn-ME"/>
        </w:rPr>
        <w:t xml:space="preserve"> (N=850), arterijsk</w:t>
      </w:r>
      <w:r w:rsidR="003D766C" w:rsidRPr="0045764A">
        <w:rPr>
          <w:rFonts w:eastAsia="TimesNewRoman"/>
          <w:szCs w:val="22"/>
          <w:lang w:val="sr-Latn-ME"/>
        </w:rPr>
        <w:t>a</w:t>
      </w:r>
      <w:r w:rsidRPr="0045764A">
        <w:rPr>
          <w:rFonts w:eastAsia="TimesNewRoman"/>
          <w:szCs w:val="22"/>
          <w:lang w:val="sr-Latn-ME"/>
        </w:rPr>
        <w:t xml:space="preserve"> embolijsk</w:t>
      </w:r>
      <w:r w:rsidR="003D766C" w:rsidRPr="0045764A">
        <w:rPr>
          <w:rFonts w:eastAsia="TimesNewRoman"/>
          <w:szCs w:val="22"/>
          <w:lang w:val="sr-Latn-ME"/>
        </w:rPr>
        <w:t>a</w:t>
      </w:r>
      <w:r w:rsidRPr="0045764A">
        <w:rPr>
          <w:rFonts w:eastAsia="TimesNewRoman"/>
          <w:szCs w:val="22"/>
          <w:lang w:val="sr-Latn-ME"/>
        </w:rPr>
        <w:t xml:space="preserve"> i </w:t>
      </w:r>
      <w:proofErr w:type="spellStart"/>
      <w:r w:rsidRPr="0045764A">
        <w:rPr>
          <w:rFonts w:eastAsia="TimesNewRoman"/>
          <w:szCs w:val="22"/>
          <w:lang w:val="sr-Latn-ME"/>
        </w:rPr>
        <w:t>trombotičn</w:t>
      </w:r>
      <w:r w:rsidR="003D766C" w:rsidRPr="0045764A">
        <w:rPr>
          <w:rFonts w:eastAsia="TimesNewRoman"/>
          <w:szCs w:val="22"/>
          <w:lang w:val="sr-Latn-ME"/>
        </w:rPr>
        <w:t>a</w:t>
      </w:r>
      <w:proofErr w:type="spellEnd"/>
      <w:r w:rsidRPr="0045764A">
        <w:rPr>
          <w:rFonts w:eastAsia="TimesNewRoman"/>
          <w:szCs w:val="22"/>
          <w:lang w:val="sr-Latn-ME"/>
        </w:rPr>
        <w:t xml:space="preserve"> neželjen</w:t>
      </w:r>
      <w:r w:rsidR="003D766C" w:rsidRPr="0045764A">
        <w:rPr>
          <w:rFonts w:eastAsia="TimesNewRoman"/>
          <w:szCs w:val="22"/>
          <w:lang w:val="sr-Latn-ME"/>
        </w:rPr>
        <w:t>a</w:t>
      </w:r>
      <w:r w:rsidR="00781D51" w:rsidRPr="0045764A">
        <w:rPr>
          <w:rFonts w:eastAsia="TimesNewRoman"/>
          <w:szCs w:val="22"/>
          <w:lang w:val="sr-Latn-ME"/>
        </w:rPr>
        <w:t xml:space="preserve"> </w:t>
      </w:r>
      <w:r w:rsidR="003D766C" w:rsidRPr="0045764A">
        <w:rPr>
          <w:rFonts w:eastAsia="TimesNewRoman"/>
          <w:szCs w:val="22"/>
          <w:lang w:val="sr-Latn-ME"/>
        </w:rPr>
        <w:t xml:space="preserve">dejstva </w:t>
      </w:r>
      <w:r w:rsidRPr="0045764A">
        <w:rPr>
          <w:rFonts w:eastAsia="TimesNewRoman"/>
          <w:szCs w:val="22"/>
          <w:lang w:val="sr-Latn-ME"/>
        </w:rPr>
        <w:t xml:space="preserve">(uključujući tranzitorni </w:t>
      </w:r>
      <w:proofErr w:type="spellStart"/>
      <w:r w:rsidRPr="0045764A">
        <w:rPr>
          <w:rFonts w:eastAsia="TimesNewRoman"/>
          <w:szCs w:val="22"/>
          <w:lang w:val="sr-Latn-ME"/>
        </w:rPr>
        <w:t>ishemijski</w:t>
      </w:r>
      <w:proofErr w:type="spellEnd"/>
      <w:r w:rsidRPr="0045764A">
        <w:rPr>
          <w:rFonts w:eastAsia="TimesNewRoman"/>
          <w:szCs w:val="22"/>
          <w:lang w:val="sr-Latn-ME"/>
        </w:rPr>
        <w:t xml:space="preserve"> napad, infarkt </w:t>
      </w:r>
      <w:proofErr w:type="spellStart"/>
      <w:r w:rsidRPr="0045764A">
        <w:rPr>
          <w:rFonts w:eastAsia="TimesNewRoman"/>
          <w:szCs w:val="22"/>
          <w:lang w:val="sr-Latn-ME"/>
        </w:rPr>
        <w:t>miokarda</w:t>
      </w:r>
      <w:proofErr w:type="spellEnd"/>
      <w:r w:rsidRPr="0045764A">
        <w:rPr>
          <w:rFonts w:eastAsia="TimesNewRoman"/>
          <w:szCs w:val="22"/>
          <w:lang w:val="sr-Latn-ME"/>
        </w:rPr>
        <w:t xml:space="preserve"> i </w:t>
      </w:r>
      <w:proofErr w:type="spellStart"/>
      <w:r w:rsidRPr="0045764A">
        <w:rPr>
          <w:rFonts w:eastAsia="TimesNewRoman"/>
          <w:szCs w:val="22"/>
          <w:lang w:val="sr-Latn-ME"/>
        </w:rPr>
        <w:t>cerebrovaskularni</w:t>
      </w:r>
      <w:proofErr w:type="spellEnd"/>
      <w:r w:rsidRPr="0045764A">
        <w:rPr>
          <w:rFonts w:eastAsia="TimesNewRoman"/>
          <w:szCs w:val="22"/>
          <w:lang w:val="sr-Latn-ME"/>
        </w:rPr>
        <w:t xml:space="preserve"> </w:t>
      </w:r>
      <w:proofErr w:type="spellStart"/>
      <w:r w:rsidRPr="0045764A">
        <w:rPr>
          <w:rFonts w:eastAsia="TimesNewRoman"/>
          <w:szCs w:val="22"/>
          <w:lang w:val="sr-Latn-ME"/>
        </w:rPr>
        <w:t>insult</w:t>
      </w:r>
      <w:proofErr w:type="spellEnd"/>
      <w:r w:rsidRPr="0045764A">
        <w:rPr>
          <w:rFonts w:eastAsia="TimesNewRoman"/>
          <w:szCs w:val="22"/>
          <w:lang w:val="sr-Latn-ME"/>
        </w:rPr>
        <w:t>) prijavljen</w:t>
      </w:r>
      <w:r w:rsidR="003D766C" w:rsidRPr="0045764A">
        <w:rPr>
          <w:rFonts w:eastAsia="TimesNewRoman"/>
          <w:szCs w:val="22"/>
          <w:lang w:val="sr-Latn-ME"/>
        </w:rPr>
        <w:t>a</w:t>
      </w:r>
      <w:r w:rsidRPr="0045764A">
        <w:rPr>
          <w:rFonts w:eastAsia="TimesNewRoman"/>
          <w:szCs w:val="22"/>
          <w:lang w:val="sr-Latn-ME"/>
        </w:rPr>
        <w:t xml:space="preserve"> su</w:t>
      </w:r>
      <w:r w:rsidR="00781D51" w:rsidRPr="0045764A">
        <w:rPr>
          <w:rFonts w:eastAsia="TimesNewRoman"/>
          <w:szCs w:val="22"/>
          <w:lang w:val="sr-Latn-ME"/>
        </w:rPr>
        <w:t xml:space="preserve"> </w:t>
      </w:r>
      <w:r w:rsidRPr="0045764A">
        <w:rPr>
          <w:rFonts w:eastAsia="TimesNewRoman"/>
          <w:szCs w:val="22"/>
          <w:lang w:val="sr-Latn-ME"/>
        </w:rPr>
        <w:t xml:space="preserve">kod 5,3% pacijenata koji su primali </w:t>
      </w:r>
      <w:proofErr w:type="spellStart"/>
      <w:r w:rsidRPr="0045764A">
        <w:rPr>
          <w:rFonts w:eastAsia="TimesNewRoman"/>
          <w:szCs w:val="22"/>
          <w:lang w:val="sr-Latn-ME"/>
        </w:rPr>
        <w:t>aksitinib</w:t>
      </w:r>
      <w:proofErr w:type="spellEnd"/>
      <w:r w:rsidRPr="0045764A">
        <w:rPr>
          <w:rFonts w:eastAsia="TimesNewRoman"/>
          <w:szCs w:val="22"/>
          <w:lang w:val="sr-Latn-ME"/>
        </w:rPr>
        <w:t>.</w:t>
      </w:r>
    </w:p>
    <w:p w14:paraId="7EF89A18" w14:textId="18230142" w:rsidR="00B2314E" w:rsidRPr="0045764A" w:rsidRDefault="00B2314E" w:rsidP="00C65330">
      <w:pPr>
        <w:rPr>
          <w:szCs w:val="22"/>
          <w:u w:val="single"/>
          <w:lang w:val="sr-Latn-ME"/>
        </w:rPr>
      </w:pPr>
    </w:p>
    <w:p w14:paraId="6A5B10C7" w14:textId="52FBE236" w:rsidR="00864363" w:rsidRPr="0045764A" w:rsidRDefault="00864363"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U </w:t>
      </w:r>
      <w:proofErr w:type="spellStart"/>
      <w:r w:rsidRPr="0045764A">
        <w:rPr>
          <w:rFonts w:eastAsia="TimesNewRoman"/>
          <w:szCs w:val="22"/>
          <w:lang w:val="sr-Latn-ME"/>
        </w:rPr>
        <w:t>objedinjenim</w:t>
      </w:r>
      <w:proofErr w:type="spellEnd"/>
      <w:r w:rsidRPr="0045764A">
        <w:rPr>
          <w:rFonts w:eastAsia="TimesNewRoman"/>
          <w:szCs w:val="22"/>
          <w:lang w:val="sr-Latn-ME"/>
        </w:rPr>
        <w:t xml:space="preserve"> kliničkim ispitivanjima sa </w:t>
      </w:r>
      <w:proofErr w:type="spellStart"/>
      <w:r w:rsidRPr="0045764A">
        <w:rPr>
          <w:rFonts w:eastAsia="TimesNewRoman"/>
          <w:szCs w:val="22"/>
          <w:lang w:val="sr-Latn-ME"/>
        </w:rPr>
        <w:t>aksitinibom</w:t>
      </w:r>
      <w:proofErr w:type="spellEnd"/>
      <w:r w:rsidRPr="0045764A">
        <w:rPr>
          <w:rFonts w:eastAsia="TimesNewRoman"/>
          <w:szCs w:val="22"/>
          <w:lang w:val="sr-Latn-ME"/>
        </w:rPr>
        <w:t xml:space="preserve"> (N=672) za </w:t>
      </w:r>
      <w:r w:rsidR="00AE0DCD" w:rsidRPr="0045764A">
        <w:rPr>
          <w:rFonts w:eastAsia="TimesNewRoman"/>
          <w:szCs w:val="22"/>
          <w:lang w:val="sr-Latn-ME"/>
        </w:rPr>
        <w:t>liječenj</w:t>
      </w:r>
      <w:r w:rsidRPr="0045764A">
        <w:rPr>
          <w:rFonts w:eastAsia="TimesNewRoman"/>
          <w:szCs w:val="22"/>
          <w:lang w:val="sr-Latn-ME"/>
        </w:rPr>
        <w:t>e pacijenata sa RCC, arterijski</w:t>
      </w:r>
      <w:r w:rsidR="008C673B" w:rsidRPr="0045764A">
        <w:rPr>
          <w:rFonts w:eastAsia="TimesNewRoman"/>
          <w:szCs w:val="22"/>
          <w:lang w:val="sr-Latn-ME"/>
        </w:rPr>
        <w:t xml:space="preserve"> </w:t>
      </w:r>
      <w:r w:rsidRPr="0045764A">
        <w:rPr>
          <w:rFonts w:eastAsia="TimesNewRoman"/>
          <w:szCs w:val="22"/>
          <w:lang w:val="sr-Latn-ME"/>
        </w:rPr>
        <w:t xml:space="preserve">embolijski i </w:t>
      </w:r>
      <w:proofErr w:type="spellStart"/>
      <w:r w:rsidRPr="0045764A">
        <w:rPr>
          <w:rFonts w:eastAsia="TimesNewRoman"/>
          <w:szCs w:val="22"/>
          <w:lang w:val="sr-Latn-ME"/>
        </w:rPr>
        <w:t>trombotični</w:t>
      </w:r>
      <w:proofErr w:type="spellEnd"/>
      <w:r w:rsidRPr="0045764A">
        <w:rPr>
          <w:rFonts w:eastAsia="TimesNewRoman"/>
          <w:szCs w:val="22"/>
          <w:lang w:val="sr-Latn-ME"/>
        </w:rPr>
        <w:t xml:space="preserve"> događaji su prijavljeni kod 2,8% pacijenata koji su primali </w:t>
      </w:r>
      <w:proofErr w:type="spellStart"/>
      <w:r w:rsidRPr="0045764A">
        <w:rPr>
          <w:rFonts w:eastAsia="TimesNewRoman"/>
          <w:szCs w:val="22"/>
          <w:lang w:val="sr-Latn-ME"/>
        </w:rPr>
        <w:t>aksitinib</w:t>
      </w:r>
      <w:proofErr w:type="spellEnd"/>
      <w:r w:rsidRPr="0045764A">
        <w:rPr>
          <w:rFonts w:eastAsia="TimesNewRoman"/>
          <w:szCs w:val="22"/>
          <w:lang w:val="sr-Latn-ME"/>
        </w:rPr>
        <w:t>. Arterijski</w:t>
      </w:r>
      <w:r w:rsidR="008C673B" w:rsidRPr="0045764A">
        <w:rPr>
          <w:rFonts w:eastAsia="TimesNewRoman"/>
          <w:szCs w:val="22"/>
          <w:lang w:val="sr-Latn-ME"/>
        </w:rPr>
        <w:t xml:space="preserve"> </w:t>
      </w:r>
      <w:r w:rsidRPr="0045764A">
        <w:rPr>
          <w:rFonts w:eastAsia="TimesNewRoman"/>
          <w:szCs w:val="22"/>
          <w:lang w:val="sr-Latn-ME"/>
        </w:rPr>
        <w:t xml:space="preserve">embolijski i </w:t>
      </w:r>
      <w:proofErr w:type="spellStart"/>
      <w:r w:rsidRPr="0045764A">
        <w:rPr>
          <w:rFonts w:eastAsia="TimesNewRoman"/>
          <w:szCs w:val="22"/>
          <w:lang w:val="sr-Latn-ME"/>
        </w:rPr>
        <w:t>trombotični</w:t>
      </w:r>
      <w:proofErr w:type="spellEnd"/>
      <w:r w:rsidRPr="0045764A">
        <w:rPr>
          <w:rFonts w:eastAsia="TimesNewRoman"/>
          <w:szCs w:val="22"/>
          <w:lang w:val="sr-Latn-ME"/>
        </w:rPr>
        <w:t xml:space="preserve"> događaji Gradusa 3 su prijavljeni kod 1,2% pacijenata. Arterijski embolijski </w:t>
      </w:r>
      <w:r w:rsidR="008C673B" w:rsidRPr="0045764A">
        <w:rPr>
          <w:rFonts w:eastAsia="TimesNewRoman"/>
          <w:szCs w:val="22"/>
          <w:lang w:val="sr-Latn-ME"/>
        </w:rPr>
        <w:t xml:space="preserve">i </w:t>
      </w:r>
      <w:proofErr w:type="spellStart"/>
      <w:r w:rsidRPr="0045764A">
        <w:rPr>
          <w:rFonts w:eastAsia="TimesNewRoman"/>
          <w:szCs w:val="22"/>
          <w:lang w:val="sr-Latn-ME"/>
        </w:rPr>
        <w:t>trombotični</w:t>
      </w:r>
      <w:proofErr w:type="spellEnd"/>
      <w:r w:rsidRPr="0045764A">
        <w:rPr>
          <w:rFonts w:eastAsia="TimesNewRoman"/>
          <w:szCs w:val="22"/>
          <w:lang w:val="sr-Latn-ME"/>
        </w:rPr>
        <w:t xml:space="preserve"> događaji Gradusa 4 su prijavljeni kod 1,3% pacijenata. Fatalni arterijski embolijski i </w:t>
      </w:r>
      <w:proofErr w:type="spellStart"/>
      <w:r w:rsidRPr="0045764A">
        <w:rPr>
          <w:rFonts w:eastAsia="TimesNewRoman"/>
          <w:szCs w:val="22"/>
          <w:lang w:val="sr-Latn-ME"/>
        </w:rPr>
        <w:t>trombotični</w:t>
      </w:r>
      <w:proofErr w:type="spellEnd"/>
      <w:r w:rsidR="008C673B" w:rsidRPr="0045764A">
        <w:rPr>
          <w:rFonts w:eastAsia="TimesNewRoman"/>
          <w:szCs w:val="22"/>
          <w:lang w:val="sr-Latn-ME"/>
        </w:rPr>
        <w:t xml:space="preserve"> </w:t>
      </w:r>
      <w:r w:rsidRPr="0045764A">
        <w:rPr>
          <w:rFonts w:eastAsia="TimesNewRoman"/>
          <w:szCs w:val="22"/>
          <w:lang w:val="sr-Latn-ME"/>
        </w:rPr>
        <w:t xml:space="preserve">događaji su prijavljeni kod 0,3% pacijenata koji su primali </w:t>
      </w:r>
      <w:proofErr w:type="spellStart"/>
      <w:r w:rsidRPr="0045764A">
        <w:rPr>
          <w:rFonts w:eastAsia="TimesNewRoman"/>
          <w:szCs w:val="22"/>
          <w:lang w:val="sr-Latn-ME"/>
        </w:rPr>
        <w:t>aksitinib</w:t>
      </w:r>
      <w:proofErr w:type="spellEnd"/>
      <w:r w:rsidRPr="0045764A">
        <w:rPr>
          <w:rFonts w:eastAsia="TimesNewRoman"/>
          <w:szCs w:val="22"/>
          <w:lang w:val="sr-Latn-ME"/>
        </w:rPr>
        <w:t>.</w:t>
      </w:r>
    </w:p>
    <w:p w14:paraId="365FB94C" w14:textId="77777777" w:rsidR="00864363" w:rsidRPr="0045764A" w:rsidRDefault="00864363" w:rsidP="00C65330">
      <w:pPr>
        <w:tabs>
          <w:tab w:val="clear" w:pos="284"/>
        </w:tabs>
        <w:autoSpaceDE w:val="0"/>
        <w:autoSpaceDN w:val="0"/>
        <w:adjustRightInd w:val="0"/>
        <w:rPr>
          <w:rFonts w:eastAsia="TimesNewRoman"/>
          <w:szCs w:val="22"/>
          <w:lang w:val="sr-Latn-ME"/>
        </w:rPr>
      </w:pPr>
    </w:p>
    <w:p w14:paraId="429F9588" w14:textId="496F2FC2" w:rsidR="00864363" w:rsidRPr="0045764A" w:rsidRDefault="00864363" w:rsidP="00C65330">
      <w:pPr>
        <w:tabs>
          <w:tab w:val="clear" w:pos="284"/>
        </w:tabs>
        <w:autoSpaceDE w:val="0"/>
        <w:autoSpaceDN w:val="0"/>
        <w:adjustRightInd w:val="0"/>
        <w:rPr>
          <w:rFonts w:eastAsia="TimesNewRoman"/>
          <w:szCs w:val="22"/>
          <w:lang w:val="sr-Latn-ME"/>
        </w:rPr>
      </w:pPr>
      <w:proofErr w:type="spellStart"/>
      <w:r w:rsidRPr="0045764A">
        <w:rPr>
          <w:rFonts w:eastAsia="TimesNewRoman"/>
          <w:i/>
          <w:iCs/>
          <w:szCs w:val="22"/>
          <w:lang w:val="sr-Latn-ME"/>
        </w:rPr>
        <w:t>Policitemija</w:t>
      </w:r>
      <w:proofErr w:type="spellEnd"/>
      <w:r w:rsidRPr="0045764A">
        <w:rPr>
          <w:rFonts w:eastAsia="TimesNewRoman"/>
          <w:i/>
          <w:iCs/>
          <w:szCs w:val="22"/>
          <w:lang w:val="sr-Latn-ME"/>
        </w:rPr>
        <w:t xml:space="preserve"> </w:t>
      </w:r>
      <w:r w:rsidRPr="0045764A">
        <w:rPr>
          <w:rFonts w:eastAsia="TimesNewRoman"/>
          <w:szCs w:val="22"/>
          <w:lang w:val="sr-Latn-ME"/>
        </w:rPr>
        <w:t>(</w:t>
      </w:r>
      <w:r w:rsidR="00EB1E1B" w:rsidRPr="0045764A">
        <w:rPr>
          <w:rFonts w:eastAsia="TimesNewRoman"/>
          <w:szCs w:val="22"/>
          <w:lang w:val="sr-Latn-ME"/>
        </w:rPr>
        <w:t xml:space="preserve">pogledati </w:t>
      </w:r>
      <w:r w:rsidRPr="0045764A">
        <w:rPr>
          <w:rFonts w:eastAsia="TimesNewRoman"/>
          <w:i/>
          <w:iCs/>
          <w:szCs w:val="22"/>
          <w:lang w:val="sr-Latn-ME"/>
        </w:rPr>
        <w:t xml:space="preserve">Povećane </w:t>
      </w:r>
      <w:r w:rsidR="008E2492" w:rsidRPr="0045764A">
        <w:rPr>
          <w:rFonts w:eastAsia="TimesNewRoman"/>
          <w:i/>
          <w:iCs/>
          <w:szCs w:val="22"/>
          <w:lang w:val="sr-Latn-ME"/>
        </w:rPr>
        <w:t>vrijednost</w:t>
      </w:r>
      <w:r w:rsidRPr="0045764A">
        <w:rPr>
          <w:rFonts w:eastAsia="TimesNewRoman"/>
          <w:i/>
          <w:iCs/>
          <w:szCs w:val="22"/>
          <w:lang w:val="sr-Latn-ME"/>
        </w:rPr>
        <w:t xml:space="preserve">i hemoglobina ili </w:t>
      </w:r>
      <w:proofErr w:type="spellStart"/>
      <w:r w:rsidRPr="0045764A">
        <w:rPr>
          <w:rFonts w:eastAsia="TimesNewRoman"/>
          <w:i/>
          <w:iCs/>
          <w:szCs w:val="22"/>
          <w:lang w:val="sr-Latn-ME"/>
        </w:rPr>
        <w:t>hematokrita</w:t>
      </w:r>
      <w:proofErr w:type="spellEnd"/>
      <w:r w:rsidRPr="0045764A">
        <w:rPr>
          <w:rFonts w:eastAsia="TimesNewRoman"/>
          <w:i/>
          <w:iCs/>
          <w:szCs w:val="22"/>
          <w:lang w:val="sr-Latn-ME"/>
        </w:rPr>
        <w:t xml:space="preserve"> </w:t>
      </w:r>
      <w:r w:rsidRPr="0045764A">
        <w:rPr>
          <w:rFonts w:eastAsia="TimesNewRoman"/>
          <w:szCs w:val="22"/>
          <w:lang w:val="sr-Latn-ME"/>
        </w:rPr>
        <w:t xml:space="preserve">u </w:t>
      </w:r>
      <w:r w:rsidR="00EB1E1B" w:rsidRPr="0045764A">
        <w:rPr>
          <w:rFonts w:eastAsia="TimesNewRoman"/>
          <w:szCs w:val="22"/>
          <w:lang w:val="sr-Latn-ME"/>
        </w:rPr>
        <w:t xml:space="preserve">dijelu </w:t>
      </w:r>
      <w:r w:rsidRPr="0045764A">
        <w:rPr>
          <w:rFonts w:eastAsia="TimesNewRoman"/>
          <w:szCs w:val="22"/>
          <w:lang w:val="sr-Latn-ME"/>
        </w:rPr>
        <w:t>4.4)</w:t>
      </w:r>
    </w:p>
    <w:p w14:paraId="546652EE" w14:textId="0AB71986" w:rsidR="00864363" w:rsidRPr="0045764A" w:rsidRDefault="00864363"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U kontrolisanom kliničkom ispitivanju sa </w:t>
      </w:r>
      <w:proofErr w:type="spellStart"/>
      <w:r w:rsidRPr="0045764A">
        <w:rPr>
          <w:rFonts w:eastAsia="TimesNewRoman"/>
          <w:szCs w:val="22"/>
          <w:lang w:val="sr-Latn-ME"/>
        </w:rPr>
        <w:t>aksitinibom</w:t>
      </w:r>
      <w:proofErr w:type="spellEnd"/>
      <w:r w:rsidRPr="0045764A">
        <w:rPr>
          <w:rFonts w:eastAsia="TimesNewRoman"/>
          <w:szCs w:val="22"/>
          <w:lang w:val="sr-Latn-ME"/>
        </w:rPr>
        <w:t xml:space="preserve"> za </w:t>
      </w:r>
      <w:r w:rsidR="00AE0DCD" w:rsidRPr="0045764A">
        <w:rPr>
          <w:rFonts w:eastAsia="TimesNewRoman"/>
          <w:szCs w:val="22"/>
          <w:lang w:val="sr-Latn-ME"/>
        </w:rPr>
        <w:t>liječenj</w:t>
      </w:r>
      <w:r w:rsidRPr="0045764A">
        <w:rPr>
          <w:rFonts w:eastAsia="TimesNewRoman"/>
          <w:szCs w:val="22"/>
          <w:lang w:val="sr-Latn-ME"/>
        </w:rPr>
        <w:t xml:space="preserve">e pacijenata sa RCC, </w:t>
      </w:r>
      <w:proofErr w:type="spellStart"/>
      <w:r w:rsidRPr="0045764A">
        <w:rPr>
          <w:rFonts w:eastAsia="TimesNewRoman"/>
          <w:szCs w:val="22"/>
          <w:lang w:val="sr-Latn-ME"/>
        </w:rPr>
        <w:t>policitemija</w:t>
      </w:r>
      <w:proofErr w:type="spellEnd"/>
      <w:r w:rsidRPr="0045764A">
        <w:rPr>
          <w:rFonts w:eastAsia="TimesNewRoman"/>
          <w:szCs w:val="22"/>
          <w:lang w:val="sr-Latn-ME"/>
        </w:rPr>
        <w:t xml:space="preserve"> je</w:t>
      </w:r>
      <w:r w:rsidR="00A35E86" w:rsidRPr="0045764A">
        <w:rPr>
          <w:rFonts w:eastAsia="TimesNewRoman"/>
          <w:szCs w:val="22"/>
          <w:lang w:val="sr-Latn-ME"/>
        </w:rPr>
        <w:t xml:space="preserve"> </w:t>
      </w:r>
      <w:r w:rsidRPr="0045764A">
        <w:rPr>
          <w:rFonts w:eastAsia="TimesNewRoman"/>
          <w:szCs w:val="22"/>
          <w:lang w:val="sr-Latn-ME"/>
        </w:rPr>
        <w:t xml:space="preserve">prijavljena kod 1,4% pacijenata koji su primali </w:t>
      </w:r>
      <w:proofErr w:type="spellStart"/>
      <w:r w:rsidRPr="0045764A">
        <w:rPr>
          <w:rFonts w:eastAsia="TimesNewRoman"/>
          <w:szCs w:val="22"/>
          <w:lang w:val="sr-Latn-ME"/>
        </w:rPr>
        <w:t>aksitinib</w:t>
      </w:r>
      <w:proofErr w:type="spellEnd"/>
      <w:r w:rsidRPr="0045764A">
        <w:rPr>
          <w:rFonts w:eastAsia="TimesNewRoman"/>
          <w:szCs w:val="22"/>
          <w:lang w:val="sr-Latn-ME"/>
        </w:rPr>
        <w:t>. Rutinskim laboratorijskim proc</w:t>
      </w:r>
      <w:r w:rsidR="005C0EB1" w:rsidRPr="0045764A">
        <w:rPr>
          <w:rFonts w:eastAsia="TimesNewRoman"/>
          <w:szCs w:val="22"/>
          <w:lang w:val="sr-Latn-ME"/>
        </w:rPr>
        <w:t>j</w:t>
      </w:r>
      <w:r w:rsidRPr="0045764A">
        <w:rPr>
          <w:rFonts w:eastAsia="TimesNewRoman"/>
          <w:szCs w:val="22"/>
          <w:lang w:val="sr-Latn-ME"/>
        </w:rPr>
        <w:t>enama detektovana</w:t>
      </w:r>
      <w:r w:rsidR="00A35E86" w:rsidRPr="0045764A">
        <w:rPr>
          <w:rFonts w:eastAsia="TimesNewRoman"/>
          <w:szCs w:val="22"/>
          <w:lang w:val="sr-Latn-ME"/>
        </w:rPr>
        <w:t xml:space="preserve"> </w:t>
      </w:r>
      <w:r w:rsidRPr="0045764A">
        <w:rPr>
          <w:rFonts w:eastAsia="TimesNewRoman"/>
          <w:szCs w:val="22"/>
          <w:lang w:val="sr-Latn-ME"/>
        </w:rPr>
        <w:t xml:space="preserve">je povećana </w:t>
      </w:r>
      <w:r w:rsidR="008E2492" w:rsidRPr="0045764A">
        <w:rPr>
          <w:rFonts w:eastAsia="TimesNewRoman"/>
          <w:szCs w:val="22"/>
          <w:lang w:val="sr-Latn-ME"/>
        </w:rPr>
        <w:t>vrijednost</w:t>
      </w:r>
      <w:r w:rsidRPr="0045764A">
        <w:rPr>
          <w:rFonts w:eastAsia="TimesNewRoman"/>
          <w:szCs w:val="22"/>
          <w:lang w:val="sr-Latn-ME"/>
        </w:rPr>
        <w:t xml:space="preserve"> hemoglobina iznad gornje granice referentnih </w:t>
      </w:r>
      <w:r w:rsidR="008E2492" w:rsidRPr="0045764A">
        <w:rPr>
          <w:rFonts w:eastAsia="TimesNewRoman"/>
          <w:szCs w:val="22"/>
          <w:lang w:val="sr-Latn-ME"/>
        </w:rPr>
        <w:t>vrijednost</w:t>
      </w:r>
      <w:r w:rsidRPr="0045764A">
        <w:rPr>
          <w:rFonts w:eastAsia="TimesNewRoman"/>
          <w:szCs w:val="22"/>
          <w:lang w:val="sr-Latn-ME"/>
        </w:rPr>
        <w:t>i kod 9,7% pacijenata koji su</w:t>
      </w:r>
      <w:r w:rsidR="00A35E86" w:rsidRPr="0045764A">
        <w:rPr>
          <w:rFonts w:eastAsia="TimesNewRoman"/>
          <w:szCs w:val="22"/>
          <w:lang w:val="sr-Latn-ME"/>
        </w:rPr>
        <w:t xml:space="preserve"> </w:t>
      </w:r>
      <w:r w:rsidRPr="0045764A">
        <w:rPr>
          <w:rFonts w:eastAsia="TimesNewRoman"/>
          <w:szCs w:val="22"/>
          <w:lang w:val="sr-Latn-ME"/>
        </w:rPr>
        <w:t xml:space="preserve">primali </w:t>
      </w:r>
      <w:proofErr w:type="spellStart"/>
      <w:r w:rsidRPr="0045764A">
        <w:rPr>
          <w:rFonts w:eastAsia="TimesNewRoman"/>
          <w:szCs w:val="22"/>
          <w:lang w:val="sr-Latn-ME"/>
        </w:rPr>
        <w:t>aksitinib</w:t>
      </w:r>
      <w:proofErr w:type="spellEnd"/>
      <w:r w:rsidRPr="0045764A">
        <w:rPr>
          <w:rFonts w:eastAsia="TimesNewRoman"/>
          <w:szCs w:val="22"/>
          <w:lang w:val="sr-Latn-ME"/>
        </w:rPr>
        <w:t xml:space="preserve">. U četiri klinička ispitivanja sa </w:t>
      </w:r>
      <w:proofErr w:type="spellStart"/>
      <w:r w:rsidRPr="0045764A">
        <w:rPr>
          <w:rFonts w:eastAsia="TimesNewRoman"/>
          <w:szCs w:val="22"/>
          <w:lang w:val="sr-Latn-ME"/>
        </w:rPr>
        <w:t>aksitinibom</w:t>
      </w:r>
      <w:proofErr w:type="spellEnd"/>
      <w:r w:rsidRPr="0045764A">
        <w:rPr>
          <w:rFonts w:eastAsia="TimesNewRoman"/>
          <w:szCs w:val="22"/>
          <w:lang w:val="sr-Latn-ME"/>
        </w:rPr>
        <w:t xml:space="preserve"> za </w:t>
      </w:r>
      <w:r w:rsidR="00AE0DCD" w:rsidRPr="0045764A">
        <w:rPr>
          <w:rFonts w:eastAsia="TimesNewRoman"/>
          <w:szCs w:val="22"/>
          <w:lang w:val="sr-Latn-ME"/>
        </w:rPr>
        <w:t>liječenj</w:t>
      </w:r>
      <w:r w:rsidRPr="0045764A">
        <w:rPr>
          <w:rFonts w:eastAsia="TimesNewRoman"/>
          <w:szCs w:val="22"/>
          <w:lang w:val="sr-Latn-ME"/>
        </w:rPr>
        <w:t>e pacijenata sa RCC (N=537),</w:t>
      </w:r>
      <w:r w:rsidR="00A35E86" w:rsidRPr="0045764A">
        <w:rPr>
          <w:rFonts w:eastAsia="TimesNewRoman"/>
          <w:szCs w:val="22"/>
          <w:lang w:val="sr-Latn-ME"/>
        </w:rPr>
        <w:t xml:space="preserve"> </w:t>
      </w:r>
      <w:r w:rsidRPr="0045764A">
        <w:rPr>
          <w:rFonts w:eastAsia="TimesNewRoman"/>
          <w:szCs w:val="22"/>
          <w:lang w:val="sr-Latn-ME"/>
        </w:rPr>
        <w:t xml:space="preserve">povećane </w:t>
      </w:r>
      <w:r w:rsidR="008E2492" w:rsidRPr="0045764A">
        <w:rPr>
          <w:rFonts w:eastAsia="TimesNewRoman"/>
          <w:szCs w:val="22"/>
          <w:lang w:val="sr-Latn-ME"/>
        </w:rPr>
        <w:t>vrijednost</w:t>
      </w:r>
      <w:r w:rsidRPr="0045764A">
        <w:rPr>
          <w:rFonts w:eastAsia="TimesNewRoman"/>
          <w:szCs w:val="22"/>
          <w:lang w:val="sr-Latn-ME"/>
        </w:rPr>
        <w:t xml:space="preserve">i hemoglobina iznad gornje granice referentnih </w:t>
      </w:r>
      <w:r w:rsidR="008E2492" w:rsidRPr="0045764A">
        <w:rPr>
          <w:rFonts w:eastAsia="TimesNewRoman"/>
          <w:szCs w:val="22"/>
          <w:lang w:val="sr-Latn-ME"/>
        </w:rPr>
        <w:t>vrijednost</w:t>
      </w:r>
      <w:r w:rsidRPr="0045764A">
        <w:rPr>
          <w:rFonts w:eastAsia="TimesNewRoman"/>
          <w:szCs w:val="22"/>
          <w:lang w:val="sr-Latn-ME"/>
        </w:rPr>
        <w:t>i prim</w:t>
      </w:r>
      <w:r w:rsidR="005C0EB1" w:rsidRPr="0045764A">
        <w:rPr>
          <w:rFonts w:eastAsia="TimesNewRoman"/>
          <w:szCs w:val="22"/>
          <w:lang w:val="sr-Latn-ME"/>
        </w:rPr>
        <w:t>ij</w:t>
      </w:r>
      <w:r w:rsidRPr="0045764A">
        <w:rPr>
          <w:rFonts w:eastAsia="TimesNewRoman"/>
          <w:szCs w:val="22"/>
          <w:lang w:val="sr-Latn-ME"/>
        </w:rPr>
        <w:t xml:space="preserve">ećene </w:t>
      </w:r>
      <w:r w:rsidR="00906A85" w:rsidRPr="0045764A">
        <w:rPr>
          <w:rFonts w:eastAsia="TimesNewRoman"/>
          <w:szCs w:val="22"/>
          <w:lang w:val="sr-Latn-ME"/>
        </w:rPr>
        <w:t xml:space="preserve">su </w:t>
      </w:r>
      <w:r w:rsidRPr="0045764A">
        <w:rPr>
          <w:rFonts w:eastAsia="TimesNewRoman"/>
          <w:szCs w:val="22"/>
          <w:lang w:val="sr-Latn-ME"/>
        </w:rPr>
        <w:t>kod 13,6%</w:t>
      </w:r>
      <w:r w:rsidR="00A35E86" w:rsidRPr="0045764A">
        <w:rPr>
          <w:rFonts w:eastAsia="TimesNewRoman"/>
          <w:szCs w:val="22"/>
          <w:lang w:val="sr-Latn-ME"/>
        </w:rPr>
        <w:t xml:space="preserve"> </w:t>
      </w:r>
      <w:r w:rsidRPr="0045764A">
        <w:rPr>
          <w:rFonts w:eastAsia="TimesNewRoman"/>
          <w:szCs w:val="22"/>
          <w:lang w:val="sr-Latn-ME"/>
        </w:rPr>
        <w:t xml:space="preserve">pacijenata koji su primali </w:t>
      </w:r>
      <w:proofErr w:type="spellStart"/>
      <w:r w:rsidRPr="0045764A">
        <w:rPr>
          <w:rFonts w:eastAsia="TimesNewRoman"/>
          <w:szCs w:val="22"/>
          <w:lang w:val="sr-Latn-ME"/>
        </w:rPr>
        <w:t>aksitinib</w:t>
      </w:r>
      <w:proofErr w:type="spellEnd"/>
      <w:r w:rsidRPr="0045764A">
        <w:rPr>
          <w:rFonts w:eastAsia="TimesNewRoman"/>
          <w:szCs w:val="22"/>
          <w:lang w:val="sr-Latn-ME"/>
        </w:rPr>
        <w:t>.</w:t>
      </w:r>
    </w:p>
    <w:p w14:paraId="2044F1BD" w14:textId="77777777" w:rsidR="0045116C" w:rsidRPr="0045764A" w:rsidRDefault="0045116C" w:rsidP="00C65330">
      <w:pPr>
        <w:tabs>
          <w:tab w:val="clear" w:pos="284"/>
        </w:tabs>
        <w:autoSpaceDE w:val="0"/>
        <w:autoSpaceDN w:val="0"/>
        <w:adjustRightInd w:val="0"/>
        <w:rPr>
          <w:rFonts w:eastAsia="TimesNewRoman"/>
          <w:szCs w:val="22"/>
          <w:lang w:val="sr-Latn-ME"/>
        </w:rPr>
      </w:pPr>
    </w:p>
    <w:p w14:paraId="2C5BCFB5" w14:textId="07B1FBBE" w:rsidR="00864363" w:rsidRPr="0045764A" w:rsidRDefault="00864363"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U </w:t>
      </w:r>
      <w:proofErr w:type="spellStart"/>
      <w:r w:rsidRPr="0045764A">
        <w:rPr>
          <w:rFonts w:eastAsia="TimesNewRoman"/>
          <w:szCs w:val="22"/>
          <w:lang w:val="sr-Latn-ME"/>
        </w:rPr>
        <w:t>objedinjenim</w:t>
      </w:r>
      <w:proofErr w:type="spellEnd"/>
      <w:r w:rsidRPr="0045764A">
        <w:rPr>
          <w:rFonts w:eastAsia="TimesNewRoman"/>
          <w:szCs w:val="22"/>
          <w:lang w:val="sr-Latn-ME"/>
        </w:rPr>
        <w:t xml:space="preserve"> kliničkim ispitivanjima sa </w:t>
      </w:r>
      <w:proofErr w:type="spellStart"/>
      <w:r w:rsidRPr="0045764A">
        <w:rPr>
          <w:rFonts w:eastAsia="TimesNewRoman"/>
          <w:szCs w:val="22"/>
          <w:lang w:val="sr-Latn-ME"/>
        </w:rPr>
        <w:t>aksitinibom</w:t>
      </w:r>
      <w:proofErr w:type="spellEnd"/>
      <w:r w:rsidRPr="0045764A">
        <w:rPr>
          <w:rFonts w:eastAsia="TimesNewRoman"/>
          <w:szCs w:val="22"/>
          <w:lang w:val="sr-Latn-ME"/>
        </w:rPr>
        <w:t xml:space="preserve"> (N=672) za </w:t>
      </w:r>
      <w:r w:rsidR="00AE0DCD" w:rsidRPr="0045764A">
        <w:rPr>
          <w:rFonts w:eastAsia="TimesNewRoman"/>
          <w:szCs w:val="22"/>
          <w:lang w:val="sr-Latn-ME"/>
        </w:rPr>
        <w:t>liječenj</w:t>
      </w:r>
      <w:r w:rsidRPr="0045764A">
        <w:rPr>
          <w:rFonts w:eastAsia="TimesNewRoman"/>
          <w:szCs w:val="22"/>
          <w:lang w:val="sr-Latn-ME"/>
        </w:rPr>
        <w:t>e pacijenata sa RCC, prijavljena je</w:t>
      </w:r>
      <w:r w:rsidR="00A35E86" w:rsidRPr="0045764A">
        <w:rPr>
          <w:rFonts w:eastAsia="TimesNewRoman"/>
          <w:szCs w:val="22"/>
          <w:lang w:val="sr-Latn-ME"/>
        </w:rPr>
        <w:t xml:space="preserve"> </w:t>
      </w:r>
      <w:proofErr w:type="spellStart"/>
      <w:r w:rsidRPr="0045764A">
        <w:rPr>
          <w:rFonts w:eastAsia="TimesNewRoman"/>
          <w:szCs w:val="22"/>
          <w:lang w:val="sr-Latn-ME"/>
        </w:rPr>
        <w:t>policitemija</w:t>
      </w:r>
      <w:proofErr w:type="spellEnd"/>
      <w:r w:rsidRPr="0045764A">
        <w:rPr>
          <w:rFonts w:eastAsia="TimesNewRoman"/>
          <w:szCs w:val="22"/>
          <w:lang w:val="sr-Latn-ME"/>
        </w:rPr>
        <w:t xml:space="preserve"> kod 1,5% pacijenata koji su primali </w:t>
      </w:r>
      <w:proofErr w:type="spellStart"/>
      <w:r w:rsidRPr="0045764A">
        <w:rPr>
          <w:rFonts w:eastAsia="TimesNewRoman"/>
          <w:szCs w:val="22"/>
          <w:lang w:val="sr-Latn-ME"/>
        </w:rPr>
        <w:t>aksitinib</w:t>
      </w:r>
      <w:proofErr w:type="spellEnd"/>
      <w:r w:rsidRPr="0045764A">
        <w:rPr>
          <w:rFonts w:eastAsia="TimesNewRoman"/>
          <w:szCs w:val="22"/>
          <w:lang w:val="sr-Latn-ME"/>
        </w:rPr>
        <w:t>.</w:t>
      </w:r>
    </w:p>
    <w:p w14:paraId="0BDDA0E2" w14:textId="77777777" w:rsidR="00864363" w:rsidRPr="0045764A" w:rsidRDefault="00864363" w:rsidP="00C65330">
      <w:pPr>
        <w:tabs>
          <w:tab w:val="clear" w:pos="284"/>
        </w:tabs>
        <w:autoSpaceDE w:val="0"/>
        <w:autoSpaceDN w:val="0"/>
        <w:adjustRightInd w:val="0"/>
        <w:rPr>
          <w:rFonts w:eastAsia="TimesNewRoman"/>
          <w:szCs w:val="22"/>
          <w:lang w:val="sr-Latn-ME"/>
        </w:rPr>
      </w:pPr>
    </w:p>
    <w:p w14:paraId="593C14C4" w14:textId="1F2A4AA6" w:rsidR="00864363" w:rsidRPr="0045764A" w:rsidRDefault="00864363" w:rsidP="00C65330">
      <w:pPr>
        <w:tabs>
          <w:tab w:val="clear" w:pos="284"/>
        </w:tabs>
        <w:autoSpaceDE w:val="0"/>
        <w:autoSpaceDN w:val="0"/>
        <w:adjustRightInd w:val="0"/>
        <w:rPr>
          <w:rFonts w:eastAsia="TimesNewRoman"/>
          <w:szCs w:val="22"/>
          <w:lang w:val="sr-Latn-ME"/>
        </w:rPr>
      </w:pPr>
      <w:r w:rsidRPr="0045764A">
        <w:rPr>
          <w:rFonts w:eastAsia="TimesNewRoman"/>
          <w:i/>
          <w:iCs/>
          <w:szCs w:val="22"/>
          <w:lang w:val="sr-Latn-ME"/>
        </w:rPr>
        <w:t xml:space="preserve">Krvarenje </w:t>
      </w:r>
      <w:r w:rsidRPr="0045764A">
        <w:rPr>
          <w:rFonts w:eastAsia="TimesNewRoman"/>
          <w:szCs w:val="22"/>
          <w:lang w:val="sr-Latn-ME"/>
        </w:rPr>
        <w:t>(</w:t>
      </w:r>
      <w:r w:rsidR="006F7AEE" w:rsidRPr="0045764A">
        <w:rPr>
          <w:rFonts w:eastAsia="TimesNewRoman"/>
          <w:szCs w:val="22"/>
          <w:lang w:val="sr-Latn-ME"/>
        </w:rPr>
        <w:t>pogledati dio</w:t>
      </w:r>
      <w:r w:rsidRPr="0045764A">
        <w:rPr>
          <w:rFonts w:eastAsia="TimesNewRoman"/>
          <w:szCs w:val="22"/>
          <w:lang w:val="sr-Latn-ME"/>
        </w:rPr>
        <w:t xml:space="preserve"> 4.4)</w:t>
      </w:r>
    </w:p>
    <w:p w14:paraId="502CFA26" w14:textId="65A79BF1" w:rsidR="00864363" w:rsidRPr="0045764A" w:rsidRDefault="00864363"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U kontrolisanom kliničkom ispitivanju sa </w:t>
      </w:r>
      <w:proofErr w:type="spellStart"/>
      <w:r w:rsidRPr="0045764A">
        <w:rPr>
          <w:rFonts w:eastAsia="TimesNewRoman"/>
          <w:szCs w:val="22"/>
          <w:lang w:val="sr-Latn-ME"/>
        </w:rPr>
        <w:t>aksitinibom</w:t>
      </w:r>
      <w:proofErr w:type="spellEnd"/>
      <w:r w:rsidRPr="0045764A">
        <w:rPr>
          <w:rFonts w:eastAsia="TimesNewRoman"/>
          <w:szCs w:val="22"/>
          <w:lang w:val="sr-Latn-ME"/>
        </w:rPr>
        <w:t xml:space="preserve"> za </w:t>
      </w:r>
      <w:r w:rsidR="00AE0DCD" w:rsidRPr="0045764A">
        <w:rPr>
          <w:rFonts w:eastAsia="TimesNewRoman"/>
          <w:szCs w:val="22"/>
          <w:lang w:val="sr-Latn-ME"/>
        </w:rPr>
        <w:t>liječenj</w:t>
      </w:r>
      <w:r w:rsidRPr="0045764A">
        <w:rPr>
          <w:rFonts w:eastAsia="TimesNewRoman"/>
          <w:szCs w:val="22"/>
          <w:lang w:val="sr-Latn-ME"/>
        </w:rPr>
        <w:t>e pacijenata sa RCC</w:t>
      </w:r>
      <w:r w:rsidR="00FA35BD" w:rsidRPr="0045764A">
        <w:rPr>
          <w:rFonts w:eastAsia="TimesNewRoman"/>
          <w:szCs w:val="22"/>
          <w:lang w:val="sr-Latn-ME"/>
        </w:rPr>
        <w:t>,</w:t>
      </w:r>
      <w:r w:rsidRPr="0045764A">
        <w:rPr>
          <w:rFonts w:eastAsia="TimesNewRoman"/>
          <w:szCs w:val="22"/>
          <w:lang w:val="sr-Latn-ME"/>
        </w:rPr>
        <w:t xml:space="preserve"> </w:t>
      </w:r>
      <w:r w:rsidR="00FA35BD" w:rsidRPr="0045764A">
        <w:rPr>
          <w:rFonts w:eastAsia="TimesNewRoman"/>
          <w:szCs w:val="22"/>
          <w:lang w:val="sr-Latn-ME"/>
        </w:rPr>
        <w:t>iz kojeg su bili izuzeti</w:t>
      </w:r>
      <w:r w:rsidR="00456F66" w:rsidRPr="0045764A">
        <w:rPr>
          <w:rFonts w:eastAsia="TimesNewRoman"/>
          <w:szCs w:val="22"/>
          <w:lang w:val="sr-Latn-ME"/>
        </w:rPr>
        <w:t xml:space="preserve"> </w:t>
      </w:r>
      <w:r w:rsidRPr="0045764A">
        <w:rPr>
          <w:rFonts w:eastAsia="TimesNewRoman"/>
          <w:szCs w:val="22"/>
          <w:lang w:val="sr-Latn-ME"/>
        </w:rPr>
        <w:t>pacijent</w:t>
      </w:r>
      <w:r w:rsidR="00FA35BD" w:rsidRPr="0045764A">
        <w:rPr>
          <w:rFonts w:eastAsia="TimesNewRoman"/>
          <w:szCs w:val="22"/>
          <w:lang w:val="sr-Latn-ME"/>
        </w:rPr>
        <w:t>i</w:t>
      </w:r>
      <w:r w:rsidRPr="0045764A">
        <w:rPr>
          <w:rFonts w:eastAsia="TimesNewRoman"/>
          <w:szCs w:val="22"/>
          <w:lang w:val="sr-Latn-ME"/>
        </w:rPr>
        <w:t xml:space="preserve"> sa </w:t>
      </w:r>
      <w:proofErr w:type="spellStart"/>
      <w:r w:rsidRPr="0045764A">
        <w:rPr>
          <w:rFonts w:eastAsia="TimesNewRoman"/>
          <w:szCs w:val="22"/>
          <w:lang w:val="sr-Latn-ME"/>
        </w:rPr>
        <w:t>nel</w:t>
      </w:r>
      <w:r w:rsidR="005C0EB1" w:rsidRPr="0045764A">
        <w:rPr>
          <w:rFonts w:eastAsia="TimesNewRoman"/>
          <w:szCs w:val="22"/>
          <w:lang w:val="sr-Latn-ME"/>
        </w:rPr>
        <w:t>ij</w:t>
      </w:r>
      <w:r w:rsidRPr="0045764A">
        <w:rPr>
          <w:rFonts w:eastAsia="TimesNewRoman"/>
          <w:szCs w:val="22"/>
          <w:lang w:val="sr-Latn-ME"/>
        </w:rPr>
        <w:t>ečenom</w:t>
      </w:r>
      <w:proofErr w:type="spellEnd"/>
      <w:r w:rsidRPr="0045764A">
        <w:rPr>
          <w:rFonts w:eastAsia="TimesNewRoman"/>
          <w:szCs w:val="22"/>
          <w:lang w:val="sr-Latn-ME"/>
        </w:rPr>
        <w:t xml:space="preserve"> metastazom na mozgu, hemoragičn</w:t>
      </w:r>
      <w:r w:rsidR="006B2BC6" w:rsidRPr="0045764A">
        <w:rPr>
          <w:rFonts w:eastAsia="TimesNewRoman"/>
          <w:szCs w:val="22"/>
          <w:lang w:val="sr-Latn-ME"/>
        </w:rPr>
        <w:t>a</w:t>
      </w:r>
      <w:r w:rsidRPr="0045764A">
        <w:rPr>
          <w:rFonts w:eastAsia="TimesNewRoman"/>
          <w:szCs w:val="22"/>
          <w:lang w:val="sr-Latn-ME"/>
        </w:rPr>
        <w:t xml:space="preserve"> neželjen</w:t>
      </w:r>
      <w:r w:rsidR="006B2BC6" w:rsidRPr="0045764A">
        <w:rPr>
          <w:rFonts w:eastAsia="TimesNewRoman"/>
          <w:szCs w:val="22"/>
          <w:lang w:val="sr-Latn-ME"/>
        </w:rPr>
        <w:t>a</w:t>
      </w:r>
      <w:r w:rsidRPr="0045764A">
        <w:rPr>
          <w:rFonts w:eastAsia="TimesNewRoman"/>
          <w:szCs w:val="22"/>
          <w:lang w:val="sr-Latn-ME"/>
        </w:rPr>
        <w:t xml:space="preserve"> </w:t>
      </w:r>
      <w:r w:rsidR="006B2BC6" w:rsidRPr="0045764A">
        <w:rPr>
          <w:rFonts w:eastAsia="TimesNewRoman"/>
          <w:szCs w:val="22"/>
          <w:lang w:val="sr-Latn-ME"/>
        </w:rPr>
        <w:t xml:space="preserve">dejstva </w:t>
      </w:r>
      <w:r w:rsidRPr="0045764A">
        <w:rPr>
          <w:rFonts w:eastAsia="TimesNewRoman"/>
          <w:szCs w:val="22"/>
          <w:lang w:val="sr-Latn-ME"/>
        </w:rPr>
        <w:t>prijavljen</w:t>
      </w:r>
      <w:r w:rsidR="006B2BC6" w:rsidRPr="0045764A">
        <w:rPr>
          <w:rFonts w:eastAsia="TimesNewRoman"/>
          <w:szCs w:val="22"/>
          <w:lang w:val="sr-Latn-ME"/>
        </w:rPr>
        <w:t>a</w:t>
      </w:r>
      <w:r w:rsidRPr="0045764A">
        <w:rPr>
          <w:rFonts w:eastAsia="TimesNewRoman"/>
          <w:szCs w:val="22"/>
          <w:lang w:val="sr-Latn-ME"/>
        </w:rPr>
        <w:t xml:space="preserve"> su kod 21,4%</w:t>
      </w:r>
      <w:r w:rsidR="00456F66" w:rsidRPr="0045764A">
        <w:rPr>
          <w:rFonts w:eastAsia="TimesNewRoman"/>
          <w:szCs w:val="22"/>
          <w:lang w:val="sr-Latn-ME"/>
        </w:rPr>
        <w:t xml:space="preserve"> </w:t>
      </w:r>
      <w:r w:rsidRPr="0045764A">
        <w:rPr>
          <w:rFonts w:eastAsia="TimesNewRoman"/>
          <w:szCs w:val="22"/>
          <w:lang w:val="sr-Latn-ME"/>
        </w:rPr>
        <w:t xml:space="preserve">pacijenata koji su primali </w:t>
      </w:r>
      <w:proofErr w:type="spellStart"/>
      <w:r w:rsidRPr="0045764A">
        <w:rPr>
          <w:rFonts w:eastAsia="TimesNewRoman"/>
          <w:szCs w:val="22"/>
          <w:lang w:val="sr-Latn-ME"/>
        </w:rPr>
        <w:t>aksitinib</w:t>
      </w:r>
      <w:proofErr w:type="spellEnd"/>
      <w:r w:rsidRPr="0045764A">
        <w:rPr>
          <w:rFonts w:eastAsia="TimesNewRoman"/>
          <w:szCs w:val="22"/>
          <w:lang w:val="sr-Latn-ME"/>
        </w:rPr>
        <w:t>. Hemoragičn</w:t>
      </w:r>
      <w:r w:rsidR="006B2BC6" w:rsidRPr="0045764A">
        <w:rPr>
          <w:rFonts w:eastAsia="TimesNewRoman"/>
          <w:szCs w:val="22"/>
          <w:lang w:val="sr-Latn-ME"/>
        </w:rPr>
        <w:t>a</w:t>
      </w:r>
      <w:r w:rsidRPr="0045764A">
        <w:rPr>
          <w:rFonts w:eastAsia="TimesNewRoman"/>
          <w:szCs w:val="22"/>
          <w:lang w:val="sr-Latn-ME"/>
        </w:rPr>
        <w:t xml:space="preserve"> neželjen</w:t>
      </w:r>
      <w:r w:rsidR="006B2BC6" w:rsidRPr="0045764A">
        <w:rPr>
          <w:rFonts w:eastAsia="TimesNewRoman"/>
          <w:szCs w:val="22"/>
          <w:lang w:val="sr-Latn-ME"/>
        </w:rPr>
        <w:t>a</w:t>
      </w:r>
      <w:r w:rsidRPr="0045764A">
        <w:rPr>
          <w:rFonts w:eastAsia="TimesNewRoman"/>
          <w:szCs w:val="22"/>
          <w:lang w:val="sr-Latn-ME"/>
        </w:rPr>
        <w:t xml:space="preserve"> </w:t>
      </w:r>
      <w:r w:rsidR="006B2BC6" w:rsidRPr="0045764A">
        <w:rPr>
          <w:rFonts w:eastAsia="TimesNewRoman"/>
          <w:szCs w:val="22"/>
          <w:lang w:val="sr-Latn-ME"/>
        </w:rPr>
        <w:t xml:space="preserve">dejstva </w:t>
      </w:r>
      <w:r w:rsidRPr="0045764A">
        <w:rPr>
          <w:rFonts w:eastAsia="TimesNewRoman"/>
          <w:szCs w:val="22"/>
          <w:lang w:val="sr-Latn-ME"/>
        </w:rPr>
        <w:t>kod pacijenata l</w:t>
      </w:r>
      <w:r w:rsidR="005C0EB1" w:rsidRPr="0045764A">
        <w:rPr>
          <w:rFonts w:eastAsia="TimesNewRoman"/>
          <w:szCs w:val="22"/>
          <w:lang w:val="sr-Latn-ME"/>
        </w:rPr>
        <w:t>ij</w:t>
      </w:r>
      <w:r w:rsidRPr="0045764A">
        <w:rPr>
          <w:rFonts w:eastAsia="TimesNewRoman"/>
          <w:szCs w:val="22"/>
          <w:lang w:val="sr-Latn-ME"/>
        </w:rPr>
        <w:t xml:space="preserve">ečenih </w:t>
      </w:r>
      <w:proofErr w:type="spellStart"/>
      <w:r w:rsidRPr="0045764A">
        <w:rPr>
          <w:rFonts w:eastAsia="TimesNewRoman"/>
          <w:szCs w:val="22"/>
          <w:lang w:val="sr-Latn-ME"/>
        </w:rPr>
        <w:t>aksitinibom</w:t>
      </w:r>
      <w:proofErr w:type="spellEnd"/>
      <w:r w:rsidR="00456F66" w:rsidRPr="0045764A">
        <w:rPr>
          <w:rFonts w:eastAsia="TimesNewRoman"/>
          <w:szCs w:val="22"/>
          <w:lang w:val="sr-Latn-ME"/>
        </w:rPr>
        <w:t xml:space="preserve"> </w:t>
      </w:r>
      <w:r w:rsidRPr="0045764A">
        <w:rPr>
          <w:rFonts w:eastAsia="TimesNewRoman"/>
          <w:szCs w:val="22"/>
          <w:lang w:val="sr-Latn-ME"/>
        </w:rPr>
        <w:t xml:space="preserve">uključuju </w:t>
      </w:r>
      <w:proofErr w:type="spellStart"/>
      <w:r w:rsidRPr="0045764A">
        <w:rPr>
          <w:rFonts w:eastAsia="TimesNewRoman"/>
          <w:szCs w:val="22"/>
          <w:lang w:val="sr-Latn-ME"/>
        </w:rPr>
        <w:t>epistaksu</w:t>
      </w:r>
      <w:proofErr w:type="spellEnd"/>
      <w:r w:rsidRPr="0045764A">
        <w:rPr>
          <w:rFonts w:eastAsia="TimesNewRoman"/>
          <w:szCs w:val="22"/>
          <w:lang w:val="sr-Latn-ME"/>
        </w:rPr>
        <w:t xml:space="preserve"> (7,8%), </w:t>
      </w:r>
      <w:proofErr w:type="spellStart"/>
      <w:r w:rsidRPr="0045764A">
        <w:rPr>
          <w:rFonts w:eastAsia="TimesNewRoman"/>
          <w:szCs w:val="22"/>
          <w:lang w:val="sr-Latn-ME"/>
        </w:rPr>
        <w:t>hematuriju</w:t>
      </w:r>
      <w:proofErr w:type="spellEnd"/>
      <w:r w:rsidRPr="0045764A">
        <w:rPr>
          <w:rFonts w:eastAsia="TimesNewRoman"/>
          <w:szCs w:val="22"/>
          <w:lang w:val="sr-Latn-ME"/>
        </w:rPr>
        <w:t xml:space="preserve"> (3,6%), </w:t>
      </w:r>
      <w:proofErr w:type="spellStart"/>
      <w:r w:rsidRPr="0045764A">
        <w:rPr>
          <w:rFonts w:eastAsia="TimesNewRoman"/>
          <w:szCs w:val="22"/>
          <w:lang w:val="sr-Latn-ME"/>
        </w:rPr>
        <w:t>hemoptizu</w:t>
      </w:r>
      <w:proofErr w:type="spellEnd"/>
      <w:r w:rsidRPr="0045764A">
        <w:rPr>
          <w:rFonts w:eastAsia="TimesNewRoman"/>
          <w:szCs w:val="22"/>
          <w:lang w:val="sr-Latn-ME"/>
        </w:rPr>
        <w:t xml:space="preserve"> (2,5%), rektalno krvarenje (2,2%), krvarenje desni</w:t>
      </w:r>
      <w:r w:rsidR="00456F66" w:rsidRPr="0045764A">
        <w:rPr>
          <w:rFonts w:eastAsia="TimesNewRoman"/>
          <w:szCs w:val="22"/>
          <w:lang w:val="sr-Latn-ME"/>
        </w:rPr>
        <w:t xml:space="preserve"> </w:t>
      </w:r>
      <w:r w:rsidRPr="0045764A">
        <w:rPr>
          <w:rFonts w:eastAsia="TimesNewRoman"/>
          <w:szCs w:val="22"/>
          <w:lang w:val="sr-Latn-ME"/>
        </w:rPr>
        <w:t xml:space="preserve">(1,1%), </w:t>
      </w:r>
      <w:proofErr w:type="spellStart"/>
      <w:r w:rsidRPr="0045764A">
        <w:rPr>
          <w:rFonts w:eastAsia="TimesNewRoman"/>
          <w:szCs w:val="22"/>
          <w:lang w:val="sr-Latn-ME"/>
        </w:rPr>
        <w:t>gastrično</w:t>
      </w:r>
      <w:proofErr w:type="spellEnd"/>
      <w:r w:rsidRPr="0045764A">
        <w:rPr>
          <w:rFonts w:eastAsia="TimesNewRoman"/>
          <w:szCs w:val="22"/>
          <w:lang w:val="sr-Latn-ME"/>
        </w:rPr>
        <w:t xml:space="preserve"> krvarenje (0,6%), cerebralno krvarenje (0,3%) i krvarenje u donjem d</w:t>
      </w:r>
      <w:r w:rsidR="005C0EB1" w:rsidRPr="0045764A">
        <w:rPr>
          <w:rFonts w:eastAsia="TimesNewRoman"/>
          <w:szCs w:val="22"/>
          <w:lang w:val="sr-Latn-ME"/>
        </w:rPr>
        <w:t>ij</w:t>
      </w:r>
      <w:r w:rsidRPr="0045764A">
        <w:rPr>
          <w:rFonts w:eastAsia="TimesNewRoman"/>
          <w:szCs w:val="22"/>
          <w:lang w:val="sr-Latn-ME"/>
        </w:rPr>
        <w:t>elu</w:t>
      </w:r>
      <w:r w:rsidR="00AB5CA2" w:rsidRPr="0045764A">
        <w:rPr>
          <w:rFonts w:eastAsia="TimesNewRoman"/>
          <w:szCs w:val="22"/>
          <w:lang w:val="sr-Latn-ME"/>
        </w:rPr>
        <w:t xml:space="preserve"> </w:t>
      </w:r>
      <w:r w:rsidRPr="0045764A">
        <w:rPr>
          <w:rFonts w:eastAsia="TimesNewRoman"/>
          <w:szCs w:val="22"/>
          <w:lang w:val="sr-Latn-ME"/>
        </w:rPr>
        <w:t>gastrointestinalnog trakta (0,3%). Hemoragičn</w:t>
      </w:r>
      <w:r w:rsidR="006B2BC6" w:rsidRPr="0045764A">
        <w:rPr>
          <w:rFonts w:eastAsia="TimesNewRoman"/>
          <w:szCs w:val="22"/>
          <w:lang w:val="sr-Latn-ME"/>
        </w:rPr>
        <w:t>a</w:t>
      </w:r>
      <w:r w:rsidRPr="0045764A">
        <w:rPr>
          <w:rFonts w:eastAsia="TimesNewRoman"/>
          <w:szCs w:val="22"/>
          <w:lang w:val="sr-Latn-ME"/>
        </w:rPr>
        <w:t xml:space="preserve"> neželjen</w:t>
      </w:r>
      <w:r w:rsidR="006B2BC6" w:rsidRPr="0045764A">
        <w:rPr>
          <w:rFonts w:eastAsia="TimesNewRoman"/>
          <w:szCs w:val="22"/>
          <w:lang w:val="sr-Latn-ME"/>
        </w:rPr>
        <w:t>a</w:t>
      </w:r>
      <w:r w:rsidRPr="0045764A">
        <w:rPr>
          <w:rFonts w:eastAsia="TimesNewRoman"/>
          <w:szCs w:val="22"/>
          <w:lang w:val="sr-Latn-ME"/>
        </w:rPr>
        <w:t xml:space="preserve"> </w:t>
      </w:r>
      <w:r w:rsidR="006B2BC6" w:rsidRPr="0045764A">
        <w:rPr>
          <w:rFonts w:eastAsia="TimesNewRoman"/>
          <w:szCs w:val="22"/>
          <w:lang w:val="sr-Latn-ME"/>
        </w:rPr>
        <w:t xml:space="preserve">dejstva </w:t>
      </w:r>
      <w:r w:rsidRPr="0045764A">
        <w:rPr>
          <w:rFonts w:eastAsia="TimesNewRoman"/>
          <w:szCs w:val="22"/>
          <w:lang w:val="sr-Latn-ME"/>
        </w:rPr>
        <w:t xml:space="preserve">Gradusa </w:t>
      </w:r>
      <w:r w:rsidR="00FC6FEC" w:rsidRPr="0045764A">
        <w:rPr>
          <w:rFonts w:eastAsia="TimesNewRoman"/>
          <w:szCs w:val="22"/>
          <w:lang w:val="sr-Latn-ME"/>
        </w:rPr>
        <w:t>≥</w:t>
      </w:r>
      <w:r w:rsidRPr="0045764A">
        <w:rPr>
          <w:rFonts w:eastAsia="TimesNewRoman"/>
          <w:szCs w:val="22"/>
          <w:lang w:val="sr-Latn-ME"/>
        </w:rPr>
        <w:t xml:space="preserve"> 3 prijavljen</w:t>
      </w:r>
      <w:r w:rsidR="006B2BC6" w:rsidRPr="0045764A">
        <w:rPr>
          <w:rFonts w:eastAsia="TimesNewRoman"/>
          <w:szCs w:val="22"/>
          <w:lang w:val="sr-Latn-ME"/>
        </w:rPr>
        <w:t>a</w:t>
      </w:r>
      <w:r w:rsidRPr="0045764A">
        <w:rPr>
          <w:rFonts w:eastAsia="TimesNewRoman"/>
          <w:szCs w:val="22"/>
          <w:lang w:val="sr-Latn-ME"/>
        </w:rPr>
        <w:t xml:space="preserve"> s</w:t>
      </w:r>
      <w:r w:rsidR="005C0EB1" w:rsidRPr="0045764A">
        <w:rPr>
          <w:rFonts w:eastAsia="TimesNewRoman"/>
          <w:szCs w:val="22"/>
          <w:lang w:val="sr-Latn-ME"/>
        </w:rPr>
        <w:t>u</w:t>
      </w:r>
      <w:r w:rsidRPr="0045764A">
        <w:rPr>
          <w:rFonts w:eastAsia="TimesNewRoman"/>
          <w:szCs w:val="22"/>
          <w:lang w:val="sr-Latn-ME"/>
        </w:rPr>
        <w:t xml:space="preserve"> kod 3,1%</w:t>
      </w:r>
      <w:r w:rsidR="00AB5CA2" w:rsidRPr="0045764A">
        <w:rPr>
          <w:rFonts w:eastAsia="TimesNewRoman"/>
          <w:szCs w:val="22"/>
          <w:lang w:val="sr-Latn-ME"/>
        </w:rPr>
        <w:t xml:space="preserve"> </w:t>
      </w:r>
      <w:r w:rsidRPr="0045764A">
        <w:rPr>
          <w:rFonts w:eastAsia="TimesNewRoman"/>
          <w:szCs w:val="22"/>
          <w:lang w:val="sr-Latn-ME"/>
        </w:rPr>
        <w:t xml:space="preserve">pacijenata koji su primali </w:t>
      </w:r>
      <w:proofErr w:type="spellStart"/>
      <w:r w:rsidRPr="0045764A">
        <w:rPr>
          <w:rFonts w:eastAsia="TimesNewRoman"/>
          <w:szCs w:val="22"/>
          <w:lang w:val="sr-Latn-ME"/>
        </w:rPr>
        <w:t>aksitinib</w:t>
      </w:r>
      <w:proofErr w:type="spellEnd"/>
      <w:r w:rsidRPr="0045764A">
        <w:rPr>
          <w:rFonts w:eastAsia="TimesNewRoman"/>
          <w:szCs w:val="22"/>
          <w:lang w:val="sr-Latn-ME"/>
        </w:rPr>
        <w:t xml:space="preserve"> (uključujući cerebralno krvarenje, </w:t>
      </w:r>
      <w:proofErr w:type="spellStart"/>
      <w:r w:rsidRPr="0045764A">
        <w:rPr>
          <w:rFonts w:eastAsia="TimesNewRoman"/>
          <w:szCs w:val="22"/>
          <w:lang w:val="sr-Latn-ME"/>
        </w:rPr>
        <w:t>gastrično</w:t>
      </w:r>
      <w:proofErr w:type="spellEnd"/>
      <w:r w:rsidRPr="0045764A">
        <w:rPr>
          <w:rFonts w:eastAsia="TimesNewRoman"/>
          <w:szCs w:val="22"/>
          <w:lang w:val="sr-Latn-ME"/>
        </w:rPr>
        <w:t xml:space="preserve"> krvarenje, krvarenje u</w:t>
      </w:r>
      <w:r w:rsidR="00AB5CA2" w:rsidRPr="0045764A">
        <w:rPr>
          <w:rFonts w:eastAsia="TimesNewRoman"/>
          <w:szCs w:val="22"/>
          <w:lang w:val="sr-Latn-ME"/>
        </w:rPr>
        <w:t xml:space="preserve"> </w:t>
      </w:r>
      <w:r w:rsidRPr="0045764A">
        <w:rPr>
          <w:rFonts w:eastAsia="TimesNewRoman"/>
          <w:szCs w:val="22"/>
          <w:lang w:val="sr-Latn-ME"/>
        </w:rPr>
        <w:t>donjem d</w:t>
      </w:r>
      <w:r w:rsidR="005C0EB1" w:rsidRPr="0045764A">
        <w:rPr>
          <w:rFonts w:eastAsia="TimesNewRoman"/>
          <w:szCs w:val="22"/>
          <w:lang w:val="sr-Latn-ME"/>
        </w:rPr>
        <w:t>ij</w:t>
      </w:r>
      <w:r w:rsidRPr="0045764A">
        <w:rPr>
          <w:rFonts w:eastAsia="TimesNewRoman"/>
          <w:szCs w:val="22"/>
          <w:lang w:val="sr-Latn-ME"/>
        </w:rPr>
        <w:t xml:space="preserve">elu gastrointestinalnog trakta i </w:t>
      </w:r>
      <w:proofErr w:type="spellStart"/>
      <w:r w:rsidRPr="0045764A">
        <w:rPr>
          <w:rFonts w:eastAsia="TimesNewRoman"/>
          <w:szCs w:val="22"/>
          <w:lang w:val="sr-Latn-ME"/>
        </w:rPr>
        <w:t>hemoptizu</w:t>
      </w:r>
      <w:proofErr w:type="spellEnd"/>
      <w:r w:rsidRPr="0045764A">
        <w:rPr>
          <w:rFonts w:eastAsia="TimesNewRoman"/>
          <w:szCs w:val="22"/>
          <w:lang w:val="sr-Latn-ME"/>
        </w:rPr>
        <w:t>). Fatalno krvarenje prijavljeno je kod jednog pacijenta</w:t>
      </w:r>
      <w:r w:rsidR="00AB5CA2" w:rsidRPr="0045764A">
        <w:rPr>
          <w:rFonts w:eastAsia="TimesNewRoman"/>
          <w:szCs w:val="22"/>
          <w:lang w:val="sr-Latn-ME"/>
        </w:rPr>
        <w:t xml:space="preserve"> </w:t>
      </w:r>
      <w:r w:rsidRPr="0045764A">
        <w:rPr>
          <w:rFonts w:eastAsia="TimesNewRoman"/>
          <w:szCs w:val="22"/>
          <w:lang w:val="sr-Latn-ME"/>
        </w:rPr>
        <w:t xml:space="preserve">(0,3%) koji je primao </w:t>
      </w:r>
      <w:proofErr w:type="spellStart"/>
      <w:r w:rsidRPr="0045764A">
        <w:rPr>
          <w:rFonts w:eastAsia="TimesNewRoman"/>
          <w:szCs w:val="22"/>
          <w:lang w:val="sr-Latn-ME"/>
        </w:rPr>
        <w:t>aksitinib</w:t>
      </w:r>
      <w:proofErr w:type="spellEnd"/>
      <w:r w:rsidRPr="0045764A">
        <w:rPr>
          <w:rFonts w:eastAsia="TimesNewRoman"/>
          <w:szCs w:val="22"/>
          <w:lang w:val="sr-Latn-ME"/>
        </w:rPr>
        <w:t xml:space="preserve"> (</w:t>
      </w:r>
      <w:proofErr w:type="spellStart"/>
      <w:r w:rsidRPr="0045764A">
        <w:rPr>
          <w:rFonts w:eastAsia="TimesNewRoman"/>
          <w:szCs w:val="22"/>
          <w:lang w:val="sr-Latn-ME"/>
        </w:rPr>
        <w:t>gastrično</w:t>
      </w:r>
      <w:proofErr w:type="spellEnd"/>
      <w:r w:rsidRPr="0045764A">
        <w:rPr>
          <w:rFonts w:eastAsia="TimesNewRoman"/>
          <w:szCs w:val="22"/>
          <w:lang w:val="sr-Latn-ME"/>
        </w:rPr>
        <w:t xml:space="preserve"> krvarenje). U ispitivanjima </w:t>
      </w:r>
      <w:proofErr w:type="spellStart"/>
      <w:r w:rsidRPr="0045764A">
        <w:rPr>
          <w:rFonts w:eastAsia="TimesNewRoman"/>
          <w:szCs w:val="22"/>
          <w:lang w:val="sr-Latn-ME"/>
        </w:rPr>
        <w:t>monoterapije</w:t>
      </w:r>
      <w:proofErr w:type="spellEnd"/>
      <w:r w:rsidRPr="0045764A">
        <w:rPr>
          <w:rFonts w:eastAsia="TimesNewRoman"/>
          <w:szCs w:val="22"/>
          <w:lang w:val="sr-Latn-ME"/>
        </w:rPr>
        <w:t xml:space="preserve"> </w:t>
      </w:r>
      <w:proofErr w:type="spellStart"/>
      <w:r w:rsidRPr="0045764A">
        <w:rPr>
          <w:rFonts w:eastAsia="TimesNewRoman"/>
          <w:szCs w:val="22"/>
          <w:lang w:val="sr-Latn-ME"/>
        </w:rPr>
        <w:t>aksitinibom</w:t>
      </w:r>
      <w:proofErr w:type="spellEnd"/>
      <w:r w:rsidRPr="0045764A">
        <w:rPr>
          <w:rFonts w:eastAsia="TimesNewRoman"/>
          <w:szCs w:val="22"/>
          <w:lang w:val="sr-Latn-ME"/>
        </w:rPr>
        <w:t xml:space="preserve"> (N=850),</w:t>
      </w:r>
      <w:r w:rsidR="00AB5CA2" w:rsidRPr="0045764A">
        <w:rPr>
          <w:rFonts w:eastAsia="TimesNewRoman"/>
          <w:szCs w:val="22"/>
          <w:lang w:val="sr-Latn-ME"/>
        </w:rPr>
        <w:t xml:space="preserve"> </w:t>
      </w:r>
      <w:proofErr w:type="spellStart"/>
      <w:r w:rsidRPr="0045764A">
        <w:rPr>
          <w:rFonts w:eastAsia="TimesNewRoman"/>
          <w:szCs w:val="22"/>
          <w:lang w:val="sr-Latn-ME"/>
        </w:rPr>
        <w:t>hemoptiza</w:t>
      </w:r>
      <w:proofErr w:type="spellEnd"/>
      <w:r w:rsidRPr="0045764A">
        <w:rPr>
          <w:rFonts w:eastAsia="TimesNewRoman"/>
          <w:szCs w:val="22"/>
          <w:lang w:val="sr-Latn-ME"/>
        </w:rPr>
        <w:t xml:space="preserve"> je prijavljena kod 3,9% pacijenata; </w:t>
      </w:r>
      <w:proofErr w:type="spellStart"/>
      <w:r w:rsidRPr="0045764A">
        <w:rPr>
          <w:rFonts w:eastAsia="TimesNewRoman"/>
          <w:szCs w:val="22"/>
          <w:lang w:val="sr-Latn-ME"/>
        </w:rPr>
        <w:t>hemoptiza</w:t>
      </w:r>
      <w:proofErr w:type="spellEnd"/>
      <w:r w:rsidRPr="0045764A">
        <w:rPr>
          <w:rFonts w:eastAsia="TimesNewRoman"/>
          <w:szCs w:val="22"/>
          <w:lang w:val="sr-Latn-ME"/>
        </w:rPr>
        <w:t xml:space="preserve"> Gradusa </w:t>
      </w:r>
      <w:r w:rsidR="00FC6FEC" w:rsidRPr="0045764A">
        <w:rPr>
          <w:rFonts w:eastAsia="TimesNewRoman"/>
          <w:szCs w:val="22"/>
          <w:lang w:val="sr-Latn-ME"/>
        </w:rPr>
        <w:t>≥</w:t>
      </w:r>
      <w:r w:rsidRPr="0045764A">
        <w:rPr>
          <w:rFonts w:eastAsia="TimesNewRoman"/>
          <w:szCs w:val="22"/>
          <w:lang w:val="sr-Latn-ME"/>
        </w:rPr>
        <w:t xml:space="preserve"> 3 prijavljena kod 0,5% pacijenata.</w:t>
      </w:r>
    </w:p>
    <w:p w14:paraId="2E8E5121" w14:textId="77777777" w:rsidR="0045116C" w:rsidRPr="0045764A" w:rsidRDefault="0045116C" w:rsidP="00C65330">
      <w:pPr>
        <w:tabs>
          <w:tab w:val="clear" w:pos="284"/>
        </w:tabs>
        <w:autoSpaceDE w:val="0"/>
        <w:autoSpaceDN w:val="0"/>
        <w:adjustRightInd w:val="0"/>
        <w:rPr>
          <w:rFonts w:eastAsia="TimesNewRoman"/>
          <w:szCs w:val="22"/>
          <w:lang w:val="sr-Latn-ME"/>
        </w:rPr>
      </w:pPr>
    </w:p>
    <w:p w14:paraId="2EDDAA1C" w14:textId="78C4CE8F" w:rsidR="00864363" w:rsidRPr="0045764A" w:rsidRDefault="00864363"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U </w:t>
      </w:r>
      <w:proofErr w:type="spellStart"/>
      <w:r w:rsidRPr="0045764A">
        <w:rPr>
          <w:rFonts w:eastAsia="TimesNewRoman"/>
          <w:szCs w:val="22"/>
          <w:lang w:val="sr-Latn-ME"/>
        </w:rPr>
        <w:t>objedinjenim</w:t>
      </w:r>
      <w:proofErr w:type="spellEnd"/>
      <w:r w:rsidRPr="0045764A">
        <w:rPr>
          <w:rFonts w:eastAsia="TimesNewRoman"/>
          <w:szCs w:val="22"/>
          <w:lang w:val="sr-Latn-ME"/>
        </w:rPr>
        <w:t xml:space="preserve"> kliničkim ispitivanjima sa </w:t>
      </w:r>
      <w:proofErr w:type="spellStart"/>
      <w:r w:rsidRPr="0045764A">
        <w:rPr>
          <w:rFonts w:eastAsia="TimesNewRoman"/>
          <w:szCs w:val="22"/>
          <w:lang w:val="sr-Latn-ME"/>
        </w:rPr>
        <w:t>aksitinibom</w:t>
      </w:r>
      <w:proofErr w:type="spellEnd"/>
      <w:r w:rsidRPr="0045764A">
        <w:rPr>
          <w:rFonts w:eastAsia="TimesNewRoman"/>
          <w:szCs w:val="22"/>
          <w:lang w:val="sr-Latn-ME"/>
        </w:rPr>
        <w:t xml:space="preserve"> (N=672) za </w:t>
      </w:r>
      <w:r w:rsidR="00AE0DCD" w:rsidRPr="0045764A">
        <w:rPr>
          <w:rFonts w:eastAsia="TimesNewRoman"/>
          <w:szCs w:val="22"/>
          <w:lang w:val="sr-Latn-ME"/>
        </w:rPr>
        <w:t>liječenj</w:t>
      </w:r>
      <w:r w:rsidRPr="0045764A">
        <w:rPr>
          <w:rFonts w:eastAsia="TimesNewRoman"/>
          <w:szCs w:val="22"/>
          <w:lang w:val="sr-Latn-ME"/>
        </w:rPr>
        <w:t>e pacijenata sa RCC, prijavljeni su</w:t>
      </w:r>
      <w:r w:rsidR="00AB5CA2" w:rsidRPr="0045764A">
        <w:rPr>
          <w:rFonts w:eastAsia="TimesNewRoman"/>
          <w:szCs w:val="22"/>
          <w:lang w:val="sr-Latn-ME"/>
        </w:rPr>
        <w:t xml:space="preserve"> </w:t>
      </w:r>
      <w:r w:rsidRPr="0045764A">
        <w:rPr>
          <w:rFonts w:eastAsia="TimesNewRoman"/>
          <w:szCs w:val="22"/>
          <w:lang w:val="sr-Latn-ME"/>
        </w:rPr>
        <w:t xml:space="preserve">hemoragični događaji kod 25,7% pacijenata koji su primali </w:t>
      </w:r>
      <w:proofErr w:type="spellStart"/>
      <w:r w:rsidRPr="0045764A">
        <w:rPr>
          <w:rFonts w:eastAsia="TimesNewRoman"/>
          <w:szCs w:val="22"/>
          <w:lang w:val="sr-Latn-ME"/>
        </w:rPr>
        <w:t>aksitinib</w:t>
      </w:r>
      <w:proofErr w:type="spellEnd"/>
      <w:r w:rsidRPr="0045764A">
        <w:rPr>
          <w:rFonts w:eastAsia="TimesNewRoman"/>
          <w:szCs w:val="22"/>
          <w:lang w:val="sr-Latn-ME"/>
        </w:rPr>
        <w:t>. Hemoragičn</w:t>
      </w:r>
      <w:r w:rsidR="006B2BC6" w:rsidRPr="0045764A">
        <w:rPr>
          <w:rFonts w:eastAsia="TimesNewRoman"/>
          <w:szCs w:val="22"/>
          <w:lang w:val="sr-Latn-ME"/>
        </w:rPr>
        <w:t>a</w:t>
      </w:r>
      <w:r w:rsidRPr="0045764A">
        <w:rPr>
          <w:rFonts w:eastAsia="TimesNewRoman"/>
          <w:szCs w:val="22"/>
          <w:lang w:val="sr-Latn-ME"/>
        </w:rPr>
        <w:t xml:space="preserve"> neželjen</w:t>
      </w:r>
      <w:r w:rsidR="006B2BC6" w:rsidRPr="0045764A">
        <w:rPr>
          <w:rFonts w:eastAsia="TimesNewRoman"/>
          <w:szCs w:val="22"/>
          <w:lang w:val="sr-Latn-ME"/>
        </w:rPr>
        <w:t>a</w:t>
      </w:r>
      <w:r w:rsidRPr="0045764A">
        <w:rPr>
          <w:rFonts w:eastAsia="TimesNewRoman"/>
          <w:szCs w:val="22"/>
          <w:lang w:val="sr-Latn-ME"/>
        </w:rPr>
        <w:t xml:space="preserve"> </w:t>
      </w:r>
      <w:r w:rsidR="006B2BC6" w:rsidRPr="0045764A">
        <w:rPr>
          <w:rFonts w:eastAsia="TimesNewRoman"/>
          <w:szCs w:val="22"/>
          <w:lang w:val="sr-Latn-ME"/>
        </w:rPr>
        <w:t xml:space="preserve">dejstva </w:t>
      </w:r>
      <w:r w:rsidRPr="0045764A">
        <w:rPr>
          <w:rFonts w:eastAsia="TimesNewRoman"/>
          <w:szCs w:val="22"/>
          <w:lang w:val="sr-Latn-ME"/>
        </w:rPr>
        <w:t>Gradusa 3 prijavljen</w:t>
      </w:r>
      <w:r w:rsidR="006B2BC6" w:rsidRPr="0045764A">
        <w:rPr>
          <w:rFonts w:eastAsia="TimesNewRoman"/>
          <w:szCs w:val="22"/>
          <w:lang w:val="sr-Latn-ME"/>
        </w:rPr>
        <w:t>a</w:t>
      </w:r>
      <w:r w:rsidRPr="0045764A">
        <w:rPr>
          <w:rFonts w:eastAsia="TimesNewRoman"/>
          <w:szCs w:val="22"/>
          <w:lang w:val="sr-Latn-ME"/>
        </w:rPr>
        <w:t xml:space="preserve"> </w:t>
      </w:r>
      <w:r w:rsidR="00906A85" w:rsidRPr="0045764A">
        <w:rPr>
          <w:rFonts w:eastAsia="TimesNewRoman"/>
          <w:szCs w:val="22"/>
          <w:lang w:val="sr-Latn-ME"/>
        </w:rPr>
        <w:t xml:space="preserve">su </w:t>
      </w:r>
      <w:r w:rsidRPr="0045764A">
        <w:rPr>
          <w:rFonts w:eastAsia="TimesNewRoman"/>
          <w:szCs w:val="22"/>
          <w:lang w:val="sr-Latn-ME"/>
        </w:rPr>
        <w:t>kod 3% pacijenata. Hemoragičn</w:t>
      </w:r>
      <w:r w:rsidR="006B2BC6" w:rsidRPr="0045764A">
        <w:rPr>
          <w:rFonts w:eastAsia="TimesNewRoman"/>
          <w:szCs w:val="22"/>
          <w:lang w:val="sr-Latn-ME"/>
        </w:rPr>
        <w:t>a</w:t>
      </w:r>
      <w:r w:rsidRPr="0045764A">
        <w:rPr>
          <w:rFonts w:eastAsia="TimesNewRoman"/>
          <w:szCs w:val="22"/>
          <w:lang w:val="sr-Latn-ME"/>
        </w:rPr>
        <w:t xml:space="preserve"> neželjen</w:t>
      </w:r>
      <w:r w:rsidR="006B2BC6" w:rsidRPr="0045764A">
        <w:rPr>
          <w:rFonts w:eastAsia="TimesNewRoman"/>
          <w:szCs w:val="22"/>
          <w:lang w:val="sr-Latn-ME"/>
        </w:rPr>
        <w:t>a</w:t>
      </w:r>
      <w:r w:rsidRPr="0045764A">
        <w:rPr>
          <w:rFonts w:eastAsia="TimesNewRoman"/>
          <w:szCs w:val="22"/>
          <w:lang w:val="sr-Latn-ME"/>
        </w:rPr>
        <w:t xml:space="preserve"> </w:t>
      </w:r>
      <w:r w:rsidR="006B2BC6" w:rsidRPr="0045764A">
        <w:rPr>
          <w:rFonts w:eastAsia="TimesNewRoman"/>
          <w:szCs w:val="22"/>
          <w:lang w:val="sr-Latn-ME"/>
        </w:rPr>
        <w:t xml:space="preserve">dejstva </w:t>
      </w:r>
      <w:r w:rsidRPr="0045764A">
        <w:rPr>
          <w:rFonts w:eastAsia="TimesNewRoman"/>
          <w:szCs w:val="22"/>
          <w:lang w:val="sr-Latn-ME"/>
        </w:rPr>
        <w:t>Gradusa 4 prijavljen</w:t>
      </w:r>
      <w:r w:rsidR="006B2BC6" w:rsidRPr="0045764A">
        <w:rPr>
          <w:rFonts w:eastAsia="TimesNewRoman"/>
          <w:szCs w:val="22"/>
          <w:lang w:val="sr-Latn-ME"/>
        </w:rPr>
        <w:t>a</w:t>
      </w:r>
      <w:r w:rsidRPr="0045764A">
        <w:rPr>
          <w:rFonts w:eastAsia="TimesNewRoman"/>
          <w:szCs w:val="22"/>
          <w:lang w:val="sr-Latn-ME"/>
        </w:rPr>
        <w:t xml:space="preserve"> </w:t>
      </w:r>
      <w:r w:rsidR="00906A85" w:rsidRPr="0045764A">
        <w:rPr>
          <w:rFonts w:eastAsia="TimesNewRoman"/>
          <w:szCs w:val="22"/>
          <w:lang w:val="sr-Latn-ME"/>
        </w:rPr>
        <w:t xml:space="preserve">su </w:t>
      </w:r>
      <w:r w:rsidRPr="0045764A">
        <w:rPr>
          <w:rFonts w:eastAsia="TimesNewRoman"/>
          <w:szCs w:val="22"/>
          <w:lang w:val="sr-Latn-ME"/>
        </w:rPr>
        <w:t>kod</w:t>
      </w:r>
      <w:r w:rsidR="00AB5CA2" w:rsidRPr="0045764A">
        <w:rPr>
          <w:rFonts w:eastAsia="TimesNewRoman"/>
          <w:szCs w:val="22"/>
          <w:lang w:val="sr-Latn-ME"/>
        </w:rPr>
        <w:t xml:space="preserve"> </w:t>
      </w:r>
      <w:r w:rsidRPr="0045764A">
        <w:rPr>
          <w:rFonts w:eastAsia="TimesNewRoman"/>
          <w:szCs w:val="22"/>
          <w:lang w:val="sr-Latn-ME"/>
        </w:rPr>
        <w:t>1% pacijenata</w:t>
      </w:r>
      <w:r w:rsidR="00906A85" w:rsidRPr="0045764A">
        <w:rPr>
          <w:rFonts w:eastAsia="TimesNewRoman"/>
          <w:szCs w:val="22"/>
          <w:lang w:val="sr-Latn-ME"/>
        </w:rPr>
        <w:t>, a</w:t>
      </w:r>
      <w:r w:rsidRPr="0045764A">
        <w:rPr>
          <w:rFonts w:eastAsia="TimesNewRoman"/>
          <w:szCs w:val="22"/>
          <w:lang w:val="sr-Latn-ME"/>
        </w:rPr>
        <w:t xml:space="preserve"> fatalna krvarenja su prijavljena kod 0,4% pacijenata koji su primali </w:t>
      </w:r>
      <w:proofErr w:type="spellStart"/>
      <w:r w:rsidRPr="0045764A">
        <w:rPr>
          <w:rFonts w:eastAsia="TimesNewRoman"/>
          <w:szCs w:val="22"/>
          <w:lang w:val="sr-Latn-ME"/>
        </w:rPr>
        <w:t>aksitinib</w:t>
      </w:r>
      <w:proofErr w:type="spellEnd"/>
      <w:r w:rsidRPr="0045764A">
        <w:rPr>
          <w:rFonts w:eastAsia="TimesNewRoman"/>
          <w:szCs w:val="22"/>
          <w:lang w:val="sr-Latn-ME"/>
        </w:rPr>
        <w:t>.</w:t>
      </w:r>
    </w:p>
    <w:p w14:paraId="75037319" w14:textId="77777777" w:rsidR="00864363" w:rsidRPr="0045764A" w:rsidRDefault="00864363" w:rsidP="00C65330">
      <w:pPr>
        <w:tabs>
          <w:tab w:val="clear" w:pos="284"/>
        </w:tabs>
        <w:autoSpaceDE w:val="0"/>
        <w:autoSpaceDN w:val="0"/>
        <w:adjustRightInd w:val="0"/>
        <w:rPr>
          <w:rFonts w:eastAsia="TimesNewRoman"/>
          <w:szCs w:val="22"/>
          <w:lang w:val="sr-Latn-ME"/>
        </w:rPr>
      </w:pPr>
    </w:p>
    <w:p w14:paraId="08D3C8EB" w14:textId="21A9D65C" w:rsidR="00864363" w:rsidRPr="0045764A" w:rsidRDefault="00864363" w:rsidP="00C65330">
      <w:pPr>
        <w:tabs>
          <w:tab w:val="clear" w:pos="284"/>
        </w:tabs>
        <w:autoSpaceDE w:val="0"/>
        <w:autoSpaceDN w:val="0"/>
        <w:adjustRightInd w:val="0"/>
        <w:rPr>
          <w:rFonts w:eastAsia="TimesNewRoman"/>
          <w:szCs w:val="22"/>
          <w:lang w:val="sr-Latn-ME"/>
        </w:rPr>
      </w:pPr>
      <w:r w:rsidRPr="0045764A">
        <w:rPr>
          <w:rFonts w:eastAsia="TimesNewRoman"/>
          <w:i/>
          <w:iCs/>
          <w:szCs w:val="22"/>
          <w:lang w:val="sr-Latn-ME"/>
        </w:rPr>
        <w:t xml:space="preserve">Gastrointestinalna perforacija i stvaranje fistula </w:t>
      </w:r>
      <w:r w:rsidRPr="0045764A">
        <w:rPr>
          <w:rFonts w:eastAsia="TimesNewRoman"/>
          <w:szCs w:val="22"/>
          <w:lang w:val="sr-Latn-ME"/>
        </w:rPr>
        <w:t>(</w:t>
      </w:r>
      <w:r w:rsidR="006F7AEE" w:rsidRPr="0045764A">
        <w:rPr>
          <w:rFonts w:eastAsia="TimesNewRoman"/>
          <w:szCs w:val="22"/>
          <w:lang w:val="sr-Latn-ME"/>
        </w:rPr>
        <w:t>pogledati dio</w:t>
      </w:r>
      <w:r w:rsidRPr="0045764A">
        <w:rPr>
          <w:rFonts w:eastAsia="TimesNewRoman"/>
          <w:szCs w:val="22"/>
          <w:lang w:val="sr-Latn-ME"/>
        </w:rPr>
        <w:t xml:space="preserve"> 4.4)</w:t>
      </w:r>
    </w:p>
    <w:p w14:paraId="229C1C25" w14:textId="74CDFB37" w:rsidR="00864363" w:rsidRPr="0045764A" w:rsidRDefault="00864363"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U kontrolisanom kliničkom ispitivanju sa </w:t>
      </w:r>
      <w:proofErr w:type="spellStart"/>
      <w:r w:rsidRPr="0045764A">
        <w:rPr>
          <w:rFonts w:eastAsia="TimesNewRoman"/>
          <w:szCs w:val="22"/>
          <w:lang w:val="sr-Latn-ME"/>
        </w:rPr>
        <w:t>aksitinibom</w:t>
      </w:r>
      <w:proofErr w:type="spellEnd"/>
      <w:r w:rsidRPr="0045764A">
        <w:rPr>
          <w:rFonts w:eastAsia="TimesNewRoman"/>
          <w:szCs w:val="22"/>
          <w:lang w:val="sr-Latn-ME"/>
        </w:rPr>
        <w:t xml:space="preserve"> za </w:t>
      </w:r>
      <w:r w:rsidR="00AE0DCD" w:rsidRPr="0045764A">
        <w:rPr>
          <w:rFonts w:eastAsia="TimesNewRoman"/>
          <w:szCs w:val="22"/>
          <w:lang w:val="sr-Latn-ME"/>
        </w:rPr>
        <w:t>liječenj</w:t>
      </w:r>
      <w:r w:rsidRPr="0045764A">
        <w:rPr>
          <w:rFonts w:eastAsia="TimesNewRoman"/>
          <w:szCs w:val="22"/>
          <w:lang w:val="sr-Latn-ME"/>
        </w:rPr>
        <w:t>e pacijenata sa RCC, događaji tipa</w:t>
      </w:r>
      <w:r w:rsidR="00FC6FEC" w:rsidRPr="0045764A">
        <w:rPr>
          <w:rFonts w:eastAsia="TimesNewRoman"/>
          <w:szCs w:val="22"/>
          <w:lang w:val="sr-Latn-ME"/>
        </w:rPr>
        <w:t xml:space="preserve"> </w:t>
      </w:r>
      <w:r w:rsidRPr="0045764A">
        <w:rPr>
          <w:rFonts w:eastAsia="TimesNewRoman"/>
          <w:szCs w:val="22"/>
          <w:lang w:val="sr-Latn-ME"/>
        </w:rPr>
        <w:t xml:space="preserve">gastrointestinalne perforacije prijavljeni su kod 1,7% pacijenata koji su primali </w:t>
      </w:r>
      <w:proofErr w:type="spellStart"/>
      <w:r w:rsidRPr="0045764A">
        <w:rPr>
          <w:rFonts w:eastAsia="TimesNewRoman"/>
          <w:szCs w:val="22"/>
          <w:lang w:val="sr-Latn-ME"/>
        </w:rPr>
        <w:t>aksitinib</w:t>
      </w:r>
      <w:proofErr w:type="spellEnd"/>
      <w:r w:rsidRPr="0045764A">
        <w:rPr>
          <w:rFonts w:eastAsia="TimesNewRoman"/>
          <w:szCs w:val="22"/>
          <w:lang w:val="sr-Latn-ME"/>
        </w:rPr>
        <w:t>, uključujući analnu</w:t>
      </w:r>
      <w:r w:rsidR="00FC6FEC" w:rsidRPr="0045764A">
        <w:rPr>
          <w:rFonts w:eastAsia="TimesNewRoman"/>
          <w:szCs w:val="22"/>
          <w:lang w:val="sr-Latn-ME"/>
        </w:rPr>
        <w:t xml:space="preserve"> </w:t>
      </w:r>
      <w:r w:rsidRPr="0045764A">
        <w:rPr>
          <w:rFonts w:eastAsia="TimesNewRoman"/>
          <w:szCs w:val="22"/>
          <w:lang w:val="sr-Latn-ME"/>
        </w:rPr>
        <w:t xml:space="preserve">fistulu (0,6%), fistulu (0,3%) i gastrointestinalnu perforaciju (0,3%). U ispitivanjima </w:t>
      </w:r>
      <w:proofErr w:type="spellStart"/>
      <w:r w:rsidRPr="0045764A">
        <w:rPr>
          <w:rFonts w:eastAsia="TimesNewRoman"/>
          <w:szCs w:val="22"/>
          <w:lang w:val="sr-Latn-ME"/>
        </w:rPr>
        <w:t>monoterapije</w:t>
      </w:r>
      <w:proofErr w:type="spellEnd"/>
      <w:r w:rsidR="00FC6FEC" w:rsidRPr="0045764A">
        <w:rPr>
          <w:rFonts w:eastAsia="TimesNewRoman"/>
          <w:szCs w:val="22"/>
          <w:lang w:val="sr-Latn-ME"/>
        </w:rPr>
        <w:t xml:space="preserve"> </w:t>
      </w:r>
      <w:proofErr w:type="spellStart"/>
      <w:r w:rsidRPr="0045764A">
        <w:rPr>
          <w:rFonts w:eastAsia="TimesNewRoman"/>
          <w:szCs w:val="22"/>
          <w:lang w:val="sr-Latn-ME"/>
        </w:rPr>
        <w:t>aksitinibom</w:t>
      </w:r>
      <w:proofErr w:type="spellEnd"/>
      <w:r w:rsidRPr="0045764A">
        <w:rPr>
          <w:rFonts w:eastAsia="TimesNewRoman"/>
          <w:szCs w:val="22"/>
          <w:lang w:val="sr-Latn-ME"/>
        </w:rPr>
        <w:t xml:space="preserve"> (N=850), događaji tipa gastrointestinalne perforacije prijavljeni </w:t>
      </w:r>
      <w:r w:rsidR="00906A85" w:rsidRPr="0045764A">
        <w:rPr>
          <w:rFonts w:eastAsia="TimesNewRoman"/>
          <w:szCs w:val="22"/>
          <w:lang w:val="sr-Latn-ME"/>
        </w:rPr>
        <w:t xml:space="preserve">su </w:t>
      </w:r>
      <w:r w:rsidRPr="0045764A">
        <w:rPr>
          <w:rFonts w:eastAsia="TimesNewRoman"/>
          <w:szCs w:val="22"/>
          <w:lang w:val="sr-Latn-ME"/>
        </w:rPr>
        <w:t>kod 1,9% pacijenata, a fatalna</w:t>
      </w:r>
      <w:r w:rsidR="005C0EB1" w:rsidRPr="0045764A">
        <w:rPr>
          <w:rFonts w:eastAsia="TimesNewRoman"/>
          <w:szCs w:val="22"/>
          <w:lang w:val="sr-Latn-ME"/>
        </w:rPr>
        <w:t xml:space="preserve"> </w:t>
      </w:r>
      <w:r w:rsidRPr="0045764A">
        <w:rPr>
          <w:rFonts w:eastAsia="TimesNewRoman"/>
          <w:szCs w:val="22"/>
          <w:lang w:val="sr-Latn-ME"/>
        </w:rPr>
        <w:t>gastrointestinalna perforacija je prijavljena kod jednog pacijenta (0,1%).</w:t>
      </w:r>
    </w:p>
    <w:p w14:paraId="6DEBA68E" w14:textId="77777777" w:rsidR="0045116C" w:rsidRPr="0045764A" w:rsidRDefault="0045116C" w:rsidP="00C65330">
      <w:pPr>
        <w:rPr>
          <w:rFonts w:eastAsia="TimesNewRoman"/>
          <w:szCs w:val="22"/>
          <w:lang w:val="sr-Latn-ME"/>
        </w:rPr>
      </w:pPr>
    </w:p>
    <w:p w14:paraId="4647A337" w14:textId="7D9E4DFF" w:rsidR="000C2BB6" w:rsidRPr="0045764A" w:rsidRDefault="00864363" w:rsidP="00C65330">
      <w:pPr>
        <w:rPr>
          <w:rFonts w:eastAsia="TimesNewRoman"/>
          <w:szCs w:val="22"/>
          <w:lang w:val="sr-Latn-ME"/>
        </w:rPr>
      </w:pPr>
      <w:r w:rsidRPr="0045764A">
        <w:rPr>
          <w:rFonts w:eastAsia="TimesNewRoman"/>
          <w:szCs w:val="22"/>
          <w:lang w:val="sr-Latn-ME"/>
        </w:rPr>
        <w:t xml:space="preserve">U </w:t>
      </w:r>
      <w:proofErr w:type="spellStart"/>
      <w:r w:rsidRPr="0045764A">
        <w:rPr>
          <w:rFonts w:eastAsia="TimesNewRoman"/>
          <w:szCs w:val="22"/>
          <w:lang w:val="sr-Latn-ME"/>
        </w:rPr>
        <w:t>objedinjenim</w:t>
      </w:r>
      <w:proofErr w:type="spellEnd"/>
      <w:r w:rsidRPr="0045764A">
        <w:rPr>
          <w:rFonts w:eastAsia="TimesNewRoman"/>
          <w:szCs w:val="22"/>
          <w:lang w:val="sr-Latn-ME"/>
        </w:rPr>
        <w:t xml:space="preserve"> kliničkim studijama sa </w:t>
      </w:r>
      <w:proofErr w:type="spellStart"/>
      <w:r w:rsidRPr="0045764A">
        <w:rPr>
          <w:rFonts w:eastAsia="TimesNewRoman"/>
          <w:szCs w:val="22"/>
          <w:lang w:val="sr-Latn-ME"/>
        </w:rPr>
        <w:t>aksitinibom</w:t>
      </w:r>
      <w:proofErr w:type="spellEnd"/>
      <w:r w:rsidRPr="0045764A">
        <w:rPr>
          <w:rFonts w:eastAsia="TimesNewRoman"/>
          <w:szCs w:val="22"/>
          <w:lang w:val="sr-Latn-ME"/>
        </w:rPr>
        <w:t xml:space="preserve"> (N=672) za </w:t>
      </w:r>
      <w:r w:rsidR="00AE0DCD" w:rsidRPr="0045764A">
        <w:rPr>
          <w:rFonts w:eastAsia="TimesNewRoman"/>
          <w:szCs w:val="22"/>
          <w:lang w:val="sr-Latn-ME"/>
        </w:rPr>
        <w:t>liječenj</w:t>
      </w:r>
      <w:r w:rsidRPr="0045764A">
        <w:rPr>
          <w:rFonts w:eastAsia="TimesNewRoman"/>
          <w:szCs w:val="22"/>
          <w:lang w:val="sr-Latn-ME"/>
        </w:rPr>
        <w:t>e pacijenata sa RCC, gastrointestinalna</w:t>
      </w:r>
      <w:r w:rsidR="005C0EB1" w:rsidRPr="0045764A">
        <w:rPr>
          <w:rFonts w:eastAsia="TimesNewRoman"/>
          <w:szCs w:val="22"/>
          <w:lang w:val="sr-Latn-ME"/>
        </w:rPr>
        <w:t xml:space="preserve"> </w:t>
      </w:r>
      <w:r w:rsidR="000C2BB6" w:rsidRPr="0045764A">
        <w:rPr>
          <w:rFonts w:eastAsia="TimesNewRoman"/>
          <w:szCs w:val="22"/>
          <w:lang w:val="sr-Latn-ME"/>
        </w:rPr>
        <w:t xml:space="preserve">perforacija i fistula su prijavljene kod 1,9% pacijenata koji su primali </w:t>
      </w:r>
      <w:proofErr w:type="spellStart"/>
      <w:r w:rsidR="000C2BB6" w:rsidRPr="0045764A">
        <w:rPr>
          <w:rFonts w:eastAsia="TimesNewRoman"/>
          <w:szCs w:val="22"/>
          <w:lang w:val="sr-Latn-ME"/>
        </w:rPr>
        <w:t>aksitinib</w:t>
      </w:r>
      <w:proofErr w:type="spellEnd"/>
      <w:r w:rsidR="000C2BB6" w:rsidRPr="0045764A">
        <w:rPr>
          <w:rFonts w:eastAsia="TimesNewRoman"/>
          <w:szCs w:val="22"/>
          <w:lang w:val="sr-Latn-ME"/>
        </w:rPr>
        <w:t>.</w:t>
      </w:r>
    </w:p>
    <w:p w14:paraId="3D232546" w14:textId="08FDF88A" w:rsidR="004B3C86" w:rsidRDefault="004B3C86" w:rsidP="00C65330">
      <w:pPr>
        <w:rPr>
          <w:rFonts w:eastAsia="TimesNewRoman"/>
          <w:szCs w:val="22"/>
          <w:lang w:val="sr-Latn-ME"/>
        </w:rPr>
      </w:pPr>
    </w:p>
    <w:p w14:paraId="1234841A" w14:textId="6BFDE66F" w:rsidR="000F2AD6" w:rsidRDefault="000F2AD6" w:rsidP="00C65330">
      <w:pPr>
        <w:rPr>
          <w:rFonts w:eastAsia="TimesNewRoman"/>
          <w:szCs w:val="22"/>
          <w:lang w:val="sr-Latn-ME"/>
        </w:rPr>
      </w:pPr>
    </w:p>
    <w:p w14:paraId="067E3327" w14:textId="77777777" w:rsidR="000F2AD6" w:rsidRPr="0045764A" w:rsidRDefault="000F2AD6" w:rsidP="00C65330">
      <w:pPr>
        <w:rPr>
          <w:rFonts w:eastAsia="TimesNewRoman"/>
          <w:szCs w:val="22"/>
          <w:lang w:val="sr-Latn-ME"/>
        </w:rPr>
      </w:pPr>
    </w:p>
    <w:p w14:paraId="6B25EE49" w14:textId="77777777" w:rsidR="004B3C86" w:rsidRPr="0045764A" w:rsidRDefault="004B3C86" w:rsidP="004B3C86">
      <w:pPr>
        <w:tabs>
          <w:tab w:val="clear" w:pos="284"/>
        </w:tabs>
        <w:spacing w:after="200" w:line="276" w:lineRule="auto"/>
        <w:jc w:val="left"/>
        <w:rPr>
          <w:rFonts w:eastAsia="Calibri"/>
          <w:szCs w:val="22"/>
          <w:u w:val="single"/>
          <w:lang w:val="sr-Latn-ME"/>
        </w:rPr>
      </w:pPr>
      <w:r w:rsidRPr="0045764A">
        <w:rPr>
          <w:rFonts w:eastAsia="Calibri"/>
          <w:szCs w:val="22"/>
          <w:u w:val="single"/>
          <w:lang w:val="sr-Latn-ME"/>
        </w:rPr>
        <w:lastRenderedPageBreak/>
        <w:t>Prijavljivanje sumnji na neželjena dejstva</w:t>
      </w:r>
    </w:p>
    <w:p w14:paraId="29335497" w14:textId="77777777" w:rsidR="004B3C86" w:rsidRPr="0045764A" w:rsidRDefault="004B3C86" w:rsidP="004B3C86">
      <w:pPr>
        <w:tabs>
          <w:tab w:val="clear" w:pos="284"/>
        </w:tabs>
        <w:spacing w:after="200"/>
        <w:rPr>
          <w:rFonts w:eastAsia="Calibri"/>
          <w:szCs w:val="22"/>
          <w:lang w:val="sr-Latn-ME"/>
        </w:rPr>
      </w:pPr>
      <w:r w:rsidRPr="0045764A">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3140F840" w14:textId="77777777" w:rsidR="004B3C86" w:rsidRPr="0045764A" w:rsidRDefault="004B3C86" w:rsidP="004B3C86">
      <w:pPr>
        <w:tabs>
          <w:tab w:val="clear" w:pos="284"/>
        </w:tabs>
        <w:rPr>
          <w:rFonts w:eastAsia="Calibri"/>
          <w:szCs w:val="22"/>
          <w:lang w:val="sr-Latn-ME"/>
        </w:rPr>
      </w:pPr>
      <w:r w:rsidRPr="0045764A">
        <w:rPr>
          <w:rFonts w:eastAsia="Calibri"/>
          <w:szCs w:val="22"/>
          <w:lang w:val="sr-Latn-ME"/>
        </w:rPr>
        <w:t xml:space="preserve">Institut za ljekove i medicinska sredstva </w:t>
      </w:r>
    </w:p>
    <w:p w14:paraId="24808F76" w14:textId="77777777" w:rsidR="004B3C86" w:rsidRPr="0045764A" w:rsidRDefault="004B3C86" w:rsidP="004B3C86">
      <w:pPr>
        <w:tabs>
          <w:tab w:val="clear" w:pos="284"/>
        </w:tabs>
        <w:rPr>
          <w:rFonts w:eastAsia="Calibri"/>
          <w:szCs w:val="22"/>
          <w:lang w:val="sr-Latn-ME"/>
        </w:rPr>
      </w:pPr>
      <w:r w:rsidRPr="0045764A">
        <w:rPr>
          <w:rFonts w:eastAsia="Calibri"/>
          <w:szCs w:val="22"/>
          <w:lang w:val="sr-Latn-ME"/>
        </w:rPr>
        <w:t xml:space="preserve">Odjeljenje za </w:t>
      </w:r>
      <w:proofErr w:type="spellStart"/>
      <w:r w:rsidRPr="0045764A">
        <w:rPr>
          <w:rFonts w:eastAsia="Calibri"/>
          <w:szCs w:val="22"/>
          <w:lang w:val="sr-Latn-ME"/>
        </w:rPr>
        <w:t>farmakovigilancu</w:t>
      </w:r>
      <w:proofErr w:type="spellEnd"/>
    </w:p>
    <w:p w14:paraId="730C5E08" w14:textId="77777777" w:rsidR="004B3C86" w:rsidRPr="0045764A" w:rsidRDefault="004B3C86" w:rsidP="004B3C86">
      <w:pPr>
        <w:tabs>
          <w:tab w:val="clear" w:pos="284"/>
        </w:tabs>
        <w:rPr>
          <w:rFonts w:eastAsia="Calibri"/>
          <w:szCs w:val="22"/>
          <w:lang w:val="sr-Latn-ME"/>
        </w:rPr>
      </w:pPr>
      <w:r w:rsidRPr="0045764A">
        <w:rPr>
          <w:rFonts w:eastAsia="Calibri"/>
          <w:szCs w:val="22"/>
          <w:lang w:val="sr-Latn-ME"/>
        </w:rPr>
        <w:t>Bulevar Ivana Crnojevića 64a, 81000 Podgorica</w:t>
      </w:r>
    </w:p>
    <w:p w14:paraId="22158270" w14:textId="77777777" w:rsidR="004B3C86" w:rsidRPr="0045764A" w:rsidRDefault="004B3C86" w:rsidP="004B3C86">
      <w:pPr>
        <w:tabs>
          <w:tab w:val="clear" w:pos="284"/>
        </w:tabs>
        <w:rPr>
          <w:rFonts w:eastAsia="Calibri"/>
          <w:szCs w:val="22"/>
          <w:lang w:val="sr-Latn-ME"/>
        </w:rPr>
      </w:pPr>
      <w:r w:rsidRPr="0045764A">
        <w:rPr>
          <w:rFonts w:eastAsia="Calibri"/>
          <w:szCs w:val="22"/>
          <w:lang w:val="sr-Latn-ME"/>
        </w:rPr>
        <w:t>tel: +382 (0) 20 310 280</w:t>
      </w:r>
    </w:p>
    <w:p w14:paraId="2E39BD95" w14:textId="77777777" w:rsidR="004B3C86" w:rsidRPr="0045764A" w:rsidRDefault="004B3C86" w:rsidP="004B3C86">
      <w:pPr>
        <w:tabs>
          <w:tab w:val="clear" w:pos="284"/>
        </w:tabs>
        <w:rPr>
          <w:rFonts w:eastAsia="Calibri"/>
          <w:szCs w:val="22"/>
          <w:lang w:val="sr-Latn-ME"/>
        </w:rPr>
      </w:pPr>
      <w:proofErr w:type="spellStart"/>
      <w:r w:rsidRPr="0045764A">
        <w:rPr>
          <w:rFonts w:eastAsia="Calibri"/>
          <w:szCs w:val="22"/>
          <w:lang w:val="sr-Latn-ME"/>
        </w:rPr>
        <w:t>fax</w:t>
      </w:r>
      <w:proofErr w:type="spellEnd"/>
      <w:r w:rsidRPr="0045764A">
        <w:rPr>
          <w:rFonts w:eastAsia="Calibri"/>
          <w:szCs w:val="22"/>
          <w:lang w:val="sr-Latn-ME"/>
        </w:rPr>
        <w:t>: +382 (0) 20 310 581</w:t>
      </w:r>
    </w:p>
    <w:p w14:paraId="782ACE20" w14:textId="639690DD" w:rsidR="004B3C86" w:rsidRPr="0045764A" w:rsidRDefault="0045764A" w:rsidP="004B3C86">
      <w:pPr>
        <w:tabs>
          <w:tab w:val="clear" w:pos="284"/>
        </w:tabs>
        <w:rPr>
          <w:rFonts w:eastAsia="Calibri"/>
          <w:szCs w:val="22"/>
          <w:lang w:val="sr-Latn-ME"/>
        </w:rPr>
      </w:pPr>
      <w:hyperlink r:id="rId8" w:history="1">
        <w:r w:rsidR="004B3C86" w:rsidRPr="0045764A">
          <w:rPr>
            <w:rFonts w:eastAsia="Calibri"/>
            <w:color w:val="0563C1"/>
            <w:szCs w:val="22"/>
            <w:u w:val="single"/>
            <w:lang w:val="sr-Latn-ME"/>
          </w:rPr>
          <w:t>www.cinmed.me</w:t>
        </w:r>
      </w:hyperlink>
    </w:p>
    <w:p w14:paraId="1D328907" w14:textId="22406C2B" w:rsidR="004B3C86" w:rsidRPr="0045764A" w:rsidRDefault="0045764A" w:rsidP="004B3C86">
      <w:pPr>
        <w:tabs>
          <w:tab w:val="clear" w:pos="284"/>
        </w:tabs>
        <w:rPr>
          <w:rFonts w:eastAsia="Calibri"/>
          <w:color w:val="0000FF"/>
          <w:szCs w:val="22"/>
          <w:u w:val="single"/>
          <w:lang w:val="sr-Latn-ME"/>
        </w:rPr>
      </w:pPr>
      <w:hyperlink r:id="rId9" w:history="1">
        <w:r w:rsidR="004B3C86" w:rsidRPr="0045764A">
          <w:rPr>
            <w:rFonts w:eastAsia="Calibri"/>
            <w:color w:val="0563C1"/>
            <w:szCs w:val="22"/>
            <w:u w:val="single"/>
            <w:lang w:val="sr-Latn-ME"/>
          </w:rPr>
          <w:t>nezeljenadejstva@cinmed.me</w:t>
        </w:r>
      </w:hyperlink>
    </w:p>
    <w:p w14:paraId="36BF9E7F" w14:textId="727BBEE0" w:rsidR="004B3C86" w:rsidRPr="0045764A" w:rsidRDefault="004B3C86" w:rsidP="004B3C86">
      <w:pPr>
        <w:tabs>
          <w:tab w:val="clear" w:pos="284"/>
        </w:tabs>
        <w:rPr>
          <w:rFonts w:eastAsia="Calibri"/>
          <w:szCs w:val="22"/>
          <w:lang w:val="sr-Latn-ME"/>
        </w:rPr>
      </w:pPr>
      <w:r w:rsidRPr="0045764A">
        <w:rPr>
          <w:rFonts w:eastAsia="Calibri"/>
          <w:szCs w:val="22"/>
          <w:lang w:val="sr-Latn-ME"/>
        </w:rPr>
        <w:t>putem IS zdravstvene zaštite</w:t>
      </w:r>
    </w:p>
    <w:p w14:paraId="684814E9" w14:textId="77777777" w:rsidR="00154F4A" w:rsidRPr="0045764A" w:rsidRDefault="00154F4A" w:rsidP="00154F4A">
      <w:pPr>
        <w:tabs>
          <w:tab w:val="clear" w:pos="284"/>
        </w:tabs>
        <w:rPr>
          <w:rFonts w:eastAsia="Calibri"/>
          <w:szCs w:val="22"/>
          <w:lang w:val="sr-Latn-ME"/>
        </w:rPr>
      </w:pPr>
      <w:r w:rsidRPr="0045764A">
        <w:rPr>
          <w:rFonts w:eastAsia="Calibri"/>
          <w:szCs w:val="22"/>
          <w:lang w:val="sr-Latn-ME"/>
        </w:rPr>
        <w:t xml:space="preserve">QR kod za </w:t>
      </w:r>
      <w:proofErr w:type="spellStart"/>
      <w:r w:rsidRPr="0045764A">
        <w:rPr>
          <w:rFonts w:eastAsia="Calibri"/>
          <w:szCs w:val="22"/>
          <w:lang w:val="sr-Latn-ME"/>
        </w:rPr>
        <w:t>online</w:t>
      </w:r>
      <w:proofErr w:type="spellEnd"/>
      <w:r w:rsidRPr="0045764A">
        <w:rPr>
          <w:rFonts w:eastAsia="Calibri"/>
          <w:szCs w:val="22"/>
          <w:lang w:val="sr-Latn-ME"/>
        </w:rPr>
        <w:t xml:space="preserve"> prijavu sumnje na neželjeno dejstvo lijeka:</w:t>
      </w:r>
    </w:p>
    <w:p w14:paraId="30571513" w14:textId="77777777" w:rsidR="00154F4A" w:rsidRPr="0045764A" w:rsidRDefault="00154F4A" w:rsidP="00154F4A">
      <w:pPr>
        <w:tabs>
          <w:tab w:val="clear" w:pos="284"/>
        </w:tabs>
        <w:jc w:val="left"/>
        <w:rPr>
          <w:rFonts w:eastAsia="Calibri"/>
          <w:szCs w:val="22"/>
          <w:lang w:val="sr-Latn-ME"/>
        </w:rPr>
      </w:pPr>
    </w:p>
    <w:p w14:paraId="17D038FF" w14:textId="77777777" w:rsidR="00154F4A" w:rsidRPr="0045764A" w:rsidRDefault="00154F4A" w:rsidP="00154F4A">
      <w:pPr>
        <w:tabs>
          <w:tab w:val="clear" w:pos="284"/>
          <w:tab w:val="left" w:pos="540"/>
          <w:tab w:val="left" w:pos="569"/>
        </w:tabs>
        <w:jc w:val="left"/>
        <w:rPr>
          <w:b/>
          <w:bCs/>
          <w:szCs w:val="22"/>
          <w:lang w:val="sr-Latn-ME"/>
        </w:rPr>
      </w:pPr>
      <w:r w:rsidRPr="0045764A">
        <w:rPr>
          <w:b/>
          <w:bCs/>
          <w:noProof/>
          <w:szCs w:val="22"/>
          <w:lang w:val="sr-Latn-ME"/>
        </w:rPr>
        <w:drawing>
          <wp:inline distT="0" distB="0" distL="0" distR="0" wp14:anchorId="2A273FDE" wp14:editId="4DBDF9D0">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91C0AD4" w14:textId="77777777" w:rsidR="001C3694" w:rsidRPr="0045764A" w:rsidRDefault="001C3694" w:rsidP="001C3694">
      <w:pPr>
        <w:rPr>
          <w:szCs w:val="22"/>
          <w:lang w:val="sr-Latn-ME"/>
        </w:rPr>
      </w:pPr>
    </w:p>
    <w:p w14:paraId="4B3C678D" w14:textId="77777777" w:rsidR="00CE09F3" w:rsidRPr="0045764A" w:rsidRDefault="00CE09F3" w:rsidP="00C65330">
      <w:pPr>
        <w:rPr>
          <w:b/>
          <w:bCs/>
          <w:szCs w:val="22"/>
          <w:lang w:val="sr-Latn-ME"/>
        </w:rPr>
      </w:pPr>
      <w:r w:rsidRPr="0045764A">
        <w:rPr>
          <w:b/>
          <w:bCs/>
          <w:szCs w:val="22"/>
          <w:lang w:val="sr-Latn-ME"/>
        </w:rPr>
        <w:t xml:space="preserve">4.9. </w:t>
      </w:r>
      <w:proofErr w:type="spellStart"/>
      <w:r w:rsidRPr="0045764A">
        <w:rPr>
          <w:b/>
          <w:bCs/>
          <w:szCs w:val="22"/>
          <w:lang w:val="sr-Latn-ME"/>
        </w:rPr>
        <w:t>Predoziranje</w:t>
      </w:r>
      <w:proofErr w:type="spellEnd"/>
    </w:p>
    <w:p w14:paraId="4B3C678E" w14:textId="77777777" w:rsidR="00CE09F3" w:rsidRPr="0045764A" w:rsidRDefault="00CE09F3" w:rsidP="00C65330">
      <w:pPr>
        <w:rPr>
          <w:szCs w:val="22"/>
          <w:lang w:val="sr-Latn-ME"/>
        </w:rPr>
      </w:pPr>
    </w:p>
    <w:p w14:paraId="5B4BC43E" w14:textId="733C3CF1" w:rsidR="005329F1" w:rsidRPr="0045764A" w:rsidRDefault="005329F1"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Ne postoji specifična terapija za </w:t>
      </w:r>
      <w:proofErr w:type="spellStart"/>
      <w:r w:rsidRPr="0045764A">
        <w:rPr>
          <w:rFonts w:eastAsia="TimesNewRoman"/>
          <w:szCs w:val="22"/>
          <w:lang w:val="sr-Latn-ME"/>
        </w:rPr>
        <w:t>predoziranje</w:t>
      </w:r>
      <w:proofErr w:type="spellEnd"/>
      <w:r w:rsidRPr="0045764A">
        <w:rPr>
          <w:rFonts w:eastAsia="TimesNewRoman"/>
          <w:szCs w:val="22"/>
          <w:lang w:val="sr-Latn-ME"/>
        </w:rPr>
        <w:t xml:space="preserve"> </w:t>
      </w:r>
      <w:proofErr w:type="spellStart"/>
      <w:r w:rsidRPr="0045764A">
        <w:rPr>
          <w:rFonts w:eastAsia="TimesNewRoman"/>
          <w:szCs w:val="22"/>
          <w:lang w:val="sr-Latn-ME"/>
        </w:rPr>
        <w:t>aksitinibom</w:t>
      </w:r>
      <w:proofErr w:type="spellEnd"/>
      <w:r w:rsidRPr="0045764A">
        <w:rPr>
          <w:rFonts w:eastAsia="TimesNewRoman"/>
          <w:szCs w:val="22"/>
          <w:lang w:val="sr-Latn-ME"/>
        </w:rPr>
        <w:t>.</w:t>
      </w:r>
    </w:p>
    <w:p w14:paraId="68FAE7E1" w14:textId="77777777" w:rsidR="00B43365" w:rsidRPr="0045764A" w:rsidRDefault="00B43365" w:rsidP="00C65330">
      <w:pPr>
        <w:tabs>
          <w:tab w:val="clear" w:pos="284"/>
        </w:tabs>
        <w:autoSpaceDE w:val="0"/>
        <w:autoSpaceDN w:val="0"/>
        <w:adjustRightInd w:val="0"/>
        <w:rPr>
          <w:rFonts w:eastAsia="TimesNewRoman"/>
          <w:szCs w:val="22"/>
          <w:lang w:val="sr-Latn-ME"/>
        </w:rPr>
      </w:pPr>
    </w:p>
    <w:p w14:paraId="19AE0B6B" w14:textId="2FD94625" w:rsidR="005329F1" w:rsidRPr="0045764A" w:rsidRDefault="005329F1"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U kontrolisanoj kliničkoj studiji sa </w:t>
      </w:r>
      <w:proofErr w:type="spellStart"/>
      <w:r w:rsidRPr="0045764A">
        <w:rPr>
          <w:rFonts w:eastAsia="TimesNewRoman"/>
          <w:szCs w:val="22"/>
          <w:lang w:val="sr-Latn-ME"/>
        </w:rPr>
        <w:t>aksitinibom</w:t>
      </w:r>
      <w:proofErr w:type="spellEnd"/>
      <w:r w:rsidRPr="0045764A">
        <w:rPr>
          <w:rFonts w:eastAsia="TimesNewRoman"/>
          <w:szCs w:val="22"/>
          <w:lang w:val="sr-Latn-ME"/>
        </w:rPr>
        <w:t xml:space="preserve"> za </w:t>
      </w:r>
      <w:r w:rsidR="00AE0DCD" w:rsidRPr="0045764A">
        <w:rPr>
          <w:rFonts w:eastAsia="TimesNewRoman"/>
          <w:szCs w:val="22"/>
          <w:lang w:val="sr-Latn-ME"/>
        </w:rPr>
        <w:t>liječenj</w:t>
      </w:r>
      <w:r w:rsidRPr="0045764A">
        <w:rPr>
          <w:rFonts w:eastAsia="TimesNewRoman"/>
          <w:szCs w:val="22"/>
          <w:lang w:val="sr-Latn-ME"/>
        </w:rPr>
        <w:t>e pacijenata sa RCC, kod jednog pacijenta koji je</w:t>
      </w:r>
      <w:r w:rsidR="00B43365" w:rsidRPr="0045764A">
        <w:rPr>
          <w:rFonts w:eastAsia="TimesNewRoman"/>
          <w:szCs w:val="22"/>
          <w:lang w:val="sr-Latn-ME"/>
        </w:rPr>
        <w:t xml:space="preserve"> </w:t>
      </w:r>
      <w:r w:rsidRPr="0045764A">
        <w:rPr>
          <w:rFonts w:eastAsia="TimesNewRoman"/>
          <w:szCs w:val="22"/>
          <w:lang w:val="sr-Latn-ME"/>
        </w:rPr>
        <w:t>nenam</w:t>
      </w:r>
      <w:r w:rsidR="006B111D" w:rsidRPr="0045764A">
        <w:rPr>
          <w:rFonts w:eastAsia="TimesNewRoman"/>
          <w:szCs w:val="22"/>
          <w:lang w:val="sr-Latn-ME"/>
        </w:rPr>
        <w:t>j</w:t>
      </w:r>
      <w:r w:rsidRPr="0045764A">
        <w:rPr>
          <w:rFonts w:eastAsia="TimesNewRoman"/>
          <w:szCs w:val="22"/>
          <w:lang w:val="sr-Latn-ME"/>
        </w:rPr>
        <w:t>erno primio dozu od 20 mg dva puta dnevno tokom 4 dana javila se vrtoglavica (Gradusa 1).</w:t>
      </w:r>
    </w:p>
    <w:p w14:paraId="4A44E15A" w14:textId="77777777" w:rsidR="00A409E9" w:rsidRPr="0045764A" w:rsidRDefault="00A409E9" w:rsidP="00C65330">
      <w:pPr>
        <w:tabs>
          <w:tab w:val="clear" w:pos="284"/>
        </w:tabs>
        <w:autoSpaceDE w:val="0"/>
        <w:autoSpaceDN w:val="0"/>
        <w:adjustRightInd w:val="0"/>
        <w:rPr>
          <w:rFonts w:eastAsia="TimesNewRoman"/>
          <w:szCs w:val="22"/>
          <w:lang w:val="sr-Latn-ME"/>
        </w:rPr>
      </w:pPr>
    </w:p>
    <w:p w14:paraId="30E95CFD" w14:textId="6398A06E" w:rsidR="005329F1" w:rsidRPr="0045764A" w:rsidRDefault="005329F1"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U kliničkom ispitivanju za određivanje doze </w:t>
      </w:r>
      <w:proofErr w:type="spellStart"/>
      <w:r w:rsidRPr="0045764A">
        <w:rPr>
          <w:rFonts w:eastAsia="TimesNewRoman"/>
          <w:szCs w:val="22"/>
          <w:lang w:val="sr-Latn-ME"/>
        </w:rPr>
        <w:t>aksitiniba</w:t>
      </w:r>
      <w:proofErr w:type="spellEnd"/>
      <w:r w:rsidRPr="0045764A">
        <w:rPr>
          <w:rFonts w:eastAsia="TimesNewRoman"/>
          <w:szCs w:val="22"/>
          <w:lang w:val="sr-Latn-ME"/>
        </w:rPr>
        <w:t>, kod ispitanika koji su primali početne doze od 10 mg</w:t>
      </w:r>
      <w:r w:rsidR="006B111D" w:rsidRPr="0045764A">
        <w:rPr>
          <w:rFonts w:eastAsia="TimesNewRoman"/>
          <w:szCs w:val="22"/>
          <w:lang w:val="sr-Latn-ME"/>
        </w:rPr>
        <w:t xml:space="preserve"> </w:t>
      </w:r>
      <w:r w:rsidRPr="0045764A">
        <w:rPr>
          <w:rFonts w:eastAsia="TimesNewRoman"/>
          <w:szCs w:val="22"/>
          <w:lang w:val="sr-Latn-ME"/>
        </w:rPr>
        <w:t>dva puta dnevno ili 20 mg dva puta dnevno javil</w:t>
      </w:r>
      <w:r w:rsidR="006B2BC6" w:rsidRPr="0045764A">
        <w:rPr>
          <w:rFonts w:eastAsia="TimesNewRoman"/>
          <w:szCs w:val="22"/>
          <w:lang w:val="sr-Latn-ME"/>
        </w:rPr>
        <w:t>a</w:t>
      </w:r>
      <w:r w:rsidRPr="0045764A">
        <w:rPr>
          <w:rFonts w:eastAsia="TimesNewRoman"/>
          <w:szCs w:val="22"/>
          <w:lang w:val="sr-Latn-ME"/>
        </w:rPr>
        <w:t xml:space="preserve"> su se neželjen</w:t>
      </w:r>
      <w:r w:rsidR="006B2BC6" w:rsidRPr="0045764A">
        <w:rPr>
          <w:rFonts w:eastAsia="TimesNewRoman"/>
          <w:szCs w:val="22"/>
          <w:lang w:val="sr-Latn-ME"/>
        </w:rPr>
        <w:t>a</w:t>
      </w:r>
      <w:r w:rsidRPr="0045764A">
        <w:rPr>
          <w:rFonts w:eastAsia="TimesNewRoman"/>
          <w:szCs w:val="22"/>
          <w:lang w:val="sr-Latn-ME"/>
        </w:rPr>
        <w:t xml:space="preserve"> </w:t>
      </w:r>
      <w:r w:rsidR="006B2BC6" w:rsidRPr="0045764A">
        <w:rPr>
          <w:rFonts w:eastAsia="TimesNewRoman"/>
          <w:szCs w:val="22"/>
          <w:lang w:val="sr-Latn-ME"/>
        </w:rPr>
        <w:t xml:space="preserve">dejstva </w:t>
      </w:r>
      <w:r w:rsidRPr="0045764A">
        <w:rPr>
          <w:rFonts w:eastAsia="TimesNewRoman"/>
          <w:szCs w:val="22"/>
          <w:lang w:val="sr-Latn-ME"/>
        </w:rPr>
        <w:t>koje uključuju hipertenziju,</w:t>
      </w:r>
      <w:r w:rsidR="00A409E9" w:rsidRPr="0045764A">
        <w:rPr>
          <w:rFonts w:eastAsia="TimesNewRoman"/>
          <w:szCs w:val="22"/>
          <w:lang w:val="sr-Latn-ME"/>
        </w:rPr>
        <w:t xml:space="preserve"> </w:t>
      </w:r>
      <w:r w:rsidRPr="0045764A">
        <w:rPr>
          <w:rFonts w:eastAsia="TimesNewRoman"/>
          <w:szCs w:val="22"/>
          <w:lang w:val="sr-Latn-ME"/>
        </w:rPr>
        <w:t xml:space="preserve">napade povezane sa hipertenzijom i fatalnu </w:t>
      </w:r>
      <w:proofErr w:type="spellStart"/>
      <w:r w:rsidRPr="0045764A">
        <w:rPr>
          <w:rFonts w:eastAsia="TimesNewRoman"/>
          <w:szCs w:val="22"/>
          <w:lang w:val="sr-Latn-ME"/>
        </w:rPr>
        <w:t>hemoptizu</w:t>
      </w:r>
      <w:proofErr w:type="spellEnd"/>
      <w:r w:rsidRPr="0045764A">
        <w:rPr>
          <w:rFonts w:eastAsia="TimesNewRoman"/>
          <w:szCs w:val="22"/>
          <w:lang w:val="sr-Latn-ME"/>
        </w:rPr>
        <w:t>.</w:t>
      </w:r>
    </w:p>
    <w:p w14:paraId="58DD2955" w14:textId="77777777" w:rsidR="00A409E9" w:rsidRPr="0045764A" w:rsidRDefault="00A409E9" w:rsidP="00C65330">
      <w:pPr>
        <w:rPr>
          <w:rFonts w:eastAsia="TimesNewRoman"/>
          <w:szCs w:val="22"/>
          <w:lang w:val="sr-Latn-ME"/>
        </w:rPr>
      </w:pPr>
    </w:p>
    <w:p w14:paraId="4B3C678F" w14:textId="4BFA4698" w:rsidR="00CE09F3" w:rsidRPr="0045764A" w:rsidRDefault="005329F1" w:rsidP="00C65330">
      <w:pPr>
        <w:rPr>
          <w:rFonts w:eastAsia="TimesNewRoman"/>
          <w:szCs w:val="22"/>
          <w:lang w:val="sr-Latn-ME"/>
        </w:rPr>
      </w:pPr>
      <w:r w:rsidRPr="0045764A">
        <w:rPr>
          <w:rFonts w:eastAsia="TimesNewRoman"/>
          <w:szCs w:val="22"/>
          <w:lang w:val="sr-Latn-ME"/>
        </w:rPr>
        <w:t xml:space="preserve">U slučajevima sumnje na </w:t>
      </w:r>
      <w:proofErr w:type="spellStart"/>
      <w:r w:rsidRPr="0045764A">
        <w:rPr>
          <w:rFonts w:eastAsia="TimesNewRoman"/>
          <w:szCs w:val="22"/>
          <w:lang w:val="sr-Latn-ME"/>
        </w:rPr>
        <w:t>predoziranje</w:t>
      </w:r>
      <w:proofErr w:type="spellEnd"/>
      <w:r w:rsidRPr="0045764A">
        <w:rPr>
          <w:rFonts w:eastAsia="TimesNewRoman"/>
          <w:szCs w:val="22"/>
          <w:lang w:val="sr-Latn-ME"/>
        </w:rPr>
        <w:t xml:space="preserve">, </w:t>
      </w:r>
      <w:r w:rsidR="008E2492" w:rsidRPr="0045764A">
        <w:rPr>
          <w:rFonts w:eastAsia="TimesNewRoman"/>
          <w:szCs w:val="22"/>
          <w:lang w:val="sr-Latn-ME"/>
        </w:rPr>
        <w:t>primjen</w:t>
      </w:r>
      <w:r w:rsidRPr="0045764A">
        <w:rPr>
          <w:rFonts w:eastAsia="TimesNewRoman"/>
          <w:szCs w:val="22"/>
          <w:lang w:val="sr-Latn-ME"/>
        </w:rPr>
        <w:t xml:space="preserve">u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treba prekinuti i preduzeti </w:t>
      </w:r>
      <w:r w:rsidR="001618FD" w:rsidRPr="0045764A">
        <w:rPr>
          <w:rFonts w:eastAsia="TimesNewRoman"/>
          <w:szCs w:val="22"/>
          <w:lang w:val="sr-Latn-ME"/>
        </w:rPr>
        <w:t xml:space="preserve">pomoćne </w:t>
      </w:r>
      <w:r w:rsidRPr="0045764A">
        <w:rPr>
          <w:rFonts w:eastAsia="TimesNewRoman"/>
          <w:szCs w:val="22"/>
          <w:lang w:val="sr-Latn-ME"/>
        </w:rPr>
        <w:t>m</w:t>
      </w:r>
      <w:r w:rsidR="006B111D" w:rsidRPr="0045764A">
        <w:rPr>
          <w:rFonts w:eastAsia="TimesNewRoman"/>
          <w:szCs w:val="22"/>
          <w:lang w:val="sr-Latn-ME"/>
        </w:rPr>
        <w:t>j</w:t>
      </w:r>
      <w:r w:rsidRPr="0045764A">
        <w:rPr>
          <w:rFonts w:eastAsia="TimesNewRoman"/>
          <w:szCs w:val="22"/>
          <w:lang w:val="sr-Latn-ME"/>
        </w:rPr>
        <w:t>ere.</w:t>
      </w:r>
    </w:p>
    <w:p w14:paraId="67F4C1B9" w14:textId="49943D86" w:rsidR="00A409E9" w:rsidRPr="0045764A" w:rsidRDefault="00A409E9" w:rsidP="00C65330">
      <w:pPr>
        <w:rPr>
          <w:szCs w:val="22"/>
          <w:lang w:val="sr-Latn-ME"/>
        </w:rPr>
      </w:pPr>
    </w:p>
    <w:p w14:paraId="57091BF0" w14:textId="77777777" w:rsidR="009D57E6" w:rsidRPr="0045764A" w:rsidRDefault="009D57E6" w:rsidP="00C65330">
      <w:pPr>
        <w:rPr>
          <w:szCs w:val="22"/>
          <w:lang w:val="sr-Latn-ME"/>
        </w:rPr>
      </w:pPr>
    </w:p>
    <w:p w14:paraId="4B3C6790" w14:textId="786D44D6" w:rsidR="00CE09F3" w:rsidRPr="0045764A" w:rsidRDefault="00CE09F3" w:rsidP="00C65330">
      <w:pPr>
        <w:pStyle w:val="NASLOV123"/>
        <w:spacing w:before="0" w:after="0"/>
        <w:jc w:val="both"/>
        <w:rPr>
          <w:lang w:val="sr-Latn-ME"/>
        </w:rPr>
      </w:pPr>
      <w:r w:rsidRPr="0045764A">
        <w:rPr>
          <w:lang w:val="sr-Latn-ME"/>
        </w:rPr>
        <w:t>5. FARMAKOLOŠKI PODACI</w:t>
      </w:r>
    </w:p>
    <w:p w14:paraId="12F6C9FE" w14:textId="77777777" w:rsidR="004B3C86" w:rsidRPr="0045764A" w:rsidRDefault="004B3C86" w:rsidP="00C65330">
      <w:pPr>
        <w:pStyle w:val="NASLOV123"/>
        <w:spacing w:before="0" w:after="0"/>
        <w:jc w:val="both"/>
        <w:rPr>
          <w:lang w:val="sr-Latn-ME"/>
        </w:rPr>
      </w:pPr>
    </w:p>
    <w:p w14:paraId="4B3C6791" w14:textId="6033F856" w:rsidR="00CE09F3" w:rsidRPr="0045764A" w:rsidRDefault="00CE09F3" w:rsidP="00C65330">
      <w:pPr>
        <w:rPr>
          <w:b/>
          <w:bCs/>
          <w:szCs w:val="22"/>
          <w:lang w:val="sr-Latn-ME"/>
        </w:rPr>
      </w:pPr>
      <w:r w:rsidRPr="0045764A">
        <w:rPr>
          <w:b/>
          <w:bCs/>
          <w:szCs w:val="22"/>
          <w:lang w:val="sr-Latn-ME"/>
        </w:rPr>
        <w:t xml:space="preserve">5.1. </w:t>
      </w:r>
      <w:proofErr w:type="spellStart"/>
      <w:r w:rsidRPr="0045764A">
        <w:rPr>
          <w:b/>
          <w:bCs/>
          <w:szCs w:val="22"/>
          <w:lang w:val="sr-Latn-ME"/>
        </w:rPr>
        <w:t>Farmakodinamski</w:t>
      </w:r>
      <w:proofErr w:type="spellEnd"/>
      <w:r w:rsidRPr="0045764A">
        <w:rPr>
          <w:b/>
          <w:bCs/>
          <w:szCs w:val="22"/>
          <w:lang w:val="sr-Latn-ME"/>
        </w:rPr>
        <w:t xml:space="preserve"> podaci</w:t>
      </w:r>
    </w:p>
    <w:p w14:paraId="44CAEB09" w14:textId="77777777" w:rsidR="002807DF" w:rsidRPr="0045764A" w:rsidRDefault="002807DF" w:rsidP="00C65330">
      <w:pPr>
        <w:rPr>
          <w:b/>
          <w:bCs/>
          <w:szCs w:val="22"/>
          <w:lang w:val="sr-Latn-ME"/>
        </w:rPr>
      </w:pPr>
    </w:p>
    <w:p w14:paraId="4B3C6792" w14:textId="41969602" w:rsidR="00CE09F3" w:rsidRPr="0045764A" w:rsidRDefault="00CE09F3" w:rsidP="00C65330">
      <w:pPr>
        <w:rPr>
          <w:b/>
          <w:bCs/>
          <w:szCs w:val="22"/>
          <w:lang w:val="sr-Latn-ME"/>
        </w:rPr>
      </w:pPr>
      <w:proofErr w:type="spellStart"/>
      <w:r w:rsidRPr="0045764A">
        <w:rPr>
          <w:bCs/>
          <w:szCs w:val="22"/>
          <w:lang w:val="sr-Latn-ME"/>
        </w:rPr>
        <w:t>Farmakoterapijska</w:t>
      </w:r>
      <w:proofErr w:type="spellEnd"/>
      <w:r w:rsidRPr="0045764A">
        <w:rPr>
          <w:bCs/>
          <w:szCs w:val="22"/>
          <w:lang w:val="sr-Latn-ME"/>
        </w:rPr>
        <w:t xml:space="preserve"> grupa:</w:t>
      </w:r>
      <w:r w:rsidR="00884978" w:rsidRPr="0045764A">
        <w:rPr>
          <w:b/>
          <w:bCs/>
          <w:szCs w:val="22"/>
          <w:lang w:val="sr-Latn-ME"/>
        </w:rPr>
        <w:t xml:space="preserve"> </w:t>
      </w:r>
      <w:proofErr w:type="spellStart"/>
      <w:r w:rsidR="00884978" w:rsidRPr="0045764A">
        <w:rPr>
          <w:rFonts w:eastAsia="TimesNewRoman"/>
          <w:szCs w:val="22"/>
          <w:lang w:val="sr-Latn-ME"/>
        </w:rPr>
        <w:t>Antineoplastici</w:t>
      </w:r>
      <w:proofErr w:type="spellEnd"/>
      <w:r w:rsidR="00884978" w:rsidRPr="0045764A">
        <w:rPr>
          <w:rFonts w:eastAsia="TimesNewRoman"/>
          <w:szCs w:val="22"/>
          <w:lang w:val="sr-Latn-ME"/>
        </w:rPr>
        <w:t xml:space="preserve">, </w:t>
      </w:r>
      <w:proofErr w:type="spellStart"/>
      <w:r w:rsidR="00884978" w:rsidRPr="0045764A">
        <w:rPr>
          <w:rFonts w:eastAsia="TimesNewRoman"/>
          <w:szCs w:val="22"/>
          <w:lang w:val="sr-Latn-ME"/>
        </w:rPr>
        <w:t>inhibitori</w:t>
      </w:r>
      <w:proofErr w:type="spellEnd"/>
      <w:r w:rsidR="00884978" w:rsidRPr="0045764A">
        <w:rPr>
          <w:rFonts w:eastAsia="TimesNewRoman"/>
          <w:szCs w:val="22"/>
          <w:lang w:val="sr-Latn-ME"/>
        </w:rPr>
        <w:t xml:space="preserve"> protein </w:t>
      </w:r>
      <w:proofErr w:type="spellStart"/>
      <w:r w:rsidR="00884978" w:rsidRPr="0045764A">
        <w:rPr>
          <w:rFonts w:eastAsia="TimesNewRoman"/>
          <w:szCs w:val="22"/>
          <w:lang w:val="sr-Latn-ME"/>
        </w:rPr>
        <w:t>kinaze</w:t>
      </w:r>
      <w:proofErr w:type="spellEnd"/>
    </w:p>
    <w:p w14:paraId="4B3C6793" w14:textId="77777777" w:rsidR="00CE09F3" w:rsidRPr="0045764A" w:rsidRDefault="00CE09F3" w:rsidP="00C65330">
      <w:pPr>
        <w:rPr>
          <w:szCs w:val="22"/>
          <w:lang w:val="sr-Latn-ME"/>
        </w:rPr>
      </w:pPr>
    </w:p>
    <w:p w14:paraId="4B3C6794" w14:textId="5B7303AB" w:rsidR="00CE09F3" w:rsidRPr="0045764A" w:rsidRDefault="00CE09F3" w:rsidP="00C65330">
      <w:pPr>
        <w:rPr>
          <w:b/>
          <w:bCs/>
          <w:szCs w:val="22"/>
          <w:lang w:val="sr-Latn-ME"/>
        </w:rPr>
      </w:pPr>
      <w:r w:rsidRPr="0045764A">
        <w:rPr>
          <w:bCs/>
          <w:szCs w:val="22"/>
          <w:lang w:val="sr-Latn-ME"/>
        </w:rPr>
        <w:t xml:space="preserve">ATC </w:t>
      </w:r>
      <w:r w:rsidR="00B63006" w:rsidRPr="0045764A">
        <w:rPr>
          <w:bCs/>
          <w:szCs w:val="22"/>
          <w:lang w:val="sr-Latn-ME"/>
        </w:rPr>
        <w:t>kod</w:t>
      </w:r>
      <w:r w:rsidRPr="0045764A">
        <w:rPr>
          <w:bCs/>
          <w:szCs w:val="22"/>
          <w:lang w:val="sr-Latn-ME"/>
        </w:rPr>
        <w:t>:</w:t>
      </w:r>
      <w:r w:rsidR="002807DF" w:rsidRPr="0045764A">
        <w:rPr>
          <w:b/>
          <w:bCs/>
          <w:szCs w:val="22"/>
          <w:lang w:val="sr-Latn-ME"/>
        </w:rPr>
        <w:t xml:space="preserve"> </w:t>
      </w:r>
      <w:r w:rsidR="002807DF" w:rsidRPr="0045764A">
        <w:rPr>
          <w:rFonts w:eastAsia="TimesNewRoman"/>
          <w:szCs w:val="22"/>
          <w:lang w:val="sr-Latn-ME"/>
        </w:rPr>
        <w:t>L01E</w:t>
      </w:r>
      <w:r w:rsidR="00DF5AD1" w:rsidRPr="0045764A">
        <w:rPr>
          <w:rFonts w:eastAsia="TimesNewRoman"/>
          <w:szCs w:val="22"/>
          <w:lang w:val="sr-Latn-ME"/>
        </w:rPr>
        <w:t>K01</w:t>
      </w:r>
    </w:p>
    <w:p w14:paraId="4B3C6795" w14:textId="77777777" w:rsidR="00CE09F3" w:rsidRPr="0045764A" w:rsidRDefault="00CE09F3" w:rsidP="00C65330">
      <w:pPr>
        <w:rPr>
          <w:szCs w:val="22"/>
          <w:lang w:val="sr-Latn-ME"/>
        </w:rPr>
      </w:pPr>
    </w:p>
    <w:p w14:paraId="536E006C" w14:textId="77777777" w:rsidR="00D15C97" w:rsidRPr="0045764A" w:rsidRDefault="00D15C97" w:rsidP="00C65330">
      <w:pPr>
        <w:tabs>
          <w:tab w:val="clear" w:pos="284"/>
        </w:tabs>
        <w:autoSpaceDE w:val="0"/>
        <w:autoSpaceDN w:val="0"/>
        <w:adjustRightInd w:val="0"/>
        <w:rPr>
          <w:rFonts w:eastAsia="TimesNewRoman"/>
          <w:szCs w:val="22"/>
          <w:u w:val="single"/>
          <w:lang w:val="sr-Latn-ME"/>
        </w:rPr>
      </w:pPr>
      <w:r w:rsidRPr="0045764A">
        <w:rPr>
          <w:rFonts w:eastAsia="TimesNewRoman"/>
          <w:szCs w:val="22"/>
          <w:u w:val="single"/>
          <w:lang w:val="sr-Latn-ME"/>
        </w:rPr>
        <w:t>Mehanizam dejstva</w:t>
      </w:r>
    </w:p>
    <w:p w14:paraId="4B3C6796" w14:textId="2AC469B5" w:rsidR="00CE09F3" w:rsidRPr="0045764A" w:rsidRDefault="00D15C97" w:rsidP="00C65330">
      <w:pPr>
        <w:tabs>
          <w:tab w:val="clear" w:pos="284"/>
        </w:tabs>
        <w:autoSpaceDE w:val="0"/>
        <w:autoSpaceDN w:val="0"/>
        <w:adjustRightInd w:val="0"/>
        <w:rPr>
          <w:rFonts w:eastAsia="TimesNewRoman"/>
          <w:szCs w:val="22"/>
          <w:lang w:val="sr-Latn-ME"/>
        </w:rPr>
      </w:pPr>
      <w:proofErr w:type="spellStart"/>
      <w:r w:rsidRPr="0045764A">
        <w:rPr>
          <w:rFonts w:eastAsia="TimesNewRoman"/>
          <w:szCs w:val="22"/>
          <w:lang w:val="sr-Latn-ME"/>
        </w:rPr>
        <w:t>Aksitinib</w:t>
      </w:r>
      <w:proofErr w:type="spellEnd"/>
      <w:r w:rsidRPr="0045764A">
        <w:rPr>
          <w:rFonts w:eastAsia="TimesNewRoman"/>
          <w:szCs w:val="22"/>
          <w:lang w:val="sr-Latn-ME"/>
        </w:rPr>
        <w:t xml:space="preserve"> je snažan i s</w:t>
      </w:r>
      <w:r w:rsidR="008E2492" w:rsidRPr="0045764A">
        <w:rPr>
          <w:rFonts w:eastAsia="TimesNewRoman"/>
          <w:szCs w:val="22"/>
          <w:lang w:val="sr-Latn-ME"/>
        </w:rPr>
        <w:t>elek</w:t>
      </w:r>
      <w:r w:rsidRPr="0045764A">
        <w:rPr>
          <w:rFonts w:eastAsia="TimesNewRoman"/>
          <w:szCs w:val="22"/>
          <w:lang w:val="sr-Latn-ME"/>
        </w:rPr>
        <w:t xml:space="preserve">tivan </w:t>
      </w:r>
      <w:proofErr w:type="spellStart"/>
      <w:r w:rsidRPr="0045764A">
        <w:rPr>
          <w:rFonts w:eastAsia="TimesNewRoman"/>
          <w:szCs w:val="22"/>
          <w:lang w:val="sr-Latn-ME"/>
        </w:rPr>
        <w:t>inhibitor</w:t>
      </w:r>
      <w:proofErr w:type="spellEnd"/>
      <w:r w:rsidRPr="0045764A">
        <w:rPr>
          <w:rFonts w:eastAsia="TimesNewRoman"/>
          <w:szCs w:val="22"/>
          <w:lang w:val="sr-Latn-ME"/>
        </w:rPr>
        <w:t xml:space="preserve"> </w:t>
      </w:r>
      <w:proofErr w:type="spellStart"/>
      <w:r w:rsidRPr="0045764A">
        <w:rPr>
          <w:rFonts w:eastAsia="TimesNewRoman"/>
          <w:szCs w:val="22"/>
          <w:lang w:val="sr-Latn-ME"/>
        </w:rPr>
        <w:t>tirozin</w:t>
      </w:r>
      <w:proofErr w:type="spellEnd"/>
      <w:r w:rsidRPr="0045764A">
        <w:rPr>
          <w:rFonts w:eastAsia="TimesNewRoman"/>
          <w:szCs w:val="22"/>
          <w:lang w:val="sr-Latn-ME"/>
        </w:rPr>
        <w:t xml:space="preserve"> </w:t>
      </w:r>
      <w:proofErr w:type="spellStart"/>
      <w:r w:rsidRPr="0045764A">
        <w:rPr>
          <w:rFonts w:eastAsia="TimesNewRoman"/>
          <w:szCs w:val="22"/>
          <w:lang w:val="sr-Latn-ME"/>
        </w:rPr>
        <w:t>kinaze</w:t>
      </w:r>
      <w:proofErr w:type="spellEnd"/>
      <w:r w:rsidRPr="0045764A">
        <w:rPr>
          <w:rFonts w:eastAsia="TimesNewRoman"/>
          <w:szCs w:val="22"/>
          <w:lang w:val="sr-Latn-ME"/>
        </w:rPr>
        <w:t xml:space="preserve"> receptora faktora rasta vaskularnih </w:t>
      </w:r>
      <w:proofErr w:type="spellStart"/>
      <w:r w:rsidRPr="0045764A">
        <w:rPr>
          <w:rFonts w:eastAsia="TimesNewRoman"/>
          <w:szCs w:val="22"/>
          <w:lang w:val="sr-Latn-ME"/>
        </w:rPr>
        <w:t>endotelnih</w:t>
      </w:r>
      <w:proofErr w:type="spellEnd"/>
      <w:r w:rsidRPr="0045764A">
        <w:rPr>
          <w:rFonts w:eastAsia="TimesNewRoman"/>
          <w:szCs w:val="22"/>
          <w:lang w:val="sr-Latn-ME"/>
        </w:rPr>
        <w:t xml:space="preserve"> ćelija (engl. </w:t>
      </w:r>
      <w:proofErr w:type="spellStart"/>
      <w:r w:rsidR="00B63006" w:rsidRPr="0045764A">
        <w:rPr>
          <w:rFonts w:eastAsia="TimesNewRoman"/>
          <w:i/>
          <w:iCs/>
          <w:szCs w:val="22"/>
          <w:lang w:val="sr-Latn-ME"/>
        </w:rPr>
        <w:t>v</w:t>
      </w:r>
      <w:r w:rsidRPr="0045764A">
        <w:rPr>
          <w:rFonts w:eastAsia="TimesNewRoman"/>
          <w:i/>
          <w:iCs/>
          <w:szCs w:val="22"/>
          <w:lang w:val="sr-Latn-ME"/>
        </w:rPr>
        <w:t>ascular</w:t>
      </w:r>
      <w:proofErr w:type="spellEnd"/>
      <w:r w:rsidRPr="0045764A">
        <w:rPr>
          <w:rFonts w:eastAsia="TimesNewRoman"/>
          <w:i/>
          <w:iCs/>
          <w:szCs w:val="22"/>
          <w:lang w:val="sr-Latn-ME"/>
        </w:rPr>
        <w:t xml:space="preserve"> </w:t>
      </w:r>
      <w:proofErr w:type="spellStart"/>
      <w:r w:rsidRPr="0045764A">
        <w:rPr>
          <w:rFonts w:eastAsia="TimesNewRoman"/>
          <w:i/>
          <w:iCs/>
          <w:szCs w:val="22"/>
          <w:lang w:val="sr-Latn-ME"/>
        </w:rPr>
        <w:t>endothelial</w:t>
      </w:r>
      <w:proofErr w:type="spellEnd"/>
      <w:r w:rsidRPr="0045764A">
        <w:rPr>
          <w:rFonts w:eastAsia="TimesNewRoman"/>
          <w:i/>
          <w:iCs/>
          <w:szCs w:val="22"/>
          <w:lang w:val="sr-Latn-ME"/>
        </w:rPr>
        <w:t xml:space="preserve"> </w:t>
      </w:r>
      <w:proofErr w:type="spellStart"/>
      <w:r w:rsidRPr="0045764A">
        <w:rPr>
          <w:rFonts w:eastAsia="TimesNewRoman"/>
          <w:i/>
          <w:iCs/>
          <w:szCs w:val="22"/>
          <w:lang w:val="sr-Latn-ME"/>
        </w:rPr>
        <w:t>growth</w:t>
      </w:r>
      <w:proofErr w:type="spellEnd"/>
      <w:r w:rsidRPr="0045764A">
        <w:rPr>
          <w:rFonts w:eastAsia="TimesNewRoman"/>
          <w:i/>
          <w:iCs/>
          <w:szCs w:val="22"/>
          <w:lang w:val="sr-Latn-ME"/>
        </w:rPr>
        <w:t xml:space="preserve"> </w:t>
      </w:r>
      <w:proofErr w:type="spellStart"/>
      <w:r w:rsidRPr="0045764A">
        <w:rPr>
          <w:rFonts w:eastAsia="TimesNewRoman"/>
          <w:i/>
          <w:iCs/>
          <w:szCs w:val="22"/>
          <w:lang w:val="sr-Latn-ME"/>
        </w:rPr>
        <w:t>factor</w:t>
      </w:r>
      <w:proofErr w:type="spellEnd"/>
      <w:r w:rsidRPr="0045764A">
        <w:rPr>
          <w:rFonts w:eastAsia="TimesNewRoman"/>
          <w:szCs w:val="22"/>
          <w:lang w:val="sr-Latn-ME"/>
        </w:rPr>
        <w:t xml:space="preserve">, VEGFR) VEGFR-1, VEGFR-2 i VEGFR-3. Ovi receptori učestvuju u patološkoj </w:t>
      </w:r>
      <w:proofErr w:type="spellStart"/>
      <w:r w:rsidRPr="0045764A">
        <w:rPr>
          <w:rFonts w:eastAsia="TimesNewRoman"/>
          <w:szCs w:val="22"/>
          <w:lang w:val="sr-Latn-ME"/>
        </w:rPr>
        <w:t>angiogenezi</w:t>
      </w:r>
      <w:proofErr w:type="spellEnd"/>
      <w:r w:rsidRPr="0045764A">
        <w:rPr>
          <w:rFonts w:eastAsia="TimesNewRoman"/>
          <w:szCs w:val="22"/>
          <w:lang w:val="sr-Latn-ME"/>
        </w:rPr>
        <w:t xml:space="preserve">, rastu tumora i </w:t>
      </w:r>
      <w:proofErr w:type="spellStart"/>
      <w:r w:rsidRPr="0045764A">
        <w:rPr>
          <w:rFonts w:eastAsia="TimesNewRoman"/>
          <w:szCs w:val="22"/>
          <w:lang w:val="sr-Latn-ME"/>
        </w:rPr>
        <w:t>metastatskoj</w:t>
      </w:r>
      <w:proofErr w:type="spellEnd"/>
      <w:r w:rsidRPr="0045764A">
        <w:rPr>
          <w:rFonts w:eastAsia="TimesNewRoman"/>
          <w:szCs w:val="22"/>
          <w:lang w:val="sr-Latn-ME"/>
        </w:rPr>
        <w:t xml:space="preserve"> progresiji </w:t>
      </w:r>
      <w:proofErr w:type="spellStart"/>
      <w:r w:rsidRPr="0045764A">
        <w:rPr>
          <w:rFonts w:eastAsia="TimesNewRoman"/>
          <w:szCs w:val="22"/>
          <w:lang w:val="sr-Latn-ME"/>
        </w:rPr>
        <w:t>karcinoma</w:t>
      </w:r>
      <w:proofErr w:type="spellEnd"/>
      <w:r w:rsidRPr="0045764A">
        <w:rPr>
          <w:rFonts w:eastAsia="TimesNewRoman"/>
          <w:szCs w:val="22"/>
          <w:lang w:val="sr-Latn-ME"/>
        </w:rPr>
        <w:t xml:space="preserve">. </w:t>
      </w:r>
      <w:proofErr w:type="spellStart"/>
      <w:r w:rsidRPr="0045764A">
        <w:rPr>
          <w:rFonts w:eastAsia="TimesNewRoman"/>
          <w:szCs w:val="22"/>
          <w:lang w:val="sr-Latn-ME"/>
        </w:rPr>
        <w:t>Aksitinib</w:t>
      </w:r>
      <w:proofErr w:type="spellEnd"/>
      <w:r w:rsidRPr="0045764A">
        <w:rPr>
          <w:rFonts w:eastAsia="TimesNewRoman"/>
          <w:szCs w:val="22"/>
          <w:lang w:val="sr-Latn-ME"/>
        </w:rPr>
        <w:t xml:space="preserve"> je pokazao</w:t>
      </w:r>
      <w:r w:rsidR="00803B9A" w:rsidRPr="0045764A">
        <w:rPr>
          <w:rFonts w:eastAsia="TimesNewRoman"/>
          <w:szCs w:val="22"/>
          <w:lang w:val="sr-Latn-ME"/>
        </w:rPr>
        <w:t xml:space="preserve"> </w:t>
      </w:r>
      <w:r w:rsidRPr="0045764A">
        <w:rPr>
          <w:rFonts w:eastAsia="TimesNewRoman"/>
          <w:szCs w:val="22"/>
          <w:lang w:val="sr-Latn-ME"/>
        </w:rPr>
        <w:t xml:space="preserve">da snažno inhibira </w:t>
      </w:r>
      <w:proofErr w:type="spellStart"/>
      <w:r w:rsidRPr="0045764A">
        <w:rPr>
          <w:rFonts w:eastAsia="TimesNewRoman"/>
          <w:szCs w:val="22"/>
          <w:lang w:val="sr-Latn-ME"/>
        </w:rPr>
        <w:t>proliferaciju</w:t>
      </w:r>
      <w:proofErr w:type="spellEnd"/>
      <w:r w:rsidRPr="0045764A">
        <w:rPr>
          <w:rFonts w:eastAsia="TimesNewRoman"/>
          <w:szCs w:val="22"/>
          <w:lang w:val="sr-Latn-ME"/>
        </w:rPr>
        <w:t xml:space="preserve"> i preživljavanje </w:t>
      </w:r>
      <w:proofErr w:type="spellStart"/>
      <w:r w:rsidRPr="0045764A">
        <w:rPr>
          <w:rFonts w:eastAsia="TimesNewRoman"/>
          <w:szCs w:val="22"/>
          <w:lang w:val="sr-Latn-ME"/>
        </w:rPr>
        <w:t>endotelnih</w:t>
      </w:r>
      <w:proofErr w:type="spellEnd"/>
      <w:r w:rsidRPr="0045764A">
        <w:rPr>
          <w:rFonts w:eastAsia="TimesNewRoman"/>
          <w:szCs w:val="22"/>
          <w:lang w:val="sr-Latn-ME"/>
        </w:rPr>
        <w:t xml:space="preserve"> ćelija koji su posredovani VEGF receptorima.</w:t>
      </w:r>
      <w:r w:rsidR="00801D39" w:rsidRPr="0045764A">
        <w:rPr>
          <w:rFonts w:eastAsia="TimesNewRoman"/>
          <w:szCs w:val="22"/>
          <w:lang w:val="sr-Latn-ME"/>
        </w:rPr>
        <w:t xml:space="preserve"> </w:t>
      </w:r>
      <w:proofErr w:type="spellStart"/>
      <w:r w:rsidRPr="0045764A">
        <w:rPr>
          <w:rFonts w:eastAsia="TimesNewRoman"/>
          <w:szCs w:val="22"/>
          <w:lang w:val="sr-Latn-ME"/>
        </w:rPr>
        <w:t>Aksitinib</w:t>
      </w:r>
      <w:proofErr w:type="spellEnd"/>
      <w:r w:rsidRPr="0045764A">
        <w:rPr>
          <w:rFonts w:eastAsia="TimesNewRoman"/>
          <w:szCs w:val="22"/>
          <w:lang w:val="sr-Latn-ME"/>
        </w:rPr>
        <w:t xml:space="preserve"> </w:t>
      </w:r>
      <w:r w:rsidR="008C28EC" w:rsidRPr="0045764A">
        <w:rPr>
          <w:rFonts w:eastAsia="TimesNewRoman"/>
          <w:szCs w:val="22"/>
          <w:lang w:val="sr-Latn-ME"/>
        </w:rPr>
        <w:t xml:space="preserve">je </w:t>
      </w:r>
      <w:r w:rsidRPr="0045764A">
        <w:rPr>
          <w:rFonts w:eastAsia="TimesNewRoman"/>
          <w:szCs w:val="22"/>
          <w:lang w:val="sr-Latn-ME"/>
        </w:rPr>
        <w:t>inhibira</w:t>
      </w:r>
      <w:r w:rsidR="008C28EC" w:rsidRPr="0045764A">
        <w:rPr>
          <w:rFonts w:eastAsia="TimesNewRoman"/>
          <w:szCs w:val="22"/>
          <w:lang w:val="sr-Latn-ME"/>
        </w:rPr>
        <w:t>o</w:t>
      </w:r>
      <w:r w:rsidRPr="0045764A">
        <w:rPr>
          <w:rFonts w:eastAsia="TimesNewRoman"/>
          <w:szCs w:val="22"/>
          <w:lang w:val="sr-Latn-ME"/>
        </w:rPr>
        <w:t xml:space="preserve"> </w:t>
      </w:r>
      <w:proofErr w:type="spellStart"/>
      <w:r w:rsidRPr="0045764A">
        <w:rPr>
          <w:rFonts w:eastAsia="TimesNewRoman"/>
          <w:szCs w:val="22"/>
          <w:lang w:val="sr-Latn-ME"/>
        </w:rPr>
        <w:t>fosforilaciju</w:t>
      </w:r>
      <w:proofErr w:type="spellEnd"/>
      <w:r w:rsidRPr="0045764A">
        <w:rPr>
          <w:rFonts w:eastAsia="TimesNewRoman"/>
          <w:szCs w:val="22"/>
          <w:lang w:val="sr-Latn-ME"/>
        </w:rPr>
        <w:t xml:space="preserve"> VEGFR-2 u </w:t>
      </w:r>
      <w:proofErr w:type="spellStart"/>
      <w:r w:rsidRPr="0045764A">
        <w:rPr>
          <w:rFonts w:eastAsia="TimesNewRoman"/>
          <w:szCs w:val="22"/>
          <w:lang w:val="sr-Latn-ME"/>
        </w:rPr>
        <w:t>vaskulatur</w:t>
      </w:r>
      <w:r w:rsidR="00E93AE4" w:rsidRPr="0045764A">
        <w:rPr>
          <w:rFonts w:eastAsia="TimesNewRoman"/>
          <w:szCs w:val="22"/>
          <w:lang w:val="sr-Latn-ME"/>
        </w:rPr>
        <w:t>i</w:t>
      </w:r>
      <w:proofErr w:type="spellEnd"/>
      <w:r w:rsidRPr="0045764A">
        <w:rPr>
          <w:rFonts w:eastAsia="TimesNewRoman"/>
          <w:szCs w:val="22"/>
          <w:lang w:val="sr-Latn-ME"/>
        </w:rPr>
        <w:t xml:space="preserve"> </w:t>
      </w:r>
      <w:proofErr w:type="spellStart"/>
      <w:r w:rsidR="00E93AE4" w:rsidRPr="0045764A">
        <w:rPr>
          <w:rFonts w:eastAsia="TimesNewRoman"/>
          <w:szCs w:val="22"/>
          <w:lang w:val="sr-Latn-ME"/>
        </w:rPr>
        <w:t>ksenograft</w:t>
      </w:r>
      <w:proofErr w:type="spellEnd"/>
      <w:r w:rsidR="00E93AE4" w:rsidRPr="0045764A">
        <w:rPr>
          <w:rFonts w:eastAsia="TimesNewRoman"/>
          <w:szCs w:val="22"/>
          <w:lang w:val="sr-Latn-ME"/>
        </w:rPr>
        <w:t xml:space="preserve"> </w:t>
      </w:r>
      <w:r w:rsidRPr="0045764A">
        <w:rPr>
          <w:rFonts w:eastAsia="TimesNewRoman"/>
          <w:szCs w:val="22"/>
          <w:lang w:val="sr-Latn-ME"/>
        </w:rPr>
        <w:t xml:space="preserve">tumora </w:t>
      </w:r>
      <w:r w:rsidR="008C28EC" w:rsidRPr="0045764A">
        <w:rPr>
          <w:rFonts w:eastAsia="TimesNewRoman"/>
          <w:szCs w:val="22"/>
          <w:lang w:val="sr-Latn-ME"/>
        </w:rPr>
        <w:t xml:space="preserve">koji su </w:t>
      </w:r>
      <w:proofErr w:type="spellStart"/>
      <w:r w:rsidR="008C28EC" w:rsidRPr="0045764A">
        <w:rPr>
          <w:rFonts w:eastAsia="TimesNewRoman"/>
          <w:szCs w:val="22"/>
          <w:lang w:val="sr-Latn-ME"/>
        </w:rPr>
        <w:t>eksprimirali</w:t>
      </w:r>
      <w:proofErr w:type="spellEnd"/>
      <w:r w:rsidR="008C28EC" w:rsidRPr="0045764A">
        <w:rPr>
          <w:rFonts w:eastAsia="TimesNewRoman"/>
          <w:szCs w:val="22"/>
          <w:lang w:val="sr-Latn-ME"/>
        </w:rPr>
        <w:t xml:space="preserve"> ovaj receptor</w:t>
      </w:r>
      <w:r w:rsidRPr="0045764A">
        <w:rPr>
          <w:rFonts w:eastAsia="TimesNewRoman"/>
          <w:szCs w:val="22"/>
          <w:lang w:val="sr-Latn-ME"/>
        </w:rPr>
        <w:t xml:space="preserve"> </w:t>
      </w:r>
      <w:r w:rsidRPr="0045764A">
        <w:rPr>
          <w:rFonts w:eastAsia="TimesNewRoman"/>
          <w:i/>
          <w:iCs/>
          <w:szCs w:val="22"/>
          <w:lang w:val="sr-Latn-ME"/>
        </w:rPr>
        <w:t xml:space="preserve">in </w:t>
      </w:r>
      <w:proofErr w:type="spellStart"/>
      <w:r w:rsidRPr="0045764A">
        <w:rPr>
          <w:rFonts w:eastAsia="TimesNewRoman"/>
          <w:i/>
          <w:iCs/>
          <w:szCs w:val="22"/>
          <w:lang w:val="sr-Latn-ME"/>
        </w:rPr>
        <w:t>vivo</w:t>
      </w:r>
      <w:proofErr w:type="spellEnd"/>
      <w:r w:rsidRPr="0045764A">
        <w:rPr>
          <w:rFonts w:eastAsia="TimesNewRoman"/>
          <w:i/>
          <w:iCs/>
          <w:szCs w:val="22"/>
          <w:lang w:val="sr-Latn-ME"/>
        </w:rPr>
        <w:t xml:space="preserve"> </w:t>
      </w:r>
      <w:r w:rsidRPr="0045764A">
        <w:rPr>
          <w:rFonts w:eastAsia="TimesNewRoman"/>
          <w:szCs w:val="22"/>
          <w:lang w:val="sr-Latn-ME"/>
        </w:rPr>
        <w:t>i dov</w:t>
      </w:r>
      <w:r w:rsidR="008C28EC" w:rsidRPr="0045764A">
        <w:rPr>
          <w:rFonts w:eastAsia="TimesNewRoman"/>
          <w:szCs w:val="22"/>
          <w:lang w:val="sr-Latn-ME"/>
        </w:rPr>
        <w:t>eo</w:t>
      </w:r>
      <w:r w:rsidR="00803B9A" w:rsidRPr="0045764A">
        <w:rPr>
          <w:rFonts w:eastAsia="TimesNewRoman"/>
          <w:szCs w:val="22"/>
          <w:lang w:val="sr-Latn-ME"/>
        </w:rPr>
        <w:t xml:space="preserve"> </w:t>
      </w:r>
      <w:r w:rsidRPr="0045764A">
        <w:rPr>
          <w:rFonts w:eastAsia="TimesNewRoman"/>
          <w:szCs w:val="22"/>
          <w:lang w:val="sr-Latn-ME"/>
        </w:rPr>
        <w:t xml:space="preserve">do odlaganja rasta tumora, regresije i inhibicije metastaza u mnogim eksperimentalnim modelima </w:t>
      </w:r>
      <w:proofErr w:type="spellStart"/>
      <w:r w:rsidRPr="0045764A">
        <w:rPr>
          <w:rFonts w:eastAsia="TimesNewRoman"/>
          <w:szCs w:val="22"/>
          <w:lang w:val="sr-Latn-ME"/>
        </w:rPr>
        <w:t>karcinoma</w:t>
      </w:r>
      <w:proofErr w:type="spellEnd"/>
      <w:r w:rsidRPr="0045764A">
        <w:rPr>
          <w:rFonts w:eastAsia="TimesNewRoman"/>
          <w:szCs w:val="22"/>
          <w:lang w:val="sr-Latn-ME"/>
        </w:rPr>
        <w:t>.</w:t>
      </w:r>
    </w:p>
    <w:p w14:paraId="7D686405" w14:textId="28D2222F" w:rsidR="00803B9A" w:rsidRPr="0045764A" w:rsidRDefault="00803B9A" w:rsidP="00C65330">
      <w:pPr>
        <w:tabs>
          <w:tab w:val="clear" w:pos="284"/>
        </w:tabs>
        <w:autoSpaceDE w:val="0"/>
        <w:autoSpaceDN w:val="0"/>
        <w:adjustRightInd w:val="0"/>
        <w:rPr>
          <w:rFonts w:eastAsia="TimesNewRoman"/>
          <w:szCs w:val="22"/>
          <w:lang w:val="sr-Latn-ME"/>
        </w:rPr>
      </w:pPr>
    </w:p>
    <w:p w14:paraId="6D55B60C" w14:textId="77777777" w:rsidR="00131E3B" w:rsidRPr="0045764A" w:rsidRDefault="00131E3B" w:rsidP="00C65330">
      <w:pPr>
        <w:tabs>
          <w:tab w:val="clear" w:pos="284"/>
        </w:tabs>
        <w:autoSpaceDE w:val="0"/>
        <w:autoSpaceDN w:val="0"/>
        <w:adjustRightInd w:val="0"/>
        <w:rPr>
          <w:i/>
          <w:iCs/>
          <w:szCs w:val="22"/>
          <w:u w:val="single"/>
          <w:lang w:val="sr-Latn-ME"/>
        </w:rPr>
      </w:pPr>
      <w:r w:rsidRPr="0045764A">
        <w:rPr>
          <w:i/>
          <w:iCs/>
          <w:szCs w:val="22"/>
          <w:u w:val="single"/>
          <w:lang w:val="sr-Latn-ME"/>
        </w:rPr>
        <w:lastRenderedPageBreak/>
        <w:t xml:space="preserve">Dejstvo na </w:t>
      </w:r>
      <w:proofErr w:type="spellStart"/>
      <w:r w:rsidRPr="0045764A">
        <w:rPr>
          <w:i/>
          <w:iCs/>
          <w:szCs w:val="22"/>
          <w:u w:val="single"/>
          <w:lang w:val="sr-Latn-ME"/>
        </w:rPr>
        <w:t>QTc</w:t>
      </w:r>
      <w:proofErr w:type="spellEnd"/>
      <w:r w:rsidRPr="0045764A">
        <w:rPr>
          <w:i/>
          <w:iCs/>
          <w:szCs w:val="22"/>
          <w:u w:val="single"/>
          <w:lang w:val="sr-Latn-ME"/>
        </w:rPr>
        <w:t xml:space="preserve"> interval</w:t>
      </w:r>
    </w:p>
    <w:p w14:paraId="20761D0C" w14:textId="1920D25E" w:rsidR="00803B9A" w:rsidRPr="0045764A" w:rsidRDefault="00131E3B"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U </w:t>
      </w:r>
      <w:proofErr w:type="spellStart"/>
      <w:r w:rsidRPr="0045764A">
        <w:rPr>
          <w:rFonts w:eastAsia="TimesNewRoman"/>
          <w:szCs w:val="22"/>
          <w:lang w:val="sr-Latn-ME"/>
        </w:rPr>
        <w:t>randomizovanom</w:t>
      </w:r>
      <w:proofErr w:type="spellEnd"/>
      <w:r w:rsidRPr="0045764A">
        <w:rPr>
          <w:rFonts w:eastAsia="TimesNewRoman"/>
          <w:szCs w:val="22"/>
          <w:lang w:val="sr-Latn-ME"/>
        </w:rPr>
        <w:t xml:space="preserve">, dvostruko ukrštenom ispitivanju, 35 zdravih ispitanika je primilo jednu oralnu dozu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(5 mg)</w:t>
      </w:r>
      <w:r w:rsidR="006C11AC" w:rsidRPr="0045764A">
        <w:rPr>
          <w:rFonts w:eastAsia="TimesNewRoman"/>
          <w:szCs w:val="22"/>
          <w:lang w:val="sr-Latn-ME"/>
        </w:rPr>
        <w:t>, a da pri tome ili jesu ili nijesu istovremeno primali</w:t>
      </w:r>
      <w:r w:rsidRPr="0045764A">
        <w:rPr>
          <w:rFonts w:eastAsia="TimesNewRoman"/>
          <w:szCs w:val="22"/>
          <w:lang w:val="sr-Latn-ME"/>
        </w:rPr>
        <w:t xml:space="preserve"> 400 mg </w:t>
      </w:r>
      <w:proofErr w:type="spellStart"/>
      <w:r w:rsidRPr="0045764A">
        <w:rPr>
          <w:rFonts w:eastAsia="TimesNewRoman"/>
          <w:szCs w:val="22"/>
          <w:lang w:val="sr-Latn-ME"/>
        </w:rPr>
        <w:t>ketokonazola</w:t>
      </w:r>
      <w:proofErr w:type="spellEnd"/>
      <w:r w:rsidRPr="0045764A">
        <w:rPr>
          <w:rFonts w:eastAsia="TimesNewRoman"/>
          <w:szCs w:val="22"/>
          <w:lang w:val="sr-Latn-ME"/>
        </w:rPr>
        <w:t xml:space="preserve"> tokom 7 dana. Rezultati ovog ispitivanja pokazuju da izloženosti </w:t>
      </w:r>
      <w:proofErr w:type="spellStart"/>
      <w:r w:rsidRPr="0045764A">
        <w:rPr>
          <w:rFonts w:eastAsia="TimesNewRoman"/>
          <w:szCs w:val="22"/>
          <w:lang w:val="sr-Latn-ME"/>
        </w:rPr>
        <w:t>aksitinibu</w:t>
      </w:r>
      <w:proofErr w:type="spellEnd"/>
      <w:r w:rsidRPr="0045764A">
        <w:rPr>
          <w:rFonts w:eastAsia="TimesNewRoman"/>
          <w:szCs w:val="22"/>
          <w:lang w:val="sr-Latn-ME"/>
        </w:rPr>
        <w:t xml:space="preserve"> u plazmi do dva puta veće od terapijskih nivoa očekivanih posl</w:t>
      </w:r>
      <w:r w:rsidR="006B111D" w:rsidRPr="0045764A">
        <w:rPr>
          <w:rFonts w:eastAsia="TimesNewRoman"/>
          <w:szCs w:val="22"/>
          <w:lang w:val="sr-Latn-ME"/>
        </w:rPr>
        <w:t>ij</w:t>
      </w:r>
      <w:r w:rsidRPr="0045764A">
        <w:rPr>
          <w:rFonts w:eastAsia="TimesNewRoman"/>
          <w:szCs w:val="22"/>
          <w:lang w:val="sr-Latn-ME"/>
        </w:rPr>
        <w:t xml:space="preserve">e </w:t>
      </w:r>
      <w:r w:rsidR="008E2492" w:rsidRPr="0045764A">
        <w:rPr>
          <w:rFonts w:eastAsia="TimesNewRoman"/>
          <w:szCs w:val="22"/>
          <w:lang w:val="sr-Latn-ME"/>
        </w:rPr>
        <w:t>primjen</w:t>
      </w:r>
      <w:r w:rsidRPr="0045764A">
        <w:rPr>
          <w:rFonts w:eastAsia="TimesNewRoman"/>
          <w:szCs w:val="22"/>
          <w:lang w:val="sr-Latn-ME"/>
        </w:rPr>
        <w:t>e doze od 5 mg, ne proizvode klinički značajano produženje QT intervala.</w:t>
      </w:r>
    </w:p>
    <w:p w14:paraId="06640390" w14:textId="77777777" w:rsidR="0069180D" w:rsidRPr="0045764A" w:rsidRDefault="0069180D" w:rsidP="00C65330">
      <w:pPr>
        <w:tabs>
          <w:tab w:val="clear" w:pos="284"/>
        </w:tabs>
        <w:autoSpaceDE w:val="0"/>
        <w:autoSpaceDN w:val="0"/>
        <w:adjustRightInd w:val="0"/>
        <w:rPr>
          <w:i/>
          <w:iCs/>
          <w:szCs w:val="22"/>
          <w:lang w:val="sr-Latn-ME"/>
        </w:rPr>
      </w:pPr>
    </w:p>
    <w:p w14:paraId="46171361" w14:textId="792B1F7D" w:rsidR="00BB7F01" w:rsidRPr="0045764A" w:rsidRDefault="00BB7F01" w:rsidP="00C65330">
      <w:pPr>
        <w:tabs>
          <w:tab w:val="clear" w:pos="284"/>
        </w:tabs>
        <w:autoSpaceDE w:val="0"/>
        <w:autoSpaceDN w:val="0"/>
        <w:adjustRightInd w:val="0"/>
        <w:rPr>
          <w:i/>
          <w:iCs/>
          <w:szCs w:val="22"/>
          <w:lang w:val="sr-Latn-ME"/>
        </w:rPr>
      </w:pPr>
      <w:r w:rsidRPr="0045764A">
        <w:rPr>
          <w:i/>
          <w:iCs/>
          <w:szCs w:val="22"/>
          <w:lang w:val="sr-Latn-ME"/>
        </w:rPr>
        <w:t>Klinička efikasnost i bezb</w:t>
      </w:r>
      <w:r w:rsidR="006B111D" w:rsidRPr="0045764A">
        <w:rPr>
          <w:i/>
          <w:iCs/>
          <w:szCs w:val="22"/>
          <w:lang w:val="sr-Latn-ME"/>
        </w:rPr>
        <w:t>j</w:t>
      </w:r>
      <w:r w:rsidRPr="0045764A">
        <w:rPr>
          <w:i/>
          <w:iCs/>
          <w:szCs w:val="22"/>
          <w:lang w:val="sr-Latn-ME"/>
        </w:rPr>
        <w:t>ednost</w:t>
      </w:r>
    </w:p>
    <w:p w14:paraId="456B3252" w14:textId="4E9D65B7" w:rsidR="00BB7F01" w:rsidRPr="0045764A" w:rsidRDefault="00BB7F01"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Bezb</w:t>
      </w:r>
      <w:r w:rsidR="006B111D" w:rsidRPr="0045764A">
        <w:rPr>
          <w:rFonts w:eastAsia="TimesNewRoman"/>
          <w:szCs w:val="22"/>
          <w:lang w:val="sr-Latn-ME"/>
        </w:rPr>
        <w:t>j</w:t>
      </w:r>
      <w:r w:rsidRPr="0045764A">
        <w:rPr>
          <w:rFonts w:eastAsia="TimesNewRoman"/>
          <w:szCs w:val="22"/>
          <w:lang w:val="sr-Latn-ME"/>
        </w:rPr>
        <w:t xml:space="preserve">ednost i efikasnost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su proc</w:t>
      </w:r>
      <w:r w:rsidR="006B111D" w:rsidRPr="0045764A">
        <w:rPr>
          <w:rFonts w:eastAsia="TimesNewRoman"/>
          <w:szCs w:val="22"/>
          <w:lang w:val="sr-Latn-ME"/>
        </w:rPr>
        <w:t>ij</w:t>
      </w:r>
      <w:r w:rsidRPr="0045764A">
        <w:rPr>
          <w:rFonts w:eastAsia="TimesNewRoman"/>
          <w:szCs w:val="22"/>
          <w:lang w:val="sr-Latn-ME"/>
        </w:rPr>
        <w:t xml:space="preserve">enjene u </w:t>
      </w:r>
      <w:proofErr w:type="spellStart"/>
      <w:r w:rsidRPr="0045764A">
        <w:rPr>
          <w:rFonts w:eastAsia="TimesNewRoman"/>
          <w:szCs w:val="22"/>
          <w:lang w:val="sr-Latn-ME"/>
        </w:rPr>
        <w:t>randomizovanoj</w:t>
      </w:r>
      <w:proofErr w:type="spellEnd"/>
      <w:r w:rsidRPr="0045764A">
        <w:rPr>
          <w:rFonts w:eastAsia="TimesNewRoman"/>
          <w:szCs w:val="22"/>
          <w:lang w:val="sr-Latn-ME"/>
        </w:rPr>
        <w:t xml:space="preserve">, otvorenoj, </w:t>
      </w:r>
      <w:proofErr w:type="spellStart"/>
      <w:r w:rsidRPr="0045764A">
        <w:rPr>
          <w:rFonts w:eastAsia="TimesNewRoman"/>
          <w:szCs w:val="22"/>
          <w:lang w:val="sr-Latn-ME"/>
        </w:rPr>
        <w:t>multicentričnoj</w:t>
      </w:r>
      <w:proofErr w:type="spellEnd"/>
      <w:r w:rsidRPr="0045764A">
        <w:rPr>
          <w:rFonts w:eastAsia="TimesNewRoman"/>
          <w:szCs w:val="22"/>
          <w:lang w:val="sr-Latn-ME"/>
        </w:rPr>
        <w:t xml:space="preserve"> studiji faze 3. Pacijenti (N=723) sa </w:t>
      </w:r>
      <w:proofErr w:type="spellStart"/>
      <w:r w:rsidRPr="0045764A">
        <w:rPr>
          <w:rFonts w:eastAsia="TimesNewRoman"/>
          <w:szCs w:val="22"/>
          <w:lang w:val="sr-Latn-ME"/>
        </w:rPr>
        <w:t>uznapredovalim</w:t>
      </w:r>
      <w:proofErr w:type="spellEnd"/>
      <w:r w:rsidRPr="0045764A">
        <w:rPr>
          <w:rFonts w:eastAsia="TimesNewRoman"/>
          <w:szCs w:val="22"/>
          <w:lang w:val="sr-Latn-ME"/>
        </w:rPr>
        <w:t xml:space="preserve"> RCC, čija je bolest napredovala tokom ili posl</w:t>
      </w:r>
      <w:r w:rsidR="006B111D" w:rsidRPr="0045764A">
        <w:rPr>
          <w:rFonts w:eastAsia="TimesNewRoman"/>
          <w:szCs w:val="22"/>
          <w:lang w:val="sr-Latn-ME"/>
        </w:rPr>
        <w:t>ij</w:t>
      </w:r>
      <w:r w:rsidRPr="0045764A">
        <w:rPr>
          <w:rFonts w:eastAsia="TimesNewRoman"/>
          <w:szCs w:val="22"/>
          <w:lang w:val="sr-Latn-ME"/>
        </w:rPr>
        <w:t xml:space="preserve">e </w:t>
      </w:r>
      <w:r w:rsidR="00AE0DCD" w:rsidRPr="0045764A">
        <w:rPr>
          <w:rFonts w:eastAsia="TimesNewRoman"/>
          <w:szCs w:val="22"/>
          <w:lang w:val="sr-Latn-ME"/>
        </w:rPr>
        <w:t>liječenj</w:t>
      </w:r>
      <w:r w:rsidRPr="0045764A">
        <w:rPr>
          <w:rFonts w:eastAsia="TimesNewRoman"/>
          <w:szCs w:val="22"/>
          <w:lang w:val="sr-Latn-ME"/>
        </w:rPr>
        <w:t>a jednom prethodnom sistemskom terapijom</w:t>
      </w:r>
      <w:r w:rsidR="006C11AC" w:rsidRPr="0045764A">
        <w:rPr>
          <w:rFonts w:eastAsia="TimesNewRoman"/>
          <w:szCs w:val="22"/>
          <w:lang w:val="sr-Latn-ME"/>
        </w:rPr>
        <w:t>,</w:t>
      </w:r>
      <w:r w:rsidRPr="0045764A">
        <w:rPr>
          <w:rFonts w:eastAsia="TimesNewRoman"/>
          <w:szCs w:val="22"/>
          <w:lang w:val="sr-Latn-ME"/>
        </w:rPr>
        <w:t xml:space="preserve"> uključujući režime koji sadrže </w:t>
      </w:r>
      <w:proofErr w:type="spellStart"/>
      <w:r w:rsidRPr="0045764A">
        <w:rPr>
          <w:rFonts w:eastAsia="TimesNewRoman"/>
          <w:szCs w:val="22"/>
          <w:lang w:val="sr-Latn-ME"/>
        </w:rPr>
        <w:t>sunitinib</w:t>
      </w:r>
      <w:proofErr w:type="spellEnd"/>
      <w:r w:rsidRPr="0045764A">
        <w:rPr>
          <w:rFonts w:eastAsia="TimesNewRoman"/>
          <w:szCs w:val="22"/>
          <w:lang w:val="sr-Latn-ME"/>
        </w:rPr>
        <w:t xml:space="preserve">, </w:t>
      </w:r>
      <w:proofErr w:type="spellStart"/>
      <w:r w:rsidRPr="0045764A">
        <w:rPr>
          <w:rFonts w:eastAsia="TimesNewRoman"/>
          <w:szCs w:val="22"/>
          <w:lang w:val="sr-Latn-ME"/>
        </w:rPr>
        <w:t>bevacizumab</w:t>
      </w:r>
      <w:proofErr w:type="spellEnd"/>
      <w:r w:rsidRPr="0045764A">
        <w:rPr>
          <w:rFonts w:eastAsia="TimesNewRoman"/>
          <w:szCs w:val="22"/>
          <w:lang w:val="sr-Latn-ME"/>
        </w:rPr>
        <w:t xml:space="preserve">, </w:t>
      </w:r>
      <w:proofErr w:type="spellStart"/>
      <w:r w:rsidRPr="0045764A">
        <w:rPr>
          <w:rFonts w:eastAsia="TimesNewRoman"/>
          <w:szCs w:val="22"/>
          <w:lang w:val="sr-Latn-ME"/>
        </w:rPr>
        <w:t>temsirolimus</w:t>
      </w:r>
      <w:proofErr w:type="spellEnd"/>
      <w:r w:rsidRPr="0045764A">
        <w:rPr>
          <w:rFonts w:eastAsia="TimesNewRoman"/>
          <w:szCs w:val="22"/>
          <w:lang w:val="sr-Latn-ME"/>
        </w:rPr>
        <w:t xml:space="preserve"> ili </w:t>
      </w:r>
      <w:proofErr w:type="spellStart"/>
      <w:r w:rsidRPr="0045764A">
        <w:rPr>
          <w:rFonts w:eastAsia="TimesNewRoman"/>
          <w:szCs w:val="22"/>
          <w:lang w:val="sr-Latn-ME"/>
        </w:rPr>
        <w:t>citokin</w:t>
      </w:r>
      <w:proofErr w:type="spellEnd"/>
      <w:r w:rsidRPr="0045764A">
        <w:rPr>
          <w:rFonts w:eastAsia="TimesNewRoman"/>
          <w:szCs w:val="22"/>
          <w:lang w:val="sr-Latn-ME"/>
        </w:rPr>
        <w:t xml:space="preserve">, </w:t>
      </w:r>
      <w:proofErr w:type="spellStart"/>
      <w:r w:rsidRPr="0045764A">
        <w:rPr>
          <w:rFonts w:eastAsia="TimesNewRoman"/>
          <w:szCs w:val="22"/>
          <w:lang w:val="sr-Latn-ME"/>
        </w:rPr>
        <w:t>randomizovani</w:t>
      </w:r>
      <w:proofErr w:type="spellEnd"/>
      <w:r w:rsidRPr="0045764A">
        <w:rPr>
          <w:rFonts w:eastAsia="TimesNewRoman"/>
          <w:szCs w:val="22"/>
          <w:lang w:val="sr-Latn-ME"/>
        </w:rPr>
        <w:t xml:space="preserve"> </w:t>
      </w:r>
      <w:r w:rsidR="006C11AC" w:rsidRPr="0045764A">
        <w:rPr>
          <w:rFonts w:eastAsia="TimesNewRoman"/>
          <w:szCs w:val="22"/>
          <w:lang w:val="sr-Latn-ME"/>
        </w:rPr>
        <w:t xml:space="preserve">su </w:t>
      </w:r>
      <w:r w:rsidRPr="0045764A">
        <w:rPr>
          <w:rFonts w:eastAsia="TimesNewRoman"/>
          <w:szCs w:val="22"/>
          <w:lang w:val="sr-Latn-ME"/>
        </w:rPr>
        <w:t xml:space="preserve">(1:1) da primaju </w:t>
      </w:r>
      <w:proofErr w:type="spellStart"/>
      <w:r w:rsidRPr="0045764A">
        <w:rPr>
          <w:rFonts w:eastAsia="TimesNewRoman"/>
          <w:szCs w:val="22"/>
          <w:lang w:val="sr-Latn-ME"/>
        </w:rPr>
        <w:t>aksitinib</w:t>
      </w:r>
      <w:proofErr w:type="spellEnd"/>
      <w:r w:rsidRPr="0045764A">
        <w:rPr>
          <w:rFonts w:eastAsia="TimesNewRoman"/>
          <w:szCs w:val="22"/>
          <w:lang w:val="sr-Latn-ME"/>
        </w:rPr>
        <w:t xml:space="preserve"> (N=361) ili </w:t>
      </w:r>
      <w:proofErr w:type="spellStart"/>
      <w:r w:rsidRPr="0045764A">
        <w:rPr>
          <w:rFonts w:eastAsia="TimesNewRoman"/>
          <w:szCs w:val="22"/>
          <w:lang w:val="sr-Latn-ME"/>
        </w:rPr>
        <w:t>sorafenib</w:t>
      </w:r>
      <w:proofErr w:type="spellEnd"/>
      <w:r w:rsidRPr="0045764A">
        <w:rPr>
          <w:rFonts w:eastAsia="TimesNewRoman"/>
          <w:szCs w:val="22"/>
          <w:lang w:val="sr-Latn-ME"/>
        </w:rPr>
        <w:t xml:space="preserve"> (N=362). Primarni paramet</w:t>
      </w:r>
      <w:r w:rsidR="006B111D" w:rsidRPr="0045764A">
        <w:rPr>
          <w:rFonts w:eastAsia="TimesNewRoman"/>
          <w:szCs w:val="22"/>
          <w:lang w:val="sr-Latn-ME"/>
        </w:rPr>
        <w:t>a</w:t>
      </w:r>
      <w:r w:rsidRPr="0045764A">
        <w:rPr>
          <w:rFonts w:eastAsia="TimesNewRoman"/>
          <w:szCs w:val="22"/>
          <w:lang w:val="sr-Latn-ME"/>
        </w:rPr>
        <w:t xml:space="preserve">r </w:t>
      </w:r>
      <w:r w:rsidR="006C11AC" w:rsidRPr="0045764A">
        <w:rPr>
          <w:rFonts w:eastAsia="TimesNewRoman"/>
          <w:szCs w:val="22"/>
          <w:lang w:val="sr-Latn-ME"/>
        </w:rPr>
        <w:t>praćenja ishoda</w:t>
      </w:r>
      <w:r w:rsidRPr="0045764A">
        <w:rPr>
          <w:rFonts w:eastAsia="TimesNewRoman"/>
          <w:szCs w:val="22"/>
          <w:lang w:val="sr-Latn-ME"/>
        </w:rPr>
        <w:t xml:space="preserve">, preživljavanje bez progresije bolesti (engl. </w:t>
      </w:r>
      <w:proofErr w:type="spellStart"/>
      <w:r w:rsidR="006C11AC" w:rsidRPr="0045764A">
        <w:rPr>
          <w:i/>
          <w:iCs/>
          <w:szCs w:val="22"/>
          <w:lang w:val="sr-Latn-ME"/>
        </w:rPr>
        <w:t>p</w:t>
      </w:r>
      <w:r w:rsidRPr="0045764A">
        <w:rPr>
          <w:i/>
          <w:iCs/>
          <w:szCs w:val="22"/>
          <w:lang w:val="sr-Latn-ME"/>
        </w:rPr>
        <w:t>rogression</w:t>
      </w:r>
      <w:proofErr w:type="spellEnd"/>
      <w:r w:rsidRPr="0045764A">
        <w:rPr>
          <w:i/>
          <w:iCs/>
          <w:szCs w:val="22"/>
          <w:lang w:val="sr-Latn-ME"/>
        </w:rPr>
        <w:t xml:space="preserve"> </w:t>
      </w:r>
      <w:proofErr w:type="spellStart"/>
      <w:r w:rsidRPr="0045764A">
        <w:rPr>
          <w:i/>
          <w:iCs/>
          <w:szCs w:val="22"/>
          <w:lang w:val="sr-Latn-ME"/>
        </w:rPr>
        <w:t>free</w:t>
      </w:r>
      <w:proofErr w:type="spellEnd"/>
      <w:r w:rsidRPr="0045764A">
        <w:rPr>
          <w:i/>
          <w:iCs/>
          <w:szCs w:val="22"/>
          <w:lang w:val="sr-Latn-ME"/>
        </w:rPr>
        <w:t xml:space="preserve"> </w:t>
      </w:r>
      <w:proofErr w:type="spellStart"/>
      <w:r w:rsidRPr="0045764A">
        <w:rPr>
          <w:i/>
          <w:iCs/>
          <w:szCs w:val="22"/>
          <w:lang w:val="sr-Latn-ME"/>
        </w:rPr>
        <w:t>survival</w:t>
      </w:r>
      <w:proofErr w:type="spellEnd"/>
      <w:r w:rsidRPr="0045764A">
        <w:rPr>
          <w:iCs/>
          <w:szCs w:val="22"/>
          <w:lang w:val="sr-Latn-ME"/>
        </w:rPr>
        <w:t xml:space="preserve">, </w:t>
      </w:r>
      <w:r w:rsidRPr="0045764A">
        <w:rPr>
          <w:rFonts w:eastAsia="TimesNewRoman"/>
          <w:szCs w:val="22"/>
          <w:lang w:val="sr-Latn-ME"/>
        </w:rPr>
        <w:t xml:space="preserve">PFS), </w:t>
      </w:r>
      <w:r w:rsidR="006C11AC" w:rsidRPr="0045764A">
        <w:rPr>
          <w:rFonts w:eastAsia="TimesNewRoman"/>
          <w:szCs w:val="22"/>
          <w:lang w:val="sr-Latn-ME"/>
        </w:rPr>
        <w:t>pr</w:t>
      </w:r>
      <w:r w:rsidRPr="0045764A">
        <w:rPr>
          <w:rFonts w:eastAsia="TimesNewRoman"/>
          <w:szCs w:val="22"/>
          <w:lang w:val="sr-Latn-ME"/>
        </w:rPr>
        <w:t>oc</w:t>
      </w:r>
      <w:r w:rsidR="006B111D" w:rsidRPr="0045764A">
        <w:rPr>
          <w:rFonts w:eastAsia="TimesNewRoman"/>
          <w:szCs w:val="22"/>
          <w:lang w:val="sr-Latn-ME"/>
        </w:rPr>
        <w:t>ij</w:t>
      </w:r>
      <w:r w:rsidRPr="0045764A">
        <w:rPr>
          <w:rFonts w:eastAsia="TimesNewRoman"/>
          <w:szCs w:val="22"/>
          <w:lang w:val="sr-Latn-ME"/>
        </w:rPr>
        <w:t>enjen je pomoću sl</w:t>
      </w:r>
      <w:r w:rsidR="006B111D" w:rsidRPr="0045764A">
        <w:rPr>
          <w:rFonts w:eastAsia="TimesNewRoman"/>
          <w:szCs w:val="22"/>
          <w:lang w:val="sr-Latn-ME"/>
        </w:rPr>
        <w:t>ij</w:t>
      </w:r>
      <w:r w:rsidRPr="0045764A">
        <w:rPr>
          <w:rFonts w:eastAsia="TimesNewRoman"/>
          <w:szCs w:val="22"/>
          <w:lang w:val="sr-Latn-ME"/>
        </w:rPr>
        <w:t xml:space="preserve">epog nezavisnog centralnog pregleda. Sekundarni parametri </w:t>
      </w:r>
      <w:r w:rsidR="006C11AC" w:rsidRPr="0045764A">
        <w:rPr>
          <w:rFonts w:eastAsia="TimesNewRoman"/>
          <w:szCs w:val="22"/>
          <w:lang w:val="sr-Latn-ME"/>
        </w:rPr>
        <w:t>praćenja ishoda</w:t>
      </w:r>
      <w:r w:rsidRPr="0045764A">
        <w:rPr>
          <w:rFonts w:eastAsia="TimesNewRoman"/>
          <w:szCs w:val="22"/>
          <w:lang w:val="sr-Latn-ME"/>
        </w:rPr>
        <w:t xml:space="preserve"> obuhvatali su stopu objektivnog odgovora (engl. </w:t>
      </w:r>
      <w:proofErr w:type="spellStart"/>
      <w:r w:rsidR="006C11AC" w:rsidRPr="0045764A">
        <w:rPr>
          <w:i/>
          <w:iCs/>
          <w:szCs w:val="22"/>
          <w:lang w:val="sr-Latn-ME"/>
        </w:rPr>
        <w:t>o</w:t>
      </w:r>
      <w:r w:rsidRPr="0045764A">
        <w:rPr>
          <w:i/>
          <w:iCs/>
          <w:szCs w:val="22"/>
          <w:lang w:val="sr-Latn-ME"/>
        </w:rPr>
        <w:t>bjective</w:t>
      </w:r>
      <w:proofErr w:type="spellEnd"/>
      <w:r w:rsidRPr="0045764A">
        <w:rPr>
          <w:i/>
          <w:iCs/>
          <w:szCs w:val="22"/>
          <w:lang w:val="sr-Latn-ME"/>
        </w:rPr>
        <w:t xml:space="preserve"> </w:t>
      </w:r>
      <w:proofErr w:type="spellStart"/>
      <w:r w:rsidRPr="0045764A">
        <w:rPr>
          <w:i/>
          <w:iCs/>
          <w:szCs w:val="22"/>
          <w:lang w:val="sr-Latn-ME"/>
        </w:rPr>
        <w:t>response</w:t>
      </w:r>
      <w:proofErr w:type="spellEnd"/>
      <w:r w:rsidRPr="0045764A">
        <w:rPr>
          <w:i/>
          <w:iCs/>
          <w:szCs w:val="22"/>
          <w:lang w:val="sr-Latn-ME"/>
        </w:rPr>
        <w:t xml:space="preserve"> rate</w:t>
      </w:r>
      <w:r w:rsidRPr="0045764A">
        <w:rPr>
          <w:iCs/>
          <w:szCs w:val="22"/>
          <w:lang w:val="sr-Latn-ME"/>
        </w:rPr>
        <w:t>,</w:t>
      </w:r>
      <w:r w:rsidRPr="0045764A">
        <w:rPr>
          <w:i/>
          <w:iCs/>
          <w:szCs w:val="22"/>
          <w:lang w:val="sr-Latn-ME"/>
        </w:rPr>
        <w:t xml:space="preserve"> </w:t>
      </w:r>
      <w:r w:rsidRPr="0045764A">
        <w:rPr>
          <w:rFonts w:eastAsia="TimesNewRoman"/>
          <w:szCs w:val="22"/>
          <w:lang w:val="sr-Latn-ME"/>
        </w:rPr>
        <w:t xml:space="preserve">ORR) i ukupno preživljavanje (engl. </w:t>
      </w:r>
      <w:proofErr w:type="spellStart"/>
      <w:r w:rsidR="006C11AC" w:rsidRPr="0045764A">
        <w:rPr>
          <w:i/>
          <w:iCs/>
          <w:szCs w:val="22"/>
          <w:lang w:val="sr-Latn-ME"/>
        </w:rPr>
        <w:t>o</w:t>
      </w:r>
      <w:r w:rsidRPr="0045764A">
        <w:rPr>
          <w:i/>
          <w:iCs/>
          <w:szCs w:val="22"/>
          <w:lang w:val="sr-Latn-ME"/>
        </w:rPr>
        <w:t>verall</w:t>
      </w:r>
      <w:proofErr w:type="spellEnd"/>
      <w:r w:rsidRPr="0045764A">
        <w:rPr>
          <w:i/>
          <w:iCs/>
          <w:szCs w:val="22"/>
          <w:lang w:val="sr-Latn-ME"/>
        </w:rPr>
        <w:t xml:space="preserve"> </w:t>
      </w:r>
      <w:proofErr w:type="spellStart"/>
      <w:r w:rsidRPr="0045764A">
        <w:rPr>
          <w:i/>
          <w:iCs/>
          <w:szCs w:val="22"/>
          <w:lang w:val="sr-Latn-ME"/>
        </w:rPr>
        <w:t>survival</w:t>
      </w:r>
      <w:proofErr w:type="spellEnd"/>
      <w:r w:rsidRPr="0045764A">
        <w:rPr>
          <w:iCs/>
          <w:szCs w:val="22"/>
          <w:lang w:val="sr-Latn-ME"/>
        </w:rPr>
        <w:t>,</w:t>
      </w:r>
      <w:r w:rsidRPr="0045764A">
        <w:rPr>
          <w:i/>
          <w:iCs/>
          <w:szCs w:val="22"/>
          <w:lang w:val="sr-Latn-ME"/>
        </w:rPr>
        <w:t xml:space="preserve"> </w:t>
      </w:r>
      <w:r w:rsidRPr="0045764A">
        <w:rPr>
          <w:rFonts w:eastAsia="TimesNewRoman"/>
          <w:szCs w:val="22"/>
          <w:lang w:val="sr-Latn-ME"/>
        </w:rPr>
        <w:t>OS).</w:t>
      </w:r>
    </w:p>
    <w:p w14:paraId="2FE73A35" w14:textId="54B0C112" w:rsidR="00BB7F01" w:rsidRPr="0045764A" w:rsidRDefault="00BB7F01" w:rsidP="00C65330">
      <w:pPr>
        <w:tabs>
          <w:tab w:val="clear" w:pos="284"/>
        </w:tabs>
        <w:autoSpaceDE w:val="0"/>
        <w:autoSpaceDN w:val="0"/>
        <w:adjustRightInd w:val="0"/>
        <w:rPr>
          <w:rFonts w:eastAsia="TimesNewRoman"/>
          <w:szCs w:val="22"/>
          <w:lang w:val="sr-Latn-ME"/>
        </w:rPr>
      </w:pPr>
    </w:p>
    <w:p w14:paraId="1BEBA3C3" w14:textId="3D0CF8E7" w:rsidR="00BB7F01" w:rsidRPr="0045764A" w:rsidRDefault="008C2994"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Od pacijen</w:t>
      </w:r>
      <w:r w:rsidR="006B111D" w:rsidRPr="0045764A">
        <w:rPr>
          <w:rFonts w:eastAsia="TimesNewRoman"/>
          <w:szCs w:val="22"/>
          <w:lang w:val="sr-Latn-ME"/>
        </w:rPr>
        <w:t>a</w:t>
      </w:r>
      <w:r w:rsidRPr="0045764A">
        <w:rPr>
          <w:rFonts w:eastAsia="TimesNewRoman"/>
          <w:szCs w:val="22"/>
          <w:lang w:val="sr-Latn-ME"/>
        </w:rPr>
        <w:t xml:space="preserve">ta uključenih u ovo ispitivanje, 389 pacijenata (53,8%) je primilo jednu prethodnu terapiju </w:t>
      </w:r>
      <w:proofErr w:type="spellStart"/>
      <w:r w:rsidRPr="0045764A">
        <w:rPr>
          <w:rFonts w:eastAsia="TimesNewRoman"/>
          <w:szCs w:val="22"/>
          <w:lang w:val="sr-Latn-ME"/>
        </w:rPr>
        <w:t>sunitinibom</w:t>
      </w:r>
      <w:proofErr w:type="spellEnd"/>
      <w:r w:rsidRPr="0045764A">
        <w:rPr>
          <w:rFonts w:eastAsia="TimesNewRoman"/>
          <w:szCs w:val="22"/>
          <w:lang w:val="sr-Latn-ME"/>
        </w:rPr>
        <w:t>, 251 pacijent (34,7%) je prim</w:t>
      </w:r>
      <w:r w:rsidR="00B23F8F" w:rsidRPr="0045764A">
        <w:rPr>
          <w:rFonts w:eastAsia="TimesNewRoman"/>
          <w:szCs w:val="22"/>
          <w:lang w:val="sr-Latn-ME"/>
        </w:rPr>
        <w:t>i</w:t>
      </w:r>
      <w:r w:rsidRPr="0045764A">
        <w:rPr>
          <w:rFonts w:eastAsia="TimesNewRoman"/>
          <w:szCs w:val="22"/>
          <w:lang w:val="sr-Latn-ME"/>
        </w:rPr>
        <w:t xml:space="preserve">o jednu prethodnu terapiju </w:t>
      </w:r>
      <w:proofErr w:type="spellStart"/>
      <w:r w:rsidRPr="0045764A">
        <w:rPr>
          <w:rFonts w:eastAsia="TimesNewRoman"/>
          <w:szCs w:val="22"/>
          <w:lang w:val="sr-Latn-ME"/>
        </w:rPr>
        <w:t>citokinom</w:t>
      </w:r>
      <w:proofErr w:type="spellEnd"/>
      <w:r w:rsidRPr="0045764A">
        <w:rPr>
          <w:rFonts w:eastAsia="TimesNewRoman"/>
          <w:szCs w:val="22"/>
          <w:lang w:val="sr-Latn-ME"/>
        </w:rPr>
        <w:t xml:space="preserve"> (interleukin-2 ili </w:t>
      </w:r>
      <w:proofErr w:type="spellStart"/>
      <w:r w:rsidRPr="0045764A">
        <w:rPr>
          <w:rFonts w:eastAsia="TimesNewRoman"/>
          <w:szCs w:val="22"/>
          <w:lang w:val="sr-Latn-ME"/>
        </w:rPr>
        <w:t>interferon</w:t>
      </w:r>
      <w:proofErr w:type="spellEnd"/>
      <w:r w:rsidRPr="0045764A">
        <w:rPr>
          <w:rFonts w:eastAsia="TimesNewRoman"/>
          <w:szCs w:val="22"/>
          <w:lang w:val="sr-Latn-ME"/>
        </w:rPr>
        <w:t xml:space="preserve">-alfa), 59 pacijenata (8,2%) je primilo jednu prethodnu terapiju </w:t>
      </w:r>
      <w:proofErr w:type="spellStart"/>
      <w:r w:rsidRPr="0045764A">
        <w:rPr>
          <w:rFonts w:eastAsia="TimesNewRoman"/>
          <w:szCs w:val="22"/>
          <w:lang w:val="sr-Latn-ME"/>
        </w:rPr>
        <w:t>bevacizumabom</w:t>
      </w:r>
      <w:proofErr w:type="spellEnd"/>
      <w:r w:rsidRPr="0045764A">
        <w:rPr>
          <w:rFonts w:eastAsia="TimesNewRoman"/>
          <w:szCs w:val="22"/>
          <w:lang w:val="sr-Latn-ME"/>
        </w:rPr>
        <w:t xml:space="preserve">, a 24 pacijenta (3,3%) je primilo jednu prethodnu terapiju </w:t>
      </w:r>
      <w:proofErr w:type="spellStart"/>
      <w:r w:rsidRPr="0045764A">
        <w:rPr>
          <w:rFonts w:eastAsia="TimesNewRoman"/>
          <w:szCs w:val="22"/>
          <w:lang w:val="sr-Latn-ME"/>
        </w:rPr>
        <w:t>temsirolimusom</w:t>
      </w:r>
      <w:proofErr w:type="spellEnd"/>
      <w:r w:rsidRPr="0045764A">
        <w:rPr>
          <w:rFonts w:eastAsia="TimesNewRoman"/>
          <w:szCs w:val="22"/>
          <w:lang w:val="sr-Latn-ME"/>
        </w:rPr>
        <w:t xml:space="preserve">. Osnovne demografske karakteristike </w:t>
      </w:r>
      <w:r w:rsidR="00B437FD" w:rsidRPr="0045764A">
        <w:rPr>
          <w:rFonts w:eastAsia="TimesNewRoman"/>
          <w:szCs w:val="22"/>
          <w:lang w:val="sr-Latn-ME"/>
        </w:rPr>
        <w:t xml:space="preserve">i </w:t>
      </w:r>
      <w:r w:rsidRPr="0045764A">
        <w:rPr>
          <w:rFonts w:eastAsia="TimesNewRoman"/>
          <w:szCs w:val="22"/>
          <w:lang w:val="sr-Latn-ME"/>
        </w:rPr>
        <w:t xml:space="preserve">karakteristike bolesti bile </w:t>
      </w:r>
      <w:r w:rsidR="00EB6133" w:rsidRPr="0045764A">
        <w:rPr>
          <w:rFonts w:eastAsia="TimesNewRoman"/>
          <w:szCs w:val="22"/>
          <w:lang w:val="sr-Latn-ME"/>
        </w:rPr>
        <w:t xml:space="preserve">su </w:t>
      </w:r>
      <w:r w:rsidRPr="0045764A">
        <w:rPr>
          <w:rFonts w:eastAsia="TimesNewRoman"/>
          <w:szCs w:val="22"/>
          <w:lang w:val="sr-Latn-ME"/>
        </w:rPr>
        <w:t xml:space="preserve">slične između </w:t>
      </w:r>
      <w:proofErr w:type="spellStart"/>
      <w:r w:rsidRPr="0045764A">
        <w:rPr>
          <w:rFonts w:eastAsia="TimesNewRoman"/>
          <w:szCs w:val="22"/>
          <w:lang w:val="sr-Latn-ME"/>
        </w:rPr>
        <w:t>aksitinib</w:t>
      </w:r>
      <w:proofErr w:type="spellEnd"/>
      <w:r w:rsidRPr="0045764A">
        <w:rPr>
          <w:rFonts w:eastAsia="TimesNewRoman"/>
          <w:szCs w:val="22"/>
          <w:lang w:val="sr-Latn-ME"/>
        </w:rPr>
        <w:t xml:space="preserve"> i </w:t>
      </w:r>
      <w:proofErr w:type="spellStart"/>
      <w:r w:rsidRPr="0045764A">
        <w:rPr>
          <w:rFonts w:eastAsia="TimesNewRoman"/>
          <w:szCs w:val="22"/>
          <w:lang w:val="sr-Latn-ME"/>
        </w:rPr>
        <w:t>sorafenib</w:t>
      </w:r>
      <w:proofErr w:type="spellEnd"/>
      <w:r w:rsidRPr="0045764A">
        <w:rPr>
          <w:rFonts w:eastAsia="TimesNewRoman"/>
          <w:szCs w:val="22"/>
          <w:lang w:val="sr-Latn-ME"/>
        </w:rPr>
        <w:t xml:space="preserve"> grupe u pogledu starosti, pola, rase, ECOG</w:t>
      </w:r>
      <w:r w:rsidR="00B437FD" w:rsidRPr="0045764A">
        <w:rPr>
          <w:rFonts w:eastAsia="TimesNewRoman"/>
          <w:szCs w:val="22"/>
          <w:lang w:val="sr-Latn-ME"/>
        </w:rPr>
        <w:t xml:space="preserve"> </w:t>
      </w:r>
      <w:r w:rsidRPr="0045764A">
        <w:rPr>
          <w:rFonts w:eastAsia="TimesNewRoman"/>
          <w:szCs w:val="22"/>
          <w:lang w:val="sr-Latn-ME"/>
        </w:rPr>
        <w:t xml:space="preserve">(engl. </w:t>
      </w:r>
      <w:proofErr w:type="spellStart"/>
      <w:r w:rsidRPr="0045764A">
        <w:rPr>
          <w:rFonts w:eastAsia="TimesNewRoman"/>
          <w:i/>
          <w:iCs/>
          <w:szCs w:val="22"/>
          <w:lang w:val="sr-Latn-ME"/>
        </w:rPr>
        <w:t>Eastern</w:t>
      </w:r>
      <w:proofErr w:type="spellEnd"/>
      <w:r w:rsidRPr="0045764A">
        <w:rPr>
          <w:rFonts w:eastAsia="TimesNewRoman"/>
          <w:i/>
          <w:iCs/>
          <w:szCs w:val="22"/>
          <w:lang w:val="sr-Latn-ME"/>
        </w:rPr>
        <w:t xml:space="preserve"> </w:t>
      </w:r>
      <w:proofErr w:type="spellStart"/>
      <w:r w:rsidRPr="0045764A">
        <w:rPr>
          <w:rFonts w:eastAsia="TimesNewRoman"/>
          <w:i/>
          <w:iCs/>
          <w:szCs w:val="22"/>
          <w:lang w:val="sr-Latn-ME"/>
        </w:rPr>
        <w:t>Cooperative</w:t>
      </w:r>
      <w:proofErr w:type="spellEnd"/>
      <w:r w:rsidRPr="0045764A">
        <w:rPr>
          <w:rFonts w:eastAsia="TimesNewRoman"/>
          <w:i/>
          <w:iCs/>
          <w:szCs w:val="22"/>
          <w:lang w:val="sr-Latn-ME"/>
        </w:rPr>
        <w:t xml:space="preserve"> </w:t>
      </w:r>
      <w:proofErr w:type="spellStart"/>
      <w:r w:rsidRPr="0045764A">
        <w:rPr>
          <w:rFonts w:eastAsia="TimesNewRoman"/>
          <w:i/>
          <w:iCs/>
          <w:szCs w:val="22"/>
          <w:lang w:val="sr-Latn-ME"/>
        </w:rPr>
        <w:t>Oncology</w:t>
      </w:r>
      <w:proofErr w:type="spellEnd"/>
      <w:r w:rsidRPr="0045764A">
        <w:rPr>
          <w:rFonts w:eastAsia="TimesNewRoman"/>
          <w:i/>
          <w:iCs/>
          <w:szCs w:val="22"/>
          <w:lang w:val="sr-Latn-ME"/>
        </w:rPr>
        <w:t xml:space="preserve"> </w:t>
      </w:r>
      <w:proofErr w:type="spellStart"/>
      <w:r w:rsidRPr="0045764A">
        <w:rPr>
          <w:rFonts w:eastAsia="TimesNewRoman"/>
          <w:i/>
          <w:iCs/>
          <w:szCs w:val="22"/>
          <w:lang w:val="sr-Latn-ME"/>
        </w:rPr>
        <w:t>Group</w:t>
      </w:r>
      <w:proofErr w:type="spellEnd"/>
      <w:r w:rsidRPr="0045764A">
        <w:rPr>
          <w:rFonts w:eastAsia="TimesNewRoman"/>
          <w:i/>
          <w:iCs/>
          <w:szCs w:val="22"/>
          <w:lang w:val="sr-Latn-ME"/>
        </w:rPr>
        <w:t xml:space="preserve">, </w:t>
      </w:r>
      <w:r w:rsidRPr="0045764A">
        <w:rPr>
          <w:rFonts w:eastAsia="TimesNewRoman"/>
          <w:szCs w:val="22"/>
          <w:lang w:val="sr-Latn-ME"/>
        </w:rPr>
        <w:t xml:space="preserve">ECOG </w:t>
      </w:r>
      <w:r w:rsidR="00EB6133" w:rsidRPr="0045764A">
        <w:rPr>
          <w:rFonts w:eastAsia="TimesNewRoman"/>
          <w:szCs w:val="22"/>
          <w:lang w:val="sr-Latn-ME"/>
        </w:rPr>
        <w:t>–</w:t>
      </w:r>
      <w:r w:rsidRPr="0045764A">
        <w:rPr>
          <w:rFonts w:eastAsia="TimesNewRoman"/>
          <w:szCs w:val="22"/>
          <w:lang w:val="sr-Latn-ME"/>
        </w:rPr>
        <w:t xml:space="preserve"> Istočna kooperativna </w:t>
      </w:r>
      <w:proofErr w:type="spellStart"/>
      <w:r w:rsidRPr="0045764A">
        <w:rPr>
          <w:rFonts w:eastAsia="TimesNewRoman"/>
          <w:szCs w:val="22"/>
          <w:lang w:val="sr-Latn-ME"/>
        </w:rPr>
        <w:t>onkološka</w:t>
      </w:r>
      <w:proofErr w:type="spellEnd"/>
      <w:r w:rsidRPr="0045764A">
        <w:rPr>
          <w:rFonts w:eastAsia="TimesNewRoman"/>
          <w:szCs w:val="22"/>
          <w:lang w:val="sr-Latn-ME"/>
        </w:rPr>
        <w:t xml:space="preserve"> grupa) performans</w:t>
      </w:r>
      <w:r w:rsidR="00B437FD" w:rsidRPr="0045764A">
        <w:rPr>
          <w:rFonts w:eastAsia="TimesNewRoman"/>
          <w:szCs w:val="22"/>
          <w:lang w:val="sr-Latn-ME"/>
        </w:rPr>
        <w:t xml:space="preserve"> </w:t>
      </w:r>
      <w:r w:rsidRPr="0045764A">
        <w:rPr>
          <w:rFonts w:eastAsia="TimesNewRoman"/>
          <w:szCs w:val="22"/>
          <w:lang w:val="sr-Latn-ME"/>
        </w:rPr>
        <w:t>statusa, geografskog regiona i prethodne terapije.</w:t>
      </w:r>
    </w:p>
    <w:p w14:paraId="229B639C" w14:textId="3E491257" w:rsidR="00551525" w:rsidRPr="0045764A" w:rsidRDefault="00551525" w:rsidP="00C65330">
      <w:pPr>
        <w:tabs>
          <w:tab w:val="clear" w:pos="284"/>
        </w:tabs>
        <w:autoSpaceDE w:val="0"/>
        <w:autoSpaceDN w:val="0"/>
        <w:adjustRightInd w:val="0"/>
        <w:rPr>
          <w:rFonts w:eastAsia="TimesNewRoman"/>
          <w:szCs w:val="22"/>
          <w:lang w:val="sr-Latn-ME"/>
        </w:rPr>
      </w:pPr>
    </w:p>
    <w:p w14:paraId="14517610" w14:textId="0F75ECE1" w:rsidR="00551525" w:rsidRPr="0045764A" w:rsidRDefault="00551525"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U ukupnoj populaciji pacijenata i dv</w:t>
      </w:r>
      <w:r w:rsidR="006B111D" w:rsidRPr="0045764A">
        <w:rPr>
          <w:rFonts w:eastAsia="TimesNewRoman"/>
          <w:szCs w:val="22"/>
          <w:lang w:val="sr-Latn-ME"/>
        </w:rPr>
        <w:t>ij</w:t>
      </w:r>
      <w:r w:rsidRPr="0045764A">
        <w:rPr>
          <w:rFonts w:eastAsia="TimesNewRoman"/>
          <w:szCs w:val="22"/>
          <w:lang w:val="sr-Latn-ME"/>
        </w:rPr>
        <w:t xml:space="preserve">e glavne podgrupe (prethodna terapija </w:t>
      </w:r>
      <w:proofErr w:type="spellStart"/>
      <w:r w:rsidRPr="0045764A">
        <w:rPr>
          <w:rFonts w:eastAsia="TimesNewRoman"/>
          <w:szCs w:val="22"/>
          <w:lang w:val="sr-Latn-ME"/>
        </w:rPr>
        <w:t>sunitinibom</w:t>
      </w:r>
      <w:proofErr w:type="spellEnd"/>
      <w:r w:rsidRPr="0045764A">
        <w:rPr>
          <w:rFonts w:eastAsia="TimesNewRoman"/>
          <w:szCs w:val="22"/>
          <w:lang w:val="sr-Latn-ME"/>
        </w:rPr>
        <w:t xml:space="preserve"> i prethodna terapija </w:t>
      </w:r>
      <w:proofErr w:type="spellStart"/>
      <w:r w:rsidRPr="0045764A">
        <w:rPr>
          <w:rFonts w:eastAsia="TimesNewRoman"/>
          <w:szCs w:val="22"/>
          <w:lang w:val="sr-Latn-ME"/>
        </w:rPr>
        <w:t>citokinom</w:t>
      </w:r>
      <w:proofErr w:type="spellEnd"/>
      <w:r w:rsidRPr="0045764A">
        <w:rPr>
          <w:rFonts w:eastAsia="TimesNewRoman"/>
          <w:szCs w:val="22"/>
          <w:lang w:val="sr-Latn-ME"/>
        </w:rPr>
        <w:t xml:space="preserve">), postojala je statistički značajna </w:t>
      </w:r>
      <w:proofErr w:type="spellStart"/>
      <w:r w:rsidRPr="0045764A">
        <w:rPr>
          <w:rFonts w:eastAsia="TimesNewRoman"/>
          <w:szCs w:val="22"/>
          <w:lang w:val="sr-Latn-ME"/>
        </w:rPr>
        <w:t>prednost</w:t>
      </w:r>
      <w:proofErr w:type="spellEnd"/>
      <w:r w:rsidRPr="0045764A">
        <w:rPr>
          <w:rFonts w:eastAsia="TimesNewRoman"/>
          <w:szCs w:val="22"/>
          <w:lang w:val="sr-Latn-ME"/>
        </w:rPr>
        <w:t xml:space="preserve">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nad </w:t>
      </w:r>
      <w:proofErr w:type="spellStart"/>
      <w:r w:rsidRPr="0045764A">
        <w:rPr>
          <w:rFonts w:eastAsia="TimesNewRoman"/>
          <w:szCs w:val="22"/>
          <w:lang w:val="sr-Latn-ME"/>
        </w:rPr>
        <w:t>sorafenibom</w:t>
      </w:r>
      <w:proofErr w:type="spellEnd"/>
      <w:r w:rsidRPr="0045764A">
        <w:rPr>
          <w:rFonts w:eastAsia="TimesNewRoman"/>
          <w:szCs w:val="22"/>
          <w:lang w:val="sr-Latn-ME"/>
        </w:rPr>
        <w:t xml:space="preserve"> za primarni paramet</w:t>
      </w:r>
      <w:r w:rsidR="006B111D" w:rsidRPr="0045764A">
        <w:rPr>
          <w:rFonts w:eastAsia="TimesNewRoman"/>
          <w:szCs w:val="22"/>
          <w:lang w:val="sr-Latn-ME"/>
        </w:rPr>
        <w:t>a</w:t>
      </w:r>
      <w:r w:rsidRPr="0045764A">
        <w:rPr>
          <w:rFonts w:eastAsia="TimesNewRoman"/>
          <w:szCs w:val="22"/>
          <w:lang w:val="sr-Latn-ME"/>
        </w:rPr>
        <w:t xml:space="preserve">r </w:t>
      </w:r>
      <w:r w:rsidR="00EB6133" w:rsidRPr="0045764A">
        <w:rPr>
          <w:rFonts w:eastAsia="TimesNewRoman"/>
          <w:szCs w:val="22"/>
          <w:lang w:val="sr-Latn-ME"/>
        </w:rPr>
        <w:t>praćenja ishoda</w:t>
      </w:r>
      <w:r w:rsidRPr="0045764A">
        <w:rPr>
          <w:rFonts w:eastAsia="TimesNewRoman"/>
          <w:szCs w:val="22"/>
          <w:lang w:val="sr-Latn-ME"/>
        </w:rPr>
        <w:t>, preživljavanje bez progresije bolesti (PFS) (</w:t>
      </w:r>
      <w:r w:rsidR="00593BF5" w:rsidRPr="0045764A">
        <w:rPr>
          <w:rFonts w:eastAsia="TimesNewRoman"/>
          <w:szCs w:val="22"/>
          <w:lang w:val="sr-Latn-ME"/>
        </w:rPr>
        <w:t>vidjeti</w:t>
      </w:r>
      <w:r w:rsidRPr="0045764A">
        <w:rPr>
          <w:rFonts w:eastAsia="TimesNewRoman"/>
          <w:szCs w:val="22"/>
          <w:lang w:val="sr-Latn-ME"/>
        </w:rPr>
        <w:t xml:space="preserve"> Tabelu 2 i Slike 1, 2 i 3). Veličina </w:t>
      </w:r>
      <w:proofErr w:type="spellStart"/>
      <w:r w:rsidRPr="0045764A">
        <w:rPr>
          <w:rFonts w:eastAsia="TimesNewRoman"/>
          <w:szCs w:val="22"/>
          <w:lang w:val="sr-Latn-ME"/>
        </w:rPr>
        <w:t>medijane</w:t>
      </w:r>
      <w:proofErr w:type="spellEnd"/>
      <w:r w:rsidR="006725AA" w:rsidRPr="0045764A">
        <w:rPr>
          <w:rFonts w:eastAsia="TimesNewRoman"/>
          <w:szCs w:val="22"/>
          <w:lang w:val="sr-Latn-ME"/>
        </w:rPr>
        <w:t xml:space="preserve"> </w:t>
      </w:r>
      <w:r w:rsidRPr="0045764A">
        <w:rPr>
          <w:rFonts w:eastAsia="TimesNewRoman"/>
          <w:szCs w:val="22"/>
          <w:lang w:val="sr-Latn-ME"/>
        </w:rPr>
        <w:t>PFS efekta razlikovala se među podgrupama prema prethodnoj terapiji. Dv</w:t>
      </w:r>
      <w:r w:rsidR="006B111D" w:rsidRPr="0045764A">
        <w:rPr>
          <w:rFonts w:eastAsia="TimesNewRoman"/>
          <w:szCs w:val="22"/>
          <w:lang w:val="sr-Latn-ME"/>
        </w:rPr>
        <w:t>ij</w:t>
      </w:r>
      <w:r w:rsidRPr="0045764A">
        <w:rPr>
          <w:rFonts w:eastAsia="TimesNewRoman"/>
          <w:szCs w:val="22"/>
          <w:lang w:val="sr-Latn-ME"/>
        </w:rPr>
        <w:t>e podgrupe bile su suviše male da</w:t>
      </w:r>
      <w:r w:rsidR="006725AA" w:rsidRPr="0045764A">
        <w:rPr>
          <w:rFonts w:eastAsia="TimesNewRoman"/>
          <w:szCs w:val="22"/>
          <w:lang w:val="sr-Latn-ME"/>
        </w:rPr>
        <w:t xml:space="preserve"> </w:t>
      </w:r>
      <w:r w:rsidRPr="0045764A">
        <w:rPr>
          <w:rFonts w:eastAsia="TimesNewRoman"/>
          <w:szCs w:val="22"/>
          <w:lang w:val="sr-Latn-ME"/>
        </w:rPr>
        <w:t xml:space="preserve">daju pouzdane rezultate (prethodna terapija </w:t>
      </w:r>
      <w:proofErr w:type="spellStart"/>
      <w:r w:rsidRPr="0045764A">
        <w:rPr>
          <w:rFonts w:eastAsia="TimesNewRoman"/>
          <w:szCs w:val="22"/>
          <w:lang w:val="sr-Latn-ME"/>
        </w:rPr>
        <w:t>temsirolimusom</w:t>
      </w:r>
      <w:proofErr w:type="spellEnd"/>
      <w:r w:rsidRPr="0045764A">
        <w:rPr>
          <w:rFonts w:eastAsia="TimesNewRoman"/>
          <w:szCs w:val="22"/>
          <w:lang w:val="sr-Latn-ME"/>
        </w:rPr>
        <w:t xml:space="preserve"> ili prethodna terapija </w:t>
      </w:r>
      <w:proofErr w:type="spellStart"/>
      <w:r w:rsidRPr="0045764A">
        <w:rPr>
          <w:rFonts w:eastAsia="TimesNewRoman"/>
          <w:szCs w:val="22"/>
          <w:lang w:val="sr-Latn-ME"/>
        </w:rPr>
        <w:t>bevacizumabom</w:t>
      </w:r>
      <w:proofErr w:type="spellEnd"/>
      <w:r w:rsidRPr="0045764A">
        <w:rPr>
          <w:rFonts w:eastAsia="TimesNewRoman"/>
          <w:szCs w:val="22"/>
          <w:lang w:val="sr-Latn-ME"/>
        </w:rPr>
        <w:t>). Nije</w:t>
      </w:r>
      <w:r w:rsidR="006725AA" w:rsidRPr="0045764A">
        <w:rPr>
          <w:rFonts w:eastAsia="TimesNewRoman"/>
          <w:szCs w:val="22"/>
          <w:lang w:val="sr-Latn-ME"/>
        </w:rPr>
        <w:t xml:space="preserve"> </w:t>
      </w:r>
      <w:r w:rsidRPr="0045764A">
        <w:rPr>
          <w:rFonts w:eastAsia="TimesNewRoman"/>
          <w:szCs w:val="22"/>
          <w:lang w:val="sr-Latn-ME"/>
        </w:rPr>
        <w:t xml:space="preserve">bilo statistički značajnih razlika između grupa u OS u ukupnoj populaciji </w:t>
      </w:r>
      <w:r w:rsidR="00EB6133" w:rsidRPr="0045764A">
        <w:rPr>
          <w:rFonts w:eastAsia="TimesNewRoman"/>
          <w:szCs w:val="22"/>
          <w:lang w:val="sr-Latn-ME"/>
        </w:rPr>
        <w:t xml:space="preserve">niti </w:t>
      </w:r>
      <w:r w:rsidRPr="0045764A">
        <w:rPr>
          <w:rFonts w:eastAsia="TimesNewRoman"/>
          <w:szCs w:val="22"/>
          <w:lang w:val="sr-Latn-ME"/>
        </w:rPr>
        <w:t>u podgrupama prema prethodnoj</w:t>
      </w:r>
      <w:r w:rsidR="006725AA" w:rsidRPr="0045764A">
        <w:rPr>
          <w:rFonts w:eastAsia="TimesNewRoman"/>
          <w:szCs w:val="22"/>
          <w:lang w:val="sr-Latn-ME"/>
        </w:rPr>
        <w:t xml:space="preserve"> </w:t>
      </w:r>
      <w:r w:rsidRPr="0045764A">
        <w:rPr>
          <w:rFonts w:eastAsia="TimesNewRoman"/>
          <w:szCs w:val="22"/>
          <w:lang w:val="sr-Latn-ME"/>
        </w:rPr>
        <w:t>terapiji.</w:t>
      </w:r>
    </w:p>
    <w:p w14:paraId="784A3EBB" w14:textId="5355762E" w:rsidR="00973845" w:rsidRPr="0045764A" w:rsidRDefault="00973845" w:rsidP="00C65330">
      <w:pPr>
        <w:tabs>
          <w:tab w:val="clear" w:pos="284"/>
        </w:tabs>
        <w:autoSpaceDE w:val="0"/>
        <w:autoSpaceDN w:val="0"/>
        <w:adjustRightInd w:val="0"/>
        <w:rPr>
          <w:rFonts w:eastAsia="TimesNewRoman"/>
          <w:szCs w:val="22"/>
          <w:lang w:val="sr-Latn-ME"/>
        </w:rPr>
      </w:pPr>
    </w:p>
    <w:p w14:paraId="10A3B26F" w14:textId="238C2A1D" w:rsidR="00973845" w:rsidRPr="0045764A" w:rsidRDefault="00973845" w:rsidP="00C65330">
      <w:pPr>
        <w:tabs>
          <w:tab w:val="clear" w:pos="284"/>
        </w:tabs>
        <w:autoSpaceDE w:val="0"/>
        <w:autoSpaceDN w:val="0"/>
        <w:adjustRightInd w:val="0"/>
        <w:rPr>
          <w:b/>
          <w:bCs/>
          <w:szCs w:val="22"/>
          <w:lang w:val="sr-Latn-ME"/>
        </w:rPr>
      </w:pPr>
      <w:r w:rsidRPr="0045764A">
        <w:rPr>
          <w:b/>
          <w:bCs/>
          <w:szCs w:val="22"/>
          <w:lang w:val="sr-Latn-ME"/>
        </w:rPr>
        <w:t>Tabela 2. Rezultati efikasnosti</w:t>
      </w:r>
    </w:p>
    <w:p w14:paraId="53385F52" w14:textId="34AD9CE3" w:rsidR="00973845" w:rsidRPr="0045764A" w:rsidRDefault="00973845" w:rsidP="00C65330">
      <w:pPr>
        <w:tabs>
          <w:tab w:val="clear" w:pos="284"/>
        </w:tabs>
        <w:autoSpaceDE w:val="0"/>
        <w:autoSpaceDN w:val="0"/>
        <w:adjustRightInd w:val="0"/>
        <w:rPr>
          <w:b/>
          <w:bCs/>
          <w:szCs w:val="22"/>
          <w:lang w:val="sr-Latn-ME"/>
        </w:rPr>
      </w:pPr>
    </w:p>
    <w:tbl>
      <w:tblPr>
        <w:tblStyle w:val="TableGrid"/>
        <w:tblW w:w="0" w:type="auto"/>
        <w:tblLayout w:type="fixed"/>
        <w:tblLook w:val="04A0" w:firstRow="1" w:lastRow="0" w:firstColumn="1" w:lastColumn="0" w:noHBand="0" w:noVBand="1"/>
      </w:tblPr>
      <w:tblGrid>
        <w:gridCol w:w="2405"/>
        <w:gridCol w:w="1701"/>
        <w:gridCol w:w="1701"/>
        <w:gridCol w:w="1843"/>
        <w:gridCol w:w="1367"/>
      </w:tblGrid>
      <w:tr w:rsidR="00070D0B" w:rsidRPr="0045764A" w14:paraId="189A50EE" w14:textId="77777777" w:rsidTr="001445B8">
        <w:tc>
          <w:tcPr>
            <w:tcW w:w="2405" w:type="dxa"/>
          </w:tcPr>
          <w:p w14:paraId="1048D0E3" w14:textId="77777777" w:rsidR="00207DEC" w:rsidRPr="0045764A" w:rsidRDefault="00207DEC" w:rsidP="001445B8">
            <w:pPr>
              <w:tabs>
                <w:tab w:val="clear" w:pos="284"/>
              </w:tabs>
              <w:autoSpaceDE w:val="0"/>
              <w:autoSpaceDN w:val="0"/>
              <w:adjustRightInd w:val="0"/>
              <w:ind w:left="-57"/>
              <w:jc w:val="left"/>
              <w:rPr>
                <w:b/>
                <w:bCs/>
                <w:szCs w:val="22"/>
                <w:lang w:val="sr-Latn-ME"/>
              </w:rPr>
            </w:pPr>
            <w:r w:rsidRPr="0045764A">
              <w:rPr>
                <w:b/>
                <w:bCs/>
                <w:szCs w:val="22"/>
                <w:lang w:val="sr-Latn-ME"/>
              </w:rPr>
              <w:t>Parametar praćenja</w:t>
            </w:r>
          </w:p>
          <w:p w14:paraId="54824ED5" w14:textId="3A0D2890" w:rsidR="00207DEC" w:rsidRPr="0045764A" w:rsidRDefault="00A02EC2" w:rsidP="001445B8">
            <w:pPr>
              <w:tabs>
                <w:tab w:val="clear" w:pos="284"/>
              </w:tabs>
              <w:autoSpaceDE w:val="0"/>
              <w:autoSpaceDN w:val="0"/>
              <w:adjustRightInd w:val="0"/>
              <w:ind w:left="-57"/>
              <w:jc w:val="left"/>
              <w:rPr>
                <w:b/>
                <w:bCs/>
                <w:szCs w:val="22"/>
                <w:lang w:val="sr-Latn-ME"/>
              </w:rPr>
            </w:pPr>
            <w:r w:rsidRPr="0045764A">
              <w:rPr>
                <w:b/>
                <w:bCs/>
                <w:szCs w:val="22"/>
                <w:lang w:val="sr-Latn-ME"/>
              </w:rPr>
              <w:t>ishoda</w:t>
            </w:r>
            <w:r w:rsidR="00207DEC" w:rsidRPr="0045764A">
              <w:rPr>
                <w:b/>
                <w:bCs/>
                <w:szCs w:val="22"/>
                <w:lang w:val="sr-Latn-ME"/>
              </w:rPr>
              <w:t>/Populacija</w:t>
            </w:r>
          </w:p>
          <w:p w14:paraId="579AD705" w14:textId="26172E54" w:rsidR="00BD00F8" w:rsidRPr="0045764A" w:rsidRDefault="00207DEC" w:rsidP="001445B8">
            <w:pPr>
              <w:tabs>
                <w:tab w:val="clear" w:pos="284"/>
              </w:tabs>
              <w:autoSpaceDE w:val="0"/>
              <w:autoSpaceDN w:val="0"/>
              <w:adjustRightInd w:val="0"/>
              <w:ind w:left="-57"/>
              <w:jc w:val="left"/>
              <w:rPr>
                <w:rFonts w:eastAsia="TimesNewRoman"/>
                <w:szCs w:val="22"/>
                <w:lang w:val="sr-Latn-ME"/>
              </w:rPr>
            </w:pPr>
            <w:r w:rsidRPr="0045764A">
              <w:rPr>
                <w:b/>
                <w:bCs/>
                <w:szCs w:val="22"/>
                <w:lang w:val="sr-Latn-ME"/>
              </w:rPr>
              <w:t>ispitivanja</w:t>
            </w:r>
          </w:p>
        </w:tc>
        <w:tc>
          <w:tcPr>
            <w:tcW w:w="1701" w:type="dxa"/>
          </w:tcPr>
          <w:p w14:paraId="6A37C7FC" w14:textId="6FADA9A7" w:rsidR="00BD00F8" w:rsidRPr="0045764A" w:rsidRDefault="004F18D4" w:rsidP="001445B8">
            <w:pPr>
              <w:tabs>
                <w:tab w:val="clear" w:pos="284"/>
              </w:tabs>
              <w:autoSpaceDE w:val="0"/>
              <w:autoSpaceDN w:val="0"/>
              <w:adjustRightInd w:val="0"/>
              <w:jc w:val="center"/>
              <w:rPr>
                <w:rFonts w:eastAsia="TimesNewRoman"/>
                <w:szCs w:val="22"/>
                <w:lang w:val="sr-Latn-ME"/>
              </w:rPr>
            </w:pPr>
            <w:proofErr w:type="spellStart"/>
            <w:r w:rsidRPr="0045764A">
              <w:rPr>
                <w:b/>
                <w:bCs/>
                <w:szCs w:val="22"/>
                <w:lang w:val="sr-Latn-ME"/>
              </w:rPr>
              <w:t>Aksitinib</w:t>
            </w:r>
            <w:proofErr w:type="spellEnd"/>
          </w:p>
        </w:tc>
        <w:tc>
          <w:tcPr>
            <w:tcW w:w="1701" w:type="dxa"/>
          </w:tcPr>
          <w:p w14:paraId="79000155" w14:textId="6ED17DC2" w:rsidR="00BD00F8" w:rsidRPr="0045764A" w:rsidRDefault="004F18D4" w:rsidP="001445B8">
            <w:pPr>
              <w:tabs>
                <w:tab w:val="clear" w:pos="284"/>
              </w:tabs>
              <w:autoSpaceDE w:val="0"/>
              <w:autoSpaceDN w:val="0"/>
              <w:adjustRightInd w:val="0"/>
              <w:jc w:val="center"/>
              <w:rPr>
                <w:rFonts w:eastAsia="TimesNewRoman"/>
                <w:szCs w:val="22"/>
                <w:lang w:val="sr-Latn-ME"/>
              </w:rPr>
            </w:pPr>
            <w:proofErr w:type="spellStart"/>
            <w:r w:rsidRPr="0045764A">
              <w:rPr>
                <w:b/>
                <w:bCs/>
                <w:szCs w:val="22"/>
                <w:lang w:val="sr-Latn-ME"/>
              </w:rPr>
              <w:t>Sorafenib</w:t>
            </w:r>
            <w:proofErr w:type="spellEnd"/>
          </w:p>
        </w:tc>
        <w:tc>
          <w:tcPr>
            <w:tcW w:w="1843" w:type="dxa"/>
          </w:tcPr>
          <w:p w14:paraId="10402493" w14:textId="56E854CB" w:rsidR="00BD00F8" w:rsidRPr="0045764A" w:rsidRDefault="002C7403" w:rsidP="001445B8">
            <w:pPr>
              <w:tabs>
                <w:tab w:val="clear" w:pos="284"/>
              </w:tabs>
              <w:autoSpaceDE w:val="0"/>
              <w:autoSpaceDN w:val="0"/>
              <w:adjustRightInd w:val="0"/>
              <w:jc w:val="center"/>
              <w:rPr>
                <w:rFonts w:eastAsia="TimesNewRoman"/>
                <w:szCs w:val="22"/>
                <w:lang w:val="sr-Latn-ME"/>
              </w:rPr>
            </w:pPr>
            <w:r w:rsidRPr="0045764A">
              <w:rPr>
                <w:b/>
                <w:bCs/>
                <w:szCs w:val="22"/>
                <w:lang w:val="sr-Latn-ME"/>
              </w:rPr>
              <w:t>HR (95% CI)</w:t>
            </w:r>
          </w:p>
        </w:tc>
        <w:tc>
          <w:tcPr>
            <w:tcW w:w="1367" w:type="dxa"/>
          </w:tcPr>
          <w:p w14:paraId="07C7D746" w14:textId="66D3BAED" w:rsidR="00BD00F8" w:rsidRPr="0045764A" w:rsidRDefault="002C7403" w:rsidP="001445B8">
            <w:pPr>
              <w:tabs>
                <w:tab w:val="clear" w:pos="284"/>
              </w:tabs>
              <w:autoSpaceDE w:val="0"/>
              <w:autoSpaceDN w:val="0"/>
              <w:adjustRightInd w:val="0"/>
              <w:jc w:val="center"/>
              <w:rPr>
                <w:rFonts w:eastAsia="TimesNewRoman"/>
                <w:szCs w:val="22"/>
                <w:lang w:val="sr-Latn-ME"/>
              </w:rPr>
            </w:pPr>
            <w:r w:rsidRPr="0045764A">
              <w:rPr>
                <w:b/>
                <w:bCs/>
                <w:szCs w:val="22"/>
                <w:lang w:val="sr-Latn-ME"/>
              </w:rPr>
              <w:t>p-</w:t>
            </w:r>
            <w:r w:rsidR="008E2492" w:rsidRPr="0045764A">
              <w:rPr>
                <w:b/>
                <w:bCs/>
                <w:szCs w:val="22"/>
                <w:lang w:val="sr-Latn-ME"/>
              </w:rPr>
              <w:t>vrijednost</w:t>
            </w:r>
          </w:p>
        </w:tc>
      </w:tr>
      <w:tr w:rsidR="00070D0B" w:rsidRPr="0045764A" w14:paraId="76873C3F" w14:textId="77777777" w:rsidTr="001445B8">
        <w:tc>
          <w:tcPr>
            <w:tcW w:w="2405" w:type="dxa"/>
          </w:tcPr>
          <w:p w14:paraId="731F6C49" w14:textId="25D9F854" w:rsidR="00BD00F8" w:rsidRPr="0045764A" w:rsidRDefault="00266022" w:rsidP="001445B8">
            <w:pPr>
              <w:tabs>
                <w:tab w:val="clear" w:pos="284"/>
              </w:tabs>
              <w:autoSpaceDE w:val="0"/>
              <w:autoSpaceDN w:val="0"/>
              <w:adjustRightInd w:val="0"/>
              <w:ind w:left="-57" w:right="-64"/>
              <w:jc w:val="left"/>
              <w:rPr>
                <w:rFonts w:eastAsia="TimesNewRoman"/>
                <w:szCs w:val="22"/>
                <w:lang w:val="sr-Latn-ME"/>
              </w:rPr>
            </w:pPr>
            <w:r w:rsidRPr="0045764A">
              <w:rPr>
                <w:b/>
                <w:bCs/>
                <w:szCs w:val="22"/>
                <w:lang w:val="sr-Latn-ME"/>
              </w:rPr>
              <w:t>Ukupna ITT</w:t>
            </w:r>
            <w:r w:rsidR="00070D0B" w:rsidRPr="0045764A">
              <w:rPr>
                <w:b/>
                <w:bCs/>
                <w:szCs w:val="22"/>
                <w:lang w:val="sr-Latn-ME"/>
              </w:rPr>
              <w:t xml:space="preserve"> </w:t>
            </w:r>
            <w:r w:rsidRPr="0045764A">
              <w:rPr>
                <w:b/>
                <w:bCs/>
                <w:szCs w:val="22"/>
                <w:lang w:val="sr-Latn-ME"/>
              </w:rPr>
              <w:t>populacija</w:t>
            </w:r>
          </w:p>
        </w:tc>
        <w:tc>
          <w:tcPr>
            <w:tcW w:w="1701" w:type="dxa"/>
            <w:vAlign w:val="center"/>
          </w:tcPr>
          <w:p w14:paraId="178A24B5" w14:textId="3C900917" w:rsidR="00BD00F8" w:rsidRPr="0045764A" w:rsidRDefault="00AE4535" w:rsidP="001445B8">
            <w:pPr>
              <w:tabs>
                <w:tab w:val="clear" w:pos="284"/>
              </w:tabs>
              <w:autoSpaceDE w:val="0"/>
              <w:autoSpaceDN w:val="0"/>
              <w:adjustRightInd w:val="0"/>
              <w:jc w:val="center"/>
              <w:rPr>
                <w:rFonts w:eastAsia="TimesNewRoman"/>
                <w:szCs w:val="22"/>
                <w:lang w:val="sr-Latn-ME"/>
              </w:rPr>
            </w:pPr>
            <w:r w:rsidRPr="0045764A">
              <w:rPr>
                <w:b/>
                <w:bCs/>
                <w:szCs w:val="22"/>
                <w:lang w:val="sr-Latn-ME"/>
              </w:rPr>
              <w:t>N=361</w:t>
            </w:r>
          </w:p>
        </w:tc>
        <w:tc>
          <w:tcPr>
            <w:tcW w:w="1701" w:type="dxa"/>
            <w:vAlign w:val="center"/>
          </w:tcPr>
          <w:p w14:paraId="29AEF4B8" w14:textId="3394C88C" w:rsidR="00BD00F8" w:rsidRPr="0045764A" w:rsidRDefault="00AE4535" w:rsidP="001445B8">
            <w:pPr>
              <w:tabs>
                <w:tab w:val="clear" w:pos="284"/>
              </w:tabs>
              <w:autoSpaceDE w:val="0"/>
              <w:autoSpaceDN w:val="0"/>
              <w:adjustRightInd w:val="0"/>
              <w:jc w:val="center"/>
              <w:rPr>
                <w:rFonts w:eastAsia="TimesNewRoman"/>
                <w:szCs w:val="22"/>
                <w:lang w:val="sr-Latn-ME"/>
              </w:rPr>
            </w:pPr>
            <w:r w:rsidRPr="0045764A">
              <w:rPr>
                <w:b/>
                <w:bCs/>
                <w:szCs w:val="22"/>
                <w:lang w:val="sr-Latn-ME"/>
              </w:rPr>
              <w:t>N=362</w:t>
            </w:r>
          </w:p>
        </w:tc>
        <w:tc>
          <w:tcPr>
            <w:tcW w:w="1843" w:type="dxa"/>
            <w:vAlign w:val="center"/>
          </w:tcPr>
          <w:p w14:paraId="37EEFCD4" w14:textId="77777777" w:rsidR="00BD00F8" w:rsidRPr="0045764A" w:rsidRDefault="00BD00F8" w:rsidP="001445B8">
            <w:pPr>
              <w:tabs>
                <w:tab w:val="clear" w:pos="284"/>
              </w:tabs>
              <w:autoSpaceDE w:val="0"/>
              <w:autoSpaceDN w:val="0"/>
              <w:adjustRightInd w:val="0"/>
              <w:jc w:val="center"/>
              <w:rPr>
                <w:rFonts w:eastAsia="TimesNewRoman"/>
                <w:szCs w:val="22"/>
                <w:lang w:val="sr-Latn-ME"/>
              </w:rPr>
            </w:pPr>
          </w:p>
        </w:tc>
        <w:tc>
          <w:tcPr>
            <w:tcW w:w="1367" w:type="dxa"/>
            <w:vAlign w:val="center"/>
          </w:tcPr>
          <w:p w14:paraId="66661D84" w14:textId="77777777" w:rsidR="00BD00F8" w:rsidRPr="0045764A" w:rsidRDefault="00BD00F8" w:rsidP="001445B8">
            <w:pPr>
              <w:tabs>
                <w:tab w:val="clear" w:pos="284"/>
              </w:tabs>
              <w:autoSpaceDE w:val="0"/>
              <w:autoSpaceDN w:val="0"/>
              <w:adjustRightInd w:val="0"/>
              <w:jc w:val="center"/>
              <w:rPr>
                <w:rFonts w:eastAsia="TimesNewRoman"/>
                <w:szCs w:val="22"/>
                <w:lang w:val="sr-Latn-ME"/>
              </w:rPr>
            </w:pPr>
          </w:p>
        </w:tc>
      </w:tr>
      <w:tr w:rsidR="00070D0B" w:rsidRPr="0045764A" w14:paraId="7A52B535" w14:textId="77777777" w:rsidTr="001445B8">
        <w:tc>
          <w:tcPr>
            <w:tcW w:w="2405" w:type="dxa"/>
          </w:tcPr>
          <w:p w14:paraId="3D1F4149" w14:textId="7187983D" w:rsidR="00BD00F8" w:rsidRPr="0045764A" w:rsidRDefault="007B569E" w:rsidP="001445B8">
            <w:pPr>
              <w:tabs>
                <w:tab w:val="clear" w:pos="284"/>
              </w:tabs>
              <w:autoSpaceDE w:val="0"/>
              <w:autoSpaceDN w:val="0"/>
              <w:adjustRightInd w:val="0"/>
              <w:ind w:left="-57"/>
              <w:jc w:val="left"/>
              <w:rPr>
                <w:rFonts w:eastAsia="TimesNewRoman"/>
                <w:szCs w:val="22"/>
                <w:lang w:val="sr-Latn-ME"/>
              </w:rPr>
            </w:pPr>
            <w:proofErr w:type="spellStart"/>
            <w:r w:rsidRPr="0045764A">
              <w:rPr>
                <w:rFonts w:eastAsia="TimesNewRoman"/>
                <w:szCs w:val="22"/>
                <w:lang w:val="sr-Latn-ME"/>
              </w:rPr>
              <w:t>Medijana</w:t>
            </w:r>
            <w:proofErr w:type="spellEnd"/>
            <w:r w:rsidRPr="0045764A">
              <w:rPr>
                <w:rFonts w:eastAsia="TimesNewRoman"/>
                <w:szCs w:val="22"/>
                <w:lang w:val="sr-Latn-ME"/>
              </w:rPr>
              <w:t xml:space="preserve"> PFS</w:t>
            </w:r>
            <w:r w:rsidR="00E90CB9" w:rsidRPr="0045764A">
              <w:rPr>
                <w:rFonts w:eastAsia="TimesNewRoman"/>
                <w:szCs w:val="22"/>
                <w:lang w:val="sr-Latn-ME"/>
              </w:rPr>
              <w:t xml:space="preserve"> </w:t>
            </w:r>
            <w:proofErr w:type="spellStart"/>
            <w:r w:rsidRPr="0045764A">
              <w:rPr>
                <w:rFonts w:eastAsia="TimesNewRoman"/>
                <w:szCs w:val="22"/>
                <w:vertAlign w:val="superscript"/>
                <w:lang w:val="sr-Latn-ME"/>
              </w:rPr>
              <w:t>a,b</w:t>
            </w:r>
            <w:proofErr w:type="spellEnd"/>
            <w:r w:rsidRPr="0045764A">
              <w:rPr>
                <w:rFonts w:eastAsia="TimesNewRoman"/>
                <w:szCs w:val="22"/>
                <w:lang w:val="sr-Latn-ME"/>
              </w:rPr>
              <w:t xml:space="preserve"> u m</w:t>
            </w:r>
            <w:r w:rsidR="006B111D" w:rsidRPr="0045764A">
              <w:rPr>
                <w:rFonts w:eastAsia="TimesNewRoman"/>
                <w:szCs w:val="22"/>
                <w:lang w:val="sr-Latn-ME"/>
              </w:rPr>
              <w:t>j</w:t>
            </w:r>
            <w:r w:rsidRPr="0045764A">
              <w:rPr>
                <w:rFonts w:eastAsia="TimesNewRoman"/>
                <w:szCs w:val="22"/>
                <w:lang w:val="sr-Latn-ME"/>
              </w:rPr>
              <w:t>esecima</w:t>
            </w:r>
            <w:r w:rsidR="00070D0B" w:rsidRPr="0045764A">
              <w:rPr>
                <w:rFonts w:eastAsia="TimesNewRoman"/>
                <w:szCs w:val="22"/>
                <w:lang w:val="sr-Latn-ME"/>
              </w:rPr>
              <w:t xml:space="preserve"> </w:t>
            </w:r>
            <w:r w:rsidRPr="0045764A">
              <w:rPr>
                <w:rFonts w:eastAsia="TimesNewRoman"/>
                <w:szCs w:val="22"/>
                <w:lang w:val="sr-Latn-ME"/>
              </w:rPr>
              <w:t>(95% CI)</w:t>
            </w:r>
          </w:p>
        </w:tc>
        <w:tc>
          <w:tcPr>
            <w:tcW w:w="1701" w:type="dxa"/>
            <w:vAlign w:val="center"/>
          </w:tcPr>
          <w:p w14:paraId="731865DB" w14:textId="14983319" w:rsidR="00BD00F8" w:rsidRPr="0045764A" w:rsidRDefault="001C6C7C" w:rsidP="001445B8">
            <w:pPr>
              <w:tabs>
                <w:tab w:val="clear" w:pos="284"/>
              </w:tabs>
              <w:autoSpaceDE w:val="0"/>
              <w:autoSpaceDN w:val="0"/>
              <w:adjustRightInd w:val="0"/>
              <w:jc w:val="center"/>
              <w:rPr>
                <w:rFonts w:eastAsia="TimesNewRoman"/>
                <w:szCs w:val="22"/>
                <w:lang w:val="sr-Latn-ME"/>
              </w:rPr>
            </w:pPr>
            <w:r w:rsidRPr="0045764A">
              <w:rPr>
                <w:rFonts w:eastAsia="TimesNewRoman"/>
                <w:szCs w:val="22"/>
                <w:lang w:val="sr-Latn-ME"/>
              </w:rPr>
              <w:t>6,8 (6,4; 8,3)</w:t>
            </w:r>
          </w:p>
        </w:tc>
        <w:tc>
          <w:tcPr>
            <w:tcW w:w="1701" w:type="dxa"/>
            <w:vAlign w:val="center"/>
          </w:tcPr>
          <w:p w14:paraId="0A0888AF" w14:textId="7CE79AF5" w:rsidR="00BD00F8" w:rsidRPr="0045764A" w:rsidRDefault="00DE749D" w:rsidP="001445B8">
            <w:pPr>
              <w:tabs>
                <w:tab w:val="clear" w:pos="284"/>
              </w:tabs>
              <w:autoSpaceDE w:val="0"/>
              <w:autoSpaceDN w:val="0"/>
              <w:adjustRightInd w:val="0"/>
              <w:jc w:val="center"/>
              <w:rPr>
                <w:rFonts w:eastAsia="TimesNewRoman"/>
                <w:szCs w:val="22"/>
                <w:lang w:val="sr-Latn-ME"/>
              </w:rPr>
            </w:pPr>
            <w:r w:rsidRPr="0045764A">
              <w:rPr>
                <w:rFonts w:eastAsia="TimesNewRoman"/>
                <w:szCs w:val="22"/>
                <w:lang w:val="sr-Latn-ME"/>
              </w:rPr>
              <w:t>4,7 (4,6; 6,3)</w:t>
            </w:r>
          </w:p>
        </w:tc>
        <w:tc>
          <w:tcPr>
            <w:tcW w:w="1843" w:type="dxa"/>
            <w:vAlign w:val="center"/>
          </w:tcPr>
          <w:p w14:paraId="04705A73" w14:textId="4BA9480F" w:rsidR="00BD00F8" w:rsidRPr="0045764A" w:rsidRDefault="00DE749D" w:rsidP="001445B8">
            <w:pPr>
              <w:tabs>
                <w:tab w:val="clear" w:pos="284"/>
              </w:tabs>
              <w:autoSpaceDE w:val="0"/>
              <w:autoSpaceDN w:val="0"/>
              <w:adjustRightInd w:val="0"/>
              <w:jc w:val="center"/>
              <w:rPr>
                <w:rFonts w:eastAsia="TimesNewRoman"/>
                <w:szCs w:val="22"/>
                <w:lang w:val="sr-Latn-ME"/>
              </w:rPr>
            </w:pPr>
            <w:r w:rsidRPr="0045764A">
              <w:rPr>
                <w:rFonts w:eastAsia="TimesNewRoman"/>
                <w:szCs w:val="22"/>
                <w:lang w:val="sr-Latn-ME"/>
              </w:rPr>
              <w:t>0,67 (0,56; 0,81)</w:t>
            </w:r>
          </w:p>
        </w:tc>
        <w:tc>
          <w:tcPr>
            <w:tcW w:w="1367" w:type="dxa"/>
            <w:vAlign w:val="center"/>
          </w:tcPr>
          <w:p w14:paraId="654A9C15" w14:textId="5789560B" w:rsidR="00BD00F8" w:rsidRPr="0045764A" w:rsidRDefault="00425518" w:rsidP="001445B8">
            <w:pPr>
              <w:tabs>
                <w:tab w:val="clear" w:pos="284"/>
              </w:tabs>
              <w:autoSpaceDE w:val="0"/>
              <w:autoSpaceDN w:val="0"/>
              <w:adjustRightInd w:val="0"/>
              <w:jc w:val="center"/>
              <w:rPr>
                <w:rFonts w:eastAsia="TimesNewRoman"/>
                <w:szCs w:val="22"/>
                <w:lang w:val="sr-Latn-ME"/>
              </w:rPr>
            </w:pPr>
            <w:r w:rsidRPr="0045764A">
              <w:rPr>
                <w:rFonts w:eastAsia="TimesNewRoman"/>
                <w:szCs w:val="22"/>
                <w:lang w:val="sr-Latn-ME"/>
              </w:rPr>
              <w:t>&lt; 0,0001</w:t>
            </w:r>
            <w:r w:rsidRPr="0045764A">
              <w:rPr>
                <w:rFonts w:eastAsia="TimesNewRoman"/>
                <w:szCs w:val="22"/>
                <w:vertAlign w:val="superscript"/>
                <w:lang w:val="sr-Latn-ME"/>
              </w:rPr>
              <w:t>c</w:t>
            </w:r>
          </w:p>
        </w:tc>
      </w:tr>
      <w:tr w:rsidR="00070D0B" w:rsidRPr="0045764A" w14:paraId="7F1BBAE9" w14:textId="77777777" w:rsidTr="001445B8">
        <w:tc>
          <w:tcPr>
            <w:tcW w:w="2405" w:type="dxa"/>
          </w:tcPr>
          <w:p w14:paraId="51FE9B74" w14:textId="5DB8869B" w:rsidR="00BD00F8" w:rsidRPr="0045764A" w:rsidRDefault="00DC0C26" w:rsidP="001445B8">
            <w:pPr>
              <w:tabs>
                <w:tab w:val="clear" w:pos="284"/>
              </w:tabs>
              <w:autoSpaceDE w:val="0"/>
              <w:autoSpaceDN w:val="0"/>
              <w:adjustRightInd w:val="0"/>
              <w:ind w:left="-57"/>
              <w:jc w:val="left"/>
              <w:rPr>
                <w:rFonts w:eastAsia="TimesNewRoman"/>
                <w:szCs w:val="22"/>
                <w:lang w:val="sr-Latn-ME"/>
              </w:rPr>
            </w:pPr>
            <w:proofErr w:type="spellStart"/>
            <w:r w:rsidRPr="0045764A">
              <w:rPr>
                <w:rFonts w:eastAsia="TimesNewRoman"/>
                <w:szCs w:val="22"/>
                <w:lang w:val="sr-Latn-ME"/>
              </w:rPr>
              <w:t>Medijana</w:t>
            </w:r>
            <w:proofErr w:type="spellEnd"/>
            <w:r w:rsidRPr="0045764A">
              <w:rPr>
                <w:rFonts w:eastAsia="TimesNewRoman"/>
                <w:szCs w:val="22"/>
                <w:lang w:val="sr-Latn-ME"/>
              </w:rPr>
              <w:t xml:space="preserve"> OS</w:t>
            </w:r>
            <w:r w:rsidR="00E90CB9" w:rsidRPr="0045764A">
              <w:rPr>
                <w:rFonts w:eastAsia="TimesNewRoman"/>
                <w:szCs w:val="22"/>
                <w:lang w:val="sr-Latn-ME"/>
              </w:rPr>
              <w:t xml:space="preserve"> </w:t>
            </w:r>
            <w:r w:rsidRPr="0045764A">
              <w:rPr>
                <w:rFonts w:eastAsia="TimesNewRoman"/>
                <w:szCs w:val="22"/>
                <w:vertAlign w:val="superscript"/>
                <w:lang w:val="sr-Latn-ME"/>
              </w:rPr>
              <w:t>d</w:t>
            </w:r>
            <w:r w:rsidRPr="0045764A">
              <w:rPr>
                <w:rFonts w:eastAsia="TimesNewRoman"/>
                <w:szCs w:val="22"/>
                <w:lang w:val="sr-Latn-ME"/>
              </w:rPr>
              <w:t xml:space="preserve"> u m</w:t>
            </w:r>
            <w:r w:rsidR="006B111D" w:rsidRPr="0045764A">
              <w:rPr>
                <w:rFonts w:eastAsia="TimesNewRoman"/>
                <w:szCs w:val="22"/>
                <w:lang w:val="sr-Latn-ME"/>
              </w:rPr>
              <w:t>j</w:t>
            </w:r>
            <w:r w:rsidRPr="0045764A">
              <w:rPr>
                <w:rFonts w:eastAsia="TimesNewRoman"/>
                <w:szCs w:val="22"/>
                <w:lang w:val="sr-Latn-ME"/>
              </w:rPr>
              <w:t>esecima</w:t>
            </w:r>
            <w:r w:rsidR="00070D0B" w:rsidRPr="0045764A">
              <w:rPr>
                <w:rFonts w:eastAsia="TimesNewRoman"/>
                <w:szCs w:val="22"/>
                <w:lang w:val="sr-Latn-ME"/>
              </w:rPr>
              <w:t xml:space="preserve"> </w:t>
            </w:r>
            <w:r w:rsidRPr="0045764A">
              <w:rPr>
                <w:rFonts w:eastAsia="TimesNewRoman"/>
                <w:szCs w:val="22"/>
                <w:lang w:val="sr-Latn-ME"/>
              </w:rPr>
              <w:t>(95% CI)</w:t>
            </w:r>
          </w:p>
        </w:tc>
        <w:tc>
          <w:tcPr>
            <w:tcW w:w="1701" w:type="dxa"/>
            <w:vAlign w:val="center"/>
          </w:tcPr>
          <w:p w14:paraId="2F9E8BE1" w14:textId="67DD3C44" w:rsidR="00BD00F8" w:rsidRPr="0045764A" w:rsidRDefault="00D3412A" w:rsidP="001445B8">
            <w:pPr>
              <w:tabs>
                <w:tab w:val="clear" w:pos="284"/>
              </w:tabs>
              <w:autoSpaceDE w:val="0"/>
              <w:autoSpaceDN w:val="0"/>
              <w:adjustRightInd w:val="0"/>
              <w:jc w:val="center"/>
              <w:rPr>
                <w:rFonts w:eastAsia="TimesNewRoman"/>
                <w:szCs w:val="22"/>
                <w:lang w:val="sr-Latn-ME"/>
              </w:rPr>
            </w:pPr>
            <w:r w:rsidRPr="0045764A">
              <w:rPr>
                <w:rFonts w:eastAsia="TimesNewRoman"/>
                <w:szCs w:val="22"/>
                <w:lang w:val="sr-Latn-ME"/>
              </w:rPr>
              <w:t>20,1 (16,7; 23,4)</w:t>
            </w:r>
          </w:p>
        </w:tc>
        <w:tc>
          <w:tcPr>
            <w:tcW w:w="1701" w:type="dxa"/>
            <w:vAlign w:val="center"/>
          </w:tcPr>
          <w:p w14:paraId="70690F4D" w14:textId="07F8562E" w:rsidR="00BD00F8" w:rsidRPr="0045764A" w:rsidRDefault="00D3412A" w:rsidP="001445B8">
            <w:pPr>
              <w:tabs>
                <w:tab w:val="clear" w:pos="284"/>
              </w:tabs>
              <w:autoSpaceDE w:val="0"/>
              <w:autoSpaceDN w:val="0"/>
              <w:adjustRightInd w:val="0"/>
              <w:jc w:val="center"/>
              <w:rPr>
                <w:rFonts w:eastAsia="TimesNewRoman"/>
                <w:szCs w:val="22"/>
                <w:lang w:val="sr-Latn-ME"/>
              </w:rPr>
            </w:pPr>
            <w:r w:rsidRPr="0045764A">
              <w:rPr>
                <w:rFonts w:eastAsia="TimesNewRoman"/>
                <w:szCs w:val="22"/>
                <w:lang w:val="sr-Latn-ME"/>
              </w:rPr>
              <w:t>19,2 (17,5; 22,3)</w:t>
            </w:r>
          </w:p>
        </w:tc>
        <w:tc>
          <w:tcPr>
            <w:tcW w:w="1843" w:type="dxa"/>
            <w:vAlign w:val="center"/>
          </w:tcPr>
          <w:p w14:paraId="097CF1A4" w14:textId="1950315F" w:rsidR="00BD00F8" w:rsidRPr="0045764A" w:rsidRDefault="001E3A26" w:rsidP="001445B8">
            <w:pPr>
              <w:tabs>
                <w:tab w:val="clear" w:pos="284"/>
              </w:tabs>
              <w:autoSpaceDE w:val="0"/>
              <w:autoSpaceDN w:val="0"/>
              <w:adjustRightInd w:val="0"/>
              <w:jc w:val="center"/>
              <w:rPr>
                <w:rFonts w:eastAsia="TimesNewRoman"/>
                <w:szCs w:val="22"/>
                <w:lang w:val="sr-Latn-ME"/>
              </w:rPr>
            </w:pPr>
            <w:r w:rsidRPr="0045764A">
              <w:rPr>
                <w:rFonts w:eastAsia="TimesNewRoman"/>
                <w:szCs w:val="22"/>
                <w:lang w:val="sr-Latn-ME"/>
              </w:rPr>
              <w:t>0,97 (0,80; 1,17)</w:t>
            </w:r>
          </w:p>
        </w:tc>
        <w:tc>
          <w:tcPr>
            <w:tcW w:w="1367" w:type="dxa"/>
            <w:vAlign w:val="center"/>
          </w:tcPr>
          <w:p w14:paraId="194ECD03" w14:textId="2C74C8E0" w:rsidR="00BD00F8" w:rsidRPr="0045764A" w:rsidRDefault="005D3599" w:rsidP="001445B8">
            <w:pPr>
              <w:tabs>
                <w:tab w:val="clear" w:pos="284"/>
              </w:tabs>
              <w:autoSpaceDE w:val="0"/>
              <w:autoSpaceDN w:val="0"/>
              <w:adjustRightInd w:val="0"/>
              <w:jc w:val="center"/>
              <w:rPr>
                <w:rFonts w:eastAsia="TimesNewRoman"/>
                <w:szCs w:val="22"/>
                <w:lang w:val="sr-Latn-ME"/>
              </w:rPr>
            </w:pPr>
            <w:r w:rsidRPr="0045764A">
              <w:rPr>
                <w:rFonts w:eastAsia="TimesNewRoman"/>
                <w:szCs w:val="22"/>
                <w:lang w:val="sr-Latn-ME"/>
              </w:rPr>
              <w:t>NS</w:t>
            </w:r>
          </w:p>
        </w:tc>
      </w:tr>
      <w:tr w:rsidR="00070D0B" w:rsidRPr="0045764A" w14:paraId="7CB73D26" w14:textId="77777777" w:rsidTr="001445B8">
        <w:tc>
          <w:tcPr>
            <w:tcW w:w="2405" w:type="dxa"/>
          </w:tcPr>
          <w:p w14:paraId="65DE8024" w14:textId="4D2C02C9" w:rsidR="00BD00F8" w:rsidRPr="0045764A" w:rsidRDefault="004D2E36" w:rsidP="001445B8">
            <w:pPr>
              <w:tabs>
                <w:tab w:val="clear" w:pos="284"/>
              </w:tabs>
              <w:autoSpaceDE w:val="0"/>
              <w:autoSpaceDN w:val="0"/>
              <w:adjustRightInd w:val="0"/>
              <w:ind w:left="-57"/>
              <w:jc w:val="left"/>
              <w:rPr>
                <w:rFonts w:eastAsia="TimesNewRoman"/>
                <w:szCs w:val="22"/>
                <w:lang w:val="sr-Latn-ME"/>
              </w:rPr>
            </w:pPr>
            <w:r w:rsidRPr="0045764A">
              <w:rPr>
                <w:rFonts w:eastAsia="TimesNewRoman"/>
                <w:szCs w:val="22"/>
                <w:lang w:val="sr-Latn-ME"/>
              </w:rPr>
              <w:t>ORR</w:t>
            </w:r>
            <w:r w:rsidR="00DC6CE0" w:rsidRPr="0045764A">
              <w:rPr>
                <w:rFonts w:eastAsia="TimesNewRoman"/>
                <w:szCs w:val="22"/>
                <w:lang w:val="sr-Latn-ME"/>
              </w:rPr>
              <w:t xml:space="preserve"> </w:t>
            </w:r>
            <w:proofErr w:type="spellStart"/>
            <w:r w:rsidRPr="0045764A">
              <w:rPr>
                <w:rFonts w:eastAsia="TimesNewRoman"/>
                <w:szCs w:val="22"/>
                <w:vertAlign w:val="superscript"/>
                <w:lang w:val="sr-Latn-ME"/>
              </w:rPr>
              <w:t>b,e</w:t>
            </w:r>
            <w:proofErr w:type="spellEnd"/>
            <w:r w:rsidRPr="0045764A">
              <w:rPr>
                <w:rFonts w:eastAsia="TimesNewRoman"/>
                <w:szCs w:val="22"/>
                <w:lang w:val="sr-Latn-ME"/>
              </w:rPr>
              <w:t xml:space="preserve"> % (95% CI)</w:t>
            </w:r>
          </w:p>
        </w:tc>
        <w:tc>
          <w:tcPr>
            <w:tcW w:w="1701" w:type="dxa"/>
            <w:vAlign w:val="center"/>
          </w:tcPr>
          <w:p w14:paraId="23E6DCE4" w14:textId="1619C783" w:rsidR="00BD00F8" w:rsidRPr="0045764A" w:rsidRDefault="005D3599" w:rsidP="001445B8">
            <w:pPr>
              <w:tabs>
                <w:tab w:val="clear" w:pos="284"/>
              </w:tabs>
              <w:autoSpaceDE w:val="0"/>
              <w:autoSpaceDN w:val="0"/>
              <w:adjustRightInd w:val="0"/>
              <w:jc w:val="center"/>
              <w:rPr>
                <w:rFonts w:eastAsia="TimesNewRoman"/>
                <w:szCs w:val="22"/>
                <w:lang w:val="sr-Latn-ME"/>
              </w:rPr>
            </w:pPr>
            <w:r w:rsidRPr="0045764A">
              <w:rPr>
                <w:rFonts w:eastAsia="TimesNewRoman"/>
                <w:szCs w:val="22"/>
                <w:lang w:val="sr-Latn-ME"/>
              </w:rPr>
              <w:t>19,4 (15,4; 23,9)</w:t>
            </w:r>
          </w:p>
        </w:tc>
        <w:tc>
          <w:tcPr>
            <w:tcW w:w="1701" w:type="dxa"/>
            <w:vAlign w:val="center"/>
          </w:tcPr>
          <w:p w14:paraId="6AB4DB4F" w14:textId="71680741" w:rsidR="00BD00F8" w:rsidRPr="0045764A" w:rsidRDefault="009E1850" w:rsidP="001445B8">
            <w:pPr>
              <w:tabs>
                <w:tab w:val="clear" w:pos="284"/>
              </w:tabs>
              <w:autoSpaceDE w:val="0"/>
              <w:autoSpaceDN w:val="0"/>
              <w:adjustRightInd w:val="0"/>
              <w:jc w:val="center"/>
              <w:rPr>
                <w:rFonts w:eastAsia="TimesNewRoman"/>
                <w:szCs w:val="22"/>
                <w:lang w:val="sr-Latn-ME"/>
              </w:rPr>
            </w:pPr>
            <w:r w:rsidRPr="0045764A">
              <w:rPr>
                <w:rFonts w:eastAsia="TimesNewRoman"/>
                <w:szCs w:val="22"/>
                <w:lang w:val="sr-Latn-ME"/>
              </w:rPr>
              <w:t>9,4 (6,6; 12,9)</w:t>
            </w:r>
          </w:p>
        </w:tc>
        <w:tc>
          <w:tcPr>
            <w:tcW w:w="1843" w:type="dxa"/>
            <w:vAlign w:val="center"/>
          </w:tcPr>
          <w:p w14:paraId="374E66A7" w14:textId="42C45CBE" w:rsidR="00BD00F8" w:rsidRPr="0045764A" w:rsidRDefault="009E1850" w:rsidP="001445B8">
            <w:pPr>
              <w:tabs>
                <w:tab w:val="clear" w:pos="284"/>
              </w:tabs>
              <w:autoSpaceDE w:val="0"/>
              <w:autoSpaceDN w:val="0"/>
              <w:adjustRightInd w:val="0"/>
              <w:jc w:val="center"/>
              <w:rPr>
                <w:rFonts w:eastAsia="TimesNewRoman"/>
                <w:szCs w:val="22"/>
                <w:lang w:val="sr-Latn-ME"/>
              </w:rPr>
            </w:pPr>
            <w:r w:rsidRPr="0045764A">
              <w:rPr>
                <w:rFonts w:eastAsia="TimesNewRoman"/>
                <w:szCs w:val="22"/>
                <w:lang w:val="sr-Latn-ME"/>
              </w:rPr>
              <w:t>2,06</w:t>
            </w:r>
            <w:r w:rsidRPr="0045764A">
              <w:rPr>
                <w:rFonts w:eastAsia="TimesNewRoman"/>
                <w:szCs w:val="22"/>
                <w:vertAlign w:val="superscript"/>
                <w:lang w:val="sr-Latn-ME"/>
              </w:rPr>
              <w:t>f</w:t>
            </w:r>
            <w:r w:rsidRPr="0045764A">
              <w:rPr>
                <w:rFonts w:eastAsia="TimesNewRoman"/>
                <w:szCs w:val="22"/>
                <w:lang w:val="sr-Latn-ME"/>
              </w:rPr>
              <w:t xml:space="preserve"> (1,41; 3,00)</w:t>
            </w:r>
          </w:p>
        </w:tc>
        <w:tc>
          <w:tcPr>
            <w:tcW w:w="1367" w:type="dxa"/>
            <w:vAlign w:val="center"/>
          </w:tcPr>
          <w:p w14:paraId="55C4DF4C" w14:textId="36F47FA7" w:rsidR="00BD00F8" w:rsidRPr="0045764A" w:rsidRDefault="00406DF4" w:rsidP="001445B8">
            <w:pPr>
              <w:tabs>
                <w:tab w:val="clear" w:pos="284"/>
              </w:tabs>
              <w:autoSpaceDE w:val="0"/>
              <w:autoSpaceDN w:val="0"/>
              <w:adjustRightInd w:val="0"/>
              <w:jc w:val="center"/>
              <w:rPr>
                <w:rFonts w:eastAsia="TimesNewRoman"/>
                <w:szCs w:val="22"/>
                <w:lang w:val="sr-Latn-ME"/>
              </w:rPr>
            </w:pPr>
            <w:r w:rsidRPr="0045764A">
              <w:rPr>
                <w:rFonts w:eastAsia="TimesNewRoman"/>
                <w:szCs w:val="22"/>
                <w:lang w:val="sr-Latn-ME"/>
              </w:rPr>
              <w:t>0,0001</w:t>
            </w:r>
            <w:r w:rsidRPr="0045764A">
              <w:rPr>
                <w:rFonts w:eastAsia="TimesNewRoman"/>
                <w:szCs w:val="22"/>
                <w:vertAlign w:val="superscript"/>
                <w:lang w:val="sr-Latn-ME"/>
              </w:rPr>
              <w:t>g</w:t>
            </w:r>
          </w:p>
        </w:tc>
      </w:tr>
      <w:tr w:rsidR="00070D0B" w:rsidRPr="0045764A" w14:paraId="3EFE0080" w14:textId="77777777" w:rsidTr="001445B8">
        <w:tc>
          <w:tcPr>
            <w:tcW w:w="2405" w:type="dxa"/>
          </w:tcPr>
          <w:p w14:paraId="05332C67" w14:textId="77777777" w:rsidR="004D2E36" w:rsidRPr="0045764A" w:rsidRDefault="004D2E36" w:rsidP="001445B8">
            <w:pPr>
              <w:tabs>
                <w:tab w:val="clear" w:pos="284"/>
              </w:tabs>
              <w:autoSpaceDE w:val="0"/>
              <w:autoSpaceDN w:val="0"/>
              <w:adjustRightInd w:val="0"/>
              <w:ind w:left="-57"/>
              <w:jc w:val="left"/>
              <w:rPr>
                <w:b/>
                <w:bCs/>
                <w:szCs w:val="22"/>
                <w:lang w:val="sr-Latn-ME"/>
              </w:rPr>
            </w:pPr>
            <w:r w:rsidRPr="0045764A">
              <w:rPr>
                <w:b/>
                <w:bCs/>
                <w:szCs w:val="22"/>
                <w:lang w:val="sr-Latn-ME"/>
              </w:rPr>
              <w:t>Prethodna terapija</w:t>
            </w:r>
          </w:p>
          <w:p w14:paraId="7D344406" w14:textId="173B1455" w:rsidR="004410C3" w:rsidRPr="0045764A" w:rsidRDefault="004D2E36" w:rsidP="001445B8">
            <w:pPr>
              <w:tabs>
                <w:tab w:val="clear" w:pos="284"/>
              </w:tabs>
              <w:autoSpaceDE w:val="0"/>
              <w:autoSpaceDN w:val="0"/>
              <w:adjustRightInd w:val="0"/>
              <w:ind w:left="-57"/>
              <w:jc w:val="left"/>
              <w:rPr>
                <w:rFonts w:eastAsia="TimesNewRoman"/>
                <w:szCs w:val="22"/>
                <w:lang w:val="sr-Latn-ME"/>
              </w:rPr>
            </w:pPr>
            <w:proofErr w:type="spellStart"/>
            <w:r w:rsidRPr="0045764A">
              <w:rPr>
                <w:b/>
                <w:bCs/>
                <w:szCs w:val="22"/>
                <w:lang w:val="sr-Latn-ME"/>
              </w:rPr>
              <w:t>sunitinibom</w:t>
            </w:r>
            <w:proofErr w:type="spellEnd"/>
          </w:p>
        </w:tc>
        <w:tc>
          <w:tcPr>
            <w:tcW w:w="1701" w:type="dxa"/>
            <w:vAlign w:val="center"/>
          </w:tcPr>
          <w:p w14:paraId="59228553" w14:textId="150B2921" w:rsidR="004410C3" w:rsidRPr="0045764A" w:rsidRDefault="002D1184" w:rsidP="001445B8">
            <w:pPr>
              <w:tabs>
                <w:tab w:val="clear" w:pos="284"/>
              </w:tabs>
              <w:autoSpaceDE w:val="0"/>
              <w:autoSpaceDN w:val="0"/>
              <w:adjustRightInd w:val="0"/>
              <w:jc w:val="center"/>
              <w:rPr>
                <w:rFonts w:eastAsia="TimesNewRoman"/>
                <w:szCs w:val="22"/>
                <w:lang w:val="sr-Latn-ME"/>
              </w:rPr>
            </w:pPr>
            <w:r w:rsidRPr="0045764A">
              <w:rPr>
                <w:b/>
                <w:bCs/>
                <w:szCs w:val="22"/>
                <w:lang w:val="sr-Latn-ME"/>
              </w:rPr>
              <w:t>N=194</w:t>
            </w:r>
          </w:p>
        </w:tc>
        <w:tc>
          <w:tcPr>
            <w:tcW w:w="1701" w:type="dxa"/>
            <w:vAlign w:val="center"/>
          </w:tcPr>
          <w:p w14:paraId="1C61B7C4" w14:textId="4794FD20" w:rsidR="004410C3" w:rsidRPr="0045764A" w:rsidRDefault="002D1184" w:rsidP="001445B8">
            <w:pPr>
              <w:tabs>
                <w:tab w:val="clear" w:pos="284"/>
              </w:tabs>
              <w:autoSpaceDE w:val="0"/>
              <w:autoSpaceDN w:val="0"/>
              <w:adjustRightInd w:val="0"/>
              <w:jc w:val="center"/>
              <w:rPr>
                <w:rFonts w:eastAsia="TimesNewRoman"/>
                <w:szCs w:val="22"/>
                <w:lang w:val="sr-Latn-ME"/>
              </w:rPr>
            </w:pPr>
            <w:r w:rsidRPr="0045764A">
              <w:rPr>
                <w:b/>
                <w:bCs/>
                <w:szCs w:val="22"/>
                <w:lang w:val="sr-Latn-ME"/>
              </w:rPr>
              <w:t>N=195</w:t>
            </w:r>
          </w:p>
        </w:tc>
        <w:tc>
          <w:tcPr>
            <w:tcW w:w="1843" w:type="dxa"/>
            <w:vAlign w:val="center"/>
          </w:tcPr>
          <w:p w14:paraId="6BD3A248" w14:textId="77777777" w:rsidR="004410C3" w:rsidRPr="0045764A" w:rsidRDefault="004410C3" w:rsidP="001445B8">
            <w:pPr>
              <w:tabs>
                <w:tab w:val="clear" w:pos="284"/>
              </w:tabs>
              <w:autoSpaceDE w:val="0"/>
              <w:autoSpaceDN w:val="0"/>
              <w:adjustRightInd w:val="0"/>
              <w:jc w:val="center"/>
              <w:rPr>
                <w:rFonts w:eastAsia="TimesNewRoman"/>
                <w:szCs w:val="22"/>
                <w:lang w:val="sr-Latn-ME"/>
              </w:rPr>
            </w:pPr>
          </w:p>
        </w:tc>
        <w:tc>
          <w:tcPr>
            <w:tcW w:w="1367" w:type="dxa"/>
            <w:vAlign w:val="center"/>
          </w:tcPr>
          <w:p w14:paraId="31059A52" w14:textId="77777777" w:rsidR="004410C3" w:rsidRPr="0045764A" w:rsidRDefault="004410C3" w:rsidP="001445B8">
            <w:pPr>
              <w:tabs>
                <w:tab w:val="clear" w:pos="284"/>
              </w:tabs>
              <w:autoSpaceDE w:val="0"/>
              <w:autoSpaceDN w:val="0"/>
              <w:adjustRightInd w:val="0"/>
              <w:jc w:val="center"/>
              <w:rPr>
                <w:rFonts w:eastAsia="TimesNewRoman"/>
                <w:szCs w:val="22"/>
                <w:lang w:val="sr-Latn-ME"/>
              </w:rPr>
            </w:pPr>
          </w:p>
        </w:tc>
      </w:tr>
      <w:tr w:rsidR="00070D0B" w:rsidRPr="0045764A" w14:paraId="7854C326" w14:textId="77777777" w:rsidTr="001445B8">
        <w:tc>
          <w:tcPr>
            <w:tcW w:w="2405" w:type="dxa"/>
          </w:tcPr>
          <w:p w14:paraId="37FF496A" w14:textId="06D227B6" w:rsidR="009E4BED" w:rsidRPr="0045764A" w:rsidRDefault="009E4BED" w:rsidP="001445B8">
            <w:pPr>
              <w:tabs>
                <w:tab w:val="clear" w:pos="284"/>
              </w:tabs>
              <w:autoSpaceDE w:val="0"/>
              <w:autoSpaceDN w:val="0"/>
              <w:adjustRightInd w:val="0"/>
              <w:ind w:left="-57"/>
              <w:jc w:val="left"/>
              <w:rPr>
                <w:rFonts w:eastAsia="TimesNewRoman"/>
                <w:szCs w:val="22"/>
                <w:lang w:val="sr-Latn-ME"/>
              </w:rPr>
            </w:pPr>
            <w:proofErr w:type="spellStart"/>
            <w:r w:rsidRPr="0045764A">
              <w:rPr>
                <w:rFonts w:eastAsia="TimesNewRoman"/>
                <w:szCs w:val="22"/>
                <w:lang w:val="sr-Latn-ME"/>
              </w:rPr>
              <w:t>Medijana</w:t>
            </w:r>
            <w:proofErr w:type="spellEnd"/>
            <w:r w:rsidRPr="0045764A">
              <w:rPr>
                <w:rFonts w:eastAsia="TimesNewRoman"/>
                <w:szCs w:val="22"/>
                <w:lang w:val="sr-Latn-ME"/>
              </w:rPr>
              <w:t xml:space="preserve"> PFS </w:t>
            </w:r>
            <w:proofErr w:type="spellStart"/>
            <w:r w:rsidRPr="0045764A">
              <w:rPr>
                <w:rFonts w:eastAsia="TimesNewRoman"/>
                <w:szCs w:val="22"/>
                <w:vertAlign w:val="superscript"/>
                <w:lang w:val="sr-Latn-ME"/>
              </w:rPr>
              <w:t>a,b</w:t>
            </w:r>
            <w:proofErr w:type="spellEnd"/>
            <w:r w:rsidRPr="0045764A">
              <w:rPr>
                <w:rFonts w:eastAsia="TimesNewRoman"/>
                <w:szCs w:val="22"/>
                <w:lang w:val="sr-Latn-ME"/>
              </w:rPr>
              <w:t xml:space="preserve"> u m</w:t>
            </w:r>
            <w:r w:rsidR="006B111D" w:rsidRPr="0045764A">
              <w:rPr>
                <w:rFonts w:eastAsia="TimesNewRoman"/>
                <w:szCs w:val="22"/>
                <w:lang w:val="sr-Latn-ME"/>
              </w:rPr>
              <w:t>j</w:t>
            </w:r>
            <w:r w:rsidRPr="0045764A">
              <w:rPr>
                <w:rFonts w:eastAsia="TimesNewRoman"/>
                <w:szCs w:val="22"/>
                <w:lang w:val="sr-Latn-ME"/>
              </w:rPr>
              <w:t>esecima</w:t>
            </w:r>
            <w:r w:rsidR="00070D0B" w:rsidRPr="0045764A">
              <w:rPr>
                <w:rFonts w:eastAsia="TimesNewRoman"/>
                <w:szCs w:val="22"/>
                <w:lang w:val="sr-Latn-ME"/>
              </w:rPr>
              <w:t xml:space="preserve"> </w:t>
            </w:r>
            <w:r w:rsidRPr="0045764A">
              <w:rPr>
                <w:rFonts w:eastAsia="TimesNewRoman"/>
                <w:szCs w:val="22"/>
                <w:lang w:val="sr-Latn-ME"/>
              </w:rPr>
              <w:t>(95% CI)</w:t>
            </w:r>
          </w:p>
        </w:tc>
        <w:tc>
          <w:tcPr>
            <w:tcW w:w="1701" w:type="dxa"/>
            <w:vAlign w:val="center"/>
          </w:tcPr>
          <w:p w14:paraId="57B0264C" w14:textId="0DEEBBEA" w:rsidR="009E4BED" w:rsidRPr="0045764A" w:rsidRDefault="00E325A5" w:rsidP="001445B8">
            <w:pPr>
              <w:tabs>
                <w:tab w:val="clear" w:pos="284"/>
              </w:tabs>
              <w:autoSpaceDE w:val="0"/>
              <w:autoSpaceDN w:val="0"/>
              <w:adjustRightInd w:val="0"/>
              <w:jc w:val="center"/>
              <w:rPr>
                <w:rFonts w:eastAsia="TimesNewRoman"/>
                <w:szCs w:val="22"/>
                <w:lang w:val="sr-Latn-ME"/>
              </w:rPr>
            </w:pPr>
            <w:r w:rsidRPr="0045764A">
              <w:rPr>
                <w:rFonts w:eastAsia="TimesNewRoman"/>
                <w:szCs w:val="22"/>
                <w:lang w:val="sr-Latn-ME"/>
              </w:rPr>
              <w:t>4,8 (4,5; 6,5)</w:t>
            </w:r>
          </w:p>
        </w:tc>
        <w:tc>
          <w:tcPr>
            <w:tcW w:w="1701" w:type="dxa"/>
            <w:vAlign w:val="center"/>
          </w:tcPr>
          <w:p w14:paraId="1BBA13B1" w14:textId="547D8E4D" w:rsidR="009E4BED" w:rsidRPr="0045764A" w:rsidRDefault="000248FC" w:rsidP="001445B8">
            <w:pPr>
              <w:tabs>
                <w:tab w:val="clear" w:pos="284"/>
              </w:tabs>
              <w:autoSpaceDE w:val="0"/>
              <w:autoSpaceDN w:val="0"/>
              <w:adjustRightInd w:val="0"/>
              <w:jc w:val="center"/>
              <w:rPr>
                <w:rFonts w:eastAsia="TimesNewRoman"/>
                <w:szCs w:val="22"/>
                <w:lang w:val="sr-Latn-ME"/>
              </w:rPr>
            </w:pPr>
            <w:r w:rsidRPr="0045764A">
              <w:rPr>
                <w:rFonts w:eastAsia="TimesNewRoman"/>
                <w:szCs w:val="22"/>
                <w:lang w:val="sr-Latn-ME"/>
              </w:rPr>
              <w:t>3,4 (2,8; 4,7)</w:t>
            </w:r>
          </w:p>
        </w:tc>
        <w:tc>
          <w:tcPr>
            <w:tcW w:w="1843" w:type="dxa"/>
            <w:vAlign w:val="center"/>
          </w:tcPr>
          <w:p w14:paraId="4C923E39" w14:textId="6F6A70E6" w:rsidR="009E4BED" w:rsidRPr="0045764A" w:rsidRDefault="000248FC" w:rsidP="001445B8">
            <w:pPr>
              <w:tabs>
                <w:tab w:val="clear" w:pos="284"/>
              </w:tabs>
              <w:autoSpaceDE w:val="0"/>
              <w:autoSpaceDN w:val="0"/>
              <w:adjustRightInd w:val="0"/>
              <w:jc w:val="center"/>
              <w:rPr>
                <w:rFonts w:eastAsia="TimesNewRoman"/>
                <w:szCs w:val="22"/>
                <w:lang w:val="sr-Latn-ME"/>
              </w:rPr>
            </w:pPr>
            <w:r w:rsidRPr="0045764A">
              <w:rPr>
                <w:rFonts w:eastAsia="TimesNewRoman"/>
                <w:szCs w:val="22"/>
                <w:lang w:val="sr-Latn-ME"/>
              </w:rPr>
              <w:t>0,74 (0,58; 0,94)</w:t>
            </w:r>
          </w:p>
        </w:tc>
        <w:tc>
          <w:tcPr>
            <w:tcW w:w="1367" w:type="dxa"/>
            <w:vAlign w:val="center"/>
          </w:tcPr>
          <w:p w14:paraId="2169F124" w14:textId="775AE1ED" w:rsidR="009E4BED" w:rsidRPr="0045764A" w:rsidRDefault="00854D8B" w:rsidP="001445B8">
            <w:pPr>
              <w:tabs>
                <w:tab w:val="clear" w:pos="284"/>
              </w:tabs>
              <w:autoSpaceDE w:val="0"/>
              <w:autoSpaceDN w:val="0"/>
              <w:adjustRightInd w:val="0"/>
              <w:jc w:val="center"/>
              <w:rPr>
                <w:rFonts w:eastAsia="TimesNewRoman"/>
                <w:szCs w:val="22"/>
                <w:lang w:val="sr-Latn-ME"/>
              </w:rPr>
            </w:pPr>
            <w:r w:rsidRPr="0045764A">
              <w:rPr>
                <w:rFonts w:eastAsia="TimesNewRoman"/>
                <w:szCs w:val="22"/>
                <w:lang w:val="sr-Latn-ME"/>
              </w:rPr>
              <w:t>0,0063</w:t>
            </w:r>
            <w:r w:rsidRPr="0045764A">
              <w:rPr>
                <w:rFonts w:eastAsia="TimesNewRoman"/>
                <w:szCs w:val="22"/>
                <w:vertAlign w:val="superscript"/>
                <w:lang w:val="sr-Latn-ME"/>
              </w:rPr>
              <w:t>h</w:t>
            </w:r>
          </w:p>
        </w:tc>
      </w:tr>
      <w:tr w:rsidR="00070D0B" w:rsidRPr="0045764A" w14:paraId="6E64D98F" w14:textId="77777777" w:rsidTr="001445B8">
        <w:tc>
          <w:tcPr>
            <w:tcW w:w="2405" w:type="dxa"/>
          </w:tcPr>
          <w:p w14:paraId="4D05E77E" w14:textId="14139C1A" w:rsidR="009E4BED" w:rsidRPr="0045764A" w:rsidRDefault="009E4BED" w:rsidP="001445B8">
            <w:pPr>
              <w:tabs>
                <w:tab w:val="clear" w:pos="284"/>
              </w:tabs>
              <w:autoSpaceDE w:val="0"/>
              <w:autoSpaceDN w:val="0"/>
              <w:adjustRightInd w:val="0"/>
              <w:ind w:left="-57"/>
              <w:jc w:val="left"/>
              <w:rPr>
                <w:rFonts w:eastAsia="TimesNewRoman"/>
                <w:szCs w:val="22"/>
                <w:lang w:val="sr-Latn-ME"/>
              </w:rPr>
            </w:pPr>
            <w:proofErr w:type="spellStart"/>
            <w:r w:rsidRPr="0045764A">
              <w:rPr>
                <w:rFonts w:eastAsia="TimesNewRoman"/>
                <w:szCs w:val="22"/>
                <w:lang w:val="sr-Latn-ME"/>
              </w:rPr>
              <w:t>Medijana</w:t>
            </w:r>
            <w:proofErr w:type="spellEnd"/>
            <w:r w:rsidRPr="0045764A">
              <w:rPr>
                <w:rFonts w:eastAsia="TimesNewRoman"/>
                <w:szCs w:val="22"/>
                <w:lang w:val="sr-Latn-ME"/>
              </w:rPr>
              <w:t xml:space="preserve"> OS </w:t>
            </w:r>
            <w:r w:rsidRPr="0045764A">
              <w:rPr>
                <w:rFonts w:eastAsia="TimesNewRoman"/>
                <w:szCs w:val="22"/>
                <w:vertAlign w:val="superscript"/>
                <w:lang w:val="sr-Latn-ME"/>
              </w:rPr>
              <w:t>d</w:t>
            </w:r>
            <w:r w:rsidRPr="0045764A">
              <w:rPr>
                <w:rFonts w:eastAsia="TimesNewRoman"/>
                <w:szCs w:val="22"/>
                <w:lang w:val="sr-Latn-ME"/>
              </w:rPr>
              <w:t xml:space="preserve"> u m</w:t>
            </w:r>
            <w:r w:rsidR="006B111D" w:rsidRPr="0045764A">
              <w:rPr>
                <w:rFonts w:eastAsia="TimesNewRoman"/>
                <w:szCs w:val="22"/>
                <w:lang w:val="sr-Latn-ME"/>
              </w:rPr>
              <w:t>j</w:t>
            </w:r>
            <w:r w:rsidRPr="0045764A">
              <w:rPr>
                <w:rFonts w:eastAsia="TimesNewRoman"/>
                <w:szCs w:val="22"/>
                <w:lang w:val="sr-Latn-ME"/>
              </w:rPr>
              <w:t>esecima</w:t>
            </w:r>
            <w:r w:rsidR="00070D0B" w:rsidRPr="0045764A">
              <w:rPr>
                <w:rFonts w:eastAsia="TimesNewRoman"/>
                <w:szCs w:val="22"/>
                <w:lang w:val="sr-Latn-ME"/>
              </w:rPr>
              <w:t xml:space="preserve"> </w:t>
            </w:r>
            <w:r w:rsidRPr="0045764A">
              <w:rPr>
                <w:rFonts w:eastAsia="TimesNewRoman"/>
                <w:szCs w:val="22"/>
                <w:lang w:val="sr-Latn-ME"/>
              </w:rPr>
              <w:t>(95% CI)</w:t>
            </w:r>
          </w:p>
        </w:tc>
        <w:tc>
          <w:tcPr>
            <w:tcW w:w="1701" w:type="dxa"/>
            <w:vAlign w:val="center"/>
          </w:tcPr>
          <w:p w14:paraId="768EA795" w14:textId="4BA9AE9E" w:rsidR="009E4BED" w:rsidRPr="0045764A" w:rsidRDefault="00A55406" w:rsidP="001445B8">
            <w:pPr>
              <w:tabs>
                <w:tab w:val="clear" w:pos="284"/>
              </w:tabs>
              <w:autoSpaceDE w:val="0"/>
              <w:autoSpaceDN w:val="0"/>
              <w:adjustRightInd w:val="0"/>
              <w:jc w:val="center"/>
              <w:rPr>
                <w:rFonts w:eastAsia="TimesNewRoman"/>
                <w:szCs w:val="22"/>
                <w:lang w:val="sr-Latn-ME"/>
              </w:rPr>
            </w:pPr>
            <w:r w:rsidRPr="0045764A">
              <w:rPr>
                <w:rFonts w:eastAsia="TimesNewRoman"/>
                <w:szCs w:val="22"/>
                <w:lang w:val="sr-Latn-ME"/>
              </w:rPr>
              <w:t>15,2 (12,8; 18,3)</w:t>
            </w:r>
          </w:p>
        </w:tc>
        <w:tc>
          <w:tcPr>
            <w:tcW w:w="1701" w:type="dxa"/>
            <w:vAlign w:val="center"/>
          </w:tcPr>
          <w:p w14:paraId="59C00506" w14:textId="5B9EB1C3" w:rsidR="009E4BED" w:rsidRPr="0045764A" w:rsidRDefault="009A018E" w:rsidP="001445B8">
            <w:pPr>
              <w:tabs>
                <w:tab w:val="clear" w:pos="284"/>
              </w:tabs>
              <w:autoSpaceDE w:val="0"/>
              <w:autoSpaceDN w:val="0"/>
              <w:adjustRightInd w:val="0"/>
              <w:jc w:val="center"/>
              <w:rPr>
                <w:rFonts w:eastAsia="TimesNewRoman"/>
                <w:szCs w:val="22"/>
                <w:lang w:val="sr-Latn-ME"/>
              </w:rPr>
            </w:pPr>
            <w:r w:rsidRPr="0045764A">
              <w:rPr>
                <w:rFonts w:eastAsia="TimesNewRoman"/>
                <w:szCs w:val="22"/>
                <w:lang w:val="sr-Latn-ME"/>
              </w:rPr>
              <w:t>16,5 (13,7; 19,2)</w:t>
            </w:r>
          </w:p>
        </w:tc>
        <w:tc>
          <w:tcPr>
            <w:tcW w:w="1843" w:type="dxa"/>
            <w:vAlign w:val="center"/>
          </w:tcPr>
          <w:p w14:paraId="368DA7CC" w14:textId="5CD999BD" w:rsidR="009E4BED" w:rsidRPr="0045764A" w:rsidRDefault="009A018E" w:rsidP="001445B8">
            <w:pPr>
              <w:tabs>
                <w:tab w:val="clear" w:pos="284"/>
              </w:tabs>
              <w:autoSpaceDE w:val="0"/>
              <w:autoSpaceDN w:val="0"/>
              <w:adjustRightInd w:val="0"/>
              <w:jc w:val="center"/>
              <w:rPr>
                <w:rFonts w:eastAsia="TimesNewRoman"/>
                <w:szCs w:val="22"/>
                <w:lang w:val="sr-Latn-ME"/>
              </w:rPr>
            </w:pPr>
            <w:r w:rsidRPr="0045764A">
              <w:rPr>
                <w:rFonts w:eastAsia="TimesNewRoman"/>
                <w:szCs w:val="22"/>
                <w:lang w:val="sr-Latn-ME"/>
              </w:rPr>
              <w:t>1,00 (0,78; 1,27)</w:t>
            </w:r>
          </w:p>
        </w:tc>
        <w:tc>
          <w:tcPr>
            <w:tcW w:w="1367" w:type="dxa"/>
            <w:vAlign w:val="center"/>
          </w:tcPr>
          <w:p w14:paraId="736B172C" w14:textId="7C2A13B2" w:rsidR="009E4BED" w:rsidRPr="0045764A" w:rsidRDefault="00A55406" w:rsidP="001445B8">
            <w:pPr>
              <w:tabs>
                <w:tab w:val="clear" w:pos="284"/>
              </w:tabs>
              <w:autoSpaceDE w:val="0"/>
              <w:autoSpaceDN w:val="0"/>
              <w:adjustRightInd w:val="0"/>
              <w:jc w:val="center"/>
              <w:rPr>
                <w:rFonts w:eastAsia="TimesNewRoman"/>
                <w:szCs w:val="22"/>
                <w:lang w:val="sr-Latn-ME"/>
              </w:rPr>
            </w:pPr>
            <w:r w:rsidRPr="0045764A">
              <w:rPr>
                <w:rFonts w:eastAsia="TimesNewRoman"/>
                <w:szCs w:val="22"/>
                <w:lang w:val="sr-Latn-ME"/>
              </w:rPr>
              <w:t>NS</w:t>
            </w:r>
          </w:p>
        </w:tc>
      </w:tr>
      <w:tr w:rsidR="00070D0B" w:rsidRPr="0045764A" w14:paraId="3019F977" w14:textId="77777777" w:rsidTr="001445B8">
        <w:tc>
          <w:tcPr>
            <w:tcW w:w="2405" w:type="dxa"/>
          </w:tcPr>
          <w:p w14:paraId="72842D88" w14:textId="5CC8762F" w:rsidR="009E4BED" w:rsidRPr="0045764A" w:rsidRDefault="009E4BED" w:rsidP="001445B8">
            <w:pPr>
              <w:tabs>
                <w:tab w:val="clear" w:pos="284"/>
              </w:tabs>
              <w:autoSpaceDE w:val="0"/>
              <w:autoSpaceDN w:val="0"/>
              <w:adjustRightInd w:val="0"/>
              <w:ind w:left="-57"/>
              <w:jc w:val="left"/>
              <w:rPr>
                <w:rFonts w:eastAsia="TimesNewRoman"/>
                <w:szCs w:val="22"/>
                <w:lang w:val="sr-Latn-ME"/>
              </w:rPr>
            </w:pPr>
            <w:r w:rsidRPr="0045764A">
              <w:rPr>
                <w:rFonts w:eastAsia="TimesNewRoman"/>
                <w:szCs w:val="22"/>
                <w:lang w:val="sr-Latn-ME"/>
              </w:rPr>
              <w:t xml:space="preserve">ORR </w:t>
            </w:r>
            <w:proofErr w:type="spellStart"/>
            <w:r w:rsidRPr="0045764A">
              <w:rPr>
                <w:rFonts w:eastAsia="TimesNewRoman"/>
                <w:szCs w:val="22"/>
                <w:vertAlign w:val="superscript"/>
                <w:lang w:val="sr-Latn-ME"/>
              </w:rPr>
              <w:t>b,e</w:t>
            </w:r>
            <w:proofErr w:type="spellEnd"/>
            <w:r w:rsidRPr="0045764A">
              <w:rPr>
                <w:rFonts w:eastAsia="TimesNewRoman"/>
                <w:szCs w:val="22"/>
                <w:lang w:val="sr-Latn-ME"/>
              </w:rPr>
              <w:t xml:space="preserve"> % (95% CI)</w:t>
            </w:r>
          </w:p>
        </w:tc>
        <w:tc>
          <w:tcPr>
            <w:tcW w:w="1701" w:type="dxa"/>
            <w:vAlign w:val="center"/>
          </w:tcPr>
          <w:p w14:paraId="53D3AF85" w14:textId="11FDCA96" w:rsidR="009E4BED" w:rsidRPr="0045764A" w:rsidRDefault="0041565D" w:rsidP="001445B8">
            <w:pPr>
              <w:tabs>
                <w:tab w:val="clear" w:pos="284"/>
              </w:tabs>
              <w:autoSpaceDE w:val="0"/>
              <w:autoSpaceDN w:val="0"/>
              <w:adjustRightInd w:val="0"/>
              <w:jc w:val="center"/>
              <w:rPr>
                <w:rFonts w:eastAsia="TimesNewRoman"/>
                <w:szCs w:val="22"/>
                <w:lang w:val="sr-Latn-ME"/>
              </w:rPr>
            </w:pPr>
            <w:r w:rsidRPr="0045764A">
              <w:rPr>
                <w:rFonts w:eastAsia="TimesNewRoman"/>
                <w:szCs w:val="22"/>
                <w:lang w:val="sr-Latn-ME"/>
              </w:rPr>
              <w:t>11,3 (7,2; 16,7)</w:t>
            </w:r>
          </w:p>
        </w:tc>
        <w:tc>
          <w:tcPr>
            <w:tcW w:w="1701" w:type="dxa"/>
            <w:vAlign w:val="center"/>
          </w:tcPr>
          <w:p w14:paraId="7B01578E" w14:textId="4C6CF8DD" w:rsidR="009E4BED" w:rsidRPr="0045764A" w:rsidRDefault="0041565D" w:rsidP="001445B8">
            <w:pPr>
              <w:tabs>
                <w:tab w:val="clear" w:pos="284"/>
              </w:tabs>
              <w:autoSpaceDE w:val="0"/>
              <w:autoSpaceDN w:val="0"/>
              <w:adjustRightInd w:val="0"/>
              <w:jc w:val="center"/>
              <w:rPr>
                <w:rFonts w:eastAsia="TimesNewRoman"/>
                <w:szCs w:val="22"/>
                <w:lang w:val="sr-Latn-ME"/>
              </w:rPr>
            </w:pPr>
            <w:r w:rsidRPr="0045764A">
              <w:rPr>
                <w:rFonts w:eastAsia="TimesNewRoman"/>
                <w:szCs w:val="22"/>
                <w:lang w:val="sr-Latn-ME"/>
              </w:rPr>
              <w:t>7,7 (4,4; 12,4)</w:t>
            </w:r>
          </w:p>
        </w:tc>
        <w:tc>
          <w:tcPr>
            <w:tcW w:w="1843" w:type="dxa"/>
            <w:vAlign w:val="center"/>
          </w:tcPr>
          <w:p w14:paraId="7D88E568" w14:textId="45BC61E9" w:rsidR="009E4BED" w:rsidRPr="0045764A" w:rsidRDefault="00F44B28" w:rsidP="001445B8">
            <w:pPr>
              <w:tabs>
                <w:tab w:val="clear" w:pos="284"/>
              </w:tabs>
              <w:autoSpaceDE w:val="0"/>
              <w:autoSpaceDN w:val="0"/>
              <w:adjustRightInd w:val="0"/>
              <w:jc w:val="center"/>
              <w:rPr>
                <w:rFonts w:eastAsia="TimesNewRoman"/>
                <w:szCs w:val="22"/>
                <w:lang w:val="sr-Latn-ME"/>
              </w:rPr>
            </w:pPr>
            <w:r w:rsidRPr="0045764A">
              <w:rPr>
                <w:rFonts w:eastAsia="TimesNewRoman"/>
                <w:szCs w:val="22"/>
                <w:lang w:val="sr-Latn-ME"/>
              </w:rPr>
              <w:t>1,48</w:t>
            </w:r>
            <w:r w:rsidRPr="0045764A">
              <w:rPr>
                <w:rFonts w:eastAsia="TimesNewRoman"/>
                <w:szCs w:val="22"/>
                <w:vertAlign w:val="superscript"/>
                <w:lang w:val="sr-Latn-ME"/>
              </w:rPr>
              <w:t>f</w:t>
            </w:r>
            <w:r w:rsidRPr="0045764A">
              <w:rPr>
                <w:rFonts w:eastAsia="TimesNewRoman"/>
                <w:szCs w:val="22"/>
                <w:lang w:val="sr-Latn-ME"/>
              </w:rPr>
              <w:t xml:space="preserve"> (0,79; 2,75)</w:t>
            </w:r>
          </w:p>
        </w:tc>
        <w:tc>
          <w:tcPr>
            <w:tcW w:w="1367" w:type="dxa"/>
            <w:vAlign w:val="center"/>
          </w:tcPr>
          <w:p w14:paraId="07D5CCAF" w14:textId="754280FB" w:rsidR="009E4BED" w:rsidRPr="0045764A" w:rsidRDefault="00A55406" w:rsidP="001445B8">
            <w:pPr>
              <w:tabs>
                <w:tab w:val="clear" w:pos="284"/>
              </w:tabs>
              <w:autoSpaceDE w:val="0"/>
              <w:autoSpaceDN w:val="0"/>
              <w:adjustRightInd w:val="0"/>
              <w:jc w:val="center"/>
              <w:rPr>
                <w:rFonts w:eastAsia="TimesNewRoman"/>
                <w:szCs w:val="22"/>
                <w:lang w:val="sr-Latn-ME"/>
              </w:rPr>
            </w:pPr>
            <w:r w:rsidRPr="0045764A">
              <w:rPr>
                <w:rFonts w:eastAsia="TimesNewRoman"/>
                <w:szCs w:val="22"/>
                <w:lang w:val="sr-Latn-ME"/>
              </w:rPr>
              <w:t>NS</w:t>
            </w:r>
          </w:p>
        </w:tc>
      </w:tr>
      <w:tr w:rsidR="00070D0B" w:rsidRPr="0045764A" w14:paraId="121E839D" w14:textId="77777777" w:rsidTr="001445B8">
        <w:tc>
          <w:tcPr>
            <w:tcW w:w="2405" w:type="dxa"/>
          </w:tcPr>
          <w:p w14:paraId="63651235" w14:textId="77777777" w:rsidR="009E4BED" w:rsidRPr="0045764A" w:rsidRDefault="009E4BED" w:rsidP="001445B8">
            <w:pPr>
              <w:tabs>
                <w:tab w:val="clear" w:pos="284"/>
              </w:tabs>
              <w:autoSpaceDE w:val="0"/>
              <w:autoSpaceDN w:val="0"/>
              <w:adjustRightInd w:val="0"/>
              <w:ind w:left="-57"/>
              <w:jc w:val="left"/>
              <w:rPr>
                <w:b/>
                <w:bCs/>
                <w:szCs w:val="22"/>
                <w:lang w:val="sr-Latn-ME"/>
              </w:rPr>
            </w:pPr>
            <w:r w:rsidRPr="0045764A">
              <w:rPr>
                <w:b/>
                <w:bCs/>
                <w:szCs w:val="22"/>
                <w:lang w:val="sr-Latn-ME"/>
              </w:rPr>
              <w:t>Prethodna terapija</w:t>
            </w:r>
          </w:p>
          <w:p w14:paraId="17E9B60F" w14:textId="377854F2" w:rsidR="004410C3" w:rsidRPr="0045764A" w:rsidRDefault="009E4BED" w:rsidP="001445B8">
            <w:pPr>
              <w:tabs>
                <w:tab w:val="clear" w:pos="284"/>
              </w:tabs>
              <w:autoSpaceDE w:val="0"/>
              <w:autoSpaceDN w:val="0"/>
              <w:adjustRightInd w:val="0"/>
              <w:ind w:left="-57"/>
              <w:jc w:val="left"/>
              <w:rPr>
                <w:rFonts w:eastAsia="TimesNewRoman"/>
                <w:szCs w:val="22"/>
                <w:lang w:val="sr-Latn-ME"/>
              </w:rPr>
            </w:pPr>
            <w:proofErr w:type="spellStart"/>
            <w:r w:rsidRPr="0045764A">
              <w:rPr>
                <w:b/>
                <w:bCs/>
                <w:szCs w:val="22"/>
                <w:lang w:val="sr-Latn-ME"/>
              </w:rPr>
              <w:t>citokinom</w:t>
            </w:r>
            <w:proofErr w:type="spellEnd"/>
          </w:p>
        </w:tc>
        <w:tc>
          <w:tcPr>
            <w:tcW w:w="1701" w:type="dxa"/>
            <w:vAlign w:val="center"/>
          </w:tcPr>
          <w:p w14:paraId="7BFA120C" w14:textId="36988433" w:rsidR="004410C3" w:rsidRPr="0045764A" w:rsidRDefault="001E7280" w:rsidP="001445B8">
            <w:pPr>
              <w:tabs>
                <w:tab w:val="clear" w:pos="284"/>
              </w:tabs>
              <w:autoSpaceDE w:val="0"/>
              <w:autoSpaceDN w:val="0"/>
              <w:adjustRightInd w:val="0"/>
              <w:jc w:val="center"/>
              <w:rPr>
                <w:rFonts w:eastAsia="TimesNewRoman"/>
                <w:szCs w:val="22"/>
                <w:lang w:val="sr-Latn-ME"/>
              </w:rPr>
            </w:pPr>
            <w:r w:rsidRPr="0045764A">
              <w:rPr>
                <w:b/>
                <w:bCs/>
                <w:szCs w:val="22"/>
                <w:lang w:val="sr-Latn-ME"/>
              </w:rPr>
              <w:t>N=126</w:t>
            </w:r>
          </w:p>
        </w:tc>
        <w:tc>
          <w:tcPr>
            <w:tcW w:w="1701" w:type="dxa"/>
            <w:vAlign w:val="center"/>
          </w:tcPr>
          <w:p w14:paraId="439343D4" w14:textId="6A1748B0" w:rsidR="004410C3" w:rsidRPr="0045764A" w:rsidRDefault="001E7280" w:rsidP="001445B8">
            <w:pPr>
              <w:tabs>
                <w:tab w:val="clear" w:pos="284"/>
              </w:tabs>
              <w:autoSpaceDE w:val="0"/>
              <w:autoSpaceDN w:val="0"/>
              <w:adjustRightInd w:val="0"/>
              <w:jc w:val="center"/>
              <w:rPr>
                <w:rFonts w:eastAsia="TimesNewRoman"/>
                <w:szCs w:val="22"/>
                <w:lang w:val="sr-Latn-ME"/>
              </w:rPr>
            </w:pPr>
            <w:r w:rsidRPr="0045764A">
              <w:rPr>
                <w:b/>
                <w:bCs/>
                <w:szCs w:val="22"/>
                <w:lang w:val="sr-Latn-ME"/>
              </w:rPr>
              <w:t>N=125</w:t>
            </w:r>
          </w:p>
        </w:tc>
        <w:tc>
          <w:tcPr>
            <w:tcW w:w="1843" w:type="dxa"/>
            <w:vAlign w:val="center"/>
          </w:tcPr>
          <w:p w14:paraId="039E0465" w14:textId="77777777" w:rsidR="004410C3" w:rsidRPr="0045764A" w:rsidRDefault="004410C3" w:rsidP="001445B8">
            <w:pPr>
              <w:tabs>
                <w:tab w:val="clear" w:pos="284"/>
              </w:tabs>
              <w:autoSpaceDE w:val="0"/>
              <w:autoSpaceDN w:val="0"/>
              <w:adjustRightInd w:val="0"/>
              <w:jc w:val="center"/>
              <w:rPr>
                <w:rFonts w:eastAsia="TimesNewRoman"/>
                <w:szCs w:val="22"/>
                <w:lang w:val="sr-Latn-ME"/>
              </w:rPr>
            </w:pPr>
          </w:p>
        </w:tc>
        <w:tc>
          <w:tcPr>
            <w:tcW w:w="1367" w:type="dxa"/>
            <w:vAlign w:val="center"/>
          </w:tcPr>
          <w:p w14:paraId="601B4B24" w14:textId="77777777" w:rsidR="004410C3" w:rsidRPr="0045764A" w:rsidRDefault="004410C3" w:rsidP="001445B8">
            <w:pPr>
              <w:tabs>
                <w:tab w:val="clear" w:pos="284"/>
              </w:tabs>
              <w:autoSpaceDE w:val="0"/>
              <w:autoSpaceDN w:val="0"/>
              <w:adjustRightInd w:val="0"/>
              <w:jc w:val="center"/>
              <w:rPr>
                <w:rFonts w:eastAsia="TimesNewRoman"/>
                <w:szCs w:val="22"/>
                <w:lang w:val="sr-Latn-ME"/>
              </w:rPr>
            </w:pPr>
          </w:p>
        </w:tc>
      </w:tr>
      <w:tr w:rsidR="00070D0B" w:rsidRPr="0045764A" w14:paraId="3A89EB81" w14:textId="77777777" w:rsidTr="001445B8">
        <w:tc>
          <w:tcPr>
            <w:tcW w:w="2405" w:type="dxa"/>
          </w:tcPr>
          <w:p w14:paraId="705C4FEE" w14:textId="50AF8C82" w:rsidR="00720EFD" w:rsidRPr="0045764A" w:rsidRDefault="00720EFD" w:rsidP="001445B8">
            <w:pPr>
              <w:tabs>
                <w:tab w:val="clear" w:pos="284"/>
              </w:tabs>
              <w:autoSpaceDE w:val="0"/>
              <w:autoSpaceDN w:val="0"/>
              <w:adjustRightInd w:val="0"/>
              <w:ind w:left="-57"/>
              <w:jc w:val="left"/>
              <w:rPr>
                <w:rFonts w:eastAsia="TimesNewRoman"/>
                <w:szCs w:val="22"/>
                <w:lang w:val="sr-Latn-ME"/>
              </w:rPr>
            </w:pPr>
            <w:proofErr w:type="spellStart"/>
            <w:r w:rsidRPr="0045764A">
              <w:rPr>
                <w:rFonts w:eastAsia="TimesNewRoman"/>
                <w:szCs w:val="22"/>
                <w:lang w:val="sr-Latn-ME"/>
              </w:rPr>
              <w:lastRenderedPageBreak/>
              <w:t>Medijana</w:t>
            </w:r>
            <w:proofErr w:type="spellEnd"/>
            <w:r w:rsidRPr="0045764A">
              <w:rPr>
                <w:rFonts w:eastAsia="TimesNewRoman"/>
                <w:szCs w:val="22"/>
                <w:lang w:val="sr-Latn-ME"/>
              </w:rPr>
              <w:t xml:space="preserve"> PFS </w:t>
            </w:r>
            <w:proofErr w:type="spellStart"/>
            <w:r w:rsidRPr="0045764A">
              <w:rPr>
                <w:rFonts w:eastAsia="TimesNewRoman"/>
                <w:szCs w:val="22"/>
                <w:vertAlign w:val="superscript"/>
                <w:lang w:val="sr-Latn-ME"/>
              </w:rPr>
              <w:t>a,b</w:t>
            </w:r>
            <w:proofErr w:type="spellEnd"/>
            <w:r w:rsidRPr="0045764A">
              <w:rPr>
                <w:rFonts w:eastAsia="TimesNewRoman"/>
                <w:szCs w:val="22"/>
                <w:lang w:val="sr-Latn-ME"/>
              </w:rPr>
              <w:t xml:space="preserve"> u m</w:t>
            </w:r>
            <w:r w:rsidR="006B111D" w:rsidRPr="0045764A">
              <w:rPr>
                <w:rFonts w:eastAsia="TimesNewRoman"/>
                <w:szCs w:val="22"/>
                <w:lang w:val="sr-Latn-ME"/>
              </w:rPr>
              <w:t>j</w:t>
            </w:r>
            <w:r w:rsidRPr="0045764A">
              <w:rPr>
                <w:rFonts w:eastAsia="TimesNewRoman"/>
                <w:szCs w:val="22"/>
                <w:lang w:val="sr-Latn-ME"/>
              </w:rPr>
              <w:t>esecima</w:t>
            </w:r>
            <w:r w:rsidR="00070D0B" w:rsidRPr="0045764A">
              <w:rPr>
                <w:rFonts w:eastAsia="TimesNewRoman"/>
                <w:szCs w:val="22"/>
                <w:lang w:val="sr-Latn-ME"/>
              </w:rPr>
              <w:t xml:space="preserve"> </w:t>
            </w:r>
            <w:r w:rsidRPr="0045764A">
              <w:rPr>
                <w:rFonts w:eastAsia="TimesNewRoman"/>
                <w:szCs w:val="22"/>
                <w:lang w:val="sr-Latn-ME"/>
              </w:rPr>
              <w:t>(95% CI)</w:t>
            </w:r>
          </w:p>
        </w:tc>
        <w:tc>
          <w:tcPr>
            <w:tcW w:w="1701" w:type="dxa"/>
            <w:vAlign w:val="center"/>
          </w:tcPr>
          <w:p w14:paraId="20735CD7" w14:textId="038104DE" w:rsidR="00720EFD" w:rsidRPr="0045764A" w:rsidRDefault="006B3A28" w:rsidP="001445B8">
            <w:pPr>
              <w:tabs>
                <w:tab w:val="clear" w:pos="284"/>
              </w:tabs>
              <w:autoSpaceDE w:val="0"/>
              <w:autoSpaceDN w:val="0"/>
              <w:adjustRightInd w:val="0"/>
              <w:jc w:val="center"/>
              <w:rPr>
                <w:rFonts w:eastAsia="TimesNewRoman"/>
                <w:szCs w:val="22"/>
                <w:lang w:val="sr-Latn-ME"/>
              </w:rPr>
            </w:pPr>
            <w:r w:rsidRPr="0045764A">
              <w:rPr>
                <w:rFonts w:eastAsia="TimesNewRoman"/>
                <w:szCs w:val="22"/>
                <w:lang w:val="sr-Latn-ME"/>
              </w:rPr>
              <w:t>12,0 (10,1; 13,9)</w:t>
            </w:r>
          </w:p>
        </w:tc>
        <w:tc>
          <w:tcPr>
            <w:tcW w:w="1701" w:type="dxa"/>
            <w:vAlign w:val="center"/>
          </w:tcPr>
          <w:p w14:paraId="04BD75DB" w14:textId="1F809083" w:rsidR="00720EFD" w:rsidRPr="0045764A" w:rsidRDefault="005C05A7" w:rsidP="001445B8">
            <w:pPr>
              <w:tabs>
                <w:tab w:val="clear" w:pos="284"/>
              </w:tabs>
              <w:autoSpaceDE w:val="0"/>
              <w:autoSpaceDN w:val="0"/>
              <w:adjustRightInd w:val="0"/>
              <w:jc w:val="center"/>
              <w:rPr>
                <w:rFonts w:eastAsia="TimesNewRoman"/>
                <w:szCs w:val="22"/>
                <w:lang w:val="sr-Latn-ME"/>
              </w:rPr>
            </w:pPr>
            <w:r w:rsidRPr="0045764A">
              <w:rPr>
                <w:rFonts w:eastAsia="TimesNewRoman"/>
                <w:szCs w:val="22"/>
                <w:lang w:val="sr-Latn-ME"/>
              </w:rPr>
              <w:t>6,6 (6,4; 8,3)</w:t>
            </w:r>
          </w:p>
        </w:tc>
        <w:tc>
          <w:tcPr>
            <w:tcW w:w="1843" w:type="dxa"/>
            <w:vAlign w:val="center"/>
          </w:tcPr>
          <w:p w14:paraId="735F0C8D" w14:textId="7E229BCE" w:rsidR="00720EFD" w:rsidRPr="0045764A" w:rsidRDefault="005C05A7" w:rsidP="001445B8">
            <w:pPr>
              <w:tabs>
                <w:tab w:val="clear" w:pos="284"/>
              </w:tabs>
              <w:autoSpaceDE w:val="0"/>
              <w:autoSpaceDN w:val="0"/>
              <w:adjustRightInd w:val="0"/>
              <w:jc w:val="center"/>
              <w:rPr>
                <w:rFonts w:eastAsia="TimesNewRoman"/>
                <w:szCs w:val="22"/>
                <w:lang w:val="sr-Latn-ME"/>
              </w:rPr>
            </w:pPr>
            <w:r w:rsidRPr="0045764A">
              <w:rPr>
                <w:rFonts w:eastAsia="TimesNewRoman"/>
                <w:szCs w:val="22"/>
                <w:lang w:val="sr-Latn-ME"/>
              </w:rPr>
              <w:t>0,52 (0,38; 0,72)</w:t>
            </w:r>
          </w:p>
        </w:tc>
        <w:tc>
          <w:tcPr>
            <w:tcW w:w="1367" w:type="dxa"/>
            <w:vAlign w:val="center"/>
          </w:tcPr>
          <w:p w14:paraId="20716DB1" w14:textId="10C5C13C" w:rsidR="00720EFD" w:rsidRPr="0045764A" w:rsidRDefault="00A51C74" w:rsidP="001445B8">
            <w:pPr>
              <w:tabs>
                <w:tab w:val="clear" w:pos="284"/>
              </w:tabs>
              <w:autoSpaceDE w:val="0"/>
              <w:autoSpaceDN w:val="0"/>
              <w:adjustRightInd w:val="0"/>
              <w:jc w:val="center"/>
              <w:rPr>
                <w:rFonts w:eastAsia="TimesNewRoman"/>
                <w:szCs w:val="22"/>
                <w:lang w:val="sr-Latn-ME"/>
              </w:rPr>
            </w:pPr>
            <w:r w:rsidRPr="0045764A">
              <w:rPr>
                <w:rFonts w:eastAsia="TimesNewRoman"/>
                <w:szCs w:val="22"/>
                <w:lang w:val="sr-Latn-ME"/>
              </w:rPr>
              <w:t>&lt; 0,0001</w:t>
            </w:r>
            <w:r w:rsidRPr="0045764A">
              <w:rPr>
                <w:rFonts w:eastAsia="TimesNewRoman"/>
                <w:szCs w:val="22"/>
                <w:vertAlign w:val="superscript"/>
                <w:lang w:val="sr-Latn-ME"/>
              </w:rPr>
              <w:t>h</w:t>
            </w:r>
          </w:p>
        </w:tc>
      </w:tr>
      <w:tr w:rsidR="00070D0B" w:rsidRPr="0045764A" w14:paraId="1BEEB1F8" w14:textId="77777777" w:rsidTr="001445B8">
        <w:tc>
          <w:tcPr>
            <w:tcW w:w="2405" w:type="dxa"/>
          </w:tcPr>
          <w:p w14:paraId="1CAFE086" w14:textId="762932D1" w:rsidR="00720EFD" w:rsidRPr="0045764A" w:rsidRDefault="00720EFD" w:rsidP="001445B8">
            <w:pPr>
              <w:tabs>
                <w:tab w:val="clear" w:pos="284"/>
              </w:tabs>
              <w:autoSpaceDE w:val="0"/>
              <w:autoSpaceDN w:val="0"/>
              <w:adjustRightInd w:val="0"/>
              <w:ind w:left="-57"/>
              <w:jc w:val="left"/>
              <w:rPr>
                <w:rFonts w:eastAsia="TimesNewRoman"/>
                <w:szCs w:val="22"/>
                <w:lang w:val="sr-Latn-ME"/>
              </w:rPr>
            </w:pPr>
            <w:proofErr w:type="spellStart"/>
            <w:r w:rsidRPr="0045764A">
              <w:rPr>
                <w:rFonts w:eastAsia="TimesNewRoman"/>
                <w:szCs w:val="22"/>
                <w:lang w:val="sr-Latn-ME"/>
              </w:rPr>
              <w:t>Medijana</w:t>
            </w:r>
            <w:proofErr w:type="spellEnd"/>
            <w:r w:rsidRPr="0045764A">
              <w:rPr>
                <w:rFonts w:eastAsia="TimesNewRoman"/>
                <w:szCs w:val="22"/>
                <w:lang w:val="sr-Latn-ME"/>
              </w:rPr>
              <w:t xml:space="preserve"> OS </w:t>
            </w:r>
            <w:r w:rsidRPr="0045764A">
              <w:rPr>
                <w:rFonts w:eastAsia="TimesNewRoman"/>
                <w:szCs w:val="22"/>
                <w:vertAlign w:val="superscript"/>
                <w:lang w:val="sr-Latn-ME"/>
              </w:rPr>
              <w:t>d</w:t>
            </w:r>
            <w:r w:rsidRPr="0045764A">
              <w:rPr>
                <w:rFonts w:eastAsia="TimesNewRoman"/>
                <w:szCs w:val="22"/>
                <w:lang w:val="sr-Latn-ME"/>
              </w:rPr>
              <w:t xml:space="preserve"> u m</w:t>
            </w:r>
            <w:r w:rsidR="006B111D" w:rsidRPr="0045764A">
              <w:rPr>
                <w:rFonts w:eastAsia="TimesNewRoman"/>
                <w:szCs w:val="22"/>
                <w:lang w:val="sr-Latn-ME"/>
              </w:rPr>
              <w:t>j</w:t>
            </w:r>
            <w:r w:rsidRPr="0045764A">
              <w:rPr>
                <w:rFonts w:eastAsia="TimesNewRoman"/>
                <w:szCs w:val="22"/>
                <w:lang w:val="sr-Latn-ME"/>
              </w:rPr>
              <w:t>esecima</w:t>
            </w:r>
            <w:r w:rsidR="00070D0B" w:rsidRPr="0045764A">
              <w:rPr>
                <w:rFonts w:eastAsia="TimesNewRoman"/>
                <w:szCs w:val="22"/>
                <w:lang w:val="sr-Latn-ME"/>
              </w:rPr>
              <w:t xml:space="preserve"> </w:t>
            </w:r>
            <w:r w:rsidRPr="0045764A">
              <w:rPr>
                <w:rFonts w:eastAsia="TimesNewRoman"/>
                <w:szCs w:val="22"/>
                <w:lang w:val="sr-Latn-ME"/>
              </w:rPr>
              <w:t>(95% CI)</w:t>
            </w:r>
          </w:p>
        </w:tc>
        <w:tc>
          <w:tcPr>
            <w:tcW w:w="1701" w:type="dxa"/>
            <w:vAlign w:val="center"/>
          </w:tcPr>
          <w:p w14:paraId="2245333F" w14:textId="702878F1" w:rsidR="00720EFD" w:rsidRPr="0045764A" w:rsidRDefault="002F788F" w:rsidP="001445B8">
            <w:pPr>
              <w:tabs>
                <w:tab w:val="clear" w:pos="284"/>
              </w:tabs>
              <w:autoSpaceDE w:val="0"/>
              <w:autoSpaceDN w:val="0"/>
              <w:adjustRightInd w:val="0"/>
              <w:jc w:val="center"/>
              <w:rPr>
                <w:rFonts w:eastAsia="TimesNewRoman"/>
                <w:szCs w:val="22"/>
                <w:lang w:val="sr-Latn-ME"/>
              </w:rPr>
            </w:pPr>
            <w:r w:rsidRPr="0045764A">
              <w:rPr>
                <w:rFonts w:eastAsia="TimesNewRoman"/>
                <w:szCs w:val="22"/>
                <w:lang w:val="sr-Latn-ME"/>
              </w:rPr>
              <w:t>29,4 (24,5; NE)</w:t>
            </w:r>
          </w:p>
        </w:tc>
        <w:tc>
          <w:tcPr>
            <w:tcW w:w="1701" w:type="dxa"/>
            <w:vAlign w:val="center"/>
          </w:tcPr>
          <w:p w14:paraId="53CBC510" w14:textId="21C1C62A" w:rsidR="00720EFD" w:rsidRPr="0045764A" w:rsidRDefault="002F788F" w:rsidP="001445B8">
            <w:pPr>
              <w:tabs>
                <w:tab w:val="clear" w:pos="284"/>
              </w:tabs>
              <w:autoSpaceDE w:val="0"/>
              <w:autoSpaceDN w:val="0"/>
              <w:adjustRightInd w:val="0"/>
              <w:jc w:val="center"/>
              <w:rPr>
                <w:rFonts w:eastAsia="TimesNewRoman"/>
                <w:szCs w:val="22"/>
                <w:lang w:val="sr-Latn-ME"/>
              </w:rPr>
            </w:pPr>
            <w:r w:rsidRPr="0045764A">
              <w:rPr>
                <w:rFonts w:eastAsia="TimesNewRoman"/>
                <w:szCs w:val="22"/>
                <w:lang w:val="sr-Latn-ME"/>
              </w:rPr>
              <w:t>27,8 (23,1; 34,5)</w:t>
            </w:r>
          </w:p>
        </w:tc>
        <w:tc>
          <w:tcPr>
            <w:tcW w:w="1843" w:type="dxa"/>
            <w:vAlign w:val="center"/>
          </w:tcPr>
          <w:p w14:paraId="4B53D419" w14:textId="0ED942A2" w:rsidR="00720EFD" w:rsidRPr="0045764A" w:rsidRDefault="00105B8B" w:rsidP="001445B8">
            <w:pPr>
              <w:tabs>
                <w:tab w:val="clear" w:pos="284"/>
              </w:tabs>
              <w:autoSpaceDE w:val="0"/>
              <w:autoSpaceDN w:val="0"/>
              <w:adjustRightInd w:val="0"/>
              <w:jc w:val="center"/>
              <w:rPr>
                <w:rFonts w:eastAsia="TimesNewRoman"/>
                <w:szCs w:val="22"/>
                <w:lang w:val="sr-Latn-ME"/>
              </w:rPr>
            </w:pPr>
            <w:r w:rsidRPr="0045764A">
              <w:rPr>
                <w:rFonts w:eastAsia="TimesNewRoman"/>
                <w:szCs w:val="22"/>
                <w:lang w:val="sr-Latn-ME"/>
              </w:rPr>
              <w:t>0,81 (0,56; 1,19)</w:t>
            </w:r>
          </w:p>
        </w:tc>
        <w:tc>
          <w:tcPr>
            <w:tcW w:w="1367" w:type="dxa"/>
            <w:vAlign w:val="center"/>
          </w:tcPr>
          <w:p w14:paraId="69FCA263" w14:textId="45DB8F89" w:rsidR="00720EFD" w:rsidRPr="0045764A" w:rsidRDefault="00105B8B" w:rsidP="001445B8">
            <w:pPr>
              <w:tabs>
                <w:tab w:val="clear" w:pos="284"/>
              </w:tabs>
              <w:autoSpaceDE w:val="0"/>
              <w:autoSpaceDN w:val="0"/>
              <w:adjustRightInd w:val="0"/>
              <w:jc w:val="center"/>
              <w:rPr>
                <w:rFonts w:eastAsia="TimesNewRoman"/>
                <w:szCs w:val="22"/>
                <w:lang w:val="sr-Latn-ME"/>
              </w:rPr>
            </w:pPr>
            <w:r w:rsidRPr="0045764A">
              <w:rPr>
                <w:rFonts w:eastAsia="TimesNewRoman"/>
                <w:szCs w:val="22"/>
                <w:lang w:val="sr-Latn-ME"/>
              </w:rPr>
              <w:t>NS</w:t>
            </w:r>
          </w:p>
        </w:tc>
      </w:tr>
      <w:tr w:rsidR="00070D0B" w:rsidRPr="0045764A" w14:paraId="3057418D" w14:textId="77777777" w:rsidTr="001445B8">
        <w:tc>
          <w:tcPr>
            <w:tcW w:w="2405" w:type="dxa"/>
          </w:tcPr>
          <w:p w14:paraId="298E3027" w14:textId="2DA6EC33" w:rsidR="00720EFD" w:rsidRPr="0045764A" w:rsidRDefault="00720EFD" w:rsidP="001445B8">
            <w:pPr>
              <w:tabs>
                <w:tab w:val="clear" w:pos="284"/>
              </w:tabs>
              <w:autoSpaceDE w:val="0"/>
              <w:autoSpaceDN w:val="0"/>
              <w:adjustRightInd w:val="0"/>
              <w:ind w:left="-57"/>
              <w:jc w:val="left"/>
              <w:rPr>
                <w:rFonts w:eastAsia="TimesNewRoman"/>
                <w:szCs w:val="22"/>
                <w:lang w:val="sr-Latn-ME"/>
              </w:rPr>
            </w:pPr>
            <w:r w:rsidRPr="0045764A">
              <w:rPr>
                <w:rFonts w:eastAsia="TimesNewRoman"/>
                <w:szCs w:val="22"/>
                <w:lang w:val="sr-Latn-ME"/>
              </w:rPr>
              <w:t xml:space="preserve">ORR </w:t>
            </w:r>
            <w:proofErr w:type="spellStart"/>
            <w:r w:rsidRPr="0045764A">
              <w:rPr>
                <w:rFonts w:eastAsia="TimesNewRoman"/>
                <w:szCs w:val="22"/>
                <w:vertAlign w:val="superscript"/>
                <w:lang w:val="sr-Latn-ME"/>
              </w:rPr>
              <w:t>b,e</w:t>
            </w:r>
            <w:proofErr w:type="spellEnd"/>
            <w:r w:rsidRPr="0045764A">
              <w:rPr>
                <w:rFonts w:eastAsia="TimesNewRoman"/>
                <w:szCs w:val="22"/>
                <w:lang w:val="sr-Latn-ME"/>
              </w:rPr>
              <w:t xml:space="preserve"> % (95% CI)</w:t>
            </w:r>
          </w:p>
        </w:tc>
        <w:tc>
          <w:tcPr>
            <w:tcW w:w="1701" w:type="dxa"/>
            <w:vAlign w:val="center"/>
          </w:tcPr>
          <w:p w14:paraId="4EDA1C29" w14:textId="1B1BF623" w:rsidR="00720EFD" w:rsidRPr="0045764A" w:rsidRDefault="00EC2C3B" w:rsidP="001445B8">
            <w:pPr>
              <w:tabs>
                <w:tab w:val="clear" w:pos="284"/>
              </w:tabs>
              <w:autoSpaceDE w:val="0"/>
              <w:autoSpaceDN w:val="0"/>
              <w:adjustRightInd w:val="0"/>
              <w:jc w:val="center"/>
              <w:rPr>
                <w:rFonts w:eastAsia="TimesNewRoman"/>
                <w:szCs w:val="22"/>
                <w:lang w:val="sr-Latn-ME"/>
              </w:rPr>
            </w:pPr>
            <w:r w:rsidRPr="0045764A">
              <w:rPr>
                <w:rFonts w:eastAsia="TimesNewRoman"/>
                <w:szCs w:val="22"/>
                <w:lang w:val="sr-Latn-ME"/>
              </w:rPr>
              <w:t>32,5 (24,5; 41,5)</w:t>
            </w:r>
          </w:p>
        </w:tc>
        <w:tc>
          <w:tcPr>
            <w:tcW w:w="1701" w:type="dxa"/>
            <w:vAlign w:val="center"/>
          </w:tcPr>
          <w:p w14:paraId="2077427D" w14:textId="256886DD" w:rsidR="00720EFD" w:rsidRPr="0045764A" w:rsidRDefault="00EC2C3B" w:rsidP="001445B8">
            <w:pPr>
              <w:tabs>
                <w:tab w:val="clear" w:pos="284"/>
              </w:tabs>
              <w:autoSpaceDE w:val="0"/>
              <w:autoSpaceDN w:val="0"/>
              <w:adjustRightInd w:val="0"/>
              <w:jc w:val="center"/>
              <w:rPr>
                <w:rFonts w:eastAsia="TimesNewRoman"/>
                <w:szCs w:val="22"/>
                <w:lang w:val="sr-Latn-ME"/>
              </w:rPr>
            </w:pPr>
            <w:r w:rsidRPr="0045764A">
              <w:rPr>
                <w:rFonts w:eastAsia="TimesNewRoman"/>
                <w:szCs w:val="22"/>
                <w:lang w:val="sr-Latn-ME"/>
              </w:rPr>
              <w:t>13,6 (8,1; 20,9)</w:t>
            </w:r>
          </w:p>
        </w:tc>
        <w:tc>
          <w:tcPr>
            <w:tcW w:w="1843" w:type="dxa"/>
            <w:vAlign w:val="center"/>
          </w:tcPr>
          <w:p w14:paraId="1A3E76FA" w14:textId="771D36AE" w:rsidR="00720EFD" w:rsidRPr="0045764A" w:rsidRDefault="00A57E04" w:rsidP="001445B8">
            <w:pPr>
              <w:tabs>
                <w:tab w:val="clear" w:pos="284"/>
              </w:tabs>
              <w:autoSpaceDE w:val="0"/>
              <w:autoSpaceDN w:val="0"/>
              <w:adjustRightInd w:val="0"/>
              <w:jc w:val="center"/>
              <w:rPr>
                <w:rFonts w:eastAsia="TimesNewRoman"/>
                <w:szCs w:val="22"/>
                <w:lang w:val="sr-Latn-ME"/>
              </w:rPr>
            </w:pPr>
            <w:r w:rsidRPr="0045764A">
              <w:rPr>
                <w:rFonts w:eastAsia="TimesNewRoman"/>
                <w:szCs w:val="22"/>
                <w:lang w:val="sr-Latn-ME"/>
              </w:rPr>
              <w:t>2,39</w:t>
            </w:r>
            <w:r w:rsidRPr="0045764A">
              <w:rPr>
                <w:rFonts w:eastAsia="TimesNewRoman"/>
                <w:szCs w:val="22"/>
                <w:vertAlign w:val="superscript"/>
                <w:lang w:val="sr-Latn-ME"/>
              </w:rPr>
              <w:t>f</w:t>
            </w:r>
            <w:r w:rsidRPr="0045764A">
              <w:rPr>
                <w:rFonts w:eastAsia="TimesNewRoman"/>
                <w:szCs w:val="22"/>
                <w:lang w:val="sr-Latn-ME"/>
              </w:rPr>
              <w:t xml:space="preserve"> (1,43-3,99)</w:t>
            </w:r>
          </w:p>
        </w:tc>
        <w:tc>
          <w:tcPr>
            <w:tcW w:w="1367" w:type="dxa"/>
            <w:vAlign w:val="center"/>
          </w:tcPr>
          <w:p w14:paraId="696705D2" w14:textId="255AD1B7" w:rsidR="00720EFD" w:rsidRPr="0045764A" w:rsidRDefault="00437E42" w:rsidP="001445B8">
            <w:pPr>
              <w:tabs>
                <w:tab w:val="clear" w:pos="284"/>
              </w:tabs>
              <w:autoSpaceDE w:val="0"/>
              <w:autoSpaceDN w:val="0"/>
              <w:adjustRightInd w:val="0"/>
              <w:jc w:val="center"/>
              <w:rPr>
                <w:rFonts w:eastAsia="TimesNewRoman"/>
                <w:szCs w:val="22"/>
                <w:lang w:val="sr-Latn-ME"/>
              </w:rPr>
            </w:pPr>
            <w:r w:rsidRPr="0045764A">
              <w:rPr>
                <w:rFonts w:eastAsia="TimesNewRoman"/>
                <w:szCs w:val="22"/>
                <w:lang w:val="sr-Latn-ME"/>
              </w:rPr>
              <w:t>0,0002</w:t>
            </w:r>
            <w:r w:rsidRPr="0045764A">
              <w:rPr>
                <w:rFonts w:eastAsia="TimesNewRoman"/>
                <w:szCs w:val="22"/>
                <w:vertAlign w:val="superscript"/>
                <w:lang w:val="sr-Latn-ME"/>
              </w:rPr>
              <w:t>i</w:t>
            </w:r>
          </w:p>
        </w:tc>
      </w:tr>
    </w:tbl>
    <w:p w14:paraId="0607AA98" w14:textId="0B7644DA" w:rsidR="00396286" w:rsidRPr="0045764A" w:rsidRDefault="00396286"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CI = interval pouzdanosti; HR = </w:t>
      </w:r>
      <w:r w:rsidRPr="0045764A">
        <w:rPr>
          <w:rFonts w:eastAsia="TimesNewRoman"/>
          <w:i/>
          <w:iCs/>
          <w:szCs w:val="22"/>
          <w:lang w:val="sr-Latn-ME"/>
        </w:rPr>
        <w:t xml:space="preserve">hazard </w:t>
      </w:r>
      <w:proofErr w:type="spellStart"/>
      <w:r w:rsidRPr="0045764A">
        <w:rPr>
          <w:rFonts w:eastAsia="TimesNewRoman"/>
          <w:i/>
          <w:iCs/>
          <w:szCs w:val="22"/>
          <w:lang w:val="sr-Latn-ME"/>
        </w:rPr>
        <w:t>ratio</w:t>
      </w:r>
      <w:proofErr w:type="spellEnd"/>
      <w:r w:rsidRPr="0045764A">
        <w:rPr>
          <w:rFonts w:eastAsia="TimesNewRoman"/>
          <w:i/>
          <w:iCs/>
          <w:szCs w:val="22"/>
          <w:lang w:val="sr-Latn-ME"/>
        </w:rPr>
        <w:t xml:space="preserve"> </w:t>
      </w:r>
      <w:r w:rsidRPr="0045764A">
        <w:rPr>
          <w:rFonts w:eastAsia="TimesNewRoman"/>
          <w:szCs w:val="22"/>
          <w:lang w:val="sr-Latn-ME"/>
        </w:rPr>
        <w:t>(</w:t>
      </w:r>
      <w:proofErr w:type="spellStart"/>
      <w:r w:rsidRPr="0045764A">
        <w:rPr>
          <w:rFonts w:eastAsia="TimesNewRoman"/>
          <w:szCs w:val="22"/>
          <w:lang w:val="sr-Latn-ME"/>
        </w:rPr>
        <w:t>aksitinib</w:t>
      </w:r>
      <w:proofErr w:type="spellEnd"/>
      <w:r w:rsidRPr="0045764A">
        <w:rPr>
          <w:rFonts w:eastAsia="TimesNewRoman"/>
          <w:szCs w:val="22"/>
          <w:lang w:val="sr-Latn-ME"/>
        </w:rPr>
        <w:t>/</w:t>
      </w:r>
      <w:proofErr w:type="spellStart"/>
      <w:r w:rsidRPr="0045764A">
        <w:rPr>
          <w:rFonts w:eastAsia="TimesNewRoman"/>
          <w:szCs w:val="22"/>
          <w:lang w:val="sr-Latn-ME"/>
        </w:rPr>
        <w:t>sorafenib</w:t>
      </w:r>
      <w:proofErr w:type="spellEnd"/>
      <w:r w:rsidRPr="0045764A">
        <w:rPr>
          <w:rFonts w:eastAsia="TimesNewRoman"/>
          <w:szCs w:val="22"/>
          <w:lang w:val="sr-Latn-ME"/>
        </w:rPr>
        <w:t xml:space="preserve">); ITT (engl. </w:t>
      </w:r>
      <w:proofErr w:type="spellStart"/>
      <w:r w:rsidRPr="0045764A">
        <w:rPr>
          <w:rFonts w:eastAsia="TimesNewRoman"/>
          <w:i/>
          <w:iCs/>
          <w:szCs w:val="22"/>
          <w:lang w:val="sr-Latn-ME"/>
        </w:rPr>
        <w:t>intent</w:t>
      </w:r>
      <w:proofErr w:type="spellEnd"/>
      <w:r w:rsidR="00070D0B" w:rsidRPr="0045764A">
        <w:rPr>
          <w:rFonts w:eastAsia="TimesNewRoman"/>
          <w:i/>
          <w:iCs/>
          <w:szCs w:val="22"/>
          <w:lang w:val="sr-Latn-ME"/>
        </w:rPr>
        <w:t>-</w:t>
      </w:r>
      <w:r w:rsidRPr="0045764A">
        <w:rPr>
          <w:rFonts w:eastAsia="TimesNewRoman"/>
          <w:i/>
          <w:iCs/>
          <w:szCs w:val="22"/>
          <w:lang w:val="sr-Latn-ME"/>
        </w:rPr>
        <w:t>to</w:t>
      </w:r>
      <w:r w:rsidR="00070D0B" w:rsidRPr="0045764A">
        <w:rPr>
          <w:rFonts w:eastAsia="TimesNewRoman"/>
          <w:i/>
          <w:iCs/>
          <w:szCs w:val="22"/>
          <w:lang w:val="sr-Latn-ME"/>
        </w:rPr>
        <w:t>-</w:t>
      </w:r>
      <w:proofErr w:type="spellStart"/>
      <w:r w:rsidRPr="0045764A">
        <w:rPr>
          <w:rFonts w:eastAsia="TimesNewRoman"/>
          <w:i/>
          <w:iCs/>
          <w:szCs w:val="22"/>
          <w:lang w:val="sr-Latn-ME"/>
        </w:rPr>
        <w:t>treat</w:t>
      </w:r>
      <w:proofErr w:type="spellEnd"/>
      <w:r w:rsidRPr="0045764A">
        <w:rPr>
          <w:rFonts w:eastAsia="TimesNewRoman"/>
          <w:iCs/>
          <w:szCs w:val="22"/>
          <w:lang w:val="sr-Latn-ME"/>
        </w:rPr>
        <w:t>,</w:t>
      </w:r>
      <w:r w:rsidRPr="0045764A">
        <w:rPr>
          <w:rFonts w:eastAsia="TimesNewRoman"/>
          <w:i/>
          <w:iCs/>
          <w:szCs w:val="22"/>
          <w:lang w:val="sr-Latn-ME"/>
        </w:rPr>
        <w:t xml:space="preserve"> </w:t>
      </w:r>
      <w:r w:rsidRPr="0045764A">
        <w:rPr>
          <w:rFonts w:eastAsia="TimesNewRoman"/>
          <w:szCs w:val="22"/>
          <w:lang w:val="sr-Latn-ME"/>
        </w:rPr>
        <w:t>ITT): populacija koja je</w:t>
      </w:r>
      <w:r w:rsidR="006B111D" w:rsidRPr="0045764A">
        <w:rPr>
          <w:rFonts w:eastAsia="TimesNewRoman"/>
          <w:szCs w:val="22"/>
          <w:lang w:val="sr-Latn-ME"/>
        </w:rPr>
        <w:t xml:space="preserve"> </w:t>
      </w:r>
      <w:r w:rsidRPr="0045764A">
        <w:rPr>
          <w:rFonts w:eastAsia="TimesNewRoman"/>
          <w:szCs w:val="22"/>
          <w:lang w:val="sr-Latn-ME"/>
        </w:rPr>
        <w:t>predviđena da se l</w:t>
      </w:r>
      <w:r w:rsidR="006B111D" w:rsidRPr="0045764A">
        <w:rPr>
          <w:rFonts w:eastAsia="TimesNewRoman"/>
          <w:szCs w:val="22"/>
          <w:lang w:val="sr-Latn-ME"/>
        </w:rPr>
        <w:t>ij</w:t>
      </w:r>
      <w:r w:rsidRPr="0045764A">
        <w:rPr>
          <w:rFonts w:eastAsia="TimesNewRoman"/>
          <w:szCs w:val="22"/>
          <w:lang w:val="sr-Latn-ME"/>
        </w:rPr>
        <w:t>eči</w:t>
      </w:r>
      <w:r w:rsidRPr="0045764A">
        <w:rPr>
          <w:rFonts w:eastAsia="TimesNewRoman"/>
          <w:iCs/>
          <w:szCs w:val="22"/>
          <w:lang w:val="sr-Latn-ME"/>
        </w:rPr>
        <w:t>;</w:t>
      </w:r>
      <w:r w:rsidRPr="0045764A">
        <w:rPr>
          <w:rFonts w:eastAsia="TimesNewRoman"/>
          <w:i/>
          <w:iCs/>
          <w:szCs w:val="22"/>
          <w:lang w:val="sr-Latn-ME"/>
        </w:rPr>
        <w:t xml:space="preserve"> </w:t>
      </w:r>
      <w:r w:rsidRPr="0045764A">
        <w:rPr>
          <w:rFonts w:eastAsia="TimesNewRoman"/>
          <w:szCs w:val="22"/>
          <w:lang w:val="sr-Latn-ME"/>
        </w:rPr>
        <w:t xml:space="preserve">NE: </w:t>
      </w:r>
      <w:r w:rsidR="00803D68" w:rsidRPr="0045764A">
        <w:rPr>
          <w:rFonts w:eastAsia="TimesNewRoman"/>
          <w:szCs w:val="22"/>
          <w:lang w:val="sr-Latn-ME"/>
        </w:rPr>
        <w:t>ne može se procijeniti</w:t>
      </w:r>
      <w:r w:rsidRPr="0045764A">
        <w:rPr>
          <w:rFonts w:eastAsia="TimesNewRoman"/>
          <w:szCs w:val="22"/>
          <w:lang w:val="sr-Latn-ME"/>
        </w:rPr>
        <w:t>; NS: nije statistički značajno; ORR: stopa objektivnog odgovora, OS: ukupno</w:t>
      </w:r>
      <w:r w:rsidR="006B111D" w:rsidRPr="0045764A">
        <w:rPr>
          <w:rFonts w:eastAsia="TimesNewRoman"/>
          <w:szCs w:val="22"/>
          <w:lang w:val="sr-Latn-ME"/>
        </w:rPr>
        <w:t xml:space="preserve"> </w:t>
      </w:r>
      <w:r w:rsidRPr="0045764A">
        <w:rPr>
          <w:rFonts w:eastAsia="TimesNewRoman"/>
          <w:szCs w:val="22"/>
          <w:lang w:val="sr-Latn-ME"/>
        </w:rPr>
        <w:t>preživljavanje; PFS: preživljavanje bez progresije bolesti.</w:t>
      </w:r>
    </w:p>
    <w:p w14:paraId="76F4FB97" w14:textId="44B04A9E" w:rsidR="00396286" w:rsidRPr="0045764A" w:rsidRDefault="00396286" w:rsidP="001445B8">
      <w:pPr>
        <w:pStyle w:val="ListParagraph"/>
        <w:numPr>
          <w:ilvl w:val="0"/>
          <w:numId w:val="5"/>
        </w:numPr>
        <w:tabs>
          <w:tab w:val="clear" w:pos="284"/>
        </w:tabs>
        <w:autoSpaceDE w:val="0"/>
        <w:autoSpaceDN w:val="0"/>
        <w:adjustRightInd w:val="0"/>
        <w:ind w:left="142" w:hanging="142"/>
        <w:rPr>
          <w:rFonts w:eastAsia="TimesNewRoman"/>
          <w:szCs w:val="22"/>
          <w:lang w:val="sr-Latn-ME"/>
        </w:rPr>
      </w:pPr>
      <w:r w:rsidRPr="0045764A">
        <w:rPr>
          <w:rFonts w:eastAsia="TimesNewRoman"/>
          <w:szCs w:val="22"/>
          <w:lang w:val="sr-Latn-ME"/>
        </w:rPr>
        <w:t>Vr</w:t>
      </w:r>
      <w:r w:rsidR="006B111D" w:rsidRPr="0045764A">
        <w:rPr>
          <w:rFonts w:eastAsia="TimesNewRoman"/>
          <w:szCs w:val="22"/>
          <w:lang w:val="sr-Latn-ME"/>
        </w:rPr>
        <w:t>ij</w:t>
      </w:r>
      <w:r w:rsidRPr="0045764A">
        <w:rPr>
          <w:rFonts w:eastAsia="TimesNewRoman"/>
          <w:szCs w:val="22"/>
          <w:lang w:val="sr-Latn-ME"/>
        </w:rPr>
        <w:t xml:space="preserve">eme od </w:t>
      </w:r>
      <w:proofErr w:type="spellStart"/>
      <w:r w:rsidRPr="0045764A">
        <w:rPr>
          <w:rFonts w:eastAsia="TimesNewRoman"/>
          <w:szCs w:val="22"/>
          <w:lang w:val="sr-Latn-ME"/>
        </w:rPr>
        <w:t>randomizacije</w:t>
      </w:r>
      <w:proofErr w:type="spellEnd"/>
      <w:r w:rsidRPr="0045764A">
        <w:rPr>
          <w:rFonts w:eastAsia="TimesNewRoman"/>
          <w:szCs w:val="22"/>
          <w:lang w:val="sr-Latn-ME"/>
        </w:rPr>
        <w:t xml:space="preserve"> do progresije ili smrti </w:t>
      </w:r>
      <w:proofErr w:type="spellStart"/>
      <w:r w:rsidRPr="0045764A">
        <w:rPr>
          <w:rFonts w:eastAsia="TimesNewRoman"/>
          <w:szCs w:val="22"/>
          <w:lang w:val="sr-Latn-ME"/>
        </w:rPr>
        <w:t>usl</w:t>
      </w:r>
      <w:r w:rsidR="006B111D" w:rsidRPr="0045764A">
        <w:rPr>
          <w:rFonts w:eastAsia="TimesNewRoman"/>
          <w:szCs w:val="22"/>
          <w:lang w:val="sr-Latn-ME"/>
        </w:rPr>
        <w:t>j</w:t>
      </w:r>
      <w:r w:rsidRPr="0045764A">
        <w:rPr>
          <w:rFonts w:eastAsia="TimesNewRoman"/>
          <w:szCs w:val="22"/>
          <w:lang w:val="sr-Latn-ME"/>
        </w:rPr>
        <w:t>ed</w:t>
      </w:r>
      <w:proofErr w:type="spellEnd"/>
      <w:r w:rsidRPr="0045764A">
        <w:rPr>
          <w:rFonts w:eastAsia="TimesNewRoman"/>
          <w:szCs w:val="22"/>
          <w:lang w:val="sr-Latn-ME"/>
        </w:rPr>
        <w:t xml:space="preserve"> bilo kog uzroka, šta god se prvo dogodi. Datum prekida:</w:t>
      </w:r>
      <w:r w:rsidR="00C90BB1" w:rsidRPr="0045764A">
        <w:rPr>
          <w:rFonts w:eastAsia="TimesNewRoman"/>
          <w:szCs w:val="22"/>
          <w:lang w:val="sr-Latn-ME"/>
        </w:rPr>
        <w:t xml:space="preserve"> </w:t>
      </w:r>
      <w:r w:rsidRPr="0045764A">
        <w:rPr>
          <w:rFonts w:eastAsia="TimesNewRoman"/>
          <w:szCs w:val="22"/>
          <w:lang w:val="sr-Latn-ME"/>
        </w:rPr>
        <w:t>3. jun 2011. godine</w:t>
      </w:r>
    </w:p>
    <w:p w14:paraId="48133244" w14:textId="3A2B7A06" w:rsidR="00396286" w:rsidRPr="0045764A" w:rsidRDefault="00396286" w:rsidP="001445B8">
      <w:pPr>
        <w:pStyle w:val="ListParagraph"/>
        <w:numPr>
          <w:ilvl w:val="0"/>
          <w:numId w:val="5"/>
        </w:numPr>
        <w:tabs>
          <w:tab w:val="clear" w:pos="284"/>
        </w:tabs>
        <w:autoSpaceDE w:val="0"/>
        <w:autoSpaceDN w:val="0"/>
        <w:adjustRightInd w:val="0"/>
        <w:ind w:left="142" w:hanging="142"/>
        <w:rPr>
          <w:rFonts w:eastAsia="TimesNewRoman"/>
          <w:szCs w:val="22"/>
          <w:lang w:val="sr-Latn-ME"/>
        </w:rPr>
      </w:pPr>
      <w:r w:rsidRPr="0045764A">
        <w:rPr>
          <w:rFonts w:eastAsia="TimesNewRoman"/>
          <w:szCs w:val="22"/>
          <w:lang w:val="sr-Latn-ME"/>
        </w:rPr>
        <w:t>Proc</w:t>
      </w:r>
      <w:r w:rsidR="006B111D" w:rsidRPr="0045764A">
        <w:rPr>
          <w:rFonts w:eastAsia="TimesNewRoman"/>
          <w:szCs w:val="22"/>
          <w:lang w:val="sr-Latn-ME"/>
        </w:rPr>
        <w:t>ij</w:t>
      </w:r>
      <w:r w:rsidRPr="0045764A">
        <w:rPr>
          <w:rFonts w:eastAsia="TimesNewRoman"/>
          <w:szCs w:val="22"/>
          <w:lang w:val="sr-Latn-ME"/>
        </w:rPr>
        <w:t xml:space="preserve">enjeno nezavisnim </w:t>
      </w:r>
      <w:proofErr w:type="spellStart"/>
      <w:r w:rsidRPr="0045764A">
        <w:rPr>
          <w:rFonts w:eastAsia="TimesNewRoman"/>
          <w:szCs w:val="22"/>
          <w:lang w:val="sr-Latn-ME"/>
        </w:rPr>
        <w:t>radiološkim</w:t>
      </w:r>
      <w:proofErr w:type="spellEnd"/>
      <w:r w:rsidRPr="0045764A">
        <w:rPr>
          <w:rFonts w:eastAsia="TimesNewRoman"/>
          <w:szCs w:val="22"/>
          <w:lang w:val="sr-Latn-ME"/>
        </w:rPr>
        <w:t xml:space="preserve"> </w:t>
      </w:r>
      <w:proofErr w:type="spellStart"/>
      <w:r w:rsidRPr="0045764A">
        <w:rPr>
          <w:rFonts w:eastAsia="TimesNewRoman"/>
          <w:szCs w:val="22"/>
          <w:lang w:val="sr-Latn-ME"/>
        </w:rPr>
        <w:t>pregledom</w:t>
      </w:r>
      <w:proofErr w:type="spellEnd"/>
      <w:r w:rsidRPr="0045764A">
        <w:rPr>
          <w:rFonts w:eastAsia="TimesNewRoman"/>
          <w:szCs w:val="22"/>
          <w:lang w:val="sr-Latn-ME"/>
        </w:rPr>
        <w:t xml:space="preserve"> prema kriterijumima za proc</w:t>
      </w:r>
      <w:r w:rsidR="006B111D" w:rsidRPr="0045764A">
        <w:rPr>
          <w:rFonts w:eastAsia="TimesNewRoman"/>
          <w:szCs w:val="22"/>
          <w:lang w:val="sr-Latn-ME"/>
        </w:rPr>
        <w:t>j</w:t>
      </w:r>
      <w:r w:rsidRPr="0045764A">
        <w:rPr>
          <w:rFonts w:eastAsia="TimesNewRoman"/>
          <w:szCs w:val="22"/>
          <w:lang w:val="sr-Latn-ME"/>
        </w:rPr>
        <w:t>enu odgovora kod solidnih tumora</w:t>
      </w:r>
      <w:r w:rsidR="002972AB" w:rsidRPr="0045764A">
        <w:rPr>
          <w:rFonts w:eastAsia="TimesNewRoman"/>
          <w:szCs w:val="22"/>
          <w:lang w:val="sr-Latn-ME"/>
        </w:rPr>
        <w:t xml:space="preserve"> </w:t>
      </w:r>
      <w:r w:rsidRPr="0045764A">
        <w:rPr>
          <w:rFonts w:eastAsia="TimesNewRoman"/>
          <w:szCs w:val="22"/>
          <w:lang w:val="sr-Latn-ME"/>
        </w:rPr>
        <w:t xml:space="preserve">(engl. </w:t>
      </w:r>
      <w:proofErr w:type="spellStart"/>
      <w:r w:rsidRPr="0045764A">
        <w:rPr>
          <w:rFonts w:eastAsia="TimesNewRoman"/>
          <w:i/>
          <w:iCs/>
          <w:szCs w:val="22"/>
          <w:lang w:val="sr-Latn-ME"/>
        </w:rPr>
        <w:t>Response</w:t>
      </w:r>
      <w:proofErr w:type="spellEnd"/>
      <w:r w:rsidRPr="0045764A">
        <w:rPr>
          <w:rFonts w:eastAsia="TimesNewRoman"/>
          <w:i/>
          <w:iCs/>
          <w:szCs w:val="22"/>
          <w:lang w:val="sr-Latn-ME"/>
        </w:rPr>
        <w:t xml:space="preserve"> </w:t>
      </w:r>
      <w:proofErr w:type="spellStart"/>
      <w:r w:rsidRPr="0045764A">
        <w:rPr>
          <w:rFonts w:eastAsia="TimesNewRoman"/>
          <w:i/>
          <w:iCs/>
          <w:szCs w:val="22"/>
          <w:lang w:val="sr-Latn-ME"/>
        </w:rPr>
        <w:t>Evaluation</w:t>
      </w:r>
      <w:proofErr w:type="spellEnd"/>
      <w:r w:rsidRPr="0045764A">
        <w:rPr>
          <w:rFonts w:eastAsia="TimesNewRoman"/>
          <w:i/>
          <w:iCs/>
          <w:szCs w:val="22"/>
          <w:lang w:val="sr-Latn-ME"/>
        </w:rPr>
        <w:t xml:space="preserve"> </w:t>
      </w:r>
      <w:proofErr w:type="spellStart"/>
      <w:r w:rsidRPr="0045764A">
        <w:rPr>
          <w:rFonts w:eastAsia="TimesNewRoman"/>
          <w:i/>
          <w:iCs/>
          <w:szCs w:val="22"/>
          <w:lang w:val="sr-Latn-ME"/>
        </w:rPr>
        <w:t>Criteria</w:t>
      </w:r>
      <w:proofErr w:type="spellEnd"/>
      <w:r w:rsidRPr="0045764A">
        <w:rPr>
          <w:rFonts w:eastAsia="TimesNewRoman"/>
          <w:i/>
          <w:iCs/>
          <w:szCs w:val="22"/>
          <w:lang w:val="sr-Latn-ME"/>
        </w:rPr>
        <w:t xml:space="preserve"> in </w:t>
      </w:r>
      <w:proofErr w:type="spellStart"/>
      <w:r w:rsidRPr="0045764A">
        <w:rPr>
          <w:rFonts w:eastAsia="TimesNewRoman"/>
          <w:i/>
          <w:iCs/>
          <w:szCs w:val="22"/>
          <w:lang w:val="sr-Latn-ME"/>
        </w:rPr>
        <w:t>Solid</w:t>
      </w:r>
      <w:proofErr w:type="spellEnd"/>
      <w:r w:rsidRPr="0045764A">
        <w:rPr>
          <w:rFonts w:eastAsia="TimesNewRoman"/>
          <w:i/>
          <w:iCs/>
          <w:szCs w:val="22"/>
          <w:lang w:val="sr-Latn-ME"/>
        </w:rPr>
        <w:t xml:space="preserve"> </w:t>
      </w:r>
      <w:proofErr w:type="spellStart"/>
      <w:r w:rsidRPr="0045764A">
        <w:rPr>
          <w:rFonts w:eastAsia="TimesNewRoman"/>
          <w:i/>
          <w:iCs/>
          <w:szCs w:val="22"/>
          <w:lang w:val="sr-Latn-ME"/>
        </w:rPr>
        <w:t>Tumours</w:t>
      </w:r>
      <w:proofErr w:type="spellEnd"/>
      <w:r w:rsidRPr="0045764A">
        <w:rPr>
          <w:rFonts w:eastAsia="TimesNewRoman"/>
          <w:iCs/>
          <w:szCs w:val="22"/>
          <w:lang w:val="sr-Latn-ME"/>
        </w:rPr>
        <w:t>,</w:t>
      </w:r>
      <w:r w:rsidRPr="0045764A">
        <w:rPr>
          <w:rFonts w:eastAsia="TimesNewRoman"/>
          <w:i/>
          <w:iCs/>
          <w:szCs w:val="22"/>
          <w:lang w:val="sr-Latn-ME"/>
        </w:rPr>
        <w:t xml:space="preserve"> </w:t>
      </w:r>
      <w:r w:rsidRPr="0045764A">
        <w:rPr>
          <w:rFonts w:eastAsia="TimesNewRoman"/>
          <w:szCs w:val="22"/>
          <w:lang w:val="sr-Latn-ME"/>
        </w:rPr>
        <w:t>RECIST).</w:t>
      </w:r>
    </w:p>
    <w:p w14:paraId="237C41F5" w14:textId="41BBDE47" w:rsidR="00396286" w:rsidRPr="0045764A" w:rsidRDefault="00396286" w:rsidP="001445B8">
      <w:pPr>
        <w:pStyle w:val="ListParagraph"/>
        <w:numPr>
          <w:ilvl w:val="0"/>
          <w:numId w:val="5"/>
        </w:numPr>
        <w:tabs>
          <w:tab w:val="clear" w:pos="284"/>
        </w:tabs>
        <w:autoSpaceDE w:val="0"/>
        <w:autoSpaceDN w:val="0"/>
        <w:adjustRightInd w:val="0"/>
        <w:ind w:left="142" w:hanging="142"/>
        <w:rPr>
          <w:rFonts w:eastAsia="TimesNewRoman"/>
          <w:szCs w:val="22"/>
          <w:lang w:val="sr-Latn-ME"/>
        </w:rPr>
      </w:pPr>
      <w:r w:rsidRPr="0045764A">
        <w:rPr>
          <w:rFonts w:eastAsia="TimesNewRoman"/>
          <w:szCs w:val="22"/>
          <w:lang w:val="sr-Latn-ME"/>
        </w:rPr>
        <w:t>Jednostrana p-</w:t>
      </w:r>
      <w:r w:rsidR="008E2492" w:rsidRPr="0045764A">
        <w:rPr>
          <w:rFonts w:eastAsia="TimesNewRoman"/>
          <w:szCs w:val="22"/>
          <w:lang w:val="sr-Latn-ME"/>
        </w:rPr>
        <w:t>vrijednost</w:t>
      </w:r>
      <w:r w:rsidRPr="0045764A">
        <w:rPr>
          <w:rFonts w:eastAsia="TimesNewRoman"/>
          <w:szCs w:val="22"/>
          <w:lang w:val="sr-Latn-ME"/>
        </w:rPr>
        <w:t xml:space="preserve"> iz </w:t>
      </w:r>
      <w:r w:rsidRPr="0045764A">
        <w:rPr>
          <w:rFonts w:eastAsia="TimesNewRoman"/>
          <w:i/>
          <w:iCs/>
          <w:szCs w:val="22"/>
          <w:lang w:val="sr-Latn-ME"/>
        </w:rPr>
        <w:t>log-</w:t>
      </w:r>
      <w:proofErr w:type="spellStart"/>
      <w:r w:rsidRPr="0045764A">
        <w:rPr>
          <w:rFonts w:eastAsia="TimesNewRoman"/>
          <w:i/>
          <w:iCs/>
          <w:szCs w:val="22"/>
          <w:lang w:val="sr-Latn-ME"/>
        </w:rPr>
        <w:t>rank</w:t>
      </w:r>
      <w:proofErr w:type="spellEnd"/>
      <w:r w:rsidRPr="0045764A">
        <w:rPr>
          <w:rFonts w:eastAsia="TimesNewRoman"/>
          <w:i/>
          <w:iCs/>
          <w:szCs w:val="22"/>
          <w:lang w:val="sr-Latn-ME"/>
        </w:rPr>
        <w:t xml:space="preserve"> </w:t>
      </w:r>
      <w:r w:rsidRPr="0045764A">
        <w:rPr>
          <w:rFonts w:eastAsia="TimesNewRoman"/>
          <w:szCs w:val="22"/>
          <w:lang w:val="sr-Latn-ME"/>
        </w:rPr>
        <w:t xml:space="preserve">testa </w:t>
      </w:r>
      <w:proofErr w:type="spellStart"/>
      <w:r w:rsidRPr="0045764A">
        <w:rPr>
          <w:rFonts w:eastAsia="TimesNewRoman"/>
          <w:szCs w:val="22"/>
          <w:lang w:val="sr-Latn-ME"/>
        </w:rPr>
        <w:t>stratifikovan</w:t>
      </w:r>
      <w:r w:rsidR="008C28EC" w:rsidRPr="0045764A">
        <w:rPr>
          <w:rFonts w:eastAsia="TimesNewRoman"/>
          <w:szCs w:val="22"/>
          <w:lang w:val="sr-Latn-ME"/>
        </w:rPr>
        <w:t>og</w:t>
      </w:r>
      <w:proofErr w:type="spellEnd"/>
      <w:r w:rsidRPr="0045764A">
        <w:rPr>
          <w:rFonts w:eastAsia="TimesNewRoman"/>
          <w:szCs w:val="22"/>
          <w:lang w:val="sr-Latn-ME"/>
        </w:rPr>
        <w:t xml:space="preserve"> po ECOG performans statusu i prethodnoj terapiji.</w:t>
      </w:r>
    </w:p>
    <w:p w14:paraId="70FB1304" w14:textId="5FF93727" w:rsidR="00396286" w:rsidRPr="0045764A" w:rsidRDefault="00396286" w:rsidP="001445B8">
      <w:pPr>
        <w:pStyle w:val="ListParagraph"/>
        <w:numPr>
          <w:ilvl w:val="0"/>
          <w:numId w:val="5"/>
        </w:numPr>
        <w:tabs>
          <w:tab w:val="clear" w:pos="284"/>
        </w:tabs>
        <w:autoSpaceDE w:val="0"/>
        <w:autoSpaceDN w:val="0"/>
        <w:adjustRightInd w:val="0"/>
        <w:ind w:left="142" w:hanging="142"/>
        <w:rPr>
          <w:rFonts w:eastAsia="TimesNewRoman"/>
          <w:szCs w:val="22"/>
          <w:lang w:val="sr-Latn-ME"/>
        </w:rPr>
      </w:pPr>
      <w:r w:rsidRPr="0045764A">
        <w:rPr>
          <w:rFonts w:eastAsia="TimesNewRoman"/>
          <w:szCs w:val="22"/>
          <w:lang w:val="sr-Latn-ME"/>
        </w:rPr>
        <w:t>Datum prekida: 1. novembar 2011. godine</w:t>
      </w:r>
    </w:p>
    <w:p w14:paraId="6B157770" w14:textId="76C5B984" w:rsidR="00396286" w:rsidRPr="0045764A" w:rsidRDefault="00396286" w:rsidP="001445B8">
      <w:pPr>
        <w:pStyle w:val="ListParagraph"/>
        <w:numPr>
          <w:ilvl w:val="0"/>
          <w:numId w:val="5"/>
        </w:numPr>
        <w:tabs>
          <w:tab w:val="clear" w:pos="284"/>
        </w:tabs>
        <w:autoSpaceDE w:val="0"/>
        <w:autoSpaceDN w:val="0"/>
        <w:adjustRightInd w:val="0"/>
        <w:ind w:left="142" w:hanging="142"/>
        <w:rPr>
          <w:rFonts w:eastAsia="TimesNewRoman"/>
          <w:szCs w:val="22"/>
          <w:lang w:val="sr-Latn-ME"/>
        </w:rPr>
      </w:pPr>
      <w:r w:rsidRPr="0045764A">
        <w:rPr>
          <w:rFonts w:eastAsia="TimesNewRoman"/>
          <w:szCs w:val="22"/>
          <w:lang w:val="sr-Latn-ME"/>
        </w:rPr>
        <w:t>Datum prekida: 31. avgust 2010. godine</w:t>
      </w:r>
    </w:p>
    <w:p w14:paraId="1335B84E" w14:textId="1A6B01CE" w:rsidR="00396286" w:rsidRPr="0045764A" w:rsidRDefault="00396286" w:rsidP="001445B8">
      <w:pPr>
        <w:pStyle w:val="ListParagraph"/>
        <w:numPr>
          <w:ilvl w:val="0"/>
          <w:numId w:val="5"/>
        </w:numPr>
        <w:tabs>
          <w:tab w:val="clear" w:pos="284"/>
        </w:tabs>
        <w:autoSpaceDE w:val="0"/>
        <w:autoSpaceDN w:val="0"/>
        <w:adjustRightInd w:val="0"/>
        <w:ind w:left="142" w:hanging="142"/>
        <w:rPr>
          <w:rFonts w:eastAsia="TimesNewRoman"/>
          <w:szCs w:val="22"/>
          <w:lang w:val="sr-Latn-ME"/>
        </w:rPr>
      </w:pPr>
      <w:r w:rsidRPr="0045764A">
        <w:rPr>
          <w:rFonts w:eastAsia="TimesNewRoman"/>
          <w:szCs w:val="22"/>
          <w:lang w:val="sr-Latn-ME"/>
        </w:rPr>
        <w:t>Stopa rizika se koristi za ORR. Stopa rizika &gt; 1 ukazuje na veću v</w:t>
      </w:r>
      <w:r w:rsidR="006B111D" w:rsidRPr="0045764A">
        <w:rPr>
          <w:rFonts w:eastAsia="TimesNewRoman"/>
          <w:szCs w:val="22"/>
          <w:lang w:val="sr-Latn-ME"/>
        </w:rPr>
        <w:t>j</w:t>
      </w:r>
      <w:r w:rsidRPr="0045764A">
        <w:rPr>
          <w:rFonts w:eastAsia="TimesNewRoman"/>
          <w:szCs w:val="22"/>
          <w:lang w:val="sr-Latn-ME"/>
        </w:rPr>
        <w:t xml:space="preserve">erovatnoću odgovora u </w:t>
      </w:r>
      <w:proofErr w:type="spellStart"/>
      <w:r w:rsidRPr="0045764A">
        <w:rPr>
          <w:rFonts w:eastAsia="TimesNewRoman"/>
          <w:szCs w:val="22"/>
          <w:lang w:val="sr-Latn-ME"/>
        </w:rPr>
        <w:t>aksitinib</w:t>
      </w:r>
      <w:proofErr w:type="spellEnd"/>
      <w:r w:rsidRPr="0045764A">
        <w:rPr>
          <w:rFonts w:eastAsia="TimesNewRoman"/>
          <w:szCs w:val="22"/>
          <w:lang w:val="sr-Latn-ME"/>
        </w:rPr>
        <w:t xml:space="preserve"> grupi; stopa</w:t>
      </w:r>
      <w:r w:rsidR="002972AB" w:rsidRPr="0045764A">
        <w:rPr>
          <w:rFonts w:eastAsia="TimesNewRoman"/>
          <w:szCs w:val="22"/>
          <w:lang w:val="sr-Latn-ME"/>
        </w:rPr>
        <w:t xml:space="preserve"> </w:t>
      </w:r>
      <w:r w:rsidRPr="0045764A">
        <w:rPr>
          <w:rFonts w:eastAsia="TimesNewRoman"/>
          <w:szCs w:val="22"/>
          <w:lang w:val="sr-Latn-ME"/>
        </w:rPr>
        <w:t>rizika &lt; 1 ukazuje na veću v</w:t>
      </w:r>
      <w:r w:rsidR="006B111D" w:rsidRPr="0045764A">
        <w:rPr>
          <w:rFonts w:eastAsia="TimesNewRoman"/>
          <w:szCs w:val="22"/>
          <w:lang w:val="sr-Latn-ME"/>
        </w:rPr>
        <w:t>j</w:t>
      </w:r>
      <w:r w:rsidRPr="0045764A">
        <w:rPr>
          <w:rFonts w:eastAsia="TimesNewRoman"/>
          <w:szCs w:val="22"/>
          <w:lang w:val="sr-Latn-ME"/>
        </w:rPr>
        <w:t xml:space="preserve">erovatnoću odgovora u </w:t>
      </w:r>
      <w:proofErr w:type="spellStart"/>
      <w:r w:rsidRPr="0045764A">
        <w:rPr>
          <w:rFonts w:eastAsia="TimesNewRoman"/>
          <w:szCs w:val="22"/>
          <w:lang w:val="sr-Latn-ME"/>
        </w:rPr>
        <w:t>sorafenib</w:t>
      </w:r>
      <w:proofErr w:type="spellEnd"/>
      <w:r w:rsidRPr="0045764A">
        <w:rPr>
          <w:rFonts w:eastAsia="TimesNewRoman"/>
          <w:szCs w:val="22"/>
          <w:lang w:val="sr-Latn-ME"/>
        </w:rPr>
        <w:t xml:space="preserve"> grupi.</w:t>
      </w:r>
    </w:p>
    <w:p w14:paraId="0B4FDD58" w14:textId="6EA45E5F" w:rsidR="002807DF" w:rsidRPr="0045764A" w:rsidRDefault="00396286" w:rsidP="001445B8">
      <w:pPr>
        <w:pStyle w:val="ListParagraph"/>
        <w:numPr>
          <w:ilvl w:val="0"/>
          <w:numId w:val="5"/>
        </w:numPr>
        <w:tabs>
          <w:tab w:val="clear" w:pos="284"/>
        </w:tabs>
        <w:autoSpaceDE w:val="0"/>
        <w:autoSpaceDN w:val="0"/>
        <w:adjustRightInd w:val="0"/>
        <w:ind w:left="142" w:hanging="142"/>
        <w:rPr>
          <w:rFonts w:eastAsia="TimesNewRoman"/>
          <w:szCs w:val="22"/>
          <w:lang w:val="sr-Latn-ME"/>
        </w:rPr>
      </w:pPr>
      <w:r w:rsidRPr="0045764A">
        <w:rPr>
          <w:rFonts w:eastAsia="TimesNewRoman"/>
          <w:szCs w:val="22"/>
          <w:lang w:val="sr-Latn-ME"/>
        </w:rPr>
        <w:t>Jednostrana p-</w:t>
      </w:r>
      <w:r w:rsidR="008E2492" w:rsidRPr="0045764A">
        <w:rPr>
          <w:rFonts w:eastAsia="TimesNewRoman"/>
          <w:szCs w:val="22"/>
          <w:lang w:val="sr-Latn-ME"/>
        </w:rPr>
        <w:t>vrijednost</w:t>
      </w:r>
      <w:r w:rsidRPr="0045764A">
        <w:rPr>
          <w:rFonts w:eastAsia="TimesNewRoman"/>
          <w:szCs w:val="22"/>
          <w:lang w:val="sr-Latn-ME"/>
        </w:rPr>
        <w:t xml:space="preserve"> iz </w:t>
      </w:r>
      <w:proofErr w:type="spellStart"/>
      <w:r w:rsidRPr="0045764A">
        <w:rPr>
          <w:rFonts w:eastAsia="TimesNewRoman"/>
          <w:i/>
          <w:iCs/>
          <w:szCs w:val="22"/>
          <w:lang w:val="sr-Latn-ME"/>
        </w:rPr>
        <w:t>Cochran-Mantel-Haenszel</w:t>
      </w:r>
      <w:proofErr w:type="spellEnd"/>
      <w:r w:rsidRPr="0045764A">
        <w:rPr>
          <w:rFonts w:eastAsia="TimesNewRoman"/>
          <w:i/>
          <w:iCs/>
          <w:szCs w:val="22"/>
          <w:lang w:val="sr-Latn-ME"/>
        </w:rPr>
        <w:t xml:space="preserve"> </w:t>
      </w:r>
      <w:r w:rsidRPr="0045764A">
        <w:rPr>
          <w:rFonts w:eastAsia="TimesNewRoman"/>
          <w:szCs w:val="22"/>
          <w:lang w:val="sr-Latn-ME"/>
        </w:rPr>
        <w:t xml:space="preserve">testa </w:t>
      </w:r>
      <w:proofErr w:type="spellStart"/>
      <w:r w:rsidRPr="0045764A">
        <w:rPr>
          <w:rFonts w:eastAsia="TimesNewRoman"/>
          <w:szCs w:val="22"/>
          <w:lang w:val="sr-Latn-ME"/>
        </w:rPr>
        <w:t>stratifikovan</w:t>
      </w:r>
      <w:r w:rsidR="008C28EC" w:rsidRPr="0045764A">
        <w:rPr>
          <w:rFonts w:eastAsia="TimesNewRoman"/>
          <w:szCs w:val="22"/>
          <w:lang w:val="sr-Latn-ME"/>
        </w:rPr>
        <w:t>og</w:t>
      </w:r>
      <w:proofErr w:type="spellEnd"/>
      <w:r w:rsidRPr="0045764A">
        <w:rPr>
          <w:rFonts w:eastAsia="TimesNewRoman"/>
          <w:szCs w:val="22"/>
          <w:lang w:val="sr-Latn-ME"/>
        </w:rPr>
        <w:t xml:space="preserve"> po ECOG performans statusu i prethodnoj</w:t>
      </w:r>
      <w:r w:rsidR="002972AB" w:rsidRPr="0045764A">
        <w:rPr>
          <w:rFonts w:eastAsia="TimesNewRoman"/>
          <w:szCs w:val="22"/>
          <w:lang w:val="sr-Latn-ME"/>
        </w:rPr>
        <w:t xml:space="preserve"> </w:t>
      </w:r>
      <w:r w:rsidRPr="0045764A">
        <w:rPr>
          <w:rFonts w:eastAsia="TimesNewRoman"/>
          <w:szCs w:val="22"/>
          <w:lang w:val="sr-Latn-ME"/>
        </w:rPr>
        <w:t>terapiji.</w:t>
      </w:r>
    </w:p>
    <w:p w14:paraId="2B9B4844" w14:textId="54C88D82" w:rsidR="00396286" w:rsidRPr="0045764A" w:rsidRDefault="00396286" w:rsidP="001445B8">
      <w:pPr>
        <w:pStyle w:val="ListParagraph"/>
        <w:numPr>
          <w:ilvl w:val="0"/>
          <w:numId w:val="5"/>
        </w:numPr>
        <w:tabs>
          <w:tab w:val="clear" w:pos="284"/>
        </w:tabs>
        <w:autoSpaceDE w:val="0"/>
        <w:autoSpaceDN w:val="0"/>
        <w:adjustRightInd w:val="0"/>
        <w:ind w:left="142" w:hanging="142"/>
        <w:rPr>
          <w:rFonts w:eastAsia="TimesNewRoman"/>
          <w:szCs w:val="22"/>
          <w:lang w:val="sr-Latn-ME"/>
        </w:rPr>
      </w:pPr>
      <w:r w:rsidRPr="0045764A">
        <w:rPr>
          <w:rFonts w:eastAsia="TimesNewRoman"/>
          <w:szCs w:val="22"/>
          <w:lang w:val="sr-Latn-ME"/>
        </w:rPr>
        <w:t>Jednostrana p-</w:t>
      </w:r>
      <w:r w:rsidR="008E2492" w:rsidRPr="0045764A">
        <w:rPr>
          <w:rFonts w:eastAsia="TimesNewRoman"/>
          <w:szCs w:val="22"/>
          <w:lang w:val="sr-Latn-ME"/>
        </w:rPr>
        <w:t>vrijednost</w:t>
      </w:r>
      <w:r w:rsidRPr="0045764A">
        <w:rPr>
          <w:rFonts w:eastAsia="TimesNewRoman"/>
          <w:szCs w:val="22"/>
          <w:lang w:val="sr-Latn-ME"/>
        </w:rPr>
        <w:t xml:space="preserve"> iz </w:t>
      </w:r>
      <w:r w:rsidRPr="0045764A">
        <w:rPr>
          <w:rFonts w:eastAsia="TimesNewRoman"/>
          <w:i/>
          <w:iCs/>
          <w:szCs w:val="22"/>
          <w:lang w:val="sr-Latn-ME"/>
        </w:rPr>
        <w:t>log-</w:t>
      </w:r>
      <w:proofErr w:type="spellStart"/>
      <w:r w:rsidRPr="0045764A">
        <w:rPr>
          <w:rFonts w:eastAsia="TimesNewRoman"/>
          <w:i/>
          <w:iCs/>
          <w:szCs w:val="22"/>
          <w:lang w:val="sr-Latn-ME"/>
        </w:rPr>
        <w:t>rank</w:t>
      </w:r>
      <w:proofErr w:type="spellEnd"/>
      <w:r w:rsidRPr="0045764A">
        <w:rPr>
          <w:rFonts w:eastAsia="TimesNewRoman"/>
          <w:i/>
          <w:iCs/>
          <w:szCs w:val="22"/>
          <w:lang w:val="sr-Latn-ME"/>
        </w:rPr>
        <w:t xml:space="preserve"> </w:t>
      </w:r>
      <w:r w:rsidRPr="0045764A">
        <w:rPr>
          <w:rFonts w:eastAsia="TimesNewRoman"/>
          <w:szCs w:val="22"/>
          <w:lang w:val="sr-Latn-ME"/>
        </w:rPr>
        <w:t xml:space="preserve">testa </w:t>
      </w:r>
      <w:proofErr w:type="spellStart"/>
      <w:r w:rsidRPr="0045764A">
        <w:rPr>
          <w:rFonts w:eastAsia="TimesNewRoman"/>
          <w:szCs w:val="22"/>
          <w:lang w:val="sr-Latn-ME"/>
        </w:rPr>
        <w:t>stratifikovan</w:t>
      </w:r>
      <w:r w:rsidR="008C28EC" w:rsidRPr="0045764A">
        <w:rPr>
          <w:rFonts w:eastAsia="TimesNewRoman"/>
          <w:szCs w:val="22"/>
          <w:lang w:val="sr-Latn-ME"/>
        </w:rPr>
        <w:t>og</w:t>
      </w:r>
      <w:proofErr w:type="spellEnd"/>
      <w:r w:rsidRPr="0045764A">
        <w:rPr>
          <w:rFonts w:eastAsia="TimesNewRoman"/>
          <w:szCs w:val="22"/>
          <w:lang w:val="sr-Latn-ME"/>
        </w:rPr>
        <w:t xml:space="preserve"> po ECOG performans statusu.</w:t>
      </w:r>
    </w:p>
    <w:p w14:paraId="0E5AFA1F" w14:textId="19717787" w:rsidR="00396286" w:rsidRPr="0045764A" w:rsidRDefault="00396286" w:rsidP="001445B8">
      <w:pPr>
        <w:pStyle w:val="ListParagraph"/>
        <w:numPr>
          <w:ilvl w:val="0"/>
          <w:numId w:val="5"/>
        </w:numPr>
        <w:ind w:left="142" w:hanging="142"/>
        <w:rPr>
          <w:szCs w:val="22"/>
          <w:lang w:val="sr-Latn-ME"/>
        </w:rPr>
      </w:pPr>
      <w:r w:rsidRPr="0045764A">
        <w:rPr>
          <w:rFonts w:eastAsia="TimesNewRoman"/>
          <w:szCs w:val="22"/>
          <w:lang w:val="sr-Latn-ME"/>
        </w:rPr>
        <w:t>Jednostrana p-</w:t>
      </w:r>
      <w:r w:rsidR="008E2492" w:rsidRPr="0045764A">
        <w:rPr>
          <w:rFonts w:eastAsia="TimesNewRoman"/>
          <w:szCs w:val="22"/>
          <w:lang w:val="sr-Latn-ME"/>
        </w:rPr>
        <w:t>vrijednost</w:t>
      </w:r>
      <w:r w:rsidRPr="0045764A">
        <w:rPr>
          <w:rFonts w:eastAsia="TimesNewRoman"/>
          <w:szCs w:val="22"/>
          <w:lang w:val="sr-Latn-ME"/>
        </w:rPr>
        <w:t xml:space="preserve"> iz </w:t>
      </w:r>
      <w:proofErr w:type="spellStart"/>
      <w:r w:rsidRPr="0045764A">
        <w:rPr>
          <w:rFonts w:eastAsia="TimesNewRoman"/>
          <w:i/>
          <w:iCs/>
          <w:szCs w:val="22"/>
          <w:lang w:val="sr-Latn-ME"/>
        </w:rPr>
        <w:t>Cochran-Mantel-Haenszel</w:t>
      </w:r>
      <w:proofErr w:type="spellEnd"/>
      <w:r w:rsidRPr="0045764A">
        <w:rPr>
          <w:rFonts w:eastAsia="TimesNewRoman"/>
          <w:i/>
          <w:iCs/>
          <w:szCs w:val="22"/>
          <w:lang w:val="sr-Latn-ME"/>
        </w:rPr>
        <w:t xml:space="preserve"> </w:t>
      </w:r>
      <w:r w:rsidRPr="0045764A">
        <w:rPr>
          <w:rFonts w:eastAsia="TimesNewRoman"/>
          <w:szCs w:val="22"/>
          <w:lang w:val="sr-Latn-ME"/>
        </w:rPr>
        <w:t xml:space="preserve">testa </w:t>
      </w:r>
      <w:proofErr w:type="spellStart"/>
      <w:r w:rsidRPr="0045764A">
        <w:rPr>
          <w:rFonts w:eastAsia="TimesNewRoman"/>
          <w:szCs w:val="22"/>
          <w:lang w:val="sr-Latn-ME"/>
        </w:rPr>
        <w:t>stratifikovan</w:t>
      </w:r>
      <w:r w:rsidR="008C28EC" w:rsidRPr="0045764A">
        <w:rPr>
          <w:rFonts w:eastAsia="TimesNewRoman"/>
          <w:szCs w:val="22"/>
          <w:lang w:val="sr-Latn-ME"/>
        </w:rPr>
        <w:t>og</w:t>
      </w:r>
      <w:proofErr w:type="spellEnd"/>
      <w:r w:rsidRPr="0045764A">
        <w:rPr>
          <w:rFonts w:eastAsia="TimesNewRoman"/>
          <w:szCs w:val="22"/>
          <w:lang w:val="sr-Latn-ME"/>
        </w:rPr>
        <w:t xml:space="preserve"> po ECOG performans statusu.</w:t>
      </w:r>
    </w:p>
    <w:p w14:paraId="1A393E16" w14:textId="77777777" w:rsidR="005C339B" w:rsidRPr="0045764A" w:rsidRDefault="005C339B" w:rsidP="00C65330">
      <w:pPr>
        <w:rPr>
          <w:szCs w:val="22"/>
          <w:lang w:val="sr-Latn-ME"/>
        </w:rPr>
      </w:pPr>
    </w:p>
    <w:p w14:paraId="1764CB27" w14:textId="35F9987F" w:rsidR="00206551" w:rsidRPr="0045764A" w:rsidRDefault="00206551" w:rsidP="00C65330">
      <w:pPr>
        <w:tabs>
          <w:tab w:val="clear" w:pos="284"/>
        </w:tabs>
        <w:autoSpaceDE w:val="0"/>
        <w:autoSpaceDN w:val="0"/>
        <w:adjustRightInd w:val="0"/>
        <w:rPr>
          <w:b/>
          <w:bCs/>
          <w:szCs w:val="22"/>
          <w:lang w:val="sr-Latn-ME"/>
        </w:rPr>
      </w:pPr>
      <w:r w:rsidRPr="0045764A">
        <w:rPr>
          <w:b/>
          <w:bCs/>
          <w:szCs w:val="22"/>
          <w:lang w:val="sr-Latn-ME"/>
        </w:rPr>
        <w:t xml:space="preserve">Slika 1. </w:t>
      </w:r>
      <w:proofErr w:type="spellStart"/>
      <w:r w:rsidRPr="0045764A">
        <w:rPr>
          <w:b/>
          <w:bCs/>
          <w:i/>
          <w:iCs/>
          <w:szCs w:val="22"/>
          <w:lang w:val="sr-Latn-ME"/>
        </w:rPr>
        <w:t>Kaplan-Meier</w:t>
      </w:r>
      <w:proofErr w:type="spellEnd"/>
      <w:r w:rsidRPr="0045764A">
        <w:rPr>
          <w:b/>
          <w:bCs/>
          <w:i/>
          <w:iCs/>
          <w:szCs w:val="22"/>
          <w:lang w:val="sr-Latn-ME"/>
        </w:rPr>
        <w:t xml:space="preserve"> </w:t>
      </w:r>
      <w:r w:rsidRPr="0045764A">
        <w:rPr>
          <w:b/>
          <w:bCs/>
          <w:szCs w:val="22"/>
          <w:lang w:val="sr-Latn-ME"/>
        </w:rPr>
        <w:t>kriva preživljavanja bez progresije bolesti prema nezavisnoj proc</w:t>
      </w:r>
      <w:r w:rsidR="006B111D" w:rsidRPr="0045764A">
        <w:rPr>
          <w:b/>
          <w:bCs/>
          <w:szCs w:val="22"/>
          <w:lang w:val="sr-Latn-ME"/>
        </w:rPr>
        <w:t>j</w:t>
      </w:r>
      <w:r w:rsidRPr="0045764A">
        <w:rPr>
          <w:b/>
          <w:bCs/>
          <w:szCs w:val="22"/>
          <w:lang w:val="sr-Latn-ME"/>
        </w:rPr>
        <w:t>eni za</w:t>
      </w:r>
    </w:p>
    <w:p w14:paraId="16F61123" w14:textId="42CE1705" w:rsidR="00FA2CAF" w:rsidRPr="0045764A" w:rsidRDefault="00206551" w:rsidP="00C65330">
      <w:pPr>
        <w:rPr>
          <w:b/>
          <w:bCs/>
          <w:szCs w:val="22"/>
          <w:lang w:val="sr-Latn-ME"/>
        </w:rPr>
      </w:pPr>
      <w:r w:rsidRPr="0045764A">
        <w:rPr>
          <w:b/>
          <w:bCs/>
          <w:szCs w:val="22"/>
          <w:lang w:val="sr-Latn-ME"/>
        </w:rPr>
        <w:t>sveukupnu populaciju</w:t>
      </w:r>
    </w:p>
    <w:p w14:paraId="1E4633B7" w14:textId="4C180FAF" w:rsidR="000252D9" w:rsidRPr="0045764A" w:rsidRDefault="00710BA5" w:rsidP="001445B8">
      <w:pPr>
        <w:jc w:val="center"/>
        <w:rPr>
          <w:b/>
          <w:bCs/>
          <w:szCs w:val="22"/>
          <w:lang w:val="sr-Latn-ME"/>
        </w:rPr>
      </w:pPr>
      <w:r w:rsidRPr="0045764A">
        <w:rPr>
          <w:b/>
          <w:bCs/>
          <w:noProof/>
          <w:szCs w:val="22"/>
          <w:lang w:val="sr-Latn-ME"/>
        </w:rPr>
        <w:drawing>
          <wp:inline distT="0" distB="0" distL="0" distR="0" wp14:anchorId="25D554AF" wp14:editId="1CE3353B">
            <wp:extent cx="5734050" cy="2876550"/>
            <wp:effectExtent l="0" t="0" r="0" b="0"/>
            <wp:docPr id="2104890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t="5847" b="1231"/>
                    <a:stretch/>
                  </pic:blipFill>
                  <pic:spPr bwMode="auto">
                    <a:xfrm>
                      <a:off x="0" y="0"/>
                      <a:ext cx="5734050" cy="2876550"/>
                    </a:xfrm>
                    <a:prstGeom prst="rect">
                      <a:avLst/>
                    </a:prstGeom>
                    <a:noFill/>
                    <a:ln>
                      <a:noFill/>
                    </a:ln>
                    <a:extLst>
                      <a:ext uri="{53640926-AAD7-44D8-BBD7-CCE9431645EC}">
                        <a14:shadowObscured xmlns:a14="http://schemas.microsoft.com/office/drawing/2010/main"/>
                      </a:ext>
                    </a:extLst>
                  </pic:spPr>
                </pic:pic>
              </a:graphicData>
            </a:graphic>
          </wp:inline>
        </w:drawing>
      </w:r>
    </w:p>
    <w:p w14:paraId="3FAB31EE" w14:textId="77777777" w:rsidR="005C339B" w:rsidRPr="0045764A" w:rsidRDefault="005C339B" w:rsidP="00C65330">
      <w:pPr>
        <w:tabs>
          <w:tab w:val="clear" w:pos="284"/>
        </w:tabs>
        <w:autoSpaceDE w:val="0"/>
        <w:autoSpaceDN w:val="0"/>
        <w:adjustRightInd w:val="0"/>
        <w:rPr>
          <w:b/>
          <w:bCs/>
          <w:szCs w:val="22"/>
          <w:lang w:val="sr-Latn-ME"/>
        </w:rPr>
      </w:pPr>
    </w:p>
    <w:p w14:paraId="1918D537" w14:textId="77777777" w:rsidR="007C7E7C" w:rsidRPr="0045764A" w:rsidRDefault="007C7E7C" w:rsidP="00C65330">
      <w:pPr>
        <w:tabs>
          <w:tab w:val="clear" w:pos="284"/>
        </w:tabs>
        <w:autoSpaceDE w:val="0"/>
        <w:autoSpaceDN w:val="0"/>
        <w:adjustRightInd w:val="0"/>
        <w:rPr>
          <w:b/>
          <w:bCs/>
          <w:szCs w:val="22"/>
          <w:lang w:val="sr-Latn-ME"/>
        </w:rPr>
      </w:pPr>
    </w:p>
    <w:p w14:paraId="132026F3" w14:textId="77777777" w:rsidR="00122C35" w:rsidRPr="0045764A" w:rsidRDefault="00122C35">
      <w:pPr>
        <w:tabs>
          <w:tab w:val="clear" w:pos="284"/>
        </w:tabs>
        <w:jc w:val="left"/>
        <w:rPr>
          <w:b/>
          <w:bCs/>
          <w:szCs w:val="22"/>
          <w:lang w:val="sr-Latn-ME"/>
        </w:rPr>
      </w:pPr>
      <w:r w:rsidRPr="0045764A">
        <w:rPr>
          <w:b/>
          <w:bCs/>
          <w:szCs w:val="22"/>
          <w:lang w:val="sr-Latn-ME"/>
        </w:rPr>
        <w:br w:type="page"/>
      </w:r>
    </w:p>
    <w:p w14:paraId="443786C2" w14:textId="23872842" w:rsidR="00FA2CAF" w:rsidRPr="0045764A" w:rsidRDefault="00FA2CAF" w:rsidP="00C65330">
      <w:pPr>
        <w:tabs>
          <w:tab w:val="clear" w:pos="284"/>
        </w:tabs>
        <w:autoSpaceDE w:val="0"/>
        <w:autoSpaceDN w:val="0"/>
        <w:adjustRightInd w:val="0"/>
        <w:rPr>
          <w:b/>
          <w:bCs/>
          <w:szCs w:val="22"/>
          <w:lang w:val="sr-Latn-ME"/>
        </w:rPr>
      </w:pPr>
      <w:r w:rsidRPr="0045764A">
        <w:rPr>
          <w:b/>
          <w:bCs/>
          <w:szCs w:val="22"/>
          <w:lang w:val="sr-Latn-ME"/>
        </w:rPr>
        <w:lastRenderedPageBreak/>
        <w:t xml:space="preserve">Slika 2. </w:t>
      </w:r>
      <w:proofErr w:type="spellStart"/>
      <w:r w:rsidRPr="0045764A">
        <w:rPr>
          <w:b/>
          <w:bCs/>
          <w:i/>
          <w:iCs/>
          <w:szCs w:val="22"/>
          <w:lang w:val="sr-Latn-ME"/>
        </w:rPr>
        <w:t>Kaplan-Meier</w:t>
      </w:r>
      <w:proofErr w:type="spellEnd"/>
      <w:r w:rsidRPr="0045764A">
        <w:rPr>
          <w:b/>
          <w:bCs/>
          <w:i/>
          <w:iCs/>
          <w:szCs w:val="22"/>
          <w:lang w:val="sr-Latn-ME"/>
        </w:rPr>
        <w:t xml:space="preserve"> </w:t>
      </w:r>
      <w:r w:rsidRPr="0045764A">
        <w:rPr>
          <w:b/>
          <w:bCs/>
          <w:szCs w:val="22"/>
          <w:lang w:val="sr-Latn-ME"/>
        </w:rPr>
        <w:t>kriva preživljavanja bez progresije bolesti prema nezavisnoj proc</w:t>
      </w:r>
      <w:r w:rsidR="00803D68" w:rsidRPr="0045764A">
        <w:rPr>
          <w:b/>
          <w:bCs/>
          <w:szCs w:val="22"/>
          <w:lang w:val="sr-Latn-ME"/>
        </w:rPr>
        <w:t>j</w:t>
      </w:r>
      <w:r w:rsidRPr="0045764A">
        <w:rPr>
          <w:b/>
          <w:bCs/>
          <w:szCs w:val="22"/>
          <w:lang w:val="sr-Latn-ME"/>
        </w:rPr>
        <w:t>eni za</w:t>
      </w:r>
    </w:p>
    <w:p w14:paraId="69F76475" w14:textId="45BEE645" w:rsidR="00D45ABE" w:rsidRPr="0045764A" w:rsidRDefault="00FA2CAF" w:rsidP="00C65330">
      <w:pPr>
        <w:rPr>
          <w:b/>
          <w:bCs/>
          <w:szCs w:val="22"/>
          <w:lang w:val="sr-Latn-ME"/>
        </w:rPr>
      </w:pPr>
      <w:r w:rsidRPr="0045764A">
        <w:rPr>
          <w:b/>
          <w:bCs/>
          <w:szCs w:val="22"/>
          <w:lang w:val="sr-Latn-ME"/>
        </w:rPr>
        <w:t xml:space="preserve">podgrupu koja je prethodno primala </w:t>
      </w:r>
      <w:proofErr w:type="spellStart"/>
      <w:r w:rsidRPr="0045764A">
        <w:rPr>
          <w:b/>
          <w:bCs/>
          <w:szCs w:val="22"/>
          <w:lang w:val="sr-Latn-ME"/>
        </w:rPr>
        <w:t>sunitinib</w:t>
      </w:r>
      <w:proofErr w:type="spellEnd"/>
    </w:p>
    <w:p w14:paraId="134934FF" w14:textId="02A95BEA" w:rsidR="000252D9" w:rsidRPr="0045764A" w:rsidRDefault="00E37CB6" w:rsidP="00C65330">
      <w:pPr>
        <w:rPr>
          <w:b/>
          <w:bCs/>
          <w:szCs w:val="22"/>
          <w:lang w:val="sr-Latn-ME"/>
        </w:rPr>
      </w:pPr>
      <w:r w:rsidRPr="0045764A">
        <w:rPr>
          <w:b/>
          <w:bCs/>
          <w:noProof/>
          <w:szCs w:val="22"/>
          <w:lang w:val="sr-Latn-ME"/>
        </w:rPr>
        <w:drawing>
          <wp:inline distT="0" distB="0" distL="0" distR="0" wp14:anchorId="2F56E9CC" wp14:editId="26ABE3BF">
            <wp:extent cx="5734050" cy="3009900"/>
            <wp:effectExtent l="0" t="0" r="0" b="0"/>
            <wp:docPr id="1145659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t="4985" b="2346"/>
                    <a:stretch/>
                  </pic:blipFill>
                  <pic:spPr bwMode="auto">
                    <a:xfrm>
                      <a:off x="0" y="0"/>
                      <a:ext cx="5734050" cy="3009900"/>
                    </a:xfrm>
                    <a:prstGeom prst="rect">
                      <a:avLst/>
                    </a:prstGeom>
                    <a:noFill/>
                    <a:ln>
                      <a:noFill/>
                    </a:ln>
                    <a:extLst>
                      <a:ext uri="{53640926-AAD7-44D8-BBD7-CCE9431645EC}">
                        <a14:shadowObscured xmlns:a14="http://schemas.microsoft.com/office/drawing/2010/main"/>
                      </a:ext>
                    </a:extLst>
                  </pic:spPr>
                </pic:pic>
              </a:graphicData>
            </a:graphic>
          </wp:inline>
        </w:drawing>
      </w:r>
    </w:p>
    <w:p w14:paraId="5F51B1F5" w14:textId="5C24E4A9" w:rsidR="00FA2CAF" w:rsidRPr="0045764A" w:rsidRDefault="00FA2CAF" w:rsidP="00C65330">
      <w:pPr>
        <w:rPr>
          <w:b/>
          <w:bCs/>
          <w:szCs w:val="22"/>
          <w:lang w:val="sr-Latn-ME"/>
        </w:rPr>
      </w:pPr>
    </w:p>
    <w:p w14:paraId="785DB7B6" w14:textId="435C1781" w:rsidR="00D45ABE" w:rsidRPr="0045764A" w:rsidRDefault="00D45ABE" w:rsidP="00C65330">
      <w:pPr>
        <w:tabs>
          <w:tab w:val="clear" w:pos="284"/>
        </w:tabs>
        <w:autoSpaceDE w:val="0"/>
        <w:autoSpaceDN w:val="0"/>
        <w:adjustRightInd w:val="0"/>
        <w:rPr>
          <w:b/>
          <w:bCs/>
          <w:szCs w:val="22"/>
          <w:lang w:val="sr-Latn-ME"/>
        </w:rPr>
      </w:pPr>
      <w:r w:rsidRPr="0045764A">
        <w:rPr>
          <w:b/>
          <w:bCs/>
          <w:szCs w:val="22"/>
          <w:lang w:val="sr-Latn-ME"/>
        </w:rPr>
        <w:t xml:space="preserve">Slika 3. </w:t>
      </w:r>
      <w:proofErr w:type="spellStart"/>
      <w:r w:rsidRPr="0045764A">
        <w:rPr>
          <w:b/>
          <w:bCs/>
          <w:i/>
          <w:iCs/>
          <w:szCs w:val="22"/>
          <w:lang w:val="sr-Latn-ME"/>
        </w:rPr>
        <w:t>Kaplan-Meier</w:t>
      </w:r>
      <w:proofErr w:type="spellEnd"/>
      <w:r w:rsidRPr="0045764A">
        <w:rPr>
          <w:b/>
          <w:bCs/>
          <w:i/>
          <w:iCs/>
          <w:szCs w:val="22"/>
          <w:lang w:val="sr-Latn-ME"/>
        </w:rPr>
        <w:t xml:space="preserve"> </w:t>
      </w:r>
      <w:r w:rsidRPr="0045764A">
        <w:rPr>
          <w:b/>
          <w:bCs/>
          <w:szCs w:val="22"/>
          <w:lang w:val="sr-Latn-ME"/>
        </w:rPr>
        <w:t>kriva preživljavanja bez progresije bolesti prema nezavisnoj proc</w:t>
      </w:r>
      <w:r w:rsidR="006B111D" w:rsidRPr="0045764A">
        <w:rPr>
          <w:b/>
          <w:bCs/>
          <w:szCs w:val="22"/>
          <w:lang w:val="sr-Latn-ME"/>
        </w:rPr>
        <w:t>j</w:t>
      </w:r>
      <w:r w:rsidRPr="0045764A">
        <w:rPr>
          <w:b/>
          <w:bCs/>
          <w:szCs w:val="22"/>
          <w:lang w:val="sr-Latn-ME"/>
        </w:rPr>
        <w:t>eni za</w:t>
      </w:r>
    </w:p>
    <w:p w14:paraId="6C5369BA" w14:textId="29D779A5" w:rsidR="00206551" w:rsidRPr="0045764A" w:rsidRDefault="00D45ABE" w:rsidP="00C65330">
      <w:pPr>
        <w:rPr>
          <w:szCs w:val="22"/>
          <w:lang w:val="sr-Latn-ME"/>
        </w:rPr>
      </w:pPr>
      <w:r w:rsidRPr="0045764A">
        <w:rPr>
          <w:b/>
          <w:bCs/>
          <w:szCs w:val="22"/>
          <w:lang w:val="sr-Latn-ME"/>
        </w:rPr>
        <w:t xml:space="preserve">podgrupu koja je prethodno primala </w:t>
      </w:r>
      <w:proofErr w:type="spellStart"/>
      <w:r w:rsidRPr="0045764A">
        <w:rPr>
          <w:b/>
          <w:bCs/>
          <w:szCs w:val="22"/>
          <w:lang w:val="sr-Latn-ME"/>
        </w:rPr>
        <w:t>citokin</w:t>
      </w:r>
      <w:proofErr w:type="spellEnd"/>
    </w:p>
    <w:p w14:paraId="0A90F906" w14:textId="4A627A52" w:rsidR="000252D9" w:rsidRPr="0045764A" w:rsidRDefault="00DC2AD4" w:rsidP="00C65330">
      <w:pPr>
        <w:rPr>
          <w:szCs w:val="22"/>
          <w:lang w:val="sr-Latn-ME"/>
        </w:rPr>
      </w:pPr>
      <w:r w:rsidRPr="0045764A">
        <w:rPr>
          <w:noProof/>
          <w:szCs w:val="22"/>
          <w:lang w:val="sr-Latn-ME"/>
        </w:rPr>
        <w:drawing>
          <wp:inline distT="0" distB="0" distL="0" distR="0" wp14:anchorId="689C15C3" wp14:editId="7D0FE6AF">
            <wp:extent cx="5734050" cy="3105150"/>
            <wp:effectExtent l="0" t="0" r="0" b="0"/>
            <wp:docPr id="20808059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t="2686"/>
                    <a:stretch/>
                  </pic:blipFill>
                  <pic:spPr bwMode="auto">
                    <a:xfrm>
                      <a:off x="0" y="0"/>
                      <a:ext cx="5734050" cy="3105150"/>
                    </a:xfrm>
                    <a:prstGeom prst="rect">
                      <a:avLst/>
                    </a:prstGeom>
                    <a:noFill/>
                    <a:ln>
                      <a:noFill/>
                    </a:ln>
                    <a:extLst>
                      <a:ext uri="{53640926-AAD7-44D8-BBD7-CCE9431645EC}">
                        <a14:shadowObscured xmlns:a14="http://schemas.microsoft.com/office/drawing/2010/main"/>
                      </a:ext>
                    </a:extLst>
                  </pic:spPr>
                </pic:pic>
              </a:graphicData>
            </a:graphic>
          </wp:inline>
        </w:drawing>
      </w:r>
    </w:p>
    <w:p w14:paraId="09569EB2" w14:textId="77777777" w:rsidR="00955A2D" w:rsidRPr="0045764A" w:rsidRDefault="00955A2D" w:rsidP="00C65330">
      <w:pPr>
        <w:tabs>
          <w:tab w:val="clear" w:pos="284"/>
        </w:tabs>
        <w:autoSpaceDE w:val="0"/>
        <w:autoSpaceDN w:val="0"/>
        <w:adjustRightInd w:val="0"/>
        <w:rPr>
          <w:i/>
          <w:iCs/>
          <w:szCs w:val="22"/>
          <w:lang w:val="sr-Latn-ME"/>
        </w:rPr>
      </w:pPr>
    </w:p>
    <w:p w14:paraId="7D30806F" w14:textId="2F9F323A" w:rsidR="00743ED7" w:rsidRPr="0045764A" w:rsidRDefault="00743ED7" w:rsidP="00C65330">
      <w:pPr>
        <w:tabs>
          <w:tab w:val="clear" w:pos="284"/>
        </w:tabs>
        <w:autoSpaceDE w:val="0"/>
        <w:autoSpaceDN w:val="0"/>
        <w:adjustRightInd w:val="0"/>
        <w:rPr>
          <w:i/>
          <w:iCs/>
          <w:szCs w:val="22"/>
          <w:lang w:val="sr-Latn-ME"/>
        </w:rPr>
      </w:pPr>
      <w:r w:rsidRPr="0045764A">
        <w:rPr>
          <w:i/>
          <w:iCs/>
          <w:szCs w:val="22"/>
          <w:lang w:val="sr-Latn-ME"/>
        </w:rPr>
        <w:t>Pedijatrijska populacija</w:t>
      </w:r>
    </w:p>
    <w:p w14:paraId="6C79175D" w14:textId="3169BFA8" w:rsidR="00D45ABE" w:rsidRPr="0045764A" w:rsidRDefault="00743ED7"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Evropska </w:t>
      </w:r>
      <w:r w:rsidR="00803D68" w:rsidRPr="0045764A">
        <w:rPr>
          <w:rFonts w:eastAsia="TimesNewRoman"/>
          <w:szCs w:val="22"/>
          <w:lang w:val="sr-Latn-ME"/>
        </w:rPr>
        <w:t>a</w:t>
      </w:r>
      <w:r w:rsidRPr="0045764A">
        <w:rPr>
          <w:rFonts w:eastAsia="TimesNewRoman"/>
          <w:szCs w:val="22"/>
          <w:lang w:val="sr-Latn-ME"/>
        </w:rPr>
        <w:t xml:space="preserve">gencija za </w:t>
      </w:r>
      <w:r w:rsidR="00593BF5" w:rsidRPr="0045764A">
        <w:rPr>
          <w:rFonts w:eastAsia="TimesNewRoman"/>
          <w:szCs w:val="22"/>
          <w:lang w:val="sr-Latn-ME"/>
        </w:rPr>
        <w:t>ljek</w:t>
      </w:r>
      <w:r w:rsidRPr="0045764A">
        <w:rPr>
          <w:rFonts w:eastAsia="TimesNewRoman"/>
          <w:szCs w:val="22"/>
          <w:lang w:val="sr-Latn-ME"/>
        </w:rPr>
        <w:t xml:space="preserve">ove izuzela je od obaveze podnošenje rezultata ispitivanja sa </w:t>
      </w:r>
      <w:proofErr w:type="spellStart"/>
      <w:r w:rsidRPr="0045764A">
        <w:rPr>
          <w:rFonts w:eastAsia="TimesNewRoman"/>
          <w:szCs w:val="22"/>
          <w:lang w:val="sr-Latn-ME"/>
        </w:rPr>
        <w:t>aksitinibom</w:t>
      </w:r>
      <w:proofErr w:type="spellEnd"/>
      <w:r w:rsidRPr="0045764A">
        <w:rPr>
          <w:rFonts w:eastAsia="TimesNewRoman"/>
          <w:szCs w:val="22"/>
          <w:lang w:val="sr-Latn-ME"/>
        </w:rPr>
        <w:t xml:space="preserve"> u svim podgrupama pedijatrijske populacije za </w:t>
      </w:r>
      <w:r w:rsidR="00AE0DCD" w:rsidRPr="0045764A">
        <w:rPr>
          <w:rFonts w:eastAsia="TimesNewRoman"/>
          <w:szCs w:val="22"/>
          <w:lang w:val="sr-Latn-ME"/>
        </w:rPr>
        <w:t>liječenj</w:t>
      </w:r>
      <w:r w:rsidRPr="0045764A">
        <w:rPr>
          <w:rFonts w:eastAsia="TimesNewRoman"/>
          <w:szCs w:val="22"/>
          <w:lang w:val="sr-Latn-ME"/>
        </w:rPr>
        <w:t xml:space="preserve">e </w:t>
      </w:r>
      <w:proofErr w:type="spellStart"/>
      <w:r w:rsidRPr="0045764A">
        <w:rPr>
          <w:rFonts w:eastAsia="TimesNewRoman"/>
          <w:szCs w:val="22"/>
          <w:lang w:val="sr-Latn-ME"/>
        </w:rPr>
        <w:t>karcinoma</w:t>
      </w:r>
      <w:proofErr w:type="spellEnd"/>
      <w:r w:rsidRPr="0045764A">
        <w:rPr>
          <w:rFonts w:eastAsia="TimesNewRoman"/>
          <w:szCs w:val="22"/>
          <w:lang w:val="sr-Latn-ME"/>
        </w:rPr>
        <w:t xml:space="preserve"> bubrega i bubrežne karlice (isključujući </w:t>
      </w:r>
      <w:proofErr w:type="spellStart"/>
      <w:r w:rsidRPr="0045764A">
        <w:rPr>
          <w:rFonts w:eastAsia="TimesNewRoman"/>
          <w:szCs w:val="22"/>
          <w:lang w:val="sr-Latn-ME"/>
        </w:rPr>
        <w:t>nefroblastom</w:t>
      </w:r>
      <w:proofErr w:type="spellEnd"/>
      <w:r w:rsidRPr="0045764A">
        <w:rPr>
          <w:rFonts w:eastAsia="TimesNewRoman"/>
          <w:szCs w:val="22"/>
          <w:lang w:val="sr-Latn-ME"/>
        </w:rPr>
        <w:t xml:space="preserve">, </w:t>
      </w:r>
      <w:proofErr w:type="spellStart"/>
      <w:r w:rsidRPr="0045764A">
        <w:rPr>
          <w:rFonts w:eastAsia="TimesNewRoman"/>
          <w:szCs w:val="22"/>
          <w:lang w:val="sr-Latn-ME"/>
        </w:rPr>
        <w:t>nefroblastomatozu</w:t>
      </w:r>
      <w:proofErr w:type="spellEnd"/>
      <w:r w:rsidRPr="0045764A">
        <w:rPr>
          <w:rFonts w:eastAsia="TimesNewRoman"/>
          <w:szCs w:val="22"/>
          <w:lang w:val="sr-Latn-ME"/>
        </w:rPr>
        <w:t xml:space="preserve">, </w:t>
      </w:r>
      <w:r w:rsidR="005300E6" w:rsidRPr="0045764A">
        <w:rPr>
          <w:rFonts w:eastAsia="TimesNewRoman"/>
          <w:szCs w:val="22"/>
          <w:lang w:val="sr-Latn-ME"/>
        </w:rPr>
        <w:t>sarkom svijetlih ćelija (</w:t>
      </w:r>
      <w:r w:rsidRPr="0045764A">
        <w:rPr>
          <w:rFonts w:eastAsia="TimesNewRoman"/>
          <w:szCs w:val="22"/>
          <w:lang w:val="sr-Latn-ME"/>
        </w:rPr>
        <w:t>„</w:t>
      </w:r>
      <w:proofErr w:type="spellStart"/>
      <w:r w:rsidRPr="0045764A">
        <w:rPr>
          <w:i/>
          <w:iCs/>
          <w:szCs w:val="22"/>
          <w:lang w:val="sr-Latn-ME"/>
        </w:rPr>
        <w:t>clear</w:t>
      </w:r>
      <w:proofErr w:type="spellEnd"/>
      <w:r w:rsidRPr="0045764A">
        <w:rPr>
          <w:i/>
          <w:iCs/>
          <w:szCs w:val="22"/>
          <w:lang w:val="sr-Latn-ME"/>
        </w:rPr>
        <w:t xml:space="preserve"> </w:t>
      </w:r>
      <w:proofErr w:type="spellStart"/>
      <w:r w:rsidRPr="0045764A">
        <w:rPr>
          <w:i/>
          <w:iCs/>
          <w:szCs w:val="22"/>
          <w:lang w:val="sr-Latn-ME"/>
        </w:rPr>
        <w:t>cell</w:t>
      </w:r>
      <w:proofErr w:type="spellEnd"/>
      <w:r w:rsidRPr="0045764A">
        <w:rPr>
          <w:rFonts w:eastAsia="TimesNewRoman"/>
          <w:szCs w:val="22"/>
          <w:lang w:val="sr-Latn-ME"/>
        </w:rPr>
        <w:t>“ sarkom</w:t>
      </w:r>
      <w:r w:rsidR="005300E6" w:rsidRPr="0045764A">
        <w:rPr>
          <w:rFonts w:eastAsia="TimesNewRoman"/>
          <w:szCs w:val="22"/>
          <w:lang w:val="sr-Latn-ME"/>
        </w:rPr>
        <w:t>)</w:t>
      </w:r>
      <w:r w:rsidRPr="0045764A">
        <w:rPr>
          <w:rFonts w:eastAsia="TimesNewRoman"/>
          <w:szCs w:val="22"/>
          <w:lang w:val="sr-Latn-ME"/>
        </w:rPr>
        <w:t xml:space="preserve">, </w:t>
      </w:r>
      <w:proofErr w:type="spellStart"/>
      <w:r w:rsidRPr="0045764A">
        <w:rPr>
          <w:rFonts w:eastAsia="TimesNewRoman"/>
          <w:szCs w:val="22"/>
          <w:lang w:val="sr-Latn-ME"/>
        </w:rPr>
        <w:t>mezoblastični</w:t>
      </w:r>
      <w:proofErr w:type="spellEnd"/>
      <w:r w:rsidRPr="0045764A">
        <w:rPr>
          <w:rFonts w:eastAsia="TimesNewRoman"/>
          <w:szCs w:val="22"/>
          <w:lang w:val="sr-Latn-ME"/>
        </w:rPr>
        <w:t xml:space="preserve"> </w:t>
      </w:r>
      <w:proofErr w:type="spellStart"/>
      <w:r w:rsidRPr="0045764A">
        <w:rPr>
          <w:rFonts w:eastAsia="TimesNewRoman"/>
          <w:szCs w:val="22"/>
          <w:lang w:val="sr-Latn-ME"/>
        </w:rPr>
        <w:t>nefrom</w:t>
      </w:r>
      <w:proofErr w:type="spellEnd"/>
      <w:r w:rsidRPr="0045764A">
        <w:rPr>
          <w:rFonts w:eastAsia="TimesNewRoman"/>
          <w:szCs w:val="22"/>
          <w:lang w:val="sr-Latn-ME"/>
        </w:rPr>
        <w:t xml:space="preserve">, </w:t>
      </w:r>
      <w:r w:rsidR="0035006B" w:rsidRPr="0045764A">
        <w:rPr>
          <w:rFonts w:eastAsia="TimesNewRoman"/>
          <w:szCs w:val="22"/>
          <w:lang w:val="sr-Latn-ME"/>
        </w:rPr>
        <w:t xml:space="preserve">bubrežni </w:t>
      </w:r>
      <w:r w:rsidRPr="0045764A">
        <w:rPr>
          <w:rFonts w:eastAsia="TimesNewRoman"/>
          <w:szCs w:val="22"/>
          <w:lang w:val="sr-Latn-ME"/>
        </w:rPr>
        <w:t xml:space="preserve">medularni </w:t>
      </w:r>
      <w:proofErr w:type="spellStart"/>
      <w:r w:rsidRPr="0045764A">
        <w:rPr>
          <w:rFonts w:eastAsia="TimesNewRoman"/>
          <w:szCs w:val="22"/>
          <w:lang w:val="sr-Latn-ME"/>
        </w:rPr>
        <w:t>karcinom</w:t>
      </w:r>
      <w:proofErr w:type="spellEnd"/>
      <w:r w:rsidRPr="0045764A">
        <w:rPr>
          <w:rFonts w:eastAsia="TimesNewRoman"/>
          <w:szCs w:val="22"/>
          <w:lang w:val="sr-Latn-ME"/>
        </w:rPr>
        <w:t xml:space="preserve"> </w:t>
      </w:r>
      <w:r w:rsidR="0035006B" w:rsidRPr="0045764A">
        <w:rPr>
          <w:rFonts w:eastAsia="TimesNewRoman"/>
          <w:szCs w:val="22"/>
          <w:lang w:val="sr-Latn-ME"/>
        </w:rPr>
        <w:t>i</w:t>
      </w:r>
      <w:r w:rsidRPr="0045764A">
        <w:rPr>
          <w:rFonts w:eastAsia="TimesNewRoman"/>
          <w:szCs w:val="22"/>
          <w:lang w:val="sr-Latn-ME"/>
        </w:rPr>
        <w:t xml:space="preserve"> </w:t>
      </w:r>
      <w:proofErr w:type="spellStart"/>
      <w:r w:rsidRPr="0045764A">
        <w:rPr>
          <w:rFonts w:eastAsia="TimesNewRoman"/>
          <w:szCs w:val="22"/>
          <w:lang w:val="sr-Latn-ME"/>
        </w:rPr>
        <w:t>rabdoidni</w:t>
      </w:r>
      <w:proofErr w:type="spellEnd"/>
      <w:r w:rsidRPr="0045764A">
        <w:rPr>
          <w:rFonts w:eastAsia="TimesNewRoman"/>
          <w:szCs w:val="22"/>
          <w:lang w:val="sr-Latn-ME"/>
        </w:rPr>
        <w:t xml:space="preserve"> tumor bubrega) (</w:t>
      </w:r>
      <w:r w:rsidR="006F7AEE" w:rsidRPr="0045764A">
        <w:rPr>
          <w:rFonts w:eastAsia="TimesNewRoman"/>
          <w:szCs w:val="22"/>
          <w:lang w:val="sr-Latn-ME"/>
        </w:rPr>
        <w:t>pogledati dio</w:t>
      </w:r>
      <w:r w:rsidRPr="0045764A">
        <w:rPr>
          <w:rFonts w:eastAsia="TimesNewRoman"/>
          <w:szCs w:val="22"/>
          <w:lang w:val="sr-Latn-ME"/>
        </w:rPr>
        <w:t xml:space="preserve"> 4.2 za informacije o upotrebi u pedijatrijskoj populaciji).</w:t>
      </w:r>
    </w:p>
    <w:p w14:paraId="22C4E44A" w14:textId="77777777" w:rsidR="0069180D" w:rsidRPr="0045764A" w:rsidRDefault="0069180D" w:rsidP="00C65330">
      <w:pPr>
        <w:rPr>
          <w:b/>
          <w:bCs/>
          <w:szCs w:val="22"/>
          <w:lang w:val="sr-Latn-ME"/>
        </w:rPr>
      </w:pPr>
    </w:p>
    <w:p w14:paraId="4B3C6797" w14:textId="25B819DC" w:rsidR="00CE09F3" w:rsidRPr="0045764A" w:rsidRDefault="00CE09F3" w:rsidP="00C65330">
      <w:pPr>
        <w:rPr>
          <w:b/>
          <w:bCs/>
          <w:szCs w:val="22"/>
          <w:lang w:val="sr-Latn-ME"/>
        </w:rPr>
      </w:pPr>
      <w:r w:rsidRPr="0045764A">
        <w:rPr>
          <w:b/>
          <w:bCs/>
          <w:szCs w:val="22"/>
          <w:lang w:val="sr-Latn-ME"/>
        </w:rPr>
        <w:t xml:space="preserve">5.2. </w:t>
      </w:r>
      <w:proofErr w:type="spellStart"/>
      <w:r w:rsidRPr="0045764A">
        <w:rPr>
          <w:b/>
          <w:bCs/>
          <w:szCs w:val="22"/>
          <w:lang w:val="sr-Latn-ME"/>
        </w:rPr>
        <w:t>Farmakokinetički</w:t>
      </w:r>
      <w:proofErr w:type="spellEnd"/>
      <w:r w:rsidRPr="0045764A">
        <w:rPr>
          <w:b/>
          <w:bCs/>
          <w:szCs w:val="22"/>
          <w:lang w:val="sr-Latn-ME"/>
        </w:rPr>
        <w:t xml:space="preserve"> podaci</w:t>
      </w:r>
    </w:p>
    <w:p w14:paraId="4B3C6798" w14:textId="2EF72D8B" w:rsidR="00CE09F3" w:rsidRPr="0045764A" w:rsidRDefault="00CE09F3" w:rsidP="00C65330">
      <w:pPr>
        <w:rPr>
          <w:szCs w:val="22"/>
          <w:lang w:val="sr-Latn-ME"/>
        </w:rPr>
      </w:pPr>
    </w:p>
    <w:p w14:paraId="7B77353C" w14:textId="3C6C2DAC" w:rsidR="005A2986" w:rsidRPr="0045764A" w:rsidRDefault="005A2986"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Posl</w:t>
      </w:r>
      <w:r w:rsidR="00C21460" w:rsidRPr="0045764A">
        <w:rPr>
          <w:rFonts w:eastAsia="TimesNewRoman"/>
          <w:szCs w:val="22"/>
          <w:lang w:val="sr-Latn-ME"/>
        </w:rPr>
        <w:t>ij</w:t>
      </w:r>
      <w:r w:rsidRPr="0045764A">
        <w:rPr>
          <w:rFonts w:eastAsia="TimesNewRoman"/>
          <w:szCs w:val="22"/>
          <w:lang w:val="sr-Latn-ME"/>
        </w:rPr>
        <w:t xml:space="preserve">e oralne </w:t>
      </w:r>
      <w:r w:rsidR="008E2492" w:rsidRPr="0045764A">
        <w:rPr>
          <w:rFonts w:eastAsia="TimesNewRoman"/>
          <w:szCs w:val="22"/>
          <w:lang w:val="sr-Latn-ME"/>
        </w:rPr>
        <w:t>primjen</w:t>
      </w:r>
      <w:r w:rsidRPr="0045764A">
        <w:rPr>
          <w:rFonts w:eastAsia="TimesNewRoman"/>
          <w:szCs w:val="22"/>
          <w:lang w:val="sr-Latn-ME"/>
        </w:rPr>
        <w:t xml:space="preserve">e </w:t>
      </w:r>
      <w:proofErr w:type="spellStart"/>
      <w:r w:rsidRPr="0045764A">
        <w:rPr>
          <w:rFonts w:eastAsia="TimesNewRoman"/>
          <w:szCs w:val="22"/>
          <w:lang w:val="sr-Latn-ME"/>
        </w:rPr>
        <w:t>aksitinib</w:t>
      </w:r>
      <w:proofErr w:type="spellEnd"/>
      <w:r w:rsidRPr="0045764A">
        <w:rPr>
          <w:rFonts w:eastAsia="TimesNewRoman"/>
          <w:szCs w:val="22"/>
          <w:lang w:val="sr-Latn-ME"/>
        </w:rPr>
        <w:t xml:space="preserve"> tableta, srednja apsolutna </w:t>
      </w:r>
      <w:proofErr w:type="spellStart"/>
      <w:r w:rsidRPr="0045764A">
        <w:rPr>
          <w:rFonts w:eastAsia="TimesNewRoman"/>
          <w:szCs w:val="22"/>
          <w:lang w:val="sr-Latn-ME"/>
        </w:rPr>
        <w:t>bioraspoloživost</w:t>
      </w:r>
      <w:proofErr w:type="spellEnd"/>
      <w:r w:rsidRPr="0045764A">
        <w:rPr>
          <w:rFonts w:eastAsia="TimesNewRoman"/>
          <w:szCs w:val="22"/>
          <w:lang w:val="sr-Latn-ME"/>
        </w:rPr>
        <w:t xml:space="preserve"> iznosi 58% u odnosu na</w:t>
      </w:r>
      <w:r w:rsidR="0004148C" w:rsidRPr="0045764A">
        <w:rPr>
          <w:rFonts w:eastAsia="TimesNewRoman"/>
          <w:szCs w:val="22"/>
          <w:lang w:val="sr-Latn-ME"/>
        </w:rPr>
        <w:t xml:space="preserve"> </w:t>
      </w:r>
      <w:proofErr w:type="spellStart"/>
      <w:r w:rsidRPr="0045764A">
        <w:rPr>
          <w:rFonts w:eastAsia="TimesNewRoman"/>
          <w:szCs w:val="22"/>
          <w:lang w:val="sr-Latn-ME"/>
        </w:rPr>
        <w:t>intravensku</w:t>
      </w:r>
      <w:proofErr w:type="spellEnd"/>
      <w:r w:rsidRPr="0045764A">
        <w:rPr>
          <w:rFonts w:eastAsia="TimesNewRoman"/>
          <w:szCs w:val="22"/>
          <w:lang w:val="sr-Latn-ME"/>
        </w:rPr>
        <w:t xml:space="preserve"> </w:t>
      </w:r>
      <w:r w:rsidR="008E2492" w:rsidRPr="0045764A">
        <w:rPr>
          <w:rFonts w:eastAsia="TimesNewRoman"/>
          <w:szCs w:val="22"/>
          <w:lang w:val="sr-Latn-ME"/>
        </w:rPr>
        <w:t>primjen</w:t>
      </w:r>
      <w:r w:rsidRPr="0045764A">
        <w:rPr>
          <w:rFonts w:eastAsia="TimesNewRoman"/>
          <w:szCs w:val="22"/>
          <w:lang w:val="sr-Latn-ME"/>
        </w:rPr>
        <w:t>u. Poluvr</w:t>
      </w:r>
      <w:r w:rsidR="00C21460" w:rsidRPr="0045764A">
        <w:rPr>
          <w:rFonts w:eastAsia="TimesNewRoman"/>
          <w:szCs w:val="22"/>
          <w:lang w:val="sr-Latn-ME"/>
        </w:rPr>
        <w:t>ij</w:t>
      </w:r>
      <w:r w:rsidRPr="0045764A">
        <w:rPr>
          <w:rFonts w:eastAsia="TimesNewRoman"/>
          <w:szCs w:val="22"/>
          <w:lang w:val="sr-Latn-ME"/>
        </w:rPr>
        <w:t xml:space="preserve">eme eliminacije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u plazmi kreće se od 2,5 do 6,1 sati. </w:t>
      </w:r>
      <w:r w:rsidR="008E2492" w:rsidRPr="0045764A">
        <w:rPr>
          <w:rFonts w:eastAsia="TimesNewRoman"/>
          <w:szCs w:val="22"/>
          <w:lang w:val="sr-Latn-ME"/>
        </w:rPr>
        <w:t>Primjen</w:t>
      </w:r>
      <w:r w:rsidRPr="0045764A">
        <w:rPr>
          <w:rFonts w:eastAsia="TimesNewRoman"/>
          <w:szCs w:val="22"/>
          <w:lang w:val="sr-Latn-ME"/>
        </w:rPr>
        <w:t xml:space="preserve">a </w:t>
      </w:r>
      <w:r w:rsidRPr="0045764A">
        <w:rPr>
          <w:rFonts w:eastAsia="TimesNewRoman"/>
          <w:szCs w:val="22"/>
          <w:lang w:val="sr-Latn-ME"/>
        </w:rPr>
        <w:lastRenderedPageBreak/>
        <w:t>doze od</w:t>
      </w:r>
      <w:r w:rsidR="0004148C" w:rsidRPr="0045764A">
        <w:rPr>
          <w:rFonts w:eastAsia="TimesNewRoman"/>
          <w:szCs w:val="22"/>
          <w:lang w:val="sr-Latn-ME"/>
        </w:rPr>
        <w:t xml:space="preserve"> </w:t>
      </w:r>
      <w:r w:rsidRPr="0045764A">
        <w:rPr>
          <w:rFonts w:eastAsia="TimesNewRoman"/>
          <w:szCs w:val="22"/>
          <w:lang w:val="sr-Latn-ME"/>
        </w:rPr>
        <w:t xml:space="preserve">5 mg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dva puta dnevno dovodi do akumulacije koja je niža od dvostruke </w:t>
      </w:r>
      <w:r w:rsidR="008E2492" w:rsidRPr="0045764A">
        <w:rPr>
          <w:rFonts w:eastAsia="TimesNewRoman"/>
          <w:szCs w:val="22"/>
          <w:lang w:val="sr-Latn-ME"/>
        </w:rPr>
        <w:t>vrijednost</w:t>
      </w:r>
      <w:r w:rsidRPr="0045764A">
        <w:rPr>
          <w:rFonts w:eastAsia="TimesNewRoman"/>
          <w:szCs w:val="22"/>
          <w:lang w:val="sr-Latn-ME"/>
        </w:rPr>
        <w:t xml:space="preserve">i </w:t>
      </w:r>
      <w:r w:rsidR="00171555" w:rsidRPr="0045764A">
        <w:rPr>
          <w:rFonts w:eastAsia="TimesNewRoman"/>
          <w:szCs w:val="22"/>
          <w:lang w:val="sr-Latn-ME"/>
        </w:rPr>
        <w:t>u odnosu na primjenu</w:t>
      </w:r>
      <w:r w:rsidRPr="0045764A">
        <w:rPr>
          <w:rFonts w:eastAsia="TimesNewRoman"/>
          <w:szCs w:val="22"/>
          <w:lang w:val="sr-Latn-ME"/>
        </w:rPr>
        <w:t xml:space="preserve"> jedne doze. Na osnovu kratkog </w:t>
      </w:r>
      <w:proofErr w:type="spellStart"/>
      <w:r w:rsidRPr="0045764A">
        <w:rPr>
          <w:rFonts w:eastAsia="TimesNewRoman"/>
          <w:szCs w:val="22"/>
          <w:lang w:val="sr-Latn-ME"/>
        </w:rPr>
        <w:t>poluvremena</w:t>
      </w:r>
      <w:proofErr w:type="spellEnd"/>
      <w:r w:rsidRPr="0045764A">
        <w:rPr>
          <w:rFonts w:eastAsia="TimesNewRoman"/>
          <w:szCs w:val="22"/>
          <w:lang w:val="sr-Latn-ME"/>
        </w:rPr>
        <w:t xml:space="preserve"> eliminacije </w:t>
      </w:r>
      <w:proofErr w:type="spellStart"/>
      <w:r w:rsidRPr="0045764A">
        <w:rPr>
          <w:rFonts w:eastAsia="TimesNewRoman"/>
          <w:szCs w:val="22"/>
          <w:lang w:val="sr-Latn-ME"/>
        </w:rPr>
        <w:t>aksitiniba</w:t>
      </w:r>
      <w:proofErr w:type="spellEnd"/>
      <w:r w:rsidRPr="0045764A">
        <w:rPr>
          <w:rFonts w:eastAsia="TimesNewRoman"/>
          <w:szCs w:val="22"/>
          <w:lang w:val="sr-Latn-ME"/>
        </w:rPr>
        <w:t>, postizanje stanja ravnoteže se</w:t>
      </w:r>
      <w:r w:rsidR="0004148C" w:rsidRPr="0045764A">
        <w:rPr>
          <w:rFonts w:eastAsia="TimesNewRoman"/>
          <w:szCs w:val="22"/>
          <w:lang w:val="sr-Latn-ME"/>
        </w:rPr>
        <w:t xml:space="preserve"> </w:t>
      </w:r>
      <w:r w:rsidRPr="0045764A">
        <w:rPr>
          <w:rFonts w:eastAsia="TimesNewRoman"/>
          <w:szCs w:val="22"/>
          <w:lang w:val="sr-Latn-ME"/>
        </w:rPr>
        <w:t xml:space="preserve">očekuje u roku od 2 do 3 dana nakon </w:t>
      </w:r>
      <w:r w:rsidR="008E2492" w:rsidRPr="0045764A">
        <w:rPr>
          <w:rFonts w:eastAsia="TimesNewRoman"/>
          <w:szCs w:val="22"/>
          <w:lang w:val="sr-Latn-ME"/>
        </w:rPr>
        <w:t>primjen</w:t>
      </w:r>
      <w:r w:rsidRPr="0045764A">
        <w:rPr>
          <w:rFonts w:eastAsia="TimesNewRoman"/>
          <w:szCs w:val="22"/>
          <w:lang w:val="sr-Latn-ME"/>
        </w:rPr>
        <w:t>e prve doze.</w:t>
      </w:r>
    </w:p>
    <w:p w14:paraId="3CFBE61D" w14:textId="77777777" w:rsidR="0004148C" w:rsidRPr="0045764A" w:rsidRDefault="0004148C" w:rsidP="00C65330">
      <w:pPr>
        <w:tabs>
          <w:tab w:val="clear" w:pos="284"/>
        </w:tabs>
        <w:autoSpaceDE w:val="0"/>
        <w:autoSpaceDN w:val="0"/>
        <w:adjustRightInd w:val="0"/>
        <w:rPr>
          <w:rFonts w:eastAsia="TimesNewRoman"/>
          <w:szCs w:val="22"/>
          <w:lang w:val="sr-Latn-ME"/>
        </w:rPr>
      </w:pPr>
    </w:p>
    <w:p w14:paraId="274228F9" w14:textId="77777777" w:rsidR="005A2986" w:rsidRPr="0045764A" w:rsidRDefault="005A2986" w:rsidP="00C65330">
      <w:pPr>
        <w:tabs>
          <w:tab w:val="clear" w:pos="284"/>
        </w:tabs>
        <w:autoSpaceDE w:val="0"/>
        <w:autoSpaceDN w:val="0"/>
        <w:adjustRightInd w:val="0"/>
        <w:rPr>
          <w:rFonts w:eastAsia="TimesNewRoman"/>
          <w:i/>
          <w:iCs/>
          <w:szCs w:val="22"/>
          <w:lang w:val="sr-Latn-ME"/>
        </w:rPr>
      </w:pPr>
      <w:r w:rsidRPr="0045764A">
        <w:rPr>
          <w:rFonts w:eastAsia="TimesNewRoman"/>
          <w:i/>
          <w:iCs/>
          <w:szCs w:val="22"/>
          <w:lang w:val="sr-Latn-ME"/>
        </w:rPr>
        <w:t>Resorpcija i distribucija</w:t>
      </w:r>
    </w:p>
    <w:p w14:paraId="0F2728D4" w14:textId="0550D7B9" w:rsidR="005A2986" w:rsidRPr="0045764A" w:rsidRDefault="005A2986"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Najveće koncentracije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u plazmi se generalno postižu u roku od 4 sata nakon oralne </w:t>
      </w:r>
      <w:r w:rsidR="008E2492" w:rsidRPr="0045764A">
        <w:rPr>
          <w:rFonts w:eastAsia="TimesNewRoman"/>
          <w:szCs w:val="22"/>
          <w:lang w:val="sr-Latn-ME"/>
        </w:rPr>
        <w:t>primjen</w:t>
      </w:r>
      <w:r w:rsidRPr="0045764A">
        <w:rPr>
          <w:rFonts w:eastAsia="TimesNewRoman"/>
          <w:szCs w:val="22"/>
          <w:lang w:val="sr-Latn-ME"/>
        </w:rPr>
        <w:t>e</w:t>
      </w:r>
      <w:r w:rsidR="0004148C" w:rsidRPr="0045764A">
        <w:rPr>
          <w:rFonts w:eastAsia="TimesNewRoman"/>
          <w:szCs w:val="22"/>
          <w:lang w:val="sr-Latn-ME"/>
        </w:rPr>
        <w:t xml:space="preserve"> </w:t>
      </w:r>
      <w:proofErr w:type="spellStart"/>
      <w:r w:rsidRPr="0045764A">
        <w:rPr>
          <w:rFonts w:eastAsia="TimesNewRoman"/>
          <w:szCs w:val="22"/>
          <w:lang w:val="sr-Latn-ME"/>
        </w:rPr>
        <w:t>aksitiniba</w:t>
      </w:r>
      <w:proofErr w:type="spellEnd"/>
      <w:r w:rsidR="001B64F4" w:rsidRPr="0045764A">
        <w:rPr>
          <w:rFonts w:eastAsia="TimesNewRoman"/>
          <w:szCs w:val="22"/>
          <w:lang w:val="sr-Latn-ME"/>
        </w:rPr>
        <w:t>,</w:t>
      </w:r>
      <w:r w:rsidRPr="0045764A">
        <w:rPr>
          <w:rFonts w:eastAsia="TimesNewRoman"/>
          <w:szCs w:val="22"/>
          <w:lang w:val="sr-Latn-ME"/>
        </w:rPr>
        <w:t xml:space="preserve"> sa </w:t>
      </w:r>
      <w:proofErr w:type="spellStart"/>
      <w:r w:rsidRPr="0045764A">
        <w:rPr>
          <w:rFonts w:eastAsia="TimesNewRoman"/>
          <w:szCs w:val="22"/>
          <w:lang w:val="sr-Latn-ME"/>
        </w:rPr>
        <w:t>medijanom</w:t>
      </w:r>
      <w:proofErr w:type="spellEnd"/>
      <w:r w:rsidRPr="0045764A">
        <w:rPr>
          <w:rFonts w:eastAsia="TimesNewRoman"/>
          <w:szCs w:val="22"/>
          <w:lang w:val="sr-Latn-ME"/>
        </w:rPr>
        <w:t xml:space="preserve"> </w:t>
      </w:r>
      <w:proofErr w:type="spellStart"/>
      <w:r w:rsidRPr="0045764A">
        <w:rPr>
          <w:rFonts w:eastAsia="TimesNewRoman"/>
          <w:szCs w:val="22"/>
          <w:lang w:val="sr-Latn-ME"/>
        </w:rPr>
        <w:t>Tmax</w:t>
      </w:r>
      <w:proofErr w:type="spellEnd"/>
      <w:r w:rsidRPr="0045764A">
        <w:rPr>
          <w:rFonts w:eastAsia="TimesNewRoman"/>
          <w:szCs w:val="22"/>
          <w:lang w:val="sr-Latn-ME"/>
        </w:rPr>
        <w:t xml:space="preserve"> u rasponu od 2,5 do 4,1 sati. </w:t>
      </w:r>
      <w:r w:rsidR="008E2492" w:rsidRPr="0045764A">
        <w:rPr>
          <w:rFonts w:eastAsia="TimesNewRoman"/>
          <w:szCs w:val="22"/>
          <w:lang w:val="sr-Latn-ME"/>
        </w:rPr>
        <w:t>Primjen</w:t>
      </w:r>
      <w:r w:rsidRPr="0045764A">
        <w:rPr>
          <w:rFonts w:eastAsia="TimesNewRoman"/>
          <w:szCs w:val="22"/>
          <w:lang w:val="sr-Latn-ME"/>
        </w:rPr>
        <w:t xml:space="preserve">a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sa um</w:t>
      </w:r>
      <w:r w:rsidR="00C21460" w:rsidRPr="0045764A">
        <w:rPr>
          <w:rFonts w:eastAsia="TimesNewRoman"/>
          <w:szCs w:val="22"/>
          <w:lang w:val="sr-Latn-ME"/>
        </w:rPr>
        <w:t>j</w:t>
      </w:r>
      <w:r w:rsidRPr="0045764A">
        <w:rPr>
          <w:rFonts w:eastAsia="TimesNewRoman"/>
          <w:szCs w:val="22"/>
          <w:lang w:val="sr-Latn-ME"/>
        </w:rPr>
        <w:t>ereno masnim obrokom</w:t>
      </w:r>
      <w:r w:rsidR="00321242" w:rsidRPr="0045764A">
        <w:rPr>
          <w:rFonts w:eastAsia="TimesNewRoman"/>
          <w:szCs w:val="22"/>
          <w:lang w:val="sr-Latn-ME"/>
        </w:rPr>
        <w:t xml:space="preserve"> </w:t>
      </w:r>
      <w:r w:rsidRPr="0045764A">
        <w:rPr>
          <w:rFonts w:eastAsia="TimesNewRoman"/>
          <w:szCs w:val="22"/>
          <w:lang w:val="sr-Latn-ME"/>
        </w:rPr>
        <w:t>je rezult</w:t>
      </w:r>
      <w:r w:rsidR="000154B7" w:rsidRPr="0045764A">
        <w:rPr>
          <w:rFonts w:eastAsia="TimesNewRoman"/>
          <w:szCs w:val="22"/>
          <w:lang w:val="sr-Latn-ME"/>
        </w:rPr>
        <w:t>ov</w:t>
      </w:r>
      <w:r w:rsidRPr="0045764A">
        <w:rPr>
          <w:rFonts w:eastAsia="TimesNewRoman"/>
          <w:szCs w:val="22"/>
          <w:lang w:val="sr-Latn-ME"/>
        </w:rPr>
        <w:t>ala 10% nižo</w:t>
      </w:r>
      <w:r w:rsidR="000154B7" w:rsidRPr="0045764A">
        <w:rPr>
          <w:rFonts w:eastAsia="TimesNewRoman"/>
          <w:szCs w:val="22"/>
          <w:lang w:val="sr-Latn-ME"/>
        </w:rPr>
        <w:t>m</w:t>
      </w:r>
      <w:r w:rsidRPr="0045764A">
        <w:rPr>
          <w:rFonts w:eastAsia="TimesNewRoman"/>
          <w:szCs w:val="22"/>
          <w:lang w:val="sr-Latn-ME"/>
        </w:rPr>
        <w:t xml:space="preserve"> izloženo</w:t>
      </w:r>
      <w:r w:rsidR="000154B7" w:rsidRPr="0045764A">
        <w:rPr>
          <w:rFonts w:eastAsia="TimesNewRoman"/>
          <w:szCs w:val="22"/>
          <w:lang w:val="sr-Latn-ME"/>
        </w:rPr>
        <w:t>šću</w:t>
      </w:r>
      <w:r w:rsidRPr="0045764A">
        <w:rPr>
          <w:rFonts w:eastAsia="TimesNewRoman"/>
          <w:szCs w:val="22"/>
          <w:lang w:val="sr-Latn-ME"/>
        </w:rPr>
        <w:t xml:space="preserve"> u odnosu na </w:t>
      </w:r>
      <w:r w:rsidR="008E2492" w:rsidRPr="0045764A">
        <w:rPr>
          <w:rFonts w:eastAsia="TimesNewRoman"/>
          <w:szCs w:val="22"/>
          <w:lang w:val="sr-Latn-ME"/>
        </w:rPr>
        <w:t>primjen</w:t>
      </w:r>
      <w:r w:rsidRPr="0045764A">
        <w:rPr>
          <w:rFonts w:eastAsia="TimesNewRoman"/>
          <w:szCs w:val="22"/>
          <w:lang w:val="sr-Latn-ME"/>
        </w:rPr>
        <w:t>u nakon noćnog gladovanja. Obrok sa dosta</w:t>
      </w:r>
      <w:r w:rsidR="00321242" w:rsidRPr="0045764A">
        <w:rPr>
          <w:rFonts w:eastAsia="TimesNewRoman"/>
          <w:szCs w:val="22"/>
          <w:lang w:val="sr-Latn-ME"/>
        </w:rPr>
        <w:t xml:space="preserve"> </w:t>
      </w:r>
      <w:r w:rsidRPr="0045764A">
        <w:rPr>
          <w:rFonts w:eastAsia="TimesNewRoman"/>
          <w:szCs w:val="22"/>
          <w:lang w:val="sr-Latn-ME"/>
        </w:rPr>
        <w:t>masnoće i kalorija je rezult</w:t>
      </w:r>
      <w:r w:rsidR="000154B7" w:rsidRPr="0045764A">
        <w:rPr>
          <w:rFonts w:eastAsia="TimesNewRoman"/>
          <w:szCs w:val="22"/>
          <w:lang w:val="sr-Latn-ME"/>
        </w:rPr>
        <w:t>ov</w:t>
      </w:r>
      <w:r w:rsidRPr="0045764A">
        <w:rPr>
          <w:rFonts w:eastAsia="TimesNewRoman"/>
          <w:szCs w:val="22"/>
          <w:lang w:val="sr-Latn-ME"/>
        </w:rPr>
        <w:t>ao 19% višo</w:t>
      </w:r>
      <w:r w:rsidR="000154B7" w:rsidRPr="0045764A">
        <w:rPr>
          <w:rFonts w:eastAsia="TimesNewRoman"/>
          <w:szCs w:val="22"/>
          <w:lang w:val="sr-Latn-ME"/>
        </w:rPr>
        <w:t>m</w:t>
      </w:r>
      <w:r w:rsidRPr="0045764A">
        <w:rPr>
          <w:rFonts w:eastAsia="TimesNewRoman"/>
          <w:szCs w:val="22"/>
          <w:lang w:val="sr-Latn-ME"/>
        </w:rPr>
        <w:t xml:space="preserve"> izloženo</w:t>
      </w:r>
      <w:r w:rsidR="000154B7" w:rsidRPr="0045764A">
        <w:rPr>
          <w:rFonts w:eastAsia="TimesNewRoman"/>
          <w:szCs w:val="22"/>
          <w:lang w:val="sr-Latn-ME"/>
        </w:rPr>
        <w:t>šću</w:t>
      </w:r>
      <w:r w:rsidRPr="0045764A">
        <w:rPr>
          <w:rFonts w:eastAsia="TimesNewRoman"/>
          <w:szCs w:val="22"/>
          <w:lang w:val="sr-Latn-ME"/>
        </w:rPr>
        <w:t xml:space="preserve"> u odnosu na </w:t>
      </w:r>
      <w:r w:rsidR="008E2492" w:rsidRPr="0045764A">
        <w:rPr>
          <w:rFonts w:eastAsia="TimesNewRoman"/>
          <w:szCs w:val="22"/>
          <w:lang w:val="sr-Latn-ME"/>
        </w:rPr>
        <w:t>primjen</w:t>
      </w:r>
      <w:r w:rsidRPr="0045764A">
        <w:rPr>
          <w:rFonts w:eastAsia="TimesNewRoman"/>
          <w:szCs w:val="22"/>
          <w:lang w:val="sr-Latn-ME"/>
        </w:rPr>
        <w:t>u nakon noćnog gladovanja.</w:t>
      </w:r>
      <w:r w:rsidR="00122C35" w:rsidRPr="0045764A">
        <w:rPr>
          <w:rFonts w:eastAsia="TimesNewRoman"/>
          <w:szCs w:val="22"/>
          <w:lang w:val="sr-Latn-ME"/>
        </w:rPr>
        <w:t xml:space="preserve"> </w:t>
      </w:r>
      <w:proofErr w:type="spellStart"/>
      <w:r w:rsidRPr="0045764A">
        <w:rPr>
          <w:rFonts w:eastAsia="TimesNewRoman"/>
          <w:szCs w:val="22"/>
          <w:lang w:val="sr-Latn-ME"/>
        </w:rPr>
        <w:t>Aksitinib</w:t>
      </w:r>
      <w:proofErr w:type="spellEnd"/>
      <w:r w:rsidRPr="0045764A">
        <w:rPr>
          <w:rFonts w:eastAsia="TimesNewRoman"/>
          <w:szCs w:val="22"/>
          <w:lang w:val="sr-Latn-ME"/>
        </w:rPr>
        <w:t xml:space="preserve"> se može </w:t>
      </w:r>
      <w:r w:rsidR="008E2492" w:rsidRPr="0045764A">
        <w:rPr>
          <w:rFonts w:eastAsia="TimesNewRoman"/>
          <w:szCs w:val="22"/>
          <w:lang w:val="sr-Latn-ME"/>
        </w:rPr>
        <w:t>prim</w:t>
      </w:r>
      <w:r w:rsidR="00C21460" w:rsidRPr="0045764A">
        <w:rPr>
          <w:rFonts w:eastAsia="TimesNewRoman"/>
          <w:szCs w:val="22"/>
          <w:lang w:val="sr-Latn-ME"/>
        </w:rPr>
        <w:t>i</w:t>
      </w:r>
      <w:r w:rsidR="008E2492" w:rsidRPr="0045764A">
        <w:rPr>
          <w:rFonts w:eastAsia="TimesNewRoman"/>
          <w:szCs w:val="22"/>
          <w:lang w:val="sr-Latn-ME"/>
        </w:rPr>
        <w:t>jen</w:t>
      </w:r>
      <w:r w:rsidRPr="0045764A">
        <w:rPr>
          <w:rFonts w:eastAsia="TimesNewRoman"/>
          <w:szCs w:val="22"/>
          <w:lang w:val="sr-Latn-ME"/>
        </w:rPr>
        <w:t xml:space="preserve">iti sa </w:t>
      </w:r>
      <w:r w:rsidR="000154B7" w:rsidRPr="0045764A">
        <w:rPr>
          <w:rFonts w:eastAsia="TimesNewRoman"/>
          <w:szCs w:val="22"/>
          <w:lang w:val="sr-Latn-ME"/>
        </w:rPr>
        <w:t xml:space="preserve">hranom </w:t>
      </w:r>
      <w:r w:rsidRPr="0045764A">
        <w:rPr>
          <w:rFonts w:eastAsia="TimesNewRoman"/>
          <w:szCs w:val="22"/>
          <w:lang w:val="sr-Latn-ME"/>
        </w:rPr>
        <w:t xml:space="preserve">ili bez </w:t>
      </w:r>
      <w:r w:rsidR="000154B7" w:rsidRPr="0045764A">
        <w:rPr>
          <w:rFonts w:eastAsia="TimesNewRoman"/>
          <w:szCs w:val="22"/>
          <w:lang w:val="sr-Latn-ME"/>
        </w:rPr>
        <w:t>nje</w:t>
      </w:r>
      <w:r w:rsidRPr="0045764A">
        <w:rPr>
          <w:rFonts w:eastAsia="TimesNewRoman"/>
          <w:szCs w:val="22"/>
          <w:lang w:val="sr-Latn-ME"/>
        </w:rPr>
        <w:t xml:space="preserve"> (</w:t>
      </w:r>
      <w:r w:rsidR="006F7AEE" w:rsidRPr="0045764A">
        <w:rPr>
          <w:rFonts w:eastAsia="TimesNewRoman"/>
          <w:szCs w:val="22"/>
          <w:lang w:val="sr-Latn-ME"/>
        </w:rPr>
        <w:t>pogledati dio</w:t>
      </w:r>
      <w:r w:rsidRPr="0045764A">
        <w:rPr>
          <w:rFonts w:eastAsia="TimesNewRoman"/>
          <w:szCs w:val="22"/>
          <w:lang w:val="sr-Latn-ME"/>
        </w:rPr>
        <w:t xml:space="preserve"> 4.2).</w:t>
      </w:r>
    </w:p>
    <w:p w14:paraId="10698FD9" w14:textId="77777777" w:rsidR="00122C35" w:rsidRPr="0045764A" w:rsidRDefault="00122C35" w:rsidP="00C65330">
      <w:pPr>
        <w:tabs>
          <w:tab w:val="clear" w:pos="284"/>
        </w:tabs>
        <w:autoSpaceDE w:val="0"/>
        <w:autoSpaceDN w:val="0"/>
        <w:adjustRightInd w:val="0"/>
        <w:rPr>
          <w:rFonts w:eastAsia="TimesNewRoman"/>
          <w:szCs w:val="22"/>
          <w:lang w:val="sr-Latn-ME"/>
        </w:rPr>
      </w:pPr>
    </w:p>
    <w:p w14:paraId="5B9AF3DA" w14:textId="28E0A8CE" w:rsidR="005A2986" w:rsidRPr="0045764A" w:rsidRDefault="005A2986" w:rsidP="00C65330">
      <w:pPr>
        <w:tabs>
          <w:tab w:val="clear" w:pos="284"/>
        </w:tabs>
        <w:autoSpaceDE w:val="0"/>
        <w:autoSpaceDN w:val="0"/>
        <w:adjustRightInd w:val="0"/>
        <w:rPr>
          <w:rFonts w:eastAsia="TimesNewRoman"/>
          <w:i/>
          <w:iCs/>
          <w:szCs w:val="22"/>
          <w:lang w:val="sr-Latn-ME"/>
        </w:rPr>
      </w:pPr>
      <w:r w:rsidRPr="0045764A">
        <w:rPr>
          <w:rFonts w:eastAsia="TimesNewRoman"/>
          <w:szCs w:val="22"/>
          <w:lang w:val="sr-Latn-ME"/>
        </w:rPr>
        <w:t>Pros</w:t>
      </w:r>
      <w:r w:rsidR="00C21460" w:rsidRPr="0045764A">
        <w:rPr>
          <w:rFonts w:eastAsia="TimesNewRoman"/>
          <w:szCs w:val="22"/>
          <w:lang w:val="sr-Latn-ME"/>
        </w:rPr>
        <w:t>j</w:t>
      </w:r>
      <w:r w:rsidRPr="0045764A">
        <w:rPr>
          <w:rFonts w:eastAsia="TimesNewRoman"/>
          <w:szCs w:val="22"/>
          <w:lang w:val="sr-Latn-ME"/>
        </w:rPr>
        <w:t xml:space="preserve">ečne </w:t>
      </w:r>
      <w:r w:rsidR="008E2492" w:rsidRPr="0045764A">
        <w:rPr>
          <w:rFonts w:eastAsia="TimesNewRoman"/>
          <w:szCs w:val="22"/>
          <w:lang w:val="sr-Latn-ME"/>
        </w:rPr>
        <w:t>vrijednost</w:t>
      </w:r>
      <w:r w:rsidRPr="0045764A">
        <w:rPr>
          <w:rFonts w:eastAsia="TimesNewRoman"/>
          <w:szCs w:val="22"/>
          <w:lang w:val="sr-Latn-ME"/>
        </w:rPr>
        <w:t xml:space="preserve">i </w:t>
      </w:r>
      <w:proofErr w:type="spellStart"/>
      <w:r w:rsidRPr="0045764A">
        <w:rPr>
          <w:rFonts w:eastAsia="TimesNewRoman"/>
          <w:szCs w:val="22"/>
          <w:lang w:val="sr-Latn-ME"/>
        </w:rPr>
        <w:t>C</w:t>
      </w:r>
      <w:r w:rsidRPr="0045764A">
        <w:rPr>
          <w:rFonts w:eastAsia="TimesNewRoman"/>
          <w:szCs w:val="22"/>
          <w:vertAlign w:val="subscript"/>
          <w:lang w:val="sr-Latn-ME"/>
        </w:rPr>
        <w:t>max</w:t>
      </w:r>
      <w:proofErr w:type="spellEnd"/>
      <w:r w:rsidRPr="0045764A">
        <w:rPr>
          <w:rFonts w:eastAsia="TimesNewRoman"/>
          <w:szCs w:val="22"/>
          <w:lang w:val="sr-Latn-ME"/>
        </w:rPr>
        <w:t xml:space="preserve"> i PIK proporcionalno su se povećale u </w:t>
      </w:r>
      <w:proofErr w:type="spellStart"/>
      <w:r w:rsidRPr="0045764A">
        <w:rPr>
          <w:rFonts w:eastAsia="TimesNewRoman"/>
          <w:szCs w:val="22"/>
          <w:lang w:val="sr-Latn-ME"/>
        </w:rPr>
        <w:t>doznom</w:t>
      </w:r>
      <w:proofErr w:type="spellEnd"/>
      <w:r w:rsidRPr="0045764A">
        <w:rPr>
          <w:rFonts w:eastAsia="TimesNewRoman"/>
          <w:szCs w:val="22"/>
          <w:lang w:val="sr-Latn-ME"/>
        </w:rPr>
        <w:t xml:space="preserve"> opsegu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od 5 do 10 mg. </w:t>
      </w:r>
      <w:r w:rsidRPr="0045764A">
        <w:rPr>
          <w:rFonts w:eastAsia="TimesNewRoman"/>
          <w:i/>
          <w:iCs/>
          <w:szCs w:val="22"/>
          <w:lang w:val="sr-Latn-ME"/>
        </w:rPr>
        <w:t>In</w:t>
      </w:r>
      <w:r w:rsidR="00321242" w:rsidRPr="0045764A">
        <w:rPr>
          <w:rFonts w:eastAsia="TimesNewRoman"/>
          <w:i/>
          <w:iCs/>
          <w:szCs w:val="22"/>
          <w:lang w:val="sr-Latn-ME"/>
        </w:rPr>
        <w:t xml:space="preserve"> </w:t>
      </w:r>
      <w:proofErr w:type="spellStart"/>
      <w:r w:rsidRPr="0045764A">
        <w:rPr>
          <w:rFonts w:eastAsia="TimesNewRoman"/>
          <w:i/>
          <w:iCs/>
          <w:szCs w:val="22"/>
          <w:lang w:val="sr-Latn-ME"/>
        </w:rPr>
        <w:t>vitro</w:t>
      </w:r>
      <w:proofErr w:type="spellEnd"/>
      <w:r w:rsidRPr="0045764A">
        <w:rPr>
          <w:rFonts w:eastAsia="TimesNewRoman"/>
          <w:i/>
          <w:iCs/>
          <w:szCs w:val="22"/>
          <w:lang w:val="sr-Latn-ME"/>
        </w:rPr>
        <w:t xml:space="preserve"> </w:t>
      </w:r>
      <w:r w:rsidRPr="0045764A">
        <w:rPr>
          <w:rFonts w:eastAsia="TimesNewRoman"/>
          <w:szCs w:val="22"/>
          <w:lang w:val="sr-Latn-ME"/>
        </w:rPr>
        <w:t xml:space="preserve">vezivanje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za humane proteine plazme je &gt; 99%</w:t>
      </w:r>
      <w:r w:rsidR="001B64F4" w:rsidRPr="0045764A">
        <w:rPr>
          <w:rFonts w:eastAsia="TimesNewRoman"/>
          <w:szCs w:val="22"/>
          <w:lang w:val="sr-Latn-ME"/>
        </w:rPr>
        <w:t>,</w:t>
      </w:r>
      <w:r w:rsidRPr="0045764A">
        <w:rPr>
          <w:rFonts w:eastAsia="TimesNewRoman"/>
          <w:szCs w:val="22"/>
          <w:lang w:val="sr-Latn-ME"/>
        </w:rPr>
        <w:t xml:space="preserve"> sa prvenstvenim vezivanjem za albumin </w:t>
      </w:r>
      <w:r w:rsidR="00C21460" w:rsidRPr="0045764A">
        <w:rPr>
          <w:rFonts w:eastAsia="TimesNewRoman"/>
          <w:szCs w:val="22"/>
          <w:lang w:val="sr-Latn-ME"/>
        </w:rPr>
        <w:t>i</w:t>
      </w:r>
      <w:r w:rsidR="00321242" w:rsidRPr="0045764A">
        <w:rPr>
          <w:rFonts w:eastAsia="TimesNewRoman"/>
          <w:i/>
          <w:iCs/>
          <w:szCs w:val="22"/>
          <w:lang w:val="sr-Latn-ME"/>
        </w:rPr>
        <w:t xml:space="preserve"> </w:t>
      </w:r>
      <w:r w:rsidRPr="0045764A">
        <w:rPr>
          <w:rFonts w:eastAsia="TimesNewRoman"/>
          <w:szCs w:val="22"/>
          <w:lang w:val="sr-Latn-ME"/>
        </w:rPr>
        <w:t>um</w:t>
      </w:r>
      <w:r w:rsidR="00C21460" w:rsidRPr="0045764A">
        <w:rPr>
          <w:rFonts w:eastAsia="TimesNewRoman"/>
          <w:szCs w:val="22"/>
          <w:lang w:val="sr-Latn-ME"/>
        </w:rPr>
        <w:t>j</w:t>
      </w:r>
      <w:r w:rsidRPr="0045764A">
        <w:rPr>
          <w:rFonts w:eastAsia="TimesNewRoman"/>
          <w:szCs w:val="22"/>
          <w:lang w:val="sr-Latn-ME"/>
        </w:rPr>
        <w:t xml:space="preserve">erenim vezivanjem za α1-kiseli </w:t>
      </w:r>
      <w:proofErr w:type="spellStart"/>
      <w:r w:rsidRPr="0045764A">
        <w:rPr>
          <w:rFonts w:eastAsia="TimesNewRoman"/>
          <w:szCs w:val="22"/>
          <w:lang w:val="sr-Latn-ME"/>
        </w:rPr>
        <w:t>glikoprotein</w:t>
      </w:r>
      <w:proofErr w:type="spellEnd"/>
      <w:r w:rsidRPr="0045764A">
        <w:rPr>
          <w:rFonts w:eastAsia="TimesNewRoman"/>
          <w:szCs w:val="22"/>
          <w:lang w:val="sr-Latn-ME"/>
        </w:rPr>
        <w:t>. Pri dozi od 5 mg dva puta dnevno nakon uzimanja hrane,</w:t>
      </w:r>
      <w:r w:rsidR="00321242" w:rsidRPr="0045764A">
        <w:rPr>
          <w:rFonts w:eastAsia="TimesNewRoman"/>
          <w:i/>
          <w:iCs/>
          <w:szCs w:val="22"/>
          <w:lang w:val="sr-Latn-ME"/>
        </w:rPr>
        <w:t xml:space="preserve"> </w:t>
      </w:r>
      <w:r w:rsidRPr="0045764A">
        <w:rPr>
          <w:rFonts w:eastAsia="TimesNewRoman"/>
          <w:szCs w:val="22"/>
          <w:lang w:val="sr-Latn-ME"/>
        </w:rPr>
        <w:t xml:space="preserve">geometrijska sredina najveće koncentracije u plazmi bila je 27,8 </w:t>
      </w:r>
      <w:proofErr w:type="spellStart"/>
      <w:r w:rsidRPr="0045764A">
        <w:rPr>
          <w:rFonts w:eastAsia="TimesNewRoman"/>
          <w:szCs w:val="22"/>
          <w:lang w:val="sr-Latn-ME"/>
        </w:rPr>
        <w:t>nanograma</w:t>
      </w:r>
      <w:proofErr w:type="spellEnd"/>
      <w:r w:rsidRPr="0045764A">
        <w:rPr>
          <w:rFonts w:eastAsia="TimesNewRoman"/>
          <w:szCs w:val="22"/>
          <w:lang w:val="sr-Latn-ME"/>
        </w:rPr>
        <w:t>/</w:t>
      </w:r>
      <w:proofErr w:type="spellStart"/>
      <w:r w:rsidRPr="0045764A">
        <w:rPr>
          <w:rFonts w:eastAsia="TimesNewRoman"/>
          <w:szCs w:val="22"/>
          <w:lang w:val="sr-Latn-ME"/>
        </w:rPr>
        <w:t>mL</w:t>
      </w:r>
      <w:proofErr w:type="spellEnd"/>
      <w:r w:rsidRPr="0045764A">
        <w:rPr>
          <w:rFonts w:eastAsia="TimesNewRoman"/>
          <w:szCs w:val="22"/>
          <w:lang w:val="sr-Latn-ME"/>
        </w:rPr>
        <w:t>, a 24-časovni PIK bio je</w:t>
      </w:r>
      <w:r w:rsidR="00321242" w:rsidRPr="0045764A">
        <w:rPr>
          <w:rFonts w:eastAsia="TimesNewRoman"/>
          <w:i/>
          <w:iCs/>
          <w:szCs w:val="22"/>
          <w:lang w:val="sr-Latn-ME"/>
        </w:rPr>
        <w:t xml:space="preserve"> </w:t>
      </w:r>
      <w:r w:rsidRPr="0045764A">
        <w:rPr>
          <w:rFonts w:eastAsia="TimesNewRoman"/>
          <w:szCs w:val="22"/>
          <w:lang w:val="sr-Latn-ME"/>
        </w:rPr>
        <w:t xml:space="preserve">265 </w:t>
      </w:r>
      <w:proofErr w:type="spellStart"/>
      <w:r w:rsidRPr="0045764A">
        <w:rPr>
          <w:rFonts w:eastAsia="TimesNewRoman"/>
          <w:szCs w:val="22"/>
          <w:lang w:val="sr-Latn-ME"/>
        </w:rPr>
        <w:t>nanograma.h</w:t>
      </w:r>
      <w:proofErr w:type="spellEnd"/>
      <w:r w:rsidRPr="0045764A">
        <w:rPr>
          <w:rFonts w:eastAsia="TimesNewRoman"/>
          <w:szCs w:val="22"/>
          <w:lang w:val="sr-Latn-ME"/>
        </w:rPr>
        <w:t>/</w:t>
      </w:r>
      <w:proofErr w:type="spellStart"/>
      <w:r w:rsidRPr="0045764A">
        <w:rPr>
          <w:rFonts w:eastAsia="TimesNewRoman"/>
          <w:szCs w:val="22"/>
          <w:lang w:val="sr-Latn-ME"/>
        </w:rPr>
        <w:t>mL</w:t>
      </w:r>
      <w:proofErr w:type="spellEnd"/>
      <w:r w:rsidRPr="0045764A">
        <w:rPr>
          <w:rFonts w:eastAsia="TimesNewRoman"/>
          <w:szCs w:val="22"/>
          <w:lang w:val="sr-Latn-ME"/>
        </w:rPr>
        <w:t xml:space="preserve"> kod pacijenata sa </w:t>
      </w:r>
      <w:proofErr w:type="spellStart"/>
      <w:r w:rsidRPr="0045764A">
        <w:rPr>
          <w:rFonts w:eastAsia="TimesNewRoman"/>
          <w:szCs w:val="22"/>
          <w:lang w:val="sr-Latn-ME"/>
        </w:rPr>
        <w:t>uznapredovalim</w:t>
      </w:r>
      <w:proofErr w:type="spellEnd"/>
      <w:r w:rsidRPr="0045764A">
        <w:rPr>
          <w:rFonts w:eastAsia="TimesNewRoman"/>
          <w:szCs w:val="22"/>
          <w:lang w:val="sr-Latn-ME"/>
        </w:rPr>
        <w:t xml:space="preserve"> RCC. Geometrijska sredina oralnog </w:t>
      </w:r>
      <w:proofErr w:type="spellStart"/>
      <w:r w:rsidRPr="0045764A">
        <w:rPr>
          <w:rFonts w:eastAsia="TimesNewRoman"/>
          <w:szCs w:val="22"/>
          <w:lang w:val="sr-Latn-ME"/>
        </w:rPr>
        <w:t>klirensa</w:t>
      </w:r>
      <w:proofErr w:type="spellEnd"/>
      <w:r w:rsidRPr="0045764A">
        <w:rPr>
          <w:rFonts w:eastAsia="TimesNewRoman"/>
          <w:szCs w:val="22"/>
          <w:lang w:val="sr-Latn-ME"/>
        </w:rPr>
        <w:t xml:space="preserve"> bila je</w:t>
      </w:r>
      <w:r w:rsidR="00321242" w:rsidRPr="0045764A">
        <w:rPr>
          <w:rFonts w:eastAsia="TimesNewRoman"/>
          <w:i/>
          <w:iCs/>
          <w:szCs w:val="22"/>
          <w:lang w:val="sr-Latn-ME"/>
        </w:rPr>
        <w:t xml:space="preserve"> </w:t>
      </w:r>
      <w:r w:rsidRPr="0045764A">
        <w:rPr>
          <w:rFonts w:eastAsia="TimesNewRoman"/>
          <w:szCs w:val="22"/>
          <w:lang w:val="sr-Latn-ME"/>
        </w:rPr>
        <w:t>38 L/h, a prividni volumen distribucije bio je 160 L.</w:t>
      </w:r>
    </w:p>
    <w:p w14:paraId="18435208" w14:textId="69AEB0C1" w:rsidR="000E1949" w:rsidRPr="0045764A" w:rsidRDefault="000E1949" w:rsidP="00C65330">
      <w:pPr>
        <w:rPr>
          <w:rFonts w:eastAsia="TimesNewRoman"/>
          <w:szCs w:val="22"/>
          <w:lang w:val="sr-Latn-ME"/>
        </w:rPr>
      </w:pPr>
    </w:p>
    <w:p w14:paraId="22B5661F" w14:textId="77777777" w:rsidR="000E1949" w:rsidRPr="0045764A" w:rsidRDefault="000E1949" w:rsidP="00C65330">
      <w:pPr>
        <w:tabs>
          <w:tab w:val="clear" w:pos="284"/>
        </w:tabs>
        <w:autoSpaceDE w:val="0"/>
        <w:autoSpaceDN w:val="0"/>
        <w:adjustRightInd w:val="0"/>
        <w:rPr>
          <w:i/>
          <w:iCs/>
          <w:szCs w:val="22"/>
          <w:lang w:val="sr-Latn-ME"/>
        </w:rPr>
      </w:pPr>
      <w:proofErr w:type="spellStart"/>
      <w:r w:rsidRPr="0045764A">
        <w:rPr>
          <w:i/>
          <w:iCs/>
          <w:szCs w:val="22"/>
          <w:lang w:val="sr-Latn-ME"/>
        </w:rPr>
        <w:t>Biotransformacija</w:t>
      </w:r>
      <w:proofErr w:type="spellEnd"/>
      <w:r w:rsidRPr="0045764A">
        <w:rPr>
          <w:i/>
          <w:iCs/>
          <w:szCs w:val="22"/>
          <w:lang w:val="sr-Latn-ME"/>
        </w:rPr>
        <w:t xml:space="preserve"> i eliminacija</w:t>
      </w:r>
    </w:p>
    <w:p w14:paraId="4E0CC69F" w14:textId="2470F5B8" w:rsidR="000E1949" w:rsidRPr="0045764A" w:rsidRDefault="000E1949" w:rsidP="00C65330">
      <w:pPr>
        <w:tabs>
          <w:tab w:val="clear" w:pos="284"/>
        </w:tabs>
        <w:autoSpaceDE w:val="0"/>
        <w:autoSpaceDN w:val="0"/>
        <w:adjustRightInd w:val="0"/>
        <w:rPr>
          <w:rFonts w:eastAsia="TimesNewRoman"/>
          <w:szCs w:val="22"/>
          <w:lang w:val="sr-Latn-ME"/>
        </w:rPr>
      </w:pPr>
      <w:proofErr w:type="spellStart"/>
      <w:r w:rsidRPr="0045764A">
        <w:rPr>
          <w:rFonts w:eastAsia="TimesNewRoman"/>
          <w:szCs w:val="22"/>
          <w:lang w:val="sr-Latn-ME"/>
        </w:rPr>
        <w:t>Aksitinib</w:t>
      </w:r>
      <w:proofErr w:type="spellEnd"/>
      <w:r w:rsidRPr="0045764A">
        <w:rPr>
          <w:rFonts w:eastAsia="TimesNewRoman"/>
          <w:szCs w:val="22"/>
          <w:lang w:val="sr-Latn-ME"/>
        </w:rPr>
        <w:t xml:space="preserve"> se primarno </w:t>
      </w:r>
      <w:proofErr w:type="spellStart"/>
      <w:r w:rsidRPr="0045764A">
        <w:rPr>
          <w:rFonts w:eastAsia="TimesNewRoman"/>
          <w:szCs w:val="22"/>
          <w:lang w:val="sr-Latn-ME"/>
        </w:rPr>
        <w:t>metaboliše</w:t>
      </w:r>
      <w:proofErr w:type="spellEnd"/>
      <w:r w:rsidRPr="0045764A">
        <w:rPr>
          <w:rFonts w:eastAsia="TimesNewRoman"/>
          <w:szCs w:val="22"/>
          <w:lang w:val="sr-Latn-ME"/>
        </w:rPr>
        <w:t xml:space="preserve"> u jetri putem CYP3A4/5 i u manjoj m</w:t>
      </w:r>
      <w:r w:rsidR="00C21460" w:rsidRPr="0045764A">
        <w:rPr>
          <w:rFonts w:eastAsia="TimesNewRoman"/>
          <w:szCs w:val="22"/>
          <w:lang w:val="sr-Latn-ME"/>
        </w:rPr>
        <w:t>j</w:t>
      </w:r>
      <w:r w:rsidRPr="0045764A">
        <w:rPr>
          <w:rFonts w:eastAsia="TimesNewRoman"/>
          <w:szCs w:val="22"/>
          <w:lang w:val="sr-Latn-ME"/>
        </w:rPr>
        <w:t xml:space="preserve">eri putem CYP1A2, CYP2C19 </w:t>
      </w:r>
      <w:r w:rsidR="001B64F4" w:rsidRPr="0045764A">
        <w:rPr>
          <w:rFonts w:eastAsia="TimesNewRoman"/>
          <w:szCs w:val="22"/>
          <w:lang w:val="sr-Latn-ME"/>
        </w:rPr>
        <w:t>i</w:t>
      </w:r>
      <w:r w:rsidR="00086EB2" w:rsidRPr="0045764A">
        <w:rPr>
          <w:rFonts w:eastAsia="TimesNewRoman"/>
          <w:szCs w:val="22"/>
          <w:lang w:val="sr-Latn-ME"/>
        </w:rPr>
        <w:t xml:space="preserve"> </w:t>
      </w:r>
      <w:r w:rsidRPr="0045764A">
        <w:rPr>
          <w:rFonts w:eastAsia="TimesNewRoman"/>
          <w:szCs w:val="22"/>
          <w:lang w:val="sr-Latn-ME"/>
        </w:rPr>
        <w:t>UGT1A1.</w:t>
      </w:r>
    </w:p>
    <w:p w14:paraId="480F27CF" w14:textId="77777777" w:rsidR="00334376" w:rsidRPr="0045764A" w:rsidRDefault="00334376" w:rsidP="00C65330">
      <w:pPr>
        <w:tabs>
          <w:tab w:val="clear" w:pos="284"/>
        </w:tabs>
        <w:autoSpaceDE w:val="0"/>
        <w:autoSpaceDN w:val="0"/>
        <w:adjustRightInd w:val="0"/>
        <w:rPr>
          <w:rFonts w:eastAsia="TimesNewRoman"/>
          <w:szCs w:val="22"/>
          <w:lang w:val="sr-Latn-ME"/>
        </w:rPr>
      </w:pPr>
    </w:p>
    <w:p w14:paraId="50D78FF2" w14:textId="226B25EC" w:rsidR="005208A9" w:rsidRPr="0045764A" w:rsidRDefault="000E1949"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Nakon oralne </w:t>
      </w:r>
      <w:r w:rsidR="008E2492" w:rsidRPr="0045764A">
        <w:rPr>
          <w:rFonts w:eastAsia="TimesNewRoman"/>
          <w:szCs w:val="22"/>
          <w:lang w:val="sr-Latn-ME"/>
        </w:rPr>
        <w:t>primjen</w:t>
      </w:r>
      <w:r w:rsidRPr="0045764A">
        <w:rPr>
          <w:rFonts w:eastAsia="TimesNewRoman"/>
          <w:szCs w:val="22"/>
          <w:lang w:val="sr-Latn-ME"/>
        </w:rPr>
        <w:t xml:space="preserve">e radioaktivnog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u dozi od 5 mg, 30-60% radioaktivnosti je pronađeno u</w:t>
      </w:r>
      <w:r w:rsidR="00086EB2" w:rsidRPr="0045764A">
        <w:rPr>
          <w:rFonts w:eastAsia="TimesNewRoman"/>
          <w:szCs w:val="22"/>
          <w:lang w:val="sr-Latn-ME"/>
        </w:rPr>
        <w:t xml:space="preserve"> </w:t>
      </w:r>
      <w:proofErr w:type="spellStart"/>
      <w:r w:rsidRPr="0045764A">
        <w:rPr>
          <w:rFonts w:eastAsia="TimesNewRoman"/>
          <w:szCs w:val="22"/>
          <w:lang w:val="sr-Latn-ME"/>
        </w:rPr>
        <w:t>fecesu</w:t>
      </w:r>
      <w:proofErr w:type="spellEnd"/>
      <w:r w:rsidRPr="0045764A">
        <w:rPr>
          <w:rFonts w:eastAsia="TimesNewRoman"/>
          <w:szCs w:val="22"/>
          <w:lang w:val="sr-Latn-ME"/>
        </w:rPr>
        <w:t xml:space="preserve">, a 23% radioaktivnosti u urinu. </w:t>
      </w:r>
      <w:proofErr w:type="spellStart"/>
      <w:r w:rsidRPr="0045764A">
        <w:rPr>
          <w:rFonts w:eastAsia="TimesNewRoman"/>
          <w:szCs w:val="22"/>
          <w:lang w:val="sr-Latn-ME"/>
        </w:rPr>
        <w:t>Neprom</w:t>
      </w:r>
      <w:r w:rsidR="00C21460" w:rsidRPr="0045764A">
        <w:rPr>
          <w:rFonts w:eastAsia="TimesNewRoman"/>
          <w:szCs w:val="22"/>
          <w:lang w:val="sr-Latn-ME"/>
        </w:rPr>
        <w:t>ij</w:t>
      </w:r>
      <w:r w:rsidRPr="0045764A">
        <w:rPr>
          <w:rFonts w:eastAsia="TimesNewRoman"/>
          <w:szCs w:val="22"/>
          <w:lang w:val="sr-Latn-ME"/>
        </w:rPr>
        <w:t>enjen</w:t>
      </w:r>
      <w:r w:rsidR="001B64F4" w:rsidRPr="0045764A">
        <w:rPr>
          <w:rFonts w:eastAsia="TimesNewRoman"/>
          <w:szCs w:val="22"/>
          <w:lang w:val="sr-Latn-ME"/>
        </w:rPr>
        <w:t>i</w:t>
      </w:r>
      <w:proofErr w:type="spellEnd"/>
      <w:r w:rsidRPr="0045764A">
        <w:rPr>
          <w:rFonts w:eastAsia="TimesNewRoman"/>
          <w:szCs w:val="22"/>
          <w:lang w:val="sr-Latn-ME"/>
        </w:rPr>
        <w:t xml:space="preserve"> </w:t>
      </w:r>
      <w:proofErr w:type="spellStart"/>
      <w:r w:rsidRPr="0045764A">
        <w:rPr>
          <w:rFonts w:eastAsia="TimesNewRoman"/>
          <w:szCs w:val="22"/>
          <w:lang w:val="sr-Latn-ME"/>
        </w:rPr>
        <w:t>aksitinib</w:t>
      </w:r>
      <w:proofErr w:type="spellEnd"/>
      <w:r w:rsidRPr="0045764A">
        <w:rPr>
          <w:rFonts w:eastAsia="TimesNewRoman"/>
          <w:szCs w:val="22"/>
          <w:lang w:val="sr-Latn-ME"/>
        </w:rPr>
        <w:t>, koji čini 12% doze, bio je glavna komponenta</w:t>
      </w:r>
      <w:r w:rsidR="00086EB2" w:rsidRPr="0045764A">
        <w:rPr>
          <w:rFonts w:eastAsia="TimesNewRoman"/>
          <w:szCs w:val="22"/>
          <w:lang w:val="sr-Latn-ME"/>
        </w:rPr>
        <w:t xml:space="preserve"> </w:t>
      </w:r>
      <w:r w:rsidRPr="0045764A">
        <w:rPr>
          <w:rFonts w:eastAsia="TimesNewRoman"/>
          <w:szCs w:val="22"/>
          <w:lang w:val="sr-Latn-ME"/>
        </w:rPr>
        <w:t xml:space="preserve">identifikovana u </w:t>
      </w:r>
      <w:proofErr w:type="spellStart"/>
      <w:r w:rsidRPr="0045764A">
        <w:rPr>
          <w:rFonts w:eastAsia="TimesNewRoman"/>
          <w:szCs w:val="22"/>
          <w:lang w:val="sr-Latn-ME"/>
        </w:rPr>
        <w:t>fecesu</w:t>
      </w:r>
      <w:proofErr w:type="spellEnd"/>
      <w:r w:rsidRPr="0045764A">
        <w:rPr>
          <w:rFonts w:eastAsia="TimesNewRoman"/>
          <w:szCs w:val="22"/>
          <w:lang w:val="sr-Latn-ME"/>
        </w:rPr>
        <w:t xml:space="preserve">. </w:t>
      </w:r>
      <w:proofErr w:type="spellStart"/>
      <w:r w:rsidRPr="0045764A">
        <w:rPr>
          <w:rFonts w:eastAsia="TimesNewRoman"/>
          <w:szCs w:val="22"/>
          <w:lang w:val="sr-Latn-ME"/>
        </w:rPr>
        <w:t>Neprom</w:t>
      </w:r>
      <w:r w:rsidR="00C21460" w:rsidRPr="0045764A">
        <w:rPr>
          <w:rFonts w:eastAsia="TimesNewRoman"/>
          <w:szCs w:val="22"/>
          <w:lang w:val="sr-Latn-ME"/>
        </w:rPr>
        <w:t>ij</w:t>
      </w:r>
      <w:r w:rsidRPr="0045764A">
        <w:rPr>
          <w:rFonts w:eastAsia="TimesNewRoman"/>
          <w:szCs w:val="22"/>
          <w:lang w:val="sr-Latn-ME"/>
        </w:rPr>
        <w:t>enjen</w:t>
      </w:r>
      <w:r w:rsidR="001B64F4" w:rsidRPr="0045764A">
        <w:rPr>
          <w:rFonts w:eastAsia="TimesNewRoman"/>
          <w:szCs w:val="22"/>
          <w:lang w:val="sr-Latn-ME"/>
        </w:rPr>
        <w:t>i</w:t>
      </w:r>
      <w:proofErr w:type="spellEnd"/>
      <w:r w:rsidRPr="0045764A">
        <w:rPr>
          <w:rFonts w:eastAsia="TimesNewRoman"/>
          <w:szCs w:val="22"/>
          <w:lang w:val="sr-Latn-ME"/>
        </w:rPr>
        <w:t xml:space="preserve"> </w:t>
      </w:r>
      <w:proofErr w:type="spellStart"/>
      <w:r w:rsidRPr="0045764A">
        <w:rPr>
          <w:rFonts w:eastAsia="TimesNewRoman"/>
          <w:szCs w:val="22"/>
          <w:lang w:val="sr-Latn-ME"/>
        </w:rPr>
        <w:t>aksitinib</w:t>
      </w:r>
      <w:proofErr w:type="spellEnd"/>
      <w:r w:rsidRPr="0045764A">
        <w:rPr>
          <w:rFonts w:eastAsia="TimesNewRoman"/>
          <w:szCs w:val="22"/>
          <w:lang w:val="sr-Latn-ME"/>
        </w:rPr>
        <w:t xml:space="preserve"> nije pronađen u urinu; </w:t>
      </w:r>
      <w:proofErr w:type="spellStart"/>
      <w:r w:rsidRPr="0045764A">
        <w:rPr>
          <w:rFonts w:eastAsia="TimesNewRoman"/>
          <w:szCs w:val="22"/>
          <w:lang w:val="sr-Latn-ME"/>
        </w:rPr>
        <w:t>karboksiln</w:t>
      </w:r>
      <w:r w:rsidR="001B64F4" w:rsidRPr="0045764A">
        <w:rPr>
          <w:rFonts w:eastAsia="TimesNewRoman"/>
          <w:szCs w:val="22"/>
          <w:lang w:val="sr-Latn-ME"/>
        </w:rPr>
        <w:t>a</w:t>
      </w:r>
      <w:proofErr w:type="spellEnd"/>
      <w:r w:rsidRPr="0045764A">
        <w:rPr>
          <w:rFonts w:eastAsia="TimesNewRoman"/>
          <w:szCs w:val="22"/>
          <w:lang w:val="sr-Latn-ME"/>
        </w:rPr>
        <w:t xml:space="preserve"> kiselin</w:t>
      </w:r>
      <w:r w:rsidR="001B64F4" w:rsidRPr="0045764A">
        <w:rPr>
          <w:rFonts w:eastAsia="TimesNewRoman"/>
          <w:szCs w:val="22"/>
          <w:lang w:val="sr-Latn-ME"/>
        </w:rPr>
        <w:t>a</w:t>
      </w:r>
      <w:r w:rsidRPr="0045764A">
        <w:rPr>
          <w:rFonts w:eastAsia="TimesNewRoman"/>
          <w:szCs w:val="22"/>
          <w:lang w:val="sr-Latn-ME"/>
        </w:rPr>
        <w:t xml:space="preserve"> i </w:t>
      </w:r>
      <w:proofErr w:type="spellStart"/>
      <w:r w:rsidRPr="0045764A">
        <w:rPr>
          <w:rFonts w:eastAsia="TimesNewRoman"/>
          <w:szCs w:val="22"/>
          <w:lang w:val="sr-Latn-ME"/>
        </w:rPr>
        <w:t>sulfoksidni</w:t>
      </w:r>
      <w:proofErr w:type="spellEnd"/>
      <w:r w:rsidR="00086EB2" w:rsidRPr="0045764A">
        <w:rPr>
          <w:rFonts w:eastAsia="TimesNewRoman"/>
          <w:szCs w:val="22"/>
          <w:lang w:val="sr-Latn-ME"/>
        </w:rPr>
        <w:t xml:space="preserve"> </w:t>
      </w:r>
      <w:proofErr w:type="spellStart"/>
      <w:r w:rsidRPr="0045764A">
        <w:rPr>
          <w:rFonts w:eastAsia="TimesNewRoman"/>
          <w:szCs w:val="22"/>
          <w:lang w:val="sr-Latn-ME"/>
        </w:rPr>
        <w:t>metaboliti</w:t>
      </w:r>
      <w:proofErr w:type="spellEnd"/>
      <w:r w:rsidRPr="0045764A">
        <w:rPr>
          <w:rFonts w:eastAsia="TimesNewRoman"/>
          <w:szCs w:val="22"/>
          <w:lang w:val="sr-Latn-ME"/>
        </w:rPr>
        <w:t xml:space="preserve"> činili su većinu radioaktivnosti u urinu. U plazmi, </w:t>
      </w:r>
      <w:proofErr w:type="spellStart"/>
      <w:r w:rsidRPr="0045764A">
        <w:rPr>
          <w:rFonts w:eastAsia="TimesNewRoman"/>
          <w:szCs w:val="22"/>
          <w:lang w:val="sr-Latn-ME"/>
        </w:rPr>
        <w:t>metabolit</w:t>
      </w:r>
      <w:proofErr w:type="spellEnd"/>
      <w:r w:rsidRPr="0045764A">
        <w:rPr>
          <w:rFonts w:eastAsia="TimesNewRoman"/>
          <w:szCs w:val="22"/>
          <w:lang w:val="sr-Latn-ME"/>
        </w:rPr>
        <w:t xml:space="preserve"> N-</w:t>
      </w:r>
      <w:proofErr w:type="spellStart"/>
      <w:r w:rsidRPr="0045764A">
        <w:rPr>
          <w:rFonts w:eastAsia="TimesNewRoman"/>
          <w:szCs w:val="22"/>
          <w:lang w:val="sr-Latn-ME"/>
        </w:rPr>
        <w:t>glukuronid</w:t>
      </w:r>
      <w:proofErr w:type="spellEnd"/>
      <w:r w:rsidRPr="0045764A">
        <w:rPr>
          <w:rFonts w:eastAsia="TimesNewRoman"/>
          <w:szCs w:val="22"/>
          <w:lang w:val="sr-Latn-ME"/>
        </w:rPr>
        <w:t xml:space="preserve"> bio je dominantna</w:t>
      </w:r>
      <w:r w:rsidR="00086EB2" w:rsidRPr="0045764A">
        <w:rPr>
          <w:rFonts w:eastAsia="TimesNewRoman"/>
          <w:szCs w:val="22"/>
          <w:lang w:val="sr-Latn-ME"/>
        </w:rPr>
        <w:t xml:space="preserve"> </w:t>
      </w:r>
      <w:r w:rsidR="005208A9" w:rsidRPr="0045764A">
        <w:rPr>
          <w:rFonts w:eastAsia="TimesNewRoman"/>
          <w:szCs w:val="22"/>
          <w:lang w:val="sr-Latn-ME"/>
        </w:rPr>
        <w:t xml:space="preserve">radioaktivna komponenta (50% </w:t>
      </w:r>
      <w:proofErr w:type="spellStart"/>
      <w:r w:rsidR="005208A9" w:rsidRPr="0045764A">
        <w:rPr>
          <w:rFonts w:eastAsia="TimesNewRoman"/>
          <w:szCs w:val="22"/>
          <w:lang w:val="sr-Latn-ME"/>
        </w:rPr>
        <w:t>cirkulišuće</w:t>
      </w:r>
      <w:proofErr w:type="spellEnd"/>
      <w:r w:rsidR="005208A9" w:rsidRPr="0045764A">
        <w:rPr>
          <w:rFonts w:eastAsia="TimesNewRoman"/>
          <w:szCs w:val="22"/>
          <w:lang w:val="sr-Latn-ME"/>
        </w:rPr>
        <w:t xml:space="preserve"> radioaktivnosti), a </w:t>
      </w:r>
      <w:proofErr w:type="spellStart"/>
      <w:r w:rsidR="001B64F4" w:rsidRPr="0045764A">
        <w:rPr>
          <w:rFonts w:eastAsia="TimesNewRoman"/>
          <w:szCs w:val="22"/>
          <w:lang w:val="sr-Latn-ME"/>
        </w:rPr>
        <w:t>nepromijenjeni</w:t>
      </w:r>
      <w:proofErr w:type="spellEnd"/>
      <w:r w:rsidR="001B64F4" w:rsidRPr="0045764A">
        <w:rPr>
          <w:rFonts w:eastAsia="TimesNewRoman"/>
          <w:szCs w:val="22"/>
          <w:lang w:val="sr-Latn-ME"/>
        </w:rPr>
        <w:t xml:space="preserve"> </w:t>
      </w:r>
      <w:proofErr w:type="spellStart"/>
      <w:r w:rsidR="005208A9" w:rsidRPr="0045764A">
        <w:rPr>
          <w:rFonts w:eastAsia="TimesNewRoman"/>
          <w:szCs w:val="22"/>
          <w:lang w:val="sr-Latn-ME"/>
        </w:rPr>
        <w:t>aksitinib</w:t>
      </w:r>
      <w:proofErr w:type="spellEnd"/>
      <w:r w:rsidR="005208A9" w:rsidRPr="0045764A">
        <w:rPr>
          <w:rFonts w:eastAsia="TimesNewRoman"/>
          <w:szCs w:val="22"/>
          <w:lang w:val="sr-Latn-ME"/>
        </w:rPr>
        <w:t xml:space="preserve"> i </w:t>
      </w:r>
      <w:proofErr w:type="spellStart"/>
      <w:r w:rsidR="005208A9" w:rsidRPr="0045764A">
        <w:rPr>
          <w:rFonts w:eastAsia="TimesNewRoman"/>
          <w:szCs w:val="22"/>
          <w:lang w:val="sr-Latn-ME"/>
        </w:rPr>
        <w:t>sulfoksidni</w:t>
      </w:r>
      <w:proofErr w:type="spellEnd"/>
      <w:r w:rsidR="005208A9" w:rsidRPr="0045764A">
        <w:rPr>
          <w:rFonts w:eastAsia="TimesNewRoman"/>
          <w:szCs w:val="22"/>
          <w:lang w:val="sr-Latn-ME"/>
        </w:rPr>
        <w:t xml:space="preserve"> </w:t>
      </w:r>
      <w:proofErr w:type="spellStart"/>
      <w:r w:rsidR="005208A9" w:rsidRPr="0045764A">
        <w:rPr>
          <w:rFonts w:eastAsia="TimesNewRoman"/>
          <w:szCs w:val="22"/>
          <w:lang w:val="sr-Latn-ME"/>
        </w:rPr>
        <w:t>metabolit</w:t>
      </w:r>
      <w:proofErr w:type="spellEnd"/>
      <w:r w:rsidR="00086EB2" w:rsidRPr="0045764A">
        <w:rPr>
          <w:rFonts w:eastAsia="TimesNewRoman"/>
          <w:szCs w:val="22"/>
          <w:lang w:val="sr-Latn-ME"/>
        </w:rPr>
        <w:t xml:space="preserve"> </w:t>
      </w:r>
      <w:r w:rsidR="005208A9" w:rsidRPr="0045764A">
        <w:rPr>
          <w:rFonts w:eastAsia="TimesNewRoman"/>
          <w:szCs w:val="22"/>
          <w:lang w:val="sr-Latn-ME"/>
        </w:rPr>
        <w:t xml:space="preserve">činili su po oko 20% </w:t>
      </w:r>
      <w:proofErr w:type="spellStart"/>
      <w:r w:rsidR="005208A9" w:rsidRPr="0045764A">
        <w:rPr>
          <w:rFonts w:eastAsia="TimesNewRoman"/>
          <w:szCs w:val="22"/>
          <w:lang w:val="sr-Latn-ME"/>
        </w:rPr>
        <w:t>cirkulišuće</w:t>
      </w:r>
      <w:proofErr w:type="spellEnd"/>
      <w:r w:rsidR="005208A9" w:rsidRPr="0045764A">
        <w:rPr>
          <w:rFonts w:eastAsia="TimesNewRoman"/>
          <w:szCs w:val="22"/>
          <w:lang w:val="sr-Latn-ME"/>
        </w:rPr>
        <w:t xml:space="preserve"> radioaktivnosti.</w:t>
      </w:r>
    </w:p>
    <w:p w14:paraId="469650E6" w14:textId="77777777" w:rsidR="00334376" w:rsidRPr="0045764A" w:rsidRDefault="00334376" w:rsidP="00C65330">
      <w:pPr>
        <w:tabs>
          <w:tab w:val="clear" w:pos="284"/>
        </w:tabs>
        <w:autoSpaceDE w:val="0"/>
        <w:autoSpaceDN w:val="0"/>
        <w:adjustRightInd w:val="0"/>
        <w:rPr>
          <w:rFonts w:eastAsia="TimesNewRoman"/>
          <w:szCs w:val="22"/>
          <w:lang w:val="sr-Latn-ME"/>
        </w:rPr>
      </w:pPr>
    </w:p>
    <w:p w14:paraId="6DBFD0A0" w14:textId="1599C8B4" w:rsidR="000E1949" w:rsidRPr="0045764A" w:rsidRDefault="005208A9" w:rsidP="00C21460">
      <w:pPr>
        <w:tabs>
          <w:tab w:val="clear" w:pos="284"/>
        </w:tabs>
        <w:autoSpaceDE w:val="0"/>
        <w:autoSpaceDN w:val="0"/>
        <w:adjustRightInd w:val="0"/>
        <w:rPr>
          <w:rFonts w:eastAsia="TimesNewRoman"/>
          <w:i/>
          <w:iCs/>
          <w:szCs w:val="22"/>
          <w:lang w:val="sr-Latn-ME"/>
        </w:rPr>
      </w:pPr>
      <w:proofErr w:type="spellStart"/>
      <w:r w:rsidRPr="0045764A">
        <w:rPr>
          <w:rFonts w:eastAsia="TimesNewRoman"/>
          <w:szCs w:val="22"/>
          <w:lang w:val="sr-Latn-ME"/>
        </w:rPr>
        <w:t>Sulfoksidni</w:t>
      </w:r>
      <w:proofErr w:type="spellEnd"/>
      <w:r w:rsidRPr="0045764A">
        <w:rPr>
          <w:rFonts w:eastAsia="TimesNewRoman"/>
          <w:szCs w:val="22"/>
          <w:lang w:val="sr-Latn-ME"/>
        </w:rPr>
        <w:t xml:space="preserve"> i N-</w:t>
      </w:r>
      <w:proofErr w:type="spellStart"/>
      <w:r w:rsidRPr="0045764A">
        <w:rPr>
          <w:rFonts w:eastAsia="TimesNewRoman"/>
          <w:szCs w:val="22"/>
          <w:lang w:val="sr-Latn-ME"/>
        </w:rPr>
        <w:t>glukuronid</w:t>
      </w:r>
      <w:proofErr w:type="spellEnd"/>
      <w:r w:rsidRPr="0045764A">
        <w:rPr>
          <w:rFonts w:eastAsia="TimesNewRoman"/>
          <w:szCs w:val="22"/>
          <w:lang w:val="sr-Latn-ME"/>
        </w:rPr>
        <w:t xml:space="preserve"> </w:t>
      </w:r>
      <w:proofErr w:type="spellStart"/>
      <w:r w:rsidR="001B64F4" w:rsidRPr="0045764A">
        <w:rPr>
          <w:rFonts w:eastAsia="TimesNewRoman"/>
          <w:szCs w:val="22"/>
          <w:lang w:val="sr-Latn-ME"/>
        </w:rPr>
        <w:t>metaboliti</w:t>
      </w:r>
      <w:proofErr w:type="spellEnd"/>
      <w:r w:rsidR="001B64F4" w:rsidRPr="0045764A">
        <w:rPr>
          <w:rFonts w:eastAsia="TimesNewRoman"/>
          <w:szCs w:val="22"/>
          <w:lang w:val="sr-Latn-ME"/>
        </w:rPr>
        <w:t xml:space="preserve"> </w:t>
      </w:r>
      <w:r w:rsidRPr="0045764A">
        <w:rPr>
          <w:rFonts w:eastAsia="TimesNewRoman"/>
          <w:szCs w:val="22"/>
          <w:lang w:val="sr-Latn-ME"/>
        </w:rPr>
        <w:t xml:space="preserve">pokazuju oko 400 puta odnosno 8000 puta </w:t>
      </w:r>
      <w:r w:rsidR="00C834BB" w:rsidRPr="0045764A">
        <w:rPr>
          <w:rFonts w:eastAsia="TimesNewRoman"/>
          <w:szCs w:val="22"/>
          <w:lang w:val="sr-Latn-ME"/>
        </w:rPr>
        <w:t xml:space="preserve">slabije djelovanje </w:t>
      </w:r>
      <w:r w:rsidRPr="0045764A">
        <w:rPr>
          <w:rFonts w:eastAsia="TimesNewRoman"/>
          <w:i/>
          <w:iCs/>
          <w:szCs w:val="22"/>
          <w:lang w:val="sr-Latn-ME"/>
        </w:rPr>
        <w:t>in</w:t>
      </w:r>
      <w:r w:rsidR="00C21460" w:rsidRPr="0045764A">
        <w:rPr>
          <w:rFonts w:eastAsia="TimesNewRoman"/>
          <w:i/>
          <w:iCs/>
          <w:szCs w:val="22"/>
          <w:lang w:val="sr-Latn-ME"/>
        </w:rPr>
        <w:t xml:space="preserve"> </w:t>
      </w:r>
      <w:proofErr w:type="spellStart"/>
      <w:r w:rsidRPr="0045764A">
        <w:rPr>
          <w:rFonts w:eastAsia="TimesNewRoman"/>
          <w:i/>
          <w:iCs/>
          <w:szCs w:val="22"/>
          <w:lang w:val="sr-Latn-ME"/>
        </w:rPr>
        <w:t>vitro</w:t>
      </w:r>
      <w:proofErr w:type="spellEnd"/>
      <w:r w:rsidRPr="0045764A">
        <w:rPr>
          <w:rFonts w:eastAsia="TimesNewRoman"/>
          <w:i/>
          <w:iCs/>
          <w:szCs w:val="22"/>
          <w:lang w:val="sr-Latn-ME"/>
        </w:rPr>
        <w:t xml:space="preserve"> </w:t>
      </w:r>
      <w:r w:rsidR="00C834BB" w:rsidRPr="0045764A">
        <w:rPr>
          <w:rFonts w:eastAsia="TimesNewRoman"/>
          <w:szCs w:val="22"/>
          <w:lang w:val="sr-Latn-ME"/>
        </w:rPr>
        <w:t xml:space="preserve">na </w:t>
      </w:r>
      <w:r w:rsidRPr="0045764A">
        <w:rPr>
          <w:rFonts w:eastAsia="TimesNewRoman"/>
          <w:szCs w:val="22"/>
          <w:lang w:val="sr-Latn-ME"/>
        </w:rPr>
        <w:t>VEGFR-2</w:t>
      </w:r>
      <w:r w:rsidR="00C834BB" w:rsidRPr="0045764A">
        <w:rPr>
          <w:rFonts w:eastAsia="TimesNewRoman"/>
          <w:szCs w:val="22"/>
          <w:lang w:val="sr-Latn-ME"/>
        </w:rPr>
        <w:t>,</w:t>
      </w:r>
      <w:r w:rsidRPr="0045764A">
        <w:rPr>
          <w:rFonts w:eastAsia="TimesNewRoman"/>
          <w:szCs w:val="22"/>
          <w:lang w:val="sr-Latn-ME"/>
        </w:rPr>
        <w:t xml:space="preserve"> u odnosu na </w:t>
      </w:r>
      <w:proofErr w:type="spellStart"/>
      <w:r w:rsidRPr="0045764A">
        <w:rPr>
          <w:rFonts w:eastAsia="TimesNewRoman"/>
          <w:szCs w:val="22"/>
          <w:lang w:val="sr-Latn-ME"/>
        </w:rPr>
        <w:t>aksitinib</w:t>
      </w:r>
      <w:proofErr w:type="spellEnd"/>
      <w:r w:rsidRPr="0045764A">
        <w:rPr>
          <w:rFonts w:eastAsia="TimesNewRoman"/>
          <w:szCs w:val="22"/>
          <w:lang w:val="sr-Latn-ME"/>
        </w:rPr>
        <w:t>.</w:t>
      </w:r>
    </w:p>
    <w:p w14:paraId="7B56A757" w14:textId="77777777" w:rsidR="003B4A13" w:rsidRPr="0045764A" w:rsidRDefault="003B4A13" w:rsidP="00C65330">
      <w:pPr>
        <w:tabs>
          <w:tab w:val="clear" w:pos="284"/>
        </w:tabs>
        <w:autoSpaceDE w:val="0"/>
        <w:autoSpaceDN w:val="0"/>
        <w:adjustRightInd w:val="0"/>
        <w:rPr>
          <w:rFonts w:eastAsia="TimesNewRoman"/>
          <w:szCs w:val="22"/>
          <w:lang w:val="sr-Latn-ME"/>
        </w:rPr>
      </w:pPr>
    </w:p>
    <w:p w14:paraId="6FA45DFA" w14:textId="465EC01F" w:rsidR="00AD3616" w:rsidRPr="0045764A" w:rsidRDefault="00AD3616" w:rsidP="00C65330">
      <w:pPr>
        <w:tabs>
          <w:tab w:val="clear" w:pos="284"/>
        </w:tabs>
        <w:autoSpaceDE w:val="0"/>
        <w:autoSpaceDN w:val="0"/>
        <w:adjustRightInd w:val="0"/>
        <w:rPr>
          <w:rFonts w:eastAsia="TimesNewRoman"/>
          <w:szCs w:val="22"/>
          <w:u w:val="single"/>
          <w:lang w:val="sr-Latn-ME"/>
        </w:rPr>
      </w:pPr>
      <w:r w:rsidRPr="0045764A">
        <w:rPr>
          <w:rFonts w:eastAsia="TimesNewRoman"/>
          <w:szCs w:val="22"/>
          <w:u w:val="single"/>
          <w:lang w:val="sr-Latn-ME"/>
        </w:rPr>
        <w:t>Posebne populacije</w:t>
      </w:r>
    </w:p>
    <w:p w14:paraId="3BFD477E" w14:textId="77777777" w:rsidR="003B4A13" w:rsidRPr="0045764A" w:rsidRDefault="003B4A13" w:rsidP="00C65330">
      <w:pPr>
        <w:tabs>
          <w:tab w:val="clear" w:pos="284"/>
        </w:tabs>
        <w:autoSpaceDE w:val="0"/>
        <w:autoSpaceDN w:val="0"/>
        <w:adjustRightInd w:val="0"/>
        <w:rPr>
          <w:rFonts w:eastAsia="TimesNewRoman"/>
          <w:szCs w:val="22"/>
          <w:lang w:val="sr-Latn-ME"/>
        </w:rPr>
      </w:pPr>
    </w:p>
    <w:p w14:paraId="0FB64053" w14:textId="57A36D4C" w:rsidR="00AD3616" w:rsidRPr="0045764A" w:rsidRDefault="00C21460" w:rsidP="00C65330">
      <w:pPr>
        <w:tabs>
          <w:tab w:val="clear" w:pos="284"/>
        </w:tabs>
        <w:autoSpaceDE w:val="0"/>
        <w:autoSpaceDN w:val="0"/>
        <w:adjustRightInd w:val="0"/>
        <w:rPr>
          <w:rFonts w:eastAsia="TimesNewRoman"/>
          <w:i/>
          <w:iCs/>
          <w:szCs w:val="22"/>
          <w:lang w:val="sr-Latn-ME"/>
        </w:rPr>
      </w:pPr>
      <w:r w:rsidRPr="0045764A">
        <w:rPr>
          <w:rFonts w:eastAsia="TimesNewRoman"/>
          <w:i/>
          <w:iCs/>
          <w:szCs w:val="22"/>
          <w:lang w:val="sr-Latn-ME"/>
        </w:rPr>
        <w:t>P</w:t>
      </w:r>
      <w:r w:rsidR="00AD3616" w:rsidRPr="0045764A">
        <w:rPr>
          <w:rFonts w:eastAsia="TimesNewRoman"/>
          <w:i/>
          <w:iCs/>
          <w:szCs w:val="22"/>
          <w:lang w:val="sr-Latn-ME"/>
        </w:rPr>
        <w:t>acijenti</w:t>
      </w:r>
      <w:r w:rsidRPr="0045764A">
        <w:rPr>
          <w:rFonts w:eastAsia="TimesNewRoman"/>
          <w:i/>
          <w:iCs/>
          <w:szCs w:val="22"/>
          <w:lang w:val="sr-Latn-ME"/>
        </w:rPr>
        <w:t xml:space="preserve"> starije životne dobi</w:t>
      </w:r>
      <w:r w:rsidR="00AD3616" w:rsidRPr="0045764A">
        <w:rPr>
          <w:rFonts w:eastAsia="TimesNewRoman"/>
          <w:i/>
          <w:iCs/>
          <w:szCs w:val="22"/>
          <w:lang w:val="sr-Latn-ME"/>
        </w:rPr>
        <w:t>, pol i rasa</w:t>
      </w:r>
    </w:p>
    <w:p w14:paraId="0F2AD66C" w14:textId="33A4E091" w:rsidR="00AD3616" w:rsidRPr="0045764A" w:rsidRDefault="00AD3616"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Populacione </w:t>
      </w:r>
      <w:proofErr w:type="spellStart"/>
      <w:r w:rsidRPr="0045764A">
        <w:rPr>
          <w:rFonts w:eastAsia="TimesNewRoman"/>
          <w:szCs w:val="22"/>
          <w:lang w:val="sr-Latn-ME"/>
        </w:rPr>
        <w:t>farmakokinetičke</w:t>
      </w:r>
      <w:proofErr w:type="spellEnd"/>
      <w:r w:rsidRPr="0045764A">
        <w:rPr>
          <w:rFonts w:eastAsia="TimesNewRoman"/>
          <w:szCs w:val="22"/>
          <w:lang w:val="sr-Latn-ME"/>
        </w:rPr>
        <w:t xml:space="preserve"> analize kod pacijenata sa </w:t>
      </w:r>
      <w:proofErr w:type="spellStart"/>
      <w:r w:rsidRPr="0045764A">
        <w:rPr>
          <w:rFonts w:eastAsia="TimesNewRoman"/>
          <w:szCs w:val="22"/>
          <w:lang w:val="sr-Latn-ME"/>
        </w:rPr>
        <w:t>uznapredovalim</w:t>
      </w:r>
      <w:proofErr w:type="spellEnd"/>
      <w:r w:rsidRPr="0045764A">
        <w:rPr>
          <w:rFonts w:eastAsia="TimesNewRoman"/>
          <w:szCs w:val="22"/>
          <w:lang w:val="sr-Latn-ME"/>
        </w:rPr>
        <w:t xml:space="preserve"> </w:t>
      </w:r>
      <w:proofErr w:type="spellStart"/>
      <w:r w:rsidRPr="0045764A">
        <w:rPr>
          <w:rFonts w:eastAsia="TimesNewRoman"/>
          <w:szCs w:val="22"/>
          <w:lang w:val="sr-Latn-ME"/>
        </w:rPr>
        <w:t>karcinomom</w:t>
      </w:r>
      <w:proofErr w:type="spellEnd"/>
      <w:r w:rsidRPr="0045764A">
        <w:rPr>
          <w:rFonts w:eastAsia="TimesNewRoman"/>
          <w:szCs w:val="22"/>
          <w:lang w:val="sr-Latn-ME"/>
        </w:rPr>
        <w:t xml:space="preserve"> (uključujući</w:t>
      </w:r>
      <w:r w:rsidR="003B4A13" w:rsidRPr="0045764A">
        <w:rPr>
          <w:rFonts w:eastAsia="TimesNewRoman"/>
          <w:szCs w:val="22"/>
          <w:lang w:val="sr-Latn-ME"/>
        </w:rPr>
        <w:t xml:space="preserve"> </w:t>
      </w:r>
      <w:r w:rsidRPr="0045764A">
        <w:rPr>
          <w:rFonts w:eastAsia="TimesNewRoman"/>
          <w:szCs w:val="22"/>
          <w:lang w:val="sr-Latn-ME"/>
        </w:rPr>
        <w:t>uznapredovali RCC) i zdravih dobrovoljaca ukazuju da ne postoje klinički relevantni efekti starosne dobi,</w:t>
      </w:r>
      <w:r w:rsidR="003B4A13" w:rsidRPr="0045764A">
        <w:rPr>
          <w:rFonts w:eastAsia="TimesNewRoman"/>
          <w:szCs w:val="22"/>
          <w:lang w:val="sr-Latn-ME"/>
        </w:rPr>
        <w:t xml:space="preserve"> </w:t>
      </w:r>
      <w:r w:rsidRPr="0045764A">
        <w:rPr>
          <w:rFonts w:eastAsia="TimesNewRoman"/>
          <w:szCs w:val="22"/>
          <w:lang w:val="sr-Latn-ME"/>
        </w:rPr>
        <w:t>pola, t</w:t>
      </w:r>
      <w:r w:rsidR="00C21460" w:rsidRPr="0045764A">
        <w:rPr>
          <w:rFonts w:eastAsia="TimesNewRoman"/>
          <w:szCs w:val="22"/>
          <w:lang w:val="sr-Latn-ME"/>
        </w:rPr>
        <w:t>j</w:t>
      </w:r>
      <w:r w:rsidRPr="0045764A">
        <w:rPr>
          <w:rFonts w:eastAsia="TimesNewRoman"/>
          <w:szCs w:val="22"/>
          <w:lang w:val="sr-Latn-ME"/>
        </w:rPr>
        <w:t xml:space="preserve">elesne mase, rase, bubrežne funkcije, UGT1A1 </w:t>
      </w:r>
      <w:proofErr w:type="spellStart"/>
      <w:r w:rsidRPr="0045764A">
        <w:rPr>
          <w:rFonts w:eastAsia="TimesNewRoman"/>
          <w:szCs w:val="22"/>
          <w:lang w:val="sr-Latn-ME"/>
        </w:rPr>
        <w:t>genotipa</w:t>
      </w:r>
      <w:proofErr w:type="spellEnd"/>
      <w:r w:rsidRPr="0045764A">
        <w:rPr>
          <w:rFonts w:eastAsia="TimesNewRoman"/>
          <w:szCs w:val="22"/>
          <w:lang w:val="sr-Latn-ME"/>
        </w:rPr>
        <w:t xml:space="preserve"> i CYP2C19 </w:t>
      </w:r>
      <w:proofErr w:type="spellStart"/>
      <w:r w:rsidRPr="0045764A">
        <w:rPr>
          <w:rFonts w:eastAsia="TimesNewRoman"/>
          <w:szCs w:val="22"/>
          <w:lang w:val="sr-Latn-ME"/>
        </w:rPr>
        <w:t>genotipa</w:t>
      </w:r>
      <w:proofErr w:type="spellEnd"/>
      <w:r w:rsidRPr="0045764A">
        <w:rPr>
          <w:rFonts w:eastAsia="TimesNewRoman"/>
          <w:szCs w:val="22"/>
          <w:lang w:val="sr-Latn-ME"/>
        </w:rPr>
        <w:t>.</w:t>
      </w:r>
    </w:p>
    <w:p w14:paraId="3C759E0B" w14:textId="77777777" w:rsidR="003B4A13" w:rsidRPr="0045764A" w:rsidRDefault="003B4A13" w:rsidP="00C65330">
      <w:pPr>
        <w:tabs>
          <w:tab w:val="clear" w:pos="284"/>
        </w:tabs>
        <w:autoSpaceDE w:val="0"/>
        <w:autoSpaceDN w:val="0"/>
        <w:adjustRightInd w:val="0"/>
        <w:rPr>
          <w:rFonts w:eastAsia="TimesNewRoman"/>
          <w:szCs w:val="22"/>
          <w:lang w:val="sr-Latn-ME"/>
        </w:rPr>
      </w:pPr>
    </w:p>
    <w:p w14:paraId="7970AB46" w14:textId="77777777" w:rsidR="00AD3616" w:rsidRPr="0045764A" w:rsidRDefault="00AD3616" w:rsidP="00C65330">
      <w:pPr>
        <w:tabs>
          <w:tab w:val="clear" w:pos="284"/>
        </w:tabs>
        <w:autoSpaceDE w:val="0"/>
        <w:autoSpaceDN w:val="0"/>
        <w:adjustRightInd w:val="0"/>
        <w:rPr>
          <w:rFonts w:eastAsia="TimesNewRoman"/>
          <w:i/>
          <w:iCs/>
          <w:szCs w:val="22"/>
          <w:lang w:val="sr-Latn-ME"/>
        </w:rPr>
      </w:pPr>
      <w:r w:rsidRPr="0045764A">
        <w:rPr>
          <w:rFonts w:eastAsia="TimesNewRoman"/>
          <w:i/>
          <w:iCs/>
          <w:szCs w:val="22"/>
          <w:lang w:val="sr-Latn-ME"/>
        </w:rPr>
        <w:t>Pedijatrijska populacija</w:t>
      </w:r>
    </w:p>
    <w:p w14:paraId="7267858D" w14:textId="77777777" w:rsidR="00AD3616" w:rsidRPr="0045764A" w:rsidRDefault="00AD3616" w:rsidP="00C65330">
      <w:pPr>
        <w:tabs>
          <w:tab w:val="clear" w:pos="284"/>
        </w:tabs>
        <w:autoSpaceDE w:val="0"/>
        <w:autoSpaceDN w:val="0"/>
        <w:adjustRightInd w:val="0"/>
        <w:rPr>
          <w:rFonts w:eastAsia="TimesNewRoman"/>
          <w:szCs w:val="22"/>
          <w:lang w:val="sr-Latn-ME"/>
        </w:rPr>
      </w:pPr>
      <w:proofErr w:type="spellStart"/>
      <w:r w:rsidRPr="0045764A">
        <w:rPr>
          <w:rFonts w:eastAsia="TimesNewRoman"/>
          <w:szCs w:val="22"/>
          <w:lang w:val="sr-Latn-ME"/>
        </w:rPr>
        <w:t>Aksitinib</w:t>
      </w:r>
      <w:proofErr w:type="spellEnd"/>
      <w:r w:rsidRPr="0045764A">
        <w:rPr>
          <w:rFonts w:eastAsia="TimesNewRoman"/>
          <w:szCs w:val="22"/>
          <w:lang w:val="sr-Latn-ME"/>
        </w:rPr>
        <w:t xml:space="preserve"> nije ispitivan kod pacijenata starosti &lt; 18 godina.</w:t>
      </w:r>
    </w:p>
    <w:p w14:paraId="65E2C2DB" w14:textId="77777777" w:rsidR="003B4A13" w:rsidRPr="0045764A" w:rsidRDefault="003B4A13" w:rsidP="00C65330">
      <w:pPr>
        <w:tabs>
          <w:tab w:val="clear" w:pos="284"/>
        </w:tabs>
        <w:autoSpaceDE w:val="0"/>
        <w:autoSpaceDN w:val="0"/>
        <w:adjustRightInd w:val="0"/>
        <w:rPr>
          <w:rFonts w:eastAsia="TimesNewRoman"/>
          <w:i/>
          <w:iCs/>
          <w:szCs w:val="22"/>
          <w:lang w:val="sr-Latn-ME"/>
        </w:rPr>
      </w:pPr>
    </w:p>
    <w:p w14:paraId="087B6C6F" w14:textId="272C3465" w:rsidR="00AD3616" w:rsidRPr="0045764A" w:rsidRDefault="00AD3616" w:rsidP="00C65330">
      <w:pPr>
        <w:tabs>
          <w:tab w:val="clear" w:pos="284"/>
        </w:tabs>
        <w:autoSpaceDE w:val="0"/>
        <w:autoSpaceDN w:val="0"/>
        <w:adjustRightInd w:val="0"/>
        <w:rPr>
          <w:rFonts w:eastAsia="TimesNewRoman"/>
          <w:i/>
          <w:iCs/>
          <w:szCs w:val="22"/>
          <w:lang w:val="sr-Latn-ME"/>
        </w:rPr>
      </w:pPr>
      <w:r w:rsidRPr="0045764A">
        <w:rPr>
          <w:rFonts w:eastAsia="TimesNewRoman"/>
          <w:i/>
          <w:iCs/>
          <w:szCs w:val="22"/>
          <w:lang w:val="sr-Latn-ME"/>
        </w:rPr>
        <w:t>Oštećenje funkcije jetre</w:t>
      </w:r>
    </w:p>
    <w:p w14:paraId="01FB9BB2" w14:textId="77777777" w:rsidR="00AD3616" w:rsidRPr="0045764A" w:rsidRDefault="00AD3616" w:rsidP="00C65330">
      <w:pPr>
        <w:tabs>
          <w:tab w:val="clear" w:pos="284"/>
        </w:tabs>
        <w:autoSpaceDE w:val="0"/>
        <w:autoSpaceDN w:val="0"/>
        <w:adjustRightInd w:val="0"/>
        <w:rPr>
          <w:rFonts w:eastAsia="TimesNewRoman"/>
          <w:szCs w:val="22"/>
          <w:lang w:val="sr-Latn-ME"/>
        </w:rPr>
      </w:pPr>
      <w:r w:rsidRPr="0045764A">
        <w:rPr>
          <w:rFonts w:eastAsia="TimesNewRoman"/>
          <w:i/>
          <w:iCs/>
          <w:szCs w:val="22"/>
          <w:lang w:val="sr-Latn-ME"/>
        </w:rPr>
        <w:t xml:space="preserve">In </w:t>
      </w:r>
      <w:proofErr w:type="spellStart"/>
      <w:r w:rsidRPr="0045764A">
        <w:rPr>
          <w:rFonts w:eastAsia="TimesNewRoman"/>
          <w:i/>
          <w:iCs/>
          <w:szCs w:val="22"/>
          <w:lang w:val="sr-Latn-ME"/>
        </w:rPr>
        <w:t>vitro</w:t>
      </w:r>
      <w:proofErr w:type="spellEnd"/>
      <w:r w:rsidRPr="0045764A">
        <w:rPr>
          <w:rFonts w:eastAsia="TimesNewRoman"/>
          <w:i/>
          <w:iCs/>
          <w:szCs w:val="22"/>
          <w:lang w:val="sr-Latn-ME"/>
        </w:rPr>
        <w:t xml:space="preserve"> </w:t>
      </w:r>
      <w:r w:rsidRPr="0045764A">
        <w:rPr>
          <w:rFonts w:eastAsia="TimesNewRoman"/>
          <w:szCs w:val="22"/>
          <w:lang w:val="sr-Latn-ME"/>
        </w:rPr>
        <w:t xml:space="preserve">i </w:t>
      </w:r>
      <w:r w:rsidRPr="0045764A">
        <w:rPr>
          <w:rFonts w:eastAsia="TimesNewRoman"/>
          <w:i/>
          <w:iCs/>
          <w:szCs w:val="22"/>
          <w:lang w:val="sr-Latn-ME"/>
        </w:rPr>
        <w:t xml:space="preserve">in </w:t>
      </w:r>
      <w:proofErr w:type="spellStart"/>
      <w:r w:rsidRPr="0045764A">
        <w:rPr>
          <w:rFonts w:eastAsia="TimesNewRoman"/>
          <w:i/>
          <w:iCs/>
          <w:szCs w:val="22"/>
          <w:lang w:val="sr-Latn-ME"/>
        </w:rPr>
        <w:t>vivo</w:t>
      </w:r>
      <w:proofErr w:type="spellEnd"/>
      <w:r w:rsidRPr="0045764A">
        <w:rPr>
          <w:rFonts w:eastAsia="TimesNewRoman"/>
          <w:i/>
          <w:iCs/>
          <w:szCs w:val="22"/>
          <w:lang w:val="sr-Latn-ME"/>
        </w:rPr>
        <w:t xml:space="preserve"> </w:t>
      </w:r>
      <w:r w:rsidRPr="0045764A">
        <w:rPr>
          <w:rFonts w:eastAsia="TimesNewRoman"/>
          <w:szCs w:val="22"/>
          <w:lang w:val="sr-Latn-ME"/>
        </w:rPr>
        <w:t xml:space="preserve">podaci pokazuju da se </w:t>
      </w:r>
      <w:proofErr w:type="spellStart"/>
      <w:r w:rsidRPr="0045764A">
        <w:rPr>
          <w:rFonts w:eastAsia="TimesNewRoman"/>
          <w:szCs w:val="22"/>
          <w:lang w:val="sr-Latn-ME"/>
        </w:rPr>
        <w:t>aksitinib</w:t>
      </w:r>
      <w:proofErr w:type="spellEnd"/>
      <w:r w:rsidRPr="0045764A">
        <w:rPr>
          <w:rFonts w:eastAsia="TimesNewRoman"/>
          <w:szCs w:val="22"/>
          <w:lang w:val="sr-Latn-ME"/>
        </w:rPr>
        <w:t xml:space="preserve"> primarno </w:t>
      </w:r>
      <w:proofErr w:type="spellStart"/>
      <w:r w:rsidRPr="0045764A">
        <w:rPr>
          <w:rFonts w:eastAsia="TimesNewRoman"/>
          <w:szCs w:val="22"/>
          <w:lang w:val="sr-Latn-ME"/>
        </w:rPr>
        <w:t>metaboliše</w:t>
      </w:r>
      <w:proofErr w:type="spellEnd"/>
      <w:r w:rsidRPr="0045764A">
        <w:rPr>
          <w:rFonts w:eastAsia="TimesNewRoman"/>
          <w:szCs w:val="22"/>
          <w:lang w:val="sr-Latn-ME"/>
        </w:rPr>
        <w:t xml:space="preserve"> u jetri.</w:t>
      </w:r>
    </w:p>
    <w:p w14:paraId="7D196955" w14:textId="77777777" w:rsidR="00334376" w:rsidRPr="0045764A" w:rsidRDefault="00334376" w:rsidP="00C65330">
      <w:pPr>
        <w:tabs>
          <w:tab w:val="clear" w:pos="284"/>
        </w:tabs>
        <w:autoSpaceDE w:val="0"/>
        <w:autoSpaceDN w:val="0"/>
        <w:adjustRightInd w:val="0"/>
        <w:rPr>
          <w:rFonts w:eastAsia="TimesNewRoman"/>
          <w:szCs w:val="22"/>
          <w:lang w:val="sr-Latn-ME"/>
        </w:rPr>
      </w:pPr>
    </w:p>
    <w:p w14:paraId="2BD5F7E0" w14:textId="5C2DC83F" w:rsidR="00AD3616" w:rsidRPr="0045764A" w:rsidRDefault="00AD3616"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U odnosu na ispitanike sa normalnom funkcijom jetre, sistemska izloženost nakon pojedinačne doze</w:t>
      </w:r>
      <w:r w:rsidR="003B4A13" w:rsidRPr="0045764A">
        <w:rPr>
          <w:rFonts w:eastAsia="TimesNewRoman"/>
          <w:szCs w:val="22"/>
          <w:lang w:val="sr-Latn-ME"/>
        </w:rPr>
        <w:t xml:space="preserve">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je bila slična kod ispitanika sa blagim oštećenjem funkcije jetre (</w:t>
      </w:r>
      <w:proofErr w:type="spellStart"/>
      <w:r w:rsidRPr="0045764A">
        <w:rPr>
          <w:rFonts w:eastAsia="TimesNewRoman"/>
          <w:i/>
          <w:iCs/>
          <w:szCs w:val="22"/>
          <w:lang w:val="sr-Latn-ME"/>
        </w:rPr>
        <w:t>Child</w:t>
      </w:r>
      <w:proofErr w:type="spellEnd"/>
      <w:r w:rsidRPr="0045764A">
        <w:rPr>
          <w:rFonts w:eastAsia="TimesNewRoman"/>
          <w:i/>
          <w:iCs/>
          <w:szCs w:val="22"/>
          <w:lang w:val="sr-Latn-ME"/>
        </w:rPr>
        <w:t xml:space="preserve"> </w:t>
      </w:r>
      <w:proofErr w:type="spellStart"/>
      <w:r w:rsidRPr="0045764A">
        <w:rPr>
          <w:rFonts w:eastAsia="TimesNewRoman"/>
          <w:i/>
          <w:iCs/>
          <w:szCs w:val="22"/>
          <w:lang w:val="sr-Latn-ME"/>
        </w:rPr>
        <w:t>Pugh</w:t>
      </w:r>
      <w:proofErr w:type="spellEnd"/>
      <w:r w:rsidRPr="0045764A">
        <w:rPr>
          <w:rFonts w:eastAsia="TimesNewRoman"/>
          <w:i/>
          <w:iCs/>
          <w:szCs w:val="22"/>
          <w:lang w:val="sr-Latn-ME"/>
        </w:rPr>
        <w:t xml:space="preserve"> </w:t>
      </w:r>
      <w:r w:rsidRPr="0045764A">
        <w:rPr>
          <w:rFonts w:eastAsia="TimesNewRoman"/>
          <w:szCs w:val="22"/>
          <w:lang w:val="sr-Latn-ME"/>
        </w:rPr>
        <w:t xml:space="preserve">klasa A) i </w:t>
      </w:r>
      <w:r w:rsidR="003B4A13" w:rsidRPr="0045764A">
        <w:rPr>
          <w:rFonts w:eastAsia="TimesNewRoman"/>
          <w:szCs w:val="22"/>
          <w:lang w:val="sr-Latn-ME"/>
        </w:rPr>
        <w:t>vi</w:t>
      </w:r>
      <w:r w:rsidR="00DE0D24" w:rsidRPr="0045764A">
        <w:rPr>
          <w:rFonts w:eastAsia="TimesNewRoman"/>
          <w:szCs w:val="22"/>
          <w:lang w:val="sr-Latn-ME"/>
        </w:rPr>
        <w:t>š</w:t>
      </w:r>
      <w:r w:rsidR="003B4A13" w:rsidRPr="0045764A">
        <w:rPr>
          <w:rFonts w:eastAsia="TimesNewRoman"/>
          <w:szCs w:val="22"/>
          <w:lang w:val="sr-Latn-ME"/>
        </w:rPr>
        <w:t xml:space="preserve">a </w:t>
      </w:r>
      <w:r w:rsidRPr="0045764A">
        <w:rPr>
          <w:rFonts w:eastAsia="TimesNewRoman"/>
          <w:szCs w:val="22"/>
          <w:lang w:val="sr-Latn-ME"/>
        </w:rPr>
        <w:t>(otprilike 2 puta) kod ispitanika sa um</w:t>
      </w:r>
      <w:r w:rsidR="00C21460" w:rsidRPr="0045764A">
        <w:rPr>
          <w:rFonts w:eastAsia="TimesNewRoman"/>
          <w:szCs w:val="22"/>
          <w:lang w:val="sr-Latn-ME"/>
        </w:rPr>
        <w:t>j</w:t>
      </w:r>
      <w:r w:rsidRPr="0045764A">
        <w:rPr>
          <w:rFonts w:eastAsia="TimesNewRoman"/>
          <w:szCs w:val="22"/>
          <w:lang w:val="sr-Latn-ME"/>
        </w:rPr>
        <w:t>erenim oštećenjem funkcije jetre (</w:t>
      </w:r>
      <w:proofErr w:type="spellStart"/>
      <w:r w:rsidRPr="0045764A">
        <w:rPr>
          <w:rFonts w:eastAsia="TimesNewRoman"/>
          <w:i/>
          <w:iCs/>
          <w:szCs w:val="22"/>
          <w:lang w:val="sr-Latn-ME"/>
        </w:rPr>
        <w:t>Child</w:t>
      </w:r>
      <w:proofErr w:type="spellEnd"/>
      <w:r w:rsidRPr="0045764A">
        <w:rPr>
          <w:rFonts w:eastAsia="TimesNewRoman"/>
          <w:i/>
          <w:iCs/>
          <w:szCs w:val="22"/>
          <w:lang w:val="sr-Latn-ME"/>
        </w:rPr>
        <w:t xml:space="preserve"> </w:t>
      </w:r>
      <w:proofErr w:type="spellStart"/>
      <w:r w:rsidRPr="0045764A">
        <w:rPr>
          <w:rFonts w:eastAsia="TimesNewRoman"/>
          <w:i/>
          <w:iCs/>
          <w:szCs w:val="22"/>
          <w:lang w:val="sr-Latn-ME"/>
        </w:rPr>
        <w:t>Pugh</w:t>
      </w:r>
      <w:proofErr w:type="spellEnd"/>
      <w:r w:rsidRPr="0045764A">
        <w:rPr>
          <w:rFonts w:eastAsia="TimesNewRoman"/>
          <w:i/>
          <w:iCs/>
          <w:szCs w:val="22"/>
          <w:lang w:val="sr-Latn-ME"/>
        </w:rPr>
        <w:t xml:space="preserve"> </w:t>
      </w:r>
      <w:r w:rsidRPr="0045764A">
        <w:rPr>
          <w:rFonts w:eastAsia="TimesNewRoman"/>
          <w:szCs w:val="22"/>
          <w:lang w:val="sr-Latn-ME"/>
        </w:rPr>
        <w:t xml:space="preserve">klasa B). </w:t>
      </w:r>
      <w:proofErr w:type="spellStart"/>
      <w:r w:rsidRPr="0045764A">
        <w:rPr>
          <w:rFonts w:eastAsia="TimesNewRoman"/>
          <w:szCs w:val="22"/>
          <w:lang w:val="sr-Latn-ME"/>
        </w:rPr>
        <w:t>Aksitinib</w:t>
      </w:r>
      <w:proofErr w:type="spellEnd"/>
      <w:r w:rsidRPr="0045764A">
        <w:rPr>
          <w:rFonts w:eastAsia="TimesNewRoman"/>
          <w:szCs w:val="22"/>
          <w:lang w:val="sr-Latn-ME"/>
        </w:rPr>
        <w:t xml:space="preserve"> nije</w:t>
      </w:r>
      <w:r w:rsidR="003B4A13" w:rsidRPr="0045764A">
        <w:rPr>
          <w:rFonts w:eastAsia="TimesNewRoman"/>
          <w:szCs w:val="22"/>
          <w:lang w:val="sr-Latn-ME"/>
        </w:rPr>
        <w:t xml:space="preserve"> </w:t>
      </w:r>
      <w:r w:rsidRPr="0045764A">
        <w:rPr>
          <w:rFonts w:eastAsia="TimesNewRoman"/>
          <w:szCs w:val="22"/>
          <w:lang w:val="sr-Latn-ME"/>
        </w:rPr>
        <w:t>proc</w:t>
      </w:r>
      <w:r w:rsidR="00C21460" w:rsidRPr="0045764A">
        <w:rPr>
          <w:rFonts w:eastAsia="TimesNewRoman"/>
          <w:szCs w:val="22"/>
          <w:lang w:val="sr-Latn-ME"/>
        </w:rPr>
        <w:t>j</w:t>
      </w:r>
      <w:r w:rsidRPr="0045764A">
        <w:rPr>
          <w:rFonts w:eastAsia="TimesNewRoman"/>
          <w:szCs w:val="22"/>
          <w:lang w:val="sr-Latn-ME"/>
        </w:rPr>
        <w:t>enjivan kod ispitanika sa teškim oštećenjem funkcije jetre (</w:t>
      </w:r>
      <w:proofErr w:type="spellStart"/>
      <w:r w:rsidRPr="0045764A">
        <w:rPr>
          <w:rFonts w:eastAsia="TimesNewRoman"/>
          <w:i/>
          <w:iCs/>
          <w:szCs w:val="22"/>
          <w:lang w:val="sr-Latn-ME"/>
        </w:rPr>
        <w:t>Child</w:t>
      </w:r>
      <w:proofErr w:type="spellEnd"/>
      <w:r w:rsidRPr="0045764A">
        <w:rPr>
          <w:rFonts w:eastAsia="TimesNewRoman"/>
          <w:i/>
          <w:iCs/>
          <w:szCs w:val="22"/>
          <w:lang w:val="sr-Latn-ME"/>
        </w:rPr>
        <w:t xml:space="preserve"> </w:t>
      </w:r>
      <w:proofErr w:type="spellStart"/>
      <w:r w:rsidRPr="0045764A">
        <w:rPr>
          <w:rFonts w:eastAsia="TimesNewRoman"/>
          <w:i/>
          <w:iCs/>
          <w:szCs w:val="22"/>
          <w:lang w:val="sr-Latn-ME"/>
        </w:rPr>
        <w:t>Pugh</w:t>
      </w:r>
      <w:proofErr w:type="spellEnd"/>
      <w:r w:rsidRPr="0045764A">
        <w:rPr>
          <w:rFonts w:eastAsia="TimesNewRoman"/>
          <w:i/>
          <w:iCs/>
          <w:szCs w:val="22"/>
          <w:lang w:val="sr-Latn-ME"/>
        </w:rPr>
        <w:t xml:space="preserve"> </w:t>
      </w:r>
      <w:r w:rsidRPr="0045764A">
        <w:rPr>
          <w:rFonts w:eastAsia="TimesNewRoman"/>
          <w:szCs w:val="22"/>
          <w:lang w:val="sr-Latn-ME"/>
        </w:rPr>
        <w:t>klasa C) i ne bi ga trebalo</w:t>
      </w:r>
      <w:r w:rsidR="003B4A13" w:rsidRPr="0045764A">
        <w:rPr>
          <w:rFonts w:eastAsia="TimesNewRoman"/>
          <w:szCs w:val="22"/>
          <w:lang w:val="sr-Latn-ME"/>
        </w:rPr>
        <w:t xml:space="preserve"> </w:t>
      </w:r>
      <w:r w:rsidRPr="0045764A">
        <w:rPr>
          <w:rFonts w:eastAsia="TimesNewRoman"/>
          <w:szCs w:val="22"/>
          <w:lang w:val="sr-Latn-ME"/>
        </w:rPr>
        <w:t>koristiti kod ove populacije (</w:t>
      </w:r>
      <w:r w:rsidR="006F7AEE" w:rsidRPr="0045764A">
        <w:rPr>
          <w:rFonts w:eastAsia="TimesNewRoman"/>
          <w:szCs w:val="22"/>
          <w:lang w:val="sr-Latn-ME"/>
        </w:rPr>
        <w:t>pogledati dio</w:t>
      </w:r>
      <w:r w:rsidRPr="0045764A">
        <w:rPr>
          <w:rFonts w:eastAsia="TimesNewRoman"/>
          <w:szCs w:val="22"/>
          <w:lang w:val="sr-Latn-ME"/>
        </w:rPr>
        <w:t xml:space="preserve"> 4.2 za preporučeno prilagođavanje doze).</w:t>
      </w:r>
    </w:p>
    <w:p w14:paraId="3674E798" w14:textId="77777777" w:rsidR="003B4A13" w:rsidRPr="0045764A" w:rsidRDefault="003B4A13" w:rsidP="00C65330">
      <w:pPr>
        <w:tabs>
          <w:tab w:val="clear" w:pos="284"/>
        </w:tabs>
        <w:autoSpaceDE w:val="0"/>
        <w:autoSpaceDN w:val="0"/>
        <w:adjustRightInd w:val="0"/>
        <w:rPr>
          <w:rFonts w:eastAsia="TimesNewRoman"/>
          <w:i/>
          <w:iCs/>
          <w:szCs w:val="22"/>
          <w:lang w:val="sr-Latn-ME"/>
        </w:rPr>
      </w:pPr>
    </w:p>
    <w:p w14:paraId="4A9317E7" w14:textId="572EB8D0" w:rsidR="00AD3616" w:rsidRPr="0045764A" w:rsidRDefault="00AD3616" w:rsidP="00C65330">
      <w:pPr>
        <w:tabs>
          <w:tab w:val="clear" w:pos="284"/>
        </w:tabs>
        <w:autoSpaceDE w:val="0"/>
        <w:autoSpaceDN w:val="0"/>
        <w:adjustRightInd w:val="0"/>
        <w:rPr>
          <w:rFonts w:eastAsia="TimesNewRoman"/>
          <w:i/>
          <w:iCs/>
          <w:szCs w:val="22"/>
          <w:lang w:val="sr-Latn-ME"/>
        </w:rPr>
      </w:pPr>
      <w:r w:rsidRPr="0045764A">
        <w:rPr>
          <w:rFonts w:eastAsia="TimesNewRoman"/>
          <w:i/>
          <w:iCs/>
          <w:szCs w:val="22"/>
          <w:lang w:val="sr-Latn-ME"/>
        </w:rPr>
        <w:t>Oštećenje funkcije bubrega</w:t>
      </w:r>
    </w:p>
    <w:p w14:paraId="4D0CCA3F" w14:textId="1D7972AE" w:rsidR="00E97486" w:rsidRPr="0045764A" w:rsidRDefault="00AD3616" w:rsidP="00C65330">
      <w:pPr>
        <w:rPr>
          <w:rFonts w:eastAsia="TimesNewRoman"/>
          <w:szCs w:val="22"/>
          <w:lang w:val="sr-Latn-ME"/>
        </w:rPr>
      </w:pPr>
      <w:proofErr w:type="spellStart"/>
      <w:r w:rsidRPr="0045764A">
        <w:rPr>
          <w:rFonts w:eastAsia="TimesNewRoman"/>
          <w:szCs w:val="22"/>
          <w:lang w:val="sr-Latn-ME"/>
        </w:rPr>
        <w:t>Neprom</w:t>
      </w:r>
      <w:r w:rsidR="00C21460" w:rsidRPr="0045764A">
        <w:rPr>
          <w:rFonts w:eastAsia="TimesNewRoman"/>
          <w:szCs w:val="22"/>
          <w:lang w:val="sr-Latn-ME"/>
        </w:rPr>
        <w:t>ij</w:t>
      </w:r>
      <w:r w:rsidRPr="0045764A">
        <w:rPr>
          <w:rFonts w:eastAsia="TimesNewRoman"/>
          <w:szCs w:val="22"/>
          <w:lang w:val="sr-Latn-ME"/>
        </w:rPr>
        <w:t>enjen</w:t>
      </w:r>
      <w:r w:rsidR="00C834BB" w:rsidRPr="0045764A">
        <w:rPr>
          <w:rFonts w:eastAsia="TimesNewRoman"/>
          <w:szCs w:val="22"/>
          <w:lang w:val="sr-Latn-ME"/>
        </w:rPr>
        <w:t>i</w:t>
      </w:r>
      <w:proofErr w:type="spellEnd"/>
      <w:r w:rsidRPr="0045764A">
        <w:rPr>
          <w:rFonts w:eastAsia="TimesNewRoman"/>
          <w:szCs w:val="22"/>
          <w:lang w:val="sr-Latn-ME"/>
        </w:rPr>
        <w:t xml:space="preserve"> </w:t>
      </w:r>
      <w:proofErr w:type="spellStart"/>
      <w:r w:rsidRPr="0045764A">
        <w:rPr>
          <w:rFonts w:eastAsia="TimesNewRoman"/>
          <w:szCs w:val="22"/>
          <w:lang w:val="sr-Latn-ME"/>
        </w:rPr>
        <w:t>aksitinib</w:t>
      </w:r>
      <w:proofErr w:type="spellEnd"/>
      <w:r w:rsidRPr="0045764A">
        <w:rPr>
          <w:rFonts w:eastAsia="TimesNewRoman"/>
          <w:szCs w:val="22"/>
          <w:lang w:val="sr-Latn-ME"/>
        </w:rPr>
        <w:t xml:space="preserve"> se ne detektuje u urinu.</w:t>
      </w:r>
    </w:p>
    <w:p w14:paraId="0BDBF114" w14:textId="77777777" w:rsidR="00334376" w:rsidRPr="0045764A" w:rsidRDefault="00334376" w:rsidP="00C65330">
      <w:pPr>
        <w:rPr>
          <w:rFonts w:eastAsia="TimesNewRoman"/>
          <w:szCs w:val="22"/>
          <w:lang w:val="sr-Latn-ME"/>
        </w:rPr>
      </w:pPr>
    </w:p>
    <w:p w14:paraId="68028663" w14:textId="119FA4AB" w:rsidR="00E97486" w:rsidRPr="0045764A" w:rsidRDefault="00E97486"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lastRenderedPageBreak/>
        <w:t xml:space="preserve">Kinetika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nije proc</w:t>
      </w:r>
      <w:r w:rsidR="00C21460" w:rsidRPr="0045764A">
        <w:rPr>
          <w:rFonts w:eastAsia="TimesNewRoman"/>
          <w:szCs w:val="22"/>
          <w:lang w:val="sr-Latn-ME"/>
        </w:rPr>
        <w:t>j</w:t>
      </w:r>
      <w:r w:rsidRPr="0045764A">
        <w:rPr>
          <w:rFonts w:eastAsia="TimesNewRoman"/>
          <w:szCs w:val="22"/>
          <w:lang w:val="sr-Latn-ME"/>
        </w:rPr>
        <w:t>enjivana kod ispitanika sa oštećenjem funkcije bubrega. U kliničkim</w:t>
      </w:r>
      <w:r w:rsidR="004A0D14" w:rsidRPr="0045764A">
        <w:rPr>
          <w:rFonts w:eastAsia="TimesNewRoman"/>
          <w:szCs w:val="22"/>
          <w:lang w:val="sr-Latn-ME"/>
        </w:rPr>
        <w:t xml:space="preserve"> </w:t>
      </w:r>
      <w:r w:rsidRPr="0045764A">
        <w:rPr>
          <w:rFonts w:eastAsia="TimesNewRoman"/>
          <w:szCs w:val="22"/>
          <w:lang w:val="sr-Latn-ME"/>
        </w:rPr>
        <w:t xml:space="preserve">ispitivanjima sa </w:t>
      </w:r>
      <w:proofErr w:type="spellStart"/>
      <w:r w:rsidRPr="0045764A">
        <w:rPr>
          <w:rFonts w:eastAsia="TimesNewRoman"/>
          <w:szCs w:val="22"/>
          <w:lang w:val="sr-Latn-ME"/>
        </w:rPr>
        <w:t>aksitinibom</w:t>
      </w:r>
      <w:proofErr w:type="spellEnd"/>
      <w:r w:rsidRPr="0045764A">
        <w:rPr>
          <w:rFonts w:eastAsia="TimesNewRoman"/>
          <w:szCs w:val="22"/>
          <w:lang w:val="sr-Latn-ME"/>
        </w:rPr>
        <w:t xml:space="preserve"> za </w:t>
      </w:r>
      <w:r w:rsidR="00AE0DCD" w:rsidRPr="0045764A">
        <w:rPr>
          <w:rFonts w:eastAsia="TimesNewRoman"/>
          <w:szCs w:val="22"/>
          <w:lang w:val="sr-Latn-ME"/>
        </w:rPr>
        <w:t>liječenj</w:t>
      </w:r>
      <w:r w:rsidRPr="0045764A">
        <w:rPr>
          <w:rFonts w:eastAsia="TimesNewRoman"/>
          <w:szCs w:val="22"/>
          <w:lang w:val="sr-Latn-ME"/>
        </w:rPr>
        <w:t xml:space="preserve">e pacijenata sa RCC, izuzeti su pacijenti sa </w:t>
      </w:r>
      <w:proofErr w:type="spellStart"/>
      <w:r w:rsidRPr="0045764A">
        <w:rPr>
          <w:rFonts w:eastAsia="TimesNewRoman"/>
          <w:szCs w:val="22"/>
          <w:lang w:val="sr-Latn-ME"/>
        </w:rPr>
        <w:t>kreatininom</w:t>
      </w:r>
      <w:proofErr w:type="spellEnd"/>
      <w:r w:rsidRPr="0045764A">
        <w:rPr>
          <w:rFonts w:eastAsia="TimesNewRoman"/>
          <w:szCs w:val="22"/>
          <w:lang w:val="sr-Latn-ME"/>
        </w:rPr>
        <w:t xml:space="preserve"> u serumu &gt; 1,5</w:t>
      </w:r>
      <w:r w:rsidR="004A0D14" w:rsidRPr="0045764A">
        <w:rPr>
          <w:rFonts w:eastAsia="TimesNewRoman"/>
          <w:szCs w:val="22"/>
          <w:lang w:val="sr-Latn-ME"/>
        </w:rPr>
        <w:t xml:space="preserve"> </w:t>
      </w:r>
      <w:r w:rsidRPr="0045764A">
        <w:rPr>
          <w:rFonts w:eastAsia="TimesNewRoman"/>
          <w:szCs w:val="22"/>
          <w:lang w:val="sr-Latn-ME"/>
        </w:rPr>
        <w:t>puta od gornje granice referentn</w:t>
      </w:r>
      <w:r w:rsidR="00C834BB" w:rsidRPr="0045764A">
        <w:rPr>
          <w:rFonts w:eastAsia="TimesNewRoman"/>
          <w:szCs w:val="22"/>
          <w:lang w:val="sr-Latn-ME"/>
        </w:rPr>
        <w:t>ih</w:t>
      </w:r>
      <w:r w:rsidRPr="0045764A">
        <w:rPr>
          <w:rFonts w:eastAsia="TimesNewRoman"/>
          <w:szCs w:val="22"/>
          <w:lang w:val="sr-Latn-ME"/>
        </w:rPr>
        <w:t xml:space="preserve"> </w:t>
      </w:r>
      <w:r w:rsidR="008E2492" w:rsidRPr="0045764A">
        <w:rPr>
          <w:rFonts w:eastAsia="TimesNewRoman"/>
          <w:szCs w:val="22"/>
          <w:lang w:val="sr-Latn-ME"/>
        </w:rPr>
        <w:t>vrijednost</w:t>
      </w:r>
      <w:r w:rsidRPr="0045764A">
        <w:rPr>
          <w:rFonts w:eastAsia="TimesNewRoman"/>
          <w:szCs w:val="22"/>
          <w:lang w:val="sr-Latn-ME"/>
        </w:rPr>
        <w:t xml:space="preserve">i ili izračunatim </w:t>
      </w:r>
      <w:proofErr w:type="spellStart"/>
      <w:r w:rsidRPr="0045764A">
        <w:rPr>
          <w:rFonts w:eastAsia="TimesNewRoman"/>
          <w:szCs w:val="22"/>
          <w:lang w:val="sr-Latn-ME"/>
        </w:rPr>
        <w:t>k</w:t>
      </w:r>
      <w:r w:rsidR="00C834BB" w:rsidRPr="0045764A">
        <w:rPr>
          <w:rFonts w:eastAsia="TimesNewRoman"/>
          <w:szCs w:val="22"/>
          <w:lang w:val="sr-Latn-ME"/>
        </w:rPr>
        <w:t>l</w:t>
      </w:r>
      <w:r w:rsidRPr="0045764A">
        <w:rPr>
          <w:rFonts w:eastAsia="TimesNewRoman"/>
          <w:szCs w:val="22"/>
          <w:lang w:val="sr-Latn-ME"/>
        </w:rPr>
        <w:t>irensom</w:t>
      </w:r>
      <w:proofErr w:type="spellEnd"/>
      <w:r w:rsidRPr="0045764A">
        <w:rPr>
          <w:rFonts w:eastAsia="TimesNewRoman"/>
          <w:szCs w:val="22"/>
          <w:lang w:val="sr-Latn-ME"/>
        </w:rPr>
        <w:t xml:space="preserve"> </w:t>
      </w:r>
      <w:proofErr w:type="spellStart"/>
      <w:r w:rsidRPr="0045764A">
        <w:rPr>
          <w:rFonts w:eastAsia="TimesNewRoman"/>
          <w:szCs w:val="22"/>
          <w:lang w:val="sr-Latn-ME"/>
        </w:rPr>
        <w:t>kreatinina</w:t>
      </w:r>
      <w:proofErr w:type="spellEnd"/>
      <w:r w:rsidRPr="0045764A">
        <w:rPr>
          <w:rFonts w:eastAsia="TimesNewRoman"/>
          <w:szCs w:val="22"/>
          <w:lang w:val="sr-Latn-ME"/>
        </w:rPr>
        <w:t xml:space="preserve"> &lt; 60 </w:t>
      </w:r>
      <w:proofErr w:type="spellStart"/>
      <w:r w:rsidRPr="0045764A">
        <w:rPr>
          <w:rFonts w:eastAsia="TimesNewRoman"/>
          <w:szCs w:val="22"/>
          <w:lang w:val="sr-Latn-ME"/>
        </w:rPr>
        <w:t>mL</w:t>
      </w:r>
      <w:proofErr w:type="spellEnd"/>
      <w:r w:rsidRPr="0045764A">
        <w:rPr>
          <w:rFonts w:eastAsia="TimesNewRoman"/>
          <w:szCs w:val="22"/>
          <w:lang w:val="sr-Latn-ME"/>
        </w:rPr>
        <w:t>/min. Populaciona</w:t>
      </w:r>
      <w:r w:rsidR="004A0D14" w:rsidRPr="0045764A">
        <w:rPr>
          <w:rFonts w:eastAsia="TimesNewRoman"/>
          <w:szCs w:val="22"/>
          <w:lang w:val="sr-Latn-ME"/>
        </w:rPr>
        <w:t xml:space="preserve"> </w:t>
      </w:r>
      <w:proofErr w:type="spellStart"/>
      <w:r w:rsidRPr="0045764A">
        <w:rPr>
          <w:rFonts w:eastAsia="TimesNewRoman"/>
          <w:szCs w:val="22"/>
          <w:lang w:val="sr-Latn-ME"/>
        </w:rPr>
        <w:t>farmakokinetička</w:t>
      </w:r>
      <w:proofErr w:type="spellEnd"/>
      <w:r w:rsidRPr="0045764A">
        <w:rPr>
          <w:rFonts w:eastAsia="TimesNewRoman"/>
          <w:szCs w:val="22"/>
          <w:lang w:val="sr-Latn-ME"/>
        </w:rPr>
        <w:t xml:space="preserve"> analiza pokazala je da </w:t>
      </w:r>
      <w:proofErr w:type="spellStart"/>
      <w:r w:rsidRPr="0045764A">
        <w:rPr>
          <w:rFonts w:eastAsia="TimesNewRoman"/>
          <w:szCs w:val="22"/>
          <w:lang w:val="sr-Latn-ME"/>
        </w:rPr>
        <w:t>klirens</w:t>
      </w:r>
      <w:proofErr w:type="spellEnd"/>
      <w:r w:rsidRPr="0045764A">
        <w:rPr>
          <w:rFonts w:eastAsia="TimesNewRoman"/>
          <w:szCs w:val="22"/>
          <w:lang w:val="sr-Latn-ME"/>
        </w:rPr>
        <w:t xml:space="preserve"> </w:t>
      </w:r>
      <w:proofErr w:type="spellStart"/>
      <w:r w:rsidRPr="0045764A">
        <w:rPr>
          <w:rFonts w:eastAsia="TimesNewRoman"/>
          <w:szCs w:val="22"/>
          <w:lang w:val="sr-Latn-ME"/>
        </w:rPr>
        <w:t>aksitiniba</w:t>
      </w:r>
      <w:proofErr w:type="spellEnd"/>
      <w:r w:rsidRPr="0045764A">
        <w:rPr>
          <w:rFonts w:eastAsia="TimesNewRoman"/>
          <w:szCs w:val="22"/>
          <w:lang w:val="sr-Latn-ME"/>
        </w:rPr>
        <w:t xml:space="preserve"> nije prom</w:t>
      </w:r>
      <w:r w:rsidR="00C21460" w:rsidRPr="0045764A">
        <w:rPr>
          <w:rFonts w:eastAsia="TimesNewRoman"/>
          <w:szCs w:val="22"/>
          <w:lang w:val="sr-Latn-ME"/>
        </w:rPr>
        <w:t>ij</w:t>
      </w:r>
      <w:r w:rsidRPr="0045764A">
        <w:rPr>
          <w:rFonts w:eastAsia="TimesNewRoman"/>
          <w:szCs w:val="22"/>
          <w:lang w:val="sr-Latn-ME"/>
        </w:rPr>
        <w:t>enjen kod ispitanika sa oštećenom</w:t>
      </w:r>
      <w:r w:rsidR="004A0D14" w:rsidRPr="0045764A">
        <w:rPr>
          <w:rFonts w:eastAsia="TimesNewRoman"/>
          <w:szCs w:val="22"/>
          <w:lang w:val="sr-Latn-ME"/>
        </w:rPr>
        <w:t xml:space="preserve"> </w:t>
      </w:r>
      <w:r w:rsidRPr="0045764A">
        <w:rPr>
          <w:rFonts w:eastAsia="TimesNewRoman"/>
          <w:szCs w:val="22"/>
          <w:lang w:val="sr-Latn-ME"/>
        </w:rPr>
        <w:t>funkcijom bubrega</w:t>
      </w:r>
      <w:r w:rsidR="00C834BB" w:rsidRPr="0045764A">
        <w:rPr>
          <w:rFonts w:eastAsia="TimesNewRoman"/>
          <w:szCs w:val="22"/>
          <w:lang w:val="sr-Latn-ME"/>
        </w:rPr>
        <w:t>,</w:t>
      </w:r>
      <w:r w:rsidRPr="0045764A">
        <w:rPr>
          <w:rFonts w:eastAsia="TimesNewRoman"/>
          <w:szCs w:val="22"/>
          <w:lang w:val="sr-Latn-ME"/>
        </w:rPr>
        <w:t xml:space="preserve"> pa nije potrebno prilagođavati dozu </w:t>
      </w:r>
      <w:proofErr w:type="spellStart"/>
      <w:r w:rsidRPr="0045764A">
        <w:rPr>
          <w:rFonts w:eastAsia="TimesNewRoman"/>
          <w:szCs w:val="22"/>
          <w:lang w:val="sr-Latn-ME"/>
        </w:rPr>
        <w:t>aksitiniba</w:t>
      </w:r>
      <w:proofErr w:type="spellEnd"/>
      <w:r w:rsidRPr="0045764A">
        <w:rPr>
          <w:rFonts w:eastAsia="TimesNewRoman"/>
          <w:szCs w:val="22"/>
          <w:lang w:val="sr-Latn-ME"/>
        </w:rPr>
        <w:t>.</w:t>
      </w:r>
    </w:p>
    <w:p w14:paraId="5E9E41D3" w14:textId="77777777" w:rsidR="005A2986" w:rsidRPr="0045764A" w:rsidRDefault="005A2986" w:rsidP="00C65330">
      <w:pPr>
        <w:rPr>
          <w:szCs w:val="22"/>
          <w:lang w:val="sr-Latn-ME"/>
        </w:rPr>
      </w:pPr>
    </w:p>
    <w:p w14:paraId="4B3C6799" w14:textId="20AFDFAE" w:rsidR="00CE09F3" w:rsidRPr="0045764A" w:rsidRDefault="00CE09F3" w:rsidP="00C65330">
      <w:pPr>
        <w:rPr>
          <w:b/>
          <w:bCs/>
          <w:szCs w:val="22"/>
          <w:lang w:val="sr-Latn-ME"/>
        </w:rPr>
      </w:pPr>
      <w:r w:rsidRPr="0045764A">
        <w:rPr>
          <w:b/>
          <w:bCs/>
          <w:szCs w:val="22"/>
          <w:lang w:val="sr-Latn-ME"/>
        </w:rPr>
        <w:t xml:space="preserve">5.3. </w:t>
      </w:r>
      <w:proofErr w:type="spellStart"/>
      <w:r w:rsidRPr="0045764A">
        <w:rPr>
          <w:b/>
          <w:bCs/>
          <w:szCs w:val="22"/>
          <w:lang w:val="sr-Latn-ME"/>
        </w:rPr>
        <w:t>Pretklinički</w:t>
      </w:r>
      <w:proofErr w:type="spellEnd"/>
      <w:r w:rsidRPr="0045764A">
        <w:rPr>
          <w:b/>
          <w:bCs/>
          <w:szCs w:val="22"/>
          <w:lang w:val="sr-Latn-ME"/>
        </w:rPr>
        <w:t xml:space="preserve"> podaci o bezb</w:t>
      </w:r>
      <w:r w:rsidR="00C21460" w:rsidRPr="0045764A">
        <w:rPr>
          <w:b/>
          <w:bCs/>
          <w:szCs w:val="22"/>
          <w:lang w:val="sr-Latn-ME"/>
        </w:rPr>
        <w:t>j</w:t>
      </w:r>
      <w:r w:rsidRPr="0045764A">
        <w:rPr>
          <w:b/>
          <w:bCs/>
          <w:szCs w:val="22"/>
          <w:lang w:val="sr-Latn-ME"/>
        </w:rPr>
        <w:t xml:space="preserve">ednosti </w:t>
      </w:r>
    </w:p>
    <w:p w14:paraId="4B3C679A" w14:textId="77777777" w:rsidR="00CE09F3" w:rsidRPr="0045764A" w:rsidRDefault="00CE09F3" w:rsidP="00C65330">
      <w:pPr>
        <w:rPr>
          <w:szCs w:val="22"/>
          <w:lang w:val="sr-Latn-ME"/>
        </w:rPr>
      </w:pPr>
    </w:p>
    <w:p w14:paraId="2B5B91A0" w14:textId="77777777" w:rsidR="001917CE" w:rsidRPr="0045764A" w:rsidRDefault="001917CE" w:rsidP="00C65330">
      <w:pPr>
        <w:tabs>
          <w:tab w:val="clear" w:pos="284"/>
        </w:tabs>
        <w:autoSpaceDE w:val="0"/>
        <w:autoSpaceDN w:val="0"/>
        <w:adjustRightInd w:val="0"/>
        <w:rPr>
          <w:i/>
          <w:iCs/>
          <w:szCs w:val="22"/>
          <w:lang w:val="sr-Latn-ME"/>
        </w:rPr>
      </w:pPr>
      <w:r w:rsidRPr="0045764A">
        <w:rPr>
          <w:i/>
          <w:iCs/>
          <w:szCs w:val="22"/>
          <w:lang w:val="sr-Latn-ME"/>
        </w:rPr>
        <w:t>Toksičnost ponovljene doze</w:t>
      </w:r>
    </w:p>
    <w:p w14:paraId="5F2F928F" w14:textId="347CFDED" w:rsidR="001917CE" w:rsidRPr="0045764A" w:rsidRDefault="001917CE"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Glavni nalazi o toksičnosti kod miševa i pasa</w:t>
      </w:r>
      <w:r w:rsidR="00FA35BD" w:rsidRPr="0045764A">
        <w:rPr>
          <w:rFonts w:eastAsia="TimesNewRoman"/>
          <w:szCs w:val="22"/>
          <w:lang w:val="sr-Latn-ME"/>
        </w:rPr>
        <w:t>,</w:t>
      </w:r>
      <w:r w:rsidRPr="0045764A">
        <w:rPr>
          <w:rFonts w:eastAsia="TimesNewRoman"/>
          <w:szCs w:val="22"/>
          <w:lang w:val="sr-Latn-ME"/>
        </w:rPr>
        <w:t xml:space="preserve"> nakon ponovljenog doziranja </w:t>
      </w:r>
      <w:r w:rsidR="00FA35BD" w:rsidRPr="0045764A">
        <w:rPr>
          <w:rFonts w:eastAsia="TimesNewRoman"/>
          <w:szCs w:val="22"/>
          <w:lang w:val="sr-Latn-ME"/>
        </w:rPr>
        <w:t xml:space="preserve">u trajanju </w:t>
      </w:r>
      <w:r w:rsidRPr="0045764A">
        <w:rPr>
          <w:rFonts w:eastAsia="TimesNewRoman"/>
          <w:szCs w:val="22"/>
          <w:lang w:val="sr-Latn-ME"/>
        </w:rPr>
        <w:t>do 9 m</w:t>
      </w:r>
      <w:r w:rsidR="00B65377" w:rsidRPr="0045764A">
        <w:rPr>
          <w:rFonts w:eastAsia="TimesNewRoman"/>
          <w:szCs w:val="22"/>
          <w:lang w:val="sr-Latn-ME"/>
        </w:rPr>
        <w:t>j</w:t>
      </w:r>
      <w:r w:rsidRPr="0045764A">
        <w:rPr>
          <w:rFonts w:eastAsia="TimesNewRoman"/>
          <w:szCs w:val="22"/>
          <w:lang w:val="sr-Latn-ME"/>
        </w:rPr>
        <w:t>eseci</w:t>
      </w:r>
      <w:r w:rsidR="00FA35BD" w:rsidRPr="0045764A">
        <w:rPr>
          <w:rFonts w:eastAsia="TimesNewRoman"/>
          <w:szCs w:val="22"/>
          <w:lang w:val="sr-Latn-ME"/>
        </w:rPr>
        <w:t>,</w:t>
      </w:r>
      <w:r w:rsidRPr="0045764A">
        <w:rPr>
          <w:rFonts w:eastAsia="TimesNewRoman"/>
          <w:szCs w:val="22"/>
          <w:lang w:val="sr-Latn-ME"/>
        </w:rPr>
        <w:t xml:space="preserve"> </w:t>
      </w:r>
      <w:r w:rsidR="00BF26F5" w:rsidRPr="0045764A">
        <w:rPr>
          <w:rFonts w:eastAsia="TimesNewRoman"/>
          <w:szCs w:val="22"/>
          <w:lang w:val="sr-Latn-ME"/>
        </w:rPr>
        <w:t xml:space="preserve">zabilježeni </w:t>
      </w:r>
      <w:r w:rsidRPr="0045764A">
        <w:rPr>
          <w:rFonts w:eastAsia="TimesNewRoman"/>
          <w:szCs w:val="22"/>
          <w:lang w:val="sr-Latn-ME"/>
        </w:rPr>
        <w:t>su u</w:t>
      </w:r>
      <w:r w:rsidR="00517CB5" w:rsidRPr="0045764A">
        <w:rPr>
          <w:rFonts w:eastAsia="TimesNewRoman"/>
          <w:szCs w:val="22"/>
          <w:lang w:val="sr-Latn-ME"/>
        </w:rPr>
        <w:t xml:space="preserve"> </w:t>
      </w:r>
      <w:r w:rsidRPr="0045764A">
        <w:rPr>
          <w:rFonts w:eastAsia="TimesNewRoman"/>
          <w:szCs w:val="22"/>
          <w:lang w:val="sr-Latn-ME"/>
        </w:rPr>
        <w:t xml:space="preserve">gastrointestinalnom, </w:t>
      </w:r>
      <w:proofErr w:type="spellStart"/>
      <w:r w:rsidRPr="0045764A">
        <w:rPr>
          <w:rFonts w:eastAsia="TimesNewRoman"/>
          <w:szCs w:val="22"/>
          <w:lang w:val="sr-Latn-ME"/>
        </w:rPr>
        <w:t>hematopoetskom</w:t>
      </w:r>
      <w:proofErr w:type="spellEnd"/>
      <w:r w:rsidRPr="0045764A">
        <w:rPr>
          <w:rFonts w:eastAsia="TimesNewRoman"/>
          <w:szCs w:val="22"/>
          <w:lang w:val="sr-Latn-ME"/>
        </w:rPr>
        <w:t xml:space="preserve">, reproduktivnom, skeletnom sistemu i zubima, sa NOAEL (engl. </w:t>
      </w:r>
      <w:r w:rsidRPr="0045764A">
        <w:rPr>
          <w:i/>
          <w:iCs/>
          <w:szCs w:val="22"/>
          <w:lang w:val="sr-Latn-ME"/>
        </w:rPr>
        <w:t>No</w:t>
      </w:r>
      <w:r w:rsidR="00517CB5" w:rsidRPr="0045764A">
        <w:rPr>
          <w:rFonts w:eastAsia="TimesNewRoman"/>
          <w:szCs w:val="22"/>
          <w:lang w:val="sr-Latn-ME"/>
        </w:rPr>
        <w:t xml:space="preserve"> </w:t>
      </w:r>
      <w:proofErr w:type="spellStart"/>
      <w:r w:rsidRPr="0045764A">
        <w:rPr>
          <w:i/>
          <w:iCs/>
          <w:szCs w:val="22"/>
          <w:lang w:val="sr-Latn-ME"/>
        </w:rPr>
        <w:t>Observed</w:t>
      </w:r>
      <w:proofErr w:type="spellEnd"/>
      <w:r w:rsidRPr="0045764A">
        <w:rPr>
          <w:i/>
          <w:iCs/>
          <w:szCs w:val="22"/>
          <w:lang w:val="sr-Latn-ME"/>
        </w:rPr>
        <w:t xml:space="preserve"> </w:t>
      </w:r>
      <w:proofErr w:type="spellStart"/>
      <w:r w:rsidRPr="0045764A">
        <w:rPr>
          <w:i/>
          <w:iCs/>
          <w:szCs w:val="22"/>
          <w:lang w:val="sr-Latn-ME"/>
        </w:rPr>
        <w:t>Adverse</w:t>
      </w:r>
      <w:proofErr w:type="spellEnd"/>
      <w:r w:rsidRPr="0045764A">
        <w:rPr>
          <w:i/>
          <w:iCs/>
          <w:szCs w:val="22"/>
          <w:lang w:val="sr-Latn-ME"/>
        </w:rPr>
        <w:t xml:space="preserve"> </w:t>
      </w:r>
      <w:proofErr w:type="spellStart"/>
      <w:r w:rsidRPr="0045764A">
        <w:rPr>
          <w:i/>
          <w:iCs/>
          <w:szCs w:val="22"/>
          <w:lang w:val="sr-Latn-ME"/>
        </w:rPr>
        <w:t>Effect</w:t>
      </w:r>
      <w:proofErr w:type="spellEnd"/>
      <w:r w:rsidRPr="0045764A">
        <w:rPr>
          <w:i/>
          <w:iCs/>
          <w:szCs w:val="22"/>
          <w:lang w:val="sr-Latn-ME"/>
        </w:rPr>
        <w:t xml:space="preserve"> </w:t>
      </w:r>
      <w:proofErr w:type="spellStart"/>
      <w:r w:rsidRPr="0045764A">
        <w:rPr>
          <w:i/>
          <w:iCs/>
          <w:szCs w:val="22"/>
          <w:lang w:val="sr-Latn-ME"/>
        </w:rPr>
        <w:t>Levels</w:t>
      </w:r>
      <w:proofErr w:type="spellEnd"/>
      <w:r w:rsidRPr="0045764A">
        <w:rPr>
          <w:iCs/>
          <w:szCs w:val="22"/>
          <w:lang w:val="sr-Latn-ME"/>
        </w:rPr>
        <w:t>,</w:t>
      </w:r>
      <w:r w:rsidRPr="0045764A">
        <w:rPr>
          <w:i/>
          <w:iCs/>
          <w:szCs w:val="22"/>
          <w:lang w:val="sr-Latn-ME"/>
        </w:rPr>
        <w:t xml:space="preserve"> </w:t>
      </w:r>
      <w:r w:rsidRPr="0045764A">
        <w:rPr>
          <w:rFonts w:eastAsia="TimesNewRoman"/>
          <w:szCs w:val="22"/>
          <w:lang w:val="sr-Latn-ME"/>
        </w:rPr>
        <w:t xml:space="preserve">NOAEL) </w:t>
      </w:r>
      <w:r w:rsidR="008E2492" w:rsidRPr="0045764A">
        <w:rPr>
          <w:rFonts w:eastAsia="TimesNewRoman"/>
          <w:szCs w:val="22"/>
          <w:lang w:val="sr-Latn-ME"/>
        </w:rPr>
        <w:t>vrijednost</w:t>
      </w:r>
      <w:r w:rsidRPr="0045764A">
        <w:rPr>
          <w:rFonts w:eastAsia="TimesNewRoman"/>
          <w:szCs w:val="22"/>
          <w:lang w:val="sr-Latn-ME"/>
        </w:rPr>
        <w:t xml:space="preserve">ima </w:t>
      </w:r>
      <w:r w:rsidR="001D0B23" w:rsidRPr="0045764A">
        <w:rPr>
          <w:rFonts w:eastAsia="TimesNewRoman"/>
          <w:szCs w:val="22"/>
          <w:lang w:val="sr-Latn-ME"/>
        </w:rPr>
        <w:t xml:space="preserve">(nivoi izloženosti pri kojima nijesu uočeni štetni efekti) </w:t>
      </w:r>
      <w:r w:rsidRPr="0045764A">
        <w:rPr>
          <w:rFonts w:eastAsia="TimesNewRoman"/>
          <w:szCs w:val="22"/>
          <w:lang w:val="sr-Latn-ME"/>
        </w:rPr>
        <w:t>približno ekvivalentnim ili ispod očekivanih</w:t>
      </w:r>
      <w:r w:rsidR="001D0B23" w:rsidRPr="0045764A">
        <w:rPr>
          <w:rFonts w:eastAsia="TimesNewRoman"/>
          <w:szCs w:val="22"/>
          <w:lang w:val="sr-Latn-ME"/>
        </w:rPr>
        <w:t>,</w:t>
      </w:r>
      <w:r w:rsidRPr="0045764A">
        <w:rPr>
          <w:rFonts w:eastAsia="TimesNewRoman"/>
          <w:szCs w:val="22"/>
          <w:lang w:val="sr-Latn-ME"/>
        </w:rPr>
        <w:t xml:space="preserve"> u</w:t>
      </w:r>
      <w:r w:rsidR="00517CB5" w:rsidRPr="0045764A">
        <w:rPr>
          <w:rFonts w:eastAsia="TimesNewRoman"/>
          <w:szCs w:val="22"/>
          <w:lang w:val="sr-Latn-ME"/>
        </w:rPr>
        <w:t xml:space="preserve"> </w:t>
      </w:r>
      <w:r w:rsidRPr="0045764A">
        <w:rPr>
          <w:rFonts w:eastAsia="TimesNewRoman"/>
          <w:szCs w:val="22"/>
          <w:lang w:val="sr-Latn-ME"/>
        </w:rPr>
        <w:t xml:space="preserve">poređenju sa izloženošću kod </w:t>
      </w:r>
      <w:proofErr w:type="spellStart"/>
      <w:r w:rsidRPr="0045764A">
        <w:rPr>
          <w:rFonts w:eastAsia="TimesNewRoman"/>
          <w:szCs w:val="22"/>
          <w:lang w:val="sr-Latn-ME"/>
        </w:rPr>
        <w:t>ljudi</w:t>
      </w:r>
      <w:proofErr w:type="spellEnd"/>
      <w:r w:rsidR="0031743A" w:rsidRPr="0045764A">
        <w:rPr>
          <w:rFonts w:eastAsia="TimesNewRoman"/>
          <w:szCs w:val="22"/>
          <w:lang w:val="sr-Latn-ME"/>
        </w:rPr>
        <w:t>,</w:t>
      </w:r>
      <w:r w:rsidRPr="0045764A">
        <w:rPr>
          <w:rFonts w:eastAsia="TimesNewRoman"/>
          <w:szCs w:val="22"/>
          <w:lang w:val="sr-Latn-ME"/>
        </w:rPr>
        <w:t xml:space="preserve"> pri preporučenoj kliničkoj početnoj dozi (na osnovu </w:t>
      </w:r>
      <w:r w:rsidR="008E2492" w:rsidRPr="0045764A">
        <w:rPr>
          <w:rFonts w:eastAsia="TimesNewRoman"/>
          <w:szCs w:val="22"/>
          <w:lang w:val="sr-Latn-ME"/>
        </w:rPr>
        <w:t>vrijednost</w:t>
      </w:r>
      <w:r w:rsidRPr="0045764A">
        <w:rPr>
          <w:rFonts w:eastAsia="TimesNewRoman"/>
          <w:szCs w:val="22"/>
          <w:lang w:val="sr-Latn-ME"/>
        </w:rPr>
        <w:t>i PIK).</w:t>
      </w:r>
    </w:p>
    <w:p w14:paraId="01D66636" w14:textId="77777777" w:rsidR="00594CE9" w:rsidRPr="0045764A" w:rsidRDefault="00594CE9" w:rsidP="00C65330">
      <w:pPr>
        <w:tabs>
          <w:tab w:val="clear" w:pos="284"/>
        </w:tabs>
        <w:autoSpaceDE w:val="0"/>
        <w:autoSpaceDN w:val="0"/>
        <w:adjustRightInd w:val="0"/>
        <w:rPr>
          <w:rFonts w:eastAsia="TimesNewRoman"/>
          <w:szCs w:val="22"/>
          <w:lang w:val="sr-Latn-ME"/>
        </w:rPr>
      </w:pPr>
    </w:p>
    <w:p w14:paraId="3F167275" w14:textId="77777777" w:rsidR="001917CE" w:rsidRPr="0045764A" w:rsidRDefault="001917CE" w:rsidP="00C65330">
      <w:pPr>
        <w:tabs>
          <w:tab w:val="clear" w:pos="284"/>
        </w:tabs>
        <w:autoSpaceDE w:val="0"/>
        <w:autoSpaceDN w:val="0"/>
        <w:adjustRightInd w:val="0"/>
        <w:rPr>
          <w:i/>
          <w:iCs/>
          <w:szCs w:val="22"/>
          <w:lang w:val="sr-Latn-ME"/>
        </w:rPr>
      </w:pPr>
      <w:proofErr w:type="spellStart"/>
      <w:r w:rsidRPr="0045764A">
        <w:rPr>
          <w:i/>
          <w:iCs/>
          <w:szCs w:val="22"/>
          <w:lang w:val="sr-Latn-ME"/>
        </w:rPr>
        <w:t>Karcinogenost</w:t>
      </w:r>
      <w:proofErr w:type="spellEnd"/>
    </w:p>
    <w:p w14:paraId="5B31CBAB" w14:textId="0B381690" w:rsidR="001917CE" w:rsidRPr="0045764A" w:rsidRDefault="001917CE"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Ispitivanja </w:t>
      </w:r>
      <w:proofErr w:type="spellStart"/>
      <w:r w:rsidRPr="0045764A">
        <w:rPr>
          <w:rFonts w:eastAsia="TimesNewRoman"/>
          <w:szCs w:val="22"/>
          <w:lang w:val="sr-Latn-ME"/>
        </w:rPr>
        <w:t>karcinogenosti</w:t>
      </w:r>
      <w:proofErr w:type="spellEnd"/>
      <w:r w:rsidRPr="0045764A">
        <w:rPr>
          <w:rFonts w:eastAsia="TimesNewRoman"/>
          <w:szCs w:val="22"/>
          <w:lang w:val="sr-Latn-ME"/>
        </w:rPr>
        <w:t xml:space="preserve"> ni</w:t>
      </w:r>
      <w:r w:rsidR="0031743A" w:rsidRPr="0045764A">
        <w:rPr>
          <w:rFonts w:eastAsia="TimesNewRoman"/>
          <w:szCs w:val="22"/>
          <w:lang w:val="sr-Latn-ME"/>
        </w:rPr>
        <w:t>je</w:t>
      </w:r>
      <w:r w:rsidRPr="0045764A">
        <w:rPr>
          <w:rFonts w:eastAsia="TimesNewRoman"/>
          <w:szCs w:val="22"/>
          <w:lang w:val="sr-Latn-ME"/>
        </w:rPr>
        <w:t xml:space="preserve">su sprovedena sa </w:t>
      </w:r>
      <w:proofErr w:type="spellStart"/>
      <w:r w:rsidRPr="0045764A">
        <w:rPr>
          <w:rFonts w:eastAsia="TimesNewRoman"/>
          <w:szCs w:val="22"/>
          <w:lang w:val="sr-Latn-ME"/>
        </w:rPr>
        <w:t>aksitinibom</w:t>
      </w:r>
      <w:proofErr w:type="spellEnd"/>
      <w:r w:rsidRPr="0045764A">
        <w:rPr>
          <w:rFonts w:eastAsia="TimesNewRoman"/>
          <w:szCs w:val="22"/>
          <w:lang w:val="sr-Latn-ME"/>
        </w:rPr>
        <w:t>.</w:t>
      </w:r>
    </w:p>
    <w:p w14:paraId="081515A1" w14:textId="77777777" w:rsidR="00594CE9" w:rsidRPr="0045764A" w:rsidRDefault="00594CE9" w:rsidP="00C65330">
      <w:pPr>
        <w:tabs>
          <w:tab w:val="clear" w:pos="284"/>
        </w:tabs>
        <w:autoSpaceDE w:val="0"/>
        <w:autoSpaceDN w:val="0"/>
        <w:adjustRightInd w:val="0"/>
        <w:rPr>
          <w:rFonts w:eastAsia="TimesNewRoman"/>
          <w:szCs w:val="22"/>
          <w:lang w:val="sr-Latn-ME"/>
        </w:rPr>
      </w:pPr>
    </w:p>
    <w:p w14:paraId="205F3ECF" w14:textId="77777777" w:rsidR="001917CE" w:rsidRPr="0045764A" w:rsidRDefault="001917CE" w:rsidP="00C65330">
      <w:pPr>
        <w:tabs>
          <w:tab w:val="clear" w:pos="284"/>
        </w:tabs>
        <w:autoSpaceDE w:val="0"/>
        <w:autoSpaceDN w:val="0"/>
        <w:adjustRightInd w:val="0"/>
        <w:rPr>
          <w:i/>
          <w:iCs/>
          <w:szCs w:val="22"/>
          <w:lang w:val="sr-Latn-ME"/>
        </w:rPr>
      </w:pPr>
      <w:proofErr w:type="spellStart"/>
      <w:r w:rsidRPr="0045764A">
        <w:rPr>
          <w:i/>
          <w:iCs/>
          <w:szCs w:val="22"/>
          <w:lang w:val="sr-Latn-ME"/>
        </w:rPr>
        <w:t>Genotoksičnost</w:t>
      </w:r>
      <w:proofErr w:type="spellEnd"/>
    </w:p>
    <w:p w14:paraId="016F678A" w14:textId="0A56A593" w:rsidR="001917CE" w:rsidRPr="0045764A" w:rsidRDefault="001917CE" w:rsidP="00C65330">
      <w:pPr>
        <w:tabs>
          <w:tab w:val="clear" w:pos="284"/>
        </w:tabs>
        <w:autoSpaceDE w:val="0"/>
        <w:autoSpaceDN w:val="0"/>
        <w:adjustRightInd w:val="0"/>
        <w:rPr>
          <w:i/>
          <w:iCs/>
          <w:szCs w:val="22"/>
          <w:lang w:val="sr-Latn-ME"/>
        </w:rPr>
      </w:pPr>
      <w:proofErr w:type="spellStart"/>
      <w:r w:rsidRPr="0045764A">
        <w:rPr>
          <w:rFonts w:eastAsia="TimesNewRoman"/>
          <w:szCs w:val="22"/>
          <w:lang w:val="sr-Latn-ME"/>
        </w:rPr>
        <w:t>Aksitinib</w:t>
      </w:r>
      <w:proofErr w:type="spellEnd"/>
      <w:r w:rsidRPr="0045764A">
        <w:rPr>
          <w:rFonts w:eastAsia="TimesNewRoman"/>
          <w:szCs w:val="22"/>
          <w:lang w:val="sr-Latn-ME"/>
        </w:rPr>
        <w:t xml:space="preserve"> nije pokazao </w:t>
      </w:r>
      <w:proofErr w:type="spellStart"/>
      <w:r w:rsidRPr="0045764A">
        <w:rPr>
          <w:rFonts w:eastAsia="TimesNewRoman"/>
          <w:szCs w:val="22"/>
          <w:lang w:val="sr-Latn-ME"/>
        </w:rPr>
        <w:t>mutagena</w:t>
      </w:r>
      <w:proofErr w:type="spellEnd"/>
      <w:r w:rsidRPr="0045764A">
        <w:rPr>
          <w:rFonts w:eastAsia="TimesNewRoman"/>
          <w:szCs w:val="22"/>
          <w:lang w:val="sr-Latn-ME"/>
        </w:rPr>
        <w:t xml:space="preserve"> </w:t>
      </w:r>
      <w:r w:rsidR="0031743A" w:rsidRPr="0045764A">
        <w:rPr>
          <w:rFonts w:eastAsia="TimesNewRoman"/>
          <w:szCs w:val="22"/>
          <w:lang w:val="sr-Latn-ME"/>
        </w:rPr>
        <w:t xml:space="preserve">niti </w:t>
      </w:r>
      <w:proofErr w:type="spellStart"/>
      <w:r w:rsidRPr="0045764A">
        <w:rPr>
          <w:rFonts w:eastAsia="TimesNewRoman"/>
          <w:szCs w:val="22"/>
          <w:lang w:val="sr-Latn-ME"/>
        </w:rPr>
        <w:t>klastogena</w:t>
      </w:r>
      <w:proofErr w:type="spellEnd"/>
      <w:r w:rsidRPr="0045764A">
        <w:rPr>
          <w:rFonts w:eastAsia="TimesNewRoman"/>
          <w:szCs w:val="22"/>
          <w:lang w:val="sr-Latn-ME"/>
        </w:rPr>
        <w:t xml:space="preserve"> dejstva u konvencionalnim ispitivanja </w:t>
      </w:r>
      <w:proofErr w:type="spellStart"/>
      <w:r w:rsidRPr="0045764A">
        <w:rPr>
          <w:rFonts w:eastAsia="TimesNewRoman"/>
          <w:szCs w:val="22"/>
          <w:lang w:val="sr-Latn-ME"/>
        </w:rPr>
        <w:t>genotoksičnosti</w:t>
      </w:r>
      <w:proofErr w:type="spellEnd"/>
      <w:r w:rsidRPr="0045764A">
        <w:rPr>
          <w:rFonts w:eastAsia="TimesNewRoman"/>
          <w:szCs w:val="22"/>
          <w:lang w:val="sr-Latn-ME"/>
        </w:rPr>
        <w:t xml:space="preserve"> </w:t>
      </w:r>
      <w:r w:rsidRPr="0045764A">
        <w:rPr>
          <w:i/>
          <w:iCs/>
          <w:szCs w:val="22"/>
          <w:lang w:val="sr-Latn-ME"/>
        </w:rPr>
        <w:t>in</w:t>
      </w:r>
      <w:r w:rsidR="00517CB5" w:rsidRPr="0045764A">
        <w:rPr>
          <w:i/>
          <w:iCs/>
          <w:szCs w:val="22"/>
          <w:lang w:val="sr-Latn-ME"/>
        </w:rPr>
        <w:t xml:space="preserve"> </w:t>
      </w:r>
      <w:proofErr w:type="spellStart"/>
      <w:r w:rsidRPr="0045764A">
        <w:rPr>
          <w:i/>
          <w:iCs/>
          <w:szCs w:val="22"/>
          <w:lang w:val="sr-Latn-ME"/>
        </w:rPr>
        <w:t>vitro</w:t>
      </w:r>
      <w:proofErr w:type="spellEnd"/>
      <w:r w:rsidRPr="0045764A">
        <w:rPr>
          <w:rFonts w:eastAsia="TimesNewRoman"/>
          <w:szCs w:val="22"/>
          <w:lang w:val="sr-Latn-ME"/>
        </w:rPr>
        <w:t xml:space="preserve">. Značajan porast </w:t>
      </w:r>
      <w:proofErr w:type="spellStart"/>
      <w:r w:rsidRPr="0045764A">
        <w:rPr>
          <w:rFonts w:eastAsia="TimesNewRoman"/>
          <w:szCs w:val="22"/>
          <w:lang w:val="sr-Latn-ME"/>
        </w:rPr>
        <w:t>poliploidije</w:t>
      </w:r>
      <w:proofErr w:type="spellEnd"/>
      <w:r w:rsidRPr="0045764A">
        <w:rPr>
          <w:rFonts w:eastAsia="TimesNewRoman"/>
          <w:szCs w:val="22"/>
          <w:lang w:val="sr-Latn-ME"/>
        </w:rPr>
        <w:t xml:space="preserve"> je prim</w:t>
      </w:r>
      <w:r w:rsidR="00B65377" w:rsidRPr="0045764A">
        <w:rPr>
          <w:rFonts w:eastAsia="TimesNewRoman"/>
          <w:szCs w:val="22"/>
          <w:lang w:val="sr-Latn-ME"/>
        </w:rPr>
        <w:t>ij</w:t>
      </w:r>
      <w:r w:rsidRPr="0045764A">
        <w:rPr>
          <w:rFonts w:eastAsia="TimesNewRoman"/>
          <w:szCs w:val="22"/>
          <w:lang w:val="sr-Latn-ME"/>
        </w:rPr>
        <w:t xml:space="preserve">ećen </w:t>
      </w:r>
      <w:r w:rsidRPr="0045764A">
        <w:rPr>
          <w:i/>
          <w:iCs/>
          <w:szCs w:val="22"/>
          <w:lang w:val="sr-Latn-ME"/>
        </w:rPr>
        <w:t xml:space="preserve">in </w:t>
      </w:r>
      <w:proofErr w:type="spellStart"/>
      <w:r w:rsidRPr="0045764A">
        <w:rPr>
          <w:i/>
          <w:iCs/>
          <w:szCs w:val="22"/>
          <w:lang w:val="sr-Latn-ME"/>
        </w:rPr>
        <w:t>vitro</w:t>
      </w:r>
      <w:proofErr w:type="spellEnd"/>
      <w:r w:rsidRPr="0045764A">
        <w:rPr>
          <w:i/>
          <w:iCs/>
          <w:szCs w:val="22"/>
          <w:lang w:val="sr-Latn-ME"/>
        </w:rPr>
        <w:t xml:space="preserve"> </w:t>
      </w:r>
      <w:r w:rsidRPr="0045764A">
        <w:rPr>
          <w:rFonts w:eastAsia="TimesNewRoman"/>
          <w:szCs w:val="22"/>
          <w:lang w:val="sr-Latn-ME"/>
        </w:rPr>
        <w:t xml:space="preserve">pri koncentracijama &gt; 0,22 </w:t>
      </w:r>
      <w:proofErr w:type="spellStart"/>
      <w:r w:rsidRPr="0045764A">
        <w:rPr>
          <w:rFonts w:eastAsia="TimesNewRoman"/>
          <w:szCs w:val="22"/>
          <w:lang w:val="sr-Latn-ME"/>
        </w:rPr>
        <w:t>mikrograma</w:t>
      </w:r>
      <w:proofErr w:type="spellEnd"/>
      <w:r w:rsidRPr="0045764A">
        <w:rPr>
          <w:rFonts w:eastAsia="TimesNewRoman"/>
          <w:szCs w:val="22"/>
          <w:lang w:val="sr-Latn-ME"/>
        </w:rPr>
        <w:t>/</w:t>
      </w:r>
      <w:proofErr w:type="spellStart"/>
      <w:r w:rsidRPr="0045764A">
        <w:rPr>
          <w:rFonts w:eastAsia="TimesNewRoman"/>
          <w:szCs w:val="22"/>
          <w:lang w:val="sr-Latn-ME"/>
        </w:rPr>
        <w:t>mL</w:t>
      </w:r>
      <w:proofErr w:type="spellEnd"/>
      <w:r w:rsidRPr="0045764A">
        <w:rPr>
          <w:rFonts w:eastAsia="TimesNewRoman"/>
          <w:szCs w:val="22"/>
          <w:lang w:val="sr-Latn-ME"/>
        </w:rPr>
        <w:t>, a</w:t>
      </w:r>
      <w:r w:rsidR="00781E71" w:rsidRPr="0045764A">
        <w:rPr>
          <w:i/>
          <w:iCs/>
          <w:szCs w:val="22"/>
          <w:lang w:val="sr-Latn-ME"/>
        </w:rPr>
        <w:t xml:space="preserve"> </w:t>
      </w:r>
      <w:r w:rsidRPr="0045764A">
        <w:rPr>
          <w:rFonts w:eastAsia="TimesNewRoman"/>
          <w:szCs w:val="22"/>
          <w:lang w:val="sr-Latn-ME"/>
        </w:rPr>
        <w:t>prim</w:t>
      </w:r>
      <w:r w:rsidR="00B65377" w:rsidRPr="0045764A">
        <w:rPr>
          <w:rFonts w:eastAsia="TimesNewRoman"/>
          <w:szCs w:val="22"/>
          <w:lang w:val="sr-Latn-ME"/>
        </w:rPr>
        <w:t>ij</w:t>
      </w:r>
      <w:r w:rsidRPr="0045764A">
        <w:rPr>
          <w:rFonts w:eastAsia="TimesNewRoman"/>
          <w:szCs w:val="22"/>
          <w:lang w:val="sr-Latn-ME"/>
        </w:rPr>
        <w:t xml:space="preserve">ećeno je povišenje broja </w:t>
      </w:r>
      <w:proofErr w:type="spellStart"/>
      <w:r w:rsidRPr="0045764A">
        <w:rPr>
          <w:rFonts w:eastAsia="TimesNewRoman"/>
          <w:szCs w:val="22"/>
          <w:lang w:val="sr-Latn-ME"/>
        </w:rPr>
        <w:t>mikronukleus</w:t>
      </w:r>
      <w:r w:rsidR="0031743A" w:rsidRPr="0045764A">
        <w:rPr>
          <w:rFonts w:eastAsia="TimesNewRoman"/>
          <w:szCs w:val="22"/>
          <w:lang w:val="sr-Latn-ME"/>
        </w:rPr>
        <w:t>nih</w:t>
      </w:r>
      <w:proofErr w:type="spellEnd"/>
      <w:r w:rsidRPr="0045764A">
        <w:rPr>
          <w:rFonts w:eastAsia="TimesNewRoman"/>
          <w:szCs w:val="22"/>
          <w:lang w:val="sr-Latn-ME"/>
        </w:rPr>
        <w:t xml:space="preserve"> </w:t>
      </w:r>
      <w:proofErr w:type="spellStart"/>
      <w:r w:rsidRPr="0045764A">
        <w:rPr>
          <w:rFonts w:eastAsia="TimesNewRoman"/>
          <w:szCs w:val="22"/>
          <w:lang w:val="sr-Latn-ME"/>
        </w:rPr>
        <w:t>polihromatskim</w:t>
      </w:r>
      <w:proofErr w:type="spellEnd"/>
      <w:r w:rsidRPr="0045764A">
        <w:rPr>
          <w:rFonts w:eastAsia="TimesNewRoman"/>
          <w:szCs w:val="22"/>
          <w:lang w:val="sr-Latn-ME"/>
        </w:rPr>
        <w:t xml:space="preserve"> </w:t>
      </w:r>
      <w:proofErr w:type="spellStart"/>
      <w:r w:rsidRPr="0045764A">
        <w:rPr>
          <w:rFonts w:eastAsia="TimesNewRoman"/>
          <w:szCs w:val="22"/>
          <w:lang w:val="sr-Latn-ME"/>
        </w:rPr>
        <w:t>eritrocita</w:t>
      </w:r>
      <w:proofErr w:type="spellEnd"/>
      <w:r w:rsidRPr="0045764A">
        <w:rPr>
          <w:rFonts w:eastAsia="TimesNewRoman"/>
          <w:szCs w:val="22"/>
          <w:lang w:val="sr-Latn-ME"/>
        </w:rPr>
        <w:t xml:space="preserve"> </w:t>
      </w:r>
      <w:r w:rsidRPr="0045764A">
        <w:rPr>
          <w:i/>
          <w:iCs/>
          <w:szCs w:val="22"/>
          <w:lang w:val="sr-Latn-ME"/>
        </w:rPr>
        <w:t xml:space="preserve">in </w:t>
      </w:r>
      <w:proofErr w:type="spellStart"/>
      <w:r w:rsidRPr="0045764A">
        <w:rPr>
          <w:i/>
          <w:iCs/>
          <w:szCs w:val="22"/>
          <w:lang w:val="sr-Latn-ME"/>
        </w:rPr>
        <w:t>vivo</w:t>
      </w:r>
      <w:proofErr w:type="spellEnd"/>
      <w:r w:rsidR="0031743A" w:rsidRPr="0045764A">
        <w:rPr>
          <w:iCs/>
          <w:szCs w:val="22"/>
          <w:lang w:val="sr-Latn-ME"/>
        </w:rPr>
        <w:t>,</w:t>
      </w:r>
      <w:r w:rsidRPr="0045764A">
        <w:rPr>
          <w:i/>
          <w:iCs/>
          <w:szCs w:val="22"/>
          <w:lang w:val="sr-Latn-ME"/>
        </w:rPr>
        <w:t xml:space="preserve"> </w:t>
      </w:r>
      <w:r w:rsidRPr="0045764A">
        <w:rPr>
          <w:rFonts w:eastAsia="TimesNewRoman"/>
          <w:szCs w:val="22"/>
          <w:lang w:val="sr-Latn-ME"/>
        </w:rPr>
        <w:t xml:space="preserve">sa NOEL (engl. </w:t>
      </w:r>
      <w:r w:rsidRPr="0045764A">
        <w:rPr>
          <w:i/>
          <w:iCs/>
          <w:szCs w:val="22"/>
          <w:lang w:val="sr-Latn-ME"/>
        </w:rPr>
        <w:t>No</w:t>
      </w:r>
      <w:r w:rsidR="00781E71" w:rsidRPr="0045764A">
        <w:rPr>
          <w:i/>
          <w:iCs/>
          <w:szCs w:val="22"/>
          <w:lang w:val="sr-Latn-ME"/>
        </w:rPr>
        <w:t xml:space="preserve"> </w:t>
      </w:r>
      <w:proofErr w:type="spellStart"/>
      <w:r w:rsidRPr="0045764A">
        <w:rPr>
          <w:i/>
          <w:iCs/>
          <w:szCs w:val="22"/>
          <w:lang w:val="sr-Latn-ME"/>
        </w:rPr>
        <w:t>Observed</w:t>
      </w:r>
      <w:proofErr w:type="spellEnd"/>
      <w:r w:rsidRPr="0045764A">
        <w:rPr>
          <w:i/>
          <w:iCs/>
          <w:szCs w:val="22"/>
          <w:lang w:val="sr-Latn-ME"/>
        </w:rPr>
        <w:t xml:space="preserve"> </w:t>
      </w:r>
      <w:proofErr w:type="spellStart"/>
      <w:r w:rsidRPr="0045764A">
        <w:rPr>
          <w:i/>
          <w:iCs/>
          <w:szCs w:val="22"/>
          <w:lang w:val="sr-Latn-ME"/>
        </w:rPr>
        <w:t>Effect</w:t>
      </w:r>
      <w:proofErr w:type="spellEnd"/>
      <w:r w:rsidRPr="0045764A">
        <w:rPr>
          <w:i/>
          <w:iCs/>
          <w:szCs w:val="22"/>
          <w:lang w:val="sr-Latn-ME"/>
        </w:rPr>
        <w:t xml:space="preserve"> </w:t>
      </w:r>
      <w:proofErr w:type="spellStart"/>
      <w:r w:rsidRPr="0045764A">
        <w:rPr>
          <w:i/>
          <w:iCs/>
          <w:szCs w:val="22"/>
          <w:lang w:val="sr-Latn-ME"/>
        </w:rPr>
        <w:t>Level</w:t>
      </w:r>
      <w:proofErr w:type="spellEnd"/>
      <w:r w:rsidRPr="0045764A">
        <w:rPr>
          <w:i/>
          <w:iCs/>
          <w:szCs w:val="22"/>
          <w:lang w:val="sr-Latn-ME"/>
        </w:rPr>
        <w:t xml:space="preserve">, </w:t>
      </w:r>
      <w:r w:rsidRPr="0045764A">
        <w:rPr>
          <w:rFonts w:eastAsia="TimesNewRoman"/>
          <w:szCs w:val="22"/>
          <w:lang w:val="sr-Latn-ME"/>
        </w:rPr>
        <w:t xml:space="preserve">NOEL) </w:t>
      </w:r>
      <w:r w:rsidR="008E2492" w:rsidRPr="0045764A">
        <w:rPr>
          <w:rFonts w:eastAsia="TimesNewRoman"/>
          <w:szCs w:val="22"/>
          <w:lang w:val="sr-Latn-ME"/>
        </w:rPr>
        <w:t>vrijednost</w:t>
      </w:r>
      <w:r w:rsidRPr="0045764A">
        <w:rPr>
          <w:rFonts w:eastAsia="TimesNewRoman"/>
          <w:szCs w:val="22"/>
          <w:lang w:val="sr-Latn-ME"/>
        </w:rPr>
        <w:t xml:space="preserve">ima 69 puta većim od očekivane izloženosti kod </w:t>
      </w:r>
      <w:proofErr w:type="spellStart"/>
      <w:r w:rsidRPr="0045764A">
        <w:rPr>
          <w:rFonts w:eastAsia="TimesNewRoman"/>
          <w:szCs w:val="22"/>
          <w:lang w:val="sr-Latn-ME"/>
        </w:rPr>
        <w:t>ljudi</w:t>
      </w:r>
      <w:proofErr w:type="spellEnd"/>
      <w:r w:rsidRPr="0045764A">
        <w:rPr>
          <w:rFonts w:eastAsia="TimesNewRoman"/>
          <w:szCs w:val="22"/>
          <w:lang w:val="sr-Latn-ME"/>
        </w:rPr>
        <w:t>. Nalazi</w:t>
      </w:r>
      <w:r w:rsidR="00781E71" w:rsidRPr="0045764A">
        <w:rPr>
          <w:i/>
          <w:iCs/>
          <w:szCs w:val="22"/>
          <w:lang w:val="sr-Latn-ME"/>
        </w:rPr>
        <w:t xml:space="preserve"> </w:t>
      </w:r>
      <w:proofErr w:type="spellStart"/>
      <w:r w:rsidRPr="0045764A">
        <w:rPr>
          <w:rFonts w:eastAsia="TimesNewRoman"/>
          <w:szCs w:val="22"/>
          <w:lang w:val="sr-Latn-ME"/>
        </w:rPr>
        <w:t>genotoksičnosti</w:t>
      </w:r>
      <w:proofErr w:type="spellEnd"/>
      <w:r w:rsidRPr="0045764A">
        <w:rPr>
          <w:rFonts w:eastAsia="TimesNewRoman"/>
          <w:szCs w:val="22"/>
          <w:lang w:val="sr-Latn-ME"/>
        </w:rPr>
        <w:t xml:space="preserve"> se ne smatraju klinički relevantnim pri izloženosti koja se postiže kod </w:t>
      </w:r>
      <w:proofErr w:type="spellStart"/>
      <w:r w:rsidRPr="0045764A">
        <w:rPr>
          <w:rFonts w:eastAsia="TimesNewRoman"/>
          <w:szCs w:val="22"/>
          <w:lang w:val="sr-Latn-ME"/>
        </w:rPr>
        <w:t>ljudi</w:t>
      </w:r>
      <w:proofErr w:type="spellEnd"/>
      <w:r w:rsidRPr="0045764A">
        <w:rPr>
          <w:rFonts w:eastAsia="TimesNewRoman"/>
          <w:szCs w:val="22"/>
          <w:lang w:val="sr-Latn-ME"/>
        </w:rPr>
        <w:t>.</w:t>
      </w:r>
    </w:p>
    <w:p w14:paraId="6D73B3EB" w14:textId="77777777" w:rsidR="00594CE9" w:rsidRPr="0045764A" w:rsidRDefault="00594CE9" w:rsidP="00C65330">
      <w:pPr>
        <w:tabs>
          <w:tab w:val="clear" w:pos="284"/>
        </w:tabs>
        <w:autoSpaceDE w:val="0"/>
        <w:autoSpaceDN w:val="0"/>
        <w:adjustRightInd w:val="0"/>
        <w:rPr>
          <w:rFonts w:eastAsia="TimesNewRoman"/>
          <w:szCs w:val="22"/>
          <w:lang w:val="sr-Latn-ME"/>
        </w:rPr>
      </w:pPr>
    </w:p>
    <w:p w14:paraId="29E3B77B" w14:textId="77777777" w:rsidR="001917CE" w:rsidRPr="0045764A" w:rsidRDefault="001917CE" w:rsidP="00C65330">
      <w:pPr>
        <w:tabs>
          <w:tab w:val="clear" w:pos="284"/>
        </w:tabs>
        <w:autoSpaceDE w:val="0"/>
        <w:autoSpaceDN w:val="0"/>
        <w:adjustRightInd w:val="0"/>
        <w:rPr>
          <w:i/>
          <w:iCs/>
          <w:szCs w:val="22"/>
          <w:lang w:val="sr-Latn-ME"/>
        </w:rPr>
      </w:pPr>
      <w:r w:rsidRPr="0045764A">
        <w:rPr>
          <w:i/>
          <w:iCs/>
          <w:szCs w:val="22"/>
          <w:lang w:val="sr-Latn-ME"/>
        </w:rPr>
        <w:t>Reproduktivna toksičnost</w:t>
      </w:r>
    </w:p>
    <w:p w14:paraId="62EC5B3D" w14:textId="1E96D96C" w:rsidR="00C6004A" w:rsidRPr="0045764A" w:rsidRDefault="001917CE"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Nalazi na testisima i </w:t>
      </w:r>
      <w:proofErr w:type="spellStart"/>
      <w:r w:rsidRPr="0045764A">
        <w:rPr>
          <w:rFonts w:eastAsia="TimesNewRoman"/>
          <w:szCs w:val="22"/>
          <w:lang w:val="sr-Latn-ME"/>
        </w:rPr>
        <w:t>epididim</w:t>
      </w:r>
      <w:r w:rsidR="0031743A" w:rsidRPr="0045764A">
        <w:rPr>
          <w:rFonts w:eastAsia="TimesNewRoman"/>
          <w:szCs w:val="22"/>
          <w:lang w:val="sr-Latn-ME"/>
        </w:rPr>
        <w:t>i</w:t>
      </w:r>
      <w:r w:rsidRPr="0045764A">
        <w:rPr>
          <w:rFonts w:eastAsia="TimesNewRoman"/>
          <w:szCs w:val="22"/>
          <w:lang w:val="sr-Latn-ME"/>
        </w:rPr>
        <w:t>su</w:t>
      </w:r>
      <w:proofErr w:type="spellEnd"/>
      <w:r w:rsidRPr="0045764A">
        <w:rPr>
          <w:rFonts w:eastAsia="TimesNewRoman"/>
          <w:szCs w:val="22"/>
          <w:lang w:val="sr-Latn-ME"/>
        </w:rPr>
        <w:t xml:space="preserve">, </w:t>
      </w:r>
      <w:r w:rsidR="0031743A" w:rsidRPr="0045764A">
        <w:rPr>
          <w:rFonts w:eastAsia="TimesNewRoman"/>
          <w:szCs w:val="22"/>
          <w:lang w:val="sr-Latn-ME"/>
        </w:rPr>
        <w:t>po</w:t>
      </w:r>
      <w:r w:rsidRPr="0045764A">
        <w:rPr>
          <w:rFonts w:eastAsia="TimesNewRoman"/>
          <w:szCs w:val="22"/>
          <w:lang w:val="sr-Latn-ME"/>
        </w:rPr>
        <w:t xml:space="preserve">vezani </w:t>
      </w:r>
      <w:r w:rsidR="0031743A" w:rsidRPr="0045764A">
        <w:rPr>
          <w:rFonts w:eastAsia="TimesNewRoman"/>
          <w:szCs w:val="22"/>
          <w:lang w:val="sr-Latn-ME"/>
        </w:rPr>
        <w:t>s</w:t>
      </w:r>
      <w:r w:rsidRPr="0045764A">
        <w:rPr>
          <w:rFonts w:eastAsia="TimesNewRoman"/>
          <w:szCs w:val="22"/>
          <w:lang w:val="sr-Latn-ME"/>
        </w:rPr>
        <w:t xml:space="preserve">a </w:t>
      </w:r>
      <w:proofErr w:type="spellStart"/>
      <w:r w:rsidRPr="0045764A">
        <w:rPr>
          <w:rFonts w:eastAsia="TimesNewRoman"/>
          <w:szCs w:val="22"/>
          <w:lang w:val="sr-Latn-ME"/>
        </w:rPr>
        <w:t>aksitinib</w:t>
      </w:r>
      <w:r w:rsidR="0031743A" w:rsidRPr="0045764A">
        <w:rPr>
          <w:rFonts w:eastAsia="TimesNewRoman"/>
          <w:szCs w:val="22"/>
          <w:lang w:val="sr-Latn-ME"/>
        </w:rPr>
        <w:t>om</w:t>
      </w:r>
      <w:proofErr w:type="spellEnd"/>
      <w:r w:rsidRPr="0045764A">
        <w:rPr>
          <w:rFonts w:eastAsia="TimesNewRoman"/>
          <w:szCs w:val="22"/>
          <w:lang w:val="sr-Latn-ME"/>
        </w:rPr>
        <w:t xml:space="preserve">, obuhvatali su smanjenu </w:t>
      </w:r>
      <w:r w:rsidR="0031743A" w:rsidRPr="0045764A">
        <w:rPr>
          <w:rFonts w:eastAsia="TimesNewRoman"/>
          <w:szCs w:val="22"/>
          <w:lang w:val="sr-Latn-ME"/>
        </w:rPr>
        <w:t xml:space="preserve">masu </w:t>
      </w:r>
      <w:r w:rsidRPr="0045764A">
        <w:rPr>
          <w:rFonts w:eastAsia="TimesNewRoman"/>
          <w:szCs w:val="22"/>
          <w:lang w:val="sr-Latn-ME"/>
        </w:rPr>
        <w:t>organa, atrofiju ili</w:t>
      </w:r>
      <w:r w:rsidR="00781E71" w:rsidRPr="0045764A">
        <w:rPr>
          <w:rFonts w:eastAsia="TimesNewRoman"/>
          <w:szCs w:val="22"/>
          <w:lang w:val="sr-Latn-ME"/>
        </w:rPr>
        <w:t xml:space="preserve"> </w:t>
      </w:r>
      <w:r w:rsidRPr="0045764A">
        <w:rPr>
          <w:rFonts w:eastAsia="TimesNewRoman"/>
          <w:szCs w:val="22"/>
          <w:lang w:val="sr-Latn-ME"/>
        </w:rPr>
        <w:t xml:space="preserve">degeneraciju, smanjen broj </w:t>
      </w:r>
      <w:proofErr w:type="spellStart"/>
      <w:r w:rsidRPr="0045764A">
        <w:rPr>
          <w:rFonts w:eastAsia="TimesNewRoman"/>
          <w:szCs w:val="22"/>
          <w:lang w:val="sr-Latn-ME"/>
        </w:rPr>
        <w:t>germinalnih</w:t>
      </w:r>
      <w:proofErr w:type="spellEnd"/>
      <w:r w:rsidRPr="0045764A">
        <w:rPr>
          <w:rFonts w:eastAsia="TimesNewRoman"/>
          <w:szCs w:val="22"/>
          <w:lang w:val="sr-Latn-ME"/>
        </w:rPr>
        <w:t xml:space="preserve"> ćelija, </w:t>
      </w:r>
      <w:proofErr w:type="spellStart"/>
      <w:r w:rsidRPr="0045764A">
        <w:rPr>
          <w:rFonts w:eastAsia="TimesNewRoman"/>
          <w:szCs w:val="22"/>
          <w:lang w:val="sr-Latn-ME"/>
        </w:rPr>
        <w:t>hipospermiju</w:t>
      </w:r>
      <w:proofErr w:type="spellEnd"/>
      <w:r w:rsidRPr="0045764A">
        <w:rPr>
          <w:rFonts w:eastAsia="TimesNewRoman"/>
          <w:szCs w:val="22"/>
          <w:lang w:val="sr-Latn-ME"/>
        </w:rPr>
        <w:t xml:space="preserve"> ili nepravilan oblik spermatozoida, </w:t>
      </w:r>
      <w:r w:rsidR="0031743A" w:rsidRPr="0045764A">
        <w:rPr>
          <w:rFonts w:eastAsia="TimesNewRoman"/>
          <w:szCs w:val="22"/>
          <w:lang w:val="sr-Latn-ME"/>
        </w:rPr>
        <w:t xml:space="preserve">kao i </w:t>
      </w:r>
      <w:r w:rsidRPr="0045764A">
        <w:rPr>
          <w:rFonts w:eastAsia="TimesNewRoman"/>
          <w:szCs w:val="22"/>
          <w:lang w:val="sr-Latn-ME"/>
        </w:rPr>
        <w:t>smanjenu</w:t>
      </w:r>
      <w:r w:rsidR="00781E71" w:rsidRPr="0045764A">
        <w:rPr>
          <w:rFonts w:eastAsia="TimesNewRoman"/>
          <w:szCs w:val="22"/>
          <w:lang w:val="sr-Latn-ME"/>
        </w:rPr>
        <w:t xml:space="preserve"> </w:t>
      </w:r>
      <w:r w:rsidRPr="0045764A">
        <w:rPr>
          <w:rFonts w:eastAsia="TimesNewRoman"/>
          <w:szCs w:val="22"/>
          <w:lang w:val="sr-Latn-ME"/>
        </w:rPr>
        <w:t>gustinu sperme i broj spermatozoida. Ovi nalazi su uočeni kod miševa pri nivoima izloženosti oko 12</w:t>
      </w:r>
      <w:r w:rsidR="00781E71" w:rsidRPr="0045764A">
        <w:rPr>
          <w:rFonts w:eastAsia="TimesNewRoman"/>
          <w:szCs w:val="22"/>
          <w:lang w:val="sr-Latn-ME"/>
        </w:rPr>
        <w:t xml:space="preserve"> </w:t>
      </w:r>
      <w:r w:rsidR="00C6004A" w:rsidRPr="0045764A">
        <w:rPr>
          <w:rFonts w:eastAsia="TimesNewRoman"/>
          <w:szCs w:val="22"/>
          <w:lang w:val="sr-Latn-ME"/>
        </w:rPr>
        <w:t xml:space="preserve">puta većim od očekivane izloženosti kod </w:t>
      </w:r>
      <w:proofErr w:type="spellStart"/>
      <w:r w:rsidR="00C6004A" w:rsidRPr="0045764A">
        <w:rPr>
          <w:rFonts w:eastAsia="TimesNewRoman"/>
          <w:szCs w:val="22"/>
          <w:lang w:val="sr-Latn-ME"/>
        </w:rPr>
        <w:t>ljudi</w:t>
      </w:r>
      <w:proofErr w:type="spellEnd"/>
      <w:r w:rsidR="00B75BEB" w:rsidRPr="0045764A">
        <w:rPr>
          <w:rFonts w:eastAsia="TimesNewRoman"/>
          <w:szCs w:val="22"/>
          <w:lang w:val="sr-Latn-ME"/>
        </w:rPr>
        <w:t>, kao</w:t>
      </w:r>
      <w:r w:rsidR="00C6004A" w:rsidRPr="0045764A">
        <w:rPr>
          <w:rFonts w:eastAsia="TimesNewRoman"/>
          <w:szCs w:val="22"/>
          <w:lang w:val="sr-Latn-ME"/>
        </w:rPr>
        <w:t xml:space="preserve"> i kod pasa pri nivoima izloženosti nižim od očekivane</w:t>
      </w:r>
      <w:r w:rsidR="00781E71" w:rsidRPr="0045764A">
        <w:rPr>
          <w:rFonts w:eastAsia="TimesNewRoman"/>
          <w:szCs w:val="22"/>
          <w:lang w:val="sr-Latn-ME"/>
        </w:rPr>
        <w:t xml:space="preserve"> </w:t>
      </w:r>
      <w:r w:rsidR="00C6004A" w:rsidRPr="0045764A">
        <w:rPr>
          <w:rFonts w:eastAsia="TimesNewRoman"/>
          <w:szCs w:val="22"/>
          <w:lang w:val="sr-Latn-ME"/>
        </w:rPr>
        <w:t xml:space="preserve">izloženosti kod </w:t>
      </w:r>
      <w:proofErr w:type="spellStart"/>
      <w:r w:rsidR="00C6004A" w:rsidRPr="0045764A">
        <w:rPr>
          <w:rFonts w:eastAsia="TimesNewRoman"/>
          <w:szCs w:val="22"/>
          <w:lang w:val="sr-Latn-ME"/>
        </w:rPr>
        <w:t>ljudi</w:t>
      </w:r>
      <w:proofErr w:type="spellEnd"/>
      <w:r w:rsidR="00C6004A" w:rsidRPr="0045764A">
        <w:rPr>
          <w:rFonts w:eastAsia="TimesNewRoman"/>
          <w:szCs w:val="22"/>
          <w:lang w:val="sr-Latn-ME"/>
        </w:rPr>
        <w:t>. Nije bilo dejstva na parenje ili plodnost kod mužjaka miševa pri nivoima izloženosti</w:t>
      </w:r>
      <w:r w:rsidR="00781E71" w:rsidRPr="0045764A">
        <w:rPr>
          <w:rFonts w:eastAsia="TimesNewRoman"/>
          <w:szCs w:val="22"/>
          <w:lang w:val="sr-Latn-ME"/>
        </w:rPr>
        <w:t xml:space="preserve"> </w:t>
      </w:r>
      <w:r w:rsidR="00C6004A" w:rsidRPr="0045764A">
        <w:rPr>
          <w:rFonts w:eastAsia="TimesNewRoman"/>
          <w:szCs w:val="22"/>
          <w:lang w:val="sr-Latn-ME"/>
        </w:rPr>
        <w:t xml:space="preserve">oko 57 puta većim od očekivane izloženosti kod </w:t>
      </w:r>
      <w:proofErr w:type="spellStart"/>
      <w:r w:rsidR="00C6004A" w:rsidRPr="0045764A">
        <w:rPr>
          <w:rFonts w:eastAsia="TimesNewRoman"/>
          <w:szCs w:val="22"/>
          <w:lang w:val="sr-Latn-ME"/>
        </w:rPr>
        <w:t>ljudi</w:t>
      </w:r>
      <w:proofErr w:type="spellEnd"/>
      <w:r w:rsidR="00C6004A" w:rsidRPr="0045764A">
        <w:rPr>
          <w:rFonts w:eastAsia="TimesNewRoman"/>
          <w:szCs w:val="22"/>
          <w:lang w:val="sr-Latn-ME"/>
        </w:rPr>
        <w:t>. Nalazi kod ženki obuhvatali su znake odložene</w:t>
      </w:r>
      <w:r w:rsidR="00781E71" w:rsidRPr="0045764A">
        <w:rPr>
          <w:rFonts w:eastAsia="TimesNewRoman"/>
          <w:szCs w:val="22"/>
          <w:lang w:val="sr-Latn-ME"/>
        </w:rPr>
        <w:t xml:space="preserve"> </w:t>
      </w:r>
      <w:r w:rsidR="00C6004A" w:rsidRPr="0045764A">
        <w:rPr>
          <w:rFonts w:eastAsia="TimesNewRoman"/>
          <w:szCs w:val="22"/>
          <w:lang w:val="sr-Latn-ME"/>
        </w:rPr>
        <w:t>seksualne zrelosti, smanjen</w:t>
      </w:r>
      <w:r w:rsidR="00B75BEB" w:rsidRPr="0045764A">
        <w:rPr>
          <w:rFonts w:eastAsia="TimesNewRoman"/>
          <w:szCs w:val="22"/>
          <w:lang w:val="sr-Latn-ME"/>
        </w:rPr>
        <w:t>je</w:t>
      </w:r>
      <w:r w:rsidR="00C6004A" w:rsidRPr="0045764A">
        <w:rPr>
          <w:rFonts w:eastAsia="TimesNewRoman"/>
          <w:szCs w:val="22"/>
          <w:lang w:val="sr-Latn-ME"/>
        </w:rPr>
        <w:t xml:space="preserve"> ili </w:t>
      </w:r>
      <w:r w:rsidR="00B75BEB" w:rsidRPr="0045764A">
        <w:rPr>
          <w:rFonts w:eastAsia="TimesNewRoman"/>
          <w:szCs w:val="22"/>
          <w:lang w:val="sr-Latn-ME"/>
        </w:rPr>
        <w:t>nedostatak</w:t>
      </w:r>
      <w:r w:rsidR="00C6004A" w:rsidRPr="0045764A">
        <w:rPr>
          <w:rFonts w:eastAsia="TimesNewRoman"/>
          <w:szCs w:val="22"/>
          <w:lang w:val="sr-Latn-ME"/>
        </w:rPr>
        <w:t xml:space="preserve"> žuto</w:t>
      </w:r>
      <w:r w:rsidR="00B75BEB" w:rsidRPr="0045764A">
        <w:rPr>
          <w:rFonts w:eastAsia="TimesNewRoman"/>
          <w:szCs w:val="22"/>
          <w:lang w:val="sr-Latn-ME"/>
        </w:rPr>
        <w:t>g</w:t>
      </w:r>
      <w:r w:rsidR="00C6004A" w:rsidRPr="0045764A">
        <w:rPr>
          <w:rFonts w:eastAsia="TimesNewRoman"/>
          <w:szCs w:val="22"/>
          <w:lang w:val="sr-Latn-ME"/>
        </w:rPr>
        <w:t xml:space="preserve"> t</w:t>
      </w:r>
      <w:r w:rsidR="00B65377" w:rsidRPr="0045764A">
        <w:rPr>
          <w:rFonts w:eastAsia="TimesNewRoman"/>
          <w:szCs w:val="22"/>
          <w:lang w:val="sr-Latn-ME"/>
        </w:rPr>
        <w:t>ij</w:t>
      </w:r>
      <w:r w:rsidR="00C6004A" w:rsidRPr="0045764A">
        <w:rPr>
          <w:rFonts w:eastAsia="TimesNewRoman"/>
          <w:szCs w:val="22"/>
          <w:lang w:val="sr-Latn-ME"/>
        </w:rPr>
        <w:t>el</w:t>
      </w:r>
      <w:r w:rsidR="00B75BEB" w:rsidRPr="0045764A">
        <w:rPr>
          <w:rFonts w:eastAsia="TimesNewRoman"/>
          <w:szCs w:val="22"/>
          <w:lang w:val="sr-Latn-ME"/>
        </w:rPr>
        <w:t>a</w:t>
      </w:r>
      <w:r w:rsidR="00C6004A" w:rsidRPr="0045764A">
        <w:rPr>
          <w:rFonts w:eastAsia="TimesNewRoman"/>
          <w:szCs w:val="22"/>
          <w:lang w:val="sr-Latn-ME"/>
        </w:rPr>
        <w:t xml:space="preserve"> (</w:t>
      </w:r>
      <w:proofErr w:type="spellStart"/>
      <w:r w:rsidR="00C6004A" w:rsidRPr="0045764A">
        <w:rPr>
          <w:rFonts w:eastAsia="TimesNewRoman"/>
          <w:i/>
          <w:iCs/>
          <w:szCs w:val="22"/>
          <w:lang w:val="sr-Latn-ME"/>
        </w:rPr>
        <w:t>corpora</w:t>
      </w:r>
      <w:proofErr w:type="spellEnd"/>
      <w:r w:rsidR="00C6004A" w:rsidRPr="0045764A">
        <w:rPr>
          <w:rFonts w:eastAsia="TimesNewRoman"/>
          <w:i/>
          <w:iCs/>
          <w:szCs w:val="22"/>
          <w:lang w:val="sr-Latn-ME"/>
        </w:rPr>
        <w:t xml:space="preserve"> </w:t>
      </w:r>
      <w:proofErr w:type="spellStart"/>
      <w:r w:rsidR="00C6004A" w:rsidRPr="0045764A">
        <w:rPr>
          <w:rFonts w:eastAsia="TimesNewRoman"/>
          <w:i/>
          <w:iCs/>
          <w:szCs w:val="22"/>
          <w:lang w:val="sr-Latn-ME"/>
        </w:rPr>
        <w:t>lutea</w:t>
      </w:r>
      <w:proofErr w:type="spellEnd"/>
      <w:r w:rsidR="00C6004A" w:rsidRPr="0045764A">
        <w:rPr>
          <w:rFonts w:eastAsia="TimesNewRoman"/>
          <w:szCs w:val="22"/>
          <w:lang w:val="sr-Latn-ME"/>
        </w:rPr>
        <w:t xml:space="preserve">), smanjenu </w:t>
      </w:r>
      <w:r w:rsidR="00B75BEB" w:rsidRPr="0045764A">
        <w:rPr>
          <w:rFonts w:eastAsia="TimesNewRoman"/>
          <w:szCs w:val="22"/>
          <w:lang w:val="sr-Latn-ME"/>
        </w:rPr>
        <w:t xml:space="preserve">masu </w:t>
      </w:r>
      <w:r w:rsidR="00C6004A" w:rsidRPr="0045764A">
        <w:rPr>
          <w:rFonts w:eastAsia="TimesNewRoman"/>
          <w:szCs w:val="22"/>
          <w:lang w:val="sr-Latn-ME"/>
        </w:rPr>
        <w:t>materice i atrofiju</w:t>
      </w:r>
      <w:r w:rsidR="00781E71" w:rsidRPr="0045764A">
        <w:rPr>
          <w:rFonts w:eastAsia="TimesNewRoman"/>
          <w:szCs w:val="22"/>
          <w:lang w:val="sr-Latn-ME"/>
        </w:rPr>
        <w:t xml:space="preserve"> </w:t>
      </w:r>
      <w:r w:rsidR="00C6004A" w:rsidRPr="0045764A">
        <w:rPr>
          <w:rFonts w:eastAsia="TimesNewRoman"/>
          <w:szCs w:val="22"/>
          <w:lang w:val="sr-Latn-ME"/>
        </w:rPr>
        <w:t>materice pri izloženosti</w:t>
      </w:r>
      <w:r w:rsidR="00B75BEB" w:rsidRPr="0045764A">
        <w:rPr>
          <w:rFonts w:eastAsia="TimesNewRoman"/>
          <w:szCs w:val="22"/>
          <w:lang w:val="sr-Latn-ME"/>
        </w:rPr>
        <w:t>ma</w:t>
      </w:r>
      <w:r w:rsidR="00C6004A" w:rsidRPr="0045764A">
        <w:rPr>
          <w:rFonts w:eastAsia="TimesNewRoman"/>
          <w:szCs w:val="22"/>
          <w:lang w:val="sr-Latn-ME"/>
        </w:rPr>
        <w:t xml:space="preserve"> približno ekvivalentn</w:t>
      </w:r>
      <w:r w:rsidR="00B75BEB" w:rsidRPr="0045764A">
        <w:rPr>
          <w:rFonts w:eastAsia="TimesNewRoman"/>
          <w:szCs w:val="22"/>
          <w:lang w:val="sr-Latn-ME"/>
        </w:rPr>
        <w:t>im</w:t>
      </w:r>
      <w:r w:rsidR="00C6004A" w:rsidRPr="0045764A">
        <w:rPr>
          <w:rFonts w:eastAsia="TimesNewRoman"/>
          <w:szCs w:val="22"/>
          <w:lang w:val="sr-Latn-ME"/>
        </w:rPr>
        <w:t xml:space="preserve"> očekivanoj izloženosti kod </w:t>
      </w:r>
      <w:proofErr w:type="spellStart"/>
      <w:r w:rsidR="00C6004A" w:rsidRPr="0045764A">
        <w:rPr>
          <w:rFonts w:eastAsia="TimesNewRoman"/>
          <w:szCs w:val="22"/>
          <w:lang w:val="sr-Latn-ME"/>
        </w:rPr>
        <w:t>ljudi</w:t>
      </w:r>
      <w:proofErr w:type="spellEnd"/>
      <w:r w:rsidR="00C6004A" w:rsidRPr="0045764A">
        <w:rPr>
          <w:rFonts w:eastAsia="TimesNewRoman"/>
          <w:szCs w:val="22"/>
          <w:lang w:val="sr-Latn-ME"/>
        </w:rPr>
        <w:t xml:space="preserve">. Smanjena plodnost </w:t>
      </w:r>
      <w:r w:rsidR="008C7525" w:rsidRPr="0045764A">
        <w:rPr>
          <w:rFonts w:eastAsia="TimesNewRoman"/>
          <w:szCs w:val="22"/>
          <w:lang w:val="sr-Latn-ME"/>
        </w:rPr>
        <w:t>i</w:t>
      </w:r>
      <w:r w:rsidR="00781E71" w:rsidRPr="0045764A">
        <w:rPr>
          <w:rFonts w:eastAsia="TimesNewRoman"/>
          <w:szCs w:val="22"/>
          <w:lang w:val="sr-Latn-ME"/>
        </w:rPr>
        <w:t xml:space="preserve"> </w:t>
      </w:r>
      <w:r w:rsidR="00C6004A" w:rsidRPr="0045764A">
        <w:rPr>
          <w:rFonts w:eastAsia="TimesNewRoman"/>
          <w:szCs w:val="22"/>
          <w:lang w:val="sr-Latn-ME"/>
        </w:rPr>
        <w:t>održivost embriona su prim</w:t>
      </w:r>
      <w:r w:rsidR="00B65377" w:rsidRPr="0045764A">
        <w:rPr>
          <w:rFonts w:eastAsia="TimesNewRoman"/>
          <w:szCs w:val="22"/>
          <w:lang w:val="sr-Latn-ME"/>
        </w:rPr>
        <w:t>ij</w:t>
      </w:r>
      <w:r w:rsidR="00C6004A" w:rsidRPr="0045764A">
        <w:rPr>
          <w:rFonts w:eastAsia="TimesNewRoman"/>
          <w:szCs w:val="22"/>
          <w:lang w:val="sr-Latn-ME"/>
        </w:rPr>
        <w:t>ećeni kod ženki miševa pri svim ispitivanim dozama, sa nivoima izloženosti pri</w:t>
      </w:r>
      <w:r w:rsidR="008C7525" w:rsidRPr="0045764A">
        <w:rPr>
          <w:rFonts w:eastAsia="TimesNewRoman"/>
          <w:szCs w:val="22"/>
          <w:lang w:val="sr-Latn-ME"/>
        </w:rPr>
        <w:t xml:space="preserve"> </w:t>
      </w:r>
      <w:r w:rsidR="00C6004A" w:rsidRPr="0045764A">
        <w:rPr>
          <w:rFonts w:eastAsia="TimesNewRoman"/>
          <w:szCs w:val="22"/>
          <w:lang w:val="sr-Latn-ME"/>
        </w:rPr>
        <w:t xml:space="preserve">najnižoj dozi oko 10 puta većim od očekivane izloženosti kod </w:t>
      </w:r>
      <w:proofErr w:type="spellStart"/>
      <w:r w:rsidR="00C6004A" w:rsidRPr="0045764A">
        <w:rPr>
          <w:rFonts w:eastAsia="TimesNewRoman"/>
          <w:szCs w:val="22"/>
          <w:lang w:val="sr-Latn-ME"/>
        </w:rPr>
        <w:t>ljudi</w:t>
      </w:r>
      <w:proofErr w:type="spellEnd"/>
      <w:r w:rsidR="00C6004A" w:rsidRPr="0045764A">
        <w:rPr>
          <w:rFonts w:eastAsia="TimesNewRoman"/>
          <w:szCs w:val="22"/>
          <w:lang w:val="sr-Latn-ME"/>
        </w:rPr>
        <w:t>.</w:t>
      </w:r>
    </w:p>
    <w:p w14:paraId="190EB7E7" w14:textId="77777777" w:rsidR="00D01134" w:rsidRPr="0045764A" w:rsidRDefault="00D01134" w:rsidP="00C65330">
      <w:pPr>
        <w:tabs>
          <w:tab w:val="clear" w:pos="284"/>
        </w:tabs>
        <w:autoSpaceDE w:val="0"/>
        <w:autoSpaceDN w:val="0"/>
        <w:adjustRightInd w:val="0"/>
        <w:rPr>
          <w:rFonts w:eastAsia="TimesNewRoman"/>
          <w:szCs w:val="22"/>
          <w:lang w:val="sr-Latn-ME"/>
        </w:rPr>
      </w:pPr>
    </w:p>
    <w:p w14:paraId="25EBF3D7" w14:textId="008709E8" w:rsidR="00C6004A" w:rsidRPr="0045764A" w:rsidRDefault="00C6004A" w:rsidP="00C65330">
      <w:pPr>
        <w:tabs>
          <w:tab w:val="clear" w:pos="284"/>
        </w:tabs>
        <w:autoSpaceDE w:val="0"/>
        <w:autoSpaceDN w:val="0"/>
        <w:adjustRightInd w:val="0"/>
        <w:rPr>
          <w:rFonts w:eastAsia="TimesNewRoman"/>
          <w:szCs w:val="22"/>
          <w:lang w:val="sr-Latn-ME"/>
        </w:rPr>
      </w:pPr>
      <w:r w:rsidRPr="0045764A">
        <w:rPr>
          <w:rFonts w:eastAsia="TimesNewRoman"/>
          <w:szCs w:val="22"/>
          <w:lang w:val="sr-Latn-ME"/>
        </w:rPr>
        <w:t xml:space="preserve">Povećana pojava </w:t>
      </w:r>
      <w:proofErr w:type="spellStart"/>
      <w:r w:rsidRPr="0045764A">
        <w:rPr>
          <w:rFonts w:eastAsia="TimesNewRoman"/>
          <w:szCs w:val="22"/>
          <w:lang w:val="sr-Latn-ME"/>
        </w:rPr>
        <w:t>malformacija</w:t>
      </w:r>
      <w:proofErr w:type="spellEnd"/>
      <w:r w:rsidRPr="0045764A">
        <w:rPr>
          <w:rFonts w:eastAsia="TimesNewRoman"/>
          <w:szCs w:val="22"/>
          <w:lang w:val="sr-Latn-ME"/>
        </w:rPr>
        <w:t xml:space="preserve"> tipa rasc</w:t>
      </w:r>
      <w:r w:rsidR="00B65377" w:rsidRPr="0045764A">
        <w:rPr>
          <w:rFonts w:eastAsia="TimesNewRoman"/>
          <w:szCs w:val="22"/>
          <w:lang w:val="sr-Latn-ME"/>
        </w:rPr>
        <w:t>j</w:t>
      </w:r>
      <w:r w:rsidRPr="0045764A">
        <w:rPr>
          <w:rFonts w:eastAsia="TimesNewRoman"/>
          <w:szCs w:val="22"/>
          <w:lang w:val="sr-Latn-ME"/>
        </w:rPr>
        <w:t>epa nepca i skeletnih varijacija, uključujući odloženo okoštavanje,</w:t>
      </w:r>
      <w:r w:rsidR="008C7525" w:rsidRPr="0045764A">
        <w:rPr>
          <w:rFonts w:eastAsia="TimesNewRoman"/>
          <w:szCs w:val="22"/>
          <w:lang w:val="sr-Latn-ME"/>
        </w:rPr>
        <w:t xml:space="preserve"> </w:t>
      </w:r>
      <w:r w:rsidRPr="0045764A">
        <w:rPr>
          <w:rFonts w:eastAsia="TimesNewRoman"/>
          <w:szCs w:val="22"/>
          <w:lang w:val="sr-Latn-ME"/>
        </w:rPr>
        <w:t xml:space="preserve">uočena je kod skotnih ženki miševa izloženih </w:t>
      </w:r>
      <w:proofErr w:type="spellStart"/>
      <w:r w:rsidRPr="0045764A">
        <w:rPr>
          <w:rFonts w:eastAsia="TimesNewRoman"/>
          <w:szCs w:val="22"/>
          <w:lang w:val="sr-Latn-ME"/>
        </w:rPr>
        <w:t>aksitinibu</w:t>
      </w:r>
      <w:proofErr w:type="spellEnd"/>
      <w:r w:rsidR="00677ACE" w:rsidRPr="0045764A">
        <w:rPr>
          <w:rFonts w:eastAsia="TimesNewRoman"/>
          <w:szCs w:val="22"/>
          <w:lang w:val="sr-Latn-ME"/>
        </w:rPr>
        <w:t>,</w:t>
      </w:r>
      <w:r w:rsidRPr="0045764A">
        <w:rPr>
          <w:rFonts w:eastAsia="TimesNewRoman"/>
          <w:szCs w:val="22"/>
          <w:lang w:val="sr-Latn-ME"/>
        </w:rPr>
        <w:t xml:space="preserve"> pri nivoima izloženosti ispod očekivane izloženosti</w:t>
      </w:r>
      <w:r w:rsidR="008C7525" w:rsidRPr="0045764A">
        <w:rPr>
          <w:rFonts w:eastAsia="TimesNewRoman"/>
          <w:szCs w:val="22"/>
          <w:lang w:val="sr-Latn-ME"/>
        </w:rPr>
        <w:t xml:space="preserve"> </w:t>
      </w:r>
      <w:r w:rsidRPr="0045764A">
        <w:rPr>
          <w:rFonts w:eastAsia="TimesNewRoman"/>
          <w:szCs w:val="22"/>
          <w:lang w:val="sr-Latn-ME"/>
        </w:rPr>
        <w:t xml:space="preserve">kod </w:t>
      </w:r>
      <w:proofErr w:type="spellStart"/>
      <w:r w:rsidRPr="0045764A">
        <w:rPr>
          <w:rFonts w:eastAsia="TimesNewRoman"/>
          <w:szCs w:val="22"/>
          <w:lang w:val="sr-Latn-ME"/>
        </w:rPr>
        <w:t>ljudi</w:t>
      </w:r>
      <w:proofErr w:type="spellEnd"/>
      <w:r w:rsidRPr="0045764A">
        <w:rPr>
          <w:rFonts w:eastAsia="TimesNewRoman"/>
          <w:szCs w:val="22"/>
          <w:lang w:val="sr-Latn-ME"/>
        </w:rPr>
        <w:t xml:space="preserve">. Ispitivanja toksičnosti za </w:t>
      </w:r>
      <w:proofErr w:type="spellStart"/>
      <w:r w:rsidRPr="0045764A">
        <w:rPr>
          <w:rFonts w:eastAsia="TimesNewRoman"/>
          <w:szCs w:val="22"/>
          <w:lang w:val="sr-Latn-ME"/>
        </w:rPr>
        <w:t>perinatalni</w:t>
      </w:r>
      <w:proofErr w:type="spellEnd"/>
      <w:r w:rsidRPr="0045764A">
        <w:rPr>
          <w:rFonts w:eastAsia="TimesNewRoman"/>
          <w:szCs w:val="22"/>
          <w:lang w:val="sr-Latn-ME"/>
        </w:rPr>
        <w:t xml:space="preserve"> i </w:t>
      </w:r>
      <w:proofErr w:type="spellStart"/>
      <w:r w:rsidRPr="0045764A">
        <w:rPr>
          <w:rFonts w:eastAsia="TimesNewRoman"/>
          <w:szCs w:val="22"/>
          <w:lang w:val="sr-Latn-ME"/>
        </w:rPr>
        <w:t>postnatalni</w:t>
      </w:r>
      <w:proofErr w:type="spellEnd"/>
      <w:r w:rsidRPr="0045764A">
        <w:rPr>
          <w:rFonts w:eastAsia="TimesNewRoman"/>
          <w:szCs w:val="22"/>
          <w:lang w:val="sr-Latn-ME"/>
        </w:rPr>
        <w:t xml:space="preserve"> razvoj ni</w:t>
      </w:r>
      <w:r w:rsidR="00677ACE" w:rsidRPr="0045764A">
        <w:rPr>
          <w:rFonts w:eastAsia="TimesNewRoman"/>
          <w:szCs w:val="22"/>
          <w:lang w:val="sr-Latn-ME"/>
        </w:rPr>
        <w:t>je</w:t>
      </w:r>
      <w:r w:rsidRPr="0045764A">
        <w:rPr>
          <w:rFonts w:eastAsia="TimesNewRoman"/>
          <w:szCs w:val="22"/>
          <w:lang w:val="sr-Latn-ME"/>
        </w:rPr>
        <w:t>su sprovedena.</w:t>
      </w:r>
    </w:p>
    <w:p w14:paraId="509BB5EC" w14:textId="77777777" w:rsidR="00594CE9" w:rsidRPr="0045764A" w:rsidRDefault="00594CE9" w:rsidP="00C65330">
      <w:pPr>
        <w:tabs>
          <w:tab w:val="clear" w:pos="284"/>
        </w:tabs>
        <w:autoSpaceDE w:val="0"/>
        <w:autoSpaceDN w:val="0"/>
        <w:adjustRightInd w:val="0"/>
        <w:rPr>
          <w:rFonts w:eastAsia="TimesNewRoman"/>
          <w:szCs w:val="22"/>
          <w:lang w:val="sr-Latn-ME"/>
        </w:rPr>
      </w:pPr>
    </w:p>
    <w:p w14:paraId="67F64802" w14:textId="77777777" w:rsidR="00C6004A" w:rsidRPr="0045764A" w:rsidRDefault="00C6004A" w:rsidP="00C65330">
      <w:pPr>
        <w:tabs>
          <w:tab w:val="clear" w:pos="284"/>
        </w:tabs>
        <w:autoSpaceDE w:val="0"/>
        <w:autoSpaceDN w:val="0"/>
        <w:adjustRightInd w:val="0"/>
        <w:rPr>
          <w:rFonts w:eastAsia="TimesNewRoman"/>
          <w:i/>
          <w:iCs/>
          <w:szCs w:val="22"/>
          <w:lang w:val="sr-Latn-ME"/>
        </w:rPr>
      </w:pPr>
      <w:r w:rsidRPr="0045764A">
        <w:rPr>
          <w:rFonts w:eastAsia="TimesNewRoman"/>
          <w:i/>
          <w:iCs/>
          <w:szCs w:val="22"/>
          <w:lang w:val="sr-Latn-ME"/>
        </w:rPr>
        <w:t>Nalazi toksičnosti kod nezrelih životinja</w:t>
      </w:r>
    </w:p>
    <w:p w14:paraId="4B3C679B" w14:textId="1C1FC460" w:rsidR="00CE09F3" w:rsidRPr="0045764A" w:rsidRDefault="00C6004A" w:rsidP="00C65330">
      <w:pPr>
        <w:tabs>
          <w:tab w:val="clear" w:pos="284"/>
        </w:tabs>
        <w:autoSpaceDE w:val="0"/>
        <w:autoSpaceDN w:val="0"/>
        <w:adjustRightInd w:val="0"/>
        <w:rPr>
          <w:rFonts w:eastAsia="TimesNewRoman"/>
          <w:szCs w:val="22"/>
          <w:lang w:val="sr-Latn-ME"/>
        </w:rPr>
      </w:pPr>
      <w:proofErr w:type="spellStart"/>
      <w:r w:rsidRPr="0045764A">
        <w:rPr>
          <w:rFonts w:eastAsia="TimesNewRoman"/>
          <w:szCs w:val="22"/>
          <w:lang w:val="sr-Latn-ME"/>
        </w:rPr>
        <w:t>Reverzibilna</w:t>
      </w:r>
      <w:proofErr w:type="spellEnd"/>
      <w:r w:rsidRPr="0045764A">
        <w:rPr>
          <w:rFonts w:eastAsia="TimesNewRoman"/>
          <w:szCs w:val="22"/>
          <w:lang w:val="sr-Latn-ME"/>
        </w:rPr>
        <w:t xml:space="preserve"> </w:t>
      </w:r>
      <w:proofErr w:type="spellStart"/>
      <w:r w:rsidRPr="0045764A">
        <w:rPr>
          <w:rFonts w:eastAsia="TimesNewRoman"/>
          <w:szCs w:val="22"/>
          <w:lang w:val="sr-Latn-ME"/>
        </w:rPr>
        <w:t>fizealna</w:t>
      </w:r>
      <w:proofErr w:type="spellEnd"/>
      <w:r w:rsidRPr="0045764A">
        <w:rPr>
          <w:rFonts w:eastAsia="TimesNewRoman"/>
          <w:szCs w:val="22"/>
          <w:lang w:val="sr-Latn-ME"/>
        </w:rPr>
        <w:t xml:space="preserve"> </w:t>
      </w:r>
      <w:proofErr w:type="spellStart"/>
      <w:r w:rsidRPr="0045764A">
        <w:rPr>
          <w:rFonts w:eastAsia="TimesNewRoman"/>
          <w:szCs w:val="22"/>
          <w:lang w:val="sr-Latn-ME"/>
        </w:rPr>
        <w:t>displazija</w:t>
      </w:r>
      <w:proofErr w:type="spellEnd"/>
      <w:r w:rsidRPr="0045764A">
        <w:rPr>
          <w:rFonts w:eastAsia="TimesNewRoman"/>
          <w:szCs w:val="22"/>
          <w:lang w:val="sr-Latn-ME"/>
        </w:rPr>
        <w:t xml:space="preserve"> prim</w:t>
      </w:r>
      <w:r w:rsidR="00B65377" w:rsidRPr="0045764A">
        <w:rPr>
          <w:rFonts w:eastAsia="TimesNewRoman"/>
          <w:szCs w:val="22"/>
          <w:lang w:val="sr-Latn-ME"/>
        </w:rPr>
        <w:t>ij</w:t>
      </w:r>
      <w:r w:rsidRPr="0045764A">
        <w:rPr>
          <w:rFonts w:eastAsia="TimesNewRoman"/>
          <w:szCs w:val="22"/>
          <w:lang w:val="sr-Latn-ME"/>
        </w:rPr>
        <w:t xml:space="preserve">ećena je kod miševa i pasa koji su dobijali </w:t>
      </w:r>
      <w:proofErr w:type="spellStart"/>
      <w:r w:rsidRPr="0045764A">
        <w:rPr>
          <w:rFonts w:eastAsia="TimesNewRoman"/>
          <w:szCs w:val="22"/>
          <w:lang w:val="sr-Latn-ME"/>
        </w:rPr>
        <w:t>aksitinib</w:t>
      </w:r>
      <w:proofErr w:type="spellEnd"/>
      <w:r w:rsidRPr="0045764A">
        <w:rPr>
          <w:rFonts w:eastAsia="TimesNewRoman"/>
          <w:szCs w:val="22"/>
          <w:lang w:val="sr-Latn-ME"/>
        </w:rPr>
        <w:t xml:space="preserve"> najmanje jedan</w:t>
      </w:r>
      <w:r w:rsidR="008C7525" w:rsidRPr="0045764A">
        <w:rPr>
          <w:rFonts w:eastAsia="TimesNewRoman"/>
          <w:szCs w:val="22"/>
          <w:lang w:val="sr-Latn-ME"/>
        </w:rPr>
        <w:t xml:space="preserve"> </w:t>
      </w:r>
      <w:r w:rsidRPr="0045764A">
        <w:rPr>
          <w:rFonts w:eastAsia="TimesNewRoman"/>
          <w:szCs w:val="22"/>
          <w:lang w:val="sr-Latn-ME"/>
        </w:rPr>
        <w:t>m</w:t>
      </w:r>
      <w:r w:rsidR="00B65377" w:rsidRPr="0045764A">
        <w:rPr>
          <w:rFonts w:eastAsia="TimesNewRoman"/>
          <w:szCs w:val="22"/>
          <w:lang w:val="sr-Latn-ME"/>
        </w:rPr>
        <w:t>j</w:t>
      </w:r>
      <w:r w:rsidRPr="0045764A">
        <w:rPr>
          <w:rFonts w:eastAsia="TimesNewRoman"/>
          <w:szCs w:val="22"/>
          <w:lang w:val="sr-Latn-ME"/>
        </w:rPr>
        <w:t>esec</w:t>
      </w:r>
      <w:r w:rsidR="00677ACE" w:rsidRPr="0045764A">
        <w:rPr>
          <w:rFonts w:eastAsia="TimesNewRoman"/>
          <w:szCs w:val="22"/>
          <w:lang w:val="sr-Latn-ME"/>
        </w:rPr>
        <w:t>,</w:t>
      </w:r>
      <w:r w:rsidRPr="0045764A">
        <w:rPr>
          <w:rFonts w:eastAsia="TimesNewRoman"/>
          <w:szCs w:val="22"/>
          <w:lang w:val="sr-Latn-ME"/>
        </w:rPr>
        <w:t xml:space="preserve"> pri nivoima izloženosti oko šest puta većim od očekivane izloženosti kod </w:t>
      </w:r>
      <w:proofErr w:type="spellStart"/>
      <w:r w:rsidRPr="0045764A">
        <w:rPr>
          <w:rFonts w:eastAsia="TimesNewRoman"/>
          <w:szCs w:val="22"/>
          <w:lang w:val="sr-Latn-ME"/>
        </w:rPr>
        <w:t>ljudi</w:t>
      </w:r>
      <w:proofErr w:type="spellEnd"/>
      <w:r w:rsidRPr="0045764A">
        <w:rPr>
          <w:rFonts w:eastAsia="TimesNewRoman"/>
          <w:szCs w:val="22"/>
          <w:lang w:val="sr-Latn-ME"/>
        </w:rPr>
        <w:t>. D</w:t>
      </w:r>
      <w:r w:rsidR="00B65377" w:rsidRPr="0045764A">
        <w:rPr>
          <w:rFonts w:eastAsia="TimesNewRoman"/>
          <w:szCs w:val="22"/>
          <w:lang w:val="sr-Latn-ME"/>
        </w:rPr>
        <w:t>j</w:t>
      </w:r>
      <w:r w:rsidRPr="0045764A">
        <w:rPr>
          <w:rFonts w:eastAsia="TimesNewRoman"/>
          <w:szCs w:val="22"/>
          <w:lang w:val="sr-Latn-ME"/>
        </w:rPr>
        <w:t xml:space="preserve">elimično </w:t>
      </w:r>
      <w:proofErr w:type="spellStart"/>
      <w:r w:rsidRPr="0045764A">
        <w:rPr>
          <w:rFonts w:eastAsia="TimesNewRoman"/>
          <w:szCs w:val="22"/>
          <w:lang w:val="sr-Latn-ME"/>
        </w:rPr>
        <w:t>reverzibilni</w:t>
      </w:r>
      <w:proofErr w:type="spellEnd"/>
      <w:r w:rsidR="008C7525" w:rsidRPr="0045764A">
        <w:rPr>
          <w:rFonts w:eastAsia="TimesNewRoman"/>
          <w:szCs w:val="22"/>
          <w:lang w:val="sr-Latn-ME"/>
        </w:rPr>
        <w:t xml:space="preserve"> </w:t>
      </w:r>
      <w:r w:rsidRPr="0045764A">
        <w:rPr>
          <w:rFonts w:eastAsia="TimesNewRoman"/>
          <w:szCs w:val="22"/>
          <w:lang w:val="sr-Latn-ME"/>
        </w:rPr>
        <w:t>zubni karijes prim</w:t>
      </w:r>
      <w:r w:rsidR="00B65377" w:rsidRPr="0045764A">
        <w:rPr>
          <w:rFonts w:eastAsia="TimesNewRoman"/>
          <w:szCs w:val="22"/>
          <w:lang w:val="sr-Latn-ME"/>
        </w:rPr>
        <w:t>ij</w:t>
      </w:r>
      <w:r w:rsidRPr="0045764A">
        <w:rPr>
          <w:rFonts w:eastAsia="TimesNewRoman"/>
          <w:szCs w:val="22"/>
          <w:lang w:val="sr-Latn-ME"/>
        </w:rPr>
        <w:t>ećen je kod miševa tretiranih duže od jednog m</w:t>
      </w:r>
      <w:r w:rsidR="00B65377" w:rsidRPr="0045764A">
        <w:rPr>
          <w:rFonts w:eastAsia="TimesNewRoman"/>
          <w:szCs w:val="22"/>
          <w:lang w:val="sr-Latn-ME"/>
        </w:rPr>
        <w:t>j</w:t>
      </w:r>
      <w:r w:rsidRPr="0045764A">
        <w:rPr>
          <w:rFonts w:eastAsia="TimesNewRoman"/>
          <w:szCs w:val="22"/>
          <w:lang w:val="sr-Latn-ME"/>
        </w:rPr>
        <w:t>eseca</w:t>
      </w:r>
      <w:r w:rsidR="00677ACE" w:rsidRPr="0045764A">
        <w:rPr>
          <w:rFonts w:eastAsia="TimesNewRoman"/>
          <w:szCs w:val="22"/>
          <w:lang w:val="sr-Latn-ME"/>
        </w:rPr>
        <w:t>,</w:t>
      </w:r>
      <w:r w:rsidRPr="0045764A">
        <w:rPr>
          <w:rFonts w:eastAsia="TimesNewRoman"/>
          <w:szCs w:val="22"/>
          <w:lang w:val="sr-Latn-ME"/>
        </w:rPr>
        <w:t xml:space="preserve"> pri nivoima izloženosti sličnim</w:t>
      </w:r>
      <w:r w:rsidR="008C7525" w:rsidRPr="0045764A">
        <w:rPr>
          <w:rFonts w:eastAsia="TimesNewRoman"/>
          <w:szCs w:val="22"/>
          <w:lang w:val="sr-Latn-ME"/>
        </w:rPr>
        <w:t xml:space="preserve"> </w:t>
      </w:r>
      <w:r w:rsidRPr="0045764A">
        <w:rPr>
          <w:rFonts w:eastAsia="TimesNewRoman"/>
          <w:szCs w:val="22"/>
          <w:lang w:val="sr-Latn-ME"/>
        </w:rPr>
        <w:t xml:space="preserve">očekivanoj izloženosti kod </w:t>
      </w:r>
      <w:proofErr w:type="spellStart"/>
      <w:r w:rsidRPr="0045764A">
        <w:rPr>
          <w:rFonts w:eastAsia="TimesNewRoman"/>
          <w:szCs w:val="22"/>
          <w:lang w:val="sr-Latn-ME"/>
        </w:rPr>
        <w:t>ljudi</w:t>
      </w:r>
      <w:proofErr w:type="spellEnd"/>
      <w:r w:rsidRPr="0045764A">
        <w:rPr>
          <w:rFonts w:eastAsia="TimesNewRoman"/>
          <w:szCs w:val="22"/>
          <w:lang w:val="sr-Latn-ME"/>
        </w:rPr>
        <w:t xml:space="preserve">. Ostali tipovi toksičnosti od </w:t>
      </w:r>
      <w:r w:rsidR="00677ACE" w:rsidRPr="0045764A">
        <w:rPr>
          <w:rFonts w:eastAsia="TimesNewRoman"/>
          <w:szCs w:val="22"/>
          <w:lang w:val="sr-Latn-ME"/>
        </w:rPr>
        <w:t xml:space="preserve">potencijalnog </w:t>
      </w:r>
      <w:r w:rsidRPr="0045764A">
        <w:rPr>
          <w:rFonts w:eastAsia="TimesNewRoman"/>
          <w:szCs w:val="22"/>
          <w:lang w:val="sr-Latn-ME"/>
        </w:rPr>
        <w:t>značaja za pedijatrijske pacijente ni</w:t>
      </w:r>
      <w:r w:rsidR="00677ACE" w:rsidRPr="0045764A">
        <w:rPr>
          <w:rFonts w:eastAsia="TimesNewRoman"/>
          <w:szCs w:val="22"/>
          <w:lang w:val="sr-Latn-ME"/>
        </w:rPr>
        <w:t>je</w:t>
      </w:r>
      <w:r w:rsidRPr="0045764A">
        <w:rPr>
          <w:rFonts w:eastAsia="TimesNewRoman"/>
          <w:szCs w:val="22"/>
          <w:lang w:val="sr-Latn-ME"/>
        </w:rPr>
        <w:t>su</w:t>
      </w:r>
      <w:r w:rsidR="008C7525" w:rsidRPr="0045764A">
        <w:rPr>
          <w:rFonts w:eastAsia="TimesNewRoman"/>
          <w:szCs w:val="22"/>
          <w:lang w:val="sr-Latn-ME"/>
        </w:rPr>
        <w:t xml:space="preserve"> </w:t>
      </w:r>
      <w:r w:rsidRPr="0045764A">
        <w:rPr>
          <w:rFonts w:eastAsia="TimesNewRoman"/>
          <w:szCs w:val="22"/>
          <w:lang w:val="sr-Latn-ME"/>
        </w:rPr>
        <w:t>proc</w:t>
      </w:r>
      <w:r w:rsidR="00B65377" w:rsidRPr="0045764A">
        <w:rPr>
          <w:rFonts w:eastAsia="TimesNewRoman"/>
          <w:szCs w:val="22"/>
          <w:lang w:val="sr-Latn-ME"/>
        </w:rPr>
        <w:t>j</w:t>
      </w:r>
      <w:r w:rsidRPr="0045764A">
        <w:rPr>
          <w:rFonts w:eastAsia="TimesNewRoman"/>
          <w:szCs w:val="22"/>
          <w:lang w:val="sr-Latn-ME"/>
        </w:rPr>
        <w:t xml:space="preserve">enjivani kod </w:t>
      </w:r>
      <w:r w:rsidR="00677ACE" w:rsidRPr="0045764A">
        <w:rPr>
          <w:rFonts w:eastAsia="TimesNewRoman"/>
          <w:szCs w:val="22"/>
          <w:lang w:val="sr-Latn-ME"/>
        </w:rPr>
        <w:t xml:space="preserve">mladih </w:t>
      </w:r>
      <w:r w:rsidRPr="0045764A">
        <w:rPr>
          <w:rFonts w:eastAsia="TimesNewRoman"/>
          <w:szCs w:val="22"/>
          <w:lang w:val="sr-Latn-ME"/>
        </w:rPr>
        <w:t>životinja.</w:t>
      </w:r>
    </w:p>
    <w:p w14:paraId="1EB2935C" w14:textId="1A27A7AC" w:rsidR="008C7525" w:rsidRPr="0045764A" w:rsidRDefault="008C7525" w:rsidP="00C65330">
      <w:pPr>
        <w:tabs>
          <w:tab w:val="clear" w:pos="284"/>
        </w:tabs>
        <w:autoSpaceDE w:val="0"/>
        <w:autoSpaceDN w:val="0"/>
        <w:adjustRightInd w:val="0"/>
        <w:rPr>
          <w:rFonts w:eastAsia="TimesNewRoman"/>
          <w:szCs w:val="22"/>
          <w:lang w:val="sr-Latn-ME"/>
        </w:rPr>
      </w:pPr>
    </w:p>
    <w:p w14:paraId="7E58312C" w14:textId="77777777" w:rsidR="0069180D" w:rsidRPr="0045764A" w:rsidRDefault="0069180D" w:rsidP="00C65330">
      <w:pPr>
        <w:tabs>
          <w:tab w:val="clear" w:pos="284"/>
        </w:tabs>
        <w:autoSpaceDE w:val="0"/>
        <w:autoSpaceDN w:val="0"/>
        <w:adjustRightInd w:val="0"/>
        <w:rPr>
          <w:rFonts w:eastAsia="TimesNewRoman"/>
          <w:szCs w:val="22"/>
          <w:lang w:val="sr-Latn-ME"/>
        </w:rPr>
      </w:pPr>
    </w:p>
    <w:p w14:paraId="4B3C679C" w14:textId="1624D7DA" w:rsidR="00CE09F3" w:rsidRPr="0045764A" w:rsidRDefault="00CE09F3" w:rsidP="00C65330">
      <w:pPr>
        <w:pStyle w:val="NASLOV123"/>
        <w:spacing w:before="0" w:after="0"/>
        <w:jc w:val="both"/>
        <w:rPr>
          <w:lang w:val="sr-Latn-ME"/>
        </w:rPr>
      </w:pPr>
      <w:r w:rsidRPr="0045764A">
        <w:rPr>
          <w:lang w:val="sr-Latn-ME"/>
        </w:rPr>
        <w:t>6. FARMACEUTSKI PODACI</w:t>
      </w:r>
    </w:p>
    <w:p w14:paraId="1E797E2B" w14:textId="77777777" w:rsidR="004B3C86" w:rsidRPr="0045764A" w:rsidRDefault="004B3C86" w:rsidP="00C65330">
      <w:pPr>
        <w:pStyle w:val="NASLOV123"/>
        <w:spacing w:before="0" w:after="0"/>
        <w:jc w:val="both"/>
        <w:rPr>
          <w:lang w:val="sr-Latn-ME"/>
        </w:rPr>
      </w:pPr>
    </w:p>
    <w:p w14:paraId="6538816C" w14:textId="77777777" w:rsidR="004B3C86" w:rsidRPr="0045764A" w:rsidRDefault="00CE09F3" w:rsidP="004B3C86">
      <w:pPr>
        <w:rPr>
          <w:b/>
          <w:bCs/>
          <w:szCs w:val="22"/>
          <w:lang w:val="sr-Latn-ME"/>
        </w:rPr>
      </w:pPr>
      <w:r w:rsidRPr="0045764A">
        <w:rPr>
          <w:b/>
          <w:bCs/>
          <w:szCs w:val="22"/>
          <w:lang w:val="sr-Latn-ME"/>
        </w:rPr>
        <w:t xml:space="preserve">6.1. </w:t>
      </w:r>
      <w:r w:rsidR="004B3C86" w:rsidRPr="0045764A">
        <w:rPr>
          <w:b/>
          <w:bCs/>
          <w:szCs w:val="22"/>
          <w:lang w:val="sr-Latn-ME"/>
        </w:rPr>
        <w:t>Lista pomoćnih supstanci (</w:t>
      </w:r>
      <w:proofErr w:type="spellStart"/>
      <w:r w:rsidR="004B3C86" w:rsidRPr="0045764A">
        <w:rPr>
          <w:b/>
          <w:bCs/>
          <w:szCs w:val="22"/>
          <w:lang w:val="sr-Latn-ME"/>
        </w:rPr>
        <w:t>ekscipijenasa</w:t>
      </w:r>
      <w:proofErr w:type="spellEnd"/>
      <w:r w:rsidR="004B3C86" w:rsidRPr="0045764A">
        <w:rPr>
          <w:b/>
          <w:bCs/>
          <w:szCs w:val="22"/>
          <w:lang w:val="sr-Latn-ME"/>
        </w:rPr>
        <w:t>)</w:t>
      </w:r>
    </w:p>
    <w:p w14:paraId="4B3C679E" w14:textId="77777777" w:rsidR="00CE09F3" w:rsidRPr="0045764A" w:rsidRDefault="00CE09F3" w:rsidP="00C65330">
      <w:pPr>
        <w:rPr>
          <w:szCs w:val="22"/>
          <w:lang w:val="sr-Latn-ME"/>
        </w:rPr>
      </w:pPr>
    </w:p>
    <w:p w14:paraId="68AED123" w14:textId="66CB0157" w:rsidR="004B0058" w:rsidRPr="0045764A" w:rsidRDefault="004B0058" w:rsidP="00B65377">
      <w:pPr>
        <w:jc w:val="left"/>
        <w:rPr>
          <w:bCs/>
          <w:iCs/>
          <w:szCs w:val="22"/>
          <w:lang w:val="sr-Latn-ME"/>
        </w:rPr>
      </w:pPr>
      <w:r w:rsidRPr="0045764A">
        <w:rPr>
          <w:bCs/>
          <w:iCs/>
          <w:szCs w:val="22"/>
          <w:u w:val="single"/>
          <w:lang w:val="sr-Latn-ME"/>
        </w:rPr>
        <w:lastRenderedPageBreak/>
        <w:t>Jezgro tablete</w:t>
      </w:r>
      <w:r w:rsidRPr="0045764A">
        <w:rPr>
          <w:bCs/>
          <w:iCs/>
          <w:szCs w:val="22"/>
          <w:lang w:val="sr-Latn-ME"/>
        </w:rPr>
        <w:t>:</w:t>
      </w:r>
    </w:p>
    <w:p w14:paraId="0DA33B53" w14:textId="00949158" w:rsidR="00C23B2B" w:rsidRPr="0045764A" w:rsidRDefault="00C23B2B" w:rsidP="00B65377">
      <w:pPr>
        <w:jc w:val="left"/>
        <w:rPr>
          <w:szCs w:val="22"/>
          <w:lang w:val="sr-Latn-ME"/>
        </w:rPr>
      </w:pPr>
      <w:proofErr w:type="spellStart"/>
      <w:r w:rsidRPr="0045764A">
        <w:rPr>
          <w:i/>
          <w:szCs w:val="22"/>
          <w:lang w:val="sr-Latn-ME"/>
        </w:rPr>
        <w:t>Intragranularno</w:t>
      </w:r>
      <w:proofErr w:type="spellEnd"/>
      <w:r w:rsidRPr="0045764A">
        <w:rPr>
          <w:i/>
          <w:szCs w:val="22"/>
          <w:lang w:val="sr-Latn-ME"/>
        </w:rPr>
        <w:t>:</w:t>
      </w:r>
      <w:r w:rsidRPr="0045764A">
        <w:rPr>
          <w:szCs w:val="22"/>
          <w:lang w:val="sr-Latn-ME"/>
        </w:rPr>
        <w:br/>
        <w:t xml:space="preserve">Laktoza </w:t>
      </w:r>
      <w:proofErr w:type="spellStart"/>
      <w:r w:rsidRPr="0045764A">
        <w:rPr>
          <w:szCs w:val="22"/>
          <w:lang w:val="sr-Latn-ME"/>
        </w:rPr>
        <w:t>monohidrat</w:t>
      </w:r>
      <w:proofErr w:type="spellEnd"/>
    </w:p>
    <w:p w14:paraId="749A9965" w14:textId="121C0D19" w:rsidR="00C23B2B" w:rsidRPr="0045764A" w:rsidRDefault="00D048B5" w:rsidP="00B65377">
      <w:pPr>
        <w:jc w:val="left"/>
        <w:rPr>
          <w:szCs w:val="22"/>
          <w:lang w:val="sr-Latn-ME"/>
        </w:rPr>
      </w:pPr>
      <w:r w:rsidRPr="0045764A">
        <w:rPr>
          <w:szCs w:val="22"/>
          <w:lang w:val="sr-Latn-ME"/>
        </w:rPr>
        <w:t xml:space="preserve">Celuloza, </w:t>
      </w:r>
      <w:proofErr w:type="spellStart"/>
      <w:r w:rsidRPr="0045764A">
        <w:rPr>
          <w:szCs w:val="22"/>
          <w:lang w:val="sr-Latn-ME"/>
        </w:rPr>
        <w:t>mik</w:t>
      </w:r>
      <w:r w:rsidR="00EC2202" w:rsidRPr="0045764A">
        <w:rPr>
          <w:szCs w:val="22"/>
          <w:lang w:val="sr-Latn-ME"/>
        </w:rPr>
        <w:t>rokristalna</w:t>
      </w:r>
      <w:proofErr w:type="spellEnd"/>
      <w:r w:rsidR="00EC2202" w:rsidRPr="0045764A">
        <w:rPr>
          <w:szCs w:val="22"/>
          <w:lang w:val="sr-Latn-ME"/>
        </w:rPr>
        <w:t xml:space="preserve"> (tip 101)</w:t>
      </w:r>
      <w:r w:rsidR="00C23B2B" w:rsidRPr="0045764A">
        <w:rPr>
          <w:szCs w:val="22"/>
          <w:lang w:val="sr-Latn-ME"/>
        </w:rPr>
        <w:br/>
      </w:r>
    </w:p>
    <w:p w14:paraId="69FB9D84" w14:textId="5E9891B7" w:rsidR="00C23B2B" w:rsidRPr="0045764A" w:rsidRDefault="00C23B2B" w:rsidP="00B65377">
      <w:pPr>
        <w:jc w:val="left"/>
        <w:rPr>
          <w:szCs w:val="22"/>
          <w:lang w:val="sr-Latn-ME"/>
        </w:rPr>
      </w:pPr>
      <w:proofErr w:type="spellStart"/>
      <w:r w:rsidRPr="0045764A">
        <w:rPr>
          <w:i/>
          <w:szCs w:val="22"/>
          <w:lang w:val="sr-Latn-ME"/>
        </w:rPr>
        <w:t>Ekstragranularno</w:t>
      </w:r>
      <w:proofErr w:type="spellEnd"/>
      <w:r w:rsidRPr="0045764A">
        <w:rPr>
          <w:i/>
          <w:szCs w:val="22"/>
          <w:lang w:val="sr-Latn-ME"/>
        </w:rPr>
        <w:t>:</w:t>
      </w:r>
      <w:r w:rsidRPr="0045764A">
        <w:rPr>
          <w:szCs w:val="22"/>
          <w:lang w:val="sr-Latn-ME"/>
        </w:rPr>
        <w:br/>
      </w:r>
      <w:r w:rsidR="00E84699" w:rsidRPr="0045764A">
        <w:rPr>
          <w:szCs w:val="22"/>
          <w:lang w:val="sr-Latn-ME"/>
        </w:rPr>
        <w:t>C</w:t>
      </w:r>
      <w:r w:rsidRPr="0045764A">
        <w:rPr>
          <w:szCs w:val="22"/>
          <w:lang w:val="sr-Latn-ME"/>
        </w:rPr>
        <w:t>eluloza</w:t>
      </w:r>
      <w:r w:rsidR="00E84699" w:rsidRPr="0045764A">
        <w:rPr>
          <w:szCs w:val="22"/>
          <w:lang w:val="sr-Latn-ME"/>
        </w:rPr>
        <w:t xml:space="preserve">, </w:t>
      </w:r>
      <w:proofErr w:type="spellStart"/>
      <w:r w:rsidR="00E84699" w:rsidRPr="0045764A">
        <w:rPr>
          <w:szCs w:val="22"/>
          <w:lang w:val="sr-Latn-ME"/>
        </w:rPr>
        <w:t>mikrokristalna</w:t>
      </w:r>
      <w:proofErr w:type="spellEnd"/>
      <w:r w:rsidRPr="0045764A">
        <w:rPr>
          <w:szCs w:val="22"/>
          <w:lang w:val="sr-Latn-ME"/>
        </w:rPr>
        <w:t xml:space="preserve"> (</w:t>
      </w:r>
      <w:r w:rsidR="001C5102" w:rsidRPr="0045764A">
        <w:rPr>
          <w:szCs w:val="22"/>
          <w:lang w:val="sr-Latn-ME"/>
        </w:rPr>
        <w:t>tip</w:t>
      </w:r>
      <w:r w:rsidRPr="0045764A">
        <w:rPr>
          <w:szCs w:val="22"/>
          <w:lang w:val="sr-Latn-ME"/>
        </w:rPr>
        <w:t xml:space="preserve"> 102)</w:t>
      </w:r>
    </w:p>
    <w:p w14:paraId="74D6CB75" w14:textId="37D970EE" w:rsidR="00C23B2B" w:rsidRPr="0045764A" w:rsidRDefault="001C5102" w:rsidP="00B65377">
      <w:pPr>
        <w:jc w:val="left"/>
        <w:rPr>
          <w:i/>
          <w:szCs w:val="22"/>
          <w:lang w:val="sr-Latn-ME"/>
        </w:rPr>
      </w:pPr>
      <w:proofErr w:type="spellStart"/>
      <w:r w:rsidRPr="0045764A">
        <w:rPr>
          <w:szCs w:val="22"/>
          <w:lang w:val="sr-Latn-ME"/>
        </w:rPr>
        <w:t>Kroskarmeloza</w:t>
      </w:r>
      <w:proofErr w:type="spellEnd"/>
      <w:r w:rsidRPr="0045764A">
        <w:rPr>
          <w:szCs w:val="22"/>
          <w:lang w:val="sr-Latn-ME"/>
        </w:rPr>
        <w:t xml:space="preserve"> natrijum</w:t>
      </w:r>
      <w:r w:rsidR="00C23B2B" w:rsidRPr="0045764A">
        <w:rPr>
          <w:szCs w:val="22"/>
          <w:lang w:val="sr-Latn-ME"/>
        </w:rPr>
        <w:br/>
        <w:t xml:space="preserve">Magnezijum </w:t>
      </w:r>
      <w:proofErr w:type="spellStart"/>
      <w:r w:rsidR="00C23B2B" w:rsidRPr="0045764A">
        <w:rPr>
          <w:szCs w:val="22"/>
          <w:lang w:val="sr-Latn-ME"/>
        </w:rPr>
        <w:t>stearat</w:t>
      </w:r>
      <w:proofErr w:type="spellEnd"/>
      <w:r w:rsidR="00C23B2B" w:rsidRPr="0045764A">
        <w:rPr>
          <w:szCs w:val="22"/>
          <w:lang w:val="sr-Latn-ME"/>
        </w:rPr>
        <w:br/>
      </w:r>
      <w:r w:rsidR="00C23B2B" w:rsidRPr="0045764A">
        <w:rPr>
          <w:szCs w:val="22"/>
          <w:lang w:val="sr-Latn-ME"/>
        </w:rPr>
        <w:br/>
      </w:r>
      <w:r w:rsidR="00C23B2B" w:rsidRPr="0045764A">
        <w:rPr>
          <w:szCs w:val="22"/>
          <w:u w:val="single"/>
          <w:lang w:val="sr-Latn-ME"/>
        </w:rPr>
        <w:t>Omotač</w:t>
      </w:r>
      <w:r w:rsidR="004B0058" w:rsidRPr="0045764A">
        <w:rPr>
          <w:szCs w:val="22"/>
          <w:u w:val="single"/>
          <w:lang w:val="sr-Latn-ME"/>
        </w:rPr>
        <w:t xml:space="preserve"> (film) tablete</w:t>
      </w:r>
      <w:r w:rsidR="00C23B2B" w:rsidRPr="0045764A">
        <w:rPr>
          <w:szCs w:val="22"/>
          <w:lang w:val="sr-Latn-ME"/>
        </w:rPr>
        <w:t>:</w:t>
      </w:r>
    </w:p>
    <w:p w14:paraId="42D9DDBD" w14:textId="3B685399" w:rsidR="00C23B2B" w:rsidRPr="0045764A" w:rsidRDefault="00435A81" w:rsidP="00C65330">
      <w:pPr>
        <w:rPr>
          <w:szCs w:val="22"/>
          <w:lang w:val="sr-Latn-ME"/>
        </w:rPr>
      </w:pPr>
      <w:proofErr w:type="spellStart"/>
      <w:r w:rsidRPr="0045764A">
        <w:rPr>
          <w:szCs w:val="22"/>
          <w:lang w:val="sr-Latn-ME"/>
        </w:rPr>
        <w:t>Hipromeloza</w:t>
      </w:r>
      <w:proofErr w:type="spellEnd"/>
    </w:p>
    <w:p w14:paraId="11A3CF1E" w14:textId="1E1B14E4" w:rsidR="00F50010" w:rsidRPr="0045764A" w:rsidRDefault="005269CA" w:rsidP="00C65330">
      <w:pPr>
        <w:rPr>
          <w:szCs w:val="22"/>
          <w:lang w:val="sr-Latn-ME"/>
        </w:rPr>
      </w:pPr>
      <w:r w:rsidRPr="0045764A">
        <w:rPr>
          <w:szCs w:val="22"/>
          <w:lang w:val="sr-Latn-ME"/>
        </w:rPr>
        <w:t xml:space="preserve">Laktoza </w:t>
      </w:r>
      <w:proofErr w:type="spellStart"/>
      <w:r w:rsidRPr="0045764A">
        <w:rPr>
          <w:szCs w:val="22"/>
          <w:lang w:val="sr-Latn-ME"/>
        </w:rPr>
        <w:t>monohidrat</w:t>
      </w:r>
      <w:proofErr w:type="spellEnd"/>
    </w:p>
    <w:p w14:paraId="3858F533" w14:textId="0FFD33FD" w:rsidR="005269CA" w:rsidRPr="0045764A" w:rsidRDefault="005269CA" w:rsidP="00C65330">
      <w:pPr>
        <w:rPr>
          <w:szCs w:val="22"/>
          <w:lang w:val="sr-Latn-ME"/>
        </w:rPr>
      </w:pPr>
      <w:r w:rsidRPr="0045764A">
        <w:rPr>
          <w:szCs w:val="22"/>
          <w:lang w:val="sr-Latn-ME"/>
        </w:rPr>
        <w:t>Titan dioksid</w:t>
      </w:r>
    </w:p>
    <w:p w14:paraId="0C709C25" w14:textId="7FC03D7C" w:rsidR="005269CA" w:rsidRPr="0045764A" w:rsidRDefault="007C0DB7" w:rsidP="00C65330">
      <w:pPr>
        <w:rPr>
          <w:szCs w:val="22"/>
          <w:lang w:val="sr-Latn-ME"/>
        </w:rPr>
      </w:pPr>
      <w:r w:rsidRPr="0045764A">
        <w:rPr>
          <w:szCs w:val="22"/>
          <w:lang w:val="sr-Latn-ME"/>
        </w:rPr>
        <w:t>Gvožđe</w:t>
      </w:r>
      <w:r w:rsidR="004B0058" w:rsidRPr="0045764A">
        <w:rPr>
          <w:szCs w:val="22"/>
          <w:lang w:val="sr-Latn-ME"/>
        </w:rPr>
        <w:t xml:space="preserve"> </w:t>
      </w:r>
      <w:r w:rsidRPr="0045764A">
        <w:rPr>
          <w:szCs w:val="22"/>
          <w:lang w:val="sr-Latn-ME"/>
        </w:rPr>
        <w:t>oksid, crveni (E 172)</w:t>
      </w:r>
    </w:p>
    <w:p w14:paraId="69062C7B" w14:textId="78D96AAD" w:rsidR="007C0DB7" w:rsidRPr="0045764A" w:rsidRDefault="007C0DB7" w:rsidP="00C65330">
      <w:pPr>
        <w:rPr>
          <w:bCs/>
          <w:i/>
          <w:iCs/>
          <w:szCs w:val="22"/>
          <w:lang w:val="sr-Latn-ME"/>
        </w:rPr>
      </w:pPr>
      <w:proofErr w:type="spellStart"/>
      <w:r w:rsidRPr="0045764A">
        <w:rPr>
          <w:szCs w:val="22"/>
          <w:lang w:val="sr-Latn-ME"/>
        </w:rPr>
        <w:t>Triacetin</w:t>
      </w:r>
      <w:proofErr w:type="spellEnd"/>
    </w:p>
    <w:p w14:paraId="37AA0BE2" w14:textId="77777777" w:rsidR="00F50010" w:rsidRPr="0045764A" w:rsidRDefault="00F50010" w:rsidP="00C65330">
      <w:pPr>
        <w:rPr>
          <w:bCs/>
          <w:i/>
          <w:iCs/>
          <w:szCs w:val="22"/>
          <w:lang w:val="sr-Latn-ME"/>
        </w:rPr>
      </w:pPr>
    </w:p>
    <w:p w14:paraId="4B3C67A0" w14:textId="77777777" w:rsidR="00CE09F3" w:rsidRPr="0045764A" w:rsidRDefault="00CE09F3" w:rsidP="00C65330">
      <w:pPr>
        <w:rPr>
          <w:b/>
          <w:bCs/>
          <w:szCs w:val="22"/>
          <w:lang w:val="sr-Latn-ME"/>
        </w:rPr>
      </w:pPr>
      <w:r w:rsidRPr="0045764A">
        <w:rPr>
          <w:b/>
          <w:bCs/>
          <w:szCs w:val="22"/>
          <w:lang w:val="sr-Latn-ME"/>
        </w:rPr>
        <w:t>6.2. Inkompatibilnost</w:t>
      </w:r>
    </w:p>
    <w:p w14:paraId="4B3C67A1" w14:textId="77777777" w:rsidR="00CE09F3" w:rsidRPr="0045764A" w:rsidRDefault="00CE09F3" w:rsidP="00C65330">
      <w:pPr>
        <w:rPr>
          <w:szCs w:val="22"/>
          <w:lang w:val="sr-Latn-ME"/>
        </w:rPr>
      </w:pPr>
    </w:p>
    <w:p w14:paraId="5A8E5E6C" w14:textId="70FC9068" w:rsidR="00F35FE1" w:rsidRPr="0045764A" w:rsidRDefault="00F35FE1" w:rsidP="00C65330">
      <w:pPr>
        <w:rPr>
          <w:szCs w:val="22"/>
          <w:lang w:val="sr-Latn-ME"/>
        </w:rPr>
      </w:pPr>
      <w:r w:rsidRPr="0045764A">
        <w:rPr>
          <w:szCs w:val="22"/>
          <w:lang w:val="sr-Latn-ME"/>
        </w:rPr>
        <w:t xml:space="preserve">Nije </w:t>
      </w:r>
      <w:r w:rsidR="008E2492" w:rsidRPr="0045764A">
        <w:rPr>
          <w:szCs w:val="22"/>
          <w:lang w:val="sr-Latn-ME"/>
        </w:rPr>
        <w:t>primjen</w:t>
      </w:r>
      <w:r w:rsidRPr="0045764A">
        <w:rPr>
          <w:szCs w:val="22"/>
          <w:lang w:val="sr-Latn-ME"/>
        </w:rPr>
        <w:t>ljivo.</w:t>
      </w:r>
    </w:p>
    <w:p w14:paraId="4B3C67A2" w14:textId="77777777" w:rsidR="00CE09F3" w:rsidRPr="0045764A" w:rsidRDefault="00CE09F3" w:rsidP="00C65330">
      <w:pPr>
        <w:rPr>
          <w:szCs w:val="22"/>
          <w:lang w:val="sr-Latn-ME"/>
        </w:rPr>
      </w:pPr>
    </w:p>
    <w:p w14:paraId="4B3C67A3" w14:textId="77777777" w:rsidR="00CE09F3" w:rsidRPr="0045764A" w:rsidRDefault="00CE09F3" w:rsidP="00C65330">
      <w:pPr>
        <w:rPr>
          <w:b/>
          <w:bCs/>
          <w:szCs w:val="22"/>
          <w:lang w:val="sr-Latn-ME"/>
        </w:rPr>
      </w:pPr>
      <w:r w:rsidRPr="0045764A">
        <w:rPr>
          <w:b/>
          <w:bCs/>
          <w:szCs w:val="22"/>
          <w:lang w:val="sr-Latn-ME"/>
        </w:rPr>
        <w:t>6.3. Rok upotrebe</w:t>
      </w:r>
    </w:p>
    <w:p w14:paraId="4B3C67A4" w14:textId="77777777" w:rsidR="00CE09F3" w:rsidRPr="0045764A" w:rsidRDefault="00CE09F3" w:rsidP="00C65330">
      <w:pPr>
        <w:rPr>
          <w:szCs w:val="22"/>
          <w:lang w:val="sr-Latn-ME"/>
        </w:rPr>
      </w:pPr>
    </w:p>
    <w:p w14:paraId="4B3C67A5" w14:textId="2E9D59AA" w:rsidR="00CE09F3" w:rsidRPr="0045764A" w:rsidRDefault="00303DA8" w:rsidP="00C65330">
      <w:pPr>
        <w:rPr>
          <w:szCs w:val="22"/>
          <w:lang w:val="sr-Latn-ME"/>
        </w:rPr>
      </w:pPr>
      <w:r w:rsidRPr="0045764A">
        <w:rPr>
          <w:szCs w:val="22"/>
          <w:lang w:val="sr-Latn-ME"/>
        </w:rPr>
        <w:t>3 godine</w:t>
      </w:r>
      <w:r w:rsidR="0062178D" w:rsidRPr="0045764A">
        <w:rPr>
          <w:szCs w:val="22"/>
          <w:lang w:val="sr-Latn-ME"/>
        </w:rPr>
        <w:t>.</w:t>
      </w:r>
    </w:p>
    <w:p w14:paraId="02EAF1FC" w14:textId="77777777" w:rsidR="000F0B73" w:rsidRPr="0045764A" w:rsidRDefault="000F0B73" w:rsidP="00C65330">
      <w:pPr>
        <w:rPr>
          <w:szCs w:val="22"/>
          <w:lang w:val="sr-Latn-ME"/>
        </w:rPr>
      </w:pPr>
    </w:p>
    <w:p w14:paraId="4B3C67A6" w14:textId="624B5DB5" w:rsidR="00CE09F3" w:rsidRPr="0045764A" w:rsidRDefault="00CE09F3" w:rsidP="00C65330">
      <w:pPr>
        <w:rPr>
          <w:b/>
          <w:bCs/>
          <w:szCs w:val="22"/>
          <w:lang w:val="sr-Latn-ME"/>
        </w:rPr>
      </w:pPr>
      <w:r w:rsidRPr="0045764A">
        <w:rPr>
          <w:b/>
          <w:bCs/>
          <w:szCs w:val="22"/>
          <w:lang w:val="sr-Latn-ME"/>
        </w:rPr>
        <w:t>6.4. Posebne m</w:t>
      </w:r>
      <w:r w:rsidR="0062178D" w:rsidRPr="0045764A">
        <w:rPr>
          <w:b/>
          <w:bCs/>
          <w:szCs w:val="22"/>
          <w:lang w:val="sr-Latn-ME"/>
        </w:rPr>
        <w:t>j</w:t>
      </w:r>
      <w:r w:rsidRPr="0045764A">
        <w:rPr>
          <w:b/>
          <w:bCs/>
          <w:szCs w:val="22"/>
          <w:lang w:val="sr-Latn-ME"/>
        </w:rPr>
        <w:t>ere opreza pri čuvanju</w:t>
      </w:r>
      <w:r w:rsidR="004B3C86" w:rsidRPr="0045764A">
        <w:rPr>
          <w:b/>
          <w:bCs/>
          <w:szCs w:val="22"/>
          <w:lang w:val="sr-Latn-ME"/>
        </w:rPr>
        <w:t xml:space="preserve"> lijeka</w:t>
      </w:r>
    </w:p>
    <w:p w14:paraId="4B3C67A7" w14:textId="77777777" w:rsidR="00CE09F3" w:rsidRPr="0045764A" w:rsidRDefault="00CE09F3" w:rsidP="00C65330">
      <w:pPr>
        <w:rPr>
          <w:szCs w:val="22"/>
          <w:lang w:val="sr-Latn-ME"/>
        </w:rPr>
      </w:pPr>
    </w:p>
    <w:p w14:paraId="4B3C67A8" w14:textId="7271598B" w:rsidR="00CE09F3" w:rsidRPr="0045764A" w:rsidRDefault="00593BF5" w:rsidP="00C65330">
      <w:pPr>
        <w:rPr>
          <w:szCs w:val="22"/>
          <w:lang w:val="sr-Latn-ME"/>
        </w:rPr>
      </w:pPr>
      <w:r w:rsidRPr="0045764A">
        <w:rPr>
          <w:szCs w:val="22"/>
          <w:lang w:val="sr-Latn-ME"/>
        </w:rPr>
        <w:t>Lijek</w:t>
      </w:r>
      <w:r w:rsidR="00C76671" w:rsidRPr="0045764A">
        <w:rPr>
          <w:szCs w:val="22"/>
          <w:lang w:val="sr-Latn-ME"/>
        </w:rPr>
        <w:t xml:space="preserve"> čuvati u originalnom pakovanju, radi zaštite od vlage</w:t>
      </w:r>
      <w:r w:rsidR="009836DD" w:rsidRPr="0045764A">
        <w:rPr>
          <w:szCs w:val="22"/>
          <w:lang w:val="sr-Latn-ME"/>
        </w:rPr>
        <w:t>.</w:t>
      </w:r>
    </w:p>
    <w:p w14:paraId="330008A2" w14:textId="77777777" w:rsidR="008E36CB" w:rsidRPr="0045764A" w:rsidRDefault="008E36CB" w:rsidP="00C65330">
      <w:pPr>
        <w:rPr>
          <w:szCs w:val="22"/>
          <w:lang w:val="sr-Latn-ME"/>
        </w:rPr>
      </w:pPr>
    </w:p>
    <w:p w14:paraId="4B3C67A9" w14:textId="050D8C49" w:rsidR="00CE09F3" w:rsidRPr="0045764A" w:rsidRDefault="0022223A" w:rsidP="00C65330">
      <w:pPr>
        <w:rPr>
          <w:b/>
          <w:bCs/>
          <w:szCs w:val="22"/>
          <w:lang w:val="sr-Latn-ME"/>
        </w:rPr>
      </w:pPr>
      <w:r w:rsidRPr="0045764A">
        <w:rPr>
          <w:b/>
          <w:bCs/>
          <w:szCs w:val="22"/>
          <w:lang w:val="sr-Latn-ME"/>
        </w:rPr>
        <w:t xml:space="preserve">6.5. </w:t>
      </w:r>
      <w:r w:rsidR="004B3C86" w:rsidRPr="0045764A">
        <w:rPr>
          <w:b/>
          <w:bCs/>
          <w:szCs w:val="22"/>
          <w:lang w:val="sr-Latn-ME"/>
        </w:rPr>
        <w:t>Vrsta</w:t>
      </w:r>
      <w:r w:rsidR="00CE09F3" w:rsidRPr="0045764A">
        <w:rPr>
          <w:b/>
          <w:bCs/>
          <w:szCs w:val="22"/>
          <w:lang w:val="sr-Latn-ME"/>
        </w:rPr>
        <w:t xml:space="preserve"> i sadržaj pakovanja</w:t>
      </w:r>
    </w:p>
    <w:p w14:paraId="4B3C67AA" w14:textId="32D28014" w:rsidR="00CE09F3" w:rsidRPr="0045764A" w:rsidRDefault="00CE09F3" w:rsidP="00C65330">
      <w:pPr>
        <w:rPr>
          <w:szCs w:val="22"/>
          <w:lang w:val="sr-Latn-ME"/>
        </w:rPr>
      </w:pPr>
    </w:p>
    <w:p w14:paraId="68E8ABB9" w14:textId="62F79734" w:rsidR="00C76671" w:rsidRPr="0045764A" w:rsidRDefault="00C76671" w:rsidP="00C65330">
      <w:pPr>
        <w:rPr>
          <w:szCs w:val="22"/>
          <w:lang w:val="sr-Latn-ME"/>
        </w:rPr>
      </w:pPr>
      <w:r w:rsidRPr="0045764A">
        <w:rPr>
          <w:szCs w:val="22"/>
          <w:lang w:val="sr-Latn-ME"/>
        </w:rPr>
        <w:t xml:space="preserve">Unutrašnje pakovanje je </w:t>
      </w:r>
      <w:proofErr w:type="spellStart"/>
      <w:r w:rsidRPr="0045764A">
        <w:rPr>
          <w:szCs w:val="22"/>
          <w:lang w:val="sr-Latn-ME"/>
        </w:rPr>
        <w:t>oPA</w:t>
      </w:r>
      <w:proofErr w:type="spellEnd"/>
      <w:r w:rsidRPr="0045764A">
        <w:rPr>
          <w:szCs w:val="22"/>
          <w:lang w:val="sr-Latn-ME"/>
        </w:rPr>
        <w:t xml:space="preserve">/Al/PVC-Al </w:t>
      </w:r>
      <w:proofErr w:type="spellStart"/>
      <w:r w:rsidRPr="0045764A">
        <w:rPr>
          <w:szCs w:val="22"/>
          <w:lang w:val="sr-Latn-ME"/>
        </w:rPr>
        <w:t>b</w:t>
      </w:r>
      <w:r w:rsidR="00E428F2" w:rsidRPr="0045764A">
        <w:rPr>
          <w:szCs w:val="22"/>
          <w:lang w:val="sr-Latn-ME"/>
        </w:rPr>
        <w:t>lister</w:t>
      </w:r>
      <w:proofErr w:type="spellEnd"/>
      <w:r w:rsidR="00E428F2" w:rsidRPr="0045764A">
        <w:rPr>
          <w:szCs w:val="22"/>
          <w:lang w:val="sr-Latn-ME"/>
        </w:rPr>
        <w:t xml:space="preserve"> </w:t>
      </w:r>
      <w:r w:rsidRPr="0045764A">
        <w:rPr>
          <w:szCs w:val="22"/>
          <w:lang w:val="sr-Latn-ME"/>
        </w:rPr>
        <w:t>koji sadrži 7 film tableta.</w:t>
      </w:r>
    </w:p>
    <w:p w14:paraId="50884D57" w14:textId="2B25CBFE" w:rsidR="00EB766B" w:rsidRPr="0045764A" w:rsidRDefault="00C76671" w:rsidP="00C65330">
      <w:pPr>
        <w:rPr>
          <w:szCs w:val="22"/>
          <w:lang w:val="sr-Latn-ME"/>
        </w:rPr>
      </w:pPr>
      <w:r w:rsidRPr="0045764A">
        <w:rPr>
          <w:szCs w:val="22"/>
          <w:lang w:val="sr-Latn-ME"/>
        </w:rPr>
        <w:t xml:space="preserve">Spoljašnje pakovanje je </w:t>
      </w:r>
      <w:proofErr w:type="spellStart"/>
      <w:r w:rsidRPr="0045764A">
        <w:rPr>
          <w:szCs w:val="22"/>
          <w:lang w:val="sr-Latn-ME"/>
        </w:rPr>
        <w:t>složiva</w:t>
      </w:r>
      <w:proofErr w:type="spellEnd"/>
      <w:r w:rsidRPr="0045764A">
        <w:rPr>
          <w:szCs w:val="22"/>
          <w:lang w:val="sr-Latn-ME"/>
        </w:rPr>
        <w:t xml:space="preserve"> kartonska kutija koja sadrži 8 </w:t>
      </w:r>
      <w:proofErr w:type="spellStart"/>
      <w:r w:rsidRPr="0045764A">
        <w:rPr>
          <w:szCs w:val="22"/>
          <w:lang w:val="sr-Latn-ME"/>
        </w:rPr>
        <w:t>blistera</w:t>
      </w:r>
      <w:proofErr w:type="spellEnd"/>
      <w:r w:rsidRPr="0045764A">
        <w:rPr>
          <w:szCs w:val="22"/>
          <w:lang w:val="sr-Latn-ME"/>
        </w:rPr>
        <w:t xml:space="preserve"> (ukupno</w:t>
      </w:r>
      <w:r w:rsidR="00BA4E6D" w:rsidRPr="0045764A">
        <w:rPr>
          <w:i/>
          <w:iCs/>
          <w:szCs w:val="22"/>
          <w:lang w:val="sr-Latn-ME"/>
        </w:rPr>
        <w:t xml:space="preserve"> </w:t>
      </w:r>
      <w:r w:rsidR="00BA4E6D" w:rsidRPr="0045764A">
        <w:rPr>
          <w:szCs w:val="22"/>
          <w:lang w:val="sr-Latn-ME"/>
        </w:rPr>
        <w:t>56 film tableta</w:t>
      </w:r>
      <w:r w:rsidRPr="0045764A">
        <w:rPr>
          <w:szCs w:val="22"/>
          <w:lang w:val="sr-Latn-ME"/>
        </w:rPr>
        <w:t>) i Uputstvo za lijek</w:t>
      </w:r>
      <w:r w:rsidR="00112F4B" w:rsidRPr="0045764A">
        <w:rPr>
          <w:szCs w:val="22"/>
          <w:lang w:val="sr-Latn-ME"/>
        </w:rPr>
        <w:t>.</w:t>
      </w:r>
    </w:p>
    <w:p w14:paraId="51354AF0" w14:textId="77777777" w:rsidR="00775BB9" w:rsidRPr="0045764A" w:rsidRDefault="00775BB9" w:rsidP="00C65330">
      <w:pPr>
        <w:rPr>
          <w:szCs w:val="22"/>
          <w:lang w:val="sr-Latn-ME"/>
        </w:rPr>
      </w:pPr>
    </w:p>
    <w:p w14:paraId="4B3C67AB" w14:textId="18A40B46" w:rsidR="00CE09F3" w:rsidRPr="0045764A" w:rsidRDefault="00CE09F3" w:rsidP="00C65330">
      <w:pPr>
        <w:rPr>
          <w:b/>
          <w:bCs/>
          <w:szCs w:val="22"/>
          <w:lang w:val="sr-Latn-ME"/>
        </w:rPr>
      </w:pPr>
      <w:r w:rsidRPr="0045764A">
        <w:rPr>
          <w:b/>
          <w:bCs/>
          <w:szCs w:val="22"/>
          <w:lang w:val="sr-Latn-ME"/>
        </w:rPr>
        <w:t>6.6. Posebne m</w:t>
      </w:r>
      <w:r w:rsidR="0062178D" w:rsidRPr="0045764A">
        <w:rPr>
          <w:b/>
          <w:bCs/>
          <w:szCs w:val="22"/>
          <w:lang w:val="sr-Latn-ME"/>
        </w:rPr>
        <w:t>j</w:t>
      </w:r>
      <w:r w:rsidRPr="0045764A">
        <w:rPr>
          <w:b/>
          <w:bCs/>
          <w:szCs w:val="22"/>
          <w:lang w:val="sr-Latn-ME"/>
        </w:rPr>
        <w:t xml:space="preserve">ere opreza pri odlaganju materijala koji treba odbaciti nakon </w:t>
      </w:r>
      <w:r w:rsidR="008E2492" w:rsidRPr="0045764A">
        <w:rPr>
          <w:b/>
          <w:bCs/>
          <w:szCs w:val="22"/>
          <w:lang w:val="sr-Latn-ME"/>
        </w:rPr>
        <w:t>primjen</w:t>
      </w:r>
      <w:r w:rsidRPr="0045764A">
        <w:rPr>
          <w:b/>
          <w:bCs/>
          <w:szCs w:val="22"/>
          <w:lang w:val="sr-Latn-ME"/>
        </w:rPr>
        <w:t xml:space="preserve">e </w:t>
      </w:r>
      <w:r w:rsidR="00593BF5" w:rsidRPr="0045764A">
        <w:rPr>
          <w:b/>
          <w:bCs/>
          <w:szCs w:val="22"/>
          <w:lang w:val="sr-Latn-ME"/>
        </w:rPr>
        <w:t>lijek</w:t>
      </w:r>
      <w:r w:rsidRPr="0045764A">
        <w:rPr>
          <w:b/>
          <w:bCs/>
          <w:szCs w:val="22"/>
          <w:lang w:val="sr-Latn-ME"/>
        </w:rPr>
        <w:t xml:space="preserve">a (i druga uputstva za rukovanje </w:t>
      </w:r>
      <w:r w:rsidR="00593BF5" w:rsidRPr="0045764A">
        <w:rPr>
          <w:b/>
          <w:bCs/>
          <w:szCs w:val="22"/>
          <w:lang w:val="sr-Latn-ME"/>
        </w:rPr>
        <w:t>lijek</w:t>
      </w:r>
      <w:r w:rsidRPr="0045764A">
        <w:rPr>
          <w:b/>
          <w:bCs/>
          <w:szCs w:val="22"/>
          <w:lang w:val="sr-Latn-ME"/>
        </w:rPr>
        <w:t>om)</w:t>
      </w:r>
    </w:p>
    <w:p w14:paraId="4B3C67AC" w14:textId="77777777" w:rsidR="00CE09F3" w:rsidRPr="0045764A" w:rsidRDefault="00CE09F3" w:rsidP="00C65330">
      <w:pPr>
        <w:rPr>
          <w:szCs w:val="22"/>
          <w:lang w:val="sr-Latn-ME"/>
        </w:rPr>
      </w:pPr>
    </w:p>
    <w:p w14:paraId="1FB8267C" w14:textId="640FA357" w:rsidR="00D85994" w:rsidRPr="0045764A" w:rsidRDefault="00D85994" w:rsidP="00C65330">
      <w:pPr>
        <w:rPr>
          <w:szCs w:val="22"/>
          <w:lang w:val="sr-Latn-ME"/>
        </w:rPr>
      </w:pPr>
      <w:r w:rsidRPr="0045764A">
        <w:rPr>
          <w:szCs w:val="22"/>
          <w:lang w:val="sr-Latn-ME"/>
        </w:rPr>
        <w:t xml:space="preserve">Svu neiskorišćenu količinu </w:t>
      </w:r>
      <w:r w:rsidR="00593BF5" w:rsidRPr="0045764A">
        <w:rPr>
          <w:szCs w:val="22"/>
          <w:lang w:val="sr-Latn-ME"/>
        </w:rPr>
        <w:t>lijek</w:t>
      </w:r>
      <w:r w:rsidRPr="0045764A">
        <w:rPr>
          <w:szCs w:val="22"/>
          <w:lang w:val="sr-Latn-ME"/>
        </w:rPr>
        <w:t>a ili otpadnog materijala nakon njegove upotrebe treba ukloniti u skladu sa važećim propisima.</w:t>
      </w:r>
    </w:p>
    <w:p w14:paraId="4B3C67AD" w14:textId="70F86708" w:rsidR="00CE09F3" w:rsidRPr="0045764A" w:rsidRDefault="00CE09F3" w:rsidP="00C65330">
      <w:pPr>
        <w:rPr>
          <w:szCs w:val="22"/>
          <w:lang w:val="sr-Latn-ME"/>
        </w:rPr>
      </w:pPr>
    </w:p>
    <w:p w14:paraId="04959533" w14:textId="77777777" w:rsidR="0069180D" w:rsidRPr="0045764A" w:rsidRDefault="0069180D" w:rsidP="00C65330">
      <w:pPr>
        <w:rPr>
          <w:szCs w:val="22"/>
          <w:lang w:val="sr-Latn-ME"/>
        </w:rPr>
      </w:pPr>
    </w:p>
    <w:p w14:paraId="21969197" w14:textId="77777777" w:rsidR="004B3C86" w:rsidRPr="0045764A" w:rsidRDefault="004B3C86" w:rsidP="004B3C86">
      <w:pPr>
        <w:tabs>
          <w:tab w:val="clear" w:pos="284"/>
          <w:tab w:val="left" w:pos="540"/>
          <w:tab w:val="left" w:pos="569"/>
        </w:tabs>
        <w:jc w:val="left"/>
        <w:rPr>
          <w:b/>
          <w:bCs/>
          <w:szCs w:val="22"/>
          <w:lang w:val="sr-Latn-ME"/>
        </w:rPr>
      </w:pPr>
      <w:r w:rsidRPr="0045764A">
        <w:rPr>
          <w:b/>
          <w:bCs/>
          <w:szCs w:val="22"/>
          <w:lang w:val="sr-Latn-ME"/>
        </w:rPr>
        <w:t xml:space="preserve">7. </w:t>
      </w:r>
      <w:r w:rsidRPr="0045764A">
        <w:rPr>
          <w:b/>
          <w:bCs/>
          <w:szCs w:val="22"/>
          <w:lang w:val="sr-Latn-ME"/>
        </w:rPr>
        <w:tab/>
        <w:t xml:space="preserve">NOSILAC DOZVOLE </w:t>
      </w:r>
    </w:p>
    <w:p w14:paraId="285C08D3" w14:textId="0CD0BD4E" w:rsidR="004B3C86" w:rsidRPr="0045764A" w:rsidRDefault="004B3C86" w:rsidP="004B3C86">
      <w:pPr>
        <w:tabs>
          <w:tab w:val="clear" w:pos="284"/>
          <w:tab w:val="left" w:pos="540"/>
          <w:tab w:val="left" w:pos="569"/>
        </w:tabs>
        <w:jc w:val="left"/>
        <w:rPr>
          <w:bCs/>
          <w:szCs w:val="22"/>
          <w:lang w:val="sr-Latn-ME"/>
        </w:rPr>
      </w:pPr>
    </w:p>
    <w:p w14:paraId="3EFB041F" w14:textId="4E71BA0D" w:rsidR="004B3C86" w:rsidRPr="0045764A" w:rsidRDefault="004B3C86" w:rsidP="004B3C86">
      <w:pPr>
        <w:tabs>
          <w:tab w:val="clear" w:pos="284"/>
          <w:tab w:val="left" w:pos="540"/>
          <w:tab w:val="left" w:pos="569"/>
        </w:tabs>
        <w:jc w:val="left"/>
        <w:rPr>
          <w:bCs/>
          <w:szCs w:val="22"/>
          <w:lang w:val="sr-Latn-ME"/>
        </w:rPr>
      </w:pPr>
      <w:r w:rsidRPr="0045764A">
        <w:rPr>
          <w:bCs/>
          <w:szCs w:val="22"/>
          <w:lang w:val="sr-Latn-ME"/>
        </w:rPr>
        <w:t>Hemofar</w:t>
      </w:r>
      <w:r w:rsidR="00C76671" w:rsidRPr="0045764A">
        <w:rPr>
          <w:bCs/>
          <w:szCs w:val="22"/>
          <w:lang w:val="sr-Latn-ME"/>
        </w:rPr>
        <w:t>m</w:t>
      </w:r>
      <w:r w:rsidRPr="0045764A">
        <w:rPr>
          <w:bCs/>
          <w:szCs w:val="22"/>
          <w:lang w:val="sr-Latn-ME"/>
        </w:rPr>
        <w:t xml:space="preserve"> A</w:t>
      </w:r>
      <w:r w:rsidR="00C76671" w:rsidRPr="0045764A">
        <w:rPr>
          <w:bCs/>
          <w:szCs w:val="22"/>
          <w:lang w:val="sr-Latn-ME"/>
        </w:rPr>
        <w:t>.</w:t>
      </w:r>
      <w:r w:rsidRPr="0045764A">
        <w:rPr>
          <w:bCs/>
          <w:szCs w:val="22"/>
          <w:lang w:val="sr-Latn-ME"/>
        </w:rPr>
        <w:t>D</w:t>
      </w:r>
      <w:r w:rsidR="00C76671" w:rsidRPr="0045764A">
        <w:rPr>
          <w:bCs/>
          <w:szCs w:val="22"/>
          <w:lang w:val="sr-Latn-ME"/>
        </w:rPr>
        <w:t>.</w:t>
      </w:r>
      <w:r w:rsidRPr="0045764A">
        <w:rPr>
          <w:bCs/>
          <w:szCs w:val="22"/>
          <w:lang w:val="sr-Latn-ME"/>
        </w:rPr>
        <w:t xml:space="preserve"> Vršac PJ Podgorica</w:t>
      </w:r>
    </w:p>
    <w:p w14:paraId="00C0E8D7" w14:textId="2050FD08" w:rsidR="004B3C86" w:rsidRPr="0045764A" w:rsidRDefault="004B3C86" w:rsidP="004B3C86">
      <w:pPr>
        <w:tabs>
          <w:tab w:val="clear" w:pos="284"/>
          <w:tab w:val="left" w:pos="540"/>
          <w:tab w:val="left" w:pos="569"/>
        </w:tabs>
        <w:jc w:val="left"/>
        <w:rPr>
          <w:bCs/>
          <w:szCs w:val="22"/>
          <w:lang w:val="sr-Latn-ME"/>
        </w:rPr>
      </w:pPr>
      <w:r w:rsidRPr="0045764A">
        <w:rPr>
          <w:bCs/>
          <w:szCs w:val="22"/>
          <w:lang w:val="sr-Latn-ME"/>
        </w:rPr>
        <w:t>8 marta 55A,</w:t>
      </w:r>
      <w:r w:rsidR="00C76671" w:rsidRPr="0045764A">
        <w:rPr>
          <w:bCs/>
          <w:szCs w:val="22"/>
          <w:lang w:val="sr-Latn-ME"/>
        </w:rPr>
        <w:t xml:space="preserve"> </w:t>
      </w:r>
      <w:r w:rsidRPr="0045764A">
        <w:rPr>
          <w:bCs/>
          <w:szCs w:val="22"/>
          <w:lang w:val="sr-Latn-ME"/>
        </w:rPr>
        <w:t>Podgorica,</w:t>
      </w:r>
      <w:r w:rsidR="00C76671" w:rsidRPr="0045764A">
        <w:rPr>
          <w:bCs/>
          <w:szCs w:val="22"/>
          <w:lang w:val="sr-Latn-ME"/>
        </w:rPr>
        <w:t xml:space="preserve"> </w:t>
      </w:r>
      <w:r w:rsidRPr="0045764A">
        <w:rPr>
          <w:bCs/>
          <w:szCs w:val="22"/>
          <w:lang w:val="sr-Latn-ME"/>
        </w:rPr>
        <w:t>Crna Gora</w:t>
      </w:r>
    </w:p>
    <w:p w14:paraId="6DCB5E9E" w14:textId="225D3EE2" w:rsidR="004B3C86" w:rsidRPr="0045764A" w:rsidRDefault="004B3C86" w:rsidP="004B3C86">
      <w:pPr>
        <w:tabs>
          <w:tab w:val="clear" w:pos="284"/>
          <w:tab w:val="left" w:pos="540"/>
          <w:tab w:val="left" w:pos="569"/>
        </w:tabs>
        <w:jc w:val="left"/>
        <w:rPr>
          <w:bCs/>
          <w:szCs w:val="22"/>
          <w:lang w:val="sr-Latn-ME"/>
        </w:rPr>
      </w:pPr>
    </w:p>
    <w:p w14:paraId="6E42206B" w14:textId="77777777" w:rsidR="0069180D" w:rsidRPr="0045764A" w:rsidRDefault="0069180D" w:rsidP="004B3C86">
      <w:pPr>
        <w:tabs>
          <w:tab w:val="clear" w:pos="284"/>
          <w:tab w:val="left" w:pos="540"/>
          <w:tab w:val="left" w:pos="569"/>
        </w:tabs>
        <w:jc w:val="left"/>
        <w:rPr>
          <w:bCs/>
          <w:szCs w:val="22"/>
          <w:lang w:val="sr-Latn-ME"/>
        </w:rPr>
      </w:pPr>
    </w:p>
    <w:p w14:paraId="2DF9B6AE" w14:textId="77777777" w:rsidR="004B3C86" w:rsidRPr="0045764A" w:rsidRDefault="004B3C86" w:rsidP="004B3C86">
      <w:pPr>
        <w:tabs>
          <w:tab w:val="clear" w:pos="284"/>
          <w:tab w:val="left" w:pos="540"/>
          <w:tab w:val="left" w:pos="569"/>
        </w:tabs>
        <w:jc w:val="left"/>
        <w:rPr>
          <w:b/>
          <w:bCs/>
          <w:szCs w:val="22"/>
          <w:lang w:val="sr-Latn-ME"/>
        </w:rPr>
      </w:pPr>
      <w:r w:rsidRPr="0045764A">
        <w:rPr>
          <w:b/>
          <w:bCs/>
          <w:szCs w:val="22"/>
          <w:lang w:val="sr-Latn-ME"/>
        </w:rPr>
        <w:t xml:space="preserve">8. </w:t>
      </w:r>
      <w:r w:rsidRPr="0045764A">
        <w:rPr>
          <w:b/>
          <w:bCs/>
          <w:szCs w:val="22"/>
          <w:lang w:val="sr-Latn-ME"/>
        </w:rPr>
        <w:tab/>
        <w:t>BROJ DOZVOLE ZA STAVLJANJE LIJEKA U PROMET</w:t>
      </w:r>
    </w:p>
    <w:p w14:paraId="5FE1FE9C" w14:textId="77777777" w:rsidR="004B3C86" w:rsidRPr="0045764A" w:rsidRDefault="004B3C86" w:rsidP="004B3C86">
      <w:pPr>
        <w:tabs>
          <w:tab w:val="clear" w:pos="284"/>
          <w:tab w:val="left" w:pos="540"/>
          <w:tab w:val="left" w:pos="569"/>
        </w:tabs>
        <w:jc w:val="left"/>
        <w:rPr>
          <w:bCs/>
          <w:szCs w:val="22"/>
          <w:lang w:val="sr-Latn-ME"/>
        </w:rPr>
      </w:pPr>
    </w:p>
    <w:p w14:paraId="3B42022E" w14:textId="348A64E4" w:rsidR="00E35F2A" w:rsidRPr="0045764A" w:rsidRDefault="00E35F2A" w:rsidP="00E35F2A">
      <w:pPr>
        <w:rPr>
          <w:szCs w:val="22"/>
          <w:lang w:val="sr-Latn-ME"/>
        </w:rPr>
      </w:pPr>
      <w:proofErr w:type="spellStart"/>
      <w:r w:rsidRPr="0045764A">
        <w:rPr>
          <w:bCs/>
          <w:i/>
          <w:szCs w:val="22"/>
          <w:lang w:val="sr-Latn-ME"/>
        </w:rPr>
        <w:t>Aksitinib</w:t>
      </w:r>
      <w:proofErr w:type="spellEnd"/>
      <w:r w:rsidRPr="0045764A">
        <w:rPr>
          <w:bCs/>
          <w:i/>
          <w:szCs w:val="22"/>
          <w:lang w:val="sr-Latn-ME"/>
        </w:rPr>
        <w:t xml:space="preserve"> STADA, 1 mg, film tableta</w:t>
      </w:r>
      <w:r w:rsidRPr="0045764A">
        <w:rPr>
          <w:bCs/>
          <w:szCs w:val="22"/>
          <w:lang w:val="sr-Latn-ME"/>
        </w:rPr>
        <w:t>:</w:t>
      </w:r>
      <w:r w:rsidRPr="000F2AD6">
        <w:rPr>
          <w:bCs/>
          <w:szCs w:val="22"/>
          <w:lang w:val="sr-Latn-ME"/>
        </w:rPr>
        <w:t xml:space="preserve"> </w:t>
      </w:r>
      <w:r w:rsidR="000F2AD6" w:rsidRPr="000F2AD6">
        <w:rPr>
          <w:bCs/>
          <w:szCs w:val="22"/>
        </w:rPr>
        <w:t>2030/24/6722 - 2499</w:t>
      </w:r>
    </w:p>
    <w:p w14:paraId="6E5A7F84" w14:textId="6B35E9BC" w:rsidR="00E35F2A" w:rsidRPr="0045764A" w:rsidRDefault="00E35F2A" w:rsidP="00E35F2A">
      <w:pPr>
        <w:rPr>
          <w:szCs w:val="22"/>
          <w:lang w:val="sr-Latn-ME"/>
        </w:rPr>
      </w:pPr>
      <w:proofErr w:type="spellStart"/>
      <w:r w:rsidRPr="0045764A">
        <w:rPr>
          <w:bCs/>
          <w:i/>
          <w:szCs w:val="22"/>
          <w:lang w:val="sr-Latn-ME"/>
        </w:rPr>
        <w:t>Aksitinib</w:t>
      </w:r>
      <w:proofErr w:type="spellEnd"/>
      <w:r w:rsidRPr="0045764A">
        <w:rPr>
          <w:bCs/>
          <w:i/>
          <w:szCs w:val="22"/>
          <w:lang w:val="sr-Latn-ME"/>
        </w:rPr>
        <w:t xml:space="preserve"> STADA, 3 mg, film tableta</w:t>
      </w:r>
      <w:r w:rsidRPr="0045764A">
        <w:rPr>
          <w:bCs/>
          <w:szCs w:val="22"/>
          <w:lang w:val="sr-Latn-ME"/>
        </w:rPr>
        <w:t xml:space="preserve">: </w:t>
      </w:r>
      <w:r w:rsidR="000F2AD6" w:rsidRPr="000F2AD6">
        <w:rPr>
          <w:bCs/>
          <w:szCs w:val="22"/>
        </w:rPr>
        <w:t>2030/24/6723 - 2497</w:t>
      </w:r>
    </w:p>
    <w:p w14:paraId="20DADEDF" w14:textId="6068E2E6" w:rsidR="00E35F2A" w:rsidRPr="0045764A" w:rsidRDefault="00E35F2A" w:rsidP="00E35F2A">
      <w:pPr>
        <w:rPr>
          <w:szCs w:val="22"/>
          <w:lang w:val="sr-Latn-ME"/>
        </w:rPr>
      </w:pPr>
      <w:proofErr w:type="spellStart"/>
      <w:r w:rsidRPr="0045764A">
        <w:rPr>
          <w:bCs/>
          <w:i/>
          <w:szCs w:val="22"/>
          <w:lang w:val="sr-Latn-ME"/>
        </w:rPr>
        <w:t>Aksitinib</w:t>
      </w:r>
      <w:proofErr w:type="spellEnd"/>
      <w:r w:rsidRPr="0045764A">
        <w:rPr>
          <w:bCs/>
          <w:i/>
          <w:szCs w:val="22"/>
          <w:lang w:val="sr-Latn-ME"/>
        </w:rPr>
        <w:t xml:space="preserve"> STADA, 5 mg, film tableta</w:t>
      </w:r>
      <w:r w:rsidRPr="0045764A">
        <w:rPr>
          <w:bCs/>
          <w:szCs w:val="22"/>
          <w:lang w:val="sr-Latn-ME"/>
        </w:rPr>
        <w:t xml:space="preserve">: </w:t>
      </w:r>
      <w:r w:rsidR="000F2AD6" w:rsidRPr="000F2AD6">
        <w:rPr>
          <w:bCs/>
          <w:szCs w:val="22"/>
        </w:rPr>
        <w:t>2030/24/6724 - 2458</w:t>
      </w:r>
    </w:p>
    <w:p w14:paraId="7BF198DC" w14:textId="5BC19E88" w:rsidR="004B3C86" w:rsidRPr="0045764A" w:rsidRDefault="00E35F2A" w:rsidP="00E35F2A">
      <w:pPr>
        <w:rPr>
          <w:szCs w:val="22"/>
          <w:lang w:val="sr-Latn-ME"/>
        </w:rPr>
      </w:pPr>
      <w:proofErr w:type="spellStart"/>
      <w:r w:rsidRPr="0045764A">
        <w:rPr>
          <w:bCs/>
          <w:i/>
          <w:szCs w:val="22"/>
          <w:lang w:val="sr-Latn-ME"/>
        </w:rPr>
        <w:t>Aksitinib</w:t>
      </w:r>
      <w:proofErr w:type="spellEnd"/>
      <w:r w:rsidRPr="0045764A">
        <w:rPr>
          <w:bCs/>
          <w:i/>
          <w:szCs w:val="22"/>
          <w:lang w:val="sr-Latn-ME"/>
        </w:rPr>
        <w:t xml:space="preserve"> STADA, 7 mg, film tableta</w:t>
      </w:r>
      <w:r w:rsidRPr="0045764A">
        <w:rPr>
          <w:bCs/>
          <w:szCs w:val="22"/>
          <w:lang w:val="sr-Latn-ME"/>
        </w:rPr>
        <w:t xml:space="preserve">: </w:t>
      </w:r>
      <w:r w:rsidR="000F2AD6" w:rsidRPr="000F2AD6">
        <w:rPr>
          <w:bCs/>
          <w:szCs w:val="22"/>
        </w:rPr>
        <w:t>2030/24/6725 - 2500</w:t>
      </w:r>
    </w:p>
    <w:p w14:paraId="06EA4550" w14:textId="77777777" w:rsidR="00955A2D" w:rsidRPr="0045764A" w:rsidRDefault="00955A2D" w:rsidP="004B3C86">
      <w:pPr>
        <w:tabs>
          <w:tab w:val="clear" w:pos="284"/>
          <w:tab w:val="left" w:pos="540"/>
          <w:tab w:val="left" w:pos="569"/>
        </w:tabs>
        <w:jc w:val="left"/>
        <w:rPr>
          <w:bCs/>
          <w:szCs w:val="22"/>
          <w:lang w:val="sr-Latn-ME"/>
        </w:rPr>
      </w:pPr>
    </w:p>
    <w:p w14:paraId="7E82293A" w14:textId="77777777" w:rsidR="004B3C86" w:rsidRPr="0045764A" w:rsidRDefault="004B3C86" w:rsidP="004B3C86">
      <w:pPr>
        <w:tabs>
          <w:tab w:val="clear" w:pos="284"/>
          <w:tab w:val="left" w:pos="540"/>
          <w:tab w:val="left" w:pos="569"/>
        </w:tabs>
        <w:jc w:val="left"/>
        <w:rPr>
          <w:b/>
          <w:bCs/>
          <w:szCs w:val="22"/>
          <w:lang w:val="sr-Latn-ME"/>
        </w:rPr>
      </w:pPr>
      <w:r w:rsidRPr="0045764A">
        <w:rPr>
          <w:b/>
          <w:bCs/>
          <w:szCs w:val="22"/>
          <w:lang w:val="sr-Latn-ME"/>
        </w:rPr>
        <w:lastRenderedPageBreak/>
        <w:t xml:space="preserve">9. </w:t>
      </w:r>
      <w:r w:rsidRPr="0045764A">
        <w:rPr>
          <w:b/>
          <w:bCs/>
          <w:szCs w:val="22"/>
          <w:lang w:val="sr-Latn-ME"/>
        </w:rPr>
        <w:tab/>
      </w:r>
      <w:bookmarkStart w:id="0" w:name="_GoBack"/>
      <w:bookmarkEnd w:id="0"/>
      <w:r w:rsidRPr="0045764A">
        <w:rPr>
          <w:b/>
          <w:bCs/>
          <w:szCs w:val="22"/>
          <w:lang w:val="sr-Latn-ME"/>
        </w:rPr>
        <w:t>DATUM PRVE DOZVOLE/OBNOVE DOZVOLE ZA STAVLJANJE LIJEKA U PROMET</w:t>
      </w:r>
    </w:p>
    <w:p w14:paraId="62749945" w14:textId="77777777" w:rsidR="004B3C86" w:rsidRPr="0045764A" w:rsidRDefault="004B3C86" w:rsidP="004B3C86">
      <w:pPr>
        <w:tabs>
          <w:tab w:val="clear" w:pos="284"/>
          <w:tab w:val="left" w:pos="540"/>
          <w:tab w:val="left" w:pos="569"/>
        </w:tabs>
        <w:jc w:val="left"/>
        <w:rPr>
          <w:bCs/>
          <w:szCs w:val="22"/>
          <w:lang w:val="sr-Latn-ME"/>
        </w:rPr>
      </w:pPr>
    </w:p>
    <w:p w14:paraId="4DBEB915" w14:textId="52335B51" w:rsidR="00955A2D" w:rsidRPr="0045764A" w:rsidRDefault="000F2AD6" w:rsidP="004B3C86">
      <w:pPr>
        <w:tabs>
          <w:tab w:val="clear" w:pos="284"/>
          <w:tab w:val="left" w:pos="540"/>
          <w:tab w:val="left" w:pos="569"/>
        </w:tabs>
        <w:jc w:val="left"/>
        <w:rPr>
          <w:bCs/>
          <w:szCs w:val="22"/>
          <w:lang w:val="sr-Latn-ME"/>
        </w:rPr>
      </w:pPr>
      <w:r w:rsidRPr="000F2AD6">
        <w:rPr>
          <w:bCs/>
          <w:szCs w:val="22"/>
          <w:lang w:val="sr-Latn-ME"/>
        </w:rPr>
        <w:t>17.12.2024. godine</w:t>
      </w:r>
    </w:p>
    <w:p w14:paraId="2E28C801" w14:textId="4B824D00" w:rsidR="004B3C86" w:rsidRDefault="004B3C86" w:rsidP="004B3C86">
      <w:pPr>
        <w:tabs>
          <w:tab w:val="clear" w:pos="284"/>
          <w:tab w:val="left" w:pos="540"/>
          <w:tab w:val="left" w:pos="569"/>
        </w:tabs>
        <w:jc w:val="left"/>
        <w:rPr>
          <w:bCs/>
          <w:szCs w:val="22"/>
          <w:lang w:val="sr-Latn-ME"/>
        </w:rPr>
      </w:pPr>
    </w:p>
    <w:p w14:paraId="60D0E01A" w14:textId="77777777" w:rsidR="000F2AD6" w:rsidRPr="0045764A" w:rsidRDefault="000F2AD6" w:rsidP="004B3C86">
      <w:pPr>
        <w:tabs>
          <w:tab w:val="clear" w:pos="284"/>
          <w:tab w:val="left" w:pos="540"/>
          <w:tab w:val="left" w:pos="569"/>
        </w:tabs>
        <w:jc w:val="left"/>
        <w:rPr>
          <w:bCs/>
          <w:szCs w:val="22"/>
          <w:lang w:val="sr-Latn-ME"/>
        </w:rPr>
      </w:pPr>
    </w:p>
    <w:p w14:paraId="6D8DA354" w14:textId="77777777" w:rsidR="004B3C86" w:rsidRPr="0045764A" w:rsidRDefault="004B3C86" w:rsidP="004B3C86">
      <w:pPr>
        <w:tabs>
          <w:tab w:val="clear" w:pos="284"/>
          <w:tab w:val="left" w:pos="540"/>
          <w:tab w:val="left" w:pos="569"/>
        </w:tabs>
        <w:ind w:left="540" w:hanging="540"/>
        <w:jc w:val="left"/>
        <w:rPr>
          <w:bCs/>
          <w:szCs w:val="22"/>
          <w:lang w:val="sr-Latn-ME"/>
        </w:rPr>
      </w:pPr>
      <w:r w:rsidRPr="0045764A">
        <w:rPr>
          <w:b/>
          <w:bCs/>
          <w:szCs w:val="22"/>
          <w:lang w:val="sr-Latn-ME"/>
        </w:rPr>
        <w:t xml:space="preserve">10. </w:t>
      </w:r>
      <w:r w:rsidRPr="0045764A">
        <w:rPr>
          <w:b/>
          <w:bCs/>
          <w:szCs w:val="22"/>
          <w:lang w:val="sr-Latn-ME"/>
        </w:rPr>
        <w:tab/>
        <w:t xml:space="preserve">DATUM REVIZIJE TEKSTA </w:t>
      </w:r>
    </w:p>
    <w:p w14:paraId="16B95380" w14:textId="29331B1F" w:rsidR="00FF0701" w:rsidRPr="0045764A" w:rsidRDefault="00FF0701" w:rsidP="0062178D">
      <w:pPr>
        <w:pStyle w:val="NASLOV123"/>
        <w:spacing w:before="0" w:after="0"/>
        <w:jc w:val="both"/>
        <w:rPr>
          <w:bCs/>
          <w:lang w:val="sr-Latn-ME"/>
        </w:rPr>
      </w:pPr>
    </w:p>
    <w:p w14:paraId="28A43946" w14:textId="5C70F1A2" w:rsidR="004B3C86" w:rsidRPr="0045764A" w:rsidRDefault="00E35F2A">
      <w:pPr>
        <w:pStyle w:val="NASLOV123"/>
        <w:spacing w:before="0" w:after="0"/>
        <w:jc w:val="both"/>
        <w:rPr>
          <w:b w:val="0"/>
          <w:lang w:val="sr-Latn-ME"/>
        </w:rPr>
      </w:pPr>
      <w:r w:rsidRPr="0045764A">
        <w:rPr>
          <w:b w:val="0"/>
          <w:lang w:val="sr-Latn-ME"/>
        </w:rPr>
        <w:t>Decembar, 2024.</w:t>
      </w:r>
      <w:r w:rsidR="000F2AD6">
        <w:rPr>
          <w:b w:val="0"/>
          <w:lang w:val="sr-Latn-ME"/>
        </w:rPr>
        <w:t xml:space="preserve"> godine</w:t>
      </w:r>
    </w:p>
    <w:sectPr w:rsidR="004B3C86" w:rsidRPr="0045764A" w:rsidSect="000D71AB">
      <w:footerReference w:type="even" r:id="rId15"/>
      <w:footerReference w:type="default" r:id="rId16"/>
      <w:pgSz w:w="11907" w:h="16840" w:code="9"/>
      <w:pgMar w:top="1440" w:right="1440" w:bottom="1440" w:left="1440"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53EAC" w14:textId="77777777" w:rsidR="00AB0FD3" w:rsidRDefault="00AB0FD3">
      <w:r>
        <w:separator/>
      </w:r>
    </w:p>
  </w:endnote>
  <w:endnote w:type="continuationSeparator" w:id="0">
    <w:p w14:paraId="14D96AFC" w14:textId="77777777" w:rsidR="00AB0FD3" w:rsidRDefault="00AB0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charset w:val="00"/>
    <w:family w:val="swiss"/>
    <w:pitch w:val="variable"/>
    <w:sig w:usb0="00000087" w:usb1="00000000" w:usb2="00000000" w:usb3="00000000" w:csb0="0000001B" w:csb1="00000000"/>
  </w:font>
  <w:font w:name="TimesNewRoman">
    <w:altName w:val="MS Gothic"/>
    <w:panose1 w:val="00000000000000000000"/>
    <w:charset w:val="EE"/>
    <w:family w:val="auto"/>
    <w:notTrueType/>
    <w:pitch w:val="default"/>
    <w:sig w:usb0="00000005" w:usb1="08070000" w:usb2="00000010" w:usb3="00000000" w:csb0="00020002"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C67C7" w14:textId="77777777" w:rsidR="0045764A" w:rsidRDefault="0045764A"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B3C67C8" w14:textId="77777777" w:rsidR="0045764A" w:rsidRDefault="004576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C67CA" w14:textId="078D22AB" w:rsidR="0045764A" w:rsidRPr="00C536C2" w:rsidRDefault="0045764A" w:rsidP="00873119">
    <w:pPr>
      <w:pStyle w:val="Footer"/>
      <w:jc w:val="center"/>
    </w:pPr>
    <w:r w:rsidRPr="00B23F69">
      <w:rPr>
        <w:szCs w:val="22"/>
      </w:rPr>
      <w:fldChar w:fldCharType="begin"/>
    </w:r>
    <w:r w:rsidRPr="00B23F69">
      <w:rPr>
        <w:szCs w:val="22"/>
      </w:rPr>
      <w:instrText xml:space="preserve"> PAGE </w:instrText>
    </w:r>
    <w:r w:rsidRPr="00B23F69">
      <w:rPr>
        <w:szCs w:val="22"/>
      </w:rPr>
      <w:fldChar w:fldCharType="separate"/>
    </w:r>
    <w:r w:rsidR="000F2AD6">
      <w:rPr>
        <w:noProof/>
        <w:szCs w:val="22"/>
      </w:rPr>
      <w:t>20</w:t>
    </w:r>
    <w:r w:rsidRPr="00B23F69">
      <w:rPr>
        <w:szCs w:val="22"/>
      </w:rPr>
      <w:fldChar w:fldCharType="end"/>
    </w:r>
    <w:r w:rsidRPr="00B23F69">
      <w:rPr>
        <w:szCs w:val="22"/>
      </w:rPr>
      <w:t xml:space="preserve"> / </w:t>
    </w:r>
    <w:r w:rsidRPr="00B23F69">
      <w:rPr>
        <w:szCs w:val="22"/>
      </w:rPr>
      <w:fldChar w:fldCharType="begin"/>
    </w:r>
    <w:r w:rsidRPr="00B23F69">
      <w:rPr>
        <w:szCs w:val="22"/>
      </w:rPr>
      <w:instrText xml:space="preserve"> NUMPAGES </w:instrText>
    </w:r>
    <w:r w:rsidRPr="00B23F69">
      <w:rPr>
        <w:szCs w:val="22"/>
      </w:rPr>
      <w:fldChar w:fldCharType="separate"/>
    </w:r>
    <w:r w:rsidR="000F2AD6">
      <w:rPr>
        <w:noProof/>
        <w:szCs w:val="22"/>
      </w:rPr>
      <w:t>20</w:t>
    </w:r>
    <w:r w:rsidRPr="00B23F69">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A0E32" w14:textId="77777777" w:rsidR="00AB0FD3" w:rsidRDefault="00AB0FD3">
      <w:r>
        <w:separator/>
      </w:r>
    </w:p>
  </w:footnote>
  <w:footnote w:type="continuationSeparator" w:id="0">
    <w:p w14:paraId="1DB0B505" w14:textId="77777777" w:rsidR="00AB0FD3" w:rsidRDefault="00AB0F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CCE1772"/>
    <w:multiLevelType w:val="hybridMultilevel"/>
    <w:tmpl w:val="6B54D0E0"/>
    <w:lvl w:ilvl="0" w:tplc="9DD6C48E">
      <w:start w:val="1"/>
      <w:numFmt w:val="lowerLetter"/>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8E42DE"/>
    <w:multiLevelType w:val="hybridMultilevel"/>
    <w:tmpl w:val="09A8BCB4"/>
    <w:lvl w:ilvl="0" w:tplc="E32A60B0">
      <w:start w:val="1"/>
      <w:numFmt w:val="lowerLetter"/>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0"/>
    <w:lvlOverride w:ilvl="0">
      <w:startOverride w:val="7"/>
    </w:lvlOverride>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154B7"/>
    <w:rsid w:val="00017801"/>
    <w:rsid w:val="00021AB6"/>
    <w:rsid w:val="000248FC"/>
    <w:rsid w:val="000252D9"/>
    <w:rsid w:val="0002610E"/>
    <w:rsid w:val="00027C3F"/>
    <w:rsid w:val="00040CDC"/>
    <w:rsid w:val="0004148C"/>
    <w:rsid w:val="00043115"/>
    <w:rsid w:val="00046533"/>
    <w:rsid w:val="00046FB7"/>
    <w:rsid w:val="0005798D"/>
    <w:rsid w:val="00064273"/>
    <w:rsid w:val="00070D0B"/>
    <w:rsid w:val="00072919"/>
    <w:rsid w:val="00075D8A"/>
    <w:rsid w:val="00083BE0"/>
    <w:rsid w:val="00083F43"/>
    <w:rsid w:val="00086EB2"/>
    <w:rsid w:val="0009070C"/>
    <w:rsid w:val="000922C2"/>
    <w:rsid w:val="000953AC"/>
    <w:rsid w:val="00095FB6"/>
    <w:rsid w:val="0009758B"/>
    <w:rsid w:val="000A0F4A"/>
    <w:rsid w:val="000A5B51"/>
    <w:rsid w:val="000C2BB6"/>
    <w:rsid w:val="000C5580"/>
    <w:rsid w:val="000C5E6E"/>
    <w:rsid w:val="000C6A76"/>
    <w:rsid w:val="000D5631"/>
    <w:rsid w:val="000D71AB"/>
    <w:rsid w:val="000E1949"/>
    <w:rsid w:val="000E72DE"/>
    <w:rsid w:val="000E75C0"/>
    <w:rsid w:val="000F0B40"/>
    <w:rsid w:val="000F0B73"/>
    <w:rsid w:val="000F2AD6"/>
    <w:rsid w:val="000F414C"/>
    <w:rsid w:val="00105B8B"/>
    <w:rsid w:val="00107FF2"/>
    <w:rsid w:val="00112F4B"/>
    <w:rsid w:val="00116146"/>
    <w:rsid w:val="00122C35"/>
    <w:rsid w:val="00126966"/>
    <w:rsid w:val="00127B28"/>
    <w:rsid w:val="00131E3B"/>
    <w:rsid w:val="00132CFD"/>
    <w:rsid w:val="00136387"/>
    <w:rsid w:val="00141469"/>
    <w:rsid w:val="00141639"/>
    <w:rsid w:val="0014180A"/>
    <w:rsid w:val="0014397E"/>
    <w:rsid w:val="00143E99"/>
    <w:rsid w:val="001445B8"/>
    <w:rsid w:val="00154F24"/>
    <w:rsid w:val="00154F4A"/>
    <w:rsid w:val="001605D4"/>
    <w:rsid w:val="001618FD"/>
    <w:rsid w:val="00166815"/>
    <w:rsid w:val="00171555"/>
    <w:rsid w:val="00173D18"/>
    <w:rsid w:val="001742B6"/>
    <w:rsid w:val="0017575D"/>
    <w:rsid w:val="00175772"/>
    <w:rsid w:val="00175A7E"/>
    <w:rsid w:val="00180537"/>
    <w:rsid w:val="00180C88"/>
    <w:rsid w:val="0018601D"/>
    <w:rsid w:val="001877E2"/>
    <w:rsid w:val="001914DD"/>
    <w:rsid w:val="001917CE"/>
    <w:rsid w:val="0019341B"/>
    <w:rsid w:val="001A5107"/>
    <w:rsid w:val="001A7CD2"/>
    <w:rsid w:val="001B237B"/>
    <w:rsid w:val="001B64F4"/>
    <w:rsid w:val="001B68C8"/>
    <w:rsid w:val="001B706A"/>
    <w:rsid w:val="001C3694"/>
    <w:rsid w:val="001C4AD1"/>
    <w:rsid w:val="001C5102"/>
    <w:rsid w:val="001C5B72"/>
    <w:rsid w:val="001C6C7C"/>
    <w:rsid w:val="001D0B23"/>
    <w:rsid w:val="001D10C9"/>
    <w:rsid w:val="001D16A5"/>
    <w:rsid w:val="001D1DAA"/>
    <w:rsid w:val="001E057A"/>
    <w:rsid w:val="001E0A07"/>
    <w:rsid w:val="001E2187"/>
    <w:rsid w:val="001E3A26"/>
    <w:rsid w:val="001E3B5E"/>
    <w:rsid w:val="001E4272"/>
    <w:rsid w:val="001E6145"/>
    <w:rsid w:val="001E64EF"/>
    <w:rsid w:val="001E7280"/>
    <w:rsid w:val="001F0198"/>
    <w:rsid w:val="001F2D4E"/>
    <w:rsid w:val="001F39B6"/>
    <w:rsid w:val="00200033"/>
    <w:rsid w:val="00206551"/>
    <w:rsid w:val="00207DEC"/>
    <w:rsid w:val="002126E4"/>
    <w:rsid w:val="00216763"/>
    <w:rsid w:val="0022218E"/>
    <w:rsid w:val="0022223A"/>
    <w:rsid w:val="00222AF3"/>
    <w:rsid w:val="0022376E"/>
    <w:rsid w:val="0024132F"/>
    <w:rsid w:val="00242DCD"/>
    <w:rsid w:val="00245718"/>
    <w:rsid w:val="002472E0"/>
    <w:rsid w:val="00247C5C"/>
    <w:rsid w:val="00255B0A"/>
    <w:rsid w:val="002567E4"/>
    <w:rsid w:val="00256B9B"/>
    <w:rsid w:val="00266022"/>
    <w:rsid w:val="002674D1"/>
    <w:rsid w:val="00267974"/>
    <w:rsid w:val="002706A3"/>
    <w:rsid w:val="00273BE0"/>
    <w:rsid w:val="00275E4F"/>
    <w:rsid w:val="002767D2"/>
    <w:rsid w:val="002807DF"/>
    <w:rsid w:val="00280F53"/>
    <w:rsid w:val="0028112D"/>
    <w:rsid w:val="00281B09"/>
    <w:rsid w:val="00282214"/>
    <w:rsid w:val="00285B98"/>
    <w:rsid w:val="00286CD8"/>
    <w:rsid w:val="00286EAE"/>
    <w:rsid w:val="00287554"/>
    <w:rsid w:val="002917D9"/>
    <w:rsid w:val="002962F4"/>
    <w:rsid w:val="002972AB"/>
    <w:rsid w:val="002B07D2"/>
    <w:rsid w:val="002B6F6A"/>
    <w:rsid w:val="002C0FBF"/>
    <w:rsid w:val="002C7403"/>
    <w:rsid w:val="002D01AC"/>
    <w:rsid w:val="002D1184"/>
    <w:rsid w:val="002D224F"/>
    <w:rsid w:val="002D3108"/>
    <w:rsid w:val="002D3A4A"/>
    <w:rsid w:val="002D40A5"/>
    <w:rsid w:val="002D51D9"/>
    <w:rsid w:val="002F077E"/>
    <w:rsid w:val="002F5E2F"/>
    <w:rsid w:val="002F788F"/>
    <w:rsid w:val="00303DA8"/>
    <w:rsid w:val="003110A4"/>
    <w:rsid w:val="0031245B"/>
    <w:rsid w:val="00316747"/>
    <w:rsid w:val="00316C4C"/>
    <w:rsid w:val="00316FC0"/>
    <w:rsid w:val="0031743A"/>
    <w:rsid w:val="00321242"/>
    <w:rsid w:val="00325054"/>
    <w:rsid w:val="00334376"/>
    <w:rsid w:val="00335808"/>
    <w:rsid w:val="0034350E"/>
    <w:rsid w:val="003452C0"/>
    <w:rsid w:val="00345365"/>
    <w:rsid w:val="00345F5C"/>
    <w:rsid w:val="0034697B"/>
    <w:rsid w:val="0035006B"/>
    <w:rsid w:val="00353AB9"/>
    <w:rsid w:val="00361CFF"/>
    <w:rsid w:val="0037139D"/>
    <w:rsid w:val="00371FC1"/>
    <w:rsid w:val="00373102"/>
    <w:rsid w:val="00374DEC"/>
    <w:rsid w:val="003778D8"/>
    <w:rsid w:val="00380723"/>
    <w:rsid w:val="00381A42"/>
    <w:rsid w:val="00383195"/>
    <w:rsid w:val="00385640"/>
    <w:rsid w:val="00387869"/>
    <w:rsid w:val="00396286"/>
    <w:rsid w:val="003973B7"/>
    <w:rsid w:val="003A1E82"/>
    <w:rsid w:val="003A2DF8"/>
    <w:rsid w:val="003B15BD"/>
    <w:rsid w:val="003B2082"/>
    <w:rsid w:val="003B3F69"/>
    <w:rsid w:val="003B4A13"/>
    <w:rsid w:val="003C0E23"/>
    <w:rsid w:val="003C18A4"/>
    <w:rsid w:val="003C4691"/>
    <w:rsid w:val="003D02D0"/>
    <w:rsid w:val="003D111E"/>
    <w:rsid w:val="003D2C49"/>
    <w:rsid w:val="003D3D17"/>
    <w:rsid w:val="003D4AF8"/>
    <w:rsid w:val="003D766C"/>
    <w:rsid w:val="003E04B6"/>
    <w:rsid w:val="003E3EC7"/>
    <w:rsid w:val="003E3F9D"/>
    <w:rsid w:val="003F026E"/>
    <w:rsid w:val="003F1C6B"/>
    <w:rsid w:val="003F67FD"/>
    <w:rsid w:val="004009C8"/>
    <w:rsid w:val="0040430F"/>
    <w:rsid w:val="00406C32"/>
    <w:rsid w:val="00406DF4"/>
    <w:rsid w:val="00410E6A"/>
    <w:rsid w:val="004123CD"/>
    <w:rsid w:val="00412591"/>
    <w:rsid w:val="0041565D"/>
    <w:rsid w:val="00417F3E"/>
    <w:rsid w:val="004232E2"/>
    <w:rsid w:val="004234ED"/>
    <w:rsid w:val="0042362C"/>
    <w:rsid w:val="004245B5"/>
    <w:rsid w:val="00425518"/>
    <w:rsid w:val="0042769B"/>
    <w:rsid w:val="00427D41"/>
    <w:rsid w:val="0043447C"/>
    <w:rsid w:val="0043520A"/>
    <w:rsid w:val="00435A81"/>
    <w:rsid w:val="00437301"/>
    <w:rsid w:val="00437E42"/>
    <w:rsid w:val="004410C3"/>
    <w:rsid w:val="00443480"/>
    <w:rsid w:val="00443EFD"/>
    <w:rsid w:val="00446825"/>
    <w:rsid w:val="0045116C"/>
    <w:rsid w:val="00455563"/>
    <w:rsid w:val="00456ECD"/>
    <w:rsid w:val="00456F66"/>
    <w:rsid w:val="0045764A"/>
    <w:rsid w:val="00462C33"/>
    <w:rsid w:val="00470C27"/>
    <w:rsid w:val="0047335D"/>
    <w:rsid w:val="00490A8C"/>
    <w:rsid w:val="00492248"/>
    <w:rsid w:val="0049304E"/>
    <w:rsid w:val="00497648"/>
    <w:rsid w:val="004A0D14"/>
    <w:rsid w:val="004B0058"/>
    <w:rsid w:val="004B3C86"/>
    <w:rsid w:val="004B5369"/>
    <w:rsid w:val="004B5A11"/>
    <w:rsid w:val="004B7A50"/>
    <w:rsid w:val="004C19B1"/>
    <w:rsid w:val="004C2AAF"/>
    <w:rsid w:val="004C5CE5"/>
    <w:rsid w:val="004C6029"/>
    <w:rsid w:val="004D0BD1"/>
    <w:rsid w:val="004D226C"/>
    <w:rsid w:val="004D230F"/>
    <w:rsid w:val="004D2E36"/>
    <w:rsid w:val="004E4979"/>
    <w:rsid w:val="004F18D4"/>
    <w:rsid w:val="00503974"/>
    <w:rsid w:val="00507B6C"/>
    <w:rsid w:val="005110DE"/>
    <w:rsid w:val="00517CB5"/>
    <w:rsid w:val="005208A9"/>
    <w:rsid w:val="0052230B"/>
    <w:rsid w:val="00523AEB"/>
    <w:rsid w:val="00525A8A"/>
    <w:rsid w:val="005269CA"/>
    <w:rsid w:val="00527066"/>
    <w:rsid w:val="005272E3"/>
    <w:rsid w:val="005276F0"/>
    <w:rsid w:val="005300E6"/>
    <w:rsid w:val="00530909"/>
    <w:rsid w:val="005329F1"/>
    <w:rsid w:val="00535BD6"/>
    <w:rsid w:val="005367C1"/>
    <w:rsid w:val="005376A1"/>
    <w:rsid w:val="005456BC"/>
    <w:rsid w:val="00545A6E"/>
    <w:rsid w:val="00550F0E"/>
    <w:rsid w:val="00551525"/>
    <w:rsid w:val="00562B63"/>
    <w:rsid w:val="00564326"/>
    <w:rsid w:val="00566539"/>
    <w:rsid w:val="00570ACE"/>
    <w:rsid w:val="00575971"/>
    <w:rsid w:val="00581BC4"/>
    <w:rsid w:val="005926E4"/>
    <w:rsid w:val="00593562"/>
    <w:rsid w:val="00593BF5"/>
    <w:rsid w:val="00594CE9"/>
    <w:rsid w:val="005A1F08"/>
    <w:rsid w:val="005A2986"/>
    <w:rsid w:val="005A2FAD"/>
    <w:rsid w:val="005A5802"/>
    <w:rsid w:val="005B3388"/>
    <w:rsid w:val="005B78A0"/>
    <w:rsid w:val="005C05A7"/>
    <w:rsid w:val="005C0EB1"/>
    <w:rsid w:val="005C339B"/>
    <w:rsid w:val="005C3F73"/>
    <w:rsid w:val="005C7891"/>
    <w:rsid w:val="005D2232"/>
    <w:rsid w:val="005D3599"/>
    <w:rsid w:val="005D3B0A"/>
    <w:rsid w:val="005D7548"/>
    <w:rsid w:val="005F7DAE"/>
    <w:rsid w:val="006009BF"/>
    <w:rsid w:val="00601976"/>
    <w:rsid w:val="00603302"/>
    <w:rsid w:val="00604E4F"/>
    <w:rsid w:val="006051AA"/>
    <w:rsid w:val="006054EE"/>
    <w:rsid w:val="006106B8"/>
    <w:rsid w:val="0061147D"/>
    <w:rsid w:val="006118B6"/>
    <w:rsid w:val="006139EA"/>
    <w:rsid w:val="0062178D"/>
    <w:rsid w:val="00622537"/>
    <w:rsid w:val="00624E96"/>
    <w:rsid w:val="006270C0"/>
    <w:rsid w:val="00630195"/>
    <w:rsid w:val="00642BB7"/>
    <w:rsid w:val="006478BF"/>
    <w:rsid w:val="00654072"/>
    <w:rsid w:val="00654199"/>
    <w:rsid w:val="006559AF"/>
    <w:rsid w:val="00656B26"/>
    <w:rsid w:val="00660ED5"/>
    <w:rsid w:val="00662B6E"/>
    <w:rsid w:val="00665243"/>
    <w:rsid w:val="00665627"/>
    <w:rsid w:val="006725AA"/>
    <w:rsid w:val="00672AEB"/>
    <w:rsid w:val="00674860"/>
    <w:rsid w:val="00677ACE"/>
    <w:rsid w:val="00677E2D"/>
    <w:rsid w:val="00681684"/>
    <w:rsid w:val="00686D77"/>
    <w:rsid w:val="0069139F"/>
    <w:rsid w:val="0069180D"/>
    <w:rsid w:val="00691CAF"/>
    <w:rsid w:val="00693874"/>
    <w:rsid w:val="00693F46"/>
    <w:rsid w:val="006A57FF"/>
    <w:rsid w:val="006A787F"/>
    <w:rsid w:val="006B111D"/>
    <w:rsid w:val="006B2BC6"/>
    <w:rsid w:val="006B3A28"/>
    <w:rsid w:val="006B4BB8"/>
    <w:rsid w:val="006B760B"/>
    <w:rsid w:val="006C006B"/>
    <w:rsid w:val="006C11AC"/>
    <w:rsid w:val="006C1346"/>
    <w:rsid w:val="006C4091"/>
    <w:rsid w:val="006C4F3B"/>
    <w:rsid w:val="006D33EF"/>
    <w:rsid w:val="006D5976"/>
    <w:rsid w:val="006E679F"/>
    <w:rsid w:val="006E6893"/>
    <w:rsid w:val="006F158F"/>
    <w:rsid w:val="006F7AEE"/>
    <w:rsid w:val="00703FB9"/>
    <w:rsid w:val="00710BA5"/>
    <w:rsid w:val="00711199"/>
    <w:rsid w:val="00713BD2"/>
    <w:rsid w:val="00720EFD"/>
    <w:rsid w:val="0072206F"/>
    <w:rsid w:val="00724F45"/>
    <w:rsid w:val="00743ED7"/>
    <w:rsid w:val="00755FB5"/>
    <w:rsid w:val="0075617B"/>
    <w:rsid w:val="00762799"/>
    <w:rsid w:val="00763240"/>
    <w:rsid w:val="00764648"/>
    <w:rsid w:val="0076497E"/>
    <w:rsid w:val="00765133"/>
    <w:rsid w:val="007658C3"/>
    <w:rsid w:val="00765D58"/>
    <w:rsid w:val="007672F3"/>
    <w:rsid w:val="00775BB9"/>
    <w:rsid w:val="00777CB5"/>
    <w:rsid w:val="00781D51"/>
    <w:rsid w:val="00781E71"/>
    <w:rsid w:val="007834B6"/>
    <w:rsid w:val="007860D1"/>
    <w:rsid w:val="00792D46"/>
    <w:rsid w:val="0079303F"/>
    <w:rsid w:val="00794EFE"/>
    <w:rsid w:val="00796C96"/>
    <w:rsid w:val="007A6A60"/>
    <w:rsid w:val="007A7462"/>
    <w:rsid w:val="007B16C4"/>
    <w:rsid w:val="007B4C67"/>
    <w:rsid w:val="007B569E"/>
    <w:rsid w:val="007B743B"/>
    <w:rsid w:val="007C0DB7"/>
    <w:rsid w:val="007C2D7E"/>
    <w:rsid w:val="007C51D5"/>
    <w:rsid w:val="007C5D6D"/>
    <w:rsid w:val="007C7E7C"/>
    <w:rsid w:val="007D0534"/>
    <w:rsid w:val="007D17FD"/>
    <w:rsid w:val="007D1A84"/>
    <w:rsid w:val="007D48C5"/>
    <w:rsid w:val="007E06F0"/>
    <w:rsid w:val="007E60ED"/>
    <w:rsid w:val="007E6E30"/>
    <w:rsid w:val="007F0BE6"/>
    <w:rsid w:val="007F36B0"/>
    <w:rsid w:val="007F60F7"/>
    <w:rsid w:val="00801D39"/>
    <w:rsid w:val="0080279B"/>
    <w:rsid w:val="00802931"/>
    <w:rsid w:val="00802DFC"/>
    <w:rsid w:val="00803B9A"/>
    <w:rsid w:val="00803D68"/>
    <w:rsid w:val="00810140"/>
    <w:rsid w:val="0081095A"/>
    <w:rsid w:val="00813F85"/>
    <w:rsid w:val="00814781"/>
    <w:rsid w:val="00825D30"/>
    <w:rsid w:val="00827F36"/>
    <w:rsid w:val="00830818"/>
    <w:rsid w:val="00830B94"/>
    <w:rsid w:val="00834DBB"/>
    <w:rsid w:val="008352D1"/>
    <w:rsid w:val="00842FFB"/>
    <w:rsid w:val="0084341E"/>
    <w:rsid w:val="00847A4A"/>
    <w:rsid w:val="008504D2"/>
    <w:rsid w:val="00854D8B"/>
    <w:rsid w:val="00856B76"/>
    <w:rsid w:val="00857354"/>
    <w:rsid w:val="008614E5"/>
    <w:rsid w:val="0086351A"/>
    <w:rsid w:val="00864363"/>
    <w:rsid w:val="00873119"/>
    <w:rsid w:val="00874B61"/>
    <w:rsid w:val="00875D25"/>
    <w:rsid w:val="00882734"/>
    <w:rsid w:val="00884978"/>
    <w:rsid w:val="00885E75"/>
    <w:rsid w:val="00891702"/>
    <w:rsid w:val="008A48B7"/>
    <w:rsid w:val="008B2C46"/>
    <w:rsid w:val="008B3EB5"/>
    <w:rsid w:val="008B4153"/>
    <w:rsid w:val="008C28EC"/>
    <w:rsid w:val="008C2994"/>
    <w:rsid w:val="008C5809"/>
    <w:rsid w:val="008C673B"/>
    <w:rsid w:val="008C6F66"/>
    <w:rsid w:val="008C7525"/>
    <w:rsid w:val="008D3E75"/>
    <w:rsid w:val="008D6F40"/>
    <w:rsid w:val="008D7098"/>
    <w:rsid w:val="008D78C9"/>
    <w:rsid w:val="008E0791"/>
    <w:rsid w:val="008E0FC9"/>
    <w:rsid w:val="008E2492"/>
    <w:rsid w:val="008E36CB"/>
    <w:rsid w:val="00906A85"/>
    <w:rsid w:val="00910814"/>
    <w:rsid w:val="0091084B"/>
    <w:rsid w:val="0091161F"/>
    <w:rsid w:val="00911D8F"/>
    <w:rsid w:val="00913684"/>
    <w:rsid w:val="00915E60"/>
    <w:rsid w:val="009232AB"/>
    <w:rsid w:val="00923865"/>
    <w:rsid w:val="009244F1"/>
    <w:rsid w:val="009261D7"/>
    <w:rsid w:val="0093016E"/>
    <w:rsid w:val="00934B4D"/>
    <w:rsid w:val="0094640A"/>
    <w:rsid w:val="00950EBA"/>
    <w:rsid w:val="009515A2"/>
    <w:rsid w:val="00952EFD"/>
    <w:rsid w:val="00955A2D"/>
    <w:rsid w:val="00955C75"/>
    <w:rsid w:val="009677DF"/>
    <w:rsid w:val="00973845"/>
    <w:rsid w:val="00974EF1"/>
    <w:rsid w:val="0097523F"/>
    <w:rsid w:val="00975500"/>
    <w:rsid w:val="00980BB4"/>
    <w:rsid w:val="009836DD"/>
    <w:rsid w:val="00987038"/>
    <w:rsid w:val="00987351"/>
    <w:rsid w:val="00987EDD"/>
    <w:rsid w:val="009946F8"/>
    <w:rsid w:val="00996E6B"/>
    <w:rsid w:val="009A018E"/>
    <w:rsid w:val="009A1911"/>
    <w:rsid w:val="009A1D64"/>
    <w:rsid w:val="009A3545"/>
    <w:rsid w:val="009A3717"/>
    <w:rsid w:val="009B00E9"/>
    <w:rsid w:val="009B1292"/>
    <w:rsid w:val="009B2430"/>
    <w:rsid w:val="009B338B"/>
    <w:rsid w:val="009B579B"/>
    <w:rsid w:val="009B58AD"/>
    <w:rsid w:val="009B64C5"/>
    <w:rsid w:val="009B7935"/>
    <w:rsid w:val="009C168F"/>
    <w:rsid w:val="009C29A7"/>
    <w:rsid w:val="009C3F67"/>
    <w:rsid w:val="009C7BA2"/>
    <w:rsid w:val="009D1161"/>
    <w:rsid w:val="009D3C48"/>
    <w:rsid w:val="009D4E05"/>
    <w:rsid w:val="009D57E6"/>
    <w:rsid w:val="009D667B"/>
    <w:rsid w:val="009E1850"/>
    <w:rsid w:val="009E20C6"/>
    <w:rsid w:val="009E3B23"/>
    <w:rsid w:val="009E4BED"/>
    <w:rsid w:val="009E5B51"/>
    <w:rsid w:val="009F242E"/>
    <w:rsid w:val="009F2FB0"/>
    <w:rsid w:val="009F4449"/>
    <w:rsid w:val="009F7AAB"/>
    <w:rsid w:val="00A017B6"/>
    <w:rsid w:val="00A02252"/>
    <w:rsid w:val="00A02EC2"/>
    <w:rsid w:val="00A052FE"/>
    <w:rsid w:val="00A06A36"/>
    <w:rsid w:val="00A127F1"/>
    <w:rsid w:val="00A2560D"/>
    <w:rsid w:val="00A27130"/>
    <w:rsid w:val="00A314D5"/>
    <w:rsid w:val="00A328C3"/>
    <w:rsid w:val="00A35E86"/>
    <w:rsid w:val="00A409E9"/>
    <w:rsid w:val="00A428F0"/>
    <w:rsid w:val="00A51C74"/>
    <w:rsid w:val="00A543DE"/>
    <w:rsid w:val="00A55406"/>
    <w:rsid w:val="00A57E04"/>
    <w:rsid w:val="00A618E6"/>
    <w:rsid w:val="00A64AD5"/>
    <w:rsid w:val="00A650E0"/>
    <w:rsid w:val="00A7147C"/>
    <w:rsid w:val="00A71481"/>
    <w:rsid w:val="00A7660B"/>
    <w:rsid w:val="00A805A9"/>
    <w:rsid w:val="00A818AC"/>
    <w:rsid w:val="00A82D6E"/>
    <w:rsid w:val="00A86897"/>
    <w:rsid w:val="00A86C71"/>
    <w:rsid w:val="00A95733"/>
    <w:rsid w:val="00A96862"/>
    <w:rsid w:val="00AA345E"/>
    <w:rsid w:val="00AB0FD3"/>
    <w:rsid w:val="00AB2F06"/>
    <w:rsid w:val="00AB5465"/>
    <w:rsid w:val="00AB5CA2"/>
    <w:rsid w:val="00AC6C50"/>
    <w:rsid w:val="00AD280D"/>
    <w:rsid w:val="00AD3616"/>
    <w:rsid w:val="00AD3C55"/>
    <w:rsid w:val="00AD5F09"/>
    <w:rsid w:val="00AD72A8"/>
    <w:rsid w:val="00AE0DCD"/>
    <w:rsid w:val="00AE4535"/>
    <w:rsid w:val="00AF3913"/>
    <w:rsid w:val="00AF6D03"/>
    <w:rsid w:val="00B07EA9"/>
    <w:rsid w:val="00B10EE2"/>
    <w:rsid w:val="00B153AA"/>
    <w:rsid w:val="00B17A4A"/>
    <w:rsid w:val="00B208DB"/>
    <w:rsid w:val="00B218D3"/>
    <w:rsid w:val="00B221E9"/>
    <w:rsid w:val="00B2314E"/>
    <w:rsid w:val="00B23F8F"/>
    <w:rsid w:val="00B26FAC"/>
    <w:rsid w:val="00B30A9D"/>
    <w:rsid w:val="00B31AA2"/>
    <w:rsid w:val="00B35305"/>
    <w:rsid w:val="00B3634C"/>
    <w:rsid w:val="00B43365"/>
    <w:rsid w:val="00B437FD"/>
    <w:rsid w:val="00B441D0"/>
    <w:rsid w:val="00B56C8B"/>
    <w:rsid w:val="00B63006"/>
    <w:rsid w:val="00B65377"/>
    <w:rsid w:val="00B74C0B"/>
    <w:rsid w:val="00B75BEB"/>
    <w:rsid w:val="00B76154"/>
    <w:rsid w:val="00B76F4B"/>
    <w:rsid w:val="00B8400D"/>
    <w:rsid w:val="00B86E6D"/>
    <w:rsid w:val="00B907B2"/>
    <w:rsid w:val="00B93A37"/>
    <w:rsid w:val="00B95FC7"/>
    <w:rsid w:val="00BA1819"/>
    <w:rsid w:val="00BA4E6D"/>
    <w:rsid w:val="00BA5A22"/>
    <w:rsid w:val="00BA69C0"/>
    <w:rsid w:val="00BA78C1"/>
    <w:rsid w:val="00BB00F8"/>
    <w:rsid w:val="00BB0AEE"/>
    <w:rsid w:val="00BB55E5"/>
    <w:rsid w:val="00BB6DE9"/>
    <w:rsid w:val="00BB7F01"/>
    <w:rsid w:val="00BD00F8"/>
    <w:rsid w:val="00BD725A"/>
    <w:rsid w:val="00BE331A"/>
    <w:rsid w:val="00BE3FA4"/>
    <w:rsid w:val="00BF10E6"/>
    <w:rsid w:val="00BF26F5"/>
    <w:rsid w:val="00BF3750"/>
    <w:rsid w:val="00C04B8D"/>
    <w:rsid w:val="00C05117"/>
    <w:rsid w:val="00C06244"/>
    <w:rsid w:val="00C16551"/>
    <w:rsid w:val="00C21460"/>
    <w:rsid w:val="00C23B2B"/>
    <w:rsid w:val="00C23C9A"/>
    <w:rsid w:val="00C36A2A"/>
    <w:rsid w:val="00C40788"/>
    <w:rsid w:val="00C434B3"/>
    <w:rsid w:val="00C45681"/>
    <w:rsid w:val="00C50BD9"/>
    <w:rsid w:val="00C536C2"/>
    <w:rsid w:val="00C53700"/>
    <w:rsid w:val="00C55F47"/>
    <w:rsid w:val="00C56E2E"/>
    <w:rsid w:val="00C6004A"/>
    <w:rsid w:val="00C61A88"/>
    <w:rsid w:val="00C61DE9"/>
    <w:rsid w:val="00C64A31"/>
    <w:rsid w:val="00C65330"/>
    <w:rsid w:val="00C7005E"/>
    <w:rsid w:val="00C75527"/>
    <w:rsid w:val="00C76671"/>
    <w:rsid w:val="00C82E8B"/>
    <w:rsid w:val="00C834BB"/>
    <w:rsid w:val="00C8476E"/>
    <w:rsid w:val="00C87BA0"/>
    <w:rsid w:val="00C9096E"/>
    <w:rsid w:val="00C90BB1"/>
    <w:rsid w:val="00C91A2B"/>
    <w:rsid w:val="00C946CB"/>
    <w:rsid w:val="00CA7CE0"/>
    <w:rsid w:val="00CB3AA2"/>
    <w:rsid w:val="00CC2AFF"/>
    <w:rsid w:val="00CC4C88"/>
    <w:rsid w:val="00CC5BA4"/>
    <w:rsid w:val="00CC6229"/>
    <w:rsid w:val="00CC7C83"/>
    <w:rsid w:val="00CD0B1F"/>
    <w:rsid w:val="00CD3F96"/>
    <w:rsid w:val="00CD6EFE"/>
    <w:rsid w:val="00CE09F3"/>
    <w:rsid w:val="00CE5AB7"/>
    <w:rsid w:val="00CE76DA"/>
    <w:rsid w:val="00CF05D7"/>
    <w:rsid w:val="00CF1DD9"/>
    <w:rsid w:val="00CF4865"/>
    <w:rsid w:val="00CF7722"/>
    <w:rsid w:val="00D01134"/>
    <w:rsid w:val="00D03895"/>
    <w:rsid w:val="00D048B5"/>
    <w:rsid w:val="00D07D2B"/>
    <w:rsid w:val="00D11E94"/>
    <w:rsid w:val="00D15C97"/>
    <w:rsid w:val="00D24155"/>
    <w:rsid w:val="00D2478D"/>
    <w:rsid w:val="00D25B85"/>
    <w:rsid w:val="00D26622"/>
    <w:rsid w:val="00D30389"/>
    <w:rsid w:val="00D317CC"/>
    <w:rsid w:val="00D337F6"/>
    <w:rsid w:val="00D3412A"/>
    <w:rsid w:val="00D409DC"/>
    <w:rsid w:val="00D420E6"/>
    <w:rsid w:val="00D432FE"/>
    <w:rsid w:val="00D45ABE"/>
    <w:rsid w:val="00D47F3D"/>
    <w:rsid w:val="00D52CDB"/>
    <w:rsid w:val="00D536EF"/>
    <w:rsid w:val="00D61710"/>
    <w:rsid w:val="00D62A2C"/>
    <w:rsid w:val="00D64074"/>
    <w:rsid w:val="00D6558D"/>
    <w:rsid w:val="00D6611E"/>
    <w:rsid w:val="00D766CA"/>
    <w:rsid w:val="00D80BD8"/>
    <w:rsid w:val="00D83325"/>
    <w:rsid w:val="00D836A2"/>
    <w:rsid w:val="00D85994"/>
    <w:rsid w:val="00D85F37"/>
    <w:rsid w:val="00D90844"/>
    <w:rsid w:val="00D926EE"/>
    <w:rsid w:val="00D9753B"/>
    <w:rsid w:val="00DA63BF"/>
    <w:rsid w:val="00DB4534"/>
    <w:rsid w:val="00DB4644"/>
    <w:rsid w:val="00DB645E"/>
    <w:rsid w:val="00DB72B4"/>
    <w:rsid w:val="00DC0C26"/>
    <w:rsid w:val="00DC2AD4"/>
    <w:rsid w:val="00DC375B"/>
    <w:rsid w:val="00DC6CE0"/>
    <w:rsid w:val="00DD2A82"/>
    <w:rsid w:val="00DD5488"/>
    <w:rsid w:val="00DD7DA7"/>
    <w:rsid w:val="00DE0D24"/>
    <w:rsid w:val="00DE749D"/>
    <w:rsid w:val="00DF2E90"/>
    <w:rsid w:val="00DF46E4"/>
    <w:rsid w:val="00DF4B20"/>
    <w:rsid w:val="00DF5AD1"/>
    <w:rsid w:val="00E020A4"/>
    <w:rsid w:val="00E02F38"/>
    <w:rsid w:val="00E04637"/>
    <w:rsid w:val="00E04856"/>
    <w:rsid w:val="00E13D60"/>
    <w:rsid w:val="00E22809"/>
    <w:rsid w:val="00E229AB"/>
    <w:rsid w:val="00E26D22"/>
    <w:rsid w:val="00E31332"/>
    <w:rsid w:val="00E325A5"/>
    <w:rsid w:val="00E35F2A"/>
    <w:rsid w:val="00E37CB6"/>
    <w:rsid w:val="00E428F2"/>
    <w:rsid w:val="00E461E7"/>
    <w:rsid w:val="00E50CD3"/>
    <w:rsid w:val="00E56089"/>
    <w:rsid w:val="00E56BEA"/>
    <w:rsid w:val="00E61C42"/>
    <w:rsid w:val="00E77F21"/>
    <w:rsid w:val="00E8468C"/>
    <w:rsid w:val="00E84699"/>
    <w:rsid w:val="00E87BE1"/>
    <w:rsid w:val="00E87D92"/>
    <w:rsid w:val="00E90CB9"/>
    <w:rsid w:val="00E93AE4"/>
    <w:rsid w:val="00E95EE3"/>
    <w:rsid w:val="00E97486"/>
    <w:rsid w:val="00E97B37"/>
    <w:rsid w:val="00EA020F"/>
    <w:rsid w:val="00EA13D1"/>
    <w:rsid w:val="00EA1F85"/>
    <w:rsid w:val="00EB194D"/>
    <w:rsid w:val="00EB1E1B"/>
    <w:rsid w:val="00EB6133"/>
    <w:rsid w:val="00EB766B"/>
    <w:rsid w:val="00EC2202"/>
    <w:rsid w:val="00EC2AA9"/>
    <w:rsid w:val="00EC2C3B"/>
    <w:rsid w:val="00EC3754"/>
    <w:rsid w:val="00EC70B7"/>
    <w:rsid w:val="00EC7D5D"/>
    <w:rsid w:val="00ED1DD7"/>
    <w:rsid w:val="00ED4585"/>
    <w:rsid w:val="00ED735F"/>
    <w:rsid w:val="00EE2478"/>
    <w:rsid w:val="00EE2760"/>
    <w:rsid w:val="00EF08C8"/>
    <w:rsid w:val="00EF4CC2"/>
    <w:rsid w:val="00EF593D"/>
    <w:rsid w:val="00EF5B38"/>
    <w:rsid w:val="00F024E2"/>
    <w:rsid w:val="00F10523"/>
    <w:rsid w:val="00F152E4"/>
    <w:rsid w:val="00F322E0"/>
    <w:rsid w:val="00F3475B"/>
    <w:rsid w:val="00F35FE1"/>
    <w:rsid w:val="00F40ED2"/>
    <w:rsid w:val="00F42610"/>
    <w:rsid w:val="00F42FBA"/>
    <w:rsid w:val="00F4468E"/>
    <w:rsid w:val="00F44A56"/>
    <w:rsid w:val="00F44B28"/>
    <w:rsid w:val="00F50010"/>
    <w:rsid w:val="00F5775F"/>
    <w:rsid w:val="00F62426"/>
    <w:rsid w:val="00F63F24"/>
    <w:rsid w:val="00F723B7"/>
    <w:rsid w:val="00F72666"/>
    <w:rsid w:val="00F87E99"/>
    <w:rsid w:val="00F95A2A"/>
    <w:rsid w:val="00FA2602"/>
    <w:rsid w:val="00FA2B8C"/>
    <w:rsid w:val="00FA2CAF"/>
    <w:rsid w:val="00FA35BD"/>
    <w:rsid w:val="00FB6F3D"/>
    <w:rsid w:val="00FC6FEC"/>
    <w:rsid w:val="00FD665F"/>
    <w:rsid w:val="00FE1A67"/>
    <w:rsid w:val="00FE22AC"/>
    <w:rsid w:val="00FF0701"/>
    <w:rsid w:val="00FF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C674D"/>
  <w15:docId w15:val="{61862DE4-F773-437B-BF1D-155D9309F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uiPriority w:val="99"/>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basedOn w:val="DefaultParagraphFont"/>
    <w:link w:val="Header"/>
    <w:uiPriority w:val="99"/>
    <w:rsid w:val="00662B6E"/>
    <w:rPr>
      <w:sz w:val="22"/>
      <w:szCs w:val="24"/>
    </w:rPr>
  </w:style>
  <w:style w:type="table" w:styleId="TableGrid">
    <w:name w:val="Table Grid"/>
    <w:basedOn w:val="TableNormal"/>
    <w:rsid w:val="00CA7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C3694"/>
    <w:rPr>
      <w:color w:val="0000FF" w:themeColor="hyperlink"/>
      <w:u w:val="single"/>
    </w:rPr>
  </w:style>
  <w:style w:type="character" w:customStyle="1" w:styleId="UnresolvedMention1">
    <w:name w:val="Unresolved Mention1"/>
    <w:basedOn w:val="DefaultParagraphFont"/>
    <w:uiPriority w:val="99"/>
    <w:semiHidden/>
    <w:unhideWhenUsed/>
    <w:rsid w:val="001C3694"/>
    <w:rPr>
      <w:color w:val="605E5C"/>
      <w:shd w:val="clear" w:color="auto" w:fill="E1DFDD"/>
    </w:rPr>
  </w:style>
  <w:style w:type="paragraph" w:styleId="Revision">
    <w:name w:val="Revision"/>
    <w:hidden/>
    <w:uiPriority w:val="99"/>
    <w:semiHidden/>
    <w:rsid w:val="00DD5488"/>
    <w:rPr>
      <w:sz w:val="22"/>
      <w:szCs w:val="24"/>
    </w:rPr>
  </w:style>
  <w:style w:type="paragraph" w:styleId="ListParagraph">
    <w:name w:val="List Paragraph"/>
    <w:basedOn w:val="Normal"/>
    <w:uiPriority w:val="34"/>
    <w:qFormat/>
    <w:rsid w:val="00527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6CA9A-D590-40CF-AE39-0D99D7D4A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7944</Words>
  <Characters>45281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53119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Jovana Jovanovic</cp:lastModifiedBy>
  <cp:revision>3</cp:revision>
  <cp:lastPrinted>2022-03-24T08:54:00Z</cp:lastPrinted>
  <dcterms:created xsi:type="dcterms:W3CDTF">2024-12-17T10:35:00Z</dcterms:created>
  <dcterms:modified xsi:type="dcterms:W3CDTF">2024-12-17T10:49:00Z</dcterms:modified>
</cp:coreProperties>
</file>